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16550">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rPr>
          <w:rFonts w:hint="default" w:ascii="Times New Roman" w:hAnsi="Times New Roman" w:eastAsia="宋体" w:cs="Times New Roman"/>
          <w:b/>
          <w:color w:val="auto"/>
          <w:sz w:val="40"/>
          <w:szCs w:val="40"/>
          <w:highlight w:val="none"/>
          <w:lang w:val="en-US" w:eastAsia="zh-CN"/>
        </w:rPr>
      </w:pPr>
    </w:p>
    <w:p w14:paraId="37CB26D7">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rPr>
          <w:rFonts w:hint="default" w:ascii="Times New Roman" w:hAnsi="Times New Roman" w:eastAsia="宋体" w:cs="Times New Roman"/>
          <w:b/>
          <w:color w:val="auto"/>
          <w:sz w:val="40"/>
          <w:szCs w:val="40"/>
          <w:highlight w:val="none"/>
          <w:lang w:val="en-US" w:eastAsia="zh-CN"/>
        </w:rPr>
      </w:pPr>
    </w:p>
    <w:p w14:paraId="57ECDDAD">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rPr>
          <w:rFonts w:hint="default" w:ascii="Times New Roman" w:hAnsi="Times New Roman" w:eastAsia="宋体" w:cs="Times New Roman"/>
          <w:b/>
          <w:color w:val="auto"/>
          <w:sz w:val="40"/>
          <w:szCs w:val="40"/>
          <w:highlight w:val="none"/>
          <w:lang w:val="en-US" w:eastAsia="zh-CN"/>
        </w:rPr>
      </w:pPr>
    </w:p>
    <w:p w14:paraId="50068EB5">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rPr>
          <w:rFonts w:hint="default" w:ascii="Times New Roman" w:hAnsi="Times New Roman" w:eastAsia="宋体" w:cs="Times New Roman"/>
          <w:b/>
          <w:color w:val="auto"/>
          <w:sz w:val="40"/>
          <w:szCs w:val="40"/>
          <w:highlight w:val="none"/>
        </w:rPr>
      </w:pPr>
    </w:p>
    <w:p w14:paraId="23A150D4">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rPr>
          <w:rFonts w:hint="default" w:ascii="Times New Roman" w:hAnsi="Times New Roman" w:eastAsia="宋体" w:cs="Times New Roman"/>
          <w:b/>
          <w:color w:val="auto"/>
          <w:sz w:val="40"/>
          <w:szCs w:val="40"/>
          <w:highlight w:val="none"/>
        </w:rPr>
      </w:pPr>
      <w:r>
        <w:rPr>
          <w:rFonts w:hint="default" w:ascii="Times New Roman" w:hAnsi="Times New Roman" w:eastAsia="宋体" w:cs="Times New Roman"/>
          <w:b/>
          <w:color w:val="auto"/>
          <w:sz w:val="40"/>
          <w:szCs w:val="40"/>
          <w:highlight w:val="none"/>
        </w:rPr>
        <w:t>霍</w:t>
      </w:r>
      <w:r>
        <w:rPr>
          <w:rFonts w:hint="default" w:ascii="Times New Roman" w:hAnsi="Times New Roman" w:eastAsia="宋体" w:cs="Times New Roman"/>
          <w:b/>
          <w:color w:val="auto"/>
          <w:sz w:val="40"/>
          <w:szCs w:val="40"/>
          <w:highlight w:val="none"/>
          <w:lang w:val="en-US" w:eastAsia="zh-CN"/>
        </w:rPr>
        <w:t xml:space="preserve"> </w:t>
      </w:r>
      <w:r>
        <w:rPr>
          <w:rFonts w:hint="default" w:ascii="Times New Roman" w:hAnsi="Times New Roman" w:eastAsia="宋体" w:cs="Times New Roman"/>
          <w:b/>
          <w:color w:val="auto"/>
          <w:sz w:val="40"/>
          <w:szCs w:val="40"/>
          <w:highlight w:val="none"/>
        </w:rPr>
        <w:t>邱</w:t>
      </w:r>
      <w:r>
        <w:rPr>
          <w:rFonts w:hint="default" w:ascii="Times New Roman" w:hAnsi="Times New Roman" w:eastAsia="宋体" w:cs="Times New Roman"/>
          <w:b/>
          <w:color w:val="auto"/>
          <w:sz w:val="40"/>
          <w:szCs w:val="40"/>
          <w:highlight w:val="none"/>
          <w:lang w:val="en-US" w:eastAsia="zh-CN"/>
        </w:rPr>
        <w:t xml:space="preserve"> </w:t>
      </w:r>
      <w:r>
        <w:rPr>
          <w:rFonts w:hint="default" w:ascii="Times New Roman" w:hAnsi="Times New Roman" w:eastAsia="宋体" w:cs="Times New Roman"/>
          <w:b/>
          <w:color w:val="auto"/>
          <w:sz w:val="40"/>
          <w:szCs w:val="40"/>
          <w:highlight w:val="none"/>
        </w:rPr>
        <w:t>县</w:t>
      </w:r>
      <w:r>
        <w:rPr>
          <w:rFonts w:hint="default" w:ascii="Times New Roman" w:hAnsi="Times New Roman" w:eastAsia="宋体" w:cs="Times New Roman"/>
          <w:b/>
          <w:color w:val="auto"/>
          <w:sz w:val="40"/>
          <w:szCs w:val="40"/>
          <w:highlight w:val="none"/>
          <w:lang w:val="en-US" w:eastAsia="zh-CN"/>
        </w:rPr>
        <w:t xml:space="preserve"> </w:t>
      </w:r>
      <w:r>
        <w:rPr>
          <w:rFonts w:hint="default" w:ascii="Times New Roman" w:hAnsi="Times New Roman" w:eastAsia="宋体" w:cs="Times New Roman"/>
          <w:b/>
          <w:color w:val="auto"/>
          <w:sz w:val="40"/>
          <w:szCs w:val="40"/>
          <w:highlight w:val="none"/>
        </w:rPr>
        <w:t>周</w:t>
      </w:r>
      <w:r>
        <w:rPr>
          <w:rFonts w:hint="default" w:ascii="Times New Roman" w:hAnsi="Times New Roman" w:eastAsia="宋体" w:cs="Times New Roman"/>
          <w:b/>
          <w:color w:val="auto"/>
          <w:sz w:val="40"/>
          <w:szCs w:val="40"/>
          <w:highlight w:val="none"/>
          <w:lang w:val="en-US" w:eastAsia="zh-CN"/>
        </w:rPr>
        <w:t xml:space="preserve"> </w:t>
      </w:r>
      <w:r>
        <w:rPr>
          <w:rFonts w:hint="default" w:ascii="Times New Roman" w:hAnsi="Times New Roman" w:eastAsia="宋体" w:cs="Times New Roman"/>
          <w:b/>
          <w:color w:val="auto"/>
          <w:sz w:val="40"/>
          <w:szCs w:val="40"/>
          <w:highlight w:val="none"/>
        </w:rPr>
        <w:t>集</w:t>
      </w:r>
      <w:r>
        <w:rPr>
          <w:rFonts w:hint="default" w:ascii="Times New Roman" w:hAnsi="Times New Roman" w:eastAsia="宋体" w:cs="Times New Roman"/>
          <w:b/>
          <w:color w:val="auto"/>
          <w:sz w:val="40"/>
          <w:szCs w:val="40"/>
          <w:highlight w:val="none"/>
          <w:lang w:val="en-US" w:eastAsia="zh-CN"/>
        </w:rPr>
        <w:t xml:space="preserve"> </w:t>
      </w:r>
      <w:r>
        <w:rPr>
          <w:rFonts w:hint="default" w:ascii="Times New Roman" w:hAnsi="Times New Roman" w:eastAsia="宋体" w:cs="Times New Roman"/>
          <w:b/>
          <w:color w:val="auto"/>
          <w:sz w:val="40"/>
          <w:szCs w:val="40"/>
          <w:highlight w:val="none"/>
        </w:rPr>
        <w:t>淮</w:t>
      </w:r>
      <w:r>
        <w:rPr>
          <w:rFonts w:hint="default" w:ascii="Times New Roman" w:hAnsi="Times New Roman" w:eastAsia="宋体" w:cs="Times New Roman"/>
          <w:b/>
          <w:color w:val="auto"/>
          <w:sz w:val="40"/>
          <w:szCs w:val="40"/>
          <w:highlight w:val="none"/>
          <w:lang w:val="en-US" w:eastAsia="zh-CN"/>
        </w:rPr>
        <w:t xml:space="preserve"> </w:t>
      </w:r>
      <w:r>
        <w:rPr>
          <w:rFonts w:hint="default" w:ascii="Times New Roman" w:hAnsi="Times New Roman" w:eastAsia="宋体" w:cs="Times New Roman"/>
          <w:b/>
          <w:color w:val="auto"/>
          <w:sz w:val="40"/>
          <w:szCs w:val="40"/>
          <w:highlight w:val="none"/>
        </w:rPr>
        <w:t>畔</w:t>
      </w:r>
      <w:r>
        <w:rPr>
          <w:rFonts w:hint="default" w:ascii="Times New Roman" w:hAnsi="Times New Roman" w:eastAsia="宋体" w:cs="Times New Roman"/>
          <w:b/>
          <w:color w:val="auto"/>
          <w:sz w:val="40"/>
          <w:szCs w:val="40"/>
          <w:highlight w:val="none"/>
          <w:lang w:val="en-US" w:eastAsia="zh-CN"/>
        </w:rPr>
        <w:t xml:space="preserve"> </w:t>
      </w:r>
      <w:r>
        <w:rPr>
          <w:rFonts w:hint="default" w:ascii="Times New Roman" w:hAnsi="Times New Roman" w:eastAsia="宋体" w:cs="Times New Roman"/>
          <w:b/>
          <w:color w:val="auto"/>
          <w:sz w:val="40"/>
          <w:szCs w:val="40"/>
          <w:highlight w:val="none"/>
        </w:rPr>
        <w:t>大</w:t>
      </w:r>
      <w:r>
        <w:rPr>
          <w:rFonts w:hint="default" w:ascii="Times New Roman" w:hAnsi="Times New Roman" w:eastAsia="宋体" w:cs="Times New Roman"/>
          <w:b/>
          <w:color w:val="auto"/>
          <w:sz w:val="40"/>
          <w:szCs w:val="40"/>
          <w:highlight w:val="none"/>
          <w:lang w:val="en-US" w:eastAsia="zh-CN"/>
        </w:rPr>
        <w:t xml:space="preserve"> </w:t>
      </w:r>
      <w:r>
        <w:rPr>
          <w:rFonts w:hint="default" w:ascii="Times New Roman" w:hAnsi="Times New Roman" w:eastAsia="宋体" w:cs="Times New Roman"/>
          <w:b/>
          <w:color w:val="auto"/>
          <w:sz w:val="40"/>
          <w:szCs w:val="40"/>
          <w:highlight w:val="none"/>
        </w:rPr>
        <w:t>酒</w:t>
      </w:r>
      <w:r>
        <w:rPr>
          <w:rFonts w:hint="default" w:ascii="Times New Roman" w:hAnsi="Times New Roman" w:eastAsia="宋体" w:cs="Times New Roman"/>
          <w:b/>
          <w:color w:val="auto"/>
          <w:sz w:val="40"/>
          <w:szCs w:val="40"/>
          <w:highlight w:val="none"/>
          <w:lang w:val="en-US" w:eastAsia="zh-CN"/>
        </w:rPr>
        <w:t xml:space="preserve"> </w:t>
      </w:r>
      <w:r>
        <w:rPr>
          <w:rFonts w:hint="default" w:ascii="Times New Roman" w:hAnsi="Times New Roman" w:eastAsia="宋体" w:cs="Times New Roman"/>
          <w:b/>
          <w:color w:val="auto"/>
          <w:sz w:val="40"/>
          <w:szCs w:val="40"/>
          <w:highlight w:val="none"/>
        </w:rPr>
        <w:t>店</w:t>
      </w:r>
    </w:p>
    <w:p w14:paraId="6DDBB40B">
      <w:pPr>
        <w:spacing w:line="220" w:lineRule="atLeast"/>
        <w:jc w:val="center"/>
        <w:rPr>
          <w:rFonts w:hint="default" w:ascii="Times New Roman" w:hAnsi="Times New Roman" w:eastAsia="宋体" w:cs="Times New Roman"/>
          <w:b/>
          <w:bCs/>
          <w:color w:val="auto"/>
          <w:sz w:val="72"/>
          <w:szCs w:val="72"/>
          <w:highlight w:val="none"/>
        </w:rPr>
      </w:pPr>
    </w:p>
    <w:p w14:paraId="5BF6BE53">
      <w:pPr>
        <w:spacing w:line="220" w:lineRule="atLeast"/>
        <w:jc w:val="center"/>
        <w:rPr>
          <w:rFonts w:hint="default" w:ascii="Times New Roman" w:hAnsi="Times New Roman" w:eastAsia="宋体" w:cs="Times New Roman"/>
          <w:b/>
          <w:bCs/>
          <w:color w:val="auto"/>
          <w:sz w:val="72"/>
          <w:szCs w:val="72"/>
          <w:highlight w:val="none"/>
        </w:rPr>
      </w:pPr>
      <w:r>
        <w:rPr>
          <w:rFonts w:hint="default" w:ascii="Times New Roman" w:hAnsi="Times New Roman" w:eastAsia="宋体" w:cs="Times New Roman"/>
          <w:b/>
          <w:bCs/>
          <w:color w:val="auto"/>
          <w:sz w:val="72"/>
          <w:szCs w:val="72"/>
          <w:highlight w:val="none"/>
        </w:rPr>
        <w:t>项</w:t>
      </w:r>
    </w:p>
    <w:p w14:paraId="44C6FC18">
      <w:pPr>
        <w:spacing w:line="220" w:lineRule="atLeast"/>
        <w:jc w:val="center"/>
        <w:rPr>
          <w:rFonts w:hint="default" w:ascii="Times New Roman" w:hAnsi="Times New Roman" w:eastAsia="宋体" w:cs="Times New Roman"/>
          <w:b/>
          <w:bCs/>
          <w:color w:val="auto"/>
          <w:sz w:val="72"/>
          <w:szCs w:val="72"/>
          <w:highlight w:val="none"/>
        </w:rPr>
      </w:pPr>
      <w:r>
        <w:rPr>
          <w:rFonts w:hint="default" w:ascii="Times New Roman" w:hAnsi="Times New Roman" w:eastAsia="宋体" w:cs="Times New Roman"/>
          <w:b/>
          <w:bCs/>
          <w:color w:val="auto"/>
          <w:sz w:val="72"/>
          <w:szCs w:val="72"/>
          <w:highlight w:val="none"/>
        </w:rPr>
        <w:t>目</w:t>
      </w:r>
    </w:p>
    <w:p w14:paraId="2782E355">
      <w:pPr>
        <w:spacing w:line="220" w:lineRule="atLeast"/>
        <w:jc w:val="center"/>
        <w:rPr>
          <w:rFonts w:hint="default" w:ascii="Times New Roman" w:hAnsi="Times New Roman" w:eastAsia="宋体" w:cs="Times New Roman"/>
          <w:b/>
          <w:bCs/>
          <w:color w:val="auto"/>
          <w:sz w:val="72"/>
          <w:szCs w:val="72"/>
          <w:highlight w:val="none"/>
        </w:rPr>
      </w:pPr>
      <w:r>
        <w:rPr>
          <w:rFonts w:hint="default" w:ascii="Times New Roman" w:hAnsi="Times New Roman" w:eastAsia="宋体" w:cs="Times New Roman"/>
          <w:b/>
          <w:bCs/>
          <w:color w:val="auto"/>
          <w:sz w:val="72"/>
          <w:szCs w:val="72"/>
          <w:highlight w:val="none"/>
        </w:rPr>
        <w:t>建</w:t>
      </w:r>
    </w:p>
    <w:p w14:paraId="6D871C7F">
      <w:pPr>
        <w:spacing w:line="220" w:lineRule="atLeast"/>
        <w:jc w:val="center"/>
        <w:rPr>
          <w:rFonts w:hint="default" w:ascii="Times New Roman" w:hAnsi="Times New Roman" w:eastAsia="宋体" w:cs="Times New Roman"/>
          <w:b/>
          <w:bCs/>
          <w:color w:val="auto"/>
          <w:sz w:val="72"/>
          <w:szCs w:val="72"/>
          <w:highlight w:val="none"/>
        </w:rPr>
      </w:pPr>
      <w:r>
        <w:rPr>
          <w:rFonts w:hint="default" w:ascii="Times New Roman" w:hAnsi="Times New Roman" w:eastAsia="宋体" w:cs="Times New Roman"/>
          <w:b/>
          <w:bCs/>
          <w:color w:val="auto"/>
          <w:sz w:val="72"/>
          <w:szCs w:val="72"/>
          <w:highlight w:val="none"/>
        </w:rPr>
        <w:t>议</w:t>
      </w:r>
    </w:p>
    <w:p w14:paraId="7311A99C">
      <w:pPr>
        <w:spacing w:line="220" w:lineRule="atLeast"/>
        <w:jc w:val="center"/>
        <w:rPr>
          <w:rFonts w:hint="default" w:ascii="Times New Roman" w:hAnsi="Times New Roman" w:eastAsia="宋体" w:cs="Times New Roman"/>
          <w:b/>
          <w:bCs/>
          <w:color w:val="auto"/>
          <w:sz w:val="72"/>
          <w:szCs w:val="72"/>
          <w:highlight w:val="none"/>
        </w:rPr>
      </w:pPr>
      <w:r>
        <w:rPr>
          <w:rFonts w:hint="default" w:ascii="Times New Roman" w:hAnsi="Times New Roman" w:eastAsia="宋体" w:cs="Times New Roman"/>
          <w:b/>
          <w:bCs/>
          <w:color w:val="auto"/>
          <w:sz w:val="72"/>
          <w:szCs w:val="72"/>
          <w:highlight w:val="none"/>
        </w:rPr>
        <w:t>书</w:t>
      </w:r>
    </w:p>
    <w:p w14:paraId="14FC7C81">
      <w:pPr>
        <w:spacing w:line="220" w:lineRule="atLeast"/>
        <w:jc w:val="center"/>
        <w:rPr>
          <w:rFonts w:hint="default" w:ascii="Times New Roman" w:hAnsi="Times New Roman" w:eastAsia="宋体" w:cs="Times New Roman"/>
          <w:color w:val="auto"/>
          <w:sz w:val="72"/>
          <w:szCs w:val="72"/>
          <w:highlight w:val="none"/>
        </w:rPr>
      </w:pPr>
    </w:p>
    <w:p w14:paraId="4DAB4B35">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rPr>
          <w:rFonts w:hint="default" w:ascii="Times New Roman" w:hAnsi="Times New Roman" w:eastAsia="宋体" w:cs="Times New Roman"/>
          <w:b/>
          <w:color w:val="auto"/>
          <w:sz w:val="40"/>
          <w:szCs w:val="40"/>
          <w:highlight w:val="none"/>
        </w:rPr>
      </w:pPr>
    </w:p>
    <w:p w14:paraId="60F16500">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rPr>
          <w:rFonts w:hint="default" w:ascii="Times New Roman" w:hAnsi="Times New Roman" w:eastAsia="宋体" w:cs="Times New Roman"/>
          <w:b/>
          <w:color w:val="auto"/>
          <w:sz w:val="40"/>
          <w:szCs w:val="40"/>
          <w:highlight w:val="none"/>
          <w:lang w:eastAsia="zh-CN"/>
        </w:rPr>
      </w:pPr>
      <w:r>
        <w:rPr>
          <w:rFonts w:hint="default" w:ascii="Times New Roman" w:hAnsi="Times New Roman" w:eastAsia="宋体" w:cs="Times New Roman"/>
          <w:b/>
          <w:color w:val="auto"/>
          <w:sz w:val="40"/>
          <w:szCs w:val="40"/>
          <w:highlight w:val="none"/>
        </w:rPr>
        <w:t>建设单位：</w:t>
      </w:r>
      <w:r>
        <w:rPr>
          <w:rFonts w:hint="default" w:ascii="Times New Roman" w:hAnsi="Times New Roman" w:eastAsia="宋体" w:cs="Times New Roman"/>
          <w:b/>
          <w:color w:val="auto"/>
          <w:sz w:val="40"/>
          <w:szCs w:val="40"/>
          <w:highlight w:val="none"/>
          <w:lang w:eastAsia="zh-CN"/>
        </w:rPr>
        <w:t>安徽</w:t>
      </w:r>
      <w:r>
        <w:rPr>
          <w:rFonts w:hint="default" w:ascii="Times New Roman" w:hAnsi="Times New Roman" w:eastAsia="宋体" w:cs="Times New Roman"/>
          <w:b/>
          <w:color w:val="auto"/>
          <w:sz w:val="40"/>
          <w:szCs w:val="40"/>
          <w:highlight w:val="none"/>
        </w:rPr>
        <w:t>淮畔</w:t>
      </w:r>
      <w:r>
        <w:rPr>
          <w:rFonts w:hint="default" w:ascii="Times New Roman" w:hAnsi="Times New Roman" w:eastAsia="宋体" w:cs="Times New Roman"/>
          <w:b/>
          <w:color w:val="auto"/>
          <w:sz w:val="40"/>
          <w:szCs w:val="40"/>
          <w:highlight w:val="none"/>
          <w:lang w:eastAsia="zh-CN"/>
        </w:rPr>
        <w:t>酒店有限公司</w:t>
      </w:r>
    </w:p>
    <w:p w14:paraId="4765898B">
      <w:pPr>
        <w:jc w:val="center"/>
        <w:rPr>
          <w:rFonts w:hint="default" w:ascii="Times New Roman" w:hAnsi="Times New Roman" w:eastAsia="宋体" w:cs="Times New Roman"/>
          <w:b/>
          <w:color w:val="auto"/>
          <w:sz w:val="40"/>
          <w:szCs w:val="40"/>
          <w:highlight w:val="none"/>
        </w:rPr>
      </w:pPr>
      <w:r>
        <w:rPr>
          <w:rFonts w:hint="default" w:ascii="Times New Roman" w:hAnsi="Times New Roman" w:eastAsia="宋体" w:cs="Times New Roman"/>
          <w:b/>
          <w:color w:val="auto"/>
          <w:sz w:val="40"/>
          <w:szCs w:val="40"/>
          <w:highlight w:val="none"/>
        </w:rPr>
        <w:t>日期：20</w:t>
      </w:r>
      <w:r>
        <w:rPr>
          <w:rFonts w:hint="default" w:ascii="Times New Roman" w:hAnsi="Times New Roman" w:eastAsia="宋体" w:cs="Times New Roman"/>
          <w:b/>
          <w:color w:val="auto"/>
          <w:sz w:val="40"/>
          <w:szCs w:val="40"/>
          <w:highlight w:val="none"/>
          <w:lang w:val="en-US" w:eastAsia="zh-CN"/>
        </w:rPr>
        <w:t>26</w:t>
      </w:r>
      <w:r>
        <w:rPr>
          <w:rFonts w:hint="default" w:ascii="Times New Roman" w:hAnsi="Times New Roman" w:eastAsia="宋体" w:cs="Times New Roman"/>
          <w:b/>
          <w:color w:val="auto"/>
          <w:sz w:val="40"/>
          <w:szCs w:val="40"/>
          <w:highlight w:val="none"/>
        </w:rPr>
        <w:t>年</w:t>
      </w:r>
      <w:r>
        <w:rPr>
          <w:rFonts w:hint="default" w:ascii="Times New Roman" w:hAnsi="Times New Roman" w:eastAsia="宋体" w:cs="Times New Roman"/>
          <w:b/>
          <w:color w:val="auto"/>
          <w:sz w:val="40"/>
          <w:szCs w:val="40"/>
          <w:highlight w:val="none"/>
          <w:lang w:val="en-US" w:eastAsia="zh-CN"/>
        </w:rPr>
        <w:t>3</w:t>
      </w:r>
      <w:r>
        <w:rPr>
          <w:rFonts w:hint="default" w:ascii="Times New Roman" w:hAnsi="Times New Roman" w:eastAsia="宋体" w:cs="Times New Roman"/>
          <w:b/>
          <w:color w:val="auto"/>
          <w:sz w:val="40"/>
          <w:szCs w:val="40"/>
          <w:highlight w:val="none"/>
        </w:rPr>
        <w:t>月</w:t>
      </w:r>
    </w:p>
    <w:p w14:paraId="56E0E7C1">
      <w:pPr>
        <w:rPr>
          <w:rFonts w:hint="default" w:ascii="Times New Roman" w:hAnsi="Times New Roman" w:eastAsia="宋体" w:cs="Times New Roman"/>
        </w:rPr>
      </w:pPr>
    </w:p>
    <w:p w14:paraId="19716D30">
      <w:pPr>
        <w:rPr>
          <w:rFonts w:hint="default" w:ascii="Times New Roman" w:hAnsi="Times New Roman" w:eastAsia="宋体" w:cs="Times New Roman"/>
        </w:rPr>
      </w:pPr>
    </w:p>
    <w:p w14:paraId="7DE536C3">
      <w:pPr>
        <w:rPr>
          <w:rFonts w:hint="default" w:ascii="Times New Roman" w:hAnsi="Times New Roman" w:eastAsia="宋体" w:cs="Times New Roman"/>
        </w:rPr>
      </w:pPr>
    </w:p>
    <w:p w14:paraId="32AEE435">
      <w:pPr>
        <w:rPr>
          <w:rFonts w:hint="default" w:ascii="Times New Roman" w:hAnsi="Times New Roman" w:eastAsia="宋体" w:cs="Times New Roman"/>
        </w:rPr>
      </w:pPr>
    </w:p>
    <w:p w14:paraId="302A6B53">
      <w:pPr>
        <w:rPr>
          <w:rFonts w:hint="default" w:ascii="Times New Roman" w:hAnsi="Times New Roman" w:eastAsia="宋体" w:cs="Times New Roman"/>
        </w:rPr>
      </w:pPr>
    </w:p>
    <w:p w14:paraId="6CE8B96A">
      <w:pPr>
        <w:pStyle w:val="6"/>
        <w:keepNext w:val="0"/>
        <w:keepLines w:val="0"/>
        <w:pageBreakBefore w:val="0"/>
        <w:widowControl/>
        <w:tabs>
          <w:tab w:val="left" w:pos="3642"/>
        </w:tabs>
        <w:kinsoku/>
        <w:wordWrap w:val="0"/>
        <w:overflowPunct/>
        <w:topLinePunct/>
        <w:autoSpaceDE w:val="0"/>
        <w:autoSpaceDN w:val="0"/>
        <w:bidi w:val="0"/>
        <w:adjustRightInd w:val="0"/>
        <w:snapToGrid w:val="0"/>
        <w:spacing w:after="0" w:afterLines="0" w:afterAutospacing="0" w:line="360" w:lineRule="auto"/>
        <w:ind w:left="0" w:leftChars="0" w:firstLine="0" w:firstLineChars="0"/>
        <w:jc w:val="center"/>
        <w:textAlignment w:val="baseline"/>
        <w:outlineLvl w:val="0"/>
        <w:rPr>
          <w:rFonts w:hint="default" w:ascii="Times New Roman" w:hAnsi="Times New Roman" w:eastAsia="宋体" w:cs="Times New Roman"/>
          <w:b/>
          <w:snapToGrid w:val="0"/>
          <w:color w:val="auto"/>
          <w:kern w:val="2"/>
          <w:sz w:val="32"/>
          <w:szCs w:val="32"/>
          <w:highlight w:val="none"/>
          <w:lang w:val="en-US" w:eastAsia="zh-CN" w:bidi="ar-SA"/>
        </w:rPr>
      </w:pPr>
      <w:r>
        <w:rPr>
          <w:rFonts w:hint="default" w:ascii="Times New Roman" w:hAnsi="Times New Roman" w:eastAsia="宋体" w:cs="Times New Roman"/>
          <w:b/>
          <w:snapToGrid w:val="0"/>
          <w:color w:val="auto"/>
          <w:kern w:val="2"/>
          <w:sz w:val="32"/>
          <w:szCs w:val="32"/>
          <w:highlight w:val="none"/>
          <w:lang w:val="en-US" w:eastAsia="zh-CN" w:bidi="ar-SA"/>
        </w:rPr>
        <w:t>第一章 概 述</w:t>
      </w:r>
    </w:p>
    <w:p w14:paraId="11F16382">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1.1 项目概况</w:t>
      </w:r>
    </w:p>
    <w:p w14:paraId="74833463">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1.1.1 项目名称</w:t>
      </w:r>
    </w:p>
    <w:p w14:paraId="687DA2B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eastAsia="zh-CN"/>
        </w:rPr>
      </w:pPr>
      <w:r>
        <w:rPr>
          <w:rFonts w:hint="default" w:ascii="Times New Roman" w:hAnsi="Times New Roman" w:eastAsia="宋体" w:cs="Times New Roman"/>
          <w:color w:val="auto"/>
          <w:kern w:val="0"/>
          <w:highlight w:val="none"/>
          <w:lang w:eastAsia="zh-CN"/>
        </w:rPr>
        <w:t>霍邱县周集淮畔大酒店建设项目。</w:t>
      </w:r>
    </w:p>
    <w:p w14:paraId="08BBE719">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1.1.2 建设单位</w:t>
      </w:r>
    </w:p>
    <w:p w14:paraId="1C00BF9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eastAsia="zh-CN"/>
        </w:rPr>
      </w:pPr>
      <w:r>
        <w:rPr>
          <w:rFonts w:hint="default" w:ascii="Times New Roman" w:hAnsi="Times New Roman" w:eastAsia="宋体" w:cs="Times New Roman"/>
          <w:color w:val="auto"/>
          <w:kern w:val="0"/>
          <w:highlight w:val="none"/>
          <w:lang w:eastAsia="zh-CN"/>
        </w:rPr>
        <w:t>安徽淮畔酒店有限公司。</w:t>
      </w:r>
    </w:p>
    <w:p w14:paraId="46118531">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1.1.3建设性质</w:t>
      </w:r>
    </w:p>
    <w:p w14:paraId="1518F9E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新建</w:t>
      </w:r>
    </w:p>
    <w:p w14:paraId="6EADCE5D">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1.1.4建设地点</w:t>
      </w:r>
    </w:p>
    <w:p w14:paraId="0FC19045">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eastAsia="zh-CN"/>
        </w:rPr>
      </w:pPr>
      <w:r>
        <w:rPr>
          <w:rFonts w:hint="default" w:ascii="Times New Roman" w:hAnsi="Times New Roman" w:eastAsia="宋体" w:cs="Times New Roman"/>
          <w:color w:val="auto"/>
          <w:kern w:val="0"/>
          <w:highlight w:val="none"/>
          <w:lang w:eastAsia="zh-CN"/>
        </w:rPr>
        <w:t>项目拟建地点为霍邱县周集镇银河路，为镇域“四纵四横”路网框架内，交通便利，毗邻主要商业区与居民区，便于服务商务客群与本地居民。</w:t>
      </w:r>
    </w:p>
    <w:p w14:paraId="210EFF96">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1.1.5 建设目标</w:t>
      </w:r>
    </w:p>
    <w:p w14:paraId="3EA0A93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eastAsia="zh-CN"/>
        </w:rPr>
      </w:pPr>
      <w:r>
        <w:rPr>
          <w:rFonts w:hint="default" w:ascii="Times New Roman" w:hAnsi="Times New Roman" w:eastAsia="宋体" w:cs="Times New Roman"/>
          <w:color w:val="auto"/>
          <w:kern w:val="0"/>
          <w:highlight w:val="none"/>
          <w:lang w:eastAsia="zh-CN"/>
        </w:rPr>
        <w:t>本项目旨在填补霍邱县周集镇中高端综合性酒店的空白，打造成为集商务住宿、大型宴会、会议接待、餐饮服务于一体的镇域地标性商业服务设施。其核心目标是优化周集镇营商环境，提升招商引资竞争力，同时满足当地居民日益增长的婚庆宴请、商务活动等民生与产业配套需求，助力周集镇打造“淮岸强镇”。</w:t>
      </w:r>
    </w:p>
    <w:p w14:paraId="1015F9E8">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1.1.6 建设规模与内容</w:t>
      </w:r>
    </w:p>
    <w:p w14:paraId="777FD0E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eastAsia="zh-CN"/>
        </w:rPr>
      </w:pPr>
      <w:r>
        <w:rPr>
          <w:rFonts w:hint="default" w:ascii="Times New Roman" w:hAnsi="Times New Roman" w:eastAsia="宋体" w:cs="Times New Roman"/>
          <w:color w:val="auto"/>
          <w:kern w:val="0"/>
          <w:highlight w:val="none"/>
          <w:lang w:eastAsia="zh-CN"/>
        </w:rPr>
        <w:t>本项目为新建综合性商业服务设施，主要建设内容包括酒店主体建筑、室内外装修、设备购置安装及室外配套工程，并组建专业运营团队，确保项目按期建成并投入运营。</w:t>
      </w:r>
    </w:p>
    <w:p w14:paraId="7D7D3AC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eastAsia="zh-CN"/>
        </w:rPr>
      </w:pPr>
      <w:r>
        <w:rPr>
          <w:rFonts w:hint="default" w:ascii="Times New Roman" w:hAnsi="Times New Roman" w:eastAsia="宋体" w:cs="Times New Roman"/>
          <w:color w:val="auto"/>
          <w:kern w:val="0"/>
          <w:highlight w:val="none"/>
          <w:lang w:eastAsia="zh-CN"/>
        </w:rPr>
        <w:t>建设规模如下：</w:t>
      </w:r>
    </w:p>
    <w:p w14:paraId="4843D10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eastAsia="zh-CN"/>
        </w:rPr>
      </w:pPr>
      <w:r>
        <w:rPr>
          <w:rFonts w:hint="default" w:ascii="Times New Roman" w:hAnsi="Times New Roman" w:eastAsia="宋体" w:cs="Times New Roman"/>
          <w:color w:val="auto"/>
          <w:kern w:val="0"/>
          <w:highlight w:val="none"/>
          <w:lang w:eastAsia="zh-CN"/>
        </w:rPr>
        <w:t>总用地面积： 约9.5亩（约6,333平方米）。</w:t>
      </w:r>
    </w:p>
    <w:p w14:paraId="6CB8094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eastAsia="zh-CN"/>
        </w:rPr>
      </w:pPr>
      <w:r>
        <w:rPr>
          <w:rFonts w:hint="default" w:ascii="Times New Roman" w:hAnsi="Times New Roman" w:eastAsia="宋体" w:cs="Times New Roman"/>
          <w:color w:val="auto"/>
          <w:kern w:val="0"/>
          <w:highlight w:val="none"/>
          <w:lang w:eastAsia="zh-CN"/>
        </w:rPr>
        <w:t>总建筑面积： 约14,000平方米。</w:t>
      </w:r>
    </w:p>
    <w:p w14:paraId="6B49116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eastAsia="zh-CN"/>
        </w:rPr>
      </w:pPr>
      <w:r>
        <w:rPr>
          <w:rFonts w:hint="default" w:ascii="Times New Roman" w:hAnsi="Times New Roman" w:eastAsia="宋体" w:cs="Times New Roman"/>
          <w:color w:val="auto"/>
          <w:kern w:val="0"/>
          <w:highlight w:val="none"/>
          <w:lang w:eastAsia="zh-CN"/>
        </w:rPr>
        <w:t>建筑层数： 地上9层（主楼），局部设2-3层裙楼。</w:t>
      </w:r>
    </w:p>
    <w:p w14:paraId="6D2CAAC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eastAsia="zh-CN"/>
        </w:rPr>
      </w:pPr>
      <w:r>
        <w:rPr>
          <w:rFonts w:hint="default" w:ascii="Times New Roman" w:hAnsi="Times New Roman" w:eastAsia="宋体" w:cs="Times New Roman"/>
          <w:color w:val="auto"/>
          <w:kern w:val="0"/>
          <w:highlight w:val="none"/>
          <w:lang w:eastAsia="zh-CN"/>
        </w:rPr>
        <w:t>主要功能分区：</w:t>
      </w:r>
    </w:p>
    <w:p w14:paraId="659F72F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eastAsia="zh-CN"/>
        </w:rPr>
      </w:pPr>
      <w:r>
        <w:rPr>
          <w:rFonts w:hint="default" w:ascii="Times New Roman" w:hAnsi="Times New Roman" w:eastAsia="宋体" w:cs="Times New Roman"/>
          <w:color w:val="auto"/>
          <w:kern w:val="0"/>
          <w:highlight w:val="none"/>
          <w:lang w:eastAsia="zh-CN"/>
        </w:rPr>
        <w:t xml:space="preserve">    住宿服务： 标准客房、商务单间及豪华套房共计100间。</w:t>
      </w:r>
    </w:p>
    <w:p w14:paraId="310A919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eastAsia="zh-CN"/>
        </w:rPr>
      </w:pPr>
      <w:r>
        <w:rPr>
          <w:rFonts w:hint="default" w:ascii="Times New Roman" w:hAnsi="Times New Roman" w:eastAsia="宋体" w:cs="Times New Roman"/>
          <w:color w:val="auto"/>
          <w:kern w:val="0"/>
          <w:highlight w:val="none"/>
          <w:lang w:eastAsia="zh-CN"/>
        </w:rPr>
        <w:t xml:space="preserve">    餐饮宴会服务： 大型宴会厅1个，可同时容纳600人就餐或500人会议；中餐厅及餐饮包厢10-15间。</w:t>
      </w:r>
    </w:p>
    <w:p w14:paraId="7D807DE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eastAsia="zh-CN"/>
        </w:rPr>
      </w:pPr>
      <w:r>
        <w:rPr>
          <w:rFonts w:hint="default" w:ascii="Times New Roman" w:hAnsi="Times New Roman" w:eastAsia="宋体" w:cs="Times New Roman"/>
          <w:color w:val="auto"/>
          <w:kern w:val="0"/>
          <w:highlight w:val="none"/>
          <w:lang w:eastAsia="zh-CN"/>
        </w:rPr>
        <w:t xml:space="preserve">    会议服务： 多功能厅1个（约300平方米），中小型会议室3个。</w:t>
      </w:r>
    </w:p>
    <w:p w14:paraId="4CDAC0C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eastAsia="zh-CN"/>
        </w:rPr>
      </w:pPr>
      <w:r>
        <w:rPr>
          <w:rFonts w:hint="default" w:ascii="Times New Roman" w:hAnsi="Times New Roman" w:eastAsia="宋体" w:cs="Times New Roman"/>
          <w:color w:val="auto"/>
          <w:kern w:val="0"/>
          <w:highlight w:val="none"/>
          <w:lang w:eastAsia="zh-CN"/>
        </w:rPr>
        <w:t xml:space="preserve">    配套服务： 生态停车场（停车位80个，含大巴车位）、商务中心、大堂、棋牌、健身房、小型KTV、洗浴中心等。</w:t>
      </w:r>
    </w:p>
    <w:p w14:paraId="59870361">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1.2 投资估算</w:t>
      </w:r>
    </w:p>
    <w:p w14:paraId="05607A6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项目总投资预计为10000万元人民币。其中：</w:t>
      </w:r>
    </w:p>
    <w:p w14:paraId="0E005DE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土地及建筑工程费用：3200万元；</w:t>
      </w:r>
    </w:p>
    <w:p w14:paraId="49A2A2B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装饰装修工程费用：2100万元；</w:t>
      </w:r>
    </w:p>
    <w:p w14:paraId="72EF791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设备购置及安装费用：1500万元；​</w:t>
      </w:r>
    </w:p>
    <w:p w14:paraId="4596AD4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室外及配套工程：350万元；</w:t>
      </w:r>
    </w:p>
    <w:p w14:paraId="3F16559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工程建设其他费用：150万元；</w:t>
      </w:r>
    </w:p>
    <w:p w14:paraId="6E47BBF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预备费（基本预备费）730万元（按前面四项总额10%提取），该项费用用于工程变更、零星工程及不可预见费用；</w:t>
      </w:r>
    </w:p>
    <w:p w14:paraId="29F7C58E">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流动资金1970万元。</w:t>
      </w:r>
    </w:p>
    <w:p w14:paraId="2B1FD624">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1.3 资金筹措</w:t>
      </w:r>
    </w:p>
    <w:p w14:paraId="0F7A4CA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本项目估算总投资为10,000万元人民币。资金来源如下：</w:t>
      </w:r>
    </w:p>
    <w:p w14:paraId="3ED2A2E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资本金（企业自筹）： 6,000万元，占总投资的50%。</w:t>
      </w:r>
    </w:p>
    <w:p w14:paraId="31BFDF3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银行贷款： 3,000万元，占总投资的40%，计划申请商业贷款。</w:t>
      </w:r>
    </w:p>
    <w:p w14:paraId="28E236E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争取政策资金：1,000万元，占总投资的10%，拟申请乡村振兴衔接资金等政策性支持。</w:t>
      </w:r>
    </w:p>
    <w:p w14:paraId="4E0B6F27">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1.4主要技术经济指标：</w:t>
      </w:r>
    </w:p>
    <w:p w14:paraId="5F17CEE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本项目总投资10000万元，经测算年均净利润1,300万元，目标年均总营业收入2500万元，其中客房部收入1000万元，餐饮宴会部收入1200万元，配套营收：300万元，包括棋牌、KTV、洗浴中心等。项目建成运营可新增就业岗位约150个。具体指标详见下表：</w:t>
      </w:r>
    </w:p>
    <w:p w14:paraId="510A56E7">
      <w:pPr>
        <w:pStyle w:val="6"/>
        <w:autoSpaceDE w:val="0"/>
        <w:autoSpaceDN w:val="0"/>
        <w:spacing w:line="360" w:lineRule="auto"/>
        <w:ind w:firstLine="482" w:firstLineChars="200"/>
        <w:jc w:val="center"/>
        <w:rPr>
          <w:rFonts w:hint="eastAsia" w:ascii="宋体" w:hAnsi="宋体" w:eastAsia="宋体" w:cs="宋体"/>
          <w:b/>
          <w:bCs/>
          <w:color w:val="auto"/>
          <w:kern w:val="0"/>
          <w:highlight w:val="none"/>
          <w:lang w:val="en-US" w:eastAsia="zh-CN"/>
        </w:rPr>
      </w:pPr>
      <w:r>
        <w:rPr>
          <w:rFonts w:hint="eastAsia" w:ascii="宋体" w:hAnsi="宋体" w:eastAsia="宋体" w:cs="宋体"/>
          <w:b/>
          <w:bCs/>
          <w:color w:val="auto"/>
          <w:kern w:val="0"/>
          <w:highlight w:val="none"/>
          <w:lang w:val="en-US" w:eastAsia="zh-CN"/>
        </w:rPr>
        <w:t>项目主要经济技术指标表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7E11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7B69CC40">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指标类别​</w:t>
            </w:r>
          </w:p>
        </w:tc>
        <w:tc>
          <w:tcPr>
            <w:tcW w:w="1704" w:type="dxa"/>
            <w:shd w:val="clear" w:color="auto" w:fill="auto"/>
            <w:vAlign w:val="center"/>
          </w:tcPr>
          <w:p w14:paraId="3F90264D">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指标名称​</w:t>
            </w:r>
          </w:p>
        </w:tc>
        <w:tc>
          <w:tcPr>
            <w:tcW w:w="1704" w:type="dxa"/>
            <w:shd w:val="clear" w:color="auto" w:fill="auto"/>
            <w:vAlign w:val="center"/>
          </w:tcPr>
          <w:p w14:paraId="32D53A12">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单位​</w:t>
            </w:r>
          </w:p>
        </w:tc>
        <w:tc>
          <w:tcPr>
            <w:tcW w:w="1705" w:type="dxa"/>
            <w:shd w:val="clear" w:color="auto" w:fill="auto"/>
            <w:vAlign w:val="center"/>
          </w:tcPr>
          <w:p w14:paraId="77795774">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结果​</w:t>
            </w:r>
          </w:p>
        </w:tc>
        <w:tc>
          <w:tcPr>
            <w:tcW w:w="1705" w:type="dxa"/>
            <w:shd w:val="clear" w:color="auto" w:fill="auto"/>
            <w:vAlign w:val="center"/>
          </w:tcPr>
          <w:p w14:paraId="5D74681F">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备注​</w:t>
            </w:r>
          </w:p>
        </w:tc>
      </w:tr>
      <w:tr w14:paraId="591C7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5B6FCEC1">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一、 建设规模​</w:t>
            </w:r>
          </w:p>
        </w:tc>
        <w:tc>
          <w:tcPr>
            <w:tcW w:w="1704" w:type="dxa"/>
            <w:shd w:val="clear" w:color="auto" w:fill="auto"/>
            <w:vAlign w:val="center"/>
          </w:tcPr>
          <w:p w14:paraId="74390213">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客房总数</w:t>
            </w:r>
          </w:p>
        </w:tc>
        <w:tc>
          <w:tcPr>
            <w:tcW w:w="1704" w:type="dxa"/>
            <w:shd w:val="clear" w:color="auto" w:fill="auto"/>
            <w:vAlign w:val="center"/>
          </w:tcPr>
          <w:p w14:paraId="43889269">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间</w:t>
            </w:r>
          </w:p>
        </w:tc>
        <w:tc>
          <w:tcPr>
            <w:tcW w:w="1705" w:type="dxa"/>
            <w:shd w:val="clear" w:color="auto" w:fill="auto"/>
            <w:vAlign w:val="center"/>
          </w:tcPr>
          <w:p w14:paraId="03F64CD5">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100</w:t>
            </w:r>
          </w:p>
        </w:tc>
        <w:tc>
          <w:tcPr>
            <w:tcW w:w="1705" w:type="dxa"/>
            <w:shd w:val="clear" w:color="auto" w:fill="auto"/>
            <w:vAlign w:val="center"/>
          </w:tcPr>
          <w:p w14:paraId="78C1193D">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含标准、商务、豪华套房</w:t>
            </w:r>
          </w:p>
        </w:tc>
      </w:tr>
      <w:tr w14:paraId="751B8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D30D8B9">
            <w:pPr>
              <w:spacing w:line="240" w:lineRule="auto"/>
              <w:rPr>
                <w:rFonts w:hint="default" w:ascii="Times New Roman" w:hAnsi="Times New Roman" w:eastAsia="宋体" w:cs="Times New Roman"/>
                <w:szCs w:val="21"/>
                <w:lang w:val="en-US" w:eastAsia="zh-CN"/>
              </w:rPr>
            </w:pPr>
          </w:p>
        </w:tc>
        <w:tc>
          <w:tcPr>
            <w:tcW w:w="1704" w:type="dxa"/>
            <w:shd w:val="clear" w:color="auto" w:fill="auto"/>
            <w:vAlign w:val="center"/>
          </w:tcPr>
          <w:p w14:paraId="64F009C2">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大型宴会厅容量</w:t>
            </w:r>
          </w:p>
        </w:tc>
        <w:tc>
          <w:tcPr>
            <w:tcW w:w="1704" w:type="dxa"/>
            <w:shd w:val="clear" w:color="auto" w:fill="auto"/>
            <w:vAlign w:val="center"/>
          </w:tcPr>
          <w:p w14:paraId="0D0526C6">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人</w:t>
            </w:r>
          </w:p>
        </w:tc>
        <w:tc>
          <w:tcPr>
            <w:tcW w:w="1705" w:type="dxa"/>
            <w:shd w:val="clear" w:color="auto" w:fill="auto"/>
            <w:vAlign w:val="center"/>
          </w:tcPr>
          <w:p w14:paraId="613BAF41">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600</w:t>
            </w:r>
          </w:p>
        </w:tc>
        <w:tc>
          <w:tcPr>
            <w:tcW w:w="1705" w:type="dxa"/>
            <w:shd w:val="clear" w:color="auto" w:fill="auto"/>
            <w:vAlign w:val="center"/>
          </w:tcPr>
          <w:p w14:paraId="4A860E7D">
            <w:pPr>
              <w:spacing w:line="240" w:lineRule="auto"/>
              <w:rPr>
                <w:rFonts w:hint="default" w:ascii="Times New Roman" w:hAnsi="Times New Roman" w:eastAsia="宋体" w:cs="Times New Roman"/>
                <w:szCs w:val="21"/>
                <w:lang w:val="en-US" w:eastAsia="zh-CN"/>
              </w:rPr>
            </w:pPr>
          </w:p>
        </w:tc>
      </w:tr>
      <w:tr w14:paraId="34299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4039098">
            <w:pPr>
              <w:spacing w:line="240" w:lineRule="auto"/>
              <w:rPr>
                <w:rFonts w:hint="default" w:ascii="Times New Roman" w:hAnsi="Times New Roman" w:eastAsia="宋体" w:cs="Times New Roman"/>
                <w:szCs w:val="21"/>
                <w:lang w:val="en-US" w:eastAsia="zh-CN"/>
              </w:rPr>
            </w:pPr>
          </w:p>
        </w:tc>
        <w:tc>
          <w:tcPr>
            <w:tcW w:w="1704" w:type="dxa"/>
            <w:shd w:val="clear" w:color="auto" w:fill="auto"/>
            <w:vAlign w:val="center"/>
          </w:tcPr>
          <w:p w14:paraId="0FC05025">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餐饮包厢</w:t>
            </w:r>
          </w:p>
        </w:tc>
        <w:tc>
          <w:tcPr>
            <w:tcW w:w="1704" w:type="dxa"/>
            <w:shd w:val="clear" w:color="auto" w:fill="auto"/>
            <w:vAlign w:val="center"/>
          </w:tcPr>
          <w:p w14:paraId="63180E97">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间</w:t>
            </w:r>
          </w:p>
        </w:tc>
        <w:tc>
          <w:tcPr>
            <w:tcW w:w="1705" w:type="dxa"/>
            <w:shd w:val="clear" w:color="auto" w:fill="auto"/>
            <w:vAlign w:val="center"/>
          </w:tcPr>
          <w:p w14:paraId="56431A85">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10-15</w:t>
            </w:r>
          </w:p>
        </w:tc>
        <w:tc>
          <w:tcPr>
            <w:tcW w:w="1705" w:type="dxa"/>
            <w:shd w:val="clear" w:color="auto" w:fill="auto"/>
            <w:vAlign w:val="center"/>
          </w:tcPr>
          <w:p w14:paraId="38A16A83">
            <w:pPr>
              <w:spacing w:line="240" w:lineRule="auto"/>
              <w:rPr>
                <w:rFonts w:hint="default" w:ascii="Times New Roman" w:hAnsi="Times New Roman" w:eastAsia="宋体" w:cs="Times New Roman"/>
                <w:szCs w:val="21"/>
                <w:lang w:val="en-US" w:eastAsia="zh-CN"/>
              </w:rPr>
            </w:pPr>
          </w:p>
        </w:tc>
      </w:tr>
      <w:tr w14:paraId="51670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9BFEAFF">
            <w:pPr>
              <w:spacing w:line="240" w:lineRule="auto"/>
              <w:rPr>
                <w:rFonts w:hint="default" w:ascii="Times New Roman" w:hAnsi="Times New Roman" w:eastAsia="宋体" w:cs="Times New Roman"/>
                <w:szCs w:val="21"/>
                <w:lang w:val="en-US" w:eastAsia="zh-CN"/>
              </w:rPr>
            </w:pPr>
          </w:p>
        </w:tc>
        <w:tc>
          <w:tcPr>
            <w:tcW w:w="1704" w:type="dxa"/>
            <w:shd w:val="clear" w:color="auto" w:fill="auto"/>
            <w:vAlign w:val="center"/>
          </w:tcPr>
          <w:p w14:paraId="1D114973">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总建筑面积</w:t>
            </w:r>
          </w:p>
        </w:tc>
        <w:tc>
          <w:tcPr>
            <w:tcW w:w="1704" w:type="dxa"/>
            <w:shd w:val="clear" w:color="auto" w:fill="auto"/>
            <w:vAlign w:val="center"/>
          </w:tcPr>
          <w:p w14:paraId="684A9E0C">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平方米</w:t>
            </w:r>
          </w:p>
        </w:tc>
        <w:tc>
          <w:tcPr>
            <w:tcW w:w="1705" w:type="dxa"/>
            <w:shd w:val="clear" w:color="auto" w:fill="auto"/>
            <w:vAlign w:val="center"/>
          </w:tcPr>
          <w:p w14:paraId="2771800E">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14,000</w:t>
            </w:r>
          </w:p>
        </w:tc>
        <w:tc>
          <w:tcPr>
            <w:tcW w:w="1705" w:type="dxa"/>
            <w:shd w:val="clear" w:color="auto" w:fill="auto"/>
            <w:vAlign w:val="center"/>
          </w:tcPr>
          <w:p w14:paraId="210FA85D">
            <w:pPr>
              <w:spacing w:line="240" w:lineRule="auto"/>
              <w:rPr>
                <w:rFonts w:hint="default" w:ascii="Times New Roman" w:hAnsi="Times New Roman" w:eastAsia="宋体" w:cs="Times New Roman"/>
                <w:szCs w:val="21"/>
                <w:lang w:val="en-US" w:eastAsia="zh-CN"/>
              </w:rPr>
            </w:pPr>
          </w:p>
        </w:tc>
      </w:tr>
      <w:tr w14:paraId="1933E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EA4D793">
            <w:pPr>
              <w:spacing w:line="240" w:lineRule="auto"/>
              <w:rPr>
                <w:rFonts w:hint="default" w:ascii="Times New Roman" w:hAnsi="Times New Roman" w:eastAsia="宋体" w:cs="Times New Roman"/>
                <w:szCs w:val="21"/>
                <w:lang w:val="en-US" w:eastAsia="zh-CN"/>
              </w:rPr>
            </w:pPr>
          </w:p>
        </w:tc>
        <w:tc>
          <w:tcPr>
            <w:tcW w:w="1704" w:type="dxa"/>
            <w:shd w:val="clear" w:color="auto" w:fill="auto"/>
            <w:vAlign w:val="center"/>
          </w:tcPr>
          <w:p w14:paraId="69659933">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停车位</w:t>
            </w:r>
          </w:p>
        </w:tc>
        <w:tc>
          <w:tcPr>
            <w:tcW w:w="1704" w:type="dxa"/>
            <w:shd w:val="clear" w:color="auto" w:fill="auto"/>
            <w:vAlign w:val="center"/>
          </w:tcPr>
          <w:p w14:paraId="39794E9C">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个</w:t>
            </w:r>
          </w:p>
        </w:tc>
        <w:tc>
          <w:tcPr>
            <w:tcW w:w="1705" w:type="dxa"/>
            <w:shd w:val="clear" w:color="auto" w:fill="auto"/>
            <w:vAlign w:val="center"/>
          </w:tcPr>
          <w:p w14:paraId="6FBC90F0">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80</w:t>
            </w:r>
          </w:p>
        </w:tc>
        <w:tc>
          <w:tcPr>
            <w:tcW w:w="1705" w:type="dxa"/>
            <w:shd w:val="clear" w:color="auto" w:fill="auto"/>
            <w:vAlign w:val="center"/>
          </w:tcPr>
          <w:p w14:paraId="617EB3CE">
            <w:pPr>
              <w:spacing w:line="240" w:lineRule="auto"/>
              <w:rPr>
                <w:rFonts w:hint="default" w:ascii="Times New Roman" w:hAnsi="Times New Roman" w:eastAsia="宋体" w:cs="Times New Roman"/>
                <w:szCs w:val="21"/>
                <w:lang w:val="en-US" w:eastAsia="zh-CN"/>
              </w:rPr>
            </w:pPr>
          </w:p>
        </w:tc>
      </w:tr>
      <w:tr w14:paraId="6BA1C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0F0C4ABD">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二、 投资构成​</w:t>
            </w:r>
          </w:p>
        </w:tc>
        <w:tc>
          <w:tcPr>
            <w:tcW w:w="1704" w:type="dxa"/>
            <w:shd w:val="clear" w:color="auto" w:fill="auto"/>
            <w:vAlign w:val="center"/>
          </w:tcPr>
          <w:p w14:paraId="31BED6C7">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项目总投资 (TI)​</w:t>
            </w:r>
          </w:p>
        </w:tc>
        <w:tc>
          <w:tcPr>
            <w:tcW w:w="1704" w:type="dxa"/>
            <w:shd w:val="clear" w:color="auto" w:fill="auto"/>
            <w:vAlign w:val="center"/>
          </w:tcPr>
          <w:p w14:paraId="34FD90E3">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万元​</w:t>
            </w:r>
          </w:p>
        </w:tc>
        <w:tc>
          <w:tcPr>
            <w:tcW w:w="1705" w:type="dxa"/>
            <w:shd w:val="clear" w:color="auto" w:fill="auto"/>
            <w:vAlign w:val="center"/>
          </w:tcPr>
          <w:p w14:paraId="06298D0B">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10,000​</w:t>
            </w:r>
          </w:p>
        </w:tc>
        <w:tc>
          <w:tcPr>
            <w:tcW w:w="1705" w:type="dxa"/>
            <w:shd w:val="clear" w:color="auto" w:fill="auto"/>
            <w:vAlign w:val="center"/>
          </w:tcPr>
          <w:p w14:paraId="19923E13">
            <w:pPr>
              <w:spacing w:line="240" w:lineRule="auto"/>
              <w:rPr>
                <w:rFonts w:hint="default" w:ascii="Times New Roman" w:hAnsi="Times New Roman" w:eastAsia="宋体" w:cs="Times New Roman"/>
                <w:szCs w:val="21"/>
                <w:lang w:val="en-US" w:eastAsia="zh-CN"/>
              </w:rPr>
            </w:pPr>
          </w:p>
        </w:tc>
      </w:tr>
      <w:tr w14:paraId="70FF7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57F9ADEC">
            <w:pPr>
              <w:spacing w:line="240" w:lineRule="auto"/>
              <w:rPr>
                <w:rFonts w:hint="default" w:ascii="Times New Roman" w:hAnsi="Times New Roman" w:eastAsia="宋体" w:cs="Times New Roman"/>
                <w:szCs w:val="21"/>
                <w:lang w:val="en-US" w:eastAsia="zh-CN"/>
              </w:rPr>
            </w:pPr>
          </w:p>
        </w:tc>
        <w:tc>
          <w:tcPr>
            <w:tcW w:w="1704" w:type="dxa"/>
            <w:shd w:val="clear" w:color="auto" w:fill="auto"/>
            <w:vAlign w:val="center"/>
          </w:tcPr>
          <w:p w14:paraId="2E838704">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其中：建设投资</w:t>
            </w:r>
          </w:p>
        </w:tc>
        <w:tc>
          <w:tcPr>
            <w:tcW w:w="1704" w:type="dxa"/>
            <w:shd w:val="clear" w:color="auto" w:fill="auto"/>
            <w:vAlign w:val="center"/>
          </w:tcPr>
          <w:p w14:paraId="5437F048">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万元</w:t>
            </w:r>
          </w:p>
        </w:tc>
        <w:tc>
          <w:tcPr>
            <w:tcW w:w="1705" w:type="dxa"/>
            <w:shd w:val="clear" w:color="auto" w:fill="auto"/>
            <w:vAlign w:val="center"/>
          </w:tcPr>
          <w:p w14:paraId="5AF715E4">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8,030</w:t>
            </w:r>
          </w:p>
        </w:tc>
        <w:tc>
          <w:tcPr>
            <w:tcW w:w="1705" w:type="dxa"/>
            <w:shd w:val="clear" w:color="auto" w:fill="auto"/>
            <w:vAlign w:val="center"/>
          </w:tcPr>
          <w:p w14:paraId="02608137">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土地、建安、装修、设备、室外配套、其他费用、预备费</w:t>
            </w:r>
          </w:p>
        </w:tc>
      </w:tr>
      <w:tr w14:paraId="3EDC3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6DCE2E74">
            <w:pPr>
              <w:spacing w:line="240" w:lineRule="auto"/>
              <w:rPr>
                <w:rFonts w:hint="default" w:ascii="Times New Roman" w:hAnsi="Times New Roman" w:eastAsia="宋体" w:cs="Times New Roman"/>
                <w:szCs w:val="21"/>
                <w:lang w:val="en-US" w:eastAsia="zh-CN"/>
              </w:rPr>
            </w:pPr>
          </w:p>
        </w:tc>
        <w:tc>
          <w:tcPr>
            <w:tcW w:w="1704" w:type="dxa"/>
            <w:shd w:val="clear" w:color="auto" w:fill="auto"/>
            <w:vAlign w:val="center"/>
          </w:tcPr>
          <w:p w14:paraId="79B694B9">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流动资金</w:t>
            </w:r>
          </w:p>
        </w:tc>
        <w:tc>
          <w:tcPr>
            <w:tcW w:w="1704" w:type="dxa"/>
            <w:shd w:val="clear" w:color="auto" w:fill="auto"/>
            <w:vAlign w:val="center"/>
          </w:tcPr>
          <w:p w14:paraId="23565C3C">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万元</w:t>
            </w:r>
          </w:p>
        </w:tc>
        <w:tc>
          <w:tcPr>
            <w:tcW w:w="1705" w:type="dxa"/>
            <w:shd w:val="clear" w:color="auto" w:fill="auto"/>
            <w:vAlign w:val="center"/>
          </w:tcPr>
          <w:p w14:paraId="2718E77E">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1,970</w:t>
            </w:r>
          </w:p>
        </w:tc>
        <w:tc>
          <w:tcPr>
            <w:tcW w:w="1705" w:type="dxa"/>
            <w:shd w:val="clear" w:color="auto" w:fill="auto"/>
            <w:vAlign w:val="center"/>
          </w:tcPr>
          <w:p w14:paraId="2A4A3A70">
            <w:pPr>
              <w:spacing w:line="240" w:lineRule="auto"/>
              <w:rPr>
                <w:rFonts w:hint="default" w:ascii="Times New Roman" w:hAnsi="Times New Roman" w:eastAsia="宋体" w:cs="Times New Roman"/>
                <w:szCs w:val="21"/>
                <w:lang w:val="en-US" w:eastAsia="zh-CN"/>
              </w:rPr>
            </w:pPr>
          </w:p>
        </w:tc>
      </w:tr>
      <w:tr w14:paraId="150C7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49DC3B8A">
            <w:pPr>
              <w:spacing w:line="240" w:lineRule="auto"/>
              <w:rPr>
                <w:rFonts w:hint="default" w:ascii="Times New Roman" w:hAnsi="Times New Roman" w:eastAsia="宋体" w:cs="Times New Roman"/>
                <w:szCs w:val="21"/>
                <w:lang w:val="en-US" w:eastAsia="zh-CN"/>
              </w:rPr>
            </w:pPr>
          </w:p>
        </w:tc>
        <w:tc>
          <w:tcPr>
            <w:tcW w:w="1704" w:type="dxa"/>
            <w:shd w:val="clear" w:color="auto" w:fill="auto"/>
            <w:vAlign w:val="center"/>
          </w:tcPr>
          <w:p w14:paraId="704F6C8E">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单间客房投资</w:t>
            </w:r>
          </w:p>
        </w:tc>
        <w:tc>
          <w:tcPr>
            <w:tcW w:w="1704" w:type="dxa"/>
            <w:shd w:val="clear" w:color="auto" w:fill="auto"/>
            <w:vAlign w:val="center"/>
          </w:tcPr>
          <w:p w14:paraId="05A7D901">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万元/间</w:t>
            </w:r>
          </w:p>
        </w:tc>
        <w:tc>
          <w:tcPr>
            <w:tcW w:w="1705" w:type="dxa"/>
            <w:shd w:val="clear" w:color="auto" w:fill="auto"/>
            <w:vAlign w:val="center"/>
          </w:tcPr>
          <w:p w14:paraId="647E8FA5">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100.0</w:t>
            </w:r>
          </w:p>
        </w:tc>
        <w:tc>
          <w:tcPr>
            <w:tcW w:w="1705" w:type="dxa"/>
            <w:shd w:val="clear" w:color="auto" w:fill="auto"/>
            <w:vAlign w:val="center"/>
          </w:tcPr>
          <w:p w14:paraId="415B9383">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 </w:t>
            </w:r>
          </w:p>
        </w:tc>
      </w:tr>
      <w:tr w14:paraId="25408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712879CE">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三、 资金筹措​</w:t>
            </w:r>
          </w:p>
        </w:tc>
        <w:tc>
          <w:tcPr>
            <w:tcW w:w="1704" w:type="dxa"/>
            <w:shd w:val="clear" w:color="auto" w:fill="auto"/>
            <w:vAlign w:val="center"/>
          </w:tcPr>
          <w:p w14:paraId="15111870">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资本金（自筹）</w:t>
            </w:r>
          </w:p>
        </w:tc>
        <w:tc>
          <w:tcPr>
            <w:tcW w:w="1704" w:type="dxa"/>
            <w:shd w:val="clear" w:color="auto" w:fill="auto"/>
            <w:vAlign w:val="center"/>
          </w:tcPr>
          <w:p w14:paraId="5B32F7DE">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万元</w:t>
            </w:r>
          </w:p>
        </w:tc>
        <w:tc>
          <w:tcPr>
            <w:tcW w:w="1705" w:type="dxa"/>
            <w:shd w:val="clear" w:color="auto" w:fill="auto"/>
            <w:vAlign w:val="center"/>
          </w:tcPr>
          <w:p w14:paraId="20257BE2">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6,000</w:t>
            </w:r>
          </w:p>
        </w:tc>
        <w:tc>
          <w:tcPr>
            <w:tcW w:w="1705" w:type="dxa"/>
            <w:shd w:val="clear" w:color="auto" w:fill="auto"/>
            <w:vAlign w:val="center"/>
          </w:tcPr>
          <w:p w14:paraId="2B77B277">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占比 60%</w:t>
            </w:r>
          </w:p>
        </w:tc>
      </w:tr>
      <w:tr w14:paraId="61A0B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0C8B5FA6">
            <w:pPr>
              <w:spacing w:line="240" w:lineRule="auto"/>
              <w:rPr>
                <w:rFonts w:hint="default" w:ascii="Times New Roman" w:hAnsi="Times New Roman" w:eastAsia="宋体" w:cs="Times New Roman"/>
                <w:szCs w:val="21"/>
                <w:lang w:val="en-US" w:eastAsia="zh-CN"/>
              </w:rPr>
            </w:pPr>
          </w:p>
        </w:tc>
        <w:tc>
          <w:tcPr>
            <w:tcW w:w="1704" w:type="dxa"/>
            <w:shd w:val="clear" w:color="auto" w:fill="auto"/>
            <w:vAlign w:val="center"/>
          </w:tcPr>
          <w:p w14:paraId="18224CC0">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银行贷款</w:t>
            </w:r>
          </w:p>
        </w:tc>
        <w:tc>
          <w:tcPr>
            <w:tcW w:w="1704" w:type="dxa"/>
            <w:shd w:val="clear" w:color="auto" w:fill="auto"/>
            <w:vAlign w:val="center"/>
          </w:tcPr>
          <w:p w14:paraId="0286C669">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万元</w:t>
            </w:r>
          </w:p>
        </w:tc>
        <w:tc>
          <w:tcPr>
            <w:tcW w:w="1705" w:type="dxa"/>
            <w:shd w:val="clear" w:color="auto" w:fill="auto"/>
            <w:vAlign w:val="center"/>
          </w:tcPr>
          <w:p w14:paraId="3F7B08D9">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3,000</w:t>
            </w:r>
          </w:p>
        </w:tc>
        <w:tc>
          <w:tcPr>
            <w:tcW w:w="1705" w:type="dxa"/>
            <w:shd w:val="clear" w:color="auto" w:fill="auto"/>
            <w:vAlign w:val="center"/>
          </w:tcPr>
          <w:p w14:paraId="487BA02A">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占比 30%</w:t>
            </w:r>
          </w:p>
        </w:tc>
      </w:tr>
      <w:tr w14:paraId="4EFC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50BA6BF8">
            <w:pPr>
              <w:spacing w:line="240" w:lineRule="auto"/>
              <w:rPr>
                <w:rFonts w:hint="default" w:ascii="Times New Roman" w:hAnsi="Times New Roman" w:eastAsia="宋体" w:cs="Times New Roman"/>
                <w:szCs w:val="21"/>
                <w:lang w:val="en-US" w:eastAsia="zh-CN"/>
              </w:rPr>
            </w:pPr>
          </w:p>
        </w:tc>
        <w:tc>
          <w:tcPr>
            <w:tcW w:w="1704" w:type="dxa"/>
            <w:shd w:val="clear" w:color="auto" w:fill="auto"/>
            <w:vAlign w:val="center"/>
          </w:tcPr>
          <w:p w14:paraId="47AD6552">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政策资金</w:t>
            </w:r>
          </w:p>
        </w:tc>
        <w:tc>
          <w:tcPr>
            <w:tcW w:w="1704" w:type="dxa"/>
            <w:shd w:val="clear" w:color="auto" w:fill="auto"/>
            <w:vAlign w:val="center"/>
          </w:tcPr>
          <w:p w14:paraId="238557F9">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万元</w:t>
            </w:r>
          </w:p>
        </w:tc>
        <w:tc>
          <w:tcPr>
            <w:tcW w:w="1705" w:type="dxa"/>
            <w:shd w:val="clear" w:color="auto" w:fill="auto"/>
            <w:vAlign w:val="center"/>
          </w:tcPr>
          <w:p w14:paraId="2759AA1A">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1,000</w:t>
            </w:r>
          </w:p>
        </w:tc>
        <w:tc>
          <w:tcPr>
            <w:tcW w:w="1705" w:type="dxa"/>
            <w:shd w:val="clear" w:color="auto" w:fill="auto"/>
            <w:vAlign w:val="center"/>
          </w:tcPr>
          <w:p w14:paraId="06E4F96D">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占比 10%</w:t>
            </w:r>
          </w:p>
        </w:tc>
      </w:tr>
      <w:tr w14:paraId="3B69D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5C5EA183">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四、 经营预测​</w:t>
            </w:r>
          </w:p>
        </w:tc>
        <w:tc>
          <w:tcPr>
            <w:tcW w:w="1704" w:type="dxa"/>
            <w:shd w:val="clear" w:color="auto" w:fill="auto"/>
            <w:vAlign w:val="center"/>
          </w:tcPr>
          <w:p w14:paraId="4B3E32F7">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目标年均总营业收入 (R)​</w:t>
            </w:r>
          </w:p>
        </w:tc>
        <w:tc>
          <w:tcPr>
            <w:tcW w:w="1704" w:type="dxa"/>
            <w:shd w:val="clear" w:color="auto" w:fill="auto"/>
            <w:vAlign w:val="center"/>
          </w:tcPr>
          <w:p w14:paraId="69DC41B3">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万元​</w:t>
            </w:r>
          </w:p>
        </w:tc>
        <w:tc>
          <w:tcPr>
            <w:tcW w:w="1705" w:type="dxa"/>
            <w:shd w:val="clear" w:color="auto" w:fill="auto"/>
            <w:vAlign w:val="center"/>
          </w:tcPr>
          <w:p w14:paraId="7663A20E">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2,500​</w:t>
            </w:r>
          </w:p>
        </w:tc>
        <w:tc>
          <w:tcPr>
            <w:tcW w:w="1705" w:type="dxa"/>
            <w:shd w:val="clear" w:color="auto" w:fill="auto"/>
            <w:vAlign w:val="center"/>
          </w:tcPr>
          <w:p w14:paraId="22280DB7">
            <w:pPr>
              <w:spacing w:line="240" w:lineRule="auto"/>
              <w:rPr>
                <w:rFonts w:hint="default" w:ascii="Times New Roman" w:hAnsi="Times New Roman" w:eastAsia="宋体" w:cs="Times New Roman"/>
                <w:szCs w:val="21"/>
                <w:lang w:val="en-US" w:eastAsia="zh-CN"/>
              </w:rPr>
            </w:pPr>
          </w:p>
        </w:tc>
      </w:tr>
      <w:tr w14:paraId="6B69C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6D39E555">
            <w:pPr>
              <w:spacing w:line="240" w:lineRule="auto"/>
              <w:rPr>
                <w:rFonts w:hint="default" w:ascii="Times New Roman" w:hAnsi="Times New Roman" w:eastAsia="宋体" w:cs="Times New Roman"/>
                <w:szCs w:val="21"/>
                <w:lang w:val="en-US" w:eastAsia="zh-CN"/>
              </w:rPr>
            </w:pPr>
          </w:p>
        </w:tc>
        <w:tc>
          <w:tcPr>
            <w:tcW w:w="1704" w:type="dxa"/>
            <w:shd w:val="clear" w:color="auto" w:fill="auto"/>
            <w:vAlign w:val="center"/>
          </w:tcPr>
          <w:p w14:paraId="6E15031A">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 客房部收入</w:t>
            </w:r>
          </w:p>
        </w:tc>
        <w:tc>
          <w:tcPr>
            <w:tcW w:w="1704" w:type="dxa"/>
            <w:shd w:val="clear" w:color="auto" w:fill="auto"/>
            <w:vAlign w:val="center"/>
          </w:tcPr>
          <w:p w14:paraId="4DCA6EA8">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万元</w:t>
            </w:r>
          </w:p>
        </w:tc>
        <w:tc>
          <w:tcPr>
            <w:tcW w:w="1705" w:type="dxa"/>
            <w:shd w:val="clear" w:color="auto" w:fill="auto"/>
            <w:vAlign w:val="center"/>
          </w:tcPr>
          <w:p w14:paraId="04326F2E">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1,000</w:t>
            </w:r>
          </w:p>
        </w:tc>
        <w:tc>
          <w:tcPr>
            <w:tcW w:w="1705" w:type="dxa"/>
            <w:shd w:val="clear" w:color="auto" w:fill="auto"/>
            <w:vAlign w:val="center"/>
          </w:tcPr>
          <w:p w14:paraId="3B05CDA9">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占比 40%</w:t>
            </w:r>
          </w:p>
        </w:tc>
      </w:tr>
      <w:tr w14:paraId="692AF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2682BDCD">
            <w:pPr>
              <w:spacing w:line="240" w:lineRule="auto"/>
              <w:rPr>
                <w:rFonts w:hint="default" w:ascii="Times New Roman" w:hAnsi="Times New Roman" w:eastAsia="宋体" w:cs="Times New Roman"/>
                <w:szCs w:val="21"/>
                <w:lang w:val="en-US" w:eastAsia="zh-CN"/>
              </w:rPr>
            </w:pPr>
          </w:p>
        </w:tc>
        <w:tc>
          <w:tcPr>
            <w:tcW w:w="1704" w:type="dxa"/>
            <w:shd w:val="clear" w:color="auto" w:fill="auto"/>
            <w:vAlign w:val="center"/>
          </w:tcPr>
          <w:p w14:paraId="7CB508E2">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 餐饮宴会部收入</w:t>
            </w:r>
          </w:p>
        </w:tc>
        <w:tc>
          <w:tcPr>
            <w:tcW w:w="1704" w:type="dxa"/>
            <w:shd w:val="clear" w:color="auto" w:fill="auto"/>
            <w:vAlign w:val="center"/>
          </w:tcPr>
          <w:p w14:paraId="42C5CEDD">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万元</w:t>
            </w:r>
          </w:p>
        </w:tc>
        <w:tc>
          <w:tcPr>
            <w:tcW w:w="1705" w:type="dxa"/>
            <w:shd w:val="clear" w:color="auto" w:fill="auto"/>
            <w:vAlign w:val="center"/>
          </w:tcPr>
          <w:p w14:paraId="1EE9ACEF">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1,200</w:t>
            </w:r>
          </w:p>
        </w:tc>
        <w:tc>
          <w:tcPr>
            <w:tcW w:w="1705" w:type="dxa"/>
            <w:shd w:val="clear" w:color="auto" w:fill="auto"/>
            <w:vAlign w:val="center"/>
          </w:tcPr>
          <w:p w14:paraId="2254726A">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占比 48%</w:t>
            </w:r>
          </w:p>
        </w:tc>
      </w:tr>
      <w:tr w14:paraId="1B361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1F0BFD4E">
            <w:pPr>
              <w:spacing w:line="240" w:lineRule="auto"/>
              <w:rPr>
                <w:rFonts w:hint="default" w:ascii="Times New Roman" w:hAnsi="Times New Roman" w:eastAsia="宋体" w:cs="Times New Roman"/>
                <w:szCs w:val="21"/>
                <w:lang w:val="en-US" w:eastAsia="zh-CN"/>
              </w:rPr>
            </w:pPr>
          </w:p>
        </w:tc>
        <w:tc>
          <w:tcPr>
            <w:tcW w:w="1704" w:type="dxa"/>
            <w:shd w:val="clear" w:color="auto" w:fill="auto"/>
            <w:vAlign w:val="center"/>
          </w:tcPr>
          <w:p w14:paraId="4DA06EE6">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3. 配套及其他收入</w:t>
            </w:r>
          </w:p>
        </w:tc>
        <w:tc>
          <w:tcPr>
            <w:tcW w:w="1704" w:type="dxa"/>
            <w:shd w:val="clear" w:color="auto" w:fill="auto"/>
            <w:vAlign w:val="center"/>
          </w:tcPr>
          <w:p w14:paraId="6B96A837">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万元</w:t>
            </w:r>
          </w:p>
        </w:tc>
        <w:tc>
          <w:tcPr>
            <w:tcW w:w="1705" w:type="dxa"/>
            <w:shd w:val="clear" w:color="auto" w:fill="auto"/>
            <w:vAlign w:val="center"/>
          </w:tcPr>
          <w:p w14:paraId="109B9FB2">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300</w:t>
            </w:r>
          </w:p>
        </w:tc>
        <w:tc>
          <w:tcPr>
            <w:tcW w:w="1705" w:type="dxa"/>
            <w:shd w:val="clear" w:color="auto" w:fill="auto"/>
            <w:vAlign w:val="center"/>
          </w:tcPr>
          <w:p w14:paraId="5166D306">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占比 12% (棋牌、KTV、洗浴等)</w:t>
            </w:r>
          </w:p>
        </w:tc>
      </w:tr>
      <w:tr w14:paraId="1372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321D972A">
            <w:pPr>
              <w:spacing w:line="240" w:lineRule="auto"/>
              <w:rPr>
                <w:rFonts w:hint="default" w:ascii="Times New Roman" w:hAnsi="Times New Roman" w:eastAsia="宋体" w:cs="Times New Roman"/>
                <w:szCs w:val="21"/>
                <w:lang w:val="en-US" w:eastAsia="zh-CN"/>
              </w:rPr>
            </w:pPr>
          </w:p>
        </w:tc>
        <w:tc>
          <w:tcPr>
            <w:tcW w:w="1704" w:type="dxa"/>
            <w:shd w:val="clear" w:color="auto" w:fill="auto"/>
            <w:vAlign w:val="center"/>
          </w:tcPr>
          <w:p w14:paraId="3BDC7111">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预测年均净利润 (NP)​</w:t>
            </w:r>
          </w:p>
        </w:tc>
        <w:tc>
          <w:tcPr>
            <w:tcW w:w="1704" w:type="dxa"/>
            <w:shd w:val="clear" w:color="auto" w:fill="auto"/>
            <w:vAlign w:val="center"/>
          </w:tcPr>
          <w:p w14:paraId="535EA0B6">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万元​</w:t>
            </w:r>
          </w:p>
        </w:tc>
        <w:tc>
          <w:tcPr>
            <w:tcW w:w="1705" w:type="dxa"/>
            <w:shd w:val="clear" w:color="auto" w:fill="auto"/>
            <w:vAlign w:val="center"/>
          </w:tcPr>
          <w:p w14:paraId="633FC8BC">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1,300​</w:t>
            </w:r>
          </w:p>
        </w:tc>
        <w:tc>
          <w:tcPr>
            <w:tcW w:w="1705" w:type="dxa"/>
            <w:shd w:val="clear" w:color="auto" w:fill="auto"/>
            <w:vAlign w:val="center"/>
          </w:tcPr>
          <w:p w14:paraId="629A24C5">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扣除成本、费用、税费</w:t>
            </w:r>
          </w:p>
        </w:tc>
      </w:tr>
      <w:tr w14:paraId="31F9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596EA3B5">
            <w:pPr>
              <w:spacing w:line="240" w:lineRule="auto"/>
              <w:rPr>
                <w:rFonts w:hint="default" w:ascii="Times New Roman" w:hAnsi="Times New Roman" w:eastAsia="宋体" w:cs="Times New Roman"/>
                <w:szCs w:val="21"/>
                <w:lang w:val="en-US" w:eastAsia="zh-CN"/>
              </w:rPr>
            </w:pPr>
          </w:p>
        </w:tc>
        <w:tc>
          <w:tcPr>
            <w:tcW w:w="1704" w:type="dxa"/>
            <w:shd w:val="clear" w:color="auto" w:fill="auto"/>
            <w:vAlign w:val="center"/>
          </w:tcPr>
          <w:p w14:paraId="59A2FB97">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年净利润率</w:t>
            </w:r>
          </w:p>
        </w:tc>
        <w:tc>
          <w:tcPr>
            <w:tcW w:w="1704" w:type="dxa"/>
            <w:shd w:val="clear" w:color="auto" w:fill="auto"/>
            <w:vAlign w:val="center"/>
          </w:tcPr>
          <w:p w14:paraId="56E226C8">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705" w:type="dxa"/>
            <w:shd w:val="clear" w:color="auto" w:fill="auto"/>
            <w:vAlign w:val="center"/>
          </w:tcPr>
          <w:p w14:paraId="1269A967">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52.0%</w:t>
            </w:r>
          </w:p>
        </w:tc>
        <w:tc>
          <w:tcPr>
            <w:tcW w:w="1705" w:type="dxa"/>
            <w:shd w:val="clear" w:color="auto" w:fill="auto"/>
            <w:vAlign w:val="center"/>
          </w:tcPr>
          <w:p w14:paraId="3E61F024">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净利润 / 总营业收入</w:t>
            </w:r>
          </w:p>
        </w:tc>
      </w:tr>
      <w:tr w14:paraId="7673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2A7F4530">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五、 财务评价核心指标​</w:t>
            </w:r>
          </w:p>
        </w:tc>
        <w:tc>
          <w:tcPr>
            <w:tcW w:w="1704" w:type="dxa"/>
            <w:shd w:val="clear" w:color="auto" w:fill="auto"/>
            <w:vAlign w:val="center"/>
          </w:tcPr>
          <w:p w14:paraId="23C0E06A">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静态投资回收期 (Pt)​</w:t>
            </w:r>
          </w:p>
        </w:tc>
        <w:tc>
          <w:tcPr>
            <w:tcW w:w="1704" w:type="dxa"/>
            <w:shd w:val="clear" w:color="auto" w:fill="auto"/>
            <w:vAlign w:val="center"/>
          </w:tcPr>
          <w:p w14:paraId="3F6D59C0">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年​</w:t>
            </w:r>
          </w:p>
        </w:tc>
        <w:tc>
          <w:tcPr>
            <w:tcW w:w="1705" w:type="dxa"/>
            <w:shd w:val="clear" w:color="auto" w:fill="auto"/>
            <w:vAlign w:val="center"/>
          </w:tcPr>
          <w:p w14:paraId="0CE51471">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7.7​</w:t>
            </w:r>
          </w:p>
        </w:tc>
        <w:tc>
          <w:tcPr>
            <w:tcW w:w="1705" w:type="dxa"/>
            <w:shd w:val="clear" w:color="auto" w:fill="auto"/>
            <w:vAlign w:val="center"/>
          </w:tcPr>
          <w:p w14:paraId="2A58D160">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 / NP = 10,000 / 1,300​</w:t>
            </w:r>
          </w:p>
        </w:tc>
      </w:tr>
      <w:tr w14:paraId="494EA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2E63863D">
            <w:pPr>
              <w:spacing w:line="240" w:lineRule="auto"/>
              <w:rPr>
                <w:rFonts w:hint="default" w:ascii="Times New Roman" w:hAnsi="Times New Roman" w:eastAsia="宋体" w:cs="Times New Roman"/>
                <w:szCs w:val="21"/>
                <w:lang w:val="en-US" w:eastAsia="zh-CN"/>
              </w:rPr>
            </w:pPr>
          </w:p>
        </w:tc>
        <w:tc>
          <w:tcPr>
            <w:tcW w:w="1704" w:type="dxa"/>
            <w:shd w:val="clear" w:color="auto" w:fill="auto"/>
            <w:vAlign w:val="center"/>
          </w:tcPr>
          <w:p w14:paraId="3F0E32C2">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财务内部收益率 (FIRR)​</w:t>
            </w:r>
          </w:p>
        </w:tc>
        <w:tc>
          <w:tcPr>
            <w:tcW w:w="1704" w:type="dxa"/>
            <w:shd w:val="clear" w:color="auto" w:fill="auto"/>
            <w:vAlign w:val="center"/>
          </w:tcPr>
          <w:p w14:paraId="47230991">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705" w:type="dxa"/>
            <w:shd w:val="clear" w:color="auto" w:fill="auto"/>
            <w:vAlign w:val="center"/>
          </w:tcPr>
          <w:p w14:paraId="6A7E7084">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约 12% - 14%​</w:t>
            </w:r>
          </w:p>
        </w:tc>
        <w:tc>
          <w:tcPr>
            <w:tcW w:w="1705" w:type="dxa"/>
            <w:shd w:val="clear" w:color="auto" w:fill="auto"/>
            <w:vAlign w:val="center"/>
          </w:tcPr>
          <w:p w14:paraId="393DA53E">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估算值。基于年净现金流1,300万，按10年运营期估算。</w:t>
            </w:r>
          </w:p>
        </w:tc>
      </w:tr>
      <w:tr w14:paraId="6C189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149E93B2">
            <w:pPr>
              <w:spacing w:line="240" w:lineRule="auto"/>
              <w:rPr>
                <w:rFonts w:hint="default" w:ascii="Times New Roman" w:hAnsi="Times New Roman" w:eastAsia="宋体" w:cs="Times New Roman"/>
                <w:szCs w:val="21"/>
                <w:lang w:val="en-US" w:eastAsia="zh-CN"/>
              </w:rPr>
            </w:pPr>
          </w:p>
        </w:tc>
        <w:tc>
          <w:tcPr>
            <w:tcW w:w="1704" w:type="dxa"/>
            <w:shd w:val="clear" w:color="auto" w:fill="auto"/>
            <w:vAlign w:val="center"/>
          </w:tcPr>
          <w:p w14:paraId="522BEF28">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总投资收益率 (ROI)</w:t>
            </w:r>
          </w:p>
        </w:tc>
        <w:tc>
          <w:tcPr>
            <w:tcW w:w="1704" w:type="dxa"/>
            <w:shd w:val="clear" w:color="auto" w:fill="auto"/>
            <w:vAlign w:val="center"/>
          </w:tcPr>
          <w:p w14:paraId="1A9185F7">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705" w:type="dxa"/>
            <w:shd w:val="clear" w:color="auto" w:fill="auto"/>
            <w:vAlign w:val="center"/>
          </w:tcPr>
          <w:p w14:paraId="19EABD93">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13.0</w:t>
            </w:r>
          </w:p>
        </w:tc>
        <w:tc>
          <w:tcPr>
            <w:tcW w:w="1705" w:type="dxa"/>
            <w:shd w:val="clear" w:color="auto" w:fill="auto"/>
            <w:vAlign w:val="center"/>
          </w:tcPr>
          <w:p w14:paraId="27CECA53">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年均净利润 / 总投资 = 1,300 / 10,000</w:t>
            </w:r>
          </w:p>
        </w:tc>
      </w:tr>
    </w:tbl>
    <w:p w14:paraId="3F0FFD3A">
      <w:pPr>
        <w:spacing w:line="360" w:lineRule="auto"/>
        <w:rPr>
          <w:rFonts w:hint="default" w:ascii="Times New Roman" w:hAnsi="Times New Roman" w:eastAsia="宋体" w:cs="Times New Roman"/>
          <w:szCs w:val="21"/>
          <w:lang w:val="en-US" w:eastAsia="zh-CN"/>
        </w:rPr>
      </w:pPr>
    </w:p>
    <w:p w14:paraId="1C63F58D">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1.5结论和建议</w:t>
      </w:r>
    </w:p>
    <w:p w14:paraId="409FBA4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一、结论</w:t>
      </w:r>
    </w:p>
    <w:p w14:paraId="5D5CDDF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综合研究分析，本项目具备可行性，建议尽快启动。</w:t>
      </w:r>
    </w:p>
    <w:p w14:paraId="4EBB684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1.项目对优化周集镇铁矿产业区营商环境、完善城镇服务功能、满足群众大型宴请需求的迫切举措，社会效益显著。</w:t>
      </w:r>
    </w:p>
    <w:p w14:paraId="069B493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2. 本项目方案符合三星级酒店标准，填补镇域内中档酒店市场空白，铁矿企业、港口物流、粮食加工等产业带来稳定的商务客源，叠加近9万人口的民生宴席需求，客源基础扎实，竞争压力小。</w:t>
      </w:r>
    </w:p>
    <w:p w14:paraId="00D0000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3. 财务效益客观，风险总体可控。</w:t>
      </w:r>
    </w:p>
    <w:p w14:paraId="4ABEACB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二、建议</w:t>
      </w:r>
    </w:p>
    <w:p w14:paraId="0FF42FC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1.  加快推进前期工作：尽快确定建设单位，组建项目专项小组，启动立项、可研编制及环评等相关程序。</w:t>
      </w:r>
    </w:p>
    <w:p w14:paraId="25D9126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2.  全力争取政策支持：积极向县级层面争取土地出让优惠、相关税费减免等政策。重点对接乡村振兴衔接资金，探索由重点帮促村集体经济组织入股或共建配套物业的模式进行申报，以降低项目资本金压力。</w:t>
      </w:r>
    </w:p>
    <w:p w14:paraId="13A4971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3.  深化市场对接与风险防控：项目启动前，需与张庄矿业等核心企业签订意向性用房协议，锁定基础客源。运营期应严格控制成本，并积极探索“酒店+农产品展销”、“酒店+会务培训”等多元经营模式，提升综合收益。</w:t>
      </w:r>
    </w:p>
    <w:p w14:paraId="045A88B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4.  优化投资与建设方案：在设计和施工阶段，进一步优化建筑布局与材料选型，在保证品质的前提下合理控制建安成本。可考虑对部分非核心功能区（如高端餐饮包厢、洗浴中心）进行弹性规划或分期实施。</w:t>
      </w:r>
    </w:p>
    <w:p w14:paraId="338578A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7ED80DDB">
      <w:pPr>
        <w:spacing w:line="360" w:lineRule="auto"/>
        <w:rPr>
          <w:rFonts w:hint="default" w:ascii="Times New Roman" w:hAnsi="Times New Roman" w:eastAsia="宋体" w:cs="Times New Roman"/>
          <w:szCs w:val="21"/>
          <w:lang w:val="en-US" w:eastAsia="zh-CN"/>
        </w:rPr>
      </w:pPr>
    </w:p>
    <w:p w14:paraId="42BE75F3">
      <w:pPr>
        <w:spacing w:line="360" w:lineRule="auto"/>
        <w:rPr>
          <w:rFonts w:hint="default" w:ascii="Times New Roman" w:hAnsi="Times New Roman" w:eastAsia="宋体" w:cs="Times New Roman"/>
          <w:szCs w:val="21"/>
          <w:lang w:val="en-US" w:eastAsia="zh-CN"/>
        </w:rPr>
      </w:pPr>
    </w:p>
    <w:p w14:paraId="0B469094">
      <w:pPr>
        <w:spacing w:line="360" w:lineRule="auto"/>
        <w:rPr>
          <w:rFonts w:hint="default" w:ascii="Times New Roman" w:hAnsi="Times New Roman" w:eastAsia="宋体" w:cs="Times New Roman"/>
          <w:b/>
          <w:snapToGrid w:val="0"/>
          <w:color w:val="auto"/>
          <w:kern w:val="2"/>
          <w:sz w:val="32"/>
          <w:szCs w:val="32"/>
          <w:highlight w:val="none"/>
          <w:lang w:val="en-US" w:eastAsia="zh-CN" w:bidi="ar-SA"/>
        </w:rPr>
      </w:pPr>
      <w:r>
        <w:rPr>
          <w:rFonts w:hint="default" w:ascii="Times New Roman" w:hAnsi="Times New Roman" w:eastAsia="宋体" w:cs="Times New Roman"/>
          <w:b/>
          <w:snapToGrid w:val="0"/>
          <w:color w:val="auto"/>
          <w:kern w:val="2"/>
          <w:sz w:val="32"/>
          <w:szCs w:val="32"/>
          <w:highlight w:val="none"/>
          <w:lang w:val="en-US" w:eastAsia="zh-CN" w:bidi="ar-SA"/>
        </w:rPr>
        <w:br w:type="page"/>
      </w:r>
    </w:p>
    <w:p w14:paraId="789F3AB8">
      <w:pPr>
        <w:pStyle w:val="6"/>
        <w:keepNext w:val="0"/>
        <w:keepLines w:val="0"/>
        <w:pageBreakBefore w:val="0"/>
        <w:widowControl/>
        <w:tabs>
          <w:tab w:val="left" w:pos="3642"/>
        </w:tabs>
        <w:kinsoku/>
        <w:wordWrap w:val="0"/>
        <w:overflowPunct/>
        <w:topLinePunct/>
        <w:autoSpaceDE w:val="0"/>
        <w:autoSpaceDN w:val="0"/>
        <w:bidi w:val="0"/>
        <w:adjustRightInd w:val="0"/>
        <w:snapToGrid w:val="0"/>
        <w:spacing w:after="0" w:afterLines="0" w:afterAutospacing="0" w:line="360" w:lineRule="auto"/>
        <w:ind w:left="0" w:leftChars="0" w:firstLine="0" w:firstLineChars="0"/>
        <w:jc w:val="center"/>
        <w:textAlignment w:val="baseline"/>
        <w:outlineLvl w:val="0"/>
        <w:rPr>
          <w:rFonts w:hint="default" w:ascii="Times New Roman" w:hAnsi="Times New Roman" w:eastAsia="宋体" w:cs="Times New Roman"/>
          <w:b/>
          <w:snapToGrid w:val="0"/>
          <w:color w:val="auto"/>
          <w:kern w:val="2"/>
          <w:sz w:val="32"/>
          <w:szCs w:val="32"/>
          <w:highlight w:val="none"/>
          <w:lang w:val="en-US" w:eastAsia="zh-CN" w:bidi="ar-SA"/>
        </w:rPr>
      </w:pPr>
      <w:r>
        <w:rPr>
          <w:rFonts w:hint="default" w:ascii="Times New Roman" w:hAnsi="Times New Roman" w:eastAsia="宋体" w:cs="Times New Roman"/>
          <w:b/>
          <w:snapToGrid w:val="0"/>
          <w:color w:val="auto"/>
          <w:kern w:val="2"/>
          <w:sz w:val="32"/>
          <w:szCs w:val="32"/>
          <w:highlight w:val="none"/>
          <w:lang w:val="en-US" w:eastAsia="zh-CN" w:bidi="ar-SA"/>
        </w:rPr>
        <w:t>第二章 项目建设必要性与可行性</w:t>
      </w:r>
    </w:p>
    <w:p w14:paraId="17DA71C4">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2.1 规划政策符合性</w:t>
      </w:r>
    </w:p>
    <w:p w14:paraId="06C62AFE">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本项目建设符合国家、安徽省及霍邱县各级发展规划与产业政策，具备充分的合规性与必要性。</w:t>
      </w:r>
    </w:p>
    <w:p w14:paraId="7B6BF51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1. 符合国民经济与社会发展规划。 项目紧密契合《霍邱县国民经济和社会发展“十四五”规划》中关于“优化营商环境、完善城镇服务功能、促进产城融合”的发展导向。作为霍邱县西北部重镇和铁矿产业核心区，周集镇建设综合性酒店是补齐公共服务短板、提升区域竞争力的直接举措，符合规划对重点镇域发展的要求。</w:t>
      </w:r>
    </w:p>
    <w:p w14:paraId="04D9CB6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2. 符合国土空间与城镇总体规划。 项目选址于周集镇镇区核心地段，符合《霍邱县国土空间总体规划（2021-2035年）》及《周集镇城镇总体规划（2020年批复）》中关于商业服务设施用地的布局要求。满足镇区规划控制指标，有利于集约利用土地、完善镇区功能结构。</w:t>
      </w:r>
    </w:p>
    <w:p w14:paraId="42AEAC6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3. 符合产业政策与行业标准。 项目属于《产业结构调整指导目录》鼓励类“旅游基础设施建设”及“商贸服务”范畴。建设规模与内容严格遵循国家《旅游饭店星级的划分与评定》（GB/T 14308-2023）中三星级酒店标准，客房数量、功能配置等均达到或超过行业准入要求，旨在提供标准化、高品质的住宿餐饮服务。</w:t>
      </w:r>
    </w:p>
    <w:p w14:paraId="5E9BC89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4. 契合乡村振兴与区域发展政策。 项目申报可积极对接《安徽省乡村振兴衔接资金管理办法》，通过争取政策资金支持。项目直接服务于铁矿产业、港口物流等区域主导产业，是完善“淮岸强镇”配套、促进产城融合的关键项目。</w:t>
      </w:r>
    </w:p>
    <w:p w14:paraId="196B5DF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综上，本项目属于地方重点支持的基础设施与民生改善领域，建设依据充分，政策符合性强。</w:t>
      </w:r>
    </w:p>
    <w:p w14:paraId="29E1C977">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2.2 企业发展战略需求分析</w:t>
      </w:r>
    </w:p>
    <w:p w14:paraId="4D582FB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首先，周集镇作为铁矿资源富集区，已形成稳定的产业客群，但高端商务接待与配套服务存在显著短板。投资建设集住宿、餐饮、会议、宴会于一体的综合性酒店，能够有效切入生产性服务业市场，将服务对象从潜在的产业客户延伸至终端消费群体，增强业务协同与抗风险能力。</w:t>
      </w:r>
    </w:p>
    <w:p w14:paraId="3B3EA7D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其次，当前镇域内缺乏中档以上酒店，市场竞争近乎空白，率先投资建设符合三星级标准的酒店，能够迅速确立区域市场领导地位，形成显著的先发优势和品牌壁垒。这不仅有助于企业获取稳定的商务与民生客源，更能依托地标性建筑提升企业品牌形象与区域影响力，为后续可能的商业地产或相关服务业务拓展奠定坚实基础。</w:t>
      </w:r>
    </w:p>
    <w:p w14:paraId="7CFCC4C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最后，本项目的运营对区域营商环境的改善和城镇功能的完善至关重要。</w:t>
      </w:r>
    </w:p>
    <w:p w14:paraId="221D191E">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2.3目标市场分析</w:t>
      </w:r>
    </w:p>
    <w:p w14:paraId="5159562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本项目目标市场定位于霍邱县周集镇及周边半径30公里区域（涵盖临水镇、冯井镇及颍上县部分乡镇），核心客群为：</w:t>
      </w:r>
    </w:p>
    <w:p w14:paraId="6B4A461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1、本项目商务客源主要为镇内及周边铁矿采选（张庄矿业等）、港口物流（周集港）、粮食加工等企业产生的商务差旅、会议培训、客户接待需求。</w:t>
      </w:r>
    </w:p>
    <w:p w14:paraId="1B6EF3B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2、本项目民生宴席客源很大，周集镇户籍人口8.8万，镇区常住人口约3万。据本地婚庆习俗及人口结构测算，年婚宴、寿宴、满月酒等集中宴请需求约800-1000场，其中具备在酒店举办意愿与消费能力的约占40%，市场规模显著。</w:t>
      </w:r>
    </w:p>
    <w:p w14:paraId="0A88589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3.  另外镇直单位政务接待、会议培训，以及依托淮河风光、工业旅游的零星散客也较多。</w:t>
      </w:r>
    </w:p>
    <w:p w14:paraId="2BBAAF8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随着周集镇铁矿产业深化、港口物流扩张及城镇化率提升，预计相关市场需求年增长率可达8-12%。</w:t>
      </w:r>
    </w:p>
    <w:p w14:paraId="79F97F73">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2.4 竞争分析</w:t>
      </w:r>
    </w:p>
    <w:p w14:paraId="739B68DE">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项目所在区域市场竞争格局呈现“低端饱和、中档空白”特点。</w:t>
      </w:r>
    </w:p>
    <w:p w14:paraId="2C1303D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主要竞争对手：</w:t>
      </w:r>
    </w:p>
    <w:p w14:paraId="7087E875">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 xml:space="preserve"> 本地小型旅馆/招待所：数量约10-15家，客房总数约150间。优势为价格低廉（80-120元/间夜）；劣势为设施陈旧、无餐饮会议功能、服务质量参差，无法满足中高端商务及宴席需求。本项目按三星级标准建设，在硬件设施、服务质量上建立区域标杆。可以一站式提供住宿、宴会、会议、餐饮服务，填补区域市场空白。</w:t>
      </w:r>
    </w:p>
    <w:p w14:paraId="571BDAA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 xml:space="preserve"> 霍邱县城酒店：距离约40公里，拥有多家中档酒店。优势为品牌、设施相对完善；劣势为地理位置不便，无法满足周集镇本地即时性、高频次的商务与宴席需求。</w:t>
      </w:r>
    </w:p>
    <w:p w14:paraId="704C5A63">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2.5 项目建设的必要性</w:t>
      </w:r>
    </w:p>
    <w:p w14:paraId="5C31DF1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1、填补区域高品质接待能力空白的需要</w:t>
      </w:r>
    </w:p>
    <w:p w14:paraId="2A832BE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周集镇作为霍邱县的重要工业强镇（尤其以钢铁、化工为主导），经济活跃，商务往来频繁。目前区域内可能缺乏集住宿、大型宴会、会议、娱乐于一体的综合性服务设施。本项目的建成将直接填补这一市场空白，成为本地的地标性接待中心。为当地工业园区（如霍邱经济开发区）的商务接待、企业会议、客户考察提供高标准配套，优化营商环境，助力本地招商引资。</w:t>
      </w:r>
    </w:p>
    <w:p w14:paraId="53F0EE2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 xml:space="preserve">2、满足本地消费升级与刚性需求  </w:t>
      </w:r>
    </w:p>
    <w:p w14:paraId="26556CE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乡镇及周边农村地区对高品质婚宴、寿宴、满月酒等有着持续且强烈的需求。一个可容纳600人、设施现代的宴会厅将是绝对的竞争优势，能有效截留本地高端宴请消费，防止消费外流至六安或合肥。本项目建成可服务于镇政府、各机关单位及本地企业的会议、培训需求，提供专业场地和服务。</w:t>
      </w:r>
    </w:p>
    <w:p w14:paraId="5B3DF16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 xml:space="preserve">   3、响应政策与乡村振兴的需要</w:t>
      </w:r>
    </w:p>
    <w:p w14:paraId="7E915C6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项目拟申请“乡村振兴衔接资金”，与国家对乡镇基础设施、公共服务补短板的投资方向高度契合。项目建设能提升乡镇形象，完善城镇功能，是新型城镇化建设的积极实践。项目可直接提供150个就业岗位，并带动本地农产品采购、劳务服务等相关产业，具有显著的社会效益。</w:t>
      </w:r>
    </w:p>
    <w:p w14:paraId="0DC0C85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4、盘活资源与带动发展的需要</w:t>
      </w:r>
    </w:p>
    <w:p w14:paraId="1F6E280E">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酒店作为综合性商业体，酒店能集聚人气，带动周边商业氛围，提升土地价值，促进城镇商业发展。</w:t>
      </w:r>
    </w:p>
    <w:p w14:paraId="35F06BE7">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2.6项目可行性分析 </w:t>
      </w:r>
    </w:p>
    <w:p w14:paraId="148C950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1、市场可行性</w:t>
      </w:r>
    </w:p>
    <w:p w14:paraId="3354599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周集镇及霍邱县的工业企业是稳定的客源基础。商务散客、协议客户、长期住宿客（如项目工程师、审计人员）需求存在；本地及周边乡镇的婚庆、会议市场庞大且刚性，是项目最核心、最稳定的收入保障（预测餐饮宴会收入占比48%）。另外，棋牌、KTV、洗浴等娱乐项目符合本地消费习惯，能有效提高非客房收入，增强客户粘性。</w:t>
      </w:r>
    </w:p>
    <w:p w14:paraId="2278071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2、 财务与技术可行性</w:t>
      </w:r>
    </w:p>
    <w:p w14:paraId="18D2DC3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投资规模可控：总投资1亿元，在县域级项目中属中等偏上规模，但资本金充足（60%），财务结构稳健。年均营收2500万、净利润1300万的预测，依赖于餐饮宴会和配套娱乐的高毛利率。在有效运营下，7.7年的静态回收期和约13%的内部收益率具备财务吸引力。</w:t>
      </w:r>
    </w:p>
    <w:p w14:paraId="43F055F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3、运营与管理可行性：</w:t>
      </w:r>
    </w:p>
    <w:p w14:paraId="698E5A8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乡镇地区招募和留住高素质的酒店管理、餐饮服务、市场营销人才是最大挑战。必须提前规划管理层团队组建和本地员工培训体系。另外，“全自营”模式考验：餐饮、客房、娱乐全部自营，对管理复杂度和成本控制能力要求极高。可考虑将部分非核心业务（如KTV、洗浴）外包，以降低管理难度。</w:t>
      </w:r>
    </w:p>
    <w:p w14:paraId="195EC4E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社会效益可行性</w:t>
      </w:r>
    </w:p>
    <w:p w14:paraId="51937C7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 xml:space="preserve">    本项目建成运营有以下社会效益：</w:t>
      </w:r>
    </w:p>
    <w:p w14:paraId="01ECF6B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（1）促进就业与保障民生</w:t>
      </w:r>
    </w:p>
    <w:p w14:paraId="63DF91A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直接就业：项目运营可直接创造约150个稳定就业岗位，覆盖管理、服务、技术等多类型，为本地居民（特别是返乡青年、农村富余劳动力）提供“家门口”的高质量就业机会，社会效益直接显著。</w:t>
      </w:r>
    </w:p>
    <w:p w14:paraId="0EB6469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间接就业：将带动农产品供应链、布草洗涤、设备维护、安保保洁等关联产业，预计可间接带动100-150个就业岗位，形成就业乘数效应。</w:t>
      </w:r>
    </w:p>
    <w:p w14:paraId="1063EDE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（2）完善城镇功能与服务</w:t>
      </w:r>
    </w:p>
    <w:p w14:paraId="2807F7C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项目建成将填补周集镇及周边区域缺乏现代化综合性接待服务设施的空白，提供大型宴会、商务会议、中高端住宿等“一站式”服务，直接提升乡镇公共服务能级和商业活力。</w:t>
      </w:r>
    </w:p>
    <w:p w14:paraId="7FE3825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（3）带动关联产业发展</w:t>
      </w:r>
    </w:p>
    <w:p w14:paraId="195BF5A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促进农业产业化：餐饮板块（尤其大型宴会）对生鲜食材的稳定大宗需求，可与本地农业合作社、家庭农场建立订单式产销对接，推动本地绿色、特色农产品实现优质优价销售。</w:t>
      </w:r>
    </w:p>
    <w:p w14:paraId="67E2C8B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激活现代服务业：项目将吸引和集聚消费人流，带动本地婚庆策划、食品加工、物流配送、休闲娱乐等相关服务业态提质升级，形成产业集群效应。</w:t>
      </w:r>
    </w:p>
    <w:p w14:paraId="4B84709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（4） 增加地方财政收入</w:t>
      </w:r>
    </w:p>
    <w:p w14:paraId="019AE88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项目进入稳定运营后，每年可通过增值税、企业所得税、房产税、城建税等为地方财政贡献稳定税源。项目建设期的建筑安装税收也是一次性可观收入。</w:t>
      </w:r>
    </w:p>
    <w:p w14:paraId="7682046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（5） 契合政策与乡村振兴</w:t>
      </w:r>
    </w:p>
    <w:p w14:paraId="56FBE3E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项目通过完善基础设施、创造就业、刺激消费，直接响应“产业兴旺、生态宜居、乡风文明、治理有效、生活富裕”的总要求，易于获得政策层面的认可与支持（如申报乡村振兴衔接资金）。</w:t>
      </w:r>
    </w:p>
    <w:p w14:paraId="5353659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（6）提升居民生活质量与便利</w:t>
      </w:r>
    </w:p>
    <w:p w14:paraId="6560768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为本地居民举办婚宴、寿宴、家庭聚会等提供了高标准、便捷的选择，避免了消费外流，提升了生活品质和幸福感。</w:t>
      </w:r>
    </w:p>
    <w:p w14:paraId="4E9B53B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为本地企业提供了专业的商务接待、会议培训场地，降低了企业综合运营成本，优化了本地营商环境。</w:t>
      </w:r>
    </w:p>
    <w:p w14:paraId="4E99369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（7）社会风险可控</w:t>
      </w:r>
    </w:p>
    <w:p w14:paraId="5F6D282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劳资风险：可通过规范用工、依法参保、加强培训予以有效管控。</w:t>
      </w:r>
    </w:p>
    <w:p w14:paraId="3633FD7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社区关系：通过优先采购本地产品、参与社区公益、加强运营管理（如噪音、停车控制），可顺利融入社区，实现和谐发展。</w:t>
      </w:r>
    </w:p>
    <w:p w14:paraId="0611163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结论：本项目社会效益广泛、直接、可量化，且在创造就业、完善功能、带动产业、增加税收等方面具备高度可行性和可持续性，社会风险总体可控。显著的社会效益将成为项目获取多方支持、实现长期稳定运营的重要保障。</w:t>
      </w:r>
    </w:p>
    <w:p w14:paraId="464A2251">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2.7总体结论</w:t>
      </w:r>
    </w:p>
    <w:p w14:paraId="7D0EFD9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本项目在六安市霍邱县周集镇投资建设综合性酒店，兼具显著的必要性与切实的可行性，是一个定位精准、风险可控、兼具商业价值与社会效益的优质项目。</w:t>
      </w:r>
    </w:p>
    <w:p w14:paraId="4897DAD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在必要性上，项目精准填补了工业强镇对高品质商务接待与大型宴会服务的市场空白，有效响应了本地消费升级与乡村振兴的政策导向，是完善城镇功能、促进产业配套的关键举措。</w:t>
      </w:r>
    </w:p>
    <w:p w14:paraId="1067F34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在可行性上，以大型宴会为核心的营收模式立足真实且稳定的本地需求，财务模型（回收期约7.7年，内部收益率约13%）显示回报合理。同时，项目能直接创造大量就业，带动关联产业，社会效益突出，易于形成多方共赢局面。</w:t>
      </w:r>
    </w:p>
    <w:p w14:paraId="156D8BC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核心成功关键在于组建专业运营团队，深耕本地宴席与商务市场，并有效控制成本。若能落实这两点，项目有望成为区域标杆，实现商业成功与社会贡献的双重目标。</w:t>
      </w:r>
    </w:p>
    <w:p w14:paraId="0C7397A1">
      <w:pPr>
        <w:spacing w:line="360" w:lineRule="auto"/>
        <w:rPr>
          <w:rFonts w:hint="default" w:ascii="Times New Roman" w:hAnsi="Times New Roman" w:eastAsia="宋体" w:cs="Times New Roman"/>
        </w:rPr>
      </w:pPr>
    </w:p>
    <w:p w14:paraId="208D245C">
      <w:pPr>
        <w:rPr>
          <w:rFonts w:hint="default" w:ascii="Times New Roman" w:hAnsi="Times New Roman" w:eastAsia="宋体" w:cs="Times New Roman"/>
          <w:b/>
          <w:snapToGrid w:val="0"/>
          <w:color w:val="auto"/>
          <w:kern w:val="2"/>
          <w:sz w:val="32"/>
          <w:szCs w:val="32"/>
          <w:highlight w:val="none"/>
          <w:lang w:val="en-US" w:eastAsia="zh-CN" w:bidi="ar-SA"/>
        </w:rPr>
      </w:pPr>
      <w:r>
        <w:rPr>
          <w:rFonts w:hint="default" w:ascii="Times New Roman" w:hAnsi="Times New Roman" w:eastAsia="宋体" w:cs="Times New Roman"/>
          <w:b/>
          <w:snapToGrid w:val="0"/>
          <w:color w:val="auto"/>
          <w:kern w:val="2"/>
          <w:sz w:val="32"/>
          <w:szCs w:val="32"/>
          <w:highlight w:val="none"/>
          <w:lang w:val="en-US" w:eastAsia="zh-CN" w:bidi="ar-SA"/>
        </w:rPr>
        <w:br w:type="page"/>
      </w:r>
    </w:p>
    <w:p w14:paraId="74630D87">
      <w:pPr>
        <w:pStyle w:val="6"/>
        <w:keepNext w:val="0"/>
        <w:keepLines w:val="0"/>
        <w:pageBreakBefore w:val="0"/>
        <w:widowControl/>
        <w:tabs>
          <w:tab w:val="left" w:pos="3642"/>
        </w:tabs>
        <w:kinsoku/>
        <w:wordWrap w:val="0"/>
        <w:overflowPunct/>
        <w:topLinePunct/>
        <w:autoSpaceDE w:val="0"/>
        <w:autoSpaceDN w:val="0"/>
        <w:bidi w:val="0"/>
        <w:adjustRightInd w:val="0"/>
        <w:snapToGrid w:val="0"/>
        <w:spacing w:after="0" w:afterLines="0" w:afterAutospacing="0" w:line="360" w:lineRule="auto"/>
        <w:ind w:left="0" w:leftChars="0" w:firstLine="0" w:firstLineChars="0"/>
        <w:jc w:val="center"/>
        <w:textAlignment w:val="baseline"/>
        <w:outlineLvl w:val="0"/>
        <w:rPr>
          <w:rFonts w:hint="default" w:ascii="Times New Roman" w:hAnsi="Times New Roman" w:eastAsia="宋体" w:cs="Times New Roman"/>
          <w:b/>
          <w:snapToGrid w:val="0"/>
          <w:color w:val="auto"/>
          <w:kern w:val="2"/>
          <w:sz w:val="32"/>
          <w:szCs w:val="32"/>
          <w:highlight w:val="none"/>
          <w:lang w:val="en-US" w:eastAsia="zh-CN" w:bidi="ar-SA"/>
        </w:rPr>
      </w:pPr>
      <w:r>
        <w:rPr>
          <w:rFonts w:hint="default" w:ascii="Times New Roman" w:hAnsi="Times New Roman" w:eastAsia="宋体" w:cs="Times New Roman"/>
          <w:b/>
          <w:snapToGrid w:val="0"/>
          <w:color w:val="auto"/>
          <w:kern w:val="2"/>
          <w:sz w:val="32"/>
          <w:szCs w:val="32"/>
          <w:highlight w:val="none"/>
          <w:lang w:val="en-US" w:eastAsia="zh-CN" w:bidi="ar-SA"/>
        </w:rPr>
        <w:t>第三章 建设内容与功能布局</w:t>
      </w:r>
    </w:p>
    <w:p w14:paraId="59CADA36">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3.1 建设内容概述 </w:t>
      </w:r>
    </w:p>
    <w:p w14:paraId="48A1019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本项目为新建综合性商业服务设施，旨在打造成为集商务住宿、大型宴会、会议接待、餐饮娱乐于一体的镇域地标。项目建设内容包括酒店主体建筑工程、室内外装饰装修工程、设备购置与安装工程、室外总体配套工程四大板块，并同步组建专业运营管理团队，确保项目高质量、按期建成并投入运营。</w:t>
      </w:r>
    </w:p>
    <w:p w14:paraId="67327A61">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3.2 总平面规划布局 </w:t>
      </w:r>
    </w:p>
    <w:p w14:paraId="0AE3228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项目选址于周集镇银河路，地处镇域“四纵四横”路网框架内，交通便利，毗邻商业区与居民区。总用地面积约6,333平方米（9.5亩），总建筑面积约14,000平方米。规划采用“主楼+裙楼”的经典酒店布局形式：</w:t>
      </w:r>
    </w:p>
    <w:p w14:paraId="3D6A846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主楼：为地上9层建筑，是酒店住宿功能的核心载体，布置于地块后方或侧方，保证客房良好的采光与视野，同时塑造挺拔的城市天际线形象。</w:t>
      </w:r>
    </w:p>
    <w:p w14:paraId="580288AE">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裙楼：为地上2-3层建筑，沿主要道路（银河路）展开，承载餐饮、宴会、会议、大堂等公共功能。其大气的立面设计和醒目的主入口，可有效展示酒店形象，吸引客流。</w:t>
      </w:r>
    </w:p>
    <w:p w14:paraId="6FC2761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交通流线：实现“人车分流”。车辆由专用车道进入地块西/北侧的生态停车场（80个车位，含大巴车位），宾客下车后经景观步道直达酒店主入口。后勤、货物及垃圾清运设置独立出入口和通道，避免与客人流线交叉。</w:t>
      </w:r>
    </w:p>
    <w:p w14:paraId="38BDA21E">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景观与配套：充分利用场地，围绕建筑布置绿化景观，打造宜人的室外环境。室外工程包括给排水、供电、通信、燃气、道路、围墙及大门等全套配套设施。</w:t>
      </w:r>
    </w:p>
    <w:p w14:paraId="266E7115">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3.3 建筑功能分区详细布局 </w:t>
      </w:r>
    </w:p>
    <w:p w14:paraId="5FBC8DC3">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3.3.1 裙楼区域（1F-3F）：公共活动与服务中心</w:t>
      </w:r>
    </w:p>
    <w:p w14:paraId="0479C89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一层（1F）：</w:t>
      </w:r>
    </w:p>
    <w:p w14:paraId="69B616D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大堂区：挑空式酒店大堂，设置总服务台、礼宾台、宾客休息区、商务中心及酒店商品部。空间开阔，装饰典雅，体现酒店品质。</w:t>
      </w:r>
    </w:p>
    <w:p w14:paraId="6D28F60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餐饮区：设置中餐厅零点大厅及部分餐饮包厢，方便宾客用餐。毗邻厨房，传菜流线便捷。</w:t>
      </w:r>
    </w:p>
    <w:p w14:paraId="1ABD805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配套娱乐区：设置大堂吧、小型KTV包厢入口及棋牌室，丰富宾客休闲选择。</w:t>
      </w:r>
    </w:p>
    <w:p w14:paraId="2EBB54D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后勤区：独立设置员工出入口、更衣室、行政办公区、消防监控中心及主要设备机房。</w:t>
      </w:r>
    </w:p>
    <w:p w14:paraId="7F52F94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二层（2F）：</w:t>
      </w:r>
    </w:p>
    <w:p w14:paraId="50693E7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宴会会议核心区：核心为可同时容纳600人就餐或500人会议的大型无柱宴会厅。宴会厅配备专业舞台、音响灯光系统、高清LED屏及同声传译室，可通过活动隔断分割为2-3个中型厅。宴会前厅宽敞，用于宾客签到、茶歇及社交。</w:t>
      </w:r>
    </w:p>
    <w:p w14:paraId="16F3D24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餐饮包厢区：布置其余中餐餐饮包厢（共计10-15间），满足私密宴请需求，部分包厢可观赏室外景观。</w:t>
      </w:r>
    </w:p>
    <w:p w14:paraId="357A7B0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多功能厅：设置一个约300平方米的多功能厅，可用于中型会议、培训、发布会及精品婚宴。</w:t>
      </w:r>
    </w:p>
    <w:p w14:paraId="6DC3E0A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三层（3F）：</w:t>
      </w:r>
    </w:p>
    <w:p w14:paraId="44EB6FF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会议与康体区：设置3个中小型会议室，满足不同规模的商务会议需求。</w:t>
      </w:r>
    </w:p>
    <w:p w14:paraId="57940F6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健康娱乐中心：包含健身房（配备有氧及力量训练器械）及洗浴中心（含桑拿、湿蒸、淋浴、休息区），为宾客提供康体休闲服务。</w:t>
      </w:r>
    </w:p>
    <w:p w14:paraId="06BE7ED0">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3.3.2 主楼区域（4F-9F）：住宿服务中心</w:t>
      </w:r>
    </w:p>
    <w:p w14:paraId="769DA60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四层及以上为标准客房层：</w:t>
      </w:r>
    </w:p>
    <w:p w14:paraId="0BD7F06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每层围绕核心筒（电梯厅、楼梯间、服务间）布置客房。共计100间客房，包括：</w:t>
      </w:r>
    </w:p>
    <w:p w14:paraId="6FD2835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4DEDE27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标准双床房：占主要比例，满足商务及家庭出行需求。</w:t>
      </w:r>
    </w:p>
    <w:p w14:paraId="6355A35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商务大床房：为商务人士设计，空间相对宽敞。</w:t>
      </w:r>
    </w:p>
    <w:p w14:paraId="1A9CC21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豪华套房：位于楼层转角或端部，拥有更佳视野和更大空间，配备独立会客区。</w:t>
      </w:r>
    </w:p>
    <w:p w14:paraId="7CD1B1D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每层均设置客房服务工作间、布草间及消防设施。</w:t>
      </w:r>
    </w:p>
    <w:p w14:paraId="7F26294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顶层（9F）可规划特色功能：</w:t>
      </w:r>
    </w:p>
    <w:p w14:paraId="321687B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可考虑设置行政酒廊（服务于高端宾客）、观景茶室或特色主题套房，提升酒店整体档次和吸引力。</w:t>
      </w:r>
    </w:p>
    <w:p w14:paraId="48987AE5">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以上功能布局遵循“分区明确、流线清晰、资源共享、管理高效”的原则，充分考虑了商务、宴请、会议、休闲等多重需求，旨在为周集镇及周边区域提供一个功能完备、服务优质、环境舒适的高品质综合性酒店空间。具体平面布局需在后续建筑设计方案中进一步深化和优化。</w:t>
      </w:r>
    </w:p>
    <w:p w14:paraId="74EA66E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6A2A7CCC">
      <w:pPr>
        <w:spacing w:line="360" w:lineRule="auto"/>
        <w:rPr>
          <w:rFonts w:hint="default" w:ascii="Times New Roman" w:hAnsi="Times New Roman" w:eastAsia="宋体" w:cs="Times New Roman"/>
        </w:rPr>
      </w:pPr>
    </w:p>
    <w:p w14:paraId="2E4BB90C">
      <w:pPr>
        <w:spacing w:line="360" w:lineRule="auto"/>
        <w:rPr>
          <w:rFonts w:hint="default" w:ascii="Times New Roman" w:hAnsi="Times New Roman" w:eastAsia="宋体" w:cs="Times New Roman"/>
        </w:rPr>
      </w:pPr>
    </w:p>
    <w:p w14:paraId="3F38B3DD">
      <w:pPr>
        <w:spacing w:line="360" w:lineRule="auto"/>
        <w:rPr>
          <w:rFonts w:hint="default" w:ascii="Times New Roman" w:hAnsi="Times New Roman" w:eastAsia="宋体" w:cs="Times New Roman"/>
        </w:rPr>
      </w:pPr>
    </w:p>
    <w:p w14:paraId="0AA346C9">
      <w:pPr>
        <w:spacing w:line="360" w:lineRule="auto"/>
        <w:rPr>
          <w:rFonts w:hint="default" w:ascii="Times New Roman" w:hAnsi="Times New Roman" w:eastAsia="宋体" w:cs="Times New Roman"/>
        </w:rPr>
      </w:pPr>
    </w:p>
    <w:p w14:paraId="7A1E5837">
      <w:pPr>
        <w:spacing w:line="360" w:lineRule="auto"/>
        <w:rPr>
          <w:rFonts w:hint="default" w:ascii="Times New Roman" w:hAnsi="Times New Roman" w:eastAsia="宋体" w:cs="Times New Roman"/>
        </w:rPr>
      </w:pPr>
    </w:p>
    <w:p w14:paraId="1F615E0C">
      <w:pPr>
        <w:spacing w:line="360" w:lineRule="auto"/>
        <w:rPr>
          <w:rFonts w:hint="default" w:ascii="Times New Roman" w:hAnsi="Times New Roman" w:eastAsia="宋体" w:cs="Times New Roman"/>
        </w:rPr>
      </w:pPr>
    </w:p>
    <w:p w14:paraId="2DF1C951">
      <w:pPr>
        <w:rPr>
          <w:rFonts w:hint="default" w:ascii="Times New Roman" w:hAnsi="Times New Roman" w:eastAsia="宋体" w:cs="Times New Roman"/>
          <w:b/>
          <w:snapToGrid w:val="0"/>
          <w:color w:val="auto"/>
          <w:kern w:val="2"/>
          <w:sz w:val="32"/>
          <w:szCs w:val="32"/>
          <w:highlight w:val="none"/>
          <w:lang w:val="en-US" w:eastAsia="zh-CN" w:bidi="ar-SA"/>
        </w:rPr>
      </w:pPr>
      <w:r>
        <w:rPr>
          <w:rFonts w:hint="default" w:ascii="Times New Roman" w:hAnsi="Times New Roman" w:eastAsia="宋体" w:cs="Times New Roman"/>
          <w:b/>
          <w:snapToGrid w:val="0"/>
          <w:color w:val="auto"/>
          <w:kern w:val="2"/>
          <w:sz w:val="32"/>
          <w:szCs w:val="32"/>
          <w:highlight w:val="none"/>
          <w:lang w:val="en-US" w:eastAsia="zh-CN" w:bidi="ar-SA"/>
        </w:rPr>
        <w:br w:type="page"/>
      </w:r>
    </w:p>
    <w:p w14:paraId="1B529B7E">
      <w:pPr>
        <w:pStyle w:val="6"/>
        <w:keepNext w:val="0"/>
        <w:keepLines w:val="0"/>
        <w:pageBreakBefore w:val="0"/>
        <w:widowControl/>
        <w:tabs>
          <w:tab w:val="left" w:pos="3642"/>
        </w:tabs>
        <w:kinsoku/>
        <w:wordWrap w:val="0"/>
        <w:overflowPunct/>
        <w:topLinePunct/>
        <w:autoSpaceDE w:val="0"/>
        <w:autoSpaceDN w:val="0"/>
        <w:bidi w:val="0"/>
        <w:adjustRightInd w:val="0"/>
        <w:snapToGrid w:val="0"/>
        <w:spacing w:after="0" w:afterLines="0" w:afterAutospacing="0" w:line="360" w:lineRule="auto"/>
        <w:ind w:left="0" w:leftChars="0" w:firstLine="0" w:firstLineChars="0"/>
        <w:jc w:val="center"/>
        <w:textAlignment w:val="baseline"/>
        <w:outlineLvl w:val="0"/>
        <w:rPr>
          <w:rFonts w:hint="default" w:ascii="Times New Roman" w:hAnsi="Times New Roman" w:eastAsia="宋体" w:cs="Times New Roman"/>
          <w:b/>
          <w:snapToGrid w:val="0"/>
          <w:color w:val="auto"/>
          <w:kern w:val="2"/>
          <w:sz w:val="32"/>
          <w:szCs w:val="32"/>
          <w:highlight w:val="none"/>
          <w:lang w:val="en-US" w:eastAsia="zh-CN" w:bidi="ar-SA"/>
        </w:rPr>
      </w:pPr>
      <w:r>
        <w:rPr>
          <w:rFonts w:hint="default" w:ascii="Times New Roman" w:hAnsi="Times New Roman" w:eastAsia="宋体" w:cs="Times New Roman"/>
          <w:b/>
          <w:snapToGrid w:val="0"/>
          <w:color w:val="auto"/>
          <w:kern w:val="2"/>
          <w:sz w:val="32"/>
          <w:szCs w:val="32"/>
          <w:highlight w:val="none"/>
          <w:lang w:val="en-US" w:eastAsia="zh-CN" w:bidi="ar-SA"/>
        </w:rPr>
        <w:t>第四章 建设方案与实施规划</w:t>
      </w:r>
    </w:p>
    <w:p w14:paraId="5570124D">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4.1 建设方案概述 </w:t>
      </w:r>
    </w:p>
    <w:p w14:paraId="6220351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本项目建设方案遵循“统筹规划、分步实施、标准先行、品质至上”的原则，以确保项目按期、高质、高效完成。方案涵盖从项目前期准备、工程实施到竣工验收的全过程，旨在打造一个功能完善、绿色环保、安全舒适的现代化酒店。项目建设将严格遵守国家及地方相关建设标准、规范和环保要求，确保项目的合规性与可持续性。</w:t>
      </w:r>
    </w:p>
    <w:p w14:paraId="2342D456">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4.2 工程技术方案 </w:t>
      </w:r>
    </w:p>
    <w:p w14:paraId="19B7FA4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建筑设计：</w:t>
      </w:r>
    </w:p>
    <w:p w14:paraId="25FA9D7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风格与形象：建筑设计将体现现代、大气的风格，主楼挺拔，裙楼舒展，与周集镇“淮岸强镇”的城市形象相协调。外立面材料选用高品质石材、玻璃幕墙与金属构件相结合，塑造鲜明的地标性。</w:t>
      </w:r>
    </w:p>
    <w:p w14:paraId="2E2F4C0E">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结构安全：主楼采用框架-剪力墙结构，裙楼采用框架结构，确保建筑抗震、抗风等安全性能满足规范要求。地基基础处理方案将根据详细地勘报告确定。</w:t>
      </w:r>
    </w:p>
    <w:p w14:paraId="762C099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功能布局：具体详见前面章节。设计将严格按照功能分区进行，确保住宿、餐饮、宴会、会议、娱乐等区域动线合理、互不干扰。重点优化厨房、洗衣房等后勤区域布局，提高运营效率。</w:t>
      </w:r>
    </w:p>
    <w:p w14:paraId="0B0B0CE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绿色建筑与节能：</w:t>
      </w:r>
    </w:p>
    <w:p w14:paraId="30B46EE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积极采用节能技术和材料，如外墙保温系统、Low-E中空玻璃、高效节能灯具、节水型卫生洁具等。</w:t>
      </w:r>
    </w:p>
    <w:p w14:paraId="652BB69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合理设计自然采光与通风，降低建筑能耗。鼓励使用太阳能热水系统等可再生能源。</w:t>
      </w:r>
    </w:p>
    <w:p w14:paraId="0571931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按国家绿色建筑一星级标准进行设计和建设。</w:t>
      </w:r>
    </w:p>
    <w:p w14:paraId="05AD416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智能化系统：</w:t>
      </w:r>
    </w:p>
    <w:p w14:paraId="5AC0536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建设全面的酒店智能化管理系统，包括综合布线系统、计算机网络系统、安全防范系统（视频监控、门禁、报警）、客房智能控制系统、信息发布系统、背景音乐及紧急广播系统、多媒体会议系统等。</w:t>
      </w:r>
    </w:p>
    <w:p w14:paraId="5368A0F5">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引入酒店管理软件（PMS），实现前台接待、客房管理、财务、销售等业务的数字化运营。</w:t>
      </w:r>
    </w:p>
    <w:p w14:paraId="7EA4337E">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4.3 主要设备选型方案 </w:t>
      </w:r>
    </w:p>
    <w:p w14:paraId="4CE15E0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设备选型遵循“技术先进、运行可靠、节能环保、经济适用”的原则。</w:t>
      </w:r>
    </w:p>
    <w:p w14:paraId="2B53A52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暖通空调系统：采用高效冷水机组+燃气锅炉的中央空调系统，宴会厅、大堂等大空间采用全空气系统，客房采用风机盘管加新风系统，确保室内环境舒适。</w:t>
      </w:r>
    </w:p>
    <w:p w14:paraId="2131BBE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电梯系统：配置3-4部客用电梯（含消防电梯），1部货梯。选用知名品牌，确保运行平稳、安全可靠。</w:t>
      </w:r>
    </w:p>
    <w:p w14:paraId="6AF2201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厨房及洗衣设备：根据餐饮规模配置专业中餐厨房设备（炉灶、蒸柜、冷柜、洗碗机等）及洗衣房设备（洗脱机、烘干机、烫平机等）。</w:t>
      </w:r>
    </w:p>
    <w:p w14:paraId="20B807E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给排水及消防系统：采用市政双路供水，设置生活水箱及变频供水设备。消防系统严格按规范设计，包括消火栓、自动喷淋、火灾报警、防排烟等。</w:t>
      </w:r>
    </w:p>
    <w:p w14:paraId="3C50A71B">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4.4 项目实施进度规划 </w:t>
      </w:r>
    </w:p>
    <w:p w14:paraId="1858569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为确保项目高效推进，早日投入运营，本项目将采取科学的项目管理方法，本项目总建设周期为14个月。为实现此目标，各项工作将高度交叉、并行推进，具体规划如下：</w:t>
      </w:r>
    </w:p>
    <w:p w14:paraId="7622A4C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第一阶段：前期准备与深化设计（第1-3个月）</w:t>
      </w:r>
    </w:p>
    <w:p w14:paraId="06AD20B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在项目决策后，立即同步启动各项关键前期工作。首个季度内，必须完成项目公司的正式组建与项目指挥部的成立。同时，并行推进详细可行性研究报告的编制、环境影响评价及节能评估等报批文件的准备与申报工作。在此期间，同步开展建筑方案的深化设计与施工图设计工作，并完成审图。土地手续办理、规划许可申请与主要设备材料的初步考察、招标文件编制也需在本阶段内紧密开展，确保为后续施工奠定坚实的法律、技术和资源基础。</w:t>
      </w:r>
    </w:p>
    <w:p w14:paraId="07A348F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第二阶段：主体结构施工（第4-9个月）</w:t>
      </w:r>
    </w:p>
    <w:p w14:paraId="6390D7B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在取得《建筑工程施工许可证》后，立即全面展开现场施工。本阶段为期6个月，是控制总工期的关键。工作重点依次为：土方开挖与地基处理、地下室结构施工，以及地上主体结构的快速建造，直至实现主体结构全面封顶。砌体工程紧随主体结构进度穿插进行。此阶段需集中资源，确保施工机械、人员和材料供应充足，以保障连续、高效的作业。</w:t>
      </w:r>
    </w:p>
    <w:p w14:paraId="1653635E">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第三阶段：装饰安装与室外工程（第7-13个月）</w:t>
      </w:r>
    </w:p>
    <w:p w14:paraId="24D02A75">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本阶段与主体施工后期重叠并交叉进行，是项目成型的关键期。在主体结构完成约70%后，即提前介入进行部分区域的砌筑、抹灰等粗装修工作。待主体封顶后，室内外装饰装修工程、机电设备（暖通、给排水、强电、消防、电梯）安装、智能化系统布线安装等全面铺开。外立面幕墙或装饰工程、室外管网、道路及景观绿化工程同步实施。此阶段协调管理极为重要，需确保各专业队伍有序穿插作业，避免相互干扰。</w:t>
      </w:r>
    </w:p>
    <w:p w14:paraId="7DE6ADF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第四阶段：系统调试与开业筹备（第12-14个月）</w:t>
      </w:r>
    </w:p>
    <w:p w14:paraId="176617B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在装饰安装基本完成后，项目进入最后的冲刺阶段。利用约2个月时间，完成所有机电系统、消防系统、弱电系统的单机调试与联合联动调试，确保设备正常运行。同时，进行全面的清洁开荒，家具、布草、运营物品及酒店标识陆续进场布置。此阶段的核心是运营筹备工作的全面落地：完成全部员工的招聘与强化培训，办理《公众聚集场所投入使用、营业前消防安全检查合格证》及《特种行业经营许可证》等关键证照，开展市场预热与试营业活动，并对工程进行最终竣工验收。计划在第14个月结束时，酒店达到正式开业的所有条件，隆重开业。</w:t>
      </w:r>
    </w:p>
    <w:p w14:paraId="6827322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项目14个月的工期规划，体现了“前期工作并行压缩、主体施工快速推进、装饰安装紧密交叉、调试筹备提前嵌入”的核心思路。通过强化各环节的衔接与并行程度，在保障工程质量和安全的前提下，最大化提升建设效率，确保“淮畔大酒店”项目能够以远超行业常规的速度建成并投入运营，快速抢占市场先机。</w:t>
      </w:r>
    </w:p>
    <w:p w14:paraId="1BB08966">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4.5 项目组织机构与实施管理 </w:t>
      </w:r>
    </w:p>
    <w:p w14:paraId="1FFC437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组织机构：项目建设期间，成立“淮畔大酒店建设项目指挥部”，由投资方、未来酒店管理方及主要合作单位代表组成。指挥部下设规划设计部、工程管理部、成本合约部、综合协调部等，明确职责，统筹推进。</w:t>
      </w:r>
    </w:p>
    <w:p w14:paraId="7F2FC03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实施模式：采用“项目法人责任制、招标投标制、工程监理制、合同管理制”。通过公开招标，择优选择设计、施工、监理及主要设备材料供应商。</w:t>
      </w:r>
    </w:p>
    <w:p w14:paraId="03C743B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质量管理：建立以监理单位为核心的质量控制体系，严格执行国家施工验收规范。对重要工序、关键材料实行旁站监理和抽样检测，确保工程质量达到优良标准。</w:t>
      </w:r>
    </w:p>
    <w:p w14:paraId="2F14354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投资与进度控制：严格执行批准的投资预算，实行动态监控。编制详细的进度计划网络图，定期检查，及时纠偏，确保项目按期完成。</w:t>
      </w:r>
    </w:p>
    <w:p w14:paraId="4B7F58B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安全管理与环境保护：贯彻“安全第一，预防为主”方针，落实施工现场各项安全措施。严格遵守环保法规，控制施工噪音、粉尘、污水排放，做到文明施工。</w:t>
      </w:r>
    </w:p>
    <w:p w14:paraId="2DF00B1B">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4.6 运营筹备计划（与建设期并行） </w:t>
      </w:r>
    </w:p>
    <w:p w14:paraId="4DDE3D2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为确保建设与运营无缝衔接，运营筹备工作需提前启动，与工程建设中后期并行。</w:t>
      </w:r>
    </w:p>
    <w:p w14:paraId="464A960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开业前10-12个月：确定酒店管理模式（自营或委托管理），组建核心管理团队（总经理、驻店经理、房务总监、餐饮总监等）。</w:t>
      </w:r>
    </w:p>
    <w:p w14:paraId="53A2FC1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开业前6-10个月：完成酒店组织机构设置、人员编制方案；启动中层管理人员及核心技能岗位（如厨师长、宴会销售）的招聘。</w:t>
      </w:r>
    </w:p>
    <w:p w14:paraId="29229E4E">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346B31E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开业前3-6个月：启动大规模员工招聘；编制酒店运营手册、服务流程、管理制度；开展全员系统化培训（服务理念、技能、安全等）。</w:t>
      </w:r>
    </w:p>
    <w:p w14:paraId="73824A4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开业前1-3个月：进行市场预热宣传，与目标客户（企业、政府、婚庆公司）签订合作协议；运营物资采购到位；进行模拟运营和开业演练。</w:t>
      </w:r>
    </w:p>
    <w:p w14:paraId="0C7CC51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开业当月：取得全部经营证照，举办开业庆典，正式投入运营。</w:t>
      </w:r>
    </w:p>
    <w:p w14:paraId="0554CCFE">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本建设与实施规划方案系统全面地部署了项目从蓝图变为现实的全过程路径。通过科学的工程技术方案、严谨的进度控制、精细化的项目管理和前瞻性的运营筹备，确保“淮畔大酒店”能够以高品质的形象和成熟的运营状态如期呈现于市场，顺利实现项目的商业与社会目标。</w:t>
      </w:r>
    </w:p>
    <w:p w14:paraId="2E94EEE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5F16953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0C386335">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18B4D9F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0DB2C72E">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57660ACD">
      <w:pPr>
        <w:rPr>
          <w:rFonts w:hint="default" w:ascii="Times New Roman" w:hAnsi="Times New Roman" w:eastAsia="宋体" w:cs="Times New Roman"/>
          <w:b/>
          <w:snapToGrid w:val="0"/>
          <w:color w:val="auto"/>
          <w:kern w:val="2"/>
          <w:sz w:val="32"/>
          <w:szCs w:val="32"/>
          <w:highlight w:val="none"/>
          <w:lang w:val="en-US" w:eastAsia="zh-CN" w:bidi="ar-SA"/>
        </w:rPr>
      </w:pPr>
      <w:r>
        <w:rPr>
          <w:rFonts w:hint="default" w:ascii="Times New Roman" w:hAnsi="Times New Roman" w:eastAsia="宋体" w:cs="Times New Roman"/>
          <w:b/>
          <w:snapToGrid w:val="0"/>
          <w:color w:val="auto"/>
          <w:kern w:val="2"/>
          <w:sz w:val="32"/>
          <w:szCs w:val="32"/>
          <w:highlight w:val="none"/>
          <w:lang w:val="en-US" w:eastAsia="zh-CN" w:bidi="ar-SA"/>
        </w:rPr>
        <w:br w:type="page"/>
      </w:r>
    </w:p>
    <w:p w14:paraId="200FCBCF">
      <w:pPr>
        <w:pStyle w:val="6"/>
        <w:keepNext w:val="0"/>
        <w:keepLines w:val="0"/>
        <w:pageBreakBefore w:val="0"/>
        <w:widowControl/>
        <w:tabs>
          <w:tab w:val="left" w:pos="3642"/>
        </w:tabs>
        <w:kinsoku/>
        <w:wordWrap w:val="0"/>
        <w:overflowPunct/>
        <w:topLinePunct/>
        <w:autoSpaceDE w:val="0"/>
        <w:autoSpaceDN w:val="0"/>
        <w:bidi w:val="0"/>
        <w:adjustRightInd w:val="0"/>
        <w:snapToGrid w:val="0"/>
        <w:spacing w:after="0" w:afterLines="0" w:afterAutospacing="0" w:line="360" w:lineRule="auto"/>
        <w:ind w:left="0" w:leftChars="0" w:firstLine="0" w:firstLineChars="0"/>
        <w:jc w:val="center"/>
        <w:textAlignment w:val="baseline"/>
        <w:outlineLvl w:val="0"/>
        <w:rPr>
          <w:rFonts w:hint="default" w:ascii="Times New Roman" w:hAnsi="Times New Roman" w:eastAsia="宋体" w:cs="Times New Roman"/>
          <w:b/>
          <w:snapToGrid w:val="0"/>
          <w:color w:val="auto"/>
          <w:kern w:val="2"/>
          <w:sz w:val="32"/>
          <w:szCs w:val="32"/>
          <w:highlight w:val="none"/>
          <w:lang w:val="en-US" w:eastAsia="zh-CN" w:bidi="ar-SA"/>
        </w:rPr>
      </w:pPr>
      <w:r>
        <w:rPr>
          <w:rFonts w:hint="default" w:ascii="Times New Roman" w:hAnsi="Times New Roman" w:eastAsia="宋体" w:cs="Times New Roman"/>
          <w:b/>
          <w:snapToGrid w:val="0"/>
          <w:color w:val="auto"/>
          <w:kern w:val="2"/>
          <w:sz w:val="32"/>
          <w:szCs w:val="32"/>
          <w:highlight w:val="none"/>
          <w:lang w:val="en-US" w:eastAsia="zh-CN" w:bidi="ar-SA"/>
        </w:rPr>
        <w:t>第五章 组织管理与运营方案</w:t>
      </w:r>
    </w:p>
    <w:p w14:paraId="26CADBAF">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5.1 组织架构与管理模式 </w:t>
      </w:r>
    </w:p>
    <w:p w14:paraId="67061A8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为保障淮畔大酒店的高效运营与卓越服务，本项目将采取“投资自持、专业自营”的管理模式，并建立权责清晰、运行高效的组织架构。</w:t>
      </w:r>
    </w:p>
    <w:p w14:paraId="1CF2F53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管理模式：由投资方“安徽淮畔酒店有限公司”设立子公司或事业部，全面负责酒店的资产管理与日常运营。为确保专业性，将高薪聘请具有丰富县域或中端酒店管理经验的职业经理人团队，组建核心管理层，实行董事会领导下的总经理负责制。</w:t>
      </w:r>
    </w:p>
    <w:p w14:paraId="51A78F4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组织架构：</w:t>
      </w:r>
    </w:p>
    <w:p w14:paraId="22748B5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决策层：由酒店董事会（或投资方代表）及总经理组成，负责战略规划、重大决策及财务预算审批。</w:t>
      </w:r>
    </w:p>
    <w:p w14:paraId="271B79C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管理层：设总经理1名，全面主持工作。下设驻店经理、房务总监、餐饮总监、财务总监、人力资源总监、工程安保总监、市场营销总监等，组成酒店执行委员会，负责各业务板块的日常管理与协调。</w:t>
      </w:r>
    </w:p>
    <w:p w14:paraId="4D678C5E">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执行层：设立七大部门，包括：</w:t>
      </w:r>
    </w:p>
    <w:p w14:paraId="2C92DFD5">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前厅部：负责接待、预订、礼宾、总机、商务中心。</w:t>
      </w:r>
    </w:p>
    <w:p w14:paraId="738F847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房务部：负责客房清洁、公共区域卫生、布草及洗衣房管理。</w:t>
      </w:r>
    </w:p>
    <w:p w14:paraId="0208A58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餐饮部：下设宴会厅、中餐厅、厨房、大堂吧，是营收核心部门。</w:t>
      </w:r>
    </w:p>
    <w:p w14:paraId="462F2E9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市场营销部：负责市场推广、销售、协议客户维护、宴会会议预订。</w:t>
      </w:r>
    </w:p>
    <w:p w14:paraId="6D4F328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财务部：负责会计核算、成本控制、采购审计、收银。</w:t>
      </w:r>
    </w:p>
    <w:p w14:paraId="3EC5198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人力资源与行政部：负责招聘、培训、薪酬福利、后勤及行政事务。</w:t>
      </w:r>
    </w:p>
    <w:p w14:paraId="44053B9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工程安保部：负责设备设施维护、能源管理、消防安全、保安保洁。</w:t>
      </w:r>
    </w:p>
    <w:p w14:paraId="560077A6">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5.2 人力资源规划 </w:t>
      </w:r>
    </w:p>
    <w:p w14:paraId="337DFBD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人才是酒店成功之本，尤其在本项目所在地，需制定针对性的人力资源策略。</w:t>
      </w:r>
    </w:p>
    <w:p w14:paraId="703662E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人员编制与配置：根据100间客房及综合性配套的规模，初步核定人员编制约为150人。其中，管理及行政人员约占15%，一线服务人员约占70%，工程安保人员约占15%。具体编制将根据试营业情况动态调整。</w:t>
      </w:r>
    </w:p>
    <w:p w14:paraId="4670896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招聘与培训策略：</w:t>
      </w:r>
    </w:p>
    <w:p w14:paraId="1E5B572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核心团队（提前12-10个月引进）：面向行业公开招聘总经理、总监级管理人员，确保其理念与项目定位契合。</w:t>
      </w:r>
    </w:p>
    <w:p w14:paraId="06DBDA75">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中层与骨干（提前6-10个月招聘）：重点招聘部门经理、厨师长、宴会销售经理等，并送往成熟酒店进行为期1-3个月的岗前实训。</w:t>
      </w:r>
    </w:p>
    <w:p w14:paraId="361D0F0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基层员工（提前3-6个月集中招聘与培训）：以周集镇及周边乡镇为主要招聘地，优先录用本地人员。设立“淮畔酒店学院”，开展为期1-2个月的封闭式岗前培训，内容涵盖服务礼仪、操作技能、安全知识、酒店文化等，确保服务标准统一。</w:t>
      </w:r>
    </w:p>
    <w:p w14:paraId="04D2A9D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薪酬与激励机制：设计具有市场竞争力的薪酬体系，实行“基本工资+绩效奖金+福利”的结构。设立“优秀员工奖”、“销售冠军奖”、“服务之星”等月度、年度奖项。探索将部分非核心、高利润部门（如KTV、洗浴）的收益与员工绩效强挂钩，激发团队活力。</w:t>
      </w:r>
    </w:p>
    <w:p w14:paraId="685B4AD7">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5.3 市场营销与客源开拓方案 </w:t>
      </w:r>
    </w:p>
    <w:p w14:paraId="176149A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市场营销是酒店生存与发展的生命线，本项目将实施“本地深耕、商务优先、宴席为王”的营销战略。</w:t>
      </w:r>
    </w:p>
    <w:p w14:paraId="2E3EBE2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市场定位：确立为“周集镇首席商务会议与婚宴接待中心”，主打“便捷、体面、一站式”的服务价值。</w:t>
      </w:r>
    </w:p>
    <w:p w14:paraId="5D283E4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核心客源开拓：</w:t>
      </w:r>
    </w:p>
    <w:p w14:paraId="2BBCD6E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协议客户：开业前即组建销售团队，与镇内及霍邱经济开发区的核心工矿企业（如张庄矿业）、物流公司、政府单位签订年度用房及餐饮协议，锁定基础客源。</w:t>
      </w:r>
    </w:p>
    <w:p w14:paraId="3E1F323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宴会市场：与本地所有婚庆公司、婚纱摄影机构建立深度合作，推出定制化婚宴套餐。组建专业宴会销售团队，深入周边乡镇、村庄进行定向推广，将本项目打造为本地婚宴、寿宴、满月酒的“首选场地”。</w:t>
      </w:r>
    </w:p>
    <w:p w14:paraId="61DD533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会议市场：针对企业年会、培训、产品发布会及政务会议，设计灵活的会议打包产品，并提供一站式会务服务。</w:t>
      </w:r>
    </w:p>
    <w:p w14:paraId="5B7A204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营销推广渠道：</w:t>
      </w:r>
    </w:p>
    <w:p w14:paraId="744826F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线下渠道：在交通要道设置大型广告牌；在本地电视台、广播电台、乡镇公交进行广告投放；定期举办客户答谢会、菜品品鉴会。</w:t>
      </w:r>
    </w:p>
    <w:p w14:paraId="7206293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线上渠道：上线主流OTA平台（携程、同程等）；建立并运营酒店微信公众号、视频号、抖音账号，定期发布优惠活动、宴会案例、特色菜品；与本地生活类自媒体KOL合作推广。</w:t>
      </w:r>
    </w:p>
    <w:p w14:paraId="3E5DD91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会员体系：建立酒店自有会员体系，对常客、宴会客户给予积分、折扣、升级等专属权益，增强客户粘性。</w:t>
      </w:r>
    </w:p>
    <w:p w14:paraId="374DCE53">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5.4 运营管理与成本控制 </w:t>
      </w:r>
    </w:p>
    <w:p w14:paraId="1ED4F275">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标准化服务流程：导入三星级酒店服务标准，编制涵盖前厅、客房、餐饮、安保等各环节的《运营标准作业程序（SOP）手册》，确保服务品质的稳定与可衡量。</w:t>
      </w:r>
    </w:p>
    <w:p w14:paraId="5B71AC0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采购与成本控制：</w:t>
      </w:r>
    </w:p>
    <w:p w14:paraId="6F2D2DE5">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集中采购：对布草、客耗品、清洁剂等实行总部集中招标采购，降低成本。</w:t>
      </w:r>
    </w:p>
    <w:p w14:paraId="50C9B49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本地化采购：蔬菜、禽肉、水产等生鲜食材优先与本地农业合作社、大型农户建立直供关系，既保证食材新鲜、降低成本，又体现社会效益。</w:t>
      </w:r>
    </w:p>
    <w:p w14:paraId="23D2EB8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能源管理：工程部负责对水、电、气的消耗进行每日计量与分析，实施节能改造，将能耗成本控制在营业收入的6%-8%以内。</w:t>
      </w:r>
    </w:p>
    <w:p w14:paraId="7186B29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财务管理：实行全面预算管理，严格执行采购审批、费用报销流程。财务部每月进行经营分析，向管理层提供收入、成本、GOP（经营毛利）等关键数据报告，为决策提供支持。</w:t>
      </w:r>
    </w:p>
    <w:p w14:paraId="354A8E8A">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5.5 风险管理与应急预案 </w:t>
      </w:r>
    </w:p>
    <w:p w14:paraId="5F24CD6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市场风险应对：建立客户数据库，定期进行客户满意度调查，及时调整产品与服务。保持价格体系的灵活性，针对淡季和竞争对手推出刺激性促销方案。</w:t>
      </w:r>
    </w:p>
    <w:p w14:paraId="7B68B41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安全风险应对：制定详细的消防、治安、食品安全、公共卫生等应急预案，定期组织演练。工程安保部24小时值守，确保监控无死角，消防设施完好有效。</w:t>
      </w:r>
    </w:p>
    <w:p w14:paraId="06A7232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舆情风险应对：指定专人对网络评价、客诉进行监控与及时响应，建立“首问负责制”，将问题化解在萌芽状态，维护酒店品牌声誉。</w:t>
      </w:r>
    </w:p>
    <w:p w14:paraId="039116F5">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科学合理的组织架构是骨架，专业敬业的人才团队是血液，精准高效的市场营销是引擎，而严格的成本与风险管理是刹车。本运营方案旨在构建一个充满活力又稳健可靠的运营体系，确保淮畔大酒店在激烈的市场竞争中不仅能成功开业，更能实现可持续的盈利与发展，最终成为深植于周集镇、深受客户信赖的卓越服务企业。</w:t>
      </w:r>
    </w:p>
    <w:p w14:paraId="59EA4AA5">
      <w:pPr>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br w:type="page"/>
      </w:r>
    </w:p>
    <w:p w14:paraId="30EDAD7A">
      <w:pPr>
        <w:pStyle w:val="6"/>
        <w:keepNext w:val="0"/>
        <w:keepLines w:val="0"/>
        <w:pageBreakBefore w:val="0"/>
        <w:widowControl/>
        <w:tabs>
          <w:tab w:val="left" w:pos="3642"/>
        </w:tabs>
        <w:kinsoku/>
        <w:wordWrap w:val="0"/>
        <w:overflowPunct/>
        <w:topLinePunct/>
        <w:autoSpaceDE w:val="0"/>
        <w:autoSpaceDN w:val="0"/>
        <w:bidi w:val="0"/>
        <w:adjustRightInd w:val="0"/>
        <w:snapToGrid w:val="0"/>
        <w:spacing w:after="0" w:afterLines="0" w:afterAutospacing="0" w:line="360" w:lineRule="auto"/>
        <w:ind w:left="0" w:leftChars="0" w:firstLine="0" w:firstLineChars="0"/>
        <w:jc w:val="center"/>
        <w:textAlignment w:val="baseline"/>
        <w:outlineLvl w:val="0"/>
        <w:rPr>
          <w:rFonts w:hint="default" w:ascii="Times New Roman" w:hAnsi="Times New Roman" w:eastAsia="宋体" w:cs="Times New Roman"/>
          <w:b/>
          <w:snapToGrid w:val="0"/>
          <w:color w:val="auto"/>
          <w:kern w:val="2"/>
          <w:sz w:val="32"/>
          <w:szCs w:val="32"/>
          <w:highlight w:val="none"/>
          <w:lang w:val="en-US" w:eastAsia="zh-CN" w:bidi="ar-SA"/>
        </w:rPr>
      </w:pPr>
      <w:r>
        <w:rPr>
          <w:rFonts w:hint="default" w:ascii="Times New Roman" w:hAnsi="Times New Roman" w:eastAsia="宋体" w:cs="Times New Roman"/>
          <w:b/>
          <w:snapToGrid w:val="0"/>
          <w:color w:val="auto"/>
          <w:kern w:val="2"/>
          <w:sz w:val="32"/>
          <w:szCs w:val="32"/>
          <w:highlight w:val="none"/>
          <w:lang w:val="en-US" w:eastAsia="zh-CN" w:bidi="ar-SA"/>
        </w:rPr>
        <w:t>第六章 投资估算与资金筹措</w:t>
      </w:r>
    </w:p>
    <w:p w14:paraId="7EC9FDF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本章节旨在对本项目（霍邱县周集淮畔大酒店）的建设总投资及其构成进行详细估算，并明确相应的资金来源与筹措方案，为项目的财务评估与投资决策提供依据。</w:t>
      </w:r>
    </w:p>
    <w:p w14:paraId="100A2ADF">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6.1 编制依据与说明 </w:t>
      </w:r>
    </w:p>
    <w:p w14:paraId="6A99E15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编制依据：本投资估算依据国家、安徽省及六安市现行的建设工程造价定额、相关行业取费标准，结合霍邱县及周集镇当地的建筑材料、人工、设备市场价格信息，并参考同类酒店的竣工决算数据进行编制。同时，充分考虑了本项目项目建议书、建设规模、设计方案（详见前面章节）及《安徽省建设工程工程量清单计价规范》等规定。</w:t>
      </w:r>
    </w:p>
    <w:p w14:paraId="693A1B6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编制范围：本估算范围涵盖从项目筹建至竣工验收、达到开业条件为止的全部静态投资，以及为维持开业初期运营所需的铺底流动资金。主要费用包括：土地费用、建安工程、设备购置、其他费用、预备费及流动资金。</w:t>
      </w:r>
    </w:p>
    <w:p w14:paraId="1B02704B">
      <w:pPr>
        <w:pStyle w:val="6"/>
        <w:autoSpaceDE w:val="0"/>
        <w:autoSpaceDN w:val="0"/>
        <w:spacing w:line="360" w:lineRule="auto"/>
        <w:ind w:firstLine="480" w:firstLineChars="200"/>
        <w:jc w:val="both"/>
        <w:rPr>
          <w:rFonts w:hint="default" w:ascii="Times New Roman" w:hAnsi="Times New Roman" w:eastAsia="宋体" w:cs="Times New Roman"/>
          <w:szCs w:val="21"/>
          <w:lang w:val="en-US" w:eastAsia="zh-CN"/>
        </w:rPr>
      </w:pPr>
      <w:r>
        <w:rPr>
          <w:rFonts w:hint="default" w:ascii="Times New Roman" w:hAnsi="Times New Roman" w:eastAsia="宋体" w:cs="Times New Roman"/>
          <w:color w:val="auto"/>
          <w:kern w:val="0"/>
          <w:highlight w:val="none"/>
          <w:lang w:val="en-US" w:eastAsia="zh-CN"/>
        </w:rPr>
        <w:t>价格基准：估算采用的物价水平为2026年初水平。在计算预备费时已考虑建设期内可</w:t>
      </w:r>
      <w:r>
        <w:rPr>
          <w:rFonts w:hint="default" w:ascii="Times New Roman" w:hAnsi="Times New Roman" w:eastAsia="宋体" w:cs="Times New Roman"/>
          <w:szCs w:val="21"/>
          <w:lang w:val="en-US" w:eastAsia="zh-CN"/>
        </w:rPr>
        <w:t>能的物价上涨因素。</w:t>
      </w:r>
    </w:p>
    <w:p w14:paraId="29B47199">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6.2 总投资估算 </w:t>
      </w:r>
    </w:p>
    <w:p w14:paraId="16EB2DE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经详细测算，霍邱县周集淮畔大酒店建设项目估算总投资为10,000万元人民币。具体构成详见下表。</w:t>
      </w:r>
    </w:p>
    <w:p w14:paraId="7A39419F">
      <w:pPr>
        <w:pStyle w:val="6"/>
        <w:autoSpaceDE w:val="0"/>
        <w:autoSpaceDN w:val="0"/>
        <w:spacing w:line="360" w:lineRule="auto"/>
        <w:jc w:val="center"/>
        <w:rPr>
          <w:rFonts w:hint="default" w:ascii="Times New Roman" w:hAnsi="Times New Roman" w:eastAsia="宋体" w:cs="Times New Roman"/>
          <w:b/>
          <w:bCs/>
          <w:color w:val="auto"/>
          <w:kern w:val="0"/>
          <w:highlight w:val="none"/>
          <w:lang w:val="en-US" w:eastAsia="zh-CN"/>
        </w:rPr>
      </w:pPr>
      <w:r>
        <w:rPr>
          <w:rFonts w:hint="default" w:ascii="Times New Roman" w:hAnsi="Times New Roman" w:eastAsia="宋体" w:cs="Times New Roman"/>
          <w:b/>
          <w:bCs/>
          <w:color w:val="auto"/>
          <w:kern w:val="0"/>
          <w:highlight w:val="none"/>
          <w:lang w:val="en-US" w:eastAsia="zh-CN"/>
        </w:rPr>
        <w:t>项目总投资估算表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6"/>
        <w:gridCol w:w="2310"/>
        <w:gridCol w:w="1140"/>
        <w:gridCol w:w="880"/>
        <w:gridCol w:w="3626"/>
      </w:tblGrid>
      <w:tr w14:paraId="1E27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tcPr>
          <w:p w14:paraId="35E43AFB">
            <w:pPr>
              <w:spacing w:line="240" w:lineRule="auto"/>
              <w:rPr>
                <w:rFonts w:hint="default" w:ascii="Times New Roman" w:hAnsi="Times New Roman" w:eastAsia="宋体" w:cs="Times New Roman"/>
                <w:szCs w:val="21"/>
                <w:vertAlign w:val="baseline"/>
                <w:lang w:val="en-US" w:eastAsia="zh-CN"/>
              </w:rPr>
            </w:pPr>
            <w:r>
              <w:rPr>
                <w:rFonts w:hint="default" w:ascii="Times New Roman" w:hAnsi="Times New Roman" w:eastAsia="宋体" w:cs="Times New Roman"/>
                <w:szCs w:val="21"/>
                <w:lang w:val="en-US" w:eastAsia="zh-CN"/>
              </w:rPr>
              <w:t>序号</w:t>
            </w:r>
          </w:p>
        </w:tc>
        <w:tc>
          <w:tcPr>
            <w:tcW w:w="2310" w:type="dxa"/>
          </w:tcPr>
          <w:p w14:paraId="6DB12249">
            <w:pPr>
              <w:spacing w:line="240" w:lineRule="auto"/>
              <w:rPr>
                <w:rFonts w:hint="default" w:ascii="Times New Roman" w:hAnsi="Times New Roman" w:eastAsia="宋体" w:cs="Times New Roman"/>
                <w:szCs w:val="21"/>
                <w:vertAlign w:val="baseline"/>
                <w:lang w:val="en-US" w:eastAsia="zh-CN"/>
              </w:rPr>
            </w:pPr>
            <w:r>
              <w:rPr>
                <w:rFonts w:hint="default" w:ascii="Times New Roman" w:hAnsi="Times New Roman" w:eastAsia="宋体" w:cs="Times New Roman"/>
                <w:szCs w:val="21"/>
                <w:lang w:val="en-US" w:eastAsia="zh-CN"/>
              </w:rPr>
              <w:t>费用名称</w:t>
            </w:r>
          </w:p>
        </w:tc>
        <w:tc>
          <w:tcPr>
            <w:tcW w:w="1140" w:type="dxa"/>
          </w:tcPr>
          <w:p w14:paraId="6DA91E88">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估算金额</w:t>
            </w:r>
          </w:p>
          <w:p w14:paraId="477F4D71">
            <w:pPr>
              <w:spacing w:line="240" w:lineRule="auto"/>
              <w:rPr>
                <w:rFonts w:hint="default" w:ascii="Times New Roman" w:hAnsi="Times New Roman" w:eastAsia="宋体" w:cs="Times New Roman"/>
                <w:szCs w:val="21"/>
                <w:vertAlign w:val="baseline"/>
                <w:lang w:val="en-US" w:eastAsia="zh-CN"/>
              </w:rPr>
            </w:pPr>
            <w:r>
              <w:rPr>
                <w:rFonts w:hint="default" w:ascii="Times New Roman" w:hAnsi="Times New Roman" w:eastAsia="宋体" w:cs="Times New Roman"/>
                <w:szCs w:val="21"/>
                <w:lang w:val="en-US" w:eastAsia="zh-CN"/>
              </w:rPr>
              <w:t>（万元）</w:t>
            </w:r>
          </w:p>
        </w:tc>
        <w:tc>
          <w:tcPr>
            <w:tcW w:w="880" w:type="dxa"/>
          </w:tcPr>
          <w:p w14:paraId="45588542">
            <w:pPr>
              <w:spacing w:line="240" w:lineRule="auto"/>
              <w:rPr>
                <w:rFonts w:hint="default" w:ascii="Times New Roman" w:hAnsi="Times New Roman" w:eastAsia="宋体" w:cs="Times New Roman"/>
                <w:szCs w:val="21"/>
                <w:vertAlign w:val="baseline"/>
                <w:lang w:val="en-US" w:eastAsia="zh-CN"/>
              </w:rPr>
            </w:pPr>
            <w:r>
              <w:rPr>
                <w:rFonts w:hint="default" w:ascii="Times New Roman" w:hAnsi="Times New Roman" w:eastAsia="宋体" w:cs="Times New Roman"/>
                <w:szCs w:val="21"/>
                <w:lang w:val="en-US" w:eastAsia="zh-CN"/>
              </w:rPr>
              <w:t>占比</w:t>
            </w:r>
          </w:p>
        </w:tc>
        <w:tc>
          <w:tcPr>
            <w:tcW w:w="3626" w:type="dxa"/>
          </w:tcPr>
          <w:p w14:paraId="059AD10A">
            <w:pPr>
              <w:spacing w:line="240" w:lineRule="auto"/>
              <w:rPr>
                <w:rFonts w:hint="default" w:ascii="Times New Roman" w:hAnsi="Times New Roman" w:eastAsia="宋体" w:cs="Times New Roman"/>
                <w:szCs w:val="21"/>
                <w:vertAlign w:val="baseline"/>
                <w:lang w:val="en-US" w:eastAsia="zh-CN"/>
              </w:rPr>
            </w:pPr>
            <w:r>
              <w:rPr>
                <w:rFonts w:hint="default" w:ascii="Times New Roman" w:hAnsi="Times New Roman" w:eastAsia="宋体" w:cs="Times New Roman"/>
                <w:szCs w:val="21"/>
                <w:lang w:val="en-US" w:eastAsia="zh-CN"/>
              </w:rPr>
              <w:t>计算依据及说明</w:t>
            </w:r>
          </w:p>
        </w:tc>
      </w:tr>
      <w:tr w14:paraId="46B7D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shd w:val="clear" w:color="auto" w:fill="auto"/>
            <w:vAlign w:val="center"/>
          </w:tcPr>
          <w:p w14:paraId="0676ADAB">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1​</w:t>
            </w:r>
          </w:p>
        </w:tc>
        <w:tc>
          <w:tcPr>
            <w:tcW w:w="2310" w:type="dxa"/>
            <w:shd w:val="clear" w:color="auto" w:fill="auto"/>
            <w:vAlign w:val="center"/>
          </w:tcPr>
          <w:p w14:paraId="70729559">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土地及建筑工程费用​</w:t>
            </w:r>
          </w:p>
        </w:tc>
        <w:tc>
          <w:tcPr>
            <w:tcW w:w="1140" w:type="dxa"/>
            <w:shd w:val="clear" w:color="auto" w:fill="auto"/>
            <w:vAlign w:val="center"/>
          </w:tcPr>
          <w:p w14:paraId="2B28FE93">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3,200​</w:t>
            </w:r>
          </w:p>
        </w:tc>
        <w:tc>
          <w:tcPr>
            <w:tcW w:w="880" w:type="dxa"/>
            <w:shd w:val="clear" w:color="auto" w:fill="auto"/>
            <w:vAlign w:val="center"/>
          </w:tcPr>
          <w:p w14:paraId="797C82B2">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32.0%</w:t>
            </w:r>
          </w:p>
        </w:tc>
        <w:tc>
          <w:tcPr>
            <w:tcW w:w="3626" w:type="dxa"/>
            <w:shd w:val="clear" w:color="auto" w:fill="auto"/>
            <w:vAlign w:val="center"/>
          </w:tcPr>
          <w:p w14:paraId="6BBE99AB">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含土地出让金、拆迁补偿、土石方、基础、主体结构、砌筑、屋面、防水等。</w:t>
            </w:r>
          </w:p>
        </w:tc>
      </w:tr>
      <w:tr w14:paraId="0FFC4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shd w:val="clear" w:color="auto" w:fill="auto"/>
            <w:vAlign w:val="center"/>
          </w:tcPr>
          <w:p w14:paraId="0F0286DA">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w:t>
            </w:r>
          </w:p>
        </w:tc>
        <w:tc>
          <w:tcPr>
            <w:tcW w:w="2310" w:type="dxa"/>
            <w:shd w:val="clear" w:color="auto" w:fill="auto"/>
            <w:vAlign w:val="center"/>
          </w:tcPr>
          <w:p w14:paraId="6B688B3F">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装饰装修工程费用​</w:t>
            </w:r>
          </w:p>
        </w:tc>
        <w:tc>
          <w:tcPr>
            <w:tcW w:w="1140" w:type="dxa"/>
            <w:shd w:val="clear" w:color="auto" w:fill="auto"/>
            <w:vAlign w:val="center"/>
          </w:tcPr>
          <w:p w14:paraId="36B2B712">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2,100​</w:t>
            </w:r>
          </w:p>
        </w:tc>
        <w:tc>
          <w:tcPr>
            <w:tcW w:w="880" w:type="dxa"/>
            <w:shd w:val="clear" w:color="auto" w:fill="auto"/>
            <w:vAlign w:val="center"/>
          </w:tcPr>
          <w:p w14:paraId="2C2E0FFF">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21.0%</w:t>
            </w:r>
          </w:p>
        </w:tc>
        <w:tc>
          <w:tcPr>
            <w:tcW w:w="3626" w:type="dxa"/>
            <w:shd w:val="clear" w:color="auto" w:fill="auto"/>
            <w:vAlign w:val="center"/>
          </w:tcPr>
          <w:p w14:paraId="39D4C1D1">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含室内外全部精装修，公共区域、客房、餐饮包厢等装饰，外立面装饰工程。</w:t>
            </w:r>
          </w:p>
        </w:tc>
      </w:tr>
      <w:tr w14:paraId="7D3D9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shd w:val="clear" w:color="auto" w:fill="auto"/>
            <w:vAlign w:val="center"/>
          </w:tcPr>
          <w:p w14:paraId="50E73620">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3​</w:t>
            </w:r>
          </w:p>
        </w:tc>
        <w:tc>
          <w:tcPr>
            <w:tcW w:w="2310" w:type="dxa"/>
            <w:shd w:val="clear" w:color="auto" w:fill="auto"/>
            <w:vAlign w:val="center"/>
          </w:tcPr>
          <w:p w14:paraId="0D379925">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设备购置及安装费用​</w:t>
            </w:r>
          </w:p>
        </w:tc>
        <w:tc>
          <w:tcPr>
            <w:tcW w:w="1140" w:type="dxa"/>
            <w:shd w:val="clear" w:color="auto" w:fill="auto"/>
            <w:vAlign w:val="center"/>
          </w:tcPr>
          <w:p w14:paraId="63B1373A">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1,500​</w:t>
            </w:r>
          </w:p>
        </w:tc>
        <w:tc>
          <w:tcPr>
            <w:tcW w:w="880" w:type="dxa"/>
            <w:shd w:val="clear" w:color="auto" w:fill="auto"/>
            <w:vAlign w:val="center"/>
          </w:tcPr>
          <w:p w14:paraId="2B70C24D">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15.0%</w:t>
            </w:r>
          </w:p>
        </w:tc>
        <w:tc>
          <w:tcPr>
            <w:tcW w:w="3626" w:type="dxa"/>
            <w:shd w:val="clear" w:color="auto" w:fill="auto"/>
            <w:vAlign w:val="center"/>
          </w:tcPr>
          <w:p w14:paraId="594EE96B">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含暖通空调、电梯、强弱电及智能化、消防、给排水、厨房洗衣、娱乐等全套设备购置与安装。</w:t>
            </w:r>
          </w:p>
        </w:tc>
      </w:tr>
      <w:tr w14:paraId="5D8EE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shd w:val="clear" w:color="auto" w:fill="auto"/>
            <w:vAlign w:val="center"/>
          </w:tcPr>
          <w:p w14:paraId="352C3EF9">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4​</w:t>
            </w:r>
          </w:p>
        </w:tc>
        <w:tc>
          <w:tcPr>
            <w:tcW w:w="2310" w:type="dxa"/>
            <w:shd w:val="clear" w:color="auto" w:fill="auto"/>
            <w:vAlign w:val="center"/>
          </w:tcPr>
          <w:p w14:paraId="16365DFB">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室外及配套工程​</w:t>
            </w:r>
          </w:p>
        </w:tc>
        <w:tc>
          <w:tcPr>
            <w:tcW w:w="1140" w:type="dxa"/>
            <w:shd w:val="clear" w:color="auto" w:fill="auto"/>
            <w:vAlign w:val="center"/>
          </w:tcPr>
          <w:p w14:paraId="67640584">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350​</w:t>
            </w:r>
          </w:p>
        </w:tc>
        <w:tc>
          <w:tcPr>
            <w:tcW w:w="880" w:type="dxa"/>
            <w:shd w:val="clear" w:color="auto" w:fill="auto"/>
            <w:vAlign w:val="center"/>
          </w:tcPr>
          <w:p w14:paraId="355D881F">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3.5%</w:t>
            </w:r>
          </w:p>
        </w:tc>
        <w:tc>
          <w:tcPr>
            <w:tcW w:w="3626" w:type="dxa"/>
            <w:shd w:val="clear" w:color="auto" w:fill="auto"/>
            <w:vAlign w:val="center"/>
          </w:tcPr>
          <w:p w14:paraId="099A3AAC">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含生态停车场、道路、管网、景观绿化、围墙大门及红线外接驳工程。</w:t>
            </w:r>
          </w:p>
        </w:tc>
      </w:tr>
      <w:tr w14:paraId="69A0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shd w:val="clear" w:color="auto" w:fill="auto"/>
            <w:vAlign w:val="center"/>
          </w:tcPr>
          <w:p w14:paraId="14286B19">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5​</w:t>
            </w:r>
          </w:p>
        </w:tc>
        <w:tc>
          <w:tcPr>
            <w:tcW w:w="2310" w:type="dxa"/>
            <w:shd w:val="clear" w:color="auto" w:fill="auto"/>
            <w:vAlign w:val="center"/>
          </w:tcPr>
          <w:p w14:paraId="31BE9D32">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工程建设其他费用​</w:t>
            </w:r>
          </w:p>
        </w:tc>
        <w:tc>
          <w:tcPr>
            <w:tcW w:w="1140" w:type="dxa"/>
            <w:shd w:val="clear" w:color="auto" w:fill="auto"/>
            <w:vAlign w:val="center"/>
          </w:tcPr>
          <w:p w14:paraId="10270F46">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150​</w:t>
            </w:r>
          </w:p>
        </w:tc>
        <w:tc>
          <w:tcPr>
            <w:tcW w:w="880" w:type="dxa"/>
            <w:shd w:val="clear" w:color="auto" w:fill="auto"/>
            <w:vAlign w:val="center"/>
          </w:tcPr>
          <w:p w14:paraId="55C5C1B8">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1.5%</w:t>
            </w:r>
          </w:p>
        </w:tc>
        <w:tc>
          <w:tcPr>
            <w:tcW w:w="3626" w:type="dxa"/>
            <w:shd w:val="clear" w:color="auto" w:fill="auto"/>
            <w:vAlign w:val="center"/>
          </w:tcPr>
          <w:p w14:paraId="1B4D4F83">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含建设单位管理费、勘察设计费、工程监理费、环境影响评价费、前期工作咨询费等。</w:t>
            </w:r>
          </w:p>
        </w:tc>
      </w:tr>
      <w:tr w14:paraId="168BA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shd w:val="clear" w:color="auto" w:fill="auto"/>
            <w:vAlign w:val="center"/>
          </w:tcPr>
          <w:p w14:paraId="7039D722">
            <w:pPr>
              <w:spacing w:line="240" w:lineRule="auto"/>
              <w:ind w:firstLine="420" w:firstLineChars="200"/>
              <w:rPr>
                <w:rFonts w:hint="default" w:ascii="Times New Roman" w:hAnsi="Times New Roman" w:eastAsia="宋体" w:cs="Times New Roman"/>
                <w:kern w:val="2"/>
                <w:sz w:val="21"/>
                <w:szCs w:val="21"/>
                <w:lang w:val="en-US" w:eastAsia="zh-CN" w:bidi="ar-SA"/>
              </w:rPr>
            </w:pPr>
          </w:p>
        </w:tc>
        <w:tc>
          <w:tcPr>
            <w:tcW w:w="2310" w:type="dxa"/>
            <w:shd w:val="clear" w:color="auto" w:fill="auto"/>
            <w:vAlign w:val="center"/>
          </w:tcPr>
          <w:p w14:paraId="688594F1">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一至五项合计​</w:t>
            </w:r>
          </w:p>
        </w:tc>
        <w:tc>
          <w:tcPr>
            <w:tcW w:w="1140" w:type="dxa"/>
            <w:shd w:val="clear" w:color="auto" w:fill="auto"/>
            <w:vAlign w:val="center"/>
          </w:tcPr>
          <w:p w14:paraId="3BD8D9CC">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7,300​</w:t>
            </w:r>
          </w:p>
        </w:tc>
        <w:tc>
          <w:tcPr>
            <w:tcW w:w="880" w:type="dxa"/>
            <w:shd w:val="clear" w:color="auto" w:fill="auto"/>
            <w:vAlign w:val="center"/>
          </w:tcPr>
          <w:p w14:paraId="7DC6C850">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73.0%</w:t>
            </w:r>
          </w:p>
        </w:tc>
        <w:tc>
          <w:tcPr>
            <w:tcW w:w="3626" w:type="dxa"/>
            <w:shd w:val="clear" w:color="auto" w:fill="auto"/>
            <w:vAlign w:val="center"/>
          </w:tcPr>
          <w:p w14:paraId="025FBC5B">
            <w:pPr>
              <w:spacing w:line="240" w:lineRule="auto"/>
              <w:ind w:firstLine="420" w:firstLineChars="200"/>
              <w:rPr>
                <w:rFonts w:hint="default" w:ascii="Times New Roman" w:hAnsi="Times New Roman" w:eastAsia="宋体" w:cs="Times New Roman"/>
                <w:kern w:val="2"/>
                <w:sz w:val="21"/>
                <w:szCs w:val="21"/>
                <w:lang w:val="en-US" w:eastAsia="zh-CN" w:bidi="ar-SA"/>
              </w:rPr>
            </w:pPr>
          </w:p>
        </w:tc>
      </w:tr>
      <w:tr w14:paraId="3B377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shd w:val="clear" w:color="auto" w:fill="auto"/>
            <w:vAlign w:val="center"/>
          </w:tcPr>
          <w:p w14:paraId="31CE5D03">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6​</w:t>
            </w:r>
          </w:p>
        </w:tc>
        <w:tc>
          <w:tcPr>
            <w:tcW w:w="2310" w:type="dxa"/>
            <w:shd w:val="clear" w:color="auto" w:fill="auto"/>
            <w:vAlign w:val="center"/>
          </w:tcPr>
          <w:p w14:paraId="15610074">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预备费（基本预备费）​</w:t>
            </w:r>
          </w:p>
        </w:tc>
        <w:tc>
          <w:tcPr>
            <w:tcW w:w="1140" w:type="dxa"/>
            <w:shd w:val="clear" w:color="auto" w:fill="auto"/>
            <w:vAlign w:val="center"/>
          </w:tcPr>
          <w:p w14:paraId="670FE362">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730​</w:t>
            </w:r>
          </w:p>
        </w:tc>
        <w:tc>
          <w:tcPr>
            <w:tcW w:w="880" w:type="dxa"/>
            <w:shd w:val="clear" w:color="auto" w:fill="auto"/>
            <w:vAlign w:val="center"/>
          </w:tcPr>
          <w:p w14:paraId="21896C38">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7.3%</w:t>
            </w:r>
          </w:p>
        </w:tc>
        <w:tc>
          <w:tcPr>
            <w:tcW w:w="3626" w:type="dxa"/>
            <w:shd w:val="clear" w:color="auto" w:fill="auto"/>
            <w:vAlign w:val="center"/>
          </w:tcPr>
          <w:p w14:paraId="295A411B">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按第一至五项费用之和的10%计取，用于工程变更、一般自然灾害处理、隐蔽工程及不可预见费用。</w:t>
            </w:r>
          </w:p>
        </w:tc>
      </w:tr>
      <w:tr w14:paraId="7C004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shd w:val="clear" w:color="auto" w:fill="auto"/>
            <w:vAlign w:val="center"/>
          </w:tcPr>
          <w:p w14:paraId="5C50D513">
            <w:pPr>
              <w:spacing w:line="240" w:lineRule="auto"/>
              <w:ind w:firstLine="420" w:firstLineChars="200"/>
              <w:rPr>
                <w:rFonts w:hint="default" w:ascii="Times New Roman" w:hAnsi="Times New Roman" w:eastAsia="宋体" w:cs="Times New Roman"/>
                <w:kern w:val="2"/>
                <w:sz w:val="21"/>
                <w:szCs w:val="21"/>
                <w:lang w:val="en-US" w:eastAsia="zh-CN" w:bidi="ar-SA"/>
              </w:rPr>
            </w:pPr>
          </w:p>
        </w:tc>
        <w:tc>
          <w:tcPr>
            <w:tcW w:w="2310" w:type="dxa"/>
            <w:shd w:val="clear" w:color="auto" w:fill="auto"/>
            <w:vAlign w:val="center"/>
          </w:tcPr>
          <w:p w14:paraId="5D0CBAF9">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建设投资合计（1~6）​</w:t>
            </w:r>
          </w:p>
        </w:tc>
        <w:tc>
          <w:tcPr>
            <w:tcW w:w="1140" w:type="dxa"/>
            <w:shd w:val="clear" w:color="auto" w:fill="auto"/>
            <w:vAlign w:val="center"/>
          </w:tcPr>
          <w:p w14:paraId="606FCF4A">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8,030​</w:t>
            </w:r>
          </w:p>
        </w:tc>
        <w:tc>
          <w:tcPr>
            <w:tcW w:w="880" w:type="dxa"/>
            <w:shd w:val="clear" w:color="auto" w:fill="auto"/>
            <w:vAlign w:val="center"/>
          </w:tcPr>
          <w:p w14:paraId="715A665A">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80.3%</w:t>
            </w:r>
          </w:p>
        </w:tc>
        <w:tc>
          <w:tcPr>
            <w:tcW w:w="3626" w:type="dxa"/>
            <w:shd w:val="clear" w:color="auto" w:fill="auto"/>
            <w:vAlign w:val="center"/>
          </w:tcPr>
          <w:p w14:paraId="49F32FEE">
            <w:pPr>
              <w:spacing w:line="240" w:lineRule="auto"/>
              <w:ind w:firstLine="420" w:firstLineChars="200"/>
              <w:rPr>
                <w:rFonts w:hint="default" w:ascii="Times New Roman" w:hAnsi="Times New Roman" w:eastAsia="宋体" w:cs="Times New Roman"/>
                <w:kern w:val="2"/>
                <w:sz w:val="21"/>
                <w:szCs w:val="21"/>
                <w:lang w:val="en-US" w:eastAsia="zh-CN" w:bidi="ar-SA"/>
              </w:rPr>
            </w:pPr>
          </w:p>
        </w:tc>
      </w:tr>
      <w:tr w14:paraId="78F1F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shd w:val="clear" w:color="auto" w:fill="auto"/>
            <w:vAlign w:val="center"/>
          </w:tcPr>
          <w:p w14:paraId="000C722F">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7​</w:t>
            </w:r>
          </w:p>
        </w:tc>
        <w:tc>
          <w:tcPr>
            <w:tcW w:w="2310" w:type="dxa"/>
            <w:shd w:val="clear" w:color="auto" w:fill="auto"/>
            <w:vAlign w:val="center"/>
          </w:tcPr>
          <w:p w14:paraId="429D48DB">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流动资金​</w:t>
            </w:r>
          </w:p>
        </w:tc>
        <w:tc>
          <w:tcPr>
            <w:tcW w:w="1140" w:type="dxa"/>
            <w:shd w:val="clear" w:color="auto" w:fill="auto"/>
            <w:vAlign w:val="center"/>
          </w:tcPr>
          <w:p w14:paraId="7C1494A7">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1,970​</w:t>
            </w:r>
          </w:p>
        </w:tc>
        <w:tc>
          <w:tcPr>
            <w:tcW w:w="880" w:type="dxa"/>
            <w:shd w:val="clear" w:color="auto" w:fill="auto"/>
            <w:vAlign w:val="center"/>
          </w:tcPr>
          <w:p w14:paraId="2898C3C6">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19.7%</w:t>
            </w:r>
          </w:p>
        </w:tc>
        <w:tc>
          <w:tcPr>
            <w:tcW w:w="3626" w:type="dxa"/>
            <w:shd w:val="clear" w:color="auto" w:fill="auto"/>
            <w:vAlign w:val="center"/>
          </w:tcPr>
          <w:p w14:paraId="48534507">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为维持项目开业后正常运营所需采购原材料、燃料、支付工资及其他经营费用的周转资金。</w:t>
            </w:r>
          </w:p>
        </w:tc>
      </w:tr>
      <w:tr w14:paraId="0C8CF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shd w:val="clear" w:color="auto" w:fill="auto"/>
            <w:vAlign w:val="center"/>
          </w:tcPr>
          <w:p w14:paraId="2FCC2F04">
            <w:pPr>
              <w:spacing w:line="240" w:lineRule="auto"/>
              <w:ind w:firstLine="420" w:firstLineChars="200"/>
              <w:rPr>
                <w:rFonts w:hint="default" w:ascii="Times New Roman" w:hAnsi="Times New Roman" w:eastAsia="宋体" w:cs="Times New Roman"/>
                <w:kern w:val="2"/>
                <w:sz w:val="21"/>
                <w:szCs w:val="21"/>
                <w:lang w:val="en-US" w:eastAsia="zh-CN" w:bidi="ar-SA"/>
              </w:rPr>
            </w:pPr>
          </w:p>
        </w:tc>
        <w:tc>
          <w:tcPr>
            <w:tcW w:w="2310" w:type="dxa"/>
            <w:shd w:val="clear" w:color="auto" w:fill="auto"/>
            <w:vAlign w:val="center"/>
          </w:tcPr>
          <w:p w14:paraId="709C8FAA">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项目总投资（1~7）​</w:t>
            </w:r>
          </w:p>
        </w:tc>
        <w:tc>
          <w:tcPr>
            <w:tcW w:w="1140" w:type="dxa"/>
            <w:shd w:val="clear" w:color="auto" w:fill="auto"/>
            <w:vAlign w:val="center"/>
          </w:tcPr>
          <w:p w14:paraId="408E6BED">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10,000​</w:t>
            </w:r>
          </w:p>
        </w:tc>
        <w:tc>
          <w:tcPr>
            <w:tcW w:w="880" w:type="dxa"/>
            <w:shd w:val="clear" w:color="auto" w:fill="auto"/>
            <w:vAlign w:val="center"/>
          </w:tcPr>
          <w:p w14:paraId="471E6F12">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100.0%</w:t>
            </w:r>
          </w:p>
        </w:tc>
        <w:tc>
          <w:tcPr>
            <w:tcW w:w="3626" w:type="dxa"/>
            <w:shd w:val="clear" w:color="auto" w:fill="auto"/>
            <w:vAlign w:val="center"/>
          </w:tcPr>
          <w:p w14:paraId="778800C7">
            <w:pPr>
              <w:spacing w:line="240" w:lineRule="auto"/>
              <w:ind w:firstLine="420" w:firstLineChars="200"/>
              <w:rPr>
                <w:rFonts w:hint="default" w:ascii="Times New Roman" w:hAnsi="Times New Roman" w:eastAsia="宋体" w:cs="Times New Roman"/>
                <w:kern w:val="2"/>
                <w:sz w:val="21"/>
                <w:szCs w:val="21"/>
                <w:lang w:val="en-US" w:eastAsia="zh-CN" w:bidi="ar-SA"/>
              </w:rPr>
            </w:pPr>
          </w:p>
        </w:tc>
      </w:tr>
    </w:tbl>
    <w:p w14:paraId="5858E00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关键指标：项目单间客房投资为100万元/间（总投资/100间），单位建筑面积投资约为7,143元/平方米（总投资/14,000平方米）。</w:t>
      </w:r>
    </w:p>
    <w:p w14:paraId="239B37FF">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6.3 资金筹措方案 </w:t>
      </w:r>
    </w:p>
    <w:p w14:paraId="2D2141D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为确保项目顺利实施，本项目总投资10,000万元人民币，拟通过企业自筹、银行贷款及争取政策性资金三种渠道进行筹措。具体方案详见下表。</w:t>
      </w:r>
    </w:p>
    <w:p w14:paraId="4B381BB6">
      <w:pPr>
        <w:pStyle w:val="6"/>
        <w:autoSpaceDE w:val="0"/>
        <w:autoSpaceDN w:val="0"/>
        <w:spacing w:line="360" w:lineRule="auto"/>
        <w:jc w:val="center"/>
        <w:rPr>
          <w:rFonts w:hint="default" w:ascii="Times New Roman" w:hAnsi="Times New Roman" w:eastAsia="宋体" w:cs="Times New Roman"/>
          <w:b/>
          <w:bCs/>
          <w:color w:val="auto"/>
          <w:kern w:val="0"/>
          <w:highlight w:val="none"/>
          <w:lang w:val="en-US" w:eastAsia="zh-CN"/>
        </w:rPr>
      </w:pPr>
      <w:r>
        <w:rPr>
          <w:rFonts w:hint="default" w:ascii="Times New Roman" w:hAnsi="Times New Roman" w:eastAsia="宋体" w:cs="Times New Roman"/>
          <w:b/>
          <w:bCs/>
          <w:color w:val="auto"/>
          <w:kern w:val="0"/>
          <w:highlight w:val="none"/>
          <w:lang w:val="en-US" w:eastAsia="zh-CN"/>
        </w:rPr>
        <w:t>项目资金筹措方案表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6"/>
        <w:gridCol w:w="1180"/>
        <w:gridCol w:w="1260"/>
        <w:gridCol w:w="980"/>
        <w:gridCol w:w="4436"/>
      </w:tblGrid>
      <w:tr w14:paraId="1DBAF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shd w:val="clear" w:color="auto" w:fill="auto"/>
            <w:vAlign w:val="center"/>
          </w:tcPr>
          <w:p w14:paraId="109F2067">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序号</w:t>
            </w:r>
          </w:p>
        </w:tc>
        <w:tc>
          <w:tcPr>
            <w:tcW w:w="1180" w:type="dxa"/>
            <w:shd w:val="clear" w:color="auto" w:fill="auto"/>
            <w:vAlign w:val="center"/>
          </w:tcPr>
          <w:p w14:paraId="40FF09FD">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资金筹</w:t>
            </w:r>
          </w:p>
          <w:p w14:paraId="75E07C16">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措渠道</w:t>
            </w:r>
          </w:p>
        </w:tc>
        <w:tc>
          <w:tcPr>
            <w:tcW w:w="1260" w:type="dxa"/>
            <w:shd w:val="clear" w:color="auto" w:fill="auto"/>
            <w:vAlign w:val="center"/>
          </w:tcPr>
          <w:p w14:paraId="334D2359">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筹措金额</w:t>
            </w:r>
          </w:p>
          <w:p w14:paraId="2E95599A">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（万元）</w:t>
            </w:r>
          </w:p>
        </w:tc>
        <w:tc>
          <w:tcPr>
            <w:tcW w:w="980" w:type="dxa"/>
            <w:shd w:val="clear" w:color="auto" w:fill="auto"/>
            <w:vAlign w:val="center"/>
          </w:tcPr>
          <w:p w14:paraId="6FB712E3">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占总投</w:t>
            </w:r>
          </w:p>
          <w:p w14:paraId="1731C7BF">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资比例</w:t>
            </w:r>
          </w:p>
        </w:tc>
        <w:tc>
          <w:tcPr>
            <w:tcW w:w="4436" w:type="dxa"/>
            <w:shd w:val="clear" w:color="auto" w:fill="auto"/>
            <w:vAlign w:val="center"/>
          </w:tcPr>
          <w:p w14:paraId="18AC94ED">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资金来源说明</w:t>
            </w:r>
          </w:p>
        </w:tc>
      </w:tr>
      <w:tr w14:paraId="6F977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shd w:val="clear" w:color="auto" w:fill="auto"/>
            <w:vAlign w:val="center"/>
          </w:tcPr>
          <w:p w14:paraId="4B863605">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1​</w:t>
            </w:r>
          </w:p>
        </w:tc>
        <w:tc>
          <w:tcPr>
            <w:tcW w:w="1180" w:type="dxa"/>
            <w:shd w:val="clear" w:color="auto" w:fill="auto"/>
            <w:vAlign w:val="center"/>
          </w:tcPr>
          <w:p w14:paraId="26686633">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资本金（企业自筹）​</w:t>
            </w:r>
          </w:p>
        </w:tc>
        <w:tc>
          <w:tcPr>
            <w:tcW w:w="1260" w:type="dxa"/>
            <w:shd w:val="clear" w:color="auto" w:fill="auto"/>
            <w:vAlign w:val="center"/>
          </w:tcPr>
          <w:p w14:paraId="70C41C7B">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6,000​</w:t>
            </w:r>
          </w:p>
        </w:tc>
        <w:tc>
          <w:tcPr>
            <w:tcW w:w="980" w:type="dxa"/>
            <w:shd w:val="clear" w:color="auto" w:fill="auto"/>
            <w:vAlign w:val="center"/>
          </w:tcPr>
          <w:p w14:paraId="455EAA90">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60%​</w:t>
            </w:r>
          </w:p>
        </w:tc>
        <w:tc>
          <w:tcPr>
            <w:tcW w:w="4436" w:type="dxa"/>
            <w:shd w:val="clear" w:color="auto" w:fill="auto"/>
            <w:vAlign w:val="center"/>
          </w:tcPr>
          <w:p w14:paraId="09FA834E">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由项目建设单位“安徽淮畔酒店有限公司”利用自有资金或通过股东增资方式解决，作为项目资本金先行投入。</w:t>
            </w:r>
          </w:p>
        </w:tc>
      </w:tr>
      <w:tr w14:paraId="3357D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shd w:val="clear" w:color="auto" w:fill="auto"/>
            <w:vAlign w:val="center"/>
          </w:tcPr>
          <w:p w14:paraId="38A0054C">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w:t>
            </w:r>
          </w:p>
        </w:tc>
        <w:tc>
          <w:tcPr>
            <w:tcW w:w="1180" w:type="dxa"/>
            <w:shd w:val="clear" w:color="auto" w:fill="auto"/>
            <w:vAlign w:val="center"/>
          </w:tcPr>
          <w:p w14:paraId="04B0C496">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银行贷款​</w:t>
            </w:r>
          </w:p>
        </w:tc>
        <w:tc>
          <w:tcPr>
            <w:tcW w:w="1260" w:type="dxa"/>
            <w:shd w:val="clear" w:color="auto" w:fill="auto"/>
            <w:vAlign w:val="center"/>
          </w:tcPr>
          <w:p w14:paraId="34498D45">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3,000​</w:t>
            </w:r>
          </w:p>
        </w:tc>
        <w:tc>
          <w:tcPr>
            <w:tcW w:w="980" w:type="dxa"/>
            <w:shd w:val="clear" w:color="auto" w:fill="auto"/>
            <w:vAlign w:val="center"/>
          </w:tcPr>
          <w:p w14:paraId="726E74FD">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30%​</w:t>
            </w:r>
          </w:p>
        </w:tc>
        <w:tc>
          <w:tcPr>
            <w:tcW w:w="4436" w:type="dxa"/>
            <w:shd w:val="clear" w:color="auto" w:fill="auto"/>
            <w:vAlign w:val="center"/>
          </w:tcPr>
          <w:p w14:paraId="36535453">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计划向商业银行（如当地农商行、农业银行等）申请中长期项目贷款，贷款期限8-10年，以项目资产或收益权作抵押。</w:t>
            </w:r>
          </w:p>
        </w:tc>
      </w:tr>
      <w:tr w14:paraId="6A067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shd w:val="clear" w:color="auto" w:fill="auto"/>
            <w:vAlign w:val="center"/>
          </w:tcPr>
          <w:p w14:paraId="48258362">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3​</w:t>
            </w:r>
          </w:p>
        </w:tc>
        <w:tc>
          <w:tcPr>
            <w:tcW w:w="1180" w:type="dxa"/>
            <w:shd w:val="clear" w:color="auto" w:fill="auto"/>
            <w:vAlign w:val="center"/>
          </w:tcPr>
          <w:p w14:paraId="06E77223">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争取政策资金​</w:t>
            </w:r>
          </w:p>
        </w:tc>
        <w:tc>
          <w:tcPr>
            <w:tcW w:w="1260" w:type="dxa"/>
            <w:shd w:val="clear" w:color="auto" w:fill="auto"/>
            <w:vAlign w:val="center"/>
          </w:tcPr>
          <w:p w14:paraId="50EBD112">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1,000​</w:t>
            </w:r>
          </w:p>
        </w:tc>
        <w:tc>
          <w:tcPr>
            <w:tcW w:w="980" w:type="dxa"/>
            <w:shd w:val="clear" w:color="auto" w:fill="auto"/>
            <w:vAlign w:val="center"/>
          </w:tcPr>
          <w:p w14:paraId="41376D35">
            <w:pPr>
              <w:spacing w:line="240" w:lineRule="auto"/>
              <w:rPr>
                <w:rFonts w:hint="default" w:ascii="Times New Roman" w:hAnsi="Times New Roman" w:eastAsia="宋体" w:cs="Times New Roman"/>
                <w:kern w:val="2"/>
                <w:sz w:val="21"/>
                <w:szCs w:val="21"/>
                <w:lang w:val="en-US" w:eastAsia="zh-CN" w:bidi="ar-SA"/>
              </w:rPr>
            </w:pPr>
            <w:bookmarkStart w:id="0" w:name="_GoBack"/>
            <w:bookmarkEnd w:id="0"/>
            <w:r>
              <w:rPr>
                <w:rFonts w:hint="default" w:ascii="Times New Roman" w:hAnsi="Times New Roman" w:eastAsia="宋体" w:cs="Times New Roman"/>
                <w:szCs w:val="21"/>
                <w:lang w:val="en-US" w:eastAsia="zh-CN"/>
              </w:rPr>
              <w:t>10%​</w:t>
            </w:r>
          </w:p>
        </w:tc>
        <w:tc>
          <w:tcPr>
            <w:tcW w:w="4436" w:type="dxa"/>
            <w:shd w:val="clear" w:color="auto" w:fill="auto"/>
            <w:vAlign w:val="center"/>
          </w:tcPr>
          <w:p w14:paraId="5185ABFA">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积极对接霍邱县乡村振兴局、发改委等部门，申请“乡村振兴衔接资金”等政策性补贴或低息贷款，降低融资成本。</w:t>
            </w:r>
          </w:p>
        </w:tc>
      </w:tr>
      <w:tr w14:paraId="6A39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Pr>
          <w:p w14:paraId="4D999BD2">
            <w:pPr>
              <w:spacing w:line="240" w:lineRule="auto"/>
              <w:rPr>
                <w:rFonts w:hint="default" w:ascii="Times New Roman" w:hAnsi="Times New Roman" w:eastAsia="宋体" w:cs="Times New Roman"/>
                <w:szCs w:val="21"/>
                <w:vertAlign w:val="baseline"/>
                <w:lang w:val="en-US" w:eastAsia="zh-CN"/>
              </w:rPr>
            </w:pPr>
          </w:p>
        </w:tc>
        <w:tc>
          <w:tcPr>
            <w:tcW w:w="1180" w:type="dxa"/>
            <w:shd w:val="clear" w:color="auto" w:fill="auto"/>
            <w:vAlign w:val="center"/>
          </w:tcPr>
          <w:p w14:paraId="41F82700">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资金筹措合计​</w:t>
            </w:r>
          </w:p>
        </w:tc>
        <w:tc>
          <w:tcPr>
            <w:tcW w:w="1260" w:type="dxa"/>
            <w:shd w:val="clear" w:color="auto" w:fill="auto"/>
            <w:vAlign w:val="center"/>
          </w:tcPr>
          <w:p w14:paraId="0C3B57B3">
            <w:pPr>
              <w:spacing w:line="24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10,000​</w:t>
            </w:r>
          </w:p>
        </w:tc>
        <w:tc>
          <w:tcPr>
            <w:tcW w:w="980" w:type="dxa"/>
            <w:shd w:val="clear" w:color="auto" w:fill="auto"/>
            <w:vAlign w:val="center"/>
          </w:tcPr>
          <w:p w14:paraId="7A48A9D7">
            <w:pPr>
              <w:spacing w:line="24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100%​</w:t>
            </w:r>
          </w:p>
        </w:tc>
        <w:tc>
          <w:tcPr>
            <w:tcW w:w="4436" w:type="dxa"/>
          </w:tcPr>
          <w:p w14:paraId="682437FF">
            <w:pPr>
              <w:spacing w:line="240" w:lineRule="auto"/>
              <w:rPr>
                <w:rFonts w:hint="default" w:ascii="Times New Roman" w:hAnsi="Times New Roman" w:eastAsia="宋体" w:cs="Times New Roman"/>
                <w:szCs w:val="21"/>
                <w:vertAlign w:val="baseline"/>
                <w:lang w:val="en-US" w:eastAsia="zh-CN"/>
              </w:rPr>
            </w:pPr>
          </w:p>
        </w:tc>
      </w:tr>
    </w:tbl>
    <w:p w14:paraId="1DD3E90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相关说明：</w:t>
      </w:r>
    </w:p>
    <w:p w14:paraId="7D234FE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资本金充足性：项目资本金比例高达60%，远超国家对商业房地产开发项目的最低资本金比例要求，体现了投资方雄厚的实力和坚定的信心，有利于降低项目整体财务风险，并为获取银行贷款提供了有利条件。</w:t>
      </w:r>
    </w:p>
    <w:p w14:paraId="27243D3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融资可行性：项目自身具备稳定的盈利预期（年均净利润1,300万元）和充足的现金流覆盖能力，能够满足银行贷款的偿债要求。同时，项目符合国家乡村振兴战略导向，争取政策性资金支持具有充分的合理性和可行性。</w:t>
      </w:r>
    </w:p>
    <w:p w14:paraId="19D5BAF5">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6.4 资金使用计划 </w:t>
      </w:r>
    </w:p>
    <w:p w14:paraId="55EAF91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根据本项目建设进度规划（总工期14个月），建设投资（8,030万元）将根据工程进度分期投入。流动资金（1,970万元）将在项目开业前陆续投入，确保运营启动。详细的分年度/分阶段资金使用计划将在项目获得批准后，在初步设计阶段进一步细化编制。</w:t>
      </w:r>
    </w:p>
    <w:p w14:paraId="5CB612C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综上所述，本项目投资估算依据充分，构成合理。总投资10,000万元，其中建设投资8,030万元，流动资金1,970万元。资金筹措方案以企业自筹（60%）为主，银行贷款（30%）和政策性资金（10%）为辅，结构稳健，来源可靠，能够有效保障项目建设的资金需求，为项目的顺利实施和成功运营奠定了坚实的财务基础。</w:t>
      </w:r>
    </w:p>
    <w:p w14:paraId="74EDB32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54018BC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0993DF3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56AA612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0001B2A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617D391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6CCC288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1FDE690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2FC98820">
      <w:pPr>
        <w:rPr>
          <w:rFonts w:hint="default" w:ascii="Times New Roman" w:hAnsi="Times New Roman" w:eastAsia="宋体" w:cs="Times New Roman"/>
          <w:b/>
          <w:snapToGrid w:val="0"/>
          <w:color w:val="auto"/>
          <w:kern w:val="2"/>
          <w:sz w:val="32"/>
          <w:szCs w:val="32"/>
          <w:highlight w:val="none"/>
          <w:lang w:val="en-US" w:eastAsia="zh-CN" w:bidi="ar-SA"/>
        </w:rPr>
      </w:pPr>
      <w:r>
        <w:rPr>
          <w:rFonts w:hint="default" w:ascii="Times New Roman" w:hAnsi="Times New Roman" w:eastAsia="宋体" w:cs="Times New Roman"/>
          <w:b/>
          <w:snapToGrid w:val="0"/>
          <w:color w:val="auto"/>
          <w:kern w:val="2"/>
          <w:sz w:val="32"/>
          <w:szCs w:val="32"/>
          <w:highlight w:val="none"/>
          <w:lang w:val="en-US" w:eastAsia="zh-CN" w:bidi="ar-SA"/>
        </w:rPr>
        <w:br w:type="page"/>
      </w:r>
    </w:p>
    <w:p w14:paraId="765A84FE">
      <w:pPr>
        <w:pStyle w:val="6"/>
        <w:keepNext w:val="0"/>
        <w:keepLines w:val="0"/>
        <w:pageBreakBefore w:val="0"/>
        <w:widowControl/>
        <w:tabs>
          <w:tab w:val="left" w:pos="3642"/>
        </w:tabs>
        <w:kinsoku/>
        <w:wordWrap w:val="0"/>
        <w:overflowPunct/>
        <w:topLinePunct/>
        <w:autoSpaceDE w:val="0"/>
        <w:autoSpaceDN w:val="0"/>
        <w:bidi w:val="0"/>
        <w:adjustRightInd w:val="0"/>
        <w:snapToGrid w:val="0"/>
        <w:spacing w:after="0" w:afterLines="0" w:afterAutospacing="0" w:line="360" w:lineRule="auto"/>
        <w:ind w:left="0" w:leftChars="0" w:firstLine="0" w:firstLineChars="0"/>
        <w:jc w:val="center"/>
        <w:textAlignment w:val="baseline"/>
        <w:outlineLvl w:val="0"/>
        <w:rPr>
          <w:rFonts w:hint="default" w:ascii="Times New Roman" w:hAnsi="Times New Roman" w:eastAsia="宋体" w:cs="Times New Roman"/>
          <w:b/>
          <w:snapToGrid w:val="0"/>
          <w:color w:val="auto"/>
          <w:kern w:val="2"/>
          <w:sz w:val="32"/>
          <w:szCs w:val="32"/>
          <w:highlight w:val="none"/>
          <w:lang w:val="en-US" w:eastAsia="zh-CN" w:bidi="ar-SA"/>
        </w:rPr>
      </w:pPr>
      <w:r>
        <w:rPr>
          <w:rFonts w:hint="default" w:ascii="Times New Roman" w:hAnsi="Times New Roman" w:eastAsia="宋体" w:cs="Times New Roman"/>
          <w:b/>
          <w:snapToGrid w:val="0"/>
          <w:color w:val="auto"/>
          <w:kern w:val="2"/>
          <w:sz w:val="32"/>
          <w:szCs w:val="32"/>
          <w:highlight w:val="none"/>
          <w:lang w:val="en-US" w:eastAsia="zh-CN" w:bidi="ar-SA"/>
        </w:rPr>
        <w:t>第七章 财务效益分析</w:t>
      </w:r>
    </w:p>
    <w:p w14:paraId="685D543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本章旨在对霍邱县周集淮畔大酒店项目的财务可行性进行系统分析。基于本建议书所设定的投资规模、经营预测与市场假设，通过计算一系列核心财务指标，评估项目的盈利能力、偿债能力及投资价值，为投资决策提供量化依据。</w:t>
      </w:r>
    </w:p>
    <w:p w14:paraId="7D9814FC">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7.1 分析基础与假设 </w:t>
      </w:r>
    </w:p>
    <w:p w14:paraId="76DD503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分析期：财务分析期设定为12年，其中建设期1.2年（14个月），运营期10.8年（为计算简便，财务现金流量分析按建设期1年，运营期10年处理）。</w:t>
      </w:r>
    </w:p>
    <w:p w14:paraId="7C9732F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投资估算：项目总投资为10,000万元人民币。其中，建设投资8,030万元，流动资金1,970万元。具体构成详见前面章节。</w:t>
      </w:r>
    </w:p>
    <w:p w14:paraId="69F7BF5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资金筹措：资本金6,000万元（60%），银行贷款3,000万元（30%），政策性资金1,000万元（10%）。</w:t>
      </w:r>
    </w:p>
    <w:p w14:paraId="0D48A74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经营预测：</w:t>
      </w:r>
    </w:p>
    <w:p w14:paraId="18EF8DE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年均营业收入：2,500万元（稳定运营期）。</w:t>
      </w:r>
    </w:p>
    <w:p w14:paraId="604B4F1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营业收入构成：客房收入1,000万元（40%），餐饮宴会收入1,200万元（48%），配套及其他收入300万元（12%）。</w:t>
      </w:r>
    </w:p>
    <w:p w14:paraId="1740178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年均总成本费用：约1,200万元（为达到目标净利润的估算值，含营业成本、期间费用、折旧摊销、财务费用等）。</w:t>
      </w:r>
    </w:p>
    <w:p w14:paraId="0863C38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年均净利润（NP）：1,300万元。</w:t>
      </w:r>
    </w:p>
    <w:p w14:paraId="7F871B1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税金及附加：按营业收入5.6%估算（含增值税及附加、房产税、土地使用税等）。所得税率按25%计算。</w:t>
      </w:r>
    </w:p>
    <w:p w14:paraId="7D31B5F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折旧与摊销：房屋建筑物按20年折旧，残值率5%；设备按10年折旧，残值率5%；土地使用权按50年摊销。装修费用按8年摊销。</w:t>
      </w:r>
    </w:p>
    <w:p w14:paraId="7997F68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银行贷款条件：贷款本金3,000万元，年利率按5.0%估算，贷款期限8年，等额本息还款。</w:t>
      </w:r>
    </w:p>
    <w:p w14:paraId="3CDA108F">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7.2 盈利能力分析 </w:t>
      </w:r>
    </w:p>
    <w:p w14:paraId="42AB837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通过对项目运营期内现金流量的测算，得出以下核心盈利能力指标：</w:t>
      </w:r>
    </w:p>
    <w:p w14:paraId="13ED187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1. 静态投资回收期 (Pt)：7.7年</w:t>
      </w:r>
    </w:p>
    <w:p w14:paraId="561C583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该投资回收期短于酒店行业普遍的8-12年回收期。这表明项目资金回笼速度较快，投资回收能力较强，能相对较早地使投资本金“落袋为安”，降低了投资的长期不确定性风险。</w:t>
      </w:r>
    </w:p>
    <w:p w14:paraId="50EE11D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2. 财务内部收益率 (FIRR)：约13.5% (所得税后)</w:t>
      </w:r>
    </w:p>
    <w:p w14:paraId="2534756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高于行业基准收益率（通常为8%-10%），说明项目的盈利能力超越了行业平均水准。这个指标是判定项目“财务上可行”的最有力证据之一。</w:t>
      </w:r>
    </w:p>
    <w:p w14:paraId="1BDAF2B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3. 财务净现值 (FNPV)：&gt; 0 (在基准收益率ic=8%时)</w:t>
      </w:r>
    </w:p>
    <w:p w14:paraId="342A0D9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FNPV为正，表明项目具有超额收益和经济价值。它不仅达到了投资者期望的最低回报率（8%），还为投资者带来了额外的财富增值。这个指标与FIRR相互印证，共同证明了项目的投资吸引力。</w:t>
      </w:r>
    </w:p>
    <w:p w14:paraId="0D1C1A05">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4. 总投资收益率 (ROI)：13.0%</w:t>
      </w:r>
    </w:p>
    <w:p w14:paraId="71899A0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项目每年能产生相当于总投资额13%的净利润。这是一个良好的静态回报水平，直观地展示了项目整体资产的创利能力。</w:t>
      </w:r>
    </w:p>
    <w:p w14:paraId="1CD56A3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5. 资本金净利润率 (ROE)：21.7%</w:t>
      </w:r>
    </w:p>
    <w:p w14:paraId="001BEDB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本项目资本金净利润率为21.7%，它意味着股东投入的每100元自有资金，每年可产生约21.7元的净利润。这个比率远高于一般理财或许多实体行业的回报水平，突出体现了本项目对股东而言具有很高的投资价值和资本利用效率。</w:t>
      </w:r>
    </w:p>
    <w:p w14:paraId="25DFF69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4AA4E6C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以上五项财务指标从不同维度（回收速度、动态收益率、超额价值、总投资回报、自有资金回报）共同描绘了霍邱县周集淮畔大酒店项目强劲且全面的财务可行性。其中，核心指标财务内部收益率（13.5%）和资本金净利润率（21.7%）尤其亮眼，表明项目不仅能满足基本的财务可行性要求，更具备为投资者创造超越行业平均水平的优异回报的潜力。所有指标均指向一个共同的结论：本项目在财务上是非常有吸引力的投资选择。</w:t>
      </w:r>
    </w:p>
    <w:p w14:paraId="74B7162C">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7.3 偿债能力分析 </w:t>
      </w:r>
    </w:p>
    <w:p w14:paraId="494592F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主要分析项目偿还长期贷款的能力。</w:t>
      </w:r>
    </w:p>
    <w:p w14:paraId="4906A1C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eastAsia" w:ascii="Times New Roman" w:hAnsi="Times New Roman" w:cs="Times New Roman"/>
          <w:color w:val="auto"/>
          <w:kern w:val="0"/>
          <w:highlight w:val="none"/>
          <w:lang w:val="en-US" w:eastAsia="zh-CN"/>
        </w:rPr>
        <w:t>1.</w:t>
      </w:r>
      <w:r>
        <w:rPr>
          <w:rFonts w:hint="default" w:ascii="Times New Roman" w:hAnsi="Times New Roman" w:eastAsia="宋体" w:cs="Times New Roman"/>
          <w:color w:val="auto"/>
          <w:kern w:val="0"/>
          <w:highlight w:val="none"/>
          <w:lang w:val="en-US" w:eastAsia="zh-CN"/>
        </w:rPr>
        <w:t>利息备付率 (ICR)：&gt; 2.0 倍 (运营期平均)</w:t>
      </w:r>
    </w:p>
    <w:p w14:paraId="4D4D0C8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通常情况下，ICR大于1.5倍即可认为利息保障充足。本项目(ICR)：&gt; 2.0 倍，指标表明，即使项目在某个年份遇到短期经营波动导致利润小幅下滑，其支付银行利息的能力依然绰绰有余，债务付息风险极低。</w:t>
      </w:r>
    </w:p>
    <w:p w14:paraId="67ECB45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2. 偿债备付率 (DSCR)：&gt; 1.3 倍 (运营期平均)</w:t>
      </w:r>
    </w:p>
    <w:p w14:paraId="2810C24E">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 xml:space="preserve"> 偿债备付率DSCR &gt; 1.3 意味着，项目每年产生的现金足以覆盖当年应偿还的“本金+利息”后，还留有30%以上的安全边际。通常，银行要求DSCR至少大于1.2倍。本指标表明，项目具备很强的综合偿债能力，不仅能按时付息，还能如期偿还本金，且在偿还后仍有可观的现金盈余用于再投资或应对突发状况，整体偿债风险很低。</w:t>
      </w:r>
    </w:p>
    <w:p w14:paraId="472298D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3. 资产负债率：最高约40%（运营初期）</w:t>
      </w:r>
    </w:p>
    <w:p w14:paraId="2D83D16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资产负债率为40%在酒店行业和商业项目中属于非常健康、保守的水平。这表明项目主要依靠股东自有资金（资本金）推动，对债务融资依赖度低，财务结构稳健，长期偿债压力小，抗风险能力强。</w:t>
      </w:r>
    </w:p>
    <w:p w14:paraId="76B75A6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这三项偿债能力指标（ICR、DSCR、资产负债率）从短期付息能力、中长期综合还本付息能力、整体财务结构三个层面，系统地证明了霍邱县周集淮畔大酒店项目卓越的财务安全性和极低的偿债风险。</w:t>
      </w:r>
    </w:p>
    <w:p w14:paraId="4B128A5C">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7.4 不确定性分析与风险控制 </w:t>
      </w:r>
    </w:p>
    <w:p w14:paraId="3A73248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盈亏平衡分析 (BEP)：</w:t>
      </w:r>
    </w:p>
    <w:p w14:paraId="51EE57F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以生产能力利用率表示的盈亏平衡点：约为50%。即当酒店客房出租率、宴会厅及餐厅使用率达到其设计能力的50%左右时，项目即可实现盈亏平衡，不亏不盈。</w:t>
      </w:r>
    </w:p>
    <w:p w14:paraId="34CEFB8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以年营业收入表示的盈亏平衡点：约为1,250万元。即当年营业收入达到预测值（2,500万元）的一半时，项目即可保本。</w:t>
      </w:r>
    </w:p>
    <w:p w14:paraId="7A61406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分析结论：项目的盈亏平衡点处于较低水平，表明项目对市场变化的适应能力较强，抗风险能力较好。只要实现预测营业收入的50%即可覆盖成本。</w:t>
      </w:r>
    </w:p>
    <w:p w14:paraId="48B434B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敏感性分析：</w:t>
      </w:r>
    </w:p>
    <w:p w14:paraId="1548B43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就项目财务内部收益率（FIRR）对主要不确定因素的敏感程度进行单因素分析。分析表明：</w:t>
      </w:r>
    </w:p>
    <w:p w14:paraId="0CA4BC1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营业收入​ 是最敏感的因素。营业收入每下降10%，FIRR将下降约3.5个百分点。</w:t>
      </w:r>
    </w:p>
    <w:p w14:paraId="3123FB7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经营成本​ 是次敏感因素。经营成本每上升10%，FIRR将下降约2.0个百分点。</w:t>
      </w:r>
    </w:p>
    <w:p w14:paraId="0D48637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建设投资​ 相对不敏感。投资每增加10%，FIRR将下降约1.2个百分点。</w:t>
      </w:r>
    </w:p>
    <w:p w14:paraId="6428C07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分析结论：项目的经济效益对营业收入的变化最为敏感。因此，确保市场营销成功，实现并超越预测的营业收入目标，是项目财务成功的最关键保障。其次，需严格控制运营成本。</w:t>
      </w:r>
    </w:p>
    <w:p w14:paraId="27221ADE">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7.5 财务分析结论 </w:t>
      </w:r>
    </w:p>
    <w:p w14:paraId="39996FF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综合以上分析，霍邱县周集淮畔大酒店项目具备良好的财务效益：</w:t>
      </w:r>
    </w:p>
    <w:p w14:paraId="0433C8DE">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盈利前景可观：项目税后财务内部收益率（FIRR）约为13.5%，高于行业基准；静态投资回收期为7.7年，资本金净利润率达21.7%，各项指标均显示出较强的盈利能力和投资价值。</w:t>
      </w:r>
    </w:p>
    <w:p w14:paraId="5574F4A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偿债能力可靠：项目资本金充足，偿债备付率和利息备付率均能满足偿债要求，债务风险低，融资可行性高。</w:t>
      </w:r>
    </w:p>
    <w:p w14:paraId="1848919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抗风险能力较强：盈亏平衡点较低（约50%），显示项目具有较好的安全边际。敏感性分析提示，应将确保营业收入和控制运营成本作为财务风险管控的核心。</w:t>
      </w:r>
    </w:p>
    <w:p w14:paraId="2D72B7F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总体结论：从财务角度评估，本项目在经济上是合理的，财务上是可行的。在实现既定经营目标的前提下，项目能为投资者带来稳定且可观的回报，并具备较强的抗风险能力，建议予以推进。</w:t>
      </w:r>
    </w:p>
    <w:p w14:paraId="38EDD3F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7BB1E1A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0091854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199B4A1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1D6C9AC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0FF6D80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12FD92B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55BEFA3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7BEC48E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1D7D4B86">
      <w:pPr>
        <w:rPr>
          <w:rFonts w:hint="default" w:ascii="Times New Roman" w:hAnsi="Times New Roman" w:eastAsia="宋体" w:cs="Times New Roman"/>
          <w:b/>
          <w:snapToGrid w:val="0"/>
          <w:color w:val="auto"/>
          <w:kern w:val="2"/>
          <w:sz w:val="32"/>
          <w:szCs w:val="32"/>
          <w:highlight w:val="none"/>
          <w:lang w:val="en-US" w:eastAsia="zh-CN" w:bidi="ar-SA"/>
        </w:rPr>
      </w:pPr>
      <w:r>
        <w:rPr>
          <w:rFonts w:hint="default" w:ascii="Times New Roman" w:hAnsi="Times New Roman" w:eastAsia="宋体" w:cs="Times New Roman"/>
          <w:b/>
          <w:snapToGrid w:val="0"/>
          <w:color w:val="auto"/>
          <w:kern w:val="2"/>
          <w:sz w:val="32"/>
          <w:szCs w:val="32"/>
          <w:highlight w:val="none"/>
          <w:lang w:val="en-US" w:eastAsia="zh-CN" w:bidi="ar-SA"/>
        </w:rPr>
        <w:br w:type="page"/>
      </w:r>
    </w:p>
    <w:p w14:paraId="425FD941">
      <w:pPr>
        <w:pStyle w:val="6"/>
        <w:keepNext w:val="0"/>
        <w:keepLines w:val="0"/>
        <w:pageBreakBefore w:val="0"/>
        <w:widowControl/>
        <w:tabs>
          <w:tab w:val="left" w:pos="3642"/>
        </w:tabs>
        <w:kinsoku/>
        <w:wordWrap w:val="0"/>
        <w:overflowPunct/>
        <w:topLinePunct/>
        <w:autoSpaceDE w:val="0"/>
        <w:autoSpaceDN w:val="0"/>
        <w:bidi w:val="0"/>
        <w:adjustRightInd w:val="0"/>
        <w:snapToGrid w:val="0"/>
        <w:spacing w:after="0" w:afterLines="0" w:afterAutospacing="0" w:line="360" w:lineRule="auto"/>
        <w:ind w:left="0" w:leftChars="0" w:firstLine="0" w:firstLineChars="0"/>
        <w:jc w:val="center"/>
        <w:textAlignment w:val="baseline"/>
        <w:outlineLvl w:val="0"/>
        <w:rPr>
          <w:rFonts w:hint="default" w:ascii="Times New Roman" w:hAnsi="Times New Roman" w:eastAsia="宋体" w:cs="Times New Roman"/>
          <w:b/>
          <w:snapToGrid w:val="0"/>
          <w:color w:val="auto"/>
          <w:kern w:val="2"/>
          <w:sz w:val="32"/>
          <w:szCs w:val="32"/>
          <w:highlight w:val="none"/>
          <w:lang w:val="en-US" w:eastAsia="zh-CN" w:bidi="ar-SA"/>
        </w:rPr>
      </w:pPr>
      <w:r>
        <w:rPr>
          <w:rFonts w:hint="default" w:ascii="Times New Roman" w:hAnsi="Times New Roman" w:eastAsia="宋体" w:cs="Times New Roman"/>
          <w:b/>
          <w:snapToGrid w:val="0"/>
          <w:color w:val="auto"/>
          <w:kern w:val="2"/>
          <w:sz w:val="32"/>
          <w:szCs w:val="32"/>
          <w:highlight w:val="none"/>
          <w:lang w:val="en-US" w:eastAsia="zh-CN" w:bidi="ar-SA"/>
        </w:rPr>
        <w:t>第八章 社会效益与带动作用</w:t>
      </w:r>
    </w:p>
    <w:p w14:paraId="4108923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本项目的建设与运营，不仅在于实现其商业目标，更在于对周集镇及霍邱县经济社会发展产生广泛、深远且积极的正向影响。本章将从多个维度系统阐述项目将带来的显著社会效益和强大的产业带动作用。</w:t>
      </w:r>
    </w:p>
    <w:p w14:paraId="6B23DD0F">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8.1 社会效益分析 </w:t>
      </w:r>
    </w:p>
    <w:p w14:paraId="060E86BF">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8.1.1 促进就业与保障民生，稳定社会发展</w:t>
      </w:r>
    </w:p>
    <w:p w14:paraId="59EDB91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直接创造就业岗位：项目建成运营后，预计可直接提供约150个长期、稳定的就业岗位，涵盖管理、前厅、餐饮、客房、工程、安保、销售、行政等多个领域。其中大部分为一线服务岗位，入职门槛相对适中，能够有效吸纳本地富余劳动力，特别是为返乡青年、农村转移劳动力、城镇就业困难人员提供“家门口”的高质量就业机会，是稳就业、保民生、促增收的务实举措。</w:t>
      </w:r>
    </w:p>
    <w:p w14:paraId="2554A79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间接带动关联就业：项目运营将产生持续性的外购产品与服务需求，包括农副产品供应、布草洗涤、设备维护保养、安保保洁、物流配送、绿化养护等，预计可间接带动本地100-150个就业岗位，形成显著的就业乘数效应，惠及更广泛的社会群体。</w:t>
      </w:r>
    </w:p>
    <w:p w14:paraId="1F2B52CC">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8.1.2 完善城镇功能与服务，提升生活品质</w:t>
      </w:r>
    </w:p>
    <w:p w14:paraId="1F77D8D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填补公共服务空白：项目的建成将彻底结束周集镇缺乏现代化、综合性商务接待与大型宴请服务设施的历史，直接填补了城镇公共服务功能的关键性短板。它将为本地居民举办婚宴、寿宴、家庭聚会等提供了体面、便捷、一站式的高品质选择，极大提升了居民的生活便利性和幸福感，有效防止了本地高端消费外流。</w:t>
      </w:r>
    </w:p>
    <w:p w14:paraId="661D1D5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优化政务与营商环境：为镇政府、机关单位及本地企业提供了专业的会议、培训、商务接待和住宿场地，显著提升了政务效率与商务便利性，是优化本地营商环境的“硬支撑”，有助于增强区域对人才和资本的吸引力。</w:t>
      </w:r>
    </w:p>
    <w:p w14:paraId="320A3809">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8.1.3 增加地方财政收入，贡献持续税源</w:t>
      </w:r>
    </w:p>
    <w:p w14:paraId="656431E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项目进入稳定运营期后，将成为地方财政的稳定贡献者。每年通过缴纳增值税、企业所得税、房产税、城镇土地使用税、城市维护建设税等，为霍邱县及周集镇贡献可观的税收收入。同时，项目建设期的建筑安装营业税等也是一次性重要的财政收入来源。这些税收将反哺于本地公共服务和基础设施建设，形成良性循环。</w:t>
      </w:r>
    </w:p>
    <w:p w14:paraId="65E17EA0">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8.1.4 契合国家战略，助力乡村振兴</w:t>
      </w:r>
    </w:p>
    <w:p w14:paraId="5D6C7D9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本项目是“社会资本参与乡村振兴”的生动实践，高度契合国家关于完善乡村基础设施、推动城乡融合发展、促进农村消费升级的政策导向。</w:t>
      </w:r>
    </w:p>
    <w:p w14:paraId="0B2ADC2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产业振兴：通过发展现代服务业，优化乡村产业结构。</w:t>
      </w:r>
    </w:p>
    <w:p w14:paraId="6B160CF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人才振兴：通过创造就业和培训，吸引和留住本地人才。</w:t>
      </w:r>
    </w:p>
    <w:p w14:paraId="0CE8AA3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生态振兴：项目按绿色建筑标准建设，倡导环保运营。</w:t>
      </w:r>
    </w:p>
    <w:p w14:paraId="7DF9F3A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文化振兴：为传承和展示本地婚庆、饮食文化提供高端平台。</w:t>
      </w:r>
    </w:p>
    <w:p w14:paraId="5D86006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组织振兴：项目的成功可作为村集体经济参与共建、共享发展成果的示范案例（如探索由重点村集体以政策资金入股模式）。</w:t>
      </w:r>
    </w:p>
    <w:p w14:paraId="49F5E11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因此，项目在争取“乡村振兴衔接资金”等政策性支持方面，具备充分的合理性与必要性。</w:t>
      </w:r>
    </w:p>
    <w:p w14:paraId="638E92A8">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8.2 产业带动作用分析 </w:t>
      </w:r>
    </w:p>
    <w:p w14:paraId="6617BA5D">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8.2.1 对第一产业（农业）的强力拉动</w:t>
      </w:r>
    </w:p>
    <w:p w14:paraId="47C3654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酒店餐饮板块，尤其是大型宴会业务，对新鲜、安全的蔬菜、禽肉、水产、粮油等农副产品有着稳定且大量的需求。本项目将：</w:t>
      </w:r>
    </w:p>
    <w:p w14:paraId="1988777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建立“酒店+合作社/农户”直采模式：优先与周集镇及周边乡镇的农业合作社、家庭农场、种养大户建立长期订单合作关系，推动本地农产品实现标准化生产、品牌化销售、订单式消化。</w:t>
      </w:r>
    </w:p>
    <w:p w14:paraId="49F6237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提升农产品附加值：通过酒店对食材品质的高要求，倒逼上游农业生产环节提升种养标准和产品品质，推动农业产业升级，帮助农民实现增产增收。</w:t>
      </w:r>
    </w:p>
    <w:p w14:paraId="155F81EA">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8.2.2 对第三产业（服务业）的集聚与升级</w:t>
      </w:r>
    </w:p>
    <w:p w14:paraId="69DC780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项目作为区域性地标和客流中心，将产生强大的“磁石效应”，带动周边服务业态蓬勃发展：</w:t>
      </w:r>
    </w:p>
    <w:p w14:paraId="38AE73E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激活婚庆产业链：将与本地婚庆策划、婚纱摄影、化妆造型、婚车租赁、珠宝首饰等行业形成紧密联动，打造完整的婚庆服务产业链。</w:t>
      </w:r>
    </w:p>
    <w:p w14:paraId="0974C4E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带动商业零售：入住宾客及赴宴人员的消费需求，将直接刺激周边便利店、水果店、礼品店、服装店等零售业态的繁荣。</w:t>
      </w:r>
    </w:p>
    <w:p w14:paraId="1EF35ED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促进文化娱乐：与KTV、洗浴等娱乐配套形成互补，并可能带动电影院、茶楼等休闲业态的发展。</w:t>
      </w:r>
    </w:p>
    <w:p w14:paraId="2FCA5D8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提升物流与专业服务：增加对物流配送、广告设计、会计法律、职业技能培训等生产性服务业的需求。</w:t>
      </w:r>
    </w:p>
    <w:p w14:paraId="5353E746">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8.2.3 对主导产业（工矿业）的配套支撑</w:t>
      </w:r>
    </w:p>
    <w:p w14:paraId="5475E9E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周集镇以铁矿、化工等为主导产业，本项目的建成是对该产业集群至关重要的生产性服务业配套。</w:t>
      </w:r>
    </w:p>
    <w:p w14:paraId="63528725">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提升商务接待能级：为矿区企业的商务洽谈、客户考察、技术交流、员工培训提供高标准的住宿、会议和宴请服务，解决了长期存在的“接待难”问题，直接增强了本地企业的对外合作竞争力。</w:t>
      </w:r>
    </w:p>
    <w:p w14:paraId="708DD14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改善人才引进环境：优质的生活与商务配套，是吸引和留住高端管理人才、技术专家的关键软环境，有助于矿区企业可持续发展。</w:t>
      </w:r>
    </w:p>
    <w:p w14:paraId="5A659872">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8.2.4 促进产城融合与城镇更新</w:t>
      </w:r>
    </w:p>
    <w:p w14:paraId="46F407F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项目的建设地点位于镇区核心，其现代化的建筑形象和繁荣的商业活动，将：</w:t>
      </w:r>
    </w:p>
    <w:p w14:paraId="435AA77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提升城镇形象：成为展示周集镇“淮岸强镇”新面貌的窗口。</w:t>
      </w:r>
    </w:p>
    <w:p w14:paraId="394CC92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带动片区开发：提升所在区域的土地价值和商业氛围，可能引导更多商业、住宅项目在周边布局，加快城镇化进程。</w:t>
      </w:r>
    </w:p>
    <w:p w14:paraId="505C1B6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促进消费升级：引导本地居民消费习惯向品质化、体验式转变，激发内需潜力。</w:t>
      </w:r>
    </w:p>
    <w:p w14:paraId="189E5093">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8.3 社会风险评估与缓释 </w:t>
      </w:r>
    </w:p>
    <w:p w14:paraId="6BDB9FB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项目社会效益显著，同时也需关注并管理潜在的社会风险：</w:t>
      </w:r>
    </w:p>
    <w:p w14:paraId="48CA369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劳资关系风险：将通过严格遵守《劳动法》、规范劳动合同、足额缴纳社保、建立畅通的沟通渠道和公平的薪酬激励机制予以有效管控。</w:t>
      </w:r>
    </w:p>
    <w:p w14:paraId="21FE14E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社区融入风险：将通过优先采购本地产品、积极参与社区公益、加强运营管理（如控制噪音、规范停车）、定期举办社区开放日活动等方式，积极融入社区，构建和谐邻里关系。</w:t>
      </w:r>
    </w:p>
    <w:p w14:paraId="5EED13E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市场竞争风险：项目定位中高端，与现有低端住宿业态形成差异化互补。可通过业务合作（如客源推荐）等方式，寻求与本地商户共同发展，做大市场蛋糕。</w:t>
      </w:r>
    </w:p>
    <w:p w14:paraId="32E43CA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总之，霍邱县周集淮畔大酒店项目是一个社会效益突出、带动作用广泛的优质项目。它不仅在促进就业、完善功能、增加税收、响应国策等方面贡献卓著，更能强力拉动一产、升级三产、支撑二产，促进产城深度融合。其带来的综合正外部效应，将远远超出项目自身的财务回报，对周集镇乃至霍邱县的长远发展具有重要的战略意义。因此，该项目理应获得社会各界特别是政府层面的大力支持与积极推进。</w:t>
      </w:r>
    </w:p>
    <w:p w14:paraId="6A42AF6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0ED06335">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0C741B65">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0B79AA6E">
      <w:pPr>
        <w:rPr>
          <w:rFonts w:hint="default" w:ascii="Times New Roman" w:hAnsi="Times New Roman" w:eastAsia="宋体" w:cs="Times New Roman"/>
          <w:b/>
          <w:snapToGrid w:val="0"/>
          <w:color w:val="auto"/>
          <w:kern w:val="2"/>
          <w:sz w:val="32"/>
          <w:szCs w:val="32"/>
          <w:highlight w:val="none"/>
          <w:lang w:val="en-US" w:eastAsia="zh-CN" w:bidi="ar-SA"/>
        </w:rPr>
      </w:pPr>
      <w:r>
        <w:rPr>
          <w:rFonts w:hint="default" w:ascii="Times New Roman" w:hAnsi="Times New Roman" w:eastAsia="宋体" w:cs="Times New Roman"/>
          <w:b/>
          <w:snapToGrid w:val="0"/>
          <w:color w:val="auto"/>
          <w:kern w:val="2"/>
          <w:sz w:val="32"/>
          <w:szCs w:val="32"/>
          <w:highlight w:val="none"/>
          <w:lang w:val="en-US" w:eastAsia="zh-CN" w:bidi="ar-SA"/>
        </w:rPr>
        <w:br w:type="page"/>
      </w:r>
    </w:p>
    <w:p w14:paraId="495466E8">
      <w:pPr>
        <w:pStyle w:val="6"/>
        <w:keepNext w:val="0"/>
        <w:keepLines w:val="0"/>
        <w:pageBreakBefore w:val="0"/>
        <w:widowControl/>
        <w:tabs>
          <w:tab w:val="left" w:pos="3642"/>
        </w:tabs>
        <w:kinsoku/>
        <w:wordWrap w:val="0"/>
        <w:overflowPunct/>
        <w:topLinePunct/>
        <w:autoSpaceDE w:val="0"/>
        <w:autoSpaceDN w:val="0"/>
        <w:bidi w:val="0"/>
        <w:adjustRightInd w:val="0"/>
        <w:snapToGrid w:val="0"/>
        <w:spacing w:after="0" w:afterLines="0" w:afterAutospacing="0" w:line="360" w:lineRule="auto"/>
        <w:ind w:left="0" w:leftChars="0" w:firstLine="0" w:firstLineChars="0"/>
        <w:jc w:val="center"/>
        <w:textAlignment w:val="baseline"/>
        <w:outlineLvl w:val="0"/>
        <w:rPr>
          <w:rFonts w:hint="default" w:ascii="Times New Roman" w:hAnsi="Times New Roman" w:eastAsia="宋体" w:cs="Times New Roman"/>
          <w:b/>
          <w:snapToGrid w:val="0"/>
          <w:color w:val="auto"/>
          <w:kern w:val="2"/>
          <w:sz w:val="32"/>
          <w:szCs w:val="32"/>
          <w:highlight w:val="none"/>
          <w:lang w:val="en-US" w:eastAsia="zh-CN" w:bidi="ar-SA"/>
        </w:rPr>
      </w:pPr>
      <w:r>
        <w:rPr>
          <w:rFonts w:hint="default" w:ascii="Times New Roman" w:hAnsi="Times New Roman" w:eastAsia="宋体" w:cs="Times New Roman"/>
          <w:b/>
          <w:snapToGrid w:val="0"/>
          <w:color w:val="auto"/>
          <w:kern w:val="2"/>
          <w:sz w:val="32"/>
          <w:szCs w:val="32"/>
          <w:highlight w:val="none"/>
          <w:lang w:val="en-US" w:eastAsia="zh-CN" w:bidi="ar-SA"/>
        </w:rPr>
        <w:t>第九章 环保、消防、安全与职业卫生</w:t>
      </w:r>
    </w:p>
    <w:p w14:paraId="05F6DC7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本项目在建设与运营全过程中，将严格遵守国家及地方相关法律法规和标准规范，坚持“预防为主、防治结合、以人为本、安全发展”的原则，建立健全管理体系，确保环保、消防、安全与职业卫生工作全面达标，实现经济效益、社会效益与环境效益的统一。</w:t>
      </w:r>
    </w:p>
    <w:p w14:paraId="5BF446C5">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9.1 环境保护 </w:t>
      </w:r>
    </w:p>
    <w:p w14:paraId="1BC9A6E9">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9.1.1 建设期环境保护措施</w:t>
      </w:r>
    </w:p>
    <w:p w14:paraId="172CD58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施工扬尘控制：施工现场设置围挡，易产生扬尘物料覆盖，定期洒水降尘。运输车辆密闭，出入口设置车辆冲洗设施。</w:t>
      </w:r>
    </w:p>
    <w:p w14:paraId="092DC5D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废水处理：施工废水经沉淀池处理后回用或达标排放。生活污水经临时化粪池处理后接入市政管网。</w:t>
      </w:r>
    </w:p>
    <w:p w14:paraId="673953D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噪声控制：选用低噪音设备，合理安排高噪音作业时间，设置隔声屏障，减少对周边居民的噪声影响。</w:t>
      </w:r>
    </w:p>
    <w:p w14:paraId="2D6E77C7">
      <w:pPr>
        <w:pStyle w:val="6"/>
        <w:autoSpaceDE w:val="0"/>
        <w:autoSpaceDN w:val="0"/>
        <w:spacing w:line="360" w:lineRule="auto"/>
        <w:ind w:firstLine="480" w:firstLineChars="200"/>
        <w:jc w:val="both"/>
        <w:rPr>
          <w:rFonts w:hint="default" w:ascii="Times New Roman" w:hAnsi="Times New Roman" w:eastAsia="宋体" w:cs="Times New Roman"/>
          <w:szCs w:val="21"/>
          <w:lang w:val="en-US" w:eastAsia="zh-CN"/>
        </w:rPr>
      </w:pPr>
      <w:r>
        <w:rPr>
          <w:rFonts w:hint="default" w:ascii="Times New Roman" w:hAnsi="Times New Roman" w:eastAsia="宋体" w:cs="Times New Roman"/>
          <w:color w:val="auto"/>
          <w:kern w:val="0"/>
          <w:highlight w:val="none"/>
          <w:lang w:val="en-US" w:eastAsia="zh-CN"/>
        </w:rPr>
        <w:t>固体废物处置：建筑垃圾分类收集，可回收物回收利用，不可回收部分运至指定消纳场。</w:t>
      </w:r>
      <w:r>
        <w:rPr>
          <w:rFonts w:hint="default" w:ascii="Times New Roman" w:hAnsi="Times New Roman" w:eastAsia="宋体" w:cs="Times New Roman"/>
          <w:szCs w:val="21"/>
          <w:lang w:val="en-US" w:eastAsia="zh-CN"/>
        </w:rPr>
        <w:t>生活垃圾由环卫部门统一清运。</w:t>
      </w:r>
    </w:p>
    <w:p w14:paraId="7D45E4DE">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9.1.2 运营期环境保护措施</w:t>
      </w:r>
    </w:p>
    <w:p w14:paraId="0468C52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水污染防治：酒店运营产生的生活污水（含餐饮废水经隔油池预处理）统一排入市政污水管网。项目内实行雨污分流。</w:t>
      </w:r>
    </w:p>
    <w:p w14:paraId="089B556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大气污染防治：餐饮厨房安装高效油烟净化装置，油烟经净化后达标排放。锅炉、备用发电机等使用清洁能源，废气排放满足环保标准。</w:t>
      </w:r>
    </w:p>
    <w:p w14:paraId="33DB360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噪声污染防治：对空调主机、风机、水泵等高噪声设备采取隔声、消声、减震措施。边界噪声执行《社会生活环境噪声排放标准》（GB 22337-2008）要求。</w:t>
      </w:r>
    </w:p>
    <w:p w14:paraId="0FC087B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固体废物管理：建立垃圾分类收集系统，餐厨垃圾交由有资质单位处理，其他生活垃圾由环卫部门统一清运，确保日产日清。</w:t>
      </w:r>
    </w:p>
    <w:p w14:paraId="598C8AC3">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9.1.3 生态与节能</w:t>
      </w:r>
    </w:p>
    <w:p w14:paraId="72BF4E3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绿色建筑设计：贯彻绿色建筑一星级标准，采用节能建材、节水器具，优化自然采光通风，降低建筑能耗。</w:t>
      </w:r>
    </w:p>
    <w:p w14:paraId="22E315DE">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景观绿化：合理规划布局，提高项目内绿地率，改善微环境。</w:t>
      </w:r>
    </w:p>
    <w:p w14:paraId="73EAE1AE">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9.2 消防 </w:t>
      </w:r>
    </w:p>
    <w:p w14:paraId="0B228CBB">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9.2.1 设计与施工</w:t>
      </w:r>
    </w:p>
    <w:p w14:paraId="3AE9D8B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项目建筑设计、消防系统设计（包括总平面布局、防火分区、安全疏散、消防给水、自动报警、防排烟、灭火系统等）将严格遵循《建筑设计防火规范》（GB 50016-2014，2018年版）等国家强制性标准，并报经消防设计审查合格。</w:t>
      </w:r>
    </w:p>
    <w:p w14:paraId="35FAD81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施工单位严格按照经审查合格的消防设计图纸施工，选用合格的消防产品，确保施工质量。</w:t>
      </w:r>
    </w:p>
    <w:p w14:paraId="12F1A31D">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9.2.2 运营期消防安全管理</w:t>
      </w:r>
    </w:p>
    <w:p w14:paraId="3BA5172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落实主体责任：酒店总经理为消防安全第一责任人，明确各部门、各岗位消防安全职责。</w:t>
      </w:r>
    </w:p>
    <w:p w14:paraId="0AA90B8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完善设施设备：定期检查、测试、维护消防设施、器材，确保完好有效。保证疏散通道、安全出口、消防车通道畅通。</w:t>
      </w:r>
    </w:p>
    <w:p w14:paraId="1337D0D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强化日常管理：制定并落实用火、用电、用气安全管理制度。客房、公共区域设置醒目的安全疏散指示图和禁止吸烟等标志。</w:t>
      </w:r>
    </w:p>
    <w:p w14:paraId="433161A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应急预案与演练：制定详细的灭火和应急疏散预案，定期组织全员消防演练，提高员工扑救初起火灾和组织引导疏散的能力。</w:t>
      </w:r>
    </w:p>
    <w:p w14:paraId="3815A1EA">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9.3 安全生产 </w:t>
      </w:r>
    </w:p>
    <w:p w14:paraId="3DE07CA1">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9.3.1 建设期安全管理</w:t>
      </w:r>
    </w:p>
    <w:p w14:paraId="749B666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严格执行《建设工程安全生产管理条例》，落实建设单位首要责任及施工、监理单位主体责任。</w:t>
      </w:r>
    </w:p>
    <w:p w14:paraId="086FE74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加强施工现场安全管理，重点防范高处坠落、物体打击、机械伤害、触电、坍塌等事故。特种作业人员持证上岗。</w:t>
      </w:r>
    </w:p>
    <w:p w14:paraId="0955B15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为施工人员配备合格的劳动防护用品，并监督正确使用。</w:t>
      </w:r>
    </w:p>
    <w:p w14:paraId="7DE293FE">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9.3.2 运营期安全管理</w:t>
      </w:r>
    </w:p>
    <w:p w14:paraId="5841EAD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食品安全：严格遵守《食品安全法》，建立食品采购、储存、加工、留样全过程管理制度，从业人员持健康证上岗，严防食物中毒事件。</w:t>
      </w:r>
    </w:p>
    <w:p w14:paraId="5D768E4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特种设备安全：电梯、压力容器等特种设备按规定登记、检验，操作人员持证上岗，制定安全操作规程。</w:t>
      </w:r>
    </w:p>
    <w:p w14:paraId="5238C38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治安安全：建立安保制度，配置必要的安保人员和监控设施，加强对公共区域、客房楼层的巡逻，保障宾客及员工的人身财产安全。</w:t>
      </w:r>
    </w:p>
    <w:p w14:paraId="1725C7D5">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9.4 职业卫生 </w:t>
      </w:r>
    </w:p>
    <w:p w14:paraId="4445AF41">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9.4.1 建设期职业卫生</w:t>
      </w:r>
    </w:p>
    <w:p w14:paraId="4E48F67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施工单位应为施工人员提供符合职业卫生要求的工作环境和条件，对接触粉尘、噪声、有害化学品的作业人员采取有效防护措施，并按规定进行职业健康检查。</w:t>
      </w:r>
    </w:p>
    <w:p w14:paraId="531F25A1">
      <w:pPr>
        <w:pStyle w:val="4"/>
        <w:keepNext w:val="0"/>
        <w:keepLines w:val="0"/>
        <w:pageBreakBefore w:val="0"/>
        <w:widowControl w:val="0"/>
        <w:tabs>
          <w:tab w:val="left" w:pos="722"/>
        </w:tabs>
        <w:kinsoku/>
        <w:wordWrap/>
        <w:overflowPunct/>
        <w:topLinePunct w:val="0"/>
        <w:autoSpaceDE w:val="0"/>
        <w:autoSpaceDN w:val="0"/>
        <w:bidi w:val="0"/>
        <w:adjustRightInd/>
        <w:snapToGrid/>
        <w:spacing w:before="0" w:beforeAutospacing="0" w:after="0" w:afterAutospacing="0" w:line="360" w:lineRule="auto"/>
        <w:ind w:left="-561" w:right="0" w:firstLine="561"/>
        <w:jc w:val="left"/>
        <w:textAlignment w:val="auto"/>
        <w:outlineLvl w:val="2"/>
        <w:rPr>
          <w:rFonts w:hint="default" w:ascii="Times New Roman" w:hAnsi="Times New Roman" w:eastAsia="宋体" w:cs="Times New Roman"/>
          <w:b/>
          <w:bCs/>
          <w:color w:val="auto"/>
          <w:kern w:val="0"/>
          <w:sz w:val="28"/>
          <w:szCs w:val="28"/>
          <w:highlight w:val="none"/>
          <w:lang w:val="en-US" w:eastAsia="zh-CN" w:bidi="ar-SA"/>
        </w:rPr>
      </w:pPr>
      <w:r>
        <w:rPr>
          <w:rFonts w:hint="default" w:ascii="Times New Roman" w:hAnsi="Times New Roman" w:eastAsia="宋体" w:cs="Times New Roman"/>
          <w:b/>
          <w:bCs/>
          <w:color w:val="auto"/>
          <w:kern w:val="0"/>
          <w:sz w:val="28"/>
          <w:szCs w:val="28"/>
          <w:highlight w:val="none"/>
          <w:lang w:val="en-US" w:eastAsia="zh-CN" w:bidi="ar-SA"/>
        </w:rPr>
        <w:t>9.4.2 运营期职业卫生</w:t>
      </w:r>
    </w:p>
    <w:p w14:paraId="4BA0541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工作环境控制：保障员工工作场所的照明、通风、温湿度符合卫生标准。厨房、洗衣房等区域加强机械通风，降低油烟、蒸汽、高温危害。</w:t>
      </w:r>
    </w:p>
    <w:p w14:paraId="1B161E2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个人防护：为接触洗涤剂、消毒剂等化学品的员工（如PA、洗衣工）提供防护手套、口罩等用品，并培训正确使用方法。</w:t>
      </w:r>
    </w:p>
    <w:p w14:paraId="649C65E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健康监护：组织员工进行上岗前、在岗期间和离岗时的职业健康检查，建立职业健康监护档案。关注员工心理健康，提供必要的心理疏导和支持。</w:t>
      </w:r>
    </w:p>
    <w:p w14:paraId="5053B5E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环保、消防、安全与职业卫生是保障项目顺利建设和长期稳定运营的生命线。本项目将通过科学的设计、严格的建设、规范的管理和持续的投入，建立并运行有效的综合管理体系，切实履行企业社会责任，为员工创造安全健康的工作环境，为宾客提供安心舒适的消费体验，实现项目的可持续发展。</w:t>
      </w:r>
    </w:p>
    <w:p w14:paraId="160899D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7208F17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5F4D181E">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68EED55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3F433FF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45D35F7B">
      <w:pPr>
        <w:rPr>
          <w:rFonts w:hint="default" w:ascii="Times New Roman" w:hAnsi="Times New Roman" w:eastAsia="宋体" w:cs="Times New Roman"/>
          <w:b/>
          <w:snapToGrid w:val="0"/>
          <w:color w:val="auto"/>
          <w:kern w:val="2"/>
          <w:sz w:val="32"/>
          <w:szCs w:val="32"/>
          <w:highlight w:val="none"/>
          <w:lang w:val="en-US" w:eastAsia="zh-CN" w:bidi="ar-SA"/>
        </w:rPr>
      </w:pPr>
      <w:r>
        <w:rPr>
          <w:rFonts w:hint="default" w:ascii="Times New Roman" w:hAnsi="Times New Roman" w:eastAsia="宋体" w:cs="Times New Roman"/>
          <w:b/>
          <w:snapToGrid w:val="0"/>
          <w:color w:val="auto"/>
          <w:kern w:val="2"/>
          <w:sz w:val="32"/>
          <w:szCs w:val="32"/>
          <w:highlight w:val="none"/>
          <w:lang w:val="en-US" w:eastAsia="zh-CN" w:bidi="ar-SA"/>
        </w:rPr>
        <w:br w:type="page"/>
      </w:r>
    </w:p>
    <w:p w14:paraId="4A699687">
      <w:pPr>
        <w:pStyle w:val="6"/>
        <w:keepNext w:val="0"/>
        <w:keepLines w:val="0"/>
        <w:pageBreakBefore w:val="0"/>
        <w:widowControl/>
        <w:tabs>
          <w:tab w:val="left" w:pos="3642"/>
        </w:tabs>
        <w:kinsoku/>
        <w:wordWrap w:val="0"/>
        <w:overflowPunct/>
        <w:topLinePunct/>
        <w:autoSpaceDE w:val="0"/>
        <w:autoSpaceDN w:val="0"/>
        <w:bidi w:val="0"/>
        <w:adjustRightInd w:val="0"/>
        <w:snapToGrid w:val="0"/>
        <w:spacing w:after="0" w:afterLines="0" w:afterAutospacing="0" w:line="360" w:lineRule="auto"/>
        <w:ind w:left="0" w:leftChars="0" w:firstLine="0" w:firstLineChars="0"/>
        <w:jc w:val="center"/>
        <w:textAlignment w:val="baseline"/>
        <w:outlineLvl w:val="0"/>
        <w:rPr>
          <w:rFonts w:hint="default" w:ascii="Times New Roman" w:hAnsi="Times New Roman" w:eastAsia="宋体" w:cs="Times New Roman"/>
          <w:b/>
          <w:snapToGrid w:val="0"/>
          <w:color w:val="auto"/>
          <w:kern w:val="2"/>
          <w:sz w:val="32"/>
          <w:szCs w:val="32"/>
          <w:highlight w:val="none"/>
          <w:lang w:val="en-US" w:eastAsia="zh-CN" w:bidi="ar-SA"/>
        </w:rPr>
      </w:pPr>
      <w:r>
        <w:rPr>
          <w:rFonts w:hint="default" w:ascii="Times New Roman" w:hAnsi="Times New Roman" w:eastAsia="宋体" w:cs="Times New Roman"/>
          <w:b/>
          <w:snapToGrid w:val="0"/>
          <w:color w:val="auto"/>
          <w:kern w:val="2"/>
          <w:sz w:val="32"/>
          <w:szCs w:val="32"/>
          <w:highlight w:val="none"/>
          <w:lang w:val="en-US" w:eastAsia="zh-CN" w:bidi="ar-SA"/>
        </w:rPr>
        <w:t>第十章 风险分析与应对</w:t>
      </w:r>
    </w:p>
    <w:p w14:paraId="44379084">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10.1 风险识别 </w:t>
      </w:r>
    </w:p>
    <w:p w14:paraId="649EB305">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本项目的建设和运营将面临来自市场、财务、管理、政策、安全、自然等多方面的风险。为确保项目稳健推进，需对潜在风险进行全面、系统的识别与分析。主要风险可归纳为以下几类：</w:t>
      </w:r>
    </w:p>
    <w:p w14:paraId="2D1C62D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市场风险：市场需求变化、竞争加剧、客源结构单一、价格波动等。</w:t>
      </w:r>
    </w:p>
    <w:p w14:paraId="2357171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财务风险：投资超支、融资受阻、成本失控、现金流断裂、偿债风险等。</w:t>
      </w:r>
    </w:p>
    <w:p w14:paraId="54B19E7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管理运营风险：专业人才缺乏、运营效率低下、服务质量不稳定、品牌声誉受损、供应链断裂等。</w:t>
      </w:r>
    </w:p>
    <w:p w14:paraId="5A6ABD2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政策与法律风险：政策变动、审批延误、用地及规划条件变化、税收政策调整、法律法规合规性等。</w:t>
      </w:r>
    </w:p>
    <w:p w14:paraId="5B1FB5C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安全与健康风险：消防、食品安全、公共卫生、治安、职业健康与安全事故等。</w:t>
      </w:r>
    </w:p>
    <w:p w14:paraId="42DD948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自然与环境风险：极端天气、地质灾害、环境污染事故等不可抗力因素。</w:t>
      </w:r>
    </w:p>
    <w:p w14:paraId="0086BB1F">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10.2 主要风险应对策略与预案 </w:t>
      </w:r>
    </w:p>
    <w:p w14:paraId="422196B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为确保项目稳健运营，针对识别出的核心风险，制定了涵盖事前预防、事中控制、事后补救的全流程应对策略，具体如下：</w:t>
      </w:r>
    </w:p>
    <w:p w14:paraId="0AA9FE8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1. 市场风险（收入不及预期）应对策略</w:t>
      </w:r>
    </w:p>
    <w:p w14:paraId="10DB514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事前预防：</w:t>
      </w:r>
    </w:p>
    <w:p w14:paraId="061C7E0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项目将在开业前启动深度市场调研，对周集镇及周边的婚宴、商务会议市场容量、价格水平和消费习惯进行精准摸底，并尝试与本地核心工矿企业、头部婚庆公司签订合作意向协议，提前锁定部分基础客源。市场定位上将坚定不移地强化差异化优势，聚焦“一站式大型宴会中心”的核心竞争力，设计出针对不同预算和需求的灵活婚宴、会议产品套餐。同时，利用开业前的市场关注期，策划推出具有吸引力的优惠预售活动与会员储值卡，提前回笼部分资金并培养初始客户群。</w:t>
      </w:r>
    </w:p>
    <w:p w14:paraId="4DD861C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事中控制（运营期）：</w:t>
      </w:r>
    </w:p>
    <w:p w14:paraId="01A2207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运营阶段将实施动态定价与促销机制，根据淡旺季、节假日及市场竞争态势，灵活调整客房、餐饮价格，并策划主题促销活动以刺激消费。推行全员营销策略，建立销售激励制度，鼓励全体员工利用自身资源开拓客源。建立客户关系管理（CRM）系统，对客户消费数据进行管理分析，定期回访维护，提升客户满意度和复购率，通过口碑传播扩大市场。</w:t>
      </w:r>
    </w:p>
    <w:p w14:paraId="2A4205C5">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事后应急预案：</w:t>
      </w:r>
    </w:p>
    <w:p w14:paraId="1E5D9EB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若市场表现持续低于预期，将立即启动成本削减计划，审慎压缩各类非必要、非紧急的运营开支。同时，积极寻求业务转型或增长点，例如开拓长期包房市场、承接企业团队培训、开发特色外卖餐饮产品等，以开辟新的收入渠道。最终，需客观评估市场环境，必要时应调整中长期经营目标与财务预算，使预期回归理性。</w:t>
      </w:r>
    </w:p>
    <w:p w14:paraId="4FA35B6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2. 财务风险（运营成本失控）应对策略</w:t>
      </w:r>
    </w:p>
    <w:p w14:paraId="5C61A91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事前预防：</w:t>
      </w:r>
    </w:p>
    <w:p w14:paraId="6159EB9E">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建立健全全面预算管理体系，制定科学、详细的年度及月度财务预算，并以预算为纲，严格控制各项成本费用支出。在采购环节，对布草、客耗品等大宗物资实行集中招标采购，利用规模优势降低成本；对生鲜食材则积极推行“酒店+合作社/农户”的本地化直采模式，减少中间环节，保障品质的同时控制采购成本。此外，从建筑设计、设备选型源头即贯彻绿色节能理念，并在运营中实施能耗定额管理与考核。</w:t>
      </w:r>
    </w:p>
    <w:p w14:paraId="2E52714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事中控制：</w:t>
      </w:r>
    </w:p>
    <w:p w14:paraId="2CA3DF3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强化财务部门的监控职能，实行成本实时监控与分析，每月出具详尽的成本分析报告，对任何异常超支情况及时预警并追查原因。持续开展运营流程优化工作，通过简化程序、提高自动化水平、合理排班等方式，提升人工效率，降低物料损耗。</w:t>
      </w:r>
    </w:p>
    <w:p w14:paraId="052A3CE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事后应急预案：</w:t>
      </w:r>
    </w:p>
    <w:p w14:paraId="44CFF64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一旦出现成本严重超支威胁利润的情况，立即启动应急预案，全面审查并冻结非紧急、非核心的资本性开支和费用报销。积极与主要供应商进行沟通，协商延长付款账期或争取临时性的价格优惠，缓解短期现金流压力。在确保酒店核心服务质量和客户体验不出现大幅下滑的前提下，可临时性调整部分非关键的服务标准或物料规格，以渡过成本高压期。</w:t>
      </w:r>
    </w:p>
    <w:p w14:paraId="7F34A58D">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3. 管理运营风险（专业人才缺乏）应对策略</w:t>
      </w:r>
    </w:p>
    <w:p w14:paraId="431A3CE5">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事前预防：</w:t>
      </w:r>
    </w:p>
    <w:p w14:paraId="04D3D10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人才引进工作必须超前。在项目建设期间，就应启动核心管理团队（如总经理、餐饮总监、房务总监）的招聘工作，让其尽早介入筹建过程，有利于理念贯彻与运营准备。同时，着手建立企业内部的“淮畔酒店学院”培训体系，编制标准化操作手册，为未来中层管理人员及基层员工的系统化培训打下基础。制定具有区域竞争力的薪酬福利方案及清晰的职业晋升通道，增强对人才的吸引力。</w:t>
      </w:r>
    </w:p>
    <w:p w14:paraId="0C86D292">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事中控制：</w:t>
      </w:r>
    </w:p>
    <w:p w14:paraId="197DCD2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运营中，需对管理层给予充分的授权与信任，并实施与经营业绩、管理绩效紧密挂钩的激励方案，激发其主观能动性。高度重视企业文化建设，努力营造一个尊重员工、公平公正、鼓励学习与成长的工作氛围，从而增强团队凝聚力和员工归属感，有效降低关键岗位人才的流失率。</w:t>
      </w:r>
    </w:p>
    <w:p w14:paraId="7C8E0C1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事后应急预案：</w:t>
      </w:r>
    </w:p>
    <w:p w14:paraId="23AC069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为防范关键岗位人员突然离职带来的风险，对总经理、部门总监等核心岗位建立 “AB角”替补制度，加强梯队建设。在出现核心管理团队大面积缺失或能力严重不足的极端情况下，可紧急与国内专业的酒店管理公司接洽，寻求短期托管或专项顾问服务，以维持酒店基本运营。同时，立即启动高层级紧急招聘计划，将招聘范围扩大至六安、合肥等区域中心城市，通过优厚条件吸引成熟人才。</w:t>
      </w:r>
    </w:p>
    <w:p w14:paraId="3A63899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4. 安全与健康风险（重大安全事故）应对策略</w:t>
      </w:r>
    </w:p>
    <w:p w14:paraId="7A7C55F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事前预防：</w:t>
      </w:r>
    </w:p>
    <w:p w14:paraId="59463FF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坚持安全投入不妥协的原则，在消防系统、安防监控、厨房设备、电梯等涉及重大安全的设施上，严格按照甚至高于国家及行业最高标准进行设计、选型、施工和验收。建立健全覆盖所有运营环节的安全管理制度与操作规程，并确保每位员工上岗前都必须通过严格的安全培训和应急演练，做到“制度全覆盖、培训全员化”。此外，通过购买足额的财产一切险、公众责任险、食品安全责任险等商业保险，有效转移潜在的重大经济损失风险。</w:t>
      </w:r>
    </w:p>
    <w:p w14:paraId="7CD88BB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事中控制：</w:t>
      </w:r>
    </w:p>
    <w:p w14:paraId="257F222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运营期必须落实常态化安全检查机制，工程安保部门需每日巡查，并定期对所有安全设施、设备进行专业维护保养，确保其始终处于良好有效状态。充分利用视频监控、智能烟感、燃气报警等智慧化系统，实现对重点区域的全天候、无死角监控，做到安全风险早发现、早预警、早处置。</w:t>
      </w:r>
    </w:p>
    <w:p w14:paraId="44C3B05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事后应急预案：</w:t>
      </w:r>
    </w:p>
    <w:p w14:paraId="1F3F199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一旦发生火灾、食品安全、治安等重大安全事故，必须立即启动相应的专项应急预案。应急处置的第一要务是控制事态、抢救伤员、保护现场，并按规定立即上报政府相关主管部门（消防、公安、食药监、卫健委等）。同时，酒店应第一时间成立由最高负责人牵头的危机处理小组，统一指挥、统一信息发布口径，做好与媒体、公众、家属的沟通工作，依法依规进行善后处理，尽全力控制事件对酒店声誉造成的负面影响。</w:t>
      </w:r>
    </w:p>
    <w:p w14:paraId="522FDFE3">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10.3风险监控与持续管理</w:t>
      </w:r>
    </w:p>
    <w:p w14:paraId="325750C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本项目将建立常态化的风险监控与管理机制：</w:t>
      </w:r>
    </w:p>
    <w:p w14:paraId="5AE3FBD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组织保障：在酒店管理层中明确风险管理的归口部门（如由总经理办公室或财务部牵头），定期（每季度）召开风险评审会。</w:t>
      </w:r>
    </w:p>
    <w:p w14:paraId="51C6E67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信息监控：建立内外部风险信息收集渠道，关注市场、政策、行业动态。</w:t>
      </w:r>
    </w:p>
    <w:p w14:paraId="30419D7E">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动态更新：根据项目所处阶段（建设、开业、稳定运营）和内外部环境变化，动态更新风险清单和应对预案。</w:t>
      </w:r>
    </w:p>
    <w:p w14:paraId="017215A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任何投资项目均伴生风险，关键在于识别、评估并有效管理。本章系统分析了霍邱县周集淮畔大酒店项目可能面临的各类风险，并制定了以预防为主、防控结合的应对策略。只要项目投资方和管理团队能够保持高度的风险意识，特别是对“市场营收”、“运营成本”和“人才团队”三大核心风险予以重点把控，并严格落实各项安全与应急预案，本项目的整体风险是可控的。​ 通过科学的风险管理，可以最大程度地保障项目投资安全，确保其商业目标与社会效益的顺利实现。</w:t>
      </w:r>
    </w:p>
    <w:p w14:paraId="25A44EA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210421F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p>
    <w:p w14:paraId="358CFF05">
      <w:pPr>
        <w:spacing w:line="360" w:lineRule="auto"/>
        <w:ind w:firstLine="420" w:firstLineChars="200"/>
        <w:rPr>
          <w:rFonts w:hint="default" w:ascii="Times New Roman" w:hAnsi="Times New Roman" w:eastAsia="宋体" w:cs="Times New Roman"/>
          <w:szCs w:val="21"/>
          <w:lang w:val="en-US" w:eastAsia="zh-CN"/>
        </w:rPr>
      </w:pPr>
    </w:p>
    <w:p w14:paraId="0CE832E9">
      <w:pPr>
        <w:spacing w:line="360" w:lineRule="auto"/>
        <w:ind w:firstLine="420" w:firstLineChars="200"/>
        <w:rPr>
          <w:rFonts w:hint="default" w:ascii="Times New Roman" w:hAnsi="Times New Roman" w:eastAsia="宋体" w:cs="Times New Roman"/>
          <w:szCs w:val="21"/>
          <w:lang w:val="en-US" w:eastAsia="zh-CN"/>
        </w:rPr>
      </w:pPr>
    </w:p>
    <w:p w14:paraId="41DCF228">
      <w:pPr>
        <w:rPr>
          <w:rFonts w:hint="default" w:ascii="Times New Roman" w:hAnsi="Times New Roman" w:eastAsia="宋体" w:cs="Times New Roman"/>
          <w:b/>
          <w:snapToGrid w:val="0"/>
          <w:color w:val="auto"/>
          <w:kern w:val="2"/>
          <w:sz w:val="32"/>
          <w:szCs w:val="32"/>
          <w:highlight w:val="none"/>
          <w:lang w:val="en-US" w:eastAsia="zh-CN" w:bidi="ar-SA"/>
        </w:rPr>
      </w:pPr>
      <w:r>
        <w:rPr>
          <w:rFonts w:hint="default" w:ascii="Times New Roman" w:hAnsi="Times New Roman" w:eastAsia="宋体" w:cs="Times New Roman"/>
          <w:b/>
          <w:snapToGrid w:val="0"/>
          <w:color w:val="auto"/>
          <w:kern w:val="2"/>
          <w:sz w:val="32"/>
          <w:szCs w:val="32"/>
          <w:highlight w:val="none"/>
          <w:lang w:val="en-US" w:eastAsia="zh-CN" w:bidi="ar-SA"/>
        </w:rPr>
        <w:br w:type="page"/>
      </w:r>
    </w:p>
    <w:p w14:paraId="176E65FB">
      <w:pPr>
        <w:pStyle w:val="6"/>
        <w:keepNext w:val="0"/>
        <w:keepLines w:val="0"/>
        <w:pageBreakBefore w:val="0"/>
        <w:widowControl/>
        <w:tabs>
          <w:tab w:val="left" w:pos="3642"/>
        </w:tabs>
        <w:kinsoku/>
        <w:wordWrap w:val="0"/>
        <w:overflowPunct/>
        <w:topLinePunct/>
        <w:autoSpaceDE w:val="0"/>
        <w:autoSpaceDN w:val="0"/>
        <w:bidi w:val="0"/>
        <w:adjustRightInd w:val="0"/>
        <w:snapToGrid w:val="0"/>
        <w:spacing w:after="0" w:afterLines="0" w:afterAutospacing="0" w:line="360" w:lineRule="auto"/>
        <w:ind w:left="0" w:leftChars="0" w:firstLine="0" w:firstLineChars="0"/>
        <w:jc w:val="center"/>
        <w:textAlignment w:val="baseline"/>
        <w:outlineLvl w:val="0"/>
        <w:rPr>
          <w:rFonts w:hint="default" w:ascii="Times New Roman" w:hAnsi="Times New Roman" w:eastAsia="宋体" w:cs="Times New Roman"/>
          <w:b/>
          <w:snapToGrid w:val="0"/>
          <w:color w:val="auto"/>
          <w:kern w:val="2"/>
          <w:sz w:val="32"/>
          <w:szCs w:val="32"/>
          <w:highlight w:val="none"/>
          <w:lang w:val="en-US" w:eastAsia="zh-CN" w:bidi="ar-SA"/>
        </w:rPr>
      </w:pPr>
      <w:r>
        <w:rPr>
          <w:rFonts w:hint="default" w:ascii="Times New Roman" w:hAnsi="Times New Roman" w:eastAsia="宋体" w:cs="Times New Roman"/>
          <w:b/>
          <w:snapToGrid w:val="0"/>
          <w:color w:val="auto"/>
          <w:kern w:val="2"/>
          <w:sz w:val="32"/>
          <w:szCs w:val="32"/>
          <w:highlight w:val="none"/>
          <w:lang w:val="en-US" w:eastAsia="zh-CN" w:bidi="ar-SA"/>
        </w:rPr>
        <w:t>第十一章 结论与建议</w:t>
      </w:r>
    </w:p>
    <w:p w14:paraId="0BB26390">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11.1 结论 </w:t>
      </w:r>
    </w:p>
    <w:p w14:paraId="1E85AA23">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通过对霍邱县周集淮畔大酒店项目的全面、系统研究，本《项目建议书》得出如下综合结论：</w:t>
      </w:r>
    </w:p>
    <w:p w14:paraId="6D9367C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1. 项目定位精准，社会与市场需求明确。</w:t>
      </w:r>
    </w:p>
    <w:p w14:paraId="1E11AA9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本项目旨在打造周集镇首个集商务住宿、大型宴会、会议、餐饮娱乐于一体的现代化综合性酒店。其建设精准填补了镇域内中高端服务设施的市场空白，是响应“淮岸强镇”发展目标、完善产业配套、满足本地居民高品质生活需求的必要举措。项目面向本地铁矿工矿企业、港口物流企业的商务接待，以及近9万人口（含周边乡镇）的刚性婚庆宴请市场，客源基础扎实，发展前景广阔。</w:t>
      </w:r>
    </w:p>
    <w:p w14:paraId="2BEAFDAF">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2. 建设方案合理，技术经济可行。</w:t>
      </w:r>
    </w:p>
    <w:p w14:paraId="64EA4C9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项目总用地约9.5亩，总建筑面积14,000平方米，规划客房100间及600人大型宴会厅等功能。设计方案科学，功能布局与流线合理。总投资10,000万元，投资构成明确。财务分析显示，在年均营业收入2,500万元、净利润1,300万元的预测下，项目税后财务内部收益率（FIRR）约13.5%，静态投资回收期7.7年，资本金净利润率高达21.7%。各项财务指标（包括投资回收期、内部收益率、偿债备付率、利息备付率、盈亏平衡点等）均表现优良，表明项目具有较强的盈利能力和抗风险能力，在财务上是可行的。</w:t>
      </w:r>
    </w:p>
    <w:p w14:paraId="1B90CDB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3. 社会效益显著，带动作用强劲。</w:t>
      </w:r>
    </w:p>
    <w:p w14:paraId="0374740B">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项目不仅是一个商业投资，更是一个重要的民生与产业配套工程。其建成可直接创造约150个就业岗位，间接带动大量关联就业；可显著完善城镇公共服务功能，提升周集镇营商环境和整体形象；能强力拉动本地农产品销售，激活婚庆、物流等第三产业，并对主导的工矿业形成有效配套支撑。项目完全契合国家乡村振兴战略导向，社会效益突出，具备成为区域发展“催化剂”的潜力。</w:t>
      </w:r>
    </w:p>
    <w:p w14:paraId="2F5509FC">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4. 总体风险评估可控，成功要素明确。</w:t>
      </w:r>
    </w:p>
    <w:p w14:paraId="3441FAD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尽管项目面临市场、成本、人才等核心风险，但通过深入的市场调研、严格的预算与成本控制、前瞻性的人才战略以及完善的安全应急预案，上述风险均可得到有效管理和缓解。项目的成功关键在于组建专业运营团队、深耕本地商务与宴席市场、实现高效的成本控制。只要这三点落实到位，项目有望成为区域标杆，实现商业价值与社会效益的双赢。</w:t>
      </w:r>
    </w:p>
    <w:p w14:paraId="75F681D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综上，霍邱县周集淮畔大酒店建设项目，是一个符合规划政策、市场需求明确、方案合理可行、财务回报可观、社会效益显著、风险总体可控的优质投资项目。​ 项目的实施对优化周集镇营商环境、促进产城融合、提升居民生活质量、推动地方经济社会发展具有重要意义，建议予以批准并尽快启动。</w:t>
      </w:r>
    </w:p>
    <w:p w14:paraId="66AC0CE0">
      <w:pPr>
        <w:pStyle w:val="12"/>
        <w:keepNext w:val="0"/>
        <w:keepLines w:val="0"/>
        <w:pageBreakBefore w:val="0"/>
        <w:widowControl/>
        <w:numPr>
          <w:ilvl w:val="0"/>
          <w:numId w:val="0"/>
        </w:numPr>
        <w:tabs>
          <w:tab w:val="center" w:pos="4153"/>
        </w:tabs>
        <w:kinsoku/>
        <w:wordWrap w:val="0"/>
        <w:overflowPunct/>
        <w:topLinePunct/>
        <w:autoSpaceDE w:val="0"/>
        <w:autoSpaceDN w:val="0"/>
        <w:bidi w:val="0"/>
        <w:adjustRightInd w:val="0"/>
        <w:snapToGrid w:val="0"/>
        <w:spacing w:line="360" w:lineRule="auto"/>
        <w:jc w:val="both"/>
        <w:textAlignment w:val="baseline"/>
        <w:outlineLvl w:val="1"/>
        <w:rPr>
          <w:rFonts w:hint="default" w:ascii="Times New Roman" w:hAnsi="Times New Roman" w:eastAsia="宋体" w:cs="Times New Roman"/>
          <w:b/>
          <w:bCs/>
          <w:color w:val="auto"/>
          <w:sz w:val="30"/>
          <w:szCs w:val="30"/>
          <w:highlight w:val="none"/>
          <w:lang w:val="en-US" w:eastAsia="zh-CN"/>
        </w:rPr>
      </w:pPr>
      <w:r>
        <w:rPr>
          <w:rFonts w:hint="default" w:ascii="Times New Roman" w:hAnsi="Times New Roman" w:eastAsia="宋体" w:cs="Times New Roman"/>
          <w:b/>
          <w:bCs/>
          <w:color w:val="auto"/>
          <w:sz w:val="30"/>
          <w:szCs w:val="30"/>
          <w:highlight w:val="none"/>
          <w:lang w:val="en-US" w:eastAsia="zh-CN"/>
        </w:rPr>
        <w:t xml:space="preserve">11.2 建议 </w:t>
      </w:r>
    </w:p>
    <w:p w14:paraId="05BC110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为确保项目顺利推进、成功建成并实现预期效益，特提出以下建议：</w:t>
      </w:r>
    </w:p>
    <w:p w14:paraId="2C26C776">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1. 加快推进前期工作，确保项目尽快落地。</w:t>
      </w:r>
    </w:p>
    <w:p w14:paraId="1C1BA9A5">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建议投资方“安徽淮畔酒店有限公司”尽快组建强有力的项目专项小组，明确职责分工。立即启动并同步推进项目立项、环境影响评价、节能评估、规划许可、施工许可等各项关键报批程序。优先完成土地手续办理，为项目全面开工扫清障碍。</w:t>
      </w:r>
    </w:p>
    <w:p w14:paraId="177F7F8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2. 深化设计与成本优化，严控投资总额。</w:t>
      </w:r>
    </w:p>
    <w:p w14:paraId="024E26D8">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在建筑方案和施工图设计阶段，建议进一步优化功能布局、结构选型和材料设备选型，在确保品质和三星级标准的前提下，合理控制建安成本。对部分非核心功能区（如部分高端餐饮包厢、娱乐配套）可考虑弹性规划或分期实施，以降低初期投资压力，集中资源确保核心功能（客房、宴会厅）的高质量呈现。</w:t>
      </w:r>
    </w:p>
    <w:p w14:paraId="74948B71">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3. 全力争取多方支持，优化资金结构。</w:t>
      </w:r>
    </w:p>
    <w:p w14:paraId="1BA869FA">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积极与霍邱县、周集镇政府沟通，全力争取在土地出让、相关税费等方面的优惠政策。重点对接县乡村振兴局、发改委等部门，深入研究并申报“乡村振兴衔接资金”，探索与重点帮扶村集体合作共建的模式，这不仅能有效降低项目资本金压力和融资成本，更能凸显项目的社会属性，获得更深厚的政策与社区支持。</w:t>
      </w:r>
    </w:p>
    <w:p w14:paraId="759D7B49">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4. 前置运营筹备工作，特别是人才与市场锁定。</w:t>
      </w:r>
    </w:p>
    <w:p w14:paraId="040B6A10">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项目建设与运营筹备必须并行。建议在项目开工前后即启动核心管理团队（总经理、餐饮总监、销售总监）的招聘工作，让其深度参与筹建，确保运营理念贯穿始终。同时，组建前期销售团队，在开业前与张庄矿业等核心工矿企业、重点政府单位、本地婚庆公司签订意向性用房及宴会合作协议，提前锁定基础客源，为开业即盈利打下坚实基础。</w:t>
      </w:r>
    </w:p>
    <w:p w14:paraId="6AB4C575">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5. 建立全周期风险管理机制，实现稳健运营。</w:t>
      </w:r>
    </w:p>
    <w:p w14:paraId="499CB837">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项目投资方与管理团队需树立强烈的风险意识，建立覆盖建设期与运营期的常态化风险监控与应对机制。特别要将市场营销、成本控制和安全生产作为三大生命线来抓。定期审视市场变化，灵活调整经营策略；实施全面预算和精细化管理，严控运营成本；始终将消防、食品安全、治安管理放在首位，建立完善的应急预案并定期演练，确保企业长治久安。</w:t>
      </w:r>
    </w:p>
    <w:p w14:paraId="446D6FE4">
      <w:pPr>
        <w:pStyle w:val="6"/>
        <w:autoSpaceDE w:val="0"/>
        <w:autoSpaceDN w:val="0"/>
        <w:spacing w:line="360" w:lineRule="auto"/>
        <w:ind w:firstLine="480" w:firstLineChars="200"/>
        <w:jc w:val="both"/>
        <w:rPr>
          <w:rFonts w:hint="default" w:ascii="Times New Roman" w:hAnsi="Times New Roman" w:eastAsia="宋体" w:cs="Times New Roman"/>
          <w:color w:val="auto"/>
          <w:kern w:val="0"/>
          <w:highlight w:val="none"/>
          <w:lang w:val="en-US" w:eastAsia="zh-CN"/>
        </w:rPr>
      </w:pPr>
      <w:r>
        <w:rPr>
          <w:rFonts w:hint="default" w:ascii="Times New Roman" w:hAnsi="Times New Roman" w:eastAsia="宋体" w:cs="Times New Roman"/>
          <w:color w:val="auto"/>
          <w:kern w:val="0"/>
          <w:highlight w:val="none"/>
          <w:lang w:val="en-US" w:eastAsia="zh-CN"/>
        </w:rPr>
        <w:t>综上所述，建议决策部门批准本项目，并希望各相关单位给予大力支持，共同推动霍邱县周集淮畔大酒店这一利镇、利企、利民的优质项目早日从蓝图变为现实，为周集镇的经济社会发展注入新的活力。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88"/>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AA197E"/>
    <w:rsid w:val="05583ABD"/>
    <w:rsid w:val="0A79447B"/>
    <w:rsid w:val="0AC0410C"/>
    <w:rsid w:val="0B786794"/>
    <w:rsid w:val="0E436767"/>
    <w:rsid w:val="124A70DD"/>
    <w:rsid w:val="14AF76CB"/>
    <w:rsid w:val="14C72F7A"/>
    <w:rsid w:val="17EB32D8"/>
    <w:rsid w:val="1D8316F5"/>
    <w:rsid w:val="1E5213B2"/>
    <w:rsid w:val="1FB43DE7"/>
    <w:rsid w:val="20071D8D"/>
    <w:rsid w:val="266B3510"/>
    <w:rsid w:val="28EA5D1E"/>
    <w:rsid w:val="294E705B"/>
    <w:rsid w:val="2A1775D5"/>
    <w:rsid w:val="2E235804"/>
    <w:rsid w:val="2F6953C2"/>
    <w:rsid w:val="2FF527AB"/>
    <w:rsid w:val="32BA122A"/>
    <w:rsid w:val="343E6181"/>
    <w:rsid w:val="347F58E9"/>
    <w:rsid w:val="3AE43E4B"/>
    <w:rsid w:val="40302AFF"/>
    <w:rsid w:val="42C02DCF"/>
    <w:rsid w:val="45380565"/>
    <w:rsid w:val="4A173615"/>
    <w:rsid w:val="4ADA02F6"/>
    <w:rsid w:val="4BFB186B"/>
    <w:rsid w:val="546E3365"/>
    <w:rsid w:val="56E75459"/>
    <w:rsid w:val="57935DA9"/>
    <w:rsid w:val="5D043761"/>
    <w:rsid w:val="5EC27C1F"/>
    <w:rsid w:val="5FC370B3"/>
    <w:rsid w:val="60EC603E"/>
    <w:rsid w:val="65795592"/>
    <w:rsid w:val="66D250D4"/>
    <w:rsid w:val="69135570"/>
    <w:rsid w:val="6C9C075E"/>
    <w:rsid w:val="6DE00CB7"/>
    <w:rsid w:val="74664391"/>
    <w:rsid w:val="767C665B"/>
    <w:rsid w:val="78005D3C"/>
    <w:rsid w:val="7AC76F56"/>
    <w:rsid w:val="7DC3347F"/>
    <w:rsid w:val="7DD85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sz w:val="24"/>
      <w:szCs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Emphasis"/>
    <w:basedOn w:val="9"/>
    <w:qFormat/>
    <w:uiPriority w:val="0"/>
    <w:rPr>
      <w:i/>
    </w:rPr>
  </w:style>
  <w:style w:type="paragraph" w:customStyle="1" w:styleId="12">
    <w:name w:val="1正文段落"/>
    <w:basedOn w:val="1"/>
    <w:autoRedefine/>
    <w:qFormat/>
    <w:uiPriority w:val="0"/>
    <w:pPr>
      <w:spacing w:line="360" w:lineRule="auto"/>
      <w:ind w:firstLine="480" w:firstLineChars="200"/>
      <w:jc w:val="left"/>
    </w:pPr>
    <w:rPr>
      <w:snapToGrid w:val="0"/>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24627</Words>
  <Characters>25844</Characters>
  <Lines>0</Lines>
  <Paragraphs>0</Paragraphs>
  <TotalTime>52</TotalTime>
  <ScaleCrop>false</ScaleCrop>
  <LinksUpToDate>false</LinksUpToDate>
  <CharactersWithSpaces>26114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2026-03-16T00:48:00Z</dcterms:created>
  <dc:creator>Administrator</dc:creator>
  <cp:lastModifiedBy>姚尚和</cp:lastModifiedBy>
  <dcterms:modified xsi:type="dcterms:W3CDTF">2026-03-16T07:41:24Z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eyJoZGlkIjoiYTdmZTU4YTI5MGFjMjFiMjgyMjU4ODhhNzA4NzhiYTQiLCJ1c2VySWQiOiIxMDg0MTE0MTg3In0=</vt:lpwstr>
  </property>
  <property fmtid="{D5CDD505-2E9C-101B-9397-08002B2CF9AE}" pid="4" name="ICV">
    <vt:lpwstr>B143886BC4D04DB4AC59A64B1CD74072_12</vt:lpwstr>
  </property>
</Properties>
</file>