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/>
          <w:i w:val="0"/>
          <w:color w:val="00843D"/>
          <w:sz w:val="20"/>
        </w:rPr>
        <w:t>Technical Competency</w:t>
      </w:r>
    </w:p>
    <w:p>
      <w:pPr>
        <w:spacing w:before="0" w:after="80"/>
      </w:pPr>
      <w:r>
        <w:rPr>
          <w:rFonts w:ascii="Georgia" w:hAnsi="Georgia"/>
          <w:b/>
          <w:i w:val="0"/>
          <w:color w:val="01632D"/>
          <w:sz w:val="52"/>
        </w:rPr>
        <w:t>Round 2 SME Review Packet</w:t>
      </w:r>
    </w:p>
    <w:p>
      <w:pPr>
        <w:spacing w:after="40" w:before="0"/>
      </w:pPr>
      <w:r>
        <w:rPr>
          <w:rFonts w:ascii="Georgia" w:hAnsi="Georgia"/>
          <w:b/>
          <w:i w:val="0"/>
          <w:color w:val="1C2722"/>
          <w:sz w:val="30"/>
        </w:rPr>
        <w:t>Learning &amp; Development Strategy and Design  +  Training Delivery</w:t>
      </w:r>
    </w:p>
    <w:p>
      <w:pPr>
        <w:spacing w:after="200" w:before="0"/>
      </w:pPr>
      <w:r>
        <w:rPr>
          <w:rFonts w:ascii="Arial" w:hAnsi="Arial"/>
          <w:b w:val="0"/>
          <w:i/>
          <w:color w:val="707773"/>
          <w:sz w:val="22"/>
        </w:rPr>
        <w:t>Combined Round 2 focus group · the two specializations that share the Learning Design competency</w:t>
      </w:r>
    </w:p>
    <w:p>
      <w:pPr>
        <w:spacing w:after="20" w:before="0"/>
      </w:pPr>
      <w:r>
        <w:rPr>
          <w:rFonts w:ascii="Arial" w:hAnsi="Arial"/>
          <w:b w:val="0"/>
          <w:i w:val="0"/>
          <w:color w:val="1C2722"/>
          <w:sz w:val="20"/>
        </w:rPr>
        <w:t>Function: Cargill Talent Solutions</w:t>
      </w:r>
    </w:p>
    <w:p>
      <w:pPr>
        <w:spacing w:after="20" w:before="0"/>
      </w:pPr>
      <w:r>
        <w:rPr>
          <w:rFonts w:ascii="Arial" w:hAnsi="Arial"/>
          <w:b w:val="0"/>
          <w:i w:val="0"/>
          <w:color w:val="1C2722"/>
          <w:sz w:val="20"/>
        </w:rPr>
        <w:t>Prepared by: Assessment, Competency &amp; Career Framework Team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1C2722"/>
          <w:sz w:val="20"/>
        </w:rPr>
        <w:t>Date: 2026-06-22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707773"/>
                <w:sz w:val="18"/>
              </w:rPr>
              <w:t>Proprietary competency architecture developed by Cargill's Assessment, Competency &amp; Career Framework team. Limited to designated SME reviewers and project stakeholders. Do not forward or share outside the approved panel without written authorization from the project owner.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Reviewer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val="clear" w:color="auto"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Reviewer name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5040"/>
            <w:vAlign w:val="center"/>
            <w:shd w:val="clear" w:color="auto"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Specialization / group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20"/>
              </w:rPr>
              <w:t>Learning &amp; Development Strategy and Design  +  Training Delivery</w:t>
            </w:r>
          </w:p>
        </w:tc>
      </w:tr>
      <w:tr>
        <w:tc>
          <w:tcPr>
            <w:tcW w:type="dxa" w:w="5040"/>
            <w:vAlign w:val="center"/>
            <w:shd w:val="clear" w:color="auto"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Return by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20"/>
              </w:rPr>
              <w:t>[RETURN_BY_DATE]</w:t>
            </w:r>
          </w:p>
        </w:tc>
      </w:tr>
      <w:tr>
        <w:tc>
          <w:tcPr>
            <w:tcW w:type="dxa" w:w="5040"/>
            <w:vAlign w:val="center"/>
            <w:shd w:val="clear" w:color="auto"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Time required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20"/>
              </w:rPr>
              <w:t>About 35 minutes for this focus group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How this packet works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What we did.  </w:t>
      </w:r>
      <w:r>
        <w:rPr>
          <w:rFonts w:ascii="Arial" w:hAnsi="Arial"/>
          <w:b w:val="0"/>
          <w:i w:val="0"/>
          <w:color w:val="1C2722"/>
          <w:sz w:val="22"/>
        </w:rPr>
        <w:t>We combined your Round 1 edits on the shared Learning Design competency into one proposed version, kept as many requested changes as possible, and expanded the definition to name needs-analysis, consulting, and facilitation alongside design. The expanded definition is already applied (Part A). The one item that genuinely needs the two specializations together, the design-versus-delivery boundary, is drafted as a recommendation (Part B).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What we need from you.  </w:t>
      </w:r>
      <w:r>
        <w:rPr>
          <w:rFonts w:ascii="Arial" w:hAnsi="Arial"/>
          <w:b w:val="0"/>
          <w:i w:val="0"/>
          <w:color w:val="1C2722"/>
          <w:sz w:val="22"/>
        </w:rPr>
        <w:t>Confirm the applied definition change in Part A. In Part B, settle which Learning Design indicators are designer-owned (Learning &amp; Development Strategy and Design) versus delivery or product-owner scope (Training Delivery), and confirm how the sub-family carries Workforce Planning. Nothing in Part B is final until you decide.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Where your feedback went.  </w:t>
      </w:r>
      <w:r>
        <w:rPr>
          <w:rFonts w:ascii="Arial" w:hAnsi="Arial"/>
          <w:b w:val="0"/>
          <w:i w:val="0"/>
          <w:color w:val="1C2722"/>
          <w:sz w:val="22"/>
        </w:rPr>
        <w:t>Every Round 1 comment on these competencies is in the appendix disposition, including the Training Delivery edits (Tessa Sprengers, Tori Hulse) on role-blending, the technology indicator, and facilitator coordination.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22"/>
        </w:rPr>
        <w:t>Every competency below carries a status label so you can see, at a glance, what is already settled and what still needs the group. Items are grouped into two parts: Part A holds changes we have already applied (read and confirm); Part B holds the items for live discussion (decisions and proposals).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it means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to do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You have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F49C5"/>
                <w:sz w:val="18"/>
              </w:rPr>
              <w:t>PROPOSED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 new or expanded competency, drafted in full.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Review and react; confirm it fits or note changes.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EA800"/>
                <w:sz w:val="18"/>
              </w:rPr>
              <w:t>NEEDS YOUR DECISION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Reviewers saw this differently, or it changes who owns the work. A recommendation is drafted.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Review the recommendation; bring your view to the focus group.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0843D"/>
                <w:sz w:val="18"/>
              </w:rPr>
              <w:t>NEEDS YOUR CONFIRMATION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We applied your feedback or a clear, agreed change. Structure is unchanged.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Read it; confirm or note a correction.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1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707773"/>
                <w:sz w:val="18"/>
              </w:rPr>
              <w:t>KEPT, NO ACTION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Strongly supported and unchanged.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Acknowledge; nothing to do.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C50F1F"/>
                <w:sz w:val="18"/>
              </w:rPr>
              <w:t>NEEDS A QUICK ANSWER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One specific question only you can answer.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Reply in the box provided.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1C2722"/>
                <w:sz w:val="20"/>
              </w:rPr>
              <w:t>0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Ground rules for the session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Scope before words.  </w:t>
      </w:r>
      <w:r>
        <w:rPr>
          <w:rFonts w:ascii="Arial" w:hAnsi="Arial"/>
          <w:b w:val="0"/>
          <w:i w:val="0"/>
          <w:color w:val="1C2722"/>
          <w:sz w:val="22"/>
        </w:rPr>
        <w:t>Decide who owns each indicator and at what level, and for which specialization, before debating wording. Wording fixes already handled in the edit lane do not need this room.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Intake model.  </w:t>
      </w:r>
      <w:r>
        <w:rPr>
          <w:rFonts w:ascii="Arial" w:hAnsi="Arial"/>
          <w:b w:val="0"/>
          <w:i w:val="0"/>
          <w:color w:val="1C2722"/>
          <w:sz w:val="22"/>
        </w:rPr>
        <w:t>At intake the hiring manager selects three to five competencies for the job. Set each competency essential, important, or limited per specialization; the job then selects its own set within the recommended size.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Sub-family owner.  </w:t>
      </w:r>
      <w:r>
        <w:rPr>
          <w:rFonts w:ascii="Arial" w:hAnsi="Arial"/>
          <w:b w:val="0"/>
          <w:i w:val="0"/>
          <w:color w:val="1C2722"/>
          <w:sz w:val="22"/>
        </w:rPr>
        <w:t>Owners and dates recorded at sign-off feed the decision registry; the sub-family owner is Vidula.</w:t>
      </w:r>
    </w:p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Start here: agree the rating guidance and the intake-selection model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22"/>
        </w:rPr>
        <w:t>Set the rating and floor level for the shared Learning Design competency by specialization, rather than splitting the competency in two. Use the rating guidance below with the intake model.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 guidance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Essential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Core to the role; expected at proficiency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Level 3 to 4 for owners; Level 1 to 2 for users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Important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Relevant but not defining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Level 2 to 3, set by job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Limited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Awareness or occasional use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Level 1 to 2 or unassigned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5F9ED"/>
          </w:tcPr>
          <w:p>
            <w:r>
              <w:rPr>
                <w:rFonts w:ascii="Arial" w:hAnsi="Arial"/>
                <w:b/>
                <w:i w:val="0"/>
                <w:color w:val="01632D"/>
                <w:sz w:val="18"/>
              </w:rPr>
              <w:t xml:space="preserve">On intake (Organization Development panel).  </w:t>
            </w: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“As T&amp;D has been talking with TA, at intake the hiring manager can choose three to five competencies for the job.”</w:t>
            </w:r>
          </w:p>
        </w:tc>
      </w:tr>
    </w:tbl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Decide.  </w:t>
      </w:r>
      <w:r>
        <w:rPr>
          <w:rFonts w:ascii="Arial" w:hAnsi="Arial"/>
          <w:b w:val="0"/>
          <w:i w:val="0"/>
          <w:color w:val="1C2722"/>
          <w:sz w:val="22"/>
        </w:rPr>
        <w:t>Adopt the rating guidance and the intake-selection model for today, then apply them to the items below.</w:t>
      </w:r>
    </w:p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Specialization coverage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Technical competency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L&amp;D Strategy &amp; Design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Training Delivery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Learning Design &amp; Strategy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D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U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02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Workforce Planning &amp; Capability Strategy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U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U</w:t>
            </w:r>
          </w:p>
        </w:tc>
      </w:tr>
    </w:tbl>
    <w:p>
      <w:pPr>
        <w:spacing w:after="120" w:before="80"/>
      </w:pPr>
      <w:r>
        <w:rPr>
          <w:rFonts w:ascii="Arial" w:hAnsi="Arial"/>
          <w:b w:val="0"/>
          <w:i/>
          <w:color w:val="707773"/>
          <w:sz w:val="17"/>
        </w:rPr>
        <w:t>Legend:  D designs and owns (Levels 3 to 4) · C carries with the specialization lens · F facilitates · U uses and applies (Levels 1 to 2) · A advises (apply-and-advise) · Aw awareness (Levels 1 to 2) · S shared employment-practice anchor · L2 limited (Level 2).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18"/>
        </w:rPr>
        <w:t>Learning Design &amp; Strategy is shared by both specializations; Decision 1 settles which indicators are designer-owned (Learning &amp; Development Strategy and Design) versus delivery or product-owner scope (Training Delivery). Workforce Planning &amp; Capability Strategy is carried by the sub-family as a user or contributor, not an owner (Decision 2). Competencies settled in Round 1 and not in dispute are held in the HR competency library; this packet covers the items that need the group.</w:t>
      </w:r>
    </w:p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Part A · Modifications already applied (read and confirm)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22"/>
        </w:rPr>
        <w:t>These changes were clear and agreed in Round 1 and have been applied to the wording. Read each one and confirm it fits, or note a correction. Updated levels are flagged in the indicator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3F1E8"/>
          </w:tcPr>
          <w:p>
            <w:r>
              <w:rPr>
                <w:rFonts w:ascii="Arial" w:hAnsi="Arial"/>
                <w:b/>
                <w:i w:val="0"/>
                <w:color w:val="00843D"/>
                <w:sz w:val="20"/>
              </w:rPr>
              <w:t>NEEDS YOUR CONFIRMATION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 xml:space="preserve">  —  feedback applied; structure unchanged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Assigned to:  Learning &amp; Development Strategy and Design (designer-owned) · Training Delivery (delivery)</w:t>
            </w:r>
          </w:p>
        </w:tc>
      </w:tr>
    </w:tbl>
    <w:p>
      <w:pPr>
        <w:spacing w:before="120" w:after="80"/>
      </w:pPr>
      <w:r>
        <w:rPr>
          <w:rFonts w:ascii="Georgia" w:hAnsi="Georgia"/>
          <w:b/>
          <w:i w:val="0"/>
          <w:color w:val="1C2722"/>
          <w:sz w:val="26"/>
        </w:rPr>
        <w:t>Learning Design &amp; Strategy: expanded definition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What changed, and what it means for you.  </w:t>
      </w:r>
      <w:r>
        <w:rPr>
          <w:rFonts w:ascii="Arial" w:hAnsi="Arial"/>
          <w:b w:val="0"/>
          <w:i w:val="0"/>
          <w:color w:val="1C2722"/>
          <w:sz w:val="22"/>
        </w:rPr>
        <w:t>The definition was expanded to name needs-analysis and consulting and facilitation alongside design, with a clearer link to current and future business needs. The Round 1 edits were applied. The current indicator wording is below; which indicators are designer-owned versus delivery scope is Decision 1.</w:t>
      </w:r>
    </w:p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Round 1 signal.  </w:t>
      </w:r>
      <w:r>
        <w:rPr>
          <w:rFonts w:ascii="Arial" w:hAnsi="Arial"/>
          <w:b w:val="0"/>
          <w:i w:val="0"/>
          <w:color w:val="1C2722"/>
          <w:sz w:val="22"/>
        </w:rPr>
        <w:t>Endorsed in Round 1; needs only a confirming nod (Confirmation 2 in the Talent &amp; Development session).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Behavioral indicators  (Level 1 basic to Level 4 expert)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Identifies learning objectives, audience requirements, and content sources from needs-analysis records.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Prepares course materials, facilitator guides, job aids, and learning-system entries using approved templates.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Records attendance, completions, evaluations, and logistics information in learning management systems.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Develops learning modules, practice activities, and facilitation plans using adult-learning and instructional methods.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Facilitates standard sessions using delivery guides, participant materials, and transfer-of-learning tools.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Analyzes completion data, survey results, assessment scores, and learner feedback to adjust programs.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Designs curriculum architectures using capability gaps, learning journeys, modality decisions, and measurement plans.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Leads pilot reviews, facilitator calibration, and learning transfer evaluation for complex programs.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Evaluates vendors, platforms, content libraries, and learning analytics against capability outcomes.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Establishes enterprise learning design standards for curricula, modality strategy, facilitation quality, and measurement.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Approves learning portfolio governance, vendor strategy, and capability academy architecture for priority domains.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Develops advanced instructional design methods, capability-transfer measures, and reusable learning assets for complex skill-building needs.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FDFB"/>
          </w:tcPr>
          <w:p>
            <w:r>
              <w:rPr>
                <w:rFonts w:ascii="Arial" w:hAnsi="Arial"/>
                <w:b/>
                <w:i w:val="0"/>
                <w:color w:val="01632D"/>
                <w:sz w:val="18"/>
              </w:rPr>
              <w:t xml:space="preserve">Confirm.  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Confirm the expanded definition reads right for the design role. The indicator split between design and delivery is Decision 1, not this confirmation.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Part B · For the focus group (decisions and proposals)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22"/>
        </w:rPr>
        <w:t>Each item below was seen differently by reviewers or shifts who owns the work. A recommendation is drafted for the group. Full indicator tables for every competency in play are in the appendix.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FF3DA"/>
          </w:tcPr>
          <w:p>
            <w:r>
              <w:rPr>
                <w:rFonts w:ascii="Arial" w:hAnsi="Arial"/>
                <w:b/>
                <w:i w:val="0"/>
                <w:color w:val="FEA800"/>
                <w:sz w:val="20"/>
              </w:rPr>
              <w:t>NEEDS YOUR DECISION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 xml:space="preserve">  —  bring your view to the focus group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Assigned to:  Learning &amp; Development Strategy and Design · Training Delivery</w:t>
            </w:r>
          </w:p>
        </w:tc>
      </w:tr>
    </w:tbl>
    <w:p>
      <w:pPr>
        <w:spacing w:before="120" w:after="40"/>
      </w:pPr>
      <w:r>
        <w:rPr>
          <w:rFonts w:ascii="Georgia" w:hAnsi="Georgia"/>
          <w:b/>
          <w:i w:val="0"/>
          <w:color w:val="1C2722"/>
          <w:sz w:val="26"/>
        </w:rPr>
        <w:t>Decision 1.  Learning Design &amp; Strategy: scope and the design-versus-delivery boundary</w:t>
      </w:r>
    </w:p>
    <w:p>
      <w:pPr>
        <w:spacing w:after="80" w:before="0"/>
      </w:pPr>
      <w:r>
        <w:rPr>
          <w:rFonts w:ascii="Arial" w:hAnsi="Arial"/>
          <w:b w:val="0"/>
          <w:i/>
          <w:color w:val="707773"/>
          <w:sz w:val="18"/>
        </w:rPr>
        <w:t>Learning &amp; Development Strategy and Design, Training Delivery   |   15 min</w:t>
      </w:r>
    </w:p>
    <w:p>
      <w:pPr>
        <w:spacing w:after="40" w:before="80"/>
      </w:pPr>
      <w:r>
        <w:rPr>
          <w:rFonts w:ascii="Arial" w:hAnsi="Arial"/>
          <w:b/>
          <w:i w:val="0"/>
          <w:color w:val="01632D"/>
          <w:sz w:val="22"/>
        </w:rPr>
        <w:t>What each group said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Scope of the competency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Role-blending concern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Specific indicator 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“The definition seems focused on the Design and Development capability of L&amp;D, and not consulting (needs analysis) or facilitation.”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“I don't disagree, but they're blending roles. Some of these things Designers would own, and others Product Owners would own. And: coordination of facilitators and evaluation is not something you typically see in this role.”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“Targeted workforce skills and capabilities are too vague (link to current and future business needs). Technology: the skill is leveraging available technology, not performing the build. Add at L4: continuous improvement and external L&amp;D trends.”</w:t>
            </w:r>
          </w:p>
        </w:tc>
      </w:tr>
    </w:tbl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Recommendation.  </w:t>
      </w:r>
      <w:r>
        <w:rPr>
          <w:rFonts w:ascii="Arial" w:hAnsi="Arial"/>
          <w:b w:val="0"/>
          <w:i w:val="0"/>
          <w:color w:val="1C2722"/>
          <w:sz w:val="22"/>
        </w:rPr>
        <w:t>Expand the competency to name needs-analysis and consulting and facilitation alongside design, with a clearer link to current and future business needs (the expanded definition is in the appendix). Resolve the role-blending: decide which indicators stay in Learning Design as designer-owned, and which move to delivery or product-owner scope (facilitator coordination and evaluation are the contested ones). Reframe the technology indicator as leveraging available technology, and add the L4 continuous-improvement and external-trends behavior.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FDFB"/>
          </w:tcPr>
          <w:p>
            <w:r>
              <w:rPr>
                <w:rFonts w:ascii="Arial" w:hAnsi="Arial"/>
                <w:b/>
                <w:i w:val="0"/>
                <w:color w:val="01632D"/>
                <w:sz w:val="18"/>
              </w:rPr>
              <w:t xml:space="preserve">Decide.  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Adopt the expanded scope? Which indicators stay as designer-owned versus move to delivery or product-owner scope?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FF3DA"/>
          </w:tcPr>
          <w:p>
            <w:r>
              <w:rPr>
                <w:rFonts w:ascii="Arial" w:hAnsi="Arial"/>
                <w:b/>
                <w:i w:val="0"/>
                <w:color w:val="FEA800"/>
                <w:sz w:val="20"/>
              </w:rPr>
              <w:t>NEEDS YOUR DECISION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 xml:space="preserve">  —  bring your view to the focus group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Assigned to:  Learning &amp; Development Strategy and Design · Training Delivery (as users or contributors)</w:t>
            </w:r>
          </w:p>
        </w:tc>
      </w:tr>
    </w:tbl>
    <w:p>
      <w:pPr>
        <w:spacing w:before="120" w:after="40"/>
      </w:pPr>
      <w:r>
        <w:rPr>
          <w:rFonts w:ascii="Georgia" w:hAnsi="Georgia"/>
          <w:b/>
          <w:i w:val="0"/>
          <w:color w:val="1C2722"/>
          <w:sz w:val="26"/>
        </w:rPr>
        <w:t>Decision 2.  Workforce Planning &amp; Capability Strategy: ownership and level for this sub-family</w:t>
      </w:r>
    </w:p>
    <w:p>
      <w:pPr>
        <w:spacing w:after="80" w:before="0"/>
      </w:pPr>
      <w:r>
        <w:rPr>
          <w:rFonts w:ascii="Arial" w:hAnsi="Arial"/>
          <w:b w:val="0"/>
          <w:i/>
          <w:color w:val="707773"/>
          <w:sz w:val="18"/>
        </w:rPr>
        <w:t>Learning &amp; Development Strategy and Design, Training Delivery   |   10 min</w:t>
      </w:r>
    </w:p>
    <w:p>
      <w:pPr>
        <w:spacing w:after="40" w:before="80"/>
      </w:pPr>
      <w:r>
        <w:rPr>
          <w:rFonts w:ascii="Arial" w:hAnsi="Arial"/>
          <w:b/>
          <w:i w:val="0"/>
          <w:color w:val="01632D"/>
          <w:sz w:val="22"/>
        </w:rPr>
        <w:t>What each group said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Ownership concern</w:t>
            </w:r>
          </w:p>
        </w:tc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Strategic-alignment note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“Until an owner is identified for Operational WFP and movement is made in the SWP space (we only have a definition today and it is not on the priority list). The competency reads as un-owned.”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/>
                <w:color w:val="1C2722"/>
                <w:sz w:val="18"/>
              </w:rPr>
              <w:t>“Establishing enterprise workforce-planning standards should be in strategic alignment with Cargill overall; the sub-family is a user, not the build owner.”</w:t>
            </w:r>
          </w:p>
        </w:tc>
      </w:tr>
    </w:tbl>
    <w:p>
      <w:pPr>
        <w:spacing w:after="120"/>
      </w:pPr>
      <w:r>
        <w:rPr>
          <w:rFonts w:ascii="Arial" w:hAnsi="Arial"/>
          <w:b/>
          <w:i w:val="0"/>
          <w:color w:val="1C2722"/>
          <w:sz w:val="22"/>
        </w:rPr>
        <w:t xml:space="preserve">Recommendation.  </w:t>
      </w:r>
      <w:r>
        <w:rPr>
          <w:rFonts w:ascii="Arial" w:hAnsi="Arial"/>
          <w:b w:val="0"/>
          <w:i w:val="0"/>
          <w:color w:val="1C2722"/>
          <w:sz w:val="22"/>
        </w:rPr>
        <w:t>Workforce Planning &amp; Capability Strategy stays a shared competency, but the Talent &amp; Development sub-family is a user or contributor, not the owner. Operational workforce planning has no named owner and only a definition today, so do not place build-level expectations on these roles. Set the sub-family at use-output or support levels, and add the strategic-alignment-with-Cargill language Talent Advisory flagged. Operational workforce-planning ownership is routed to governance.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FDFB"/>
          </w:tcPr>
          <w:p>
            <w:r>
              <w:rPr>
                <w:rFonts w:ascii="Arial" w:hAnsi="Arial"/>
                <w:b/>
                <w:i w:val="0"/>
                <w:color w:val="01632D"/>
                <w:sz w:val="18"/>
              </w:rPr>
              <w:t xml:space="preserve">Decide.  </w:t>
            </w: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Confirm the sub-family carries Workforce Planning at use or support levels, not owner, and that operational ownership is deferred to governance?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Boundaries to note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What Round 1 said</w:t>
            </w:r>
          </w:p>
        </w:tc>
        <w:tc>
          <w:tcPr>
            <w:tcW w:type="dxa" w:w="336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Where it goes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Learning design ownership versus Talent Acquisition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Early Careers reviewers: Learning design is a component of a successful early career strategy, however, this work has clearly been owned by Talent Development, not TA. We do not expect our EC team to create these programs.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Owner-aligned: learning design sits with this sub-family, not Talent Acquisition. Early Careers teams ensure the business considers development needs but do not build programs.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Decision capture and sign-off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C2722"/>
          <w:sz w:val="22"/>
        </w:rPr>
        <w:t>Record the agreed outcome. Owners and dates feed the decision registry; the sub-family owner is Vidula.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Decision (assignment, level, owner)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Rating guidance and intake-selection model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Decision 1 · Learning Design scope and the design-versus-delivery indicator split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Decision 2 · Workforce Planning ownership and levels for the sub-family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Confirmation · Learning Design expanded definition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  <w:tc>
          <w:tcPr>
            <w:tcW w:type="dxa" w:w="2520"/>
            <w:vAlign w:val="center"/>
          </w:tcPr>
          <w:p>
            <w:pPr>
              <w:spacing w:after="40" w:before="40"/>
            </w:pP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Georgia" w:hAnsi="Georgia"/>
          <w:b/>
          <w:i w:val="0"/>
          <w:color w:val="01632D"/>
          <w:sz w:val="32"/>
        </w:rPr>
        <w:t>Appendix · Competency definitions and indicators for reference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707773"/>
          <w:sz w:val="20"/>
        </w:rPr>
        <w:t>Current indicators for the competencies in play, with accepted Round 1 edits applied. Read these as reminders before the session. The session decides ownership and level, not the wording. Every Round 1 comment is accounted for in the disposition register that accompanies this packet.</w:t>
      </w:r>
    </w:p>
    <w:p>
      <w:pPr>
        <w:spacing w:before="200" w:after="40"/>
      </w:pPr>
      <w:r>
        <w:rPr>
          <w:rFonts w:ascii="Georgia" w:hAnsi="Georgia"/>
          <w:b/>
          <w:i w:val="0"/>
          <w:color w:val="01632D"/>
          <w:sz w:val="26"/>
        </w:rPr>
        <w:t>Learning Design &amp; Strategy</w:t>
      </w:r>
    </w:p>
    <w:p>
      <w:pPr>
        <w:spacing w:after="120" w:before="0"/>
      </w:pPr>
      <w:r>
        <w:rPr>
          <w:rFonts w:ascii="Arial" w:hAnsi="Arial"/>
          <w:b w:val="0"/>
          <w:i/>
          <w:color w:val="707773"/>
          <w:sz w:val="18"/>
        </w:rPr>
        <w:t>Definition (current): Designs curricula, learning experiences, facilitation assets, and measurement plans that build targeted workforce skills and capabilities. Expanded to name needs-analysis, consulting, and facilitation (Confirmation; Decision 1). Shared by Learning &amp; Development Strategy and Design (designer-owned) and Training Delivery (delivery).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Behavioral indicators  (Level 1 basic to Level 4 expert)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Identifies learning objectives, audience requirements, and content sources from needs-analysis records.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Prepares course materials, facilitator guides, job aids, and learning-system entries using approved templates.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Records attendance, completions, evaluations, and logistics information in learning management systems.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Develops learning modules, practice activities, and facilitation plans using adult-learning and instructional methods.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Facilitates standard sessions using delivery guides, participant materials, and transfer-of-learning tools.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Analyzes completion data, survey results, assessment scores, and learner feedback to adjust programs.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Designs curriculum architectures using capability gaps, learning journeys, modality decisions, and measurement plans.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Leads pilot reviews, facilitator calibration, and learning transfer evaluation for complex programs.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Evaluates vendors, platforms, content libraries, and learning analytics against capability outcomes.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Establishes enterprise learning design standards for curricula, modality strategy, facilitation quality, and measurement.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Approves learning portfolio governance, vendor strategy, and capability academy architecture for priority domains.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Develops advanced instructional design methods, capability-transfer measures, and reusable learning assets for complex skill-building needs.</w:t>
            </w:r>
          </w:p>
        </w:tc>
      </w:tr>
    </w:tbl>
    <w:p>
      <w:pPr>
        <w:spacing w:before="200" w:after="40"/>
      </w:pPr>
      <w:r>
        <w:rPr>
          <w:rFonts w:ascii="Georgia" w:hAnsi="Georgia"/>
          <w:b/>
          <w:i w:val="0"/>
          <w:color w:val="01632D"/>
          <w:sz w:val="26"/>
        </w:rPr>
        <w:t>Workforce Planning &amp; Capability Strategy</w:t>
      </w:r>
    </w:p>
    <w:p>
      <w:pPr>
        <w:spacing w:after="120" w:before="0"/>
      </w:pPr>
      <w:r>
        <w:rPr>
          <w:rFonts w:ascii="Arial" w:hAnsi="Arial"/>
          <w:b w:val="0"/>
          <w:i/>
          <w:color w:val="707773"/>
          <w:sz w:val="18"/>
        </w:rPr>
        <w:t>Shared competency; this sub-family is a user or contributor, not the owner (Decision 2). Operational workforce-planning ownership is routed to governance.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5040"/>
            <w:vAlign w:val="center"/>
            <w:shd w:val="clear" w:color="auto" w:fill="00843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Behavioral indicators  (Level 1 basic to Level 4 expert)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Identifies workforce segments, capability terms, and demand assumptions from planning templates and job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Records headcount, skills, role, and vacancy information in workforce planning files.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L1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Follows data-quality checks for workforce planning inputs, capability inventories, and scenario assumptions.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Builds workforce snapshots using job architecture data, skills taxonomy entries, role inventories, and demand inputs.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Conducts gap analyses comparing workforce supply, hiring plans, capability needs, and attrition patterns.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1C2722"/>
                <w:sz w:val="18"/>
              </w:rPr>
              <w:t>L2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Maintains scenario files, action trackers, and planning dashboards for assigned workforce segments.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Designs workforce plans using competency frameworks, Cargill capability model inputs, demand forecasts, and business scenarios.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Evaluates build-buy-borrow scenarios through cost, risk, timeline, and capability impact analyses.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L3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Leads workforce planning reviews that translate capability gaps into talent, hiring, and development actions.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Establishes enterprise workforce planning standards for capability taxonomies, forecasting methods, and scenario governance.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Approves strategic workforce planning models for critical capabilities, transformation portfolios, and long-range demand.</w:t>
            </w:r>
          </w:p>
        </w:tc>
      </w:tr>
      <w:tr>
        <w:tc>
          <w:tcPr>
            <w:tcW w:type="dxa" w:w="5040"/>
            <w:vAlign w:val="center"/>
            <w:shd w:val="clear" w:color="auto" w:fill="F5F9ED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1632D"/>
                <w:sz w:val="18"/>
              </w:rPr>
              <w:t>L4</w:t>
            </w:r>
          </w:p>
        </w:tc>
        <w:tc>
          <w:tcPr>
            <w:tcW w:type="dxa" w:w="5040"/>
            <w:vAlign w:val="center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i w:val="0"/>
                <w:color w:val="1C2722"/>
                <w:sz w:val="18"/>
              </w:rPr>
              <w:t>Develops advanced workforce-planning diagnostics that translate capability risk into portfolio, build-buy-borrow, and development choices.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07773"/>
        <w:sz w:val="16"/>
      </w:rPr>
      <w:t>Proprietary — SME reviewers and project stakeholders only  |  Assessment, Competency &amp; Career Framework Team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7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