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ชุดเอกสารประกอบคำขอรับใบอนุญาต (Full Acquiring)</w:t>
      </w:r>
    </w:p>
    <w:p>
      <w:pPr>
        <w:pStyle w:val="Subtitle"/>
      </w:pPr>
      <w:r>
        <w:t xml:space="preserve">การให้บริการรับชำระเงินด้วยวิธีการทางอิเล็กทรอนิกส์ (Full Acquiring)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Title"/>
      </w:pPr>
      <w:r>
        <w:t xml:space="preserve">ชุดเอกสารประกอบคำขอรับใบอนุญาต</w:t>
      </w:r>
    </w:p>
    <w:p>
      <w:pPr>
        <w:pStyle w:val="Subtitle"/>
      </w:pPr>
      <w:r>
        <w:t xml:space="preserve">การให้บริการรับชำระเงินด้วยวิธีการทางอิเล็กทรอนิกส์ (Full Acquiring)</w:t>
      </w:r>
    </w:p>
    <w:p>
      <w:pPr>
        <w:pStyle w:val="BodyText"/>
      </w:pPr>
      <w:r>
        <w:rPr>
          <w:b/>
          <w:bCs/>
        </w:rPr>
        <w:t xml:space="preserve">ภายใต้ พ.ร.บ. ระบบการชำระเงิน พ.ศ. 2560</w:t>
      </w:r>
      <w:r>
        <w:t xml:space="preserve"> </w:t>
      </w:r>
      <w:r>
        <w:rPr>
          <w:b/>
          <w:bCs/>
        </w:rPr>
        <w:t xml:space="preserve">กำกับโดย ธนาคารแห่งประเทศไทย (ธปท.)</w:t>
      </w:r>
    </w:p>
    <w:p>
      <w:pPr>
        <w:pStyle w:val="BodyText"/>
      </w:pPr>
      <w:r>
        <w:t xml:space="preserve">ผู้ขอ:</w:t>
      </w:r>
      <w:r>
        <w:t xml:space="preserve"> </w:t>
      </w:r>
      <w:r>
        <w:rPr>
          <w:b/>
          <w:bCs/>
        </w:rPr>
        <w:t xml:space="preserve">[บริษัท / Company]</w:t>
      </w:r>
      <w:r>
        <w:t xml:space="preserve"> </w:t>
      </w:r>
      <w:r>
        <w:t xml:space="preserve">ทุนจดทะเบียนชำระแล้ว:</w:t>
      </w:r>
      <w:r>
        <w:t xml:space="preserve"> </w:t>
      </w:r>
      <w:r>
        <w:rPr>
          <w:b/>
          <w:bCs/>
        </w:rPr>
        <w:t xml:space="preserve">50,000,000 บาท</w:t>
      </w:r>
      <w:r>
        <w:t xml:space="preserve"> </w:t>
      </w:r>
      <w:r>
        <w:t xml:space="preserve">มาตรฐานเป้าหมาย:</w:t>
      </w:r>
      <w:r>
        <w:t xml:space="preserve"> </w:t>
      </w:r>
      <w:r>
        <w:rPr>
          <w:b/>
          <w:bCs/>
        </w:rPr>
        <w:t xml:space="preserve">PCI-DSS v4.0 Level 1</w:t>
      </w:r>
    </w:p>
    <w:p>
      <w:pPr>
        <w:pStyle w:val="BodyText"/>
      </w:pPr>
      <w:r>
        <w:t xml:space="preserve">เวอร์ชัน 0.1 · วันที่จัดทำ 22 กรกฎาคม 2569</w:t>
      </w:r>
    </w:p>
    <w:p>
      <w:pPr>
        <w:pStyle w:val="BlockText"/>
      </w:pPr>
      <w:r>
        <w:rPr>
          <w:b/>
          <w:bCs/>
        </w:rPr>
        <w:t xml:space="preserve">สถานะเอกสาร:</w:t>
      </w:r>
      <w:r>
        <w:t xml:space="preserve"> </w:t>
      </w:r>
      <w:r>
        <w:t xml:space="preserve">ฉบับร่างเพื่อการภายใน (pre-submission draft) — ต้องผ่านการตรวจทานโดยที่ปรึกษากฎหมายด้านใบอนุญาต ธปท. ก่อนยื่นจริง เอกสารนี้มิใช่คำแนะนำทางกฎหมาย</w:t>
      </w:r>
    </w:p>
    <w:p>
      <w:r>
        <w:br w:type="page"/>
      </w:r>
    </w:p>
    <w:bookmarkStart w:id="19" w:name="Xf0085abd2277a5c1d1e31d8548de73fab38eea3"/>
    <w:p>
      <w:pPr>
        <w:pStyle w:val="Heading1"/>
      </w:pPr>
      <w:r>
        <w:t xml:space="preserve">บทสรุปผู้บริหาร (ยื่นขอใบอนุญาต Full Acquiring) (ไทย)</w:t>
      </w:r>
    </w:p>
    <w:p>
      <w:pPr>
        <w:pStyle w:val="BlockText"/>
      </w:pPr>
      <w:r>
        <w:t xml:space="preserve">เอกสารเลขที่</w:t>
      </w:r>
      <w:r>
        <w:t xml:space="preserve"> </w:t>
      </w:r>
      <w:r>
        <w:rPr>
          <w:rStyle w:val="VerbatimChar"/>
        </w:rPr>
        <w:t xml:space="preserve">docs/compliance/00-executive-summary.md</w:t>
      </w:r>
      <w:r>
        <w:t xml:space="preserve"> </w:t>
      </w:r>
      <w:r>
        <w:t xml:space="preserve">· เวอร์ชัน 0.1 · วันที่จัดทำ 22 ก.ค. 2569</w:t>
      </w:r>
      <w:r>
        <w:t xml:space="preserve"> </w:t>
      </w:r>
      <w:r>
        <w:t xml:space="preserve">ประเภทคำขอ:</w:t>
      </w:r>
      <w:r>
        <w:t xml:space="preserve"> </w:t>
      </w:r>
      <w:r>
        <w:rPr>
          <w:b/>
          <w:bCs/>
        </w:rPr>
        <w:t xml:space="preserve">ใบอนุญาตให้บริการรับชำระเงินด้วยวิธีการทางอิเล็กทรอนิกส์ (Acquiring Service) แบบเต็มรูปแบบ</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ผู้ขอ:</w:t>
      </w:r>
      <w:r>
        <w:t xml:space="preserve"> </w:t>
      </w:r>
      <w:r>
        <w:rPr>
          <w:b/>
          <w:bCs/>
        </w:rPr>
        <w:t xml:space="preserve">[บริษัท / Company]</w:t>
      </w:r>
      <w:r>
        <w:t xml:space="preserve"> </w:t>
      </w:r>
      <w:r>
        <w:t xml:space="preserve">· ทุนจดทะเบียนชำระแล้ว:</w:t>
      </w:r>
      <w:r>
        <w:t xml:space="preserve"> </w:t>
      </w:r>
      <w:r>
        <w:rPr>
          <w:b/>
          <w:bCs/>
        </w:rPr>
        <w:t xml:space="preserve">50,000,000 บาท</w:t>
      </w:r>
    </w:p>
    <w:p>
      <w:pPr>
        <w:pStyle w:val="BlockText"/>
      </w:pPr>
      <w:r>
        <w:rPr>
          <w:b/>
          <w:bCs/>
        </w:rPr>
        <w:t xml:space="preserve">สถานะเอกสาร:</w:t>
      </w:r>
      <w:r>
        <w:t xml:space="preserve"> </w:t>
      </w:r>
      <w:r>
        <w:t xml:space="preserve">ฉบับร่างเพื่อการภายใน (pre-submission draft) — ต้องผ่านการทานโดยที่ปรึกษากฎหมายด้านใบอนุญาต ธปท. ก่อนยื่นจริง เอกสารนี้เป็นบทสรุปเชิงบริหาร มิใช่คำแนะนำทางกฎหมาย</w:t>
      </w:r>
    </w:p>
    <w:p>
      <w:r>
        <w:pict>
          <v:rect style="width:0;height:1.5pt" o:hralign="center" o:hrstd="t" o:hr="t"/>
        </w:pict>
      </w:r>
    </w:p>
    <w:bookmarkStart w:id="9" w:name="วตถประสงคของคำขอ"/>
    <w:p>
      <w:pPr>
        <w:pStyle w:val="Heading2"/>
      </w:pPr>
      <w:r>
        <w:t xml:space="preserve">1. วัตถุประสงค์ของคำขอ</w:t>
      </w:r>
    </w:p>
    <w:p>
      <w:pPr>
        <w:pStyle w:val="FirstParagraph"/>
      </w:pPr>
      <w:r>
        <w:t xml:space="preserve">[บริษัท / Company] ประสงค์ยื่นขอ</w:t>
      </w:r>
      <w:r>
        <w:t xml:space="preserve"> </w:t>
      </w:r>
      <w:r>
        <w:rPr>
          <w:b/>
          <w:bCs/>
        </w:rPr>
        <w:t xml:space="preserve">ใบอนุญาตให้บริการรับชำระเงินด้วยวิธีการทางอิเล็กทรอนิกส์ (Acquiring Service)</w:t>
      </w:r>
      <w:r>
        <w:t xml:space="preserve"> </w:t>
      </w:r>
      <w:r>
        <w:t xml:space="preserve">ในกลุ่ม</w:t>
      </w:r>
      <w:r>
        <w:t xml:space="preserve"> </w:t>
      </w:r>
      <w:r>
        <w:rPr>
          <w:b/>
          <w:bCs/>
        </w:rPr>
        <w:t xml:space="preserve">บริการการชำระเงินภายใต้การกำกับ (Designated Payment Services)</w:t>
      </w:r>
      <w:r>
        <w:t xml:space="preserve"> </w:t>
      </w:r>
      <w:r>
        <w:t xml:space="preserve">ตาม พ.ร.บ. ระบบการชำระเงิน พ.ศ. 2560 โดยใบอนุญาตออกโดย</w:t>
      </w:r>
      <w:r>
        <w:t xml:space="preserve"> </w:t>
      </w:r>
      <w:r>
        <w:rPr>
          <w:b/>
          <w:bCs/>
        </w:rPr>
        <w:t xml:space="preserve">รัฐมนตรีว่าการกระทรวงการคลัง ตามคำแนะนำของ ธปท.</w:t>
      </w:r>
    </w:p>
    <w:p>
      <w:pPr>
        <w:pStyle w:val="BodyText"/>
      </w:pPr>
      <w:r>
        <w:t xml:space="preserve">บริษัทเลือก</w:t>
      </w:r>
      <w:r>
        <w:t xml:space="preserve"> </w:t>
      </w:r>
      <w:r>
        <w:rPr>
          <w:b/>
          <w:bCs/>
        </w:rPr>
        <w:t xml:space="preserve">เส้นทาง B — Full Acquiring เต็มรูปแบบ</w:t>
      </w:r>
      <w:r>
        <w:t xml:space="preserve"> </w:t>
      </w:r>
      <w:r>
        <w:t xml:space="preserve">(ตาม</w:t>
      </w:r>
      <w:r>
        <w:t xml:space="preserve"> </w:t>
      </w:r>
      <w:r>
        <w:rPr>
          <w:rStyle w:val="VerbatimChar"/>
        </w:rPr>
        <w:t xml:space="preserve">ROADMAP.md</w:t>
      </w:r>
      <w:r>
        <w:t xml:space="preserve">) กล่าวคือ รับ-ประมวลผล authorization/clearing/settlement ของธุรกรรมบัตรโดยตรงผ่าน sponsor bank และ card scheme มิใช่การต่อพ่วง acquirer ที่มีอยู่ (ซึ่งจะเป็นเส้นทาง A — Payment Facilitating ทุน 10 ล้านบาท)</w:t>
      </w:r>
    </w:p>
    <w:p>
      <w:r>
        <w:pict>
          <v:rect style="width:0;height:1.5pt" o:hralign="center" o:hrstd="t" o:hr="t"/>
        </w:pict>
      </w:r>
    </w:p>
    <w:bookmarkEnd w:id="9"/>
    <w:bookmarkStart w:id="10" w:name="รปแบบธรกจ-business-model"/>
    <w:p>
      <w:pPr>
        <w:pStyle w:val="Heading2"/>
      </w:pPr>
      <w:r>
        <w:t xml:space="preserve">2. รูปแบบธุรกิจ (Business Model)</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หัวข้อ</w:t>
            </w:r>
          </w:p>
        </w:tc>
        <w:tc>
          <w:tcPr/>
          <w:p>
            <w:pPr>
              <w:pStyle w:val="Compact"/>
            </w:pPr>
            <w:r>
              <w:t xml:space="preserve">สาระสำคัญ</w:t>
            </w:r>
          </w:p>
        </w:tc>
      </w:tr>
      <w:tr>
        <w:tc>
          <w:tcPr/>
          <w:p>
            <w:pPr>
              <w:pStyle w:val="Compact"/>
            </w:pPr>
            <w:r>
              <w:t xml:space="preserve">บริการหลัก</w:t>
            </w:r>
          </w:p>
        </w:tc>
        <w:tc>
          <w:tcPr/>
          <w:p>
            <w:pPr>
              <w:pStyle w:val="Compact"/>
            </w:pPr>
            <w:r>
              <w:t xml:space="preserve">รับชำระเงินด้วยบัตร (card acquiring) สำหรับร้านค้า e-commerce, in-app และ POS</w:t>
            </w:r>
          </w:p>
        </w:tc>
      </w:tr>
      <w:tr>
        <w:tc>
          <w:tcPr/>
          <w:p>
            <w:pPr>
              <w:pStyle w:val="Compact"/>
            </w:pPr>
            <w:r>
              <w:t xml:space="preserve">วิธีชำระเงินที่รองรับ</w:t>
            </w:r>
          </w:p>
        </w:tc>
        <w:tc>
          <w:tcPr/>
          <w:p>
            <w:pPr>
              <w:pStyle w:val="Compact"/>
            </w:pPr>
            <w:r>
              <w:t xml:space="preserve">บัตรเครดิต/เดบิต Visa, Mastercard (+ local schemes ในเฟสถัดไป) พร้อม EMV 3DS 2.x</w:t>
            </w:r>
          </w:p>
        </w:tc>
      </w:tr>
      <w:tr>
        <w:tc>
          <w:tcPr/>
          <w:p>
            <w:pPr>
              <w:pStyle w:val="Compact"/>
            </w:pPr>
            <w:r>
              <w:t xml:space="preserve">แหล่งรายได้</w:t>
            </w:r>
          </w:p>
        </w:tc>
        <w:tc>
          <w:tcPr/>
          <w:p>
            <w:pPr>
              <w:pStyle w:val="Compact"/>
            </w:pPr>
            <w:r>
              <w:t xml:space="preserve">Merchant Discount Rate (MDR), ค่าธรรมเนียมต่อรายการ, ค่าธรรมเนียม settlement/payout, ค่าบริการเสริม (tokenization, รายงาน)</w:t>
            </w:r>
          </w:p>
        </w:tc>
      </w:tr>
      <w:tr>
        <w:tc>
          <w:tcPr/>
          <w:p>
            <w:pPr>
              <w:pStyle w:val="Compact"/>
            </w:pPr>
            <w:r>
              <w:t xml:space="preserve">การรับเงินและจ่ายเงิน</w:t>
            </w:r>
          </w:p>
        </w:tc>
        <w:tc>
          <w:tcPr/>
          <w:p>
            <w:pPr>
              <w:pStyle w:val="Compact"/>
            </w:pPr>
            <w:r>
              <w:t xml:space="preserve">เงินคำนวณเป็นจำนวนเต็มหน่วยย่อย (สตางค์) บันทึกใน</w:t>
            </w:r>
            <w:r>
              <w:t xml:space="preserve"> </w:t>
            </w:r>
            <w:r>
              <w:rPr>
                <w:b/>
                <w:bCs/>
              </w:rPr>
              <w:t xml:space="preserve">ledger แบบ double-entry append-only</w:t>
            </w:r>
            <w:r>
              <w:t xml:space="preserve"> </w:t>
            </w:r>
            <w:r>
              <w:t xml:space="preserve">เป็น source of truth; จ่ายร้านค้าตามรอบ settlement</w:t>
            </w:r>
          </w:p>
        </w:tc>
      </w:tr>
      <w:tr>
        <w:tc>
          <w:tcPr/>
          <w:p>
            <w:pPr>
              <w:pStyle w:val="Compact"/>
            </w:pPr>
            <w:r>
              <w:t xml:space="preserve">กลุ่มลูกค้าเป้าหมาย</w:t>
            </w:r>
          </w:p>
        </w:tc>
        <w:tc>
          <w:tcPr/>
          <w:p>
            <w:pPr>
              <w:pStyle w:val="Compact"/>
            </w:pPr>
            <w:r>
              <w:t xml:space="preserve">ผู้ประกอบการไทยที่มีปริมาณธุรกรรมสูง ต้องการคุมต้นทุนต่อรายการ</w:t>
            </w:r>
          </w:p>
        </w:tc>
      </w:tr>
      <w:tr>
        <w:tc>
          <w:tcPr/>
          <w:p>
            <w:pPr>
              <w:pStyle w:val="Compact"/>
            </w:pPr>
            <w:r>
              <w:t xml:space="preserve">การไม่เก็บข้อมูลบัตร</w:t>
            </w:r>
          </w:p>
        </w:tc>
        <w:tc>
          <w:tcPr/>
          <w:p>
            <w:pPr>
              <w:pStyle w:val="Compact"/>
            </w:pPr>
            <w:r>
              <w:t xml:space="preserve">ระบบหลัก</w:t>
            </w:r>
            <w:r>
              <w:t xml:space="preserve"> </w:t>
            </w:r>
            <w:r>
              <w:rPr>
                <w:b/>
                <w:bCs/>
              </w:rPr>
              <w:t xml:space="preserve">ไม่เก็บ full PAN/CVV/PIN/track</w:t>
            </w:r>
            <w:r>
              <w:t xml:space="preserve"> </w:t>
            </w:r>
            <w:r>
              <w:t xml:space="preserve">— เก็บได้เฉพาะ</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ใช้ tokenization vault แยก network segment เพื่อลด PCI scope</w:t>
            </w:r>
          </w:p>
        </w:tc>
      </w:tr>
    </w:tbl>
    <w:p>
      <w:pPr>
        <w:pStyle w:val="BodyText"/>
      </w:pPr>
      <w:r>
        <w:rPr>
          <w:b/>
          <w:bCs/>
        </w:rPr>
        <w:t xml:space="preserve">หลักการเชิงบริหารความเสี่ยงในการออกแบบ</w:t>
      </w:r>
      <w:r>
        <w:t xml:space="preserve"> </w:t>
      </w:r>
      <w:r>
        <w:t xml:space="preserve">(จาก</w:t>
      </w:r>
      <w:r>
        <w:t xml:space="preserve"> </w:t>
      </w:r>
      <w:r>
        <w:rPr>
          <w:rStyle w:val="VerbatimChar"/>
        </w:rPr>
        <w:t xml:space="preserve">ARCHITECTURE.md</w:t>
      </w:r>
      <w:r>
        <w:t xml:space="preserve">): idempotency ทุก endpoint ที่ขยับเงิน, fail-closed, auditability ครบทุก state change ลง</w:t>
      </w:r>
      <w:r>
        <w:t xml:space="preserve"> </w:t>
      </w:r>
      <w:r>
        <w:rPr>
          <w:rStyle w:val="VerbatimChar"/>
        </w:rPr>
        <w:t xml:space="preserve">audit_log</w:t>
      </w:r>
    </w:p>
    <w:p>
      <w:r>
        <w:pict>
          <v:rect style="width:0;height:1.5pt" o:hralign="center" o:hrstd="t" o:hr="t"/>
        </w:pict>
      </w:r>
    </w:p>
    <w:bookmarkEnd w:id="10"/>
    <w:bookmarkStart w:id="11" w:name="ขนาดและประมาณการ-scale"/>
    <w:p>
      <w:pPr>
        <w:pStyle w:val="Heading2"/>
      </w:pPr>
      <w:r>
        <w:t xml:space="preserve">3. ขนาดและประมาณการ (Scale)</w:t>
      </w:r>
    </w:p>
    <w:p>
      <w:pPr>
        <w:pStyle w:val="BlockText"/>
      </w:pPr>
      <w:r>
        <w:rPr>
          <w:b/>
          <w:bCs/>
        </w:rPr>
        <w:t xml:space="preserve">[สมมติฐาน / TODO]</w:t>
      </w:r>
      <w:r>
        <w:t xml:space="preserve"> </w:t>
      </w:r>
      <w:r>
        <w:t xml:space="preserve">ตัวเลขปริมาณธุรกรรมและ GMV ด้านล่างเป็นประมาณการเพื่อวางแผน ต้องแทนที่ด้วยตัวเลขจาก business plan/financial model ที่ผ่านการรับรองก่อนยื่น ธปท.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ตัวชี้วัด</w:t>
            </w:r>
          </w:p>
        </w:tc>
        <w:tc>
          <w:tcPr/>
          <w:p>
            <w:pPr>
              <w:pStyle w:val="Compact"/>
            </w:pPr>
            <w:r>
              <w:t xml:space="preserve">ปีที่ 1</w:t>
            </w:r>
          </w:p>
        </w:tc>
        <w:tc>
          <w:tcPr/>
          <w:p>
            <w:pPr>
              <w:pStyle w:val="Compact"/>
            </w:pPr>
            <w:r>
              <w:t xml:space="preserve">ปีที่ 2</w:t>
            </w:r>
          </w:p>
        </w:tc>
        <w:tc>
          <w:tcPr/>
          <w:p>
            <w:pPr>
              <w:pStyle w:val="Compact"/>
            </w:pPr>
            <w:r>
              <w:t xml:space="preserve">ปีที่ 3</w:t>
            </w:r>
          </w:p>
        </w:tc>
      </w:tr>
      <w:tr>
        <w:tc>
          <w:tcPr/>
          <w:p>
            <w:pPr>
              <w:pStyle w:val="Compact"/>
            </w:pPr>
            <w:r>
              <w:t xml:space="preserve">จำนวนร้านค้า (active)</w:t>
            </w:r>
          </w:p>
        </w:tc>
        <w:tc>
          <w:tcPr/>
          <w:p>
            <w:pPr>
              <w:pStyle w:val="Compact"/>
            </w:pPr>
            <w:r>
              <w:t xml:space="preserve">300</w:t>
            </w:r>
          </w:p>
        </w:tc>
        <w:tc>
          <w:tcPr/>
          <w:p>
            <w:pPr>
              <w:pStyle w:val="Compact"/>
            </w:pPr>
            <w:r>
              <w:t xml:space="preserve">1,200</w:t>
            </w:r>
          </w:p>
        </w:tc>
        <w:tc>
          <w:tcPr/>
          <w:p>
            <w:pPr>
              <w:pStyle w:val="Compact"/>
            </w:pPr>
            <w:r>
              <w:t xml:space="preserve">3,500</w:t>
            </w:r>
          </w:p>
        </w:tc>
      </w:tr>
      <w:tr>
        <w:tc>
          <w:tcPr/>
          <w:p>
            <w:pPr>
              <w:pStyle w:val="Compact"/>
            </w:pPr>
            <w:r>
              <w:t xml:space="preserve">ปริมาณธุรกรรม (รายการ/ปี)</w:t>
            </w:r>
          </w:p>
        </w:tc>
        <w:tc>
          <w:tcPr/>
          <w:p>
            <w:pPr>
              <w:pStyle w:val="Compact"/>
            </w:pPr>
            <w:r>
              <w:t xml:space="preserve">&gt; 6 ล้าน</w:t>
            </w:r>
          </w:p>
        </w:tc>
        <w:tc>
          <w:tcPr/>
          <w:p>
            <w:pPr>
              <w:pStyle w:val="Compact"/>
            </w:pPr>
            <w:r>
              <w:t xml:space="preserve">~25 ล้าน</w:t>
            </w:r>
          </w:p>
        </w:tc>
        <w:tc>
          <w:tcPr/>
          <w:p>
            <w:pPr>
              <w:pStyle w:val="Compact"/>
            </w:pPr>
            <w:r>
              <w:t xml:space="preserve">~60 ล้าน</w:t>
            </w:r>
          </w:p>
        </w:tc>
      </w:tr>
      <w:tr>
        <w:tc>
          <w:tcPr/>
          <w:p>
            <w:pPr>
              <w:pStyle w:val="Compact"/>
            </w:pPr>
            <w:r>
              <w:t xml:space="preserve">GMV (ประมาณ)</w:t>
            </w:r>
          </w:p>
        </w:tc>
        <w:tc>
          <w:tcPr/>
          <w:p>
            <w:pPr>
              <w:pStyle w:val="Compact"/>
            </w:pPr>
            <w:r>
              <w:rPr>
                <w:i/>
                <w:iCs/>
              </w:rPr>
              <w:t xml:space="preserve">[TODO]</w:t>
            </w:r>
          </w:p>
        </w:tc>
        <w:tc>
          <w:tcPr/>
          <w:p>
            <w:pPr>
              <w:pStyle w:val="Compact"/>
            </w:pPr>
            <w:r>
              <w:rPr>
                <w:i/>
                <w:iCs/>
              </w:rPr>
              <w:t xml:space="preserve">[TODO]</w:t>
            </w:r>
          </w:p>
        </w:tc>
        <w:tc>
          <w:tcPr/>
          <w:p>
            <w:pPr>
              <w:pStyle w:val="Compact"/>
            </w:pPr>
            <w:r>
              <w:rPr>
                <w:i/>
                <w:iCs/>
              </w:rPr>
              <w:t xml:space="preserve">[TODO]</w:t>
            </w:r>
          </w:p>
        </w:tc>
      </w:tr>
      <w:tr>
        <w:tc>
          <w:tcPr/>
          <w:p>
            <w:pPr>
              <w:pStyle w:val="Compact"/>
            </w:pPr>
            <w:r>
              <w:t xml:space="preserve">ระดับ PCI-DSS</w:t>
            </w:r>
          </w:p>
        </w:tc>
        <w:tc>
          <w:tcPr/>
          <w:p>
            <w:pPr>
              <w:pStyle w:val="Compact"/>
            </w:pPr>
            <w:r>
              <w:rPr>
                <w:b/>
                <w:bCs/>
              </w:rPr>
              <w:t xml:space="preserve">Level 1</w:t>
            </w:r>
          </w:p>
        </w:tc>
        <w:tc>
          <w:tcPr/>
          <w:p>
            <w:pPr>
              <w:pStyle w:val="Compact"/>
            </w:pPr>
            <w:r>
              <w:t xml:space="preserve">Level 1</w:t>
            </w:r>
          </w:p>
        </w:tc>
        <w:tc>
          <w:tcPr/>
          <w:p>
            <w:pPr>
              <w:pStyle w:val="Compact"/>
            </w:pPr>
            <w:r>
              <w:t xml:space="preserve">Level 1</w:t>
            </w:r>
          </w:p>
        </w:tc>
      </w:tr>
    </w:tbl>
    <w:p>
      <w:pPr>
        <w:pStyle w:val="BodyText"/>
      </w:pPr>
      <w:r>
        <w:t xml:space="preserve">เนื่องจากประมาณการปริมาณ</w:t>
      </w:r>
      <w:r>
        <w:t xml:space="preserve"> </w:t>
      </w:r>
      <w:r>
        <w:rPr>
          <w:b/>
          <w:bCs/>
        </w:rPr>
        <w:t xml:space="preserve">เกิน 6 ล้านรายการ/ปี</w:t>
      </w:r>
      <w:r>
        <w:t xml:space="preserve"> </w:t>
      </w:r>
      <w:r>
        <w:t xml:space="preserve">ตั้งแต่ปีแรก บริษัทจึงเข้าเกณฑ์</w:t>
      </w:r>
      <w:r>
        <w:t xml:space="preserve"> </w:t>
      </w:r>
      <w:r>
        <w:rPr>
          <w:b/>
          <w:bCs/>
        </w:rPr>
        <w:t xml:space="preserve">PCI-DSS Level 1</w:t>
      </w:r>
      <w:r>
        <w:t xml:space="preserve"> </w:t>
      </w:r>
      <w:r>
        <w:t xml:space="preserve">โดยตรง (ต้องมี QSA ทำ audit ออก RoC + quarterly ASV scan + annual penetration test)</w:t>
      </w:r>
    </w:p>
    <w:p>
      <w:pPr>
        <w:pStyle w:val="BodyText"/>
      </w:pPr>
      <w:r>
        <w:rPr>
          <w:b/>
          <w:bCs/>
        </w:rPr>
        <w:t xml:space="preserve">เป้าหมายด้านคุณภาพบริการ (NFR):</w:t>
      </w:r>
      <w:r>
        <w:t xml:space="preserve"> </w:t>
      </w:r>
      <w:r>
        <w:t xml:space="preserve">ความพร้อมใช้งาน ≥ 99.95% (payment core), auth latency p99 &lt; 800 ms, RPO ≤ 5 นาที, RTO ≤ 30 นาที, จัดเก็บข้อมูลในไทยตามข้อกำหนด ธปท./PDPA</w:t>
      </w:r>
    </w:p>
    <w:p>
      <w:r>
        <w:pict>
          <v:rect style="width:0;height:1.5pt" o:hralign="center" o:hrstd="t" o:hr="t"/>
        </w:pict>
      </w:r>
    </w:p>
    <w:bookmarkEnd w:id="11"/>
    <w:bookmarkStart w:id="12" w:name="Xfaf95f753407efc9fd8bf82548dcdcfaa931a85"/>
    <w:p>
      <w:pPr>
        <w:pStyle w:val="Heading2"/>
      </w:pPr>
      <w:r>
        <w:t xml:space="preserve">4. พันธมิตรและผู้ให้บริการภายนอก (Partners &amp; Outsourcing)</w:t>
      </w:r>
    </w:p>
    <w:tbl>
      <w:tblPr>
        <w:tblStyle w:val="Table"/>
        <w:tblW w:type="pct" w:w="5000"/>
        <w:tblLayout w:type="fixed"/>
        <w:tblLook w:firstRow="1" w:lastRow="0" w:firstColumn="0" w:lastColumn="0" w:noHBand="0" w:noVBand="0" w:val="0020"/>
      </w:tblPr>
      <w:tblGrid>
        <w:gridCol w:w="2410"/>
        <w:gridCol w:w="2410"/>
        <w:gridCol w:w="3099"/>
      </w:tblGrid>
      <w:tr>
        <w:trPr>
          <w:tblHeader w:val="on"/>
        </w:trPr>
        <w:tc>
          <w:tcPr/>
          <w:p>
            <w:pPr>
              <w:pStyle w:val="Compact"/>
            </w:pPr>
            <w:r>
              <w:t xml:space="preserve">บทบาท</w:t>
            </w:r>
          </w:p>
        </w:tc>
        <w:tc>
          <w:tcPr/>
          <w:p>
            <w:pPr>
              <w:pStyle w:val="Compact"/>
            </w:pPr>
            <w:r>
              <w:t xml:space="preserve">สถานะ</w:t>
            </w:r>
          </w:p>
        </w:tc>
        <w:tc>
          <w:tcPr/>
          <w:p>
            <w:pPr>
              <w:pStyle w:val="Compact"/>
            </w:pPr>
            <w:r>
              <w:t xml:space="preserve">หมายเหตุ</w:t>
            </w:r>
          </w:p>
        </w:tc>
      </w:tr>
      <w:tr>
        <w:tc>
          <w:tcPr/>
          <w:p>
            <w:pPr>
              <w:pStyle w:val="Compact"/>
            </w:pPr>
            <w:r>
              <w:t xml:space="preserve">Sponsor bank / acquiring bank</w:t>
            </w:r>
          </w:p>
        </w:tc>
        <w:tc>
          <w:tcPr/>
          <w:p>
            <w:pPr>
              <w:pStyle w:val="Compact"/>
            </w:pPr>
            <w:r>
              <w:rPr>
                <w:b/>
                <w:bCs/>
              </w:rPr>
              <w:t xml:space="preserve">[TODO — ยังไม่สรุป]</w:t>
            </w:r>
          </w:p>
        </w:tc>
        <w:tc>
          <w:tcPr/>
          <w:p>
            <w:pPr>
              <w:pStyle w:val="Compact"/>
            </w:pPr>
            <w:r>
              <w:t xml:space="preserve">จำเป็นสำหรับเส้นทาง B; กำหนดเวลา scheme certification</w:t>
            </w:r>
          </w:p>
        </w:tc>
      </w:tr>
      <w:tr>
        <w:tc>
          <w:tcPr/>
          <w:p>
            <w:pPr>
              <w:pStyle w:val="Compact"/>
            </w:pPr>
            <w:r>
              <w:t xml:space="preserve">Card schemes (Visa, Mastercard)</w:t>
            </w:r>
          </w:p>
        </w:tc>
        <w:tc>
          <w:tcPr/>
          <w:p>
            <w:pPr>
              <w:pStyle w:val="Compact"/>
            </w:pPr>
            <w:r>
              <w:rPr>
                <w:b/>
                <w:bCs/>
              </w:rPr>
              <w:t xml:space="preserve">[TODO — ระหว่างเจรจา]</w:t>
            </w:r>
          </w:p>
        </w:tc>
        <w:tc>
          <w:tcPr/>
          <w:p>
            <w:pPr>
              <w:pStyle w:val="Compact"/>
            </w:pPr>
            <w:r>
              <w:t xml:space="preserve">ต้องผ่าน certification ก่อน go-live</w:t>
            </w:r>
          </w:p>
        </w:tc>
      </w:tr>
      <w:tr>
        <w:tc>
          <w:tcPr/>
          <w:p>
            <w:pPr>
              <w:pStyle w:val="Compact"/>
            </w:pPr>
            <w:r>
              <w:t xml:space="preserve">ผู้ให้บริการ 3DS (ACS/DS) — EMV 3DS 2.x</w:t>
            </w:r>
          </w:p>
        </w:tc>
        <w:tc>
          <w:tcPr/>
          <w:p>
            <w:pPr>
              <w:pStyle w:val="Compact"/>
            </w:pPr>
            <w:r>
              <w:rPr>
                <w:b/>
                <w:bCs/>
              </w:rPr>
              <w:t xml:space="preserve">[TODO — คัดเลือก vendor]</w:t>
            </w:r>
          </w:p>
        </w:tc>
        <w:tc>
          <w:tcPr/>
          <w:p>
            <w:pPr>
              <w:pStyle w:val="Compact"/>
            </w:pPr>
            <w:r>
              <w:t xml:space="preserve">รองรับ challenge/frictionless flow</w:t>
            </w:r>
          </w:p>
        </w:tc>
      </w:tr>
      <w:tr>
        <w:tc>
          <w:tcPr/>
          <w:p>
            <w:pPr>
              <w:pStyle w:val="Compact"/>
            </w:pPr>
            <w:r>
              <w:t xml:space="preserve">HSM/KMS provider</w:t>
            </w:r>
          </w:p>
        </w:tc>
        <w:tc>
          <w:tcPr/>
          <w:p>
            <w:pPr>
              <w:pStyle w:val="Compact"/>
            </w:pPr>
            <w:r>
              <w:rPr>
                <w:b/>
                <w:bCs/>
              </w:rPr>
              <w:t xml:space="preserve">[TODO — คัดเลือก]</w:t>
            </w:r>
          </w:p>
        </w:tc>
        <w:tc>
          <w:tcPr/>
          <w:p>
            <w:pPr>
              <w:pStyle w:val="Compact"/>
            </w:pPr>
            <w:r>
              <w:t xml:space="preserve">key management ตาม PCI Req 3 (dual control, split knowledge)</w:t>
            </w:r>
          </w:p>
        </w:tc>
      </w:tr>
      <w:tr>
        <w:tc>
          <w:tcPr/>
          <w:p>
            <w:pPr>
              <w:pStyle w:val="Compact"/>
            </w:pPr>
            <w:r>
              <w:t xml:space="preserve">QSA (Qualified Security Assessor)</w:t>
            </w:r>
          </w:p>
        </w:tc>
        <w:tc>
          <w:tcPr/>
          <w:p>
            <w:pPr>
              <w:pStyle w:val="Compact"/>
            </w:pPr>
            <w:r>
              <w:rPr>
                <w:b/>
                <w:bCs/>
              </w:rPr>
              <w:t xml:space="preserve">[TODO — คัดเลือก vendor]</w:t>
            </w:r>
          </w:p>
        </w:tc>
        <w:tc>
          <w:tcPr/>
          <w:p>
            <w:pPr>
              <w:pStyle w:val="Compact"/>
            </w:pPr>
            <w:r>
              <w:t xml:space="preserve">ออก RoC ประจำปี — เป็น critical path ล็อกคิวแต่เนิ่น ๆ</w:t>
            </w:r>
          </w:p>
        </w:tc>
      </w:tr>
      <w:tr>
        <w:tc>
          <w:tcPr/>
          <w:p>
            <w:pPr>
              <w:pStyle w:val="Compact"/>
            </w:pPr>
            <w:r>
              <w:t xml:space="preserve">ASV (Approved Scanning Vendor)</w:t>
            </w:r>
          </w:p>
        </w:tc>
        <w:tc>
          <w:tcPr/>
          <w:p>
            <w:pPr>
              <w:pStyle w:val="Compact"/>
            </w:pPr>
            <w:r>
              <w:rPr>
                <w:b/>
                <w:bCs/>
              </w:rPr>
              <w:t xml:space="preserve">[TODO — คัดเลือก]</w:t>
            </w:r>
          </w:p>
        </w:tc>
        <w:tc>
          <w:tcPr/>
          <w:p>
            <w:pPr>
              <w:pStyle w:val="Compact"/>
            </w:pPr>
            <w:r>
              <w:t xml:space="preserve">quarterly external scan</w:t>
            </w:r>
          </w:p>
        </w:tc>
      </w:tr>
      <w:tr>
        <w:tc>
          <w:tcPr/>
          <w:p>
            <w:pPr>
              <w:pStyle w:val="Compact"/>
            </w:pPr>
            <w:r>
              <w:t xml:space="preserve">ที่ปรึกษากฎหมายด้านใบอนุญาต ธปท.</w:t>
            </w:r>
          </w:p>
        </w:tc>
        <w:tc>
          <w:tcPr/>
          <w:p>
            <w:pPr>
              <w:pStyle w:val="Compact"/>
            </w:pPr>
            <w:r>
              <w:rPr>
                <w:b/>
                <w:bCs/>
              </w:rPr>
              <w:t xml:space="preserve">[TODO — แต่งตั้ง]</w:t>
            </w:r>
          </w:p>
        </w:tc>
        <w:tc>
          <w:tcPr/>
          <w:p>
            <w:pPr>
              <w:pStyle w:val="Compact"/>
            </w:pPr>
            <w:r>
              <w:t xml:space="preserve">ทานคำขอและเอกสารก่อนยื่น</w:t>
            </w:r>
          </w:p>
        </w:tc>
      </w:tr>
      <w:tr>
        <w:tc>
          <w:tcPr/>
          <w:p>
            <w:pPr>
              <w:pStyle w:val="Compact"/>
            </w:pPr>
            <w:r>
              <w:t xml:space="preserve">Local settlement rails (เช่น ITMX)</w:t>
            </w:r>
          </w:p>
        </w:tc>
        <w:tc>
          <w:tcPr/>
          <w:p>
            <w:pPr>
              <w:pStyle w:val="Compact"/>
            </w:pPr>
            <w:r>
              <w:t xml:space="preserve">อยู่ในแผน</w:t>
            </w:r>
          </w:p>
        </w:tc>
        <w:tc>
          <w:tcPr/>
          <w:p>
            <w:pPr>
              <w:pStyle w:val="Compact"/>
            </w:pPr>
            <w:r>
              <w:t xml:space="preserve">สำหรับ local payment ในเฟสถัดไป</w:t>
            </w:r>
          </w:p>
        </w:tc>
      </w:tr>
    </w:tbl>
    <w:p>
      <w:pPr>
        <w:pStyle w:val="BlockText"/>
      </w:pPr>
      <w:r>
        <w:rPr>
          <w:b/>
          <w:bCs/>
        </w:rPr>
        <w:t xml:space="preserve">หมายเหตุสำคัญ (callout):</w:t>
      </w:r>
      <w:r>
        <w:t xml:space="preserve"> </w:t>
      </w:r>
      <w:r>
        <w:t xml:space="preserve">ยังไม่มีการลงนามสัญญากับ</w:t>
      </w:r>
      <w:r>
        <w:t xml:space="preserve"> </w:t>
      </w:r>
      <w:r>
        <w:rPr>
          <w:b/>
          <w:bCs/>
        </w:rPr>
        <w:t xml:space="preserve">sponsor bank</w:t>
      </w:r>
      <w:r>
        <w:t xml:space="preserve">,</w:t>
      </w:r>
      <w:r>
        <w:t xml:space="preserve"> </w:t>
      </w:r>
      <w:r>
        <w:rPr>
          <w:b/>
          <w:bCs/>
        </w:rPr>
        <w:t xml:space="preserve">QSA</w:t>
      </w:r>
      <w:r>
        <w:t xml:space="preserve"> </w:t>
      </w:r>
      <w:r>
        <w:t xml:space="preserve">และ</w:t>
      </w:r>
      <w:r>
        <w:t xml:space="preserve"> </w:t>
      </w:r>
      <w:r>
        <w:rPr>
          <w:b/>
          <w:bCs/>
        </w:rPr>
        <w:t xml:space="preserve">3DS vendor</w:t>
      </w:r>
      <w:r>
        <w:t xml:space="preserve"> </w:t>
      </w:r>
      <w:r>
        <w:t xml:space="preserve">ณ วันจัดทำเอกสาร — รายการทั้งหมดที่ทำเครื่องหมาย [TODO] ต้องได้ข้อสรุป (ชื่อคู่สัญญา + หนังสือแสดงเจตจำนง/สัญญา) ก่อนยื่นคำขอต่อ ธปท. บริษัทจะไม่ระบุชื่อคู่สัญญาที่ยังไม่ได้ยืนยันในคำขอฉบับจริง</w:t>
      </w:r>
    </w:p>
    <w:p>
      <w:r>
        <w:pict>
          <v:rect style="width:0;height:1.5pt" o:hralign="center" o:hrstd="t" o:hr="t"/>
        </w:pict>
      </w:r>
    </w:p>
    <w:bookmarkEnd w:id="12"/>
    <w:bookmarkStart w:id="16" w:name="ความพรอม-readiness"/>
    <w:p>
      <w:pPr>
        <w:pStyle w:val="Heading2"/>
      </w:pPr>
      <w:r>
        <w:t xml:space="preserve">5. ความพร้อม (Readiness)</w:t>
      </w:r>
    </w:p>
    <w:bookmarkStart w:id="13" w:name="ความพรอมดานเทคนค"/>
    <w:p>
      <w:pPr>
        <w:pStyle w:val="Heading3"/>
      </w:pPr>
      <w:r>
        <w:t xml:space="preserve">5.1 ความพร้อมด้านเทคนิค</w:t>
      </w:r>
    </w:p>
    <w:p>
      <w:pPr>
        <w:pStyle w:val="FirstParagraph"/>
      </w:pPr>
      <w:r>
        <w:t xml:space="preserve">สถาปัตยกรรมออกแบบตาม Clean Architecture (Go/Fiber) รองรับการยื่นขอใบอนุญาต ครอบคลุม payment core (authorize/capture/void/refund + state machine), tokenization vault, acquirer/3DS adapter, ledger, webhook, reconciliation &amp; settlement (ดู</w:t>
      </w:r>
      <w:r>
        <w:t xml:space="preserve"> </w:t>
      </w:r>
      <w:r>
        <w:rPr>
          <w:rStyle w:val="VerbatimChar"/>
        </w:rPr>
        <w:t xml:space="preserve">ARCHITECTURE.md</w:t>
      </w:r>
      <w:r>
        <w:t xml:space="preserve">)</w:t>
      </w:r>
    </w:p>
    <w:bookmarkEnd w:id="13"/>
    <w:bookmarkStart w:id="14" w:name="Xa7891de09280568e4924fe8a1f7b0d017233155"/>
    <w:p>
      <w:pPr>
        <w:pStyle w:val="Heading3"/>
      </w:pPr>
      <w:r>
        <w:t xml:space="preserve">5.2 ความพร้อมด้านการกำกับดูแล (Compliance Readiness)</w:t>
      </w:r>
    </w:p>
    <w:tbl>
      <w:tblPr>
        <w:tblStyle w:val="Table"/>
        <w:tblW w:type="pct" w:w="5000"/>
        <w:tblLayout w:type="fixed"/>
        <w:tblLook w:firstRow="1" w:lastRow="0" w:firstColumn="0" w:lastColumn="0" w:noHBand="0" w:noVBand="0" w:val="0020"/>
      </w:tblPr>
      <w:tblGrid>
        <w:gridCol w:w="1532"/>
        <w:gridCol w:w="4598"/>
        <w:gridCol w:w="1788"/>
      </w:tblGrid>
      <w:tr>
        <w:trPr>
          <w:tblHeader w:val="on"/>
        </w:trPr>
        <w:tc>
          <w:tcPr/>
          <w:p>
            <w:pPr>
              <w:pStyle w:val="Compact"/>
            </w:pPr>
            <w:r>
              <w:t xml:space="preserve">ด้าน</w:t>
            </w:r>
          </w:p>
        </w:tc>
        <w:tc>
          <w:tcPr/>
          <w:p>
            <w:pPr>
              <w:pStyle w:val="Compact"/>
            </w:pPr>
            <w:r>
              <w:t xml:space="preserve">มาตรฐาน/หน่วยงาน</w:t>
            </w:r>
          </w:p>
        </w:tc>
        <w:tc>
          <w:tcPr/>
          <w:p>
            <w:pPr>
              <w:pStyle w:val="Compact"/>
            </w:pPr>
            <w:r>
              <w:t xml:space="preserve">สถานะ</w:t>
            </w:r>
          </w:p>
        </w:tc>
      </w:tr>
      <w:tr>
        <w:tc>
          <w:tcPr/>
          <w:p>
            <w:pPr>
              <w:pStyle w:val="Compact"/>
            </w:pPr>
            <w:r>
              <w:t xml:space="preserve">นโยบายบริหารความเสี่ยง IT / Cyber resilience</w:t>
            </w:r>
          </w:p>
        </w:tc>
        <w:tc>
          <w:tcPr/>
          <w:p>
            <w:pPr>
              <w:pStyle w:val="Compact"/>
            </w:pPr>
            <w:r>
              <w:t xml:space="preserve">ประกาศ ธปท.</w:t>
            </w:r>
          </w:p>
        </w:tc>
        <w:tc>
          <w:tcPr/>
          <w:p>
            <w:pPr>
              <w:pStyle w:val="Compact"/>
            </w:pPr>
            <w:r>
              <w:t xml:space="preserve">มีเอกสารนโยบาย (ทานต่อ)</w:t>
            </w:r>
          </w:p>
        </w:tc>
      </w:tr>
      <w:tr>
        <w:tc>
          <w:tcPr/>
          <w:p>
            <w:pPr>
              <w:pStyle w:val="Compact"/>
            </w:pPr>
            <w:r>
              <w:t xml:space="preserve">AML/KYC/CDD + sanction screening</w:t>
            </w:r>
          </w:p>
        </w:tc>
        <w:tc>
          <w:tcPr/>
          <w:p>
            <w:pPr>
              <w:pStyle w:val="Compact"/>
            </w:pPr>
            <w:r>
              <w:rPr>
                <w:b/>
                <w:bCs/>
              </w:rPr>
              <w:t xml:space="preserve">ปปง. (AMLO)</w:t>
            </w:r>
          </w:p>
        </w:tc>
        <w:tc>
          <w:tcPr/>
          <w:p>
            <w:pPr>
              <w:pStyle w:val="Compact"/>
            </w:pPr>
            <w:r>
              <w:t xml:space="preserve">มีนโยบาย + ระบบ screening (ตั้งค่า)</w:t>
            </w:r>
          </w:p>
        </w:tc>
      </w:tr>
      <w:tr>
        <w:tc>
          <w:tcPr/>
          <w:p>
            <w:pPr>
              <w:pStyle w:val="Compact"/>
            </w:pPr>
            <w:r>
              <w:t xml:space="preserve">คุ้มครองข้อมูลส่วนบุคคล</w:t>
            </w:r>
          </w:p>
        </w:tc>
        <w:tc>
          <w:tcPr/>
          <w:p>
            <w:pPr>
              <w:pStyle w:val="Compact"/>
            </w:pPr>
            <w:r>
              <w:rPr>
                <w:b/>
                <w:bCs/>
              </w:rPr>
              <w:t xml:space="preserve">PDPA / PDPC</w:t>
            </w:r>
          </w:p>
        </w:tc>
        <w:tc>
          <w:tcPr/>
          <w:p>
            <w:pPr>
              <w:pStyle w:val="Compact"/>
            </w:pPr>
            <w:r>
              <w:t xml:space="preserve">มีนโยบาย + DPO</w:t>
            </w:r>
            <w:r>
              <w:t xml:space="preserve"> </w:t>
            </w:r>
            <w:r>
              <w:rPr>
                <w:i/>
                <w:iCs/>
              </w:rPr>
              <w:t xml:space="preserve">(TODO แต่งตั้ง)</w:t>
            </w:r>
          </w:p>
        </w:tc>
      </w:tr>
      <w:tr>
        <w:tc>
          <w:tcPr/>
          <w:p>
            <w:pPr>
              <w:pStyle w:val="Compact"/>
            </w:pPr>
            <w:r>
              <w:t xml:space="preserve">PCI-DSS v4.0 (Level 1)</w:t>
            </w:r>
          </w:p>
        </w:tc>
        <w:tc>
          <w:tcPr/>
          <w:p>
            <w:pPr>
              <w:pStyle w:val="Compact"/>
            </w:pPr>
            <w:r>
              <w:t xml:space="preserve">QSA/ASV</w:t>
            </w:r>
          </w:p>
        </w:tc>
        <w:tc>
          <w:tcPr/>
          <w:p>
            <w:pPr>
              <w:pStyle w:val="Compact"/>
            </w:pPr>
            <w:r>
              <w:t xml:space="preserve">เตรียม scope + segmentation</w:t>
            </w:r>
          </w:p>
        </w:tc>
      </w:tr>
      <w:tr>
        <w:tc>
          <w:tcPr/>
          <w:p>
            <w:pPr>
              <w:pStyle w:val="Compact"/>
            </w:pPr>
            <w:r>
              <w:t xml:space="preserve">BCP/DR</w:t>
            </w:r>
          </w:p>
        </w:tc>
        <w:tc>
          <w:tcPr/>
          <w:p>
            <w:pPr>
              <w:pStyle w:val="Compact"/>
            </w:pPr>
            <w:r>
              <w:t xml:space="preserve">ประกาศ ธปท.</w:t>
            </w:r>
          </w:p>
        </w:tc>
        <w:tc>
          <w:tcPr/>
          <w:p>
            <w:pPr>
              <w:pStyle w:val="Compact"/>
            </w:pPr>
            <w:r>
              <w:t xml:space="preserve">มีแผน + ต้องซ้อม DR drill</w:t>
            </w:r>
          </w:p>
        </w:tc>
      </w:tr>
      <w:tr>
        <w:tc>
          <w:tcPr/>
          <w:p>
            <w:pPr>
              <w:pStyle w:val="Compact"/>
            </w:pPr>
            <w:r>
              <w:t xml:space="preserve">Audit trail</w:t>
            </w:r>
          </w:p>
        </w:tc>
        <w:tc>
          <w:tcPr/>
          <w:p>
            <w:pPr>
              <w:pStyle w:val="Compact"/>
            </w:pPr>
            <w:r>
              <w:t xml:space="preserve">ธปท./PCI Req 10</w:t>
            </w:r>
          </w:p>
        </w:tc>
        <w:tc>
          <w:tcPr/>
          <w:p>
            <w:pPr>
              <w:pStyle w:val="Compact"/>
            </w:pPr>
            <w:r>
              <w:rPr>
                <w:rStyle w:val="VerbatimChar"/>
              </w:rPr>
              <w:t xml:space="preserve">audit_log</w:t>
            </w:r>
            <w:r>
              <w:t xml:space="preserve"> </w:t>
            </w:r>
            <w:r>
              <w:t xml:space="preserve">append-only พร้อมใช้</w:t>
            </w:r>
          </w:p>
        </w:tc>
      </w:tr>
    </w:tbl>
    <w:bookmarkEnd w:id="14"/>
    <w:bookmarkStart w:id="15" w:name="timeline-คขนาน-engineering-compliance"/>
    <w:p>
      <w:pPr>
        <w:pStyle w:val="Heading3"/>
      </w:pPr>
      <w:r>
        <w:t xml:space="preserve">5.3 Timeline (คู่ขนาน engineering + compliance)</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ระยะ</w:t>
            </w:r>
          </w:p>
        </w:tc>
        <w:tc>
          <w:tcPr/>
          <w:p>
            <w:pPr>
              <w:pStyle w:val="Compact"/>
            </w:pPr>
            <w:r>
              <w:t xml:space="preserve">ช่วงเวลา</w:t>
            </w:r>
          </w:p>
        </w:tc>
        <w:tc>
          <w:tcPr/>
          <w:p>
            <w:pPr>
              <w:pStyle w:val="Compact"/>
            </w:pPr>
            <w:r>
              <w:t xml:space="preserve">ผลลัพธ์</w:t>
            </w:r>
          </w:p>
        </w:tc>
      </w:tr>
      <w:tr>
        <w:tc>
          <w:tcPr/>
          <w:p>
            <w:pPr>
              <w:pStyle w:val="Compact"/>
            </w:pPr>
            <w:r>
              <w:t xml:space="preserve">เตรียมนิติบุคคล/ทุน</w:t>
            </w:r>
          </w:p>
        </w:tc>
        <w:tc>
          <w:tcPr/>
          <w:p>
            <w:pPr>
              <w:pStyle w:val="Compact"/>
            </w:pPr>
            <w:r>
              <w:t xml:space="preserve">ส.ค.–ก.ย. 2569</w:t>
            </w:r>
          </w:p>
        </w:tc>
        <w:tc>
          <w:tcPr/>
          <w:p>
            <w:pPr>
              <w:pStyle w:val="Compact"/>
            </w:pPr>
            <w:r>
              <w:t xml:space="preserve">ทุนชำระแล้ว 50 ล้านบาท, แก้วัตถุประสงค์, โครงสร้างกรรมการ</w:t>
            </w:r>
          </w:p>
        </w:tc>
      </w:tr>
      <w:tr>
        <w:tc>
          <w:tcPr/>
          <w:p>
            <w:pPr>
              <w:pStyle w:val="Compact"/>
            </w:pPr>
            <w:r>
              <w:t xml:space="preserve">จัดทำเอกสาร + ยื่น ธปท.</w:t>
            </w:r>
          </w:p>
        </w:tc>
        <w:tc>
          <w:tcPr/>
          <w:p>
            <w:pPr>
              <w:pStyle w:val="Compact"/>
            </w:pPr>
            <w:r>
              <w:t xml:space="preserve">ก.ย. 2569 – ม.ค. 2570</w:t>
            </w:r>
          </w:p>
        </w:tc>
        <w:tc>
          <w:tcPr/>
          <w:p>
            <w:pPr>
              <w:pStyle w:val="Compact"/>
            </w:pPr>
            <w:r>
              <w:t xml:space="preserve">ชุดคำขอครบถ้วน</w:t>
            </w:r>
          </w:p>
        </w:tc>
      </w:tr>
      <w:tr>
        <w:tc>
          <w:tcPr/>
          <w:p>
            <w:pPr>
              <w:pStyle w:val="Compact"/>
            </w:pPr>
            <w:r>
              <w:t xml:space="preserve">PCI-DSS L1 (QSA→RoC)</w:t>
            </w:r>
          </w:p>
        </w:tc>
        <w:tc>
          <w:tcPr/>
          <w:p>
            <w:pPr>
              <w:pStyle w:val="Compact"/>
            </w:pPr>
            <w:r>
              <w:t xml:space="preserve">ต.ค. 2569 – ก.พ. 2570</w:t>
            </w:r>
          </w:p>
        </w:tc>
        <w:tc>
          <w:tcPr/>
          <w:p>
            <w:pPr>
              <w:pStyle w:val="Compact"/>
            </w:pPr>
            <w:r>
              <w:t xml:space="preserve">RoC + quarterly ASV scan</w:t>
            </w:r>
          </w:p>
        </w:tc>
      </w:tr>
      <w:tr>
        <w:tc>
          <w:tcPr/>
          <w:p>
            <w:pPr>
              <w:pStyle w:val="Compact"/>
            </w:pPr>
            <w:r>
              <w:t xml:space="preserve">Scheme certification</w:t>
            </w:r>
          </w:p>
        </w:tc>
        <w:tc>
          <w:tcPr/>
          <w:p>
            <w:pPr>
              <w:pStyle w:val="Compact"/>
            </w:pPr>
            <w:r>
              <w:t xml:space="preserve">หลังได้ sponsor bank</w:t>
            </w:r>
          </w:p>
        </w:tc>
        <w:tc>
          <w:tcPr/>
          <w:p>
            <w:pPr>
              <w:pStyle w:val="Compact"/>
            </w:pPr>
            <w:r>
              <w:t xml:space="preserve">cert Visa/MC</w:t>
            </w:r>
          </w:p>
        </w:tc>
      </w:tr>
      <w:tr>
        <w:tc>
          <w:tcPr/>
          <w:p>
            <w:pPr>
              <w:pStyle w:val="Compact"/>
            </w:pPr>
            <w:r>
              <w:t xml:space="preserve">Go-live</w:t>
            </w:r>
          </w:p>
        </w:tc>
        <w:tc>
          <w:tcPr/>
          <w:p>
            <w:pPr>
              <w:pStyle w:val="Compact"/>
            </w:pPr>
            <w:r>
              <w:t xml:space="preserve">หลังได้ใบอนุญาต + RoC + cert</w:t>
            </w:r>
          </w:p>
        </w:tc>
        <w:tc>
          <w:tcPr/>
          <w:p>
            <w:pPr>
              <w:pStyle w:val="Compact"/>
            </w:pPr>
            <w:r>
              <w:t xml:space="preserve">production cutover</w:t>
            </w:r>
          </w:p>
        </w:tc>
      </w:tr>
    </w:tbl>
    <w:p>
      <w:pPr>
        <w:pStyle w:val="BlockText"/>
      </w:pPr>
      <w:r>
        <w:t xml:space="preserve">ระยะพิจารณาของ ธปท. โดยทั่วไปเป็นหลัก</w:t>
      </w:r>
      <w:r>
        <w:t xml:space="preserve"> </w:t>
      </w:r>
      <w:r>
        <w:rPr>
          <w:b/>
          <w:bCs/>
        </w:rPr>
        <w:t xml:space="preserve">หลายเดือน</w:t>
      </w:r>
      <w:r>
        <w:t xml:space="preserve"> </w:t>
      </w:r>
      <w:r>
        <w:t xml:space="preserve">ขึ้นกับความครบถ้วนของเอกสารและความพร้อมของระบบ (on-site inspection ได้)</w:t>
      </w:r>
    </w:p>
    <w:p>
      <w:r>
        <w:pict>
          <v:rect style="width:0;height:1.5pt" o:hralign="center" o:hrstd="t" o:hr="t"/>
        </w:pict>
      </w:r>
    </w:p>
    <w:bookmarkEnd w:id="15"/>
    <w:bookmarkEnd w:id="16"/>
    <w:bookmarkStart w:id="17" w:name="ทนและคณสมบตผขอ-capital-eligibility"/>
    <w:p>
      <w:pPr>
        <w:pStyle w:val="Heading2"/>
      </w:pPr>
      <w:r>
        <w:t xml:space="preserve">6. ทุนและคุณสมบัติผู้ขอ (Capital &amp; Eligibility)</w:t>
      </w:r>
    </w:p>
    <w:tbl>
      <w:tblPr>
        <w:tblStyle w:val="Table"/>
        <w:tblW w:type="pct" w:w="5000"/>
        <w:tblLayout w:type="fixed"/>
        <w:tblLook w:firstRow="1" w:lastRow="0" w:firstColumn="0" w:lastColumn="0" w:noHBand="0" w:noVBand="0" w:val="0020"/>
      </w:tblPr>
      <w:tblGrid>
        <w:gridCol w:w="2262"/>
        <w:gridCol w:w="1980"/>
        <w:gridCol w:w="3677"/>
      </w:tblGrid>
      <w:tr>
        <w:trPr>
          <w:tblHeader w:val="on"/>
        </w:trPr>
        <w:tc>
          <w:tcPr/>
          <w:p>
            <w:pPr>
              <w:pStyle w:val="Compact"/>
            </w:pPr>
            <w:r>
              <w:t xml:space="preserve">หัวข้อ</w:t>
            </w:r>
          </w:p>
        </w:tc>
        <w:tc>
          <w:tcPr/>
          <w:p>
            <w:pPr>
              <w:pStyle w:val="Compact"/>
            </w:pPr>
            <w:r>
              <w:t xml:space="preserve">เกณฑ์</w:t>
            </w:r>
          </w:p>
        </w:tc>
        <w:tc>
          <w:tcPr/>
          <w:p>
            <w:pPr>
              <w:pStyle w:val="Compact"/>
            </w:pPr>
            <w:r>
              <w:t xml:space="preserve">สถานะบริษัท</w:t>
            </w:r>
          </w:p>
        </w:tc>
      </w:tr>
      <w:tr>
        <w:tc>
          <w:tcPr/>
          <w:p>
            <w:pPr>
              <w:pStyle w:val="Compact"/>
            </w:pPr>
            <w:r>
              <w:t xml:space="preserve">ประเภทนิติบุคคล</w:t>
            </w:r>
          </w:p>
        </w:tc>
        <w:tc>
          <w:tcPr/>
          <w:p>
            <w:pPr>
              <w:pStyle w:val="Compact"/>
            </w:pPr>
            <w:r>
              <w:t xml:space="preserve">บริษัทจำกัด/มหาชน จดทะเบียนในไทย</w:t>
            </w:r>
          </w:p>
        </w:tc>
        <w:tc>
          <w:tcPr/>
          <w:p>
            <w:pPr>
              <w:pStyle w:val="Compact"/>
            </w:pPr>
            <w:r>
              <w:t xml:space="preserve">✔</w:t>
            </w:r>
            <w:r>
              <w:t xml:space="preserve"> </w:t>
            </w:r>
            <w:r>
              <w:rPr>
                <w:i/>
                <w:iCs/>
              </w:rPr>
              <w:t xml:space="preserve">(ตรวจวัตถุประสงค์)</w:t>
            </w:r>
          </w:p>
        </w:tc>
      </w:tr>
      <w:tr>
        <w:tc>
          <w:tcPr/>
          <w:p>
            <w:pPr>
              <w:pStyle w:val="Compact"/>
            </w:pPr>
            <w:r>
              <w:t xml:space="preserve">ทุนจดทะเบียนชำระแล้ว</w:t>
            </w:r>
          </w:p>
        </w:tc>
        <w:tc>
          <w:tcPr/>
          <w:p>
            <w:pPr>
              <w:pStyle w:val="Compact"/>
            </w:pPr>
            <w:r>
              <w:t xml:space="preserve">≥</w:t>
            </w:r>
            <w:r>
              <w:t xml:space="preserve"> </w:t>
            </w:r>
            <w:r>
              <w:rPr>
                <w:b/>
                <w:bCs/>
              </w:rPr>
              <w:t xml:space="preserve">50 ล้านบาท</w:t>
            </w:r>
            <w:r>
              <w:t xml:space="preserve"> </w:t>
            </w:r>
            <w:r>
              <w:t xml:space="preserve">(Acquiring)</w:t>
            </w:r>
          </w:p>
        </w:tc>
        <w:tc>
          <w:tcPr/>
          <w:p>
            <w:pPr>
              <w:pStyle w:val="Compact"/>
            </w:pPr>
            <w:r>
              <w:rPr>
                <w:b/>
                <w:bCs/>
              </w:rPr>
              <w:t xml:space="preserve">50 ล้านบาท</w:t>
            </w:r>
          </w:p>
        </w:tc>
      </w:tr>
      <w:tr>
        <w:tc>
          <w:tcPr/>
          <w:p>
            <w:pPr>
              <w:pStyle w:val="Compact"/>
            </w:pPr>
            <w:r>
              <w:t xml:space="preserve">การรักษาทุน</w:t>
            </w:r>
          </w:p>
        </w:tc>
        <w:tc>
          <w:tcPr/>
          <w:p>
            <w:pPr>
              <w:pStyle w:val="Compact"/>
            </w:pPr>
            <w:r>
              <w:t xml:space="preserve">คงไว้</w:t>
            </w:r>
            <w:r>
              <w:t xml:space="preserve"> </w:t>
            </w:r>
            <w:r>
              <w:rPr>
                <w:b/>
                <w:bCs/>
              </w:rPr>
              <w:t xml:space="preserve">ไม่น้อยกว่า 75%</w:t>
            </w:r>
            <w:r>
              <w:t xml:space="preserve"> </w:t>
            </w:r>
            <w:r>
              <w:t xml:space="preserve">ตลอดการดำเนินงาน</w:t>
            </w:r>
          </w:p>
        </w:tc>
        <w:tc>
          <w:tcPr/>
          <w:p>
            <w:pPr>
              <w:pStyle w:val="Compact"/>
            </w:pPr>
            <w:r>
              <w:t xml:space="preserve">รักษา ≥ 37.5 ล้านบาท</w:t>
            </w:r>
          </w:p>
        </w:tc>
      </w:tr>
      <w:tr>
        <w:tc>
          <w:tcPr/>
          <w:p>
            <w:pPr>
              <w:pStyle w:val="Compact"/>
            </w:pPr>
            <w:r>
              <w:t xml:space="preserve">กรรมการสัญชาติไทย</w:t>
            </w:r>
          </w:p>
        </w:tc>
        <w:tc>
          <w:tcPr/>
          <w:p>
            <w:pPr>
              <w:pStyle w:val="Compact"/>
            </w:pPr>
            <w:r>
              <w:t xml:space="preserve">≥ 1 คน มีถิ่นที่อยู่ในไทย</w:t>
            </w:r>
          </w:p>
        </w:tc>
        <w:tc>
          <w:tcPr/>
          <w:p>
            <w:pPr>
              <w:pStyle w:val="Compact"/>
            </w:pPr>
            <w:r>
              <w:t xml:space="preserve">✔</w:t>
            </w:r>
            <w:r>
              <w:t xml:space="preserve"> </w:t>
            </w:r>
            <w:r>
              <w:rPr>
                <w:i/>
                <w:iCs/>
              </w:rPr>
              <w:t xml:space="preserve">(ยืนยัน)</w:t>
            </w:r>
          </w:p>
        </w:tc>
      </w:tr>
      <w:tr>
        <w:tc>
          <w:tcPr/>
          <w:p>
            <w:pPr>
              <w:pStyle w:val="Compact"/>
            </w:pPr>
            <w:r>
              <w:t xml:space="preserve">Fit &amp; proper กรรมการ/ผู้บริหาร</w:t>
            </w:r>
          </w:p>
        </w:tc>
        <w:tc>
          <w:tcPr/>
          <w:p>
            <w:pPr>
              <w:pStyle w:val="Compact"/>
            </w:pPr>
            <w:r>
              <w:t xml:space="preserve">ไม่มีลักษณะต้องห้าม</w:t>
            </w:r>
          </w:p>
        </w:tc>
        <w:tc>
          <w:tcPr/>
          <w:p>
            <w:pPr>
              <w:pStyle w:val="Compact"/>
            </w:pPr>
            <w:r>
              <w:t xml:space="preserve">เตรียมเอกสาร</w:t>
            </w:r>
          </w:p>
        </w:tc>
      </w:tr>
      <w:tr>
        <w:tc>
          <w:tcPr/>
          <w:p>
            <w:pPr>
              <w:pStyle w:val="Compact"/>
            </w:pPr>
            <w:r>
              <w:t xml:space="preserve">Foreign Business License</w:t>
            </w:r>
          </w:p>
        </w:tc>
        <w:tc>
          <w:tcPr/>
          <w:p>
            <w:pPr>
              <w:pStyle w:val="Compact"/>
            </w:pPr>
            <w:r>
              <w:t xml:space="preserve">หากผู้ถือหุ้นข้างมากต่างชาติ</w:t>
            </w:r>
          </w:p>
        </w:tc>
        <w:tc>
          <w:tcPr/>
          <w:p>
            <w:pPr>
              <w:pStyle w:val="Compact"/>
            </w:pPr>
            <w:r>
              <w:rPr>
                <w:i/>
                <w:iCs/>
              </w:rPr>
              <w:t xml:space="preserve">[TODO ตรวจโครงสร้างผู้ถือหุ้น]</w:t>
            </w:r>
          </w:p>
        </w:tc>
      </w:tr>
    </w:tbl>
    <w:p>
      <w:pPr>
        <w:pStyle w:val="BlockText"/>
      </w:pPr>
      <w:r>
        <w:rPr>
          <w:b/>
          <w:bCs/>
        </w:rPr>
        <w:t xml:space="preserve">[สมมติฐาน / TODO]</w:t>
      </w:r>
      <w:r>
        <w:t xml:space="preserve"> </w:t>
      </w:r>
      <w:r>
        <w:t xml:space="preserve">ทุนจดทะเบียนชำระแล้ว 50 ล้านบาทเป็นตัวเลขตามเกณฑ์ขั้นต่ำของบริการ Acquiring — ต้องยืนยันด้วยหลักฐานการชำระทุนจริง (bank confirmation) และงบการเงินก่อนยื่น หากขอหลายบริการพร้อมกันให้ยึดจำนวน</w:t>
      </w:r>
      <w:r>
        <w:t xml:space="preserve"> </w:t>
      </w:r>
      <w:r>
        <w:t xml:space="preserve">“สูงสุด”</w:t>
      </w:r>
      <w:r>
        <w:t xml:space="preserve"> </w:t>
      </w:r>
      <w:r>
        <w:t xml:space="preserve">ของบริการที่ขอ</w:t>
      </w:r>
    </w:p>
    <w:p>
      <w:r>
        <w:pict>
          <v:rect style="width:0;height:1.5pt" o:hralign="center" o:hrstd="t" o:hr="t"/>
        </w:pict>
      </w:r>
    </w:p>
    <w:bookmarkEnd w:id="17"/>
    <w:bookmarkStart w:id="18" w:name="สรปและขนถดไป"/>
    <w:p>
      <w:pPr>
        <w:pStyle w:val="Heading2"/>
      </w:pPr>
      <w:r>
        <w:t xml:space="preserve">7. สรุปและขั้นถัดไป</w:t>
      </w:r>
    </w:p>
    <w:p>
      <w:pPr>
        <w:pStyle w:val="FirstParagraph"/>
      </w:pPr>
      <w:r>
        <w:t xml:space="preserve">[บริษัท / Company] มีสถาปัตยกรรมและกรอบการกำกับดูแลที่พร้อมสนับสนุนการขอใบอนุญาต Full Acquiring โดยความเสี่ยงตามลำดับ critical path คือ (1) การได้</w:t>
      </w:r>
      <w:r>
        <w:t xml:space="preserve"> </w:t>
      </w:r>
      <w:r>
        <w:rPr>
          <w:b/>
          <w:bCs/>
        </w:rPr>
        <w:t xml:space="preserve">sponsor bank</w:t>
      </w:r>
      <w:r>
        <w:t xml:space="preserve"> </w:t>
      </w:r>
      <w:r>
        <w:t xml:space="preserve">และ scheme certification (2)</w:t>
      </w:r>
      <w:r>
        <w:t xml:space="preserve"> </w:t>
      </w:r>
      <w:r>
        <w:rPr>
          <w:b/>
          <w:bCs/>
        </w:rPr>
        <w:t xml:space="preserve">PCI-DSS L1 (QSA)</w:t>
      </w:r>
      <w:r>
        <w:t xml:space="preserve"> </w:t>
      </w:r>
      <w:r>
        <w:t xml:space="preserve">และ (3) ความครบถ้วนของคำขอต่อ ธปท.</w:t>
      </w:r>
      <w:r>
        <w:t xml:space="preserve"> </w:t>
      </w:r>
      <w:r>
        <w:rPr>
          <w:b/>
          <w:bCs/>
        </w:rPr>
        <w:t xml:space="preserve">ขั้นถัดไป:</w:t>
      </w:r>
      <w:r>
        <w:t xml:space="preserve"> </w:t>
      </w:r>
      <w:r>
        <w:t xml:space="preserve">แต่งตั้งที่ปรึกษากฎหมาย, ล็อก QSA, ยืนยัน sponsor bank และปิดรายการ [TODO] ทั้งหมดก่อนยื่น</w:t>
      </w:r>
    </w:p>
    <w:bookmarkEnd w:id="18"/>
    <w:bookmarkEnd w:id="19"/>
    <w:bookmarkStart w:id="30" w:name="X3661723d9daa82acb2c7cf3b367f94f1f97f6f5"/>
    <w:p>
      <w:pPr>
        <w:pStyle w:val="Heading1"/>
      </w:pPr>
      <w:r>
        <w:t xml:space="preserve">Executive summary for the BOT Full-Acquiring license application: business model, scale, partners, readiness, capital (English)</w:t>
      </w:r>
    </w:p>
    <w:p>
      <w:pPr>
        <w:pStyle w:val="BlockText"/>
      </w:pPr>
      <w:r>
        <w:t xml:space="preserve">Document</w:t>
      </w:r>
      <w:r>
        <w:t xml:space="preserve"> </w:t>
      </w:r>
      <w:r>
        <w:rPr>
          <w:rStyle w:val="VerbatimChar"/>
        </w:rPr>
        <w:t xml:space="preserve">docs/compliance/00-executive-summary.md</w:t>
      </w:r>
      <w:r>
        <w:t xml:space="preserve"> </w:t>
      </w:r>
      <w:r>
        <w:t xml:space="preserve">· Version 0.1 · Prepared 22 Jul 2026</w:t>
      </w:r>
      <w:r>
        <w:t xml:space="preserve"> </w:t>
      </w:r>
      <w:r>
        <w:t xml:space="preserve">Application type:</w:t>
      </w:r>
      <w:r>
        <w:t xml:space="preserve"> </w:t>
      </w:r>
      <w:r>
        <w:rPr>
          <w:b/>
          <w:bCs/>
        </w:rPr>
        <w:t xml:space="preserve">Full Acquiring Service license</w:t>
      </w:r>
      <w:r>
        <w:t xml:space="preserve"> </w:t>
      </w:r>
      <w:r>
        <w:t xml:space="preserve">under the</w:t>
      </w:r>
      <w:r>
        <w:t xml:space="preserve"> </w:t>
      </w:r>
      <w:r>
        <w:rPr>
          <w:b/>
          <w:bCs/>
        </w:rPr>
        <w:t xml:space="preserve">Payment Systems Act B.E. 2560 (2017)</w:t>
      </w:r>
      <w:r>
        <w:t xml:space="preserve">, regulated by the</w:t>
      </w:r>
      <w:r>
        <w:t xml:space="preserve"> </w:t>
      </w:r>
      <w:r>
        <w:rPr>
          <w:b/>
          <w:bCs/>
        </w:rPr>
        <w:t xml:space="preserve">Bank of Thailand (BOT / ธปท.)</w:t>
      </w:r>
      <w:r>
        <w:t xml:space="preserve"> </w:t>
      </w:r>
      <w:r>
        <w:t xml:space="preserve">Applicant:</w:t>
      </w:r>
      <w:r>
        <w:t xml:space="preserve"> </w:t>
      </w:r>
      <w:r>
        <w:rPr>
          <w:b/>
          <w:bCs/>
        </w:rPr>
        <w:t xml:space="preserve">[บริษัท / Company]</w:t>
      </w:r>
      <w:r>
        <w:t xml:space="preserve"> </w:t>
      </w:r>
      <w:r>
        <w:t xml:space="preserve">· Paid-up registered capital:</w:t>
      </w:r>
      <w:r>
        <w:t xml:space="preserve"> </w:t>
      </w:r>
      <w:r>
        <w:rPr>
          <w:b/>
          <w:bCs/>
        </w:rPr>
        <w:t xml:space="preserve">THB 50,000,000</w:t>
      </w:r>
    </w:p>
    <w:p>
      <w:pPr>
        <w:pStyle w:val="BlockText"/>
      </w:pPr>
      <w:r>
        <w:rPr>
          <w:b/>
          <w:bCs/>
        </w:rPr>
        <w:t xml:space="preserve">Document status:</w:t>
      </w:r>
      <w:r>
        <w:t xml:space="preserve"> </w:t>
      </w:r>
      <w:r>
        <w:t xml:space="preserve">Internal pre-submission draft — must be reviewed by BOT-licensing legal counsel before actual filing. This is an executive summary, not legal advice.</w:t>
      </w:r>
    </w:p>
    <w:p>
      <w:r>
        <w:pict>
          <v:rect style="width:0;height:1.5pt" o:hralign="center" o:hrstd="t" o:hr="t"/>
        </w:pict>
      </w:r>
    </w:p>
    <w:bookmarkStart w:id="20" w:name="purpose-of-the-application"/>
    <w:p>
      <w:pPr>
        <w:pStyle w:val="Heading2"/>
      </w:pPr>
      <w:r>
        <w:t xml:space="preserve">1. Purpose of the application</w:t>
      </w:r>
    </w:p>
    <w:p>
      <w:pPr>
        <w:pStyle w:val="FirstParagraph"/>
      </w:pPr>
      <w:r>
        <w:t xml:space="preserve">[บริษัท / Company] seeks a</w:t>
      </w:r>
      <w:r>
        <w:t xml:space="preserve"> </w:t>
      </w:r>
      <w:r>
        <w:rPr>
          <w:b/>
          <w:bCs/>
        </w:rPr>
        <w:t xml:space="preserve">Designated Payment Service license for Acquiring Service</w:t>
      </w:r>
      <w:r>
        <w:t xml:space="preserve"> </w:t>
      </w:r>
      <w:r>
        <w:t xml:space="preserve">under the Payment Systems Act B.E. 2560. The license is granted by the</w:t>
      </w:r>
      <w:r>
        <w:t xml:space="preserve"> </w:t>
      </w:r>
      <w:r>
        <w:rPr>
          <w:b/>
          <w:bCs/>
        </w:rPr>
        <w:t xml:space="preserve">Minister of Finance on the recommendation of the BOT</w:t>
      </w:r>
      <w:r>
        <w:t xml:space="preserve">.</w:t>
      </w:r>
    </w:p>
    <w:p>
      <w:pPr>
        <w:pStyle w:val="BodyText"/>
      </w:pPr>
      <w:r>
        <w:t xml:space="preserve">The company pursues</w:t>
      </w:r>
      <w:r>
        <w:t xml:space="preserve"> </w:t>
      </w:r>
      <w:r>
        <w:rPr>
          <w:b/>
          <w:bCs/>
        </w:rPr>
        <w:t xml:space="preserve">Path B — Full Acquiring</w:t>
      </w:r>
      <w:r>
        <w:t xml:space="preserve"> </w:t>
      </w:r>
      <w:r>
        <w:t xml:space="preserve">(per</w:t>
      </w:r>
      <w:r>
        <w:t xml:space="preserve"> </w:t>
      </w:r>
      <w:r>
        <w:rPr>
          <w:rStyle w:val="VerbatimChar"/>
        </w:rPr>
        <w:t xml:space="preserve">ROADMAP.md</w:t>
      </w:r>
      <w:r>
        <w:t xml:space="preserve">): directly acquiring, authorizing, clearing and settling card transactions via a sponsor bank and card schemes, rather than fronting an existing acquirer (which would be Path A — Payment Facilitating, THB 10M capital).</w:t>
      </w:r>
    </w:p>
    <w:p>
      <w:r>
        <w:pict>
          <v:rect style="width:0;height:1.5pt" o:hralign="center" o:hrstd="t" o:hr="t"/>
        </w:pict>
      </w:r>
    </w:p>
    <w:bookmarkEnd w:id="20"/>
    <w:bookmarkStart w:id="21" w:name="business-model"/>
    <w:p>
      <w:pPr>
        <w:pStyle w:val="Heading2"/>
      </w:pPr>
      <w:r>
        <w:t xml:space="preserve">2. Business model</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Substance</w:t>
            </w:r>
          </w:p>
        </w:tc>
      </w:tr>
      <w:tr>
        <w:tc>
          <w:tcPr/>
          <w:p>
            <w:pPr>
              <w:pStyle w:val="Compact"/>
            </w:pPr>
            <w:r>
              <w:t xml:space="preserve">Core service</w:t>
            </w:r>
          </w:p>
        </w:tc>
        <w:tc>
          <w:tcPr/>
          <w:p>
            <w:pPr>
              <w:pStyle w:val="Compact"/>
            </w:pPr>
            <w:r>
              <w:t xml:space="preserve">Card acquiring for e-commerce, in-app and POS merchants</w:t>
            </w:r>
          </w:p>
        </w:tc>
      </w:tr>
      <w:tr>
        <w:tc>
          <w:tcPr/>
          <w:p>
            <w:pPr>
              <w:pStyle w:val="Compact"/>
            </w:pPr>
            <w:r>
              <w:t xml:space="preserve">Payment methods</w:t>
            </w:r>
          </w:p>
        </w:tc>
        <w:tc>
          <w:tcPr/>
          <w:p>
            <w:pPr>
              <w:pStyle w:val="Compact"/>
            </w:pPr>
            <w:r>
              <w:t xml:space="preserve">Visa, Mastercard credit/debit (+ local schemes in a later phase) with EMV 3DS 2.x</w:t>
            </w:r>
          </w:p>
        </w:tc>
      </w:tr>
      <w:tr>
        <w:tc>
          <w:tcPr/>
          <w:p>
            <w:pPr>
              <w:pStyle w:val="Compact"/>
            </w:pPr>
            <w:r>
              <w:t xml:space="preserve">Revenue</w:t>
            </w:r>
          </w:p>
        </w:tc>
        <w:tc>
          <w:tcPr/>
          <w:p>
            <w:pPr>
              <w:pStyle w:val="Compact"/>
            </w:pPr>
            <w:r>
              <w:t xml:space="preserve">Merchant Discount Rate (MDR), per-transaction fees, settlement/payout fees, value-added services (tokenization, reporting)</w:t>
            </w:r>
          </w:p>
        </w:tc>
      </w:tr>
      <w:tr>
        <w:tc>
          <w:tcPr/>
          <w:p>
            <w:pPr>
              <w:pStyle w:val="Compact"/>
            </w:pPr>
            <w:r>
              <w:t xml:space="preserve">Money handling</w:t>
            </w:r>
          </w:p>
        </w:tc>
        <w:tc>
          <w:tcPr/>
          <w:p>
            <w:pPr>
              <w:pStyle w:val="Compact"/>
            </w:pPr>
            <w:r>
              <w:t xml:space="preserve">Amounts held as integer minor units (satang), recorded in an</w:t>
            </w:r>
            <w:r>
              <w:t xml:space="preserve"> </w:t>
            </w:r>
            <w:r>
              <w:rPr>
                <w:b/>
                <w:bCs/>
              </w:rPr>
              <w:t xml:space="preserve">append-only double-entry ledger</w:t>
            </w:r>
            <w:r>
              <w:t xml:space="preserve"> </w:t>
            </w:r>
            <w:r>
              <w:t xml:space="preserve">as source of truth; merchants paid on settlement cycles</w:t>
            </w:r>
          </w:p>
        </w:tc>
      </w:tr>
      <w:tr>
        <w:tc>
          <w:tcPr/>
          <w:p>
            <w:pPr>
              <w:pStyle w:val="Compact"/>
            </w:pPr>
            <w:r>
              <w:t xml:space="preserve">Target segment</w:t>
            </w:r>
          </w:p>
        </w:tc>
        <w:tc>
          <w:tcPr/>
          <w:p>
            <w:pPr>
              <w:pStyle w:val="Compact"/>
            </w:pPr>
            <w:r>
              <w:t xml:space="preserve">High-volume Thai merchants seeking lower per-transaction cost</w:t>
            </w:r>
          </w:p>
        </w:tc>
      </w:tr>
      <w:tr>
        <w:tc>
          <w:tcPr/>
          <w:p>
            <w:pPr>
              <w:pStyle w:val="Compact"/>
            </w:pPr>
            <w:r>
              <w:t xml:space="preserve">No card storage</w:t>
            </w:r>
          </w:p>
        </w:tc>
        <w:tc>
          <w:tcPr/>
          <w:p>
            <w:pPr>
              <w:pStyle w:val="Compact"/>
            </w:pPr>
            <w:r>
              <w:t xml:space="preserve">Core system</w:t>
            </w:r>
            <w:r>
              <w:t xml:space="preserve"> </w:t>
            </w:r>
            <w:r>
              <w:rPr>
                <w:b/>
                <w:bCs/>
              </w:rPr>
              <w:t xml:space="preserve">stores no full PAN/CVV/PIN/track</w:t>
            </w:r>
            <w:r>
              <w:t xml:space="preserve"> </w:t>
            </w:r>
            <w:r>
              <w:t xml:space="preserve">— only</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a segregated tokenization vault minimizes PCI scope</w:t>
            </w:r>
          </w:p>
        </w:tc>
      </w:tr>
    </w:tbl>
    <w:p>
      <w:pPr>
        <w:pStyle w:val="BodyText"/>
      </w:pPr>
      <w:r>
        <w:rPr>
          <w:b/>
          <w:bCs/>
        </w:rPr>
        <w:t xml:space="preserve">Risk-driven design principles</w:t>
      </w:r>
      <w:r>
        <w:t xml:space="preserve"> </w:t>
      </w:r>
      <w:r>
        <w:t xml:space="preserve">(from</w:t>
      </w:r>
      <w:r>
        <w:t xml:space="preserve"> </w:t>
      </w:r>
      <w:r>
        <w:rPr>
          <w:rStyle w:val="VerbatimChar"/>
        </w:rPr>
        <w:t xml:space="preserve">ARCHITECTURE.md</w:t>
      </w:r>
      <w:r>
        <w:t xml:space="preserve">): idempotency on every money-moving endpoint, fail-closed behavior, and full auditability with every state change written to</w:t>
      </w:r>
      <w:r>
        <w:t xml:space="preserve"> </w:t>
      </w:r>
      <w:r>
        <w:rPr>
          <w:rStyle w:val="VerbatimChar"/>
        </w:rPr>
        <w:t xml:space="preserve">audit_log</w:t>
      </w:r>
      <w:r>
        <w:t xml:space="preserve">.</w:t>
      </w:r>
    </w:p>
    <w:p>
      <w:r>
        <w:pict>
          <v:rect style="width:0;height:1.5pt" o:hralign="center" o:hrstd="t" o:hr="t"/>
        </w:pict>
      </w:r>
    </w:p>
    <w:bookmarkEnd w:id="21"/>
    <w:bookmarkStart w:id="22" w:name="scale-and-projections"/>
    <w:p>
      <w:pPr>
        <w:pStyle w:val="Heading2"/>
      </w:pPr>
      <w:r>
        <w:t xml:space="preserve">3. Scale and projections</w:t>
      </w:r>
    </w:p>
    <w:p>
      <w:pPr>
        <w:pStyle w:val="BlockText"/>
      </w:pPr>
      <w:r>
        <w:rPr>
          <w:b/>
          <w:bCs/>
        </w:rPr>
        <w:t xml:space="preserve">[ASSUMPTION / TODO]</w:t>
      </w:r>
      <w:r>
        <w:t xml:space="preserve"> </w:t>
      </w:r>
      <w:r>
        <w:t xml:space="preserve">Transaction-count and GMV figures below are planning estimates and must be replaced with numbers from an approved business plan / financial model before BOT submission.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Active merchants</w:t>
            </w:r>
          </w:p>
        </w:tc>
        <w:tc>
          <w:tcPr/>
          <w:p>
            <w:pPr>
              <w:pStyle w:val="Compact"/>
            </w:pPr>
            <w:r>
              <w:t xml:space="preserve">300</w:t>
            </w:r>
          </w:p>
        </w:tc>
        <w:tc>
          <w:tcPr/>
          <w:p>
            <w:pPr>
              <w:pStyle w:val="Compact"/>
            </w:pPr>
            <w:r>
              <w:t xml:space="preserve">1,200</w:t>
            </w:r>
          </w:p>
        </w:tc>
        <w:tc>
          <w:tcPr/>
          <w:p>
            <w:pPr>
              <w:pStyle w:val="Compact"/>
            </w:pPr>
            <w:r>
              <w:t xml:space="preserve">3,500</w:t>
            </w:r>
          </w:p>
        </w:tc>
      </w:tr>
      <w:tr>
        <w:tc>
          <w:tcPr/>
          <w:p>
            <w:pPr>
              <w:pStyle w:val="Compact"/>
            </w:pPr>
            <w:r>
              <w:t xml:space="preserve">Transactions / year</w:t>
            </w:r>
          </w:p>
        </w:tc>
        <w:tc>
          <w:tcPr/>
          <w:p>
            <w:pPr>
              <w:pStyle w:val="Compact"/>
            </w:pPr>
            <w:r>
              <w:t xml:space="preserve">&gt; 6M</w:t>
            </w:r>
          </w:p>
        </w:tc>
        <w:tc>
          <w:tcPr/>
          <w:p>
            <w:pPr>
              <w:pStyle w:val="Compact"/>
            </w:pPr>
            <w:r>
              <w:t xml:space="preserve">~25M</w:t>
            </w:r>
          </w:p>
        </w:tc>
        <w:tc>
          <w:tcPr/>
          <w:p>
            <w:pPr>
              <w:pStyle w:val="Compact"/>
            </w:pPr>
            <w:r>
              <w:t xml:space="preserve">~60M</w:t>
            </w:r>
          </w:p>
        </w:tc>
      </w:tr>
      <w:tr>
        <w:tc>
          <w:tcPr/>
          <w:p>
            <w:pPr>
              <w:pStyle w:val="Compact"/>
            </w:pPr>
            <w:r>
              <w:t xml:space="preserve">GMV (approx.)</w:t>
            </w:r>
          </w:p>
        </w:tc>
        <w:tc>
          <w:tcPr/>
          <w:p>
            <w:pPr>
              <w:pStyle w:val="Compact"/>
            </w:pPr>
            <w:r>
              <w:rPr>
                <w:i/>
                <w:iCs/>
              </w:rPr>
              <w:t xml:space="preserve">[TODO]</w:t>
            </w:r>
          </w:p>
        </w:tc>
        <w:tc>
          <w:tcPr/>
          <w:p>
            <w:pPr>
              <w:pStyle w:val="Compact"/>
            </w:pPr>
            <w:r>
              <w:rPr>
                <w:i/>
                <w:iCs/>
              </w:rPr>
              <w:t xml:space="preserve">[TODO]</w:t>
            </w:r>
          </w:p>
        </w:tc>
        <w:tc>
          <w:tcPr/>
          <w:p>
            <w:pPr>
              <w:pStyle w:val="Compact"/>
            </w:pPr>
            <w:r>
              <w:rPr>
                <w:i/>
                <w:iCs/>
              </w:rPr>
              <w:t xml:space="preserve">[TODO]</w:t>
            </w:r>
          </w:p>
        </w:tc>
      </w:tr>
      <w:tr>
        <w:tc>
          <w:tcPr/>
          <w:p>
            <w:pPr>
              <w:pStyle w:val="Compact"/>
            </w:pPr>
            <w:r>
              <w:t xml:space="preserve">PCI-DSS level</w:t>
            </w:r>
          </w:p>
        </w:tc>
        <w:tc>
          <w:tcPr/>
          <w:p>
            <w:pPr>
              <w:pStyle w:val="Compact"/>
            </w:pPr>
            <w:r>
              <w:rPr>
                <w:b/>
                <w:bCs/>
              </w:rPr>
              <w:t xml:space="preserve">Level 1</w:t>
            </w:r>
          </w:p>
        </w:tc>
        <w:tc>
          <w:tcPr/>
          <w:p>
            <w:pPr>
              <w:pStyle w:val="Compact"/>
            </w:pPr>
            <w:r>
              <w:t xml:space="preserve">Level 1</w:t>
            </w:r>
          </w:p>
        </w:tc>
        <w:tc>
          <w:tcPr/>
          <w:p>
            <w:pPr>
              <w:pStyle w:val="Compact"/>
            </w:pPr>
            <w:r>
              <w:t xml:space="preserve">Level 1</w:t>
            </w:r>
          </w:p>
        </w:tc>
      </w:tr>
    </w:tbl>
    <w:p>
      <w:pPr>
        <w:pStyle w:val="BodyText"/>
      </w:pPr>
      <w:r>
        <w:t xml:space="preserve">Because projected volume</w:t>
      </w:r>
      <w:r>
        <w:t xml:space="preserve"> </w:t>
      </w:r>
      <w:r>
        <w:rPr>
          <w:b/>
          <w:bCs/>
        </w:rPr>
        <w:t xml:space="preserve">exceeds 6M transactions/year from Year 1</w:t>
      </w:r>
      <w:r>
        <w:t xml:space="preserve">, the company falls directly under</w:t>
      </w:r>
      <w:r>
        <w:t xml:space="preserve"> </w:t>
      </w:r>
      <w:r>
        <w:rPr>
          <w:b/>
          <w:bCs/>
        </w:rPr>
        <w:t xml:space="preserve">PCI-DSS Level 1</w:t>
      </w:r>
      <w:r>
        <w:t xml:space="preserve"> </w:t>
      </w:r>
      <w:r>
        <w:t xml:space="preserve">(QSA-issued RoC + quarterly ASV scan + annual penetration test).</w:t>
      </w:r>
    </w:p>
    <w:p>
      <w:pPr>
        <w:pStyle w:val="BodyText"/>
      </w:pPr>
      <w:r>
        <w:rPr>
          <w:b/>
          <w:bCs/>
        </w:rPr>
        <w:t xml:space="preserve">Service-quality targets (NFRs):</w:t>
      </w:r>
      <w:r>
        <w:t xml:space="preserve"> </w:t>
      </w:r>
      <w:r>
        <w:t xml:space="preserve">availability ≥ 99.95% (payment core), auth latency p99 &lt; 800 ms, RPO ≤ 5 min, RTO ≤ 30 min, data residency in Thailand per BOT/PDPA requirements.</w:t>
      </w:r>
    </w:p>
    <w:p>
      <w:r>
        <w:pict>
          <v:rect style="width:0;height:1.5pt" o:hralign="center" o:hrstd="t" o:hr="t"/>
        </w:pict>
      </w:r>
    </w:p>
    <w:bookmarkEnd w:id="22"/>
    <w:bookmarkStart w:id="23" w:name="partners-outsourcing"/>
    <w:p>
      <w:pPr>
        <w:pStyle w:val="Heading2"/>
      </w:pPr>
      <w:r>
        <w:t xml:space="preserve">4. Partners &amp; outsourcing</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Role</w:t>
            </w:r>
          </w:p>
        </w:tc>
        <w:tc>
          <w:tcPr/>
          <w:p>
            <w:pPr>
              <w:pStyle w:val="Compact"/>
            </w:pPr>
            <w:r>
              <w:t xml:space="preserve">Status</w:t>
            </w:r>
          </w:p>
        </w:tc>
        <w:tc>
          <w:tcPr/>
          <w:p>
            <w:pPr>
              <w:pStyle w:val="Compact"/>
            </w:pPr>
            <w:r>
              <w:t xml:space="preserve">Note</w:t>
            </w:r>
          </w:p>
        </w:tc>
      </w:tr>
      <w:tr>
        <w:tc>
          <w:tcPr/>
          <w:p>
            <w:pPr>
              <w:pStyle w:val="Compact"/>
            </w:pPr>
            <w:r>
              <w:t xml:space="preserve">Sponsor / acquiring bank</w:t>
            </w:r>
          </w:p>
        </w:tc>
        <w:tc>
          <w:tcPr/>
          <w:p>
            <w:pPr>
              <w:pStyle w:val="Compact"/>
            </w:pPr>
            <w:r>
              <w:rPr>
                <w:b/>
                <w:bCs/>
              </w:rPr>
              <w:t xml:space="preserve">[TODO — unresolved]</w:t>
            </w:r>
          </w:p>
        </w:tc>
        <w:tc>
          <w:tcPr/>
          <w:p>
            <w:pPr>
              <w:pStyle w:val="Compact"/>
            </w:pPr>
            <w:r>
              <w:t xml:space="preserve">Required for Path B; drives scheme certification timeline</w:t>
            </w:r>
          </w:p>
        </w:tc>
      </w:tr>
      <w:tr>
        <w:tc>
          <w:tcPr/>
          <w:p>
            <w:pPr>
              <w:pStyle w:val="Compact"/>
            </w:pPr>
            <w:r>
              <w:t xml:space="preserve">Card schemes (Visa, Mastercard)</w:t>
            </w:r>
          </w:p>
        </w:tc>
        <w:tc>
          <w:tcPr/>
          <w:p>
            <w:pPr>
              <w:pStyle w:val="Compact"/>
            </w:pPr>
            <w:r>
              <w:rPr>
                <w:b/>
                <w:bCs/>
              </w:rPr>
              <w:t xml:space="preserve">[TODO — in negotiation]</w:t>
            </w:r>
          </w:p>
        </w:tc>
        <w:tc>
          <w:tcPr/>
          <w:p>
            <w:pPr>
              <w:pStyle w:val="Compact"/>
            </w:pPr>
            <w:r>
              <w:t xml:space="preserve">Certification required before go-live</w:t>
            </w:r>
          </w:p>
        </w:tc>
      </w:tr>
      <w:tr>
        <w:tc>
          <w:tcPr/>
          <w:p>
            <w:pPr>
              <w:pStyle w:val="Compact"/>
            </w:pPr>
            <w:r>
              <w:t xml:space="preserve">3DS provider (ACS/DS) — EMV 3DS 2.x</w:t>
            </w:r>
          </w:p>
        </w:tc>
        <w:tc>
          <w:tcPr/>
          <w:p>
            <w:pPr>
              <w:pStyle w:val="Compact"/>
            </w:pPr>
            <w:r>
              <w:rPr>
                <w:b/>
                <w:bCs/>
              </w:rPr>
              <w:t xml:space="preserve">[TODO — vendor selection]</w:t>
            </w:r>
          </w:p>
        </w:tc>
        <w:tc>
          <w:tcPr/>
          <w:p>
            <w:pPr>
              <w:pStyle w:val="Compact"/>
            </w:pPr>
            <w:r>
              <w:t xml:space="preserve">Supports challenge / frictionless flows</w:t>
            </w:r>
          </w:p>
        </w:tc>
      </w:tr>
      <w:tr>
        <w:tc>
          <w:tcPr/>
          <w:p>
            <w:pPr>
              <w:pStyle w:val="Compact"/>
            </w:pPr>
            <w:r>
              <w:t xml:space="preserve">HSM/KMS provider</w:t>
            </w:r>
          </w:p>
        </w:tc>
        <w:tc>
          <w:tcPr/>
          <w:p>
            <w:pPr>
              <w:pStyle w:val="Compact"/>
            </w:pPr>
            <w:r>
              <w:rPr>
                <w:b/>
                <w:bCs/>
              </w:rPr>
              <w:t xml:space="preserve">[TODO — selection]</w:t>
            </w:r>
          </w:p>
        </w:tc>
        <w:tc>
          <w:tcPr/>
          <w:p>
            <w:pPr>
              <w:pStyle w:val="Compact"/>
            </w:pPr>
            <w:r>
              <w:t xml:space="preserve">Key management per PCI Req 3 (dual control, split knowledge)</w:t>
            </w:r>
          </w:p>
        </w:tc>
      </w:tr>
      <w:tr>
        <w:tc>
          <w:tcPr/>
          <w:p>
            <w:pPr>
              <w:pStyle w:val="Compact"/>
            </w:pPr>
            <w:r>
              <w:t xml:space="preserve">QSA (Qualified Security Assessor)</w:t>
            </w:r>
          </w:p>
        </w:tc>
        <w:tc>
          <w:tcPr/>
          <w:p>
            <w:pPr>
              <w:pStyle w:val="Compact"/>
            </w:pPr>
            <w:r>
              <w:rPr>
                <w:b/>
                <w:bCs/>
              </w:rPr>
              <w:t xml:space="preserve">[TODO — vendor selection]</w:t>
            </w:r>
          </w:p>
        </w:tc>
        <w:tc>
          <w:tcPr/>
          <w:p>
            <w:pPr>
              <w:pStyle w:val="Compact"/>
            </w:pPr>
            <w:r>
              <w:t xml:space="preserve">Annual RoC — critical path; book slot early</w:t>
            </w:r>
          </w:p>
        </w:tc>
      </w:tr>
      <w:tr>
        <w:tc>
          <w:tcPr/>
          <w:p>
            <w:pPr>
              <w:pStyle w:val="Compact"/>
            </w:pPr>
            <w:r>
              <w:t xml:space="preserve">ASV (Approved Scanning Vendor)</w:t>
            </w:r>
          </w:p>
        </w:tc>
        <w:tc>
          <w:tcPr/>
          <w:p>
            <w:pPr>
              <w:pStyle w:val="Compact"/>
            </w:pPr>
            <w:r>
              <w:rPr>
                <w:b/>
                <w:bCs/>
              </w:rPr>
              <w:t xml:space="preserve">[TODO — selection]</w:t>
            </w:r>
          </w:p>
        </w:tc>
        <w:tc>
          <w:tcPr/>
          <w:p>
            <w:pPr>
              <w:pStyle w:val="Compact"/>
            </w:pPr>
            <w:r>
              <w:t xml:space="preserve">Quarterly external scan</w:t>
            </w:r>
          </w:p>
        </w:tc>
      </w:tr>
      <w:tr>
        <w:tc>
          <w:tcPr/>
          <w:p>
            <w:pPr>
              <w:pStyle w:val="Compact"/>
            </w:pPr>
            <w:r>
              <w:t xml:space="preserve">BOT-licensing legal counsel</w:t>
            </w:r>
          </w:p>
        </w:tc>
        <w:tc>
          <w:tcPr/>
          <w:p>
            <w:pPr>
              <w:pStyle w:val="Compact"/>
            </w:pPr>
            <w:r>
              <w:rPr>
                <w:b/>
                <w:bCs/>
              </w:rPr>
              <w:t xml:space="preserve">[TODO — engagement]</w:t>
            </w:r>
          </w:p>
        </w:tc>
        <w:tc>
          <w:tcPr/>
          <w:p>
            <w:pPr>
              <w:pStyle w:val="Compact"/>
            </w:pPr>
            <w:r>
              <w:t xml:space="preserve">Review application before filing</w:t>
            </w:r>
          </w:p>
        </w:tc>
      </w:tr>
      <w:tr>
        <w:tc>
          <w:tcPr/>
          <w:p>
            <w:pPr>
              <w:pStyle w:val="Compact"/>
            </w:pPr>
            <w:r>
              <w:t xml:space="preserve">Local settlement rails (e.g. ITMX)</w:t>
            </w:r>
          </w:p>
        </w:tc>
        <w:tc>
          <w:tcPr/>
          <w:p>
            <w:pPr>
              <w:pStyle w:val="Compact"/>
            </w:pPr>
            <w:r>
              <w:t xml:space="preserve">Planned</w:t>
            </w:r>
          </w:p>
        </w:tc>
        <w:tc>
          <w:tcPr/>
          <w:p>
            <w:pPr>
              <w:pStyle w:val="Compact"/>
            </w:pPr>
            <w:r>
              <w:t xml:space="preserve">For local payments in a later phase</w:t>
            </w:r>
          </w:p>
        </w:tc>
      </w:tr>
    </w:tbl>
    <w:p>
      <w:pPr>
        <w:pStyle w:val="BlockText"/>
      </w:pPr>
      <w:r>
        <w:rPr>
          <w:b/>
          <w:bCs/>
        </w:rPr>
        <w:t xml:space="preserve">Important callout:</w:t>
      </w:r>
      <w:r>
        <w:t xml:space="preserve"> </w:t>
      </w:r>
      <w:r>
        <w:t xml:space="preserve">As of this draft, no agreements are signed with the</w:t>
      </w:r>
      <w:r>
        <w:t xml:space="preserve"> </w:t>
      </w:r>
      <w:r>
        <w:rPr>
          <w:b/>
          <w:bCs/>
        </w:rPr>
        <w:t xml:space="preserve">sponsor bank</w:t>
      </w:r>
      <w:r>
        <w:t xml:space="preserve">,</w:t>
      </w:r>
      <w:r>
        <w:t xml:space="preserve"> </w:t>
      </w:r>
      <w:r>
        <w:rPr>
          <w:b/>
          <w:bCs/>
        </w:rPr>
        <w:t xml:space="preserve">QSA</w:t>
      </w:r>
      <w:r>
        <w:t xml:space="preserve">, or</w:t>
      </w:r>
      <w:r>
        <w:t xml:space="preserve"> </w:t>
      </w:r>
      <w:r>
        <w:rPr>
          <w:b/>
          <w:bCs/>
        </w:rPr>
        <w:t xml:space="preserve">3DS vendor</w:t>
      </w:r>
      <w:r>
        <w:t xml:space="preserve">. All items marked [TODO] must be resolved (counterparty name + LOI/contract) before filing with the BOT. The company will not name unconfirmed counterparties in the actual application.</w:t>
      </w:r>
    </w:p>
    <w:p>
      <w:r>
        <w:pict>
          <v:rect style="width:0;height:1.5pt" o:hralign="center" o:hrstd="t" o:hr="t"/>
        </w:pict>
      </w:r>
    </w:p>
    <w:bookmarkEnd w:id="23"/>
    <w:bookmarkStart w:id="27" w:name="readiness"/>
    <w:p>
      <w:pPr>
        <w:pStyle w:val="Heading2"/>
      </w:pPr>
      <w:r>
        <w:t xml:space="preserve">5. Readiness</w:t>
      </w:r>
    </w:p>
    <w:bookmarkStart w:id="24" w:name="technical-readiness"/>
    <w:p>
      <w:pPr>
        <w:pStyle w:val="Heading3"/>
      </w:pPr>
      <w:r>
        <w:t xml:space="preserve">5.1 Technical readiness</w:t>
      </w:r>
    </w:p>
    <w:p>
      <w:pPr>
        <w:pStyle w:val="FirstParagraph"/>
      </w:pPr>
      <w:r>
        <w:t xml:space="preserve">The architecture follows Clean Architecture (Go/Fiber) and supports the license application, covering payment core (authorize/capture/void/refund + state machine), tokenization vault, acquirer/3DS adapters, ledger, webhooks, and reconciliation &amp; settlement (see</w:t>
      </w:r>
      <w:r>
        <w:t xml:space="preserve"> </w:t>
      </w:r>
      <w:r>
        <w:rPr>
          <w:rStyle w:val="VerbatimChar"/>
        </w:rPr>
        <w:t xml:space="preserve">ARCHITECTURE.md</w:t>
      </w:r>
      <w:r>
        <w:t xml:space="preserve">).</w:t>
      </w:r>
    </w:p>
    <w:bookmarkEnd w:id="24"/>
    <w:bookmarkStart w:id="25" w:name="compliance-readiness"/>
    <w:p>
      <w:pPr>
        <w:pStyle w:val="Heading3"/>
      </w:pPr>
      <w:r>
        <w:t xml:space="preserve">5.2 Compliance readiness</w:t>
      </w:r>
    </w:p>
    <w:tbl>
      <w:tblPr>
        <w:tblStyle w:val="Table"/>
        <w:tblW w:type="pct" w:w="5000"/>
        <w:tblLayout w:type="fixed"/>
        <w:tblLook w:firstRow="1" w:lastRow="0" w:firstColumn="0" w:lastColumn="0" w:noHBand="0" w:noVBand="0" w:val="0020"/>
      </w:tblPr>
      <w:tblGrid>
        <w:gridCol w:w="1320"/>
        <w:gridCol w:w="4840"/>
        <w:gridCol w:w="1760"/>
      </w:tblGrid>
      <w:tr>
        <w:trPr>
          <w:tblHeader w:val="on"/>
        </w:trPr>
        <w:tc>
          <w:tcPr/>
          <w:p>
            <w:pPr>
              <w:pStyle w:val="Compact"/>
            </w:pPr>
            <w:r>
              <w:t xml:space="preserve">Area</w:t>
            </w:r>
          </w:p>
        </w:tc>
        <w:tc>
          <w:tcPr/>
          <w:p>
            <w:pPr>
              <w:pStyle w:val="Compact"/>
            </w:pPr>
            <w:r>
              <w:t xml:space="preserve">Standard / authority</w:t>
            </w:r>
          </w:p>
        </w:tc>
        <w:tc>
          <w:tcPr/>
          <w:p>
            <w:pPr>
              <w:pStyle w:val="Compact"/>
            </w:pPr>
            <w:r>
              <w:t xml:space="preserve">Status</w:t>
            </w:r>
          </w:p>
        </w:tc>
      </w:tr>
      <w:tr>
        <w:tc>
          <w:tcPr/>
          <w:p>
            <w:pPr>
              <w:pStyle w:val="Compact"/>
            </w:pPr>
            <w:r>
              <w:t xml:space="preserve">IT risk / cyber-resilience policy</w:t>
            </w:r>
          </w:p>
        </w:tc>
        <w:tc>
          <w:tcPr/>
          <w:p>
            <w:pPr>
              <w:pStyle w:val="Compact"/>
            </w:pPr>
            <w:r>
              <w:t xml:space="preserve">BOT notifications</w:t>
            </w:r>
          </w:p>
        </w:tc>
        <w:tc>
          <w:tcPr/>
          <w:p>
            <w:pPr>
              <w:pStyle w:val="Compact"/>
            </w:pPr>
            <w:r>
              <w:t xml:space="preserve">Policy drafted (under review)</w:t>
            </w:r>
          </w:p>
        </w:tc>
      </w:tr>
      <w:tr>
        <w:tc>
          <w:tcPr/>
          <w:p>
            <w:pPr>
              <w:pStyle w:val="Compact"/>
            </w:pPr>
            <w:r>
              <w:t xml:space="preserve">AML/KYC/CDD + sanction screening</w:t>
            </w:r>
          </w:p>
        </w:tc>
        <w:tc>
          <w:tcPr/>
          <w:p>
            <w:pPr>
              <w:pStyle w:val="Compact"/>
            </w:pPr>
            <w:r>
              <w:rPr>
                <w:b/>
                <w:bCs/>
              </w:rPr>
              <w:t xml:space="preserve">AMLO (ปปง.)</w:t>
            </w:r>
          </w:p>
        </w:tc>
        <w:tc>
          <w:tcPr/>
          <w:p>
            <w:pPr>
              <w:pStyle w:val="Compact"/>
            </w:pPr>
            <w:r>
              <w:t xml:space="preserve">Policy + screening (being configured)</w:t>
            </w:r>
          </w:p>
        </w:tc>
      </w:tr>
      <w:tr>
        <w:tc>
          <w:tcPr/>
          <w:p>
            <w:pPr>
              <w:pStyle w:val="Compact"/>
            </w:pPr>
            <w:r>
              <w:t xml:space="preserve">Personal data protection</w:t>
            </w:r>
          </w:p>
        </w:tc>
        <w:tc>
          <w:tcPr/>
          <w:p>
            <w:pPr>
              <w:pStyle w:val="Compact"/>
            </w:pPr>
            <w:r>
              <w:rPr>
                <w:b/>
                <w:bCs/>
              </w:rPr>
              <w:t xml:space="preserve">PDPA / PDPC</w:t>
            </w:r>
          </w:p>
        </w:tc>
        <w:tc>
          <w:tcPr/>
          <w:p>
            <w:pPr>
              <w:pStyle w:val="Compact"/>
            </w:pPr>
            <w:r>
              <w:t xml:space="preserve">Policy + DPO</w:t>
            </w:r>
            <w:r>
              <w:t xml:space="preserve"> </w:t>
            </w:r>
            <w:r>
              <w:rPr>
                <w:i/>
                <w:iCs/>
              </w:rPr>
              <w:t xml:space="preserve">(TODO appoint)</w:t>
            </w:r>
          </w:p>
        </w:tc>
      </w:tr>
      <w:tr>
        <w:tc>
          <w:tcPr/>
          <w:p>
            <w:pPr>
              <w:pStyle w:val="Compact"/>
            </w:pPr>
            <w:r>
              <w:t xml:space="preserve">PCI-DSS v4.0 (Level 1)</w:t>
            </w:r>
          </w:p>
        </w:tc>
        <w:tc>
          <w:tcPr/>
          <w:p>
            <w:pPr>
              <w:pStyle w:val="Compact"/>
            </w:pPr>
            <w:r>
              <w:t xml:space="preserve">QSA/ASV</w:t>
            </w:r>
          </w:p>
        </w:tc>
        <w:tc>
          <w:tcPr/>
          <w:p>
            <w:pPr>
              <w:pStyle w:val="Compact"/>
            </w:pPr>
            <w:r>
              <w:t xml:space="preserve">Scope + segmentation in preparation</w:t>
            </w:r>
          </w:p>
        </w:tc>
      </w:tr>
      <w:tr>
        <w:tc>
          <w:tcPr/>
          <w:p>
            <w:pPr>
              <w:pStyle w:val="Compact"/>
            </w:pPr>
            <w:r>
              <w:t xml:space="preserve">BCP/DR</w:t>
            </w:r>
          </w:p>
        </w:tc>
        <w:tc>
          <w:tcPr/>
          <w:p>
            <w:pPr>
              <w:pStyle w:val="Compact"/>
            </w:pPr>
            <w:r>
              <w:t xml:space="preserve">BOT notifications</w:t>
            </w:r>
          </w:p>
        </w:tc>
        <w:tc>
          <w:tcPr/>
          <w:p>
            <w:pPr>
              <w:pStyle w:val="Compact"/>
            </w:pPr>
            <w:r>
              <w:t xml:space="preserve">Plan in place; DR drill pending</w:t>
            </w:r>
          </w:p>
        </w:tc>
      </w:tr>
      <w:tr>
        <w:tc>
          <w:tcPr/>
          <w:p>
            <w:pPr>
              <w:pStyle w:val="Compact"/>
            </w:pPr>
            <w:r>
              <w:t xml:space="preserve">Audit trail</w:t>
            </w:r>
          </w:p>
        </w:tc>
        <w:tc>
          <w:tcPr/>
          <w:p>
            <w:pPr>
              <w:pStyle w:val="Compact"/>
            </w:pPr>
            <w:r>
              <w:t xml:space="preserve">BOT / PCI Req 10</w:t>
            </w:r>
          </w:p>
        </w:tc>
        <w:tc>
          <w:tcPr/>
          <w:p>
            <w:pPr>
              <w:pStyle w:val="Compact"/>
            </w:pPr>
            <w:r>
              <w:t xml:space="preserve">Append-only</w:t>
            </w:r>
            <w:r>
              <w:t xml:space="preserve"> </w:t>
            </w:r>
            <w:r>
              <w:rPr>
                <w:rStyle w:val="VerbatimChar"/>
              </w:rPr>
              <w:t xml:space="preserve">audit_log</w:t>
            </w:r>
            <w:r>
              <w:t xml:space="preserve"> </w:t>
            </w:r>
            <w:r>
              <w:t xml:space="preserve">ready</w:t>
            </w:r>
          </w:p>
        </w:tc>
      </w:tr>
    </w:tbl>
    <w:bookmarkEnd w:id="25"/>
    <w:bookmarkStart w:id="26" w:name="timeline-parallel-engineering-compliance"/>
    <w:p>
      <w:pPr>
        <w:pStyle w:val="Heading3"/>
      </w:pPr>
      <w:r>
        <w:t xml:space="preserve">5.3 Timeline (parallel engineering + compliance)</w:t>
      </w:r>
    </w:p>
    <w:tbl>
      <w:tblPr>
        <w:tblStyle w:val="Table"/>
        <w:tblW w:type="pct" w:w="5000"/>
        <w:tblLayout w:type="fixed"/>
        <w:tblLook w:firstRow="1" w:lastRow="0" w:firstColumn="0" w:lastColumn="0" w:noHBand="0" w:noVBand="0" w:val="0020"/>
      </w:tblPr>
      <w:tblGrid>
        <w:gridCol w:w="1980"/>
        <w:gridCol w:w="2262"/>
        <w:gridCol w:w="3677"/>
      </w:tblGrid>
      <w:tr>
        <w:trPr>
          <w:tblHeader w:val="on"/>
        </w:trPr>
        <w:tc>
          <w:tcPr/>
          <w:p>
            <w:pPr>
              <w:pStyle w:val="Compact"/>
            </w:pPr>
            <w:r>
              <w:t xml:space="preserve">Stage</w:t>
            </w:r>
          </w:p>
        </w:tc>
        <w:tc>
          <w:tcPr/>
          <w:p>
            <w:pPr>
              <w:pStyle w:val="Compact"/>
            </w:pPr>
            <w:r>
              <w:t xml:space="preserve">Window</w:t>
            </w:r>
          </w:p>
        </w:tc>
        <w:tc>
          <w:tcPr/>
          <w:p>
            <w:pPr>
              <w:pStyle w:val="Compact"/>
            </w:pPr>
            <w:r>
              <w:t xml:space="preserve">Deliverable</w:t>
            </w:r>
          </w:p>
        </w:tc>
      </w:tr>
      <w:tr>
        <w:tc>
          <w:tcPr/>
          <w:p>
            <w:pPr>
              <w:pStyle w:val="Compact"/>
            </w:pPr>
            <w:r>
              <w:t xml:space="preserve">Entity/capital prep</w:t>
            </w:r>
          </w:p>
        </w:tc>
        <w:tc>
          <w:tcPr/>
          <w:p>
            <w:pPr>
              <w:pStyle w:val="Compact"/>
            </w:pPr>
            <w:r>
              <w:t xml:space="preserve">Aug–Sep 2026</w:t>
            </w:r>
          </w:p>
        </w:tc>
        <w:tc>
          <w:tcPr/>
          <w:p>
            <w:pPr>
              <w:pStyle w:val="Compact"/>
            </w:pPr>
            <w:r>
              <w:t xml:space="preserve">THB 50M paid up, objectives amended, board structure</w:t>
            </w:r>
          </w:p>
        </w:tc>
      </w:tr>
      <w:tr>
        <w:tc>
          <w:tcPr/>
          <w:p>
            <w:pPr>
              <w:pStyle w:val="Compact"/>
            </w:pPr>
            <w:r>
              <w:t xml:space="preserve">Documentation + BOT filing</w:t>
            </w:r>
          </w:p>
        </w:tc>
        <w:tc>
          <w:tcPr/>
          <w:p>
            <w:pPr>
              <w:pStyle w:val="Compact"/>
            </w:pPr>
            <w:r>
              <w:t xml:space="preserve">Sep 2026 – Jan 2027</w:t>
            </w:r>
          </w:p>
        </w:tc>
        <w:tc>
          <w:tcPr/>
          <w:p>
            <w:pPr>
              <w:pStyle w:val="Compact"/>
            </w:pPr>
            <w:r>
              <w:t xml:space="preserve">Complete application package</w:t>
            </w:r>
          </w:p>
        </w:tc>
      </w:tr>
      <w:tr>
        <w:tc>
          <w:tcPr/>
          <w:p>
            <w:pPr>
              <w:pStyle w:val="Compact"/>
            </w:pPr>
            <w:r>
              <w:t xml:space="preserve">PCI-DSS L1 (QSA→RoC)</w:t>
            </w:r>
          </w:p>
        </w:tc>
        <w:tc>
          <w:tcPr/>
          <w:p>
            <w:pPr>
              <w:pStyle w:val="Compact"/>
            </w:pPr>
            <w:r>
              <w:t xml:space="preserve">Oct 2026 – Feb 2027</w:t>
            </w:r>
          </w:p>
        </w:tc>
        <w:tc>
          <w:tcPr/>
          <w:p>
            <w:pPr>
              <w:pStyle w:val="Compact"/>
            </w:pPr>
            <w:r>
              <w:t xml:space="preserve">RoC + quarterly ASV scan</w:t>
            </w:r>
          </w:p>
        </w:tc>
      </w:tr>
      <w:tr>
        <w:tc>
          <w:tcPr/>
          <w:p>
            <w:pPr>
              <w:pStyle w:val="Compact"/>
            </w:pPr>
            <w:r>
              <w:t xml:space="preserve">Scheme certification</w:t>
            </w:r>
          </w:p>
        </w:tc>
        <w:tc>
          <w:tcPr/>
          <w:p>
            <w:pPr>
              <w:pStyle w:val="Compact"/>
            </w:pPr>
            <w:r>
              <w:t xml:space="preserve">After sponsor bank</w:t>
            </w:r>
          </w:p>
        </w:tc>
        <w:tc>
          <w:tcPr/>
          <w:p>
            <w:pPr>
              <w:pStyle w:val="Compact"/>
            </w:pPr>
            <w:r>
              <w:t xml:space="preserve">Visa/MC certification</w:t>
            </w:r>
          </w:p>
        </w:tc>
      </w:tr>
      <w:tr>
        <w:tc>
          <w:tcPr/>
          <w:p>
            <w:pPr>
              <w:pStyle w:val="Compact"/>
            </w:pPr>
            <w:r>
              <w:t xml:space="preserve">Go-live</w:t>
            </w:r>
          </w:p>
        </w:tc>
        <w:tc>
          <w:tcPr/>
          <w:p>
            <w:pPr>
              <w:pStyle w:val="Compact"/>
            </w:pPr>
            <w:r>
              <w:t xml:space="preserve">After license + RoC + cert</w:t>
            </w:r>
          </w:p>
        </w:tc>
        <w:tc>
          <w:tcPr/>
          <w:p>
            <w:pPr>
              <w:pStyle w:val="Compact"/>
            </w:pPr>
            <w:r>
              <w:t xml:space="preserve">Production cutover</w:t>
            </w:r>
          </w:p>
        </w:tc>
      </w:tr>
    </w:tbl>
    <w:p>
      <w:pPr>
        <w:pStyle w:val="BlockText"/>
      </w:pPr>
      <w:r>
        <w:t xml:space="preserve">BOT review typically takes</w:t>
      </w:r>
      <w:r>
        <w:t xml:space="preserve"> </w:t>
      </w:r>
      <w:r>
        <w:rPr>
          <w:b/>
          <w:bCs/>
        </w:rPr>
        <w:t xml:space="preserve">several months</w:t>
      </w:r>
      <w:r>
        <w:t xml:space="preserve">, depending on completeness of documents and system readiness (on-site inspection possible).</w:t>
      </w:r>
    </w:p>
    <w:p>
      <w:r>
        <w:pict>
          <v:rect style="width:0;height:1.5pt" o:hralign="center" o:hrstd="t" o:hr="t"/>
        </w:pict>
      </w:r>
    </w:p>
    <w:bookmarkEnd w:id="26"/>
    <w:bookmarkEnd w:id="27"/>
    <w:bookmarkStart w:id="28" w:name="capital-eligibility"/>
    <w:p>
      <w:pPr>
        <w:pStyle w:val="Heading2"/>
      </w:pPr>
      <w:r>
        <w:t xml:space="preserve">6. Capital &amp; eligibility</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Company status</w:t>
            </w:r>
          </w:p>
        </w:tc>
      </w:tr>
      <w:tr>
        <w:tc>
          <w:tcPr/>
          <w:p>
            <w:pPr>
              <w:pStyle w:val="Compact"/>
            </w:pPr>
            <w:r>
              <w:t xml:space="preserve">Legal entity</w:t>
            </w:r>
          </w:p>
        </w:tc>
        <w:tc>
          <w:tcPr/>
          <w:p>
            <w:pPr>
              <w:pStyle w:val="Compact"/>
            </w:pPr>
            <w:r>
              <w:t xml:space="preserve">Limited/public company registered in Thailand</w:t>
            </w:r>
          </w:p>
        </w:tc>
        <w:tc>
          <w:tcPr/>
          <w:p>
            <w:pPr>
              <w:pStyle w:val="Compact"/>
            </w:pPr>
            <w:r>
              <w:t xml:space="preserve">✔</w:t>
            </w:r>
            <w:r>
              <w:t xml:space="preserve"> </w:t>
            </w:r>
            <w:r>
              <w:rPr>
                <w:i/>
                <w:iCs/>
              </w:rPr>
              <w:t xml:space="preserve">(verify objectives)</w:t>
            </w:r>
          </w:p>
        </w:tc>
      </w:tr>
      <w:tr>
        <w:tc>
          <w:tcPr/>
          <w:p>
            <w:pPr>
              <w:pStyle w:val="Compact"/>
            </w:pPr>
            <w:r>
              <w:t xml:space="preserve">Paid-up registered capital</w:t>
            </w:r>
          </w:p>
        </w:tc>
        <w:tc>
          <w:tcPr/>
          <w:p>
            <w:pPr>
              <w:pStyle w:val="Compact"/>
            </w:pPr>
            <w:r>
              <w:t xml:space="preserve">≥</w:t>
            </w:r>
            <w:r>
              <w:t xml:space="preserve"> </w:t>
            </w:r>
            <w:r>
              <w:rPr>
                <w:b/>
                <w:bCs/>
              </w:rPr>
              <w:t xml:space="preserve">THB 50M</w:t>
            </w:r>
            <w:r>
              <w:t xml:space="preserve"> </w:t>
            </w:r>
            <w:r>
              <w:t xml:space="preserve">(Acquiring)</w:t>
            </w:r>
          </w:p>
        </w:tc>
        <w:tc>
          <w:tcPr/>
          <w:p>
            <w:pPr>
              <w:pStyle w:val="Compact"/>
            </w:pPr>
            <w:r>
              <w:rPr>
                <w:b/>
                <w:bCs/>
              </w:rPr>
              <w:t xml:space="preserve">THB 50M</w:t>
            </w:r>
          </w:p>
        </w:tc>
      </w:tr>
      <w:tr>
        <w:tc>
          <w:tcPr/>
          <w:p>
            <w:pPr>
              <w:pStyle w:val="Compact"/>
            </w:pPr>
            <w:r>
              <w:t xml:space="preserve">Capital maintenance</w:t>
            </w:r>
          </w:p>
        </w:tc>
        <w:tc>
          <w:tcPr/>
          <w:p>
            <w:pPr>
              <w:pStyle w:val="Compact"/>
            </w:pPr>
            <w:r>
              <w:t xml:space="preserve">Maintain</w:t>
            </w:r>
            <w:r>
              <w:t xml:space="preserve"> </w:t>
            </w:r>
            <w:r>
              <w:rPr>
                <w:b/>
                <w:bCs/>
              </w:rPr>
              <w:t xml:space="preserve">≥ 75%</w:t>
            </w:r>
            <w:r>
              <w:t xml:space="preserve"> </w:t>
            </w:r>
            <w:r>
              <w:t xml:space="preserve">at all times</w:t>
            </w:r>
          </w:p>
        </w:tc>
        <w:tc>
          <w:tcPr/>
          <w:p>
            <w:pPr>
              <w:pStyle w:val="Compact"/>
            </w:pPr>
            <w:r>
              <w:t xml:space="preserve">Maintain ≥ THB 37.5M</w:t>
            </w:r>
          </w:p>
        </w:tc>
      </w:tr>
      <w:tr>
        <w:tc>
          <w:tcPr/>
          <w:p>
            <w:pPr>
              <w:pStyle w:val="Compact"/>
            </w:pPr>
            <w:r>
              <w:t xml:space="preserve">Thai-national director</w:t>
            </w:r>
          </w:p>
        </w:tc>
        <w:tc>
          <w:tcPr/>
          <w:p>
            <w:pPr>
              <w:pStyle w:val="Compact"/>
            </w:pPr>
            <w:r>
              <w:t xml:space="preserve">≥ 1, resident in Thailand</w:t>
            </w:r>
          </w:p>
        </w:tc>
        <w:tc>
          <w:tcPr/>
          <w:p>
            <w:pPr>
              <w:pStyle w:val="Compact"/>
            </w:pPr>
            <w:r>
              <w:t xml:space="preserve">✔</w:t>
            </w:r>
            <w:r>
              <w:t xml:space="preserve"> </w:t>
            </w:r>
            <w:r>
              <w:rPr>
                <w:i/>
                <w:iCs/>
              </w:rPr>
              <w:t xml:space="preserve">(confirm)</w:t>
            </w:r>
          </w:p>
        </w:tc>
      </w:tr>
      <w:tr>
        <w:tc>
          <w:tcPr/>
          <w:p>
            <w:pPr>
              <w:pStyle w:val="Compact"/>
            </w:pPr>
            <w:r>
              <w:t xml:space="preserve">Fit &amp; proper directors/execs</w:t>
            </w:r>
          </w:p>
        </w:tc>
        <w:tc>
          <w:tcPr/>
          <w:p>
            <w:pPr>
              <w:pStyle w:val="Compact"/>
            </w:pPr>
            <w:r>
              <w:t xml:space="preserve">No prohibited characteristics</w:t>
            </w:r>
          </w:p>
        </w:tc>
        <w:tc>
          <w:tcPr/>
          <w:p>
            <w:pPr>
              <w:pStyle w:val="Compact"/>
            </w:pPr>
            <w:r>
              <w:t xml:space="preserve">Documents in prep</w:t>
            </w:r>
          </w:p>
        </w:tc>
      </w:tr>
      <w:tr>
        <w:tc>
          <w:tcPr/>
          <w:p>
            <w:pPr>
              <w:pStyle w:val="Compact"/>
            </w:pPr>
            <w:r>
              <w:t xml:space="preserve">Foreign Business License</w:t>
            </w:r>
          </w:p>
        </w:tc>
        <w:tc>
          <w:tcPr/>
          <w:p>
            <w:pPr>
              <w:pStyle w:val="Compact"/>
            </w:pPr>
            <w:r>
              <w:t xml:space="preserve">If majority foreign-owned</w:t>
            </w:r>
          </w:p>
        </w:tc>
        <w:tc>
          <w:tcPr/>
          <w:p>
            <w:pPr>
              <w:pStyle w:val="Compact"/>
            </w:pPr>
            <w:r>
              <w:rPr>
                <w:i/>
                <w:iCs/>
              </w:rPr>
              <w:t xml:space="preserve">[TODO check ownership]</w:t>
            </w:r>
          </w:p>
        </w:tc>
      </w:tr>
    </w:tbl>
    <w:p>
      <w:pPr>
        <w:pStyle w:val="BlockText"/>
      </w:pPr>
      <w:r>
        <w:rPr>
          <w:b/>
          <w:bCs/>
        </w:rPr>
        <w:t xml:space="preserve">[ASSUMPTION / TODO]</w:t>
      </w:r>
      <w:r>
        <w:t xml:space="preserve"> </w:t>
      </w:r>
      <w:r>
        <w:t xml:space="preserve">THB 50M paid-up capital reflects the minimum threshold for the Acquiring service — must be confirmed with evidence of actual payment (bank confirmation) and financial statements before filing. If multiple services are requested together, the</w:t>
      </w:r>
      <w:r>
        <w:t xml:space="preserve"> </w:t>
      </w:r>
      <w:r>
        <w:rPr>
          <w:b/>
          <w:bCs/>
        </w:rPr>
        <w:t xml:space="preserve">highest</w:t>
      </w:r>
      <w:r>
        <w:t xml:space="preserve"> </w:t>
      </w:r>
      <w:r>
        <w:t xml:space="preserve">applicable threshold governs.</w:t>
      </w:r>
    </w:p>
    <w:p>
      <w:r>
        <w:pict>
          <v:rect style="width:0;height:1.5pt" o:hralign="center" o:hrstd="t" o:hr="t"/>
        </w:pict>
      </w:r>
    </w:p>
    <w:bookmarkEnd w:id="28"/>
    <w:bookmarkStart w:id="29" w:name="conclusion-next-steps"/>
    <w:p>
      <w:pPr>
        <w:pStyle w:val="Heading2"/>
      </w:pPr>
      <w:r>
        <w:t xml:space="preserve">7. Conclusion &amp; next steps</w:t>
      </w:r>
    </w:p>
    <w:p>
      <w:pPr>
        <w:pStyle w:val="FirstParagraph"/>
      </w:pPr>
      <w:r>
        <w:t xml:space="preserve">[บริษัท / Company] has an architecture and compliance framework ready to support a Full Acquiring license application. The critical-path risks, in order, are (1) securing a</w:t>
      </w:r>
      <w:r>
        <w:t xml:space="preserve"> </w:t>
      </w:r>
      <w:r>
        <w:rPr>
          <w:b/>
          <w:bCs/>
        </w:rPr>
        <w:t xml:space="preserve">sponsor bank</w:t>
      </w:r>
      <w:r>
        <w:t xml:space="preserve"> </w:t>
      </w:r>
      <w:r>
        <w:t xml:space="preserve">and scheme certification, (2)</w:t>
      </w:r>
      <w:r>
        <w:t xml:space="preserve"> </w:t>
      </w:r>
      <w:r>
        <w:rPr>
          <w:b/>
          <w:bCs/>
        </w:rPr>
        <w:t xml:space="preserve">PCI-DSS L1 (QSA)</w:t>
      </w:r>
      <w:r>
        <w:t xml:space="preserve">, and (3) completeness of the BOT application.</w:t>
      </w:r>
      <w:r>
        <w:t xml:space="preserve"> </w:t>
      </w:r>
      <w:r>
        <w:rPr>
          <w:b/>
          <w:bCs/>
        </w:rPr>
        <w:t xml:space="preserve">Next steps:</w:t>
      </w:r>
      <w:r>
        <w:t xml:space="preserve"> </w:t>
      </w:r>
      <w:r>
        <w:t xml:space="preserve">engage legal counsel, book the QSA, confirm the sponsor bank, and close all [TODO] items before filing.</w:t>
      </w:r>
    </w:p>
    <w:p>
      <w:r>
        <w:br w:type="page"/>
      </w:r>
    </w:p>
    <w:bookmarkEnd w:id="29"/>
    <w:bookmarkEnd w:id="30"/>
    <w:bookmarkStart w:id="53" w:name="แผนธรกจ-5-ป-ไทย"/>
    <w:p>
      <w:pPr>
        <w:pStyle w:val="Heading1"/>
      </w:pPr>
      <w:r>
        <w:t xml:space="preserve">แผนธุรกิจ 5 ปี (ไทย)</w:t>
      </w:r>
    </w:p>
    <w:p>
      <w:pPr>
        <w:pStyle w:val="BlockText"/>
      </w:pPr>
      <w:r>
        <w:t xml:space="preserve">เอกสารประกอบคำขอรับใบอนุญาตประกอบธุรกิจ</w:t>
      </w:r>
      <w:r>
        <w:t xml:space="preserve"> </w:t>
      </w:r>
      <w:r>
        <w:rPr>
          <w:b/>
          <w:bCs/>
        </w:rPr>
        <w:t xml:space="preserve">การให้บริการรับชำระเงินด้วยวิธีการทางอิเล็กทรอนิกส์ (Acquiring)</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ผู้ขอ:</w:t>
      </w:r>
      <w:r>
        <w:t xml:space="preserve"> </w:t>
      </w:r>
      <w:r>
        <w:rPr>
          <w:b/>
          <w:bCs/>
        </w:rPr>
        <w:t xml:space="preserve">[บริษัท / Company]</w:t>
      </w:r>
      <w:r>
        <w:t xml:space="preserve"> </w:t>
      </w:r>
      <w:r>
        <w:t xml:space="preserve">· ทุนจดทะเบียนชำระแล้ว:</w:t>
      </w:r>
      <w:r>
        <w:t xml:space="preserve"> </w:t>
      </w:r>
      <w:r>
        <w:rPr>
          <w:b/>
          <w:bCs/>
        </w:rPr>
        <w:t xml:space="preserve">50 ล้านบาท</w:t>
      </w:r>
      <w:r>
        <w:t xml:space="preserve"> </w:t>
      </w:r>
      <w:r>
        <w:t xml:space="preserve">· มาตรฐานเป้าหมาย:</w:t>
      </w:r>
      <w:r>
        <w:t xml:space="preserve"> </w:t>
      </w:r>
      <w:r>
        <w:rPr>
          <w:b/>
          <w:bCs/>
        </w:rPr>
        <w:t xml:space="preserve">PCI-DSS v4.0 Level 1</w:t>
      </w:r>
    </w:p>
    <w:p>
      <w:pPr>
        <w:pStyle w:val="BlockText"/>
      </w:pPr>
      <w:r>
        <w:t xml:space="preserve">เอกสารนี้เป็นส่วนที่ 01 ของชุดคำขอ (ดู</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 </w:t>
      </w:r>
      <w:r>
        <w:t xml:space="preserve">ประกอบ)</w:t>
      </w:r>
      <w:r>
        <w:t xml:space="preserve"> </w:t>
      </w:r>
      <w:r>
        <w:rPr>
          <w:b/>
          <w:bCs/>
        </w:rPr>
        <w:t xml:space="preserve">ข้อมูลนี้เป็นเอกสารเชิงธุรกิจ/เทคนิค ไม่ใช่คำแนะนำทางกฎหมาย</w:t>
      </w:r>
      <w:r>
        <w:t xml:space="preserve"> </w:t>
      </w:r>
      <w:r>
        <w:t xml:space="preserve">— ต้องผ่านการตรวจของที่ปรึกษากฎหมายด้านใบอนุญาต ธปท. ก่อนยื่นจริง</w:t>
      </w:r>
    </w:p>
    <w:p>
      <w:r>
        <w:pict>
          <v:rect style="width:0;height:1.5pt" o:hralign="center" o:hrstd="t" o:hr="t"/>
        </w:pict>
      </w:r>
    </w:p>
    <w:bookmarkStart w:id="31" w:name="บทสรปผบรหาร-executive-summary"/>
    <w:p>
      <w:pPr>
        <w:pStyle w:val="Heading2"/>
      </w:pPr>
      <w:r>
        <w:t xml:space="preserve">0. บทสรุปผู้บริหาร (Executive Summary)</w:t>
      </w:r>
    </w:p>
    <w:p>
      <w:pPr>
        <w:pStyle w:val="FirstParagraph"/>
      </w:pPr>
      <w:r>
        <w:rPr>
          <w:b/>
          <w:bCs/>
        </w:rPr>
        <w:t xml:space="preserve">[บริษัท / Company]</w:t>
      </w:r>
      <w:r>
        <w:t xml:space="preserve"> </w:t>
      </w:r>
      <w:r>
        <w:t xml:space="preserve">ขอรับใบอนุญาต Full Acquiring เพื่อให้บริการรับชำระเงินด้วยบัตร (Visa / Mastercard / JCB / UnionPay), Thai QR / PromptPay, และช่องทางชำระเงินท้องถิ่นแก่ผู้ประกอบการในประเทศไทย โดยเป็นผู้รับชำระเงิน (acquirer) โดยตรงผ่านสัญญากับธนาคารผู้สนับสนุน (sponsor bank) และการรับรอง (certification) กับเครือข่ายบัตร</w:t>
      </w:r>
    </w:p>
    <w:p>
      <w:pPr>
        <w:pStyle w:val="BodyText"/>
      </w:pPr>
      <w:r>
        <w:t xml:space="preserve">จุดยืนหลัก:</w:t>
      </w:r>
      <w:r>
        <w:t xml:space="preserve"> </w:t>
      </w:r>
      <w:r>
        <w:rPr>
          <w:b/>
          <w:bCs/>
        </w:rPr>
        <w:t xml:space="preserve">แพลตฟอร์ม acquiring ที่สร้างบนสถาปัตยกรรมสมัยใหม่ (Go/Fiber, double-entry ledger, tokenization vault) ปฏิบัติตาม PCI-DSS v4.0 Level 1 และเกณฑ์ ธปท. ตั้งแต่ออกแบบ (compliance-by-design)</w:t>
      </w:r>
      <w:r>
        <w:t xml:space="preserve"> </w:t>
      </w:r>
      <w:r>
        <w:t xml:space="preserve">เน้นความโปร่งใสด้านราคา คุณภาพการกระทบยอด (reconciliation) และเวลาการชำระเงินให้ร้านค้า (settlement) ที่คาดการณ์ได้</w:t>
      </w:r>
    </w:p>
    <w:p>
      <w:pPr>
        <w:pStyle w:val="BodyText"/>
      </w:pPr>
      <w:r>
        <w:t xml:space="preserve">เป้าหมายการเงิน 5 ปี (สรุป):</w:t>
      </w:r>
    </w:p>
    <w:tbl>
      <w:tblPr>
        <w:tblStyle w:val="Table"/>
        <w:tblW w:type="pct" w:w="5000"/>
        <w:tblLayout w:type="fixed"/>
        <w:tblLook w:firstRow="1" w:lastRow="0" w:firstColumn="0" w:lastColumn="0" w:noHBand="0" w:noVBand="0" w:val="0020"/>
      </w:tblPr>
      <w:tblGrid>
        <w:gridCol w:w="386"/>
        <w:gridCol w:w="2124"/>
        <w:gridCol w:w="2607"/>
        <w:gridCol w:w="2028"/>
        <w:gridCol w:w="772"/>
      </w:tblGrid>
      <w:tr>
        <w:trPr>
          <w:tblHeader w:val="on"/>
        </w:trPr>
        <w:tc>
          <w:tcPr/>
          <w:p>
            <w:pPr>
              <w:pStyle w:val="Compact"/>
            </w:pPr>
            <w:r>
              <w:t xml:space="preserve">ปี</w:t>
            </w:r>
          </w:p>
        </w:tc>
        <w:tc>
          <w:tcPr/>
          <w:p>
            <w:pPr>
              <w:pStyle w:val="Compact"/>
            </w:pPr>
            <w:r>
              <w:t xml:space="preserve">ปริมาณเงินชำระ (TPV)</w:t>
            </w:r>
          </w:p>
        </w:tc>
        <w:tc>
          <w:tcPr/>
          <w:p>
            <w:pPr>
              <w:pStyle w:val="Compact"/>
            </w:pPr>
            <w:r>
              <w:t xml:space="preserve">รายได้สุทธิ (Net Revenue)</w:t>
            </w:r>
          </w:p>
        </w:tc>
        <w:tc>
          <w:tcPr/>
          <w:p>
            <w:pPr>
              <w:pStyle w:val="Compact"/>
            </w:pPr>
            <w:r>
              <w:t xml:space="preserve">จำนวนร้านค้า active</w:t>
            </w:r>
          </w:p>
        </w:tc>
        <w:tc>
          <w:tcPr/>
          <w:p>
            <w:pPr>
              <w:pStyle w:val="Compact"/>
            </w:pPr>
            <w:r>
              <w:t xml:space="preserve">EBITDA</w:t>
            </w:r>
          </w:p>
        </w:tc>
      </w:tr>
      <w:tr>
        <w:tc>
          <w:tcPr/>
          <w:p>
            <w:pPr>
              <w:pStyle w:val="Compact"/>
            </w:pPr>
            <w:r>
              <w:t xml:space="preserve">ปีที่ 1 (2027)</w:t>
            </w:r>
          </w:p>
        </w:tc>
        <w:tc>
          <w:tcPr/>
          <w:p>
            <w:pPr>
              <w:pStyle w:val="Compact"/>
            </w:pPr>
            <w:r>
              <w:t xml:space="preserve">1,500 ล้านบาท</w:t>
            </w:r>
          </w:p>
        </w:tc>
        <w:tc>
          <w:tcPr/>
          <w:p>
            <w:pPr>
              <w:pStyle w:val="Compact"/>
            </w:pPr>
            <w:r>
              <w:t xml:space="preserve">18 ล้านบาท</w:t>
            </w:r>
          </w:p>
        </w:tc>
        <w:tc>
          <w:tcPr/>
          <w:p>
            <w:pPr>
              <w:pStyle w:val="Compact"/>
            </w:pPr>
            <w:r>
              <w:t xml:space="preserve">400</w:t>
            </w:r>
          </w:p>
        </w:tc>
        <w:tc>
          <w:tcPr/>
          <w:p>
            <w:pPr>
              <w:pStyle w:val="Compact"/>
            </w:pPr>
            <w:r>
              <w:t xml:space="preserve">ติดลบ</w:t>
            </w:r>
          </w:p>
        </w:tc>
      </w:tr>
      <w:tr>
        <w:tc>
          <w:tcPr/>
          <w:p>
            <w:pPr>
              <w:pStyle w:val="Compact"/>
            </w:pPr>
            <w:r>
              <w:t xml:space="preserve">ปีที่ 2 (2028)</w:t>
            </w:r>
          </w:p>
        </w:tc>
        <w:tc>
          <w:tcPr/>
          <w:p>
            <w:pPr>
              <w:pStyle w:val="Compact"/>
            </w:pPr>
            <w:r>
              <w:t xml:space="preserve">6,000 ล้านบาท</w:t>
            </w:r>
          </w:p>
        </w:tc>
        <w:tc>
          <w:tcPr/>
          <w:p>
            <w:pPr>
              <w:pStyle w:val="Compact"/>
            </w:pPr>
            <w:r>
              <w:t xml:space="preserve">66 ล้านบาท</w:t>
            </w:r>
          </w:p>
        </w:tc>
        <w:tc>
          <w:tcPr/>
          <w:p>
            <w:pPr>
              <w:pStyle w:val="Compact"/>
            </w:pPr>
            <w:r>
              <w:t xml:space="preserve">1,800</w:t>
            </w:r>
          </w:p>
        </w:tc>
        <w:tc>
          <w:tcPr/>
          <w:p>
            <w:pPr>
              <w:pStyle w:val="Compact"/>
            </w:pPr>
            <w:r>
              <w:t xml:space="preserve">ใกล้คุ้มทุน</w:t>
            </w:r>
          </w:p>
        </w:tc>
      </w:tr>
      <w:tr>
        <w:tc>
          <w:tcPr/>
          <w:p>
            <w:pPr>
              <w:pStyle w:val="Compact"/>
            </w:pPr>
            <w:r>
              <w:t xml:space="preserve">ปีที่ 3 (2029)</w:t>
            </w:r>
          </w:p>
        </w:tc>
        <w:tc>
          <w:tcPr/>
          <w:p>
            <w:pPr>
              <w:pStyle w:val="Compact"/>
            </w:pPr>
            <w:r>
              <w:t xml:space="preserve">15,000 ล้านบาท</w:t>
            </w:r>
          </w:p>
        </w:tc>
        <w:tc>
          <w:tcPr/>
          <w:p>
            <w:pPr>
              <w:pStyle w:val="Compact"/>
            </w:pPr>
            <w:r>
              <w:t xml:space="preserve">158 ล้านบาท</w:t>
            </w:r>
          </w:p>
        </w:tc>
        <w:tc>
          <w:tcPr/>
          <w:p>
            <w:pPr>
              <w:pStyle w:val="Compact"/>
            </w:pPr>
            <w:r>
              <w:t xml:space="preserve">5,000</w:t>
            </w:r>
          </w:p>
        </w:tc>
        <w:tc>
          <w:tcPr/>
          <w:p>
            <w:pPr>
              <w:pStyle w:val="Compact"/>
            </w:pPr>
            <w:r>
              <w:t xml:space="preserve">เป็นบวก</w:t>
            </w:r>
          </w:p>
        </w:tc>
      </w:tr>
      <w:tr>
        <w:tc>
          <w:tcPr/>
          <w:p>
            <w:pPr>
              <w:pStyle w:val="Compact"/>
            </w:pPr>
            <w:r>
              <w:t xml:space="preserve">ปีที่ 4 (2030)</w:t>
            </w:r>
          </w:p>
        </w:tc>
        <w:tc>
          <w:tcPr/>
          <w:p>
            <w:pPr>
              <w:pStyle w:val="Compact"/>
            </w:pPr>
            <w:r>
              <w:t xml:space="preserve">30,000 ล้านบาท</w:t>
            </w:r>
          </w:p>
        </w:tc>
        <w:tc>
          <w:tcPr/>
          <w:p>
            <w:pPr>
              <w:pStyle w:val="Compact"/>
            </w:pPr>
            <w:r>
              <w:t xml:space="preserve">300 ล้านบาท</w:t>
            </w:r>
          </w:p>
        </w:tc>
        <w:tc>
          <w:tcPr/>
          <w:p>
            <w:pPr>
              <w:pStyle w:val="Compact"/>
            </w:pPr>
            <w:r>
              <w:t xml:space="preserve">10,000</w:t>
            </w:r>
          </w:p>
        </w:tc>
        <w:tc>
          <w:tcPr/>
          <w:p>
            <w:pPr>
              <w:pStyle w:val="Compact"/>
            </w:pPr>
            <w:r>
              <w:t xml:space="preserve">เป็นบวกแข็งแรง</w:t>
            </w:r>
          </w:p>
        </w:tc>
      </w:tr>
      <w:tr>
        <w:tc>
          <w:tcPr/>
          <w:p>
            <w:pPr>
              <w:pStyle w:val="Compact"/>
            </w:pPr>
            <w:r>
              <w:t xml:space="preserve">ปีที่ 5 (2031)</w:t>
            </w:r>
          </w:p>
        </w:tc>
        <w:tc>
          <w:tcPr/>
          <w:p>
            <w:pPr>
              <w:pStyle w:val="Compact"/>
            </w:pPr>
            <w:r>
              <w:t xml:space="preserve">52,000 ล้านบาท</w:t>
            </w:r>
          </w:p>
        </w:tc>
        <w:tc>
          <w:tcPr/>
          <w:p>
            <w:pPr>
              <w:pStyle w:val="Compact"/>
            </w:pPr>
            <w:r>
              <w:t xml:space="preserve">494 ล้านบาท</w:t>
            </w:r>
          </w:p>
        </w:tc>
        <w:tc>
          <w:tcPr/>
          <w:p>
            <w:pPr>
              <w:pStyle w:val="Compact"/>
            </w:pPr>
            <w:r>
              <w:t xml:space="preserve">18,000</w:t>
            </w:r>
          </w:p>
        </w:tc>
        <w:tc>
          <w:tcPr/>
          <w:p>
            <w:pPr>
              <w:pStyle w:val="Compact"/>
            </w:pPr>
            <w:r>
              <w:t xml:space="preserve">มาร์จิ้นสูงขึ้น</w:t>
            </w:r>
          </w:p>
        </w:tc>
      </w:tr>
    </w:tbl>
    <w:p>
      <w:pPr>
        <w:pStyle w:val="BlockText"/>
      </w:pPr>
      <w:r>
        <w:t xml:space="preserve">ตัวเลขข้างต้นเป็นประมาณการเชิงกลยุทธ์ อิงสมมติฐานในข้อ 4 และ 5 (take rate เฉลี่ย ~0.95–1.1% ของ TPV) มิใช่การรับประกันผล</w:t>
      </w:r>
    </w:p>
    <w:p>
      <w:r>
        <w:pict>
          <v:rect style="width:0;height:1.5pt" o:hralign="center" o:hrstd="t" o:hr="t"/>
        </w:pict>
      </w:r>
    </w:p>
    <w:bookmarkEnd w:id="31"/>
    <w:bookmarkStart w:id="35" w:name="ตลาดและบรบทอตสาหกรรม-market"/>
    <w:p>
      <w:pPr>
        <w:pStyle w:val="Heading2"/>
      </w:pPr>
      <w:r>
        <w:t xml:space="preserve">1. ตลาดและบริบทอุตสาหกรรม (Market)</w:t>
      </w:r>
    </w:p>
    <w:bookmarkStart w:id="32" w:name="ภาพรวมตลาด"/>
    <w:p>
      <w:pPr>
        <w:pStyle w:val="Heading3"/>
      </w:pPr>
      <w:r>
        <w:t xml:space="preserve">1.1 ภาพรวมตลาด</w:t>
      </w:r>
    </w:p>
    <w:p>
      <w:pPr>
        <w:pStyle w:val="Compact"/>
        <w:numPr>
          <w:ilvl w:val="0"/>
          <w:numId w:val="1001"/>
        </w:numPr>
      </w:pPr>
      <w:r>
        <w:t xml:space="preserve">ประเทศไทยเป็นตลาดที่</w:t>
      </w:r>
      <w:r>
        <w:t xml:space="preserve"> </w:t>
      </w:r>
      <w:r>
        <w:rPr>
          <w:b/>
          <w:bCs/>
        </w:rPr>
        <w:t xml:space="preserve">การชำระเงินดิจิทัลเติบโตสูง</w:t>
      </w:r>
      <w:r>
        <w:t xml:space="preserve"> </w:t>
      </w:r>
      <w:r>
        <w:t xml:space="preserve">โดยมี PromptPay และ Thai QR Payment เป็นโครงสร้างพื้นฐานที่ ธปท. ผลักดัน และมีการใช้บัตรเดบิต/เครดิตในกลุ่ม e-commerce, ท่องเที่ยว, และค้าปลีกสมัยใหม่อย่างต่อเนื่อง</w:t>
      </w:r>
    </w:p>
    <w:p>
      <w:pPr>
        <w:pStyle w:val="Compact"/>
        <w:numPr>
          <w:ilvl w:val="0"/>
          <w:numId w:val="1001"/>
        </w:numPr>
      </w:pPr>
      <w:r>
        <w:t xml:space="preserve">แนวโน้มเชิงโครงสร้าง: การเปลี่ยนจากเงินสดสู่ดิจิทัล (cash-to-digital), การเติบโตของ e-commerce ข้ามพรมแดน, การท่องเที่ยวฟื้นตัว (ธุรกรรมบัตรต่างประเทศ), และความต้องการ omni-channel (ออนไลน์ + หน้าร้าน + in-app)</w:t>
      </w:r>
    </w:p>
    <w:bookmarkEnd w:id="32"/>
    <w:bookmarkStart w:id="33" w:name="กลมตลาดเปาหมาย-segments"/>
    <w:p>
      <w:pPr>
        <w:pStyle w:val="Heading3"/>
      </w:pPr>
      <w:r>
        <w:t xml:space="preserve">1.2 กลุ่มตลาดเป้าหมาย (Segments)</w:t>
      </w:r>
    </w:p>
    <w:tbl>
      <w:tblPr>
        <w:tblStyle w:val="Table"/>
        <w:tblW w:type="pct" w:w="5000"/>
        <w:tblLayout w:type="fixed"/>
        <w:tblLook w:firstRow="1" w:lastRow="0" w:firstColumn="0" w:lastColumn="0" w:noHBand="0" w:noVBand="0" w:val="0020"/>
      </w:tblPr>
      <w:tblGrid>
        <w:gridCol w:w="2036"/>
        <w:gridCol w:w="1810"/>
        <w:gridCol w:w="4073"/>
      </w:tblGrid>
      <w:tr>
        <w:trPr>
          <w:tblHeader w:val="on"/>
        </w:trPr>
        <w:tc>
          <w:tcPr/>
          <w:p>
            <w:pPr>
              <w:pStyle w:val="Compact"/>
            </w:pPr>
            <w:r>
              <w:t xml:space="preserve">Segment</w:t>
            </w:r>
          </w:p>
        </w:tc>
        <w:tc>
          <w:tcPr/>
          <w:p>
            <w:pPr>
              <w:pStyle w:val="Compact"/>
            </w:pPr>
            <w:r>
              <w:t xml:space="preserve">ลักษณะ</w:t>
            </w:r>
          </w:p>
        </w:tc>
        <w:tc>
          <w:tcPr/>
          <w:p>
            <w:pPr>
              <w:pStyle w:val="Compact"/>
            </w:pPr>
            <w:r>
              <w:t xml:space="preserve">ความต้องการหลัก</w:t>
            </w:r>
          </w:p>
        </w:tc>
      </w:tr>
      <w:tr>
        <w:tc>
          <w:tcPr/>
          <w:p>
            <w:pPr>
              <w:pStyle w:val="Compact"/>
            </w:pPr>
            <w:r>
              <w:t xml:space="preserve">e-commerce SME</w:t>
            </w:r>
          </w:p>
        </w:tc>
        <w:tc>
          <w:tcPr/>
          <w:p>
            <w:pPr>
              <w:pStyle w:val="Compact"/>
            </w:pPr>
            <w:r>
              <w:t xml:space="preserve">ร้านค้าออนไลน์ ยอดต่อรายการปานกลาง</w:t>
            </w:r>
          </w:p>
        </w:tc>
        <w:tc>
          <w:tcPr/>
          <w:p>
            <w:pPr>
              <w:pStyle w:val="Compact"/>
            </w:pPr>
            <w:r>
              <w:t xml:space="preserve">onboarding เร็ว, ค่าธรรมเนียมโปร่งใส, checkout ที่ conversion ดี</w:t>
            </w:r>
          </w:p>
        </w:tc>
      </w:tr>
      <w:tr>
        <w:tc>
          <w:tcPr/>
          <w:p>
            <w:pPr>
              <w:pStyle w:val="Compact"/>
            </w:pPr>
            <w:r>
              <w:t xml:space="preserve">Digital / SaaS / Subscription</w:t>
            </w:r>
          </w:p>
        </w:tc>
        <w:tc>
          <w:tcPr/>
          <w:p>
            <w:pPr>
              <w:pStyle w:val="Compact"/>
            </w:pPr>
            <w:r>
              <w:t xml:space="preserve">เก็บเงินซ้ำ (recurring)</w:t>
            </w:r>
          </w:p>
        </w:tc>
        <w:tc>
          <w:tcPr/>
          <w:p>
            <w:pPr>
              <w:pStyle w:val="Compact"/>
            </w:pPr>
            <w:r>
              <w:t xml:space="preserve">tokenization, network token, retry logic, 3DS</w:t>
            </w:r>
          </w:p>
        </w:tc>
      </w:tr>
      <w:tr>
        <w:tc>
          <w:tcPr/>
          <w:p>
            <w:pPr>
              <w:pStyle w:val="Compact"/>
            </w:pPr>
            <w:r>
              <w:t xml:space="preserve">Travel &amp; Hospitality</w:t>
            </w:r>
          </w:p>
        </w:tc>
        <w:tc>
          <w:tcPr/>
          <w:p>
            <w:pPr>
              <w:pStyle w:val="Compact"/>
            </w:pPr>
            <w:r>
              <w:t xml:space="preserve">ยอดต่อรายการสูง, บัตรต่างชาติ</w:t>
            </w:r>
          </w:p>
        </w:tc>
        <w:tc>
          <w:tcPr/>
          <w:p>
            <w:pPr>
              <w:pStyle w:val="Compact"/>
            </w:pPr>
            <w:r>
              <w:t xml:space="preserve">multi-currency, auth-then-capture, refund/dispute ที่ดี</w:t>
            </w:r>
          </w:p>
        </w:tc>
      </w:tr>
      <w:tr>
        <w:tc>
          <w:tcPr/>
          <w:p>
            <w:pPr>
              <w:pStyle w:val="Compact"/>
            </w:pPr>
            <w:r>
              <w:t xml:space="preserve">Marketplace / Platform</w:t>
            </w:r>
          </w:p>
        </w:tc>
        <w:tc>
          <w:tcPr/>
          <w:p>
            <w:pPr>
              <w:pStyle w:val="Compact"/>
            </w:pPr>
            <w:r>
              <w:t xml:space="preserve">จ่ายเงินต่อผู้ขายหลายราย (split)</w:t>
            </w:r>
          </w:p>
        </w:tc>
        <w:tc>
          <w:tcPr/>
          <w:p>
            <w:pPr>
              <w:pStyle w:val="Compact"/>
            </w:pPr>
            <w:r>
              <w:t xml:space="preserve">split settlement, sub-merchant, รายงานแยกร้าน</w:t>
            </w:r>
          </w:p>
        </w:tc>
      </w:tr>
      <w:tr>
        <w:tc>
          <w:tcPr/>
          <w:p>
            <w:pPr>
              <w:pStyle w:val="Compact"/>
            </w:pPr>
            <w:r>
              <w:t xml:space="preserve">Enterprise Retail (omni-channel)</w:t>
            </w:r>
          </w:p>
        </w:tc>
        <w:tc>
          <w:tcPr/>
          <w:p>
            <w:pPr>
              <w:pStyle w:val="Compact"/>
            </w:pPr>
            <w:r>
              <w:t xml:space="preserve">ปริมาณสูง</w:t>
            </w:r>
          </w:p>
        </w:tc>
        <w:tc>
          <w:tcPr/>
          <w:p>
            <w:pPr>
              <w:pStyle w:val="Compact"/>
            </w:pPr>
            <w:r>
              <w:t xml:space="preserve">SLA, การกระทบยอดระดับสาขา, ราคาต่อรายการต่ำ (IC++)</w:t>
            </w:r>
          </w:p>
        </w:tc>
      </w:tr>
    </w:tbl>
    <w:bookmarkEnd w:id="33"/>
    <w:bookmarkStart w:id="34" w:name="หนวยงานกำกบทเกยวของ"/>
    <w:p>
      <w:pPr>
        <w:pStyle w:val="Heading3"/>
      </w:pPr>
      <w:r>
        <w:t xml:space="preserve">1.3 หน่วยงานกำกับที่เกี่ยวข้อง</w:t>
      </w:r>
    </w:p>
    <w:tbl>
      <w:tblPr>
        <w:tblStyle w:val="Table"/>
        <w:tblW w:type="pct" w:w="5000"/>
        <w:tblLayout w:type="fixed"/>
        <w:tblLook w:firstRow="1" w:lastRow="0" w:firstColumn="0" w:lastColumn="0" w:noHBand="0" w:noVBand="0" w:val="0020"/>
      </w:tblPr>
      <w:tblGrid>
        <w:gridCol w:w="4061"/>
        <w:gridCol w:w="3858"/>
      </w:tblGrid>
      <w:tr>
        <w:trPr>
          <w:tblHeader w:val="on"/>
        </w:trPr>
        <w:tc>
          <w:tcPr/>
          <w:p>
            <w:pPr>
              <w:pStyle w:val="Compact"/>
            </w:pPr>
            <w:r>
              <w:t xml:space="preserve">หน่วยงาน / มาตรฐาน</w:t>
            </w:r>
          </w:p>
        </w:tc>
        <w:tc>
          <w:tcPr/>
          <w:p>
            <w:pPr>
              <w:pStyle w:val="Compact"/>
            </w:pPr>
            <w:r>
              <w:t xml:space="preserve">บทบาทต่อธุรกิจนี้</w:t>
            </w:r>
          </w:p>
        </w:tc>
      </w:tr>
      <w:tr>
        <w:tc>
          <w:tcPr/>
          <w:p>
            <w:pPr>
              <w:pStyle w:val="Compact"/>
            </w:pPr>
            <w:r>
              <w:rPr>
                <w:b/>
                <w:bCs/>
              </w:rPr>
              <w:t xml:space="preserve">ธนาคารแห่งประเทศไทย (ธปท.)</w:t>
            </w:r>
          </w:p>
        </w:tc>
        <w:tc>
          <w:tcPr/>
          <w:p>
            <w:pPr>
              <w:pStyle w:val="Compact"/>
            </w:pPr>
            <w:r>
              <w:t xml:space="preserve">กำกับใบอนุญาต Acquiring, IT risk, cyber resilience, BCP, outsourcing, การรายงานเป็นงวด</w:t>
            </w:r>
          </w:p>
        </w:tc>
      </w:tr>
      <w:tr>
        <w:tc>
          <w:tcPr/>
          <w:p>
            <w:pPr>
              <w:pStyle w:val="Compact"/>
            </w:pPr>
            <w:r>
              <w:rPr>
                <w:b/>
                <w:bCs/>
              </w:rPr>
              <w:t xml:space="preserve">สำนักงาน ปปง. (AMLO)</w:t>
            </w:r>
          </w:p>
        </w:tc>
        <w:tc>
          <w:tcPr/>
          <w:p>
            <w:pPr>
              <w:pStyle w:val="Compact"/>
            </w:pPr>
            <w:r>
              <w:t xml:space="preserve">KYC/CDD, การรายงานธุรกรรม (STR/CTR), sanction/PEP screening ตามกฎหมายฟอกเงิน</w:t>
            </w:r>
          </w:p>
        </w:tc>
      </w:tr>
      <w:tr>
        <w:tc>
          <w:tcPr/>
          <w:p>
            <w:pPr>
              <w:pStyle w:val="Compact"/>
            </w:pPr>
            <w:r>
              <w:rPr>
                <w:b/>
                <w:bCs/>
              </w:rPr>
              <w:t xml:space="preserve">สำนักงาน คปช. / PDPC</w:t>
            </w:r>
          </w:p>
        </w:tc>
        <w:tc>
          <w:tcPr/>
          <w:p>
            <w:pPr>
              <w:pStyle w:val="Compact"/>
            </w:pPr>
            <w:r>
              <w:t xml:space="preserve">การคุ้มครองข้อมูลส่วนบุคคลตาม PDPA (พ.ร.บ. คุ้มครองข้อมูลส่วนบุคคล พ.ศ. 2562)</w:t>
            </w:r>
          </w:p>
        </w:tc>
      </w:tr>
      <w:tr>
        <w:tc>
          <w:tcPr/>
          <w:p>
            <w:pPr>
              <w:pStyle w:val="Compact"/>
            </w:pPr>
            <w:r>
              <w:rPr>
                <w:b/>
                <w:bCs/>
              </w:rPr>
              <w:t xml:space="preserve">PCI SSC (ผ่าน QSA/ASV)</w:t>
            </w:r>
          </w:p>
        </w:tc>
        <w:tc>
          <w:tcPr/>
          <w:p>
            <w:pPr>
              <w:pStyle w:val="Compact"/>
            </w:pPr>
            <w:r>
              <w:t xml:space="preserve">PCI-DSS v4.0 Level 1, EMV 3DS (3-D Secure 2.x)</w:t>
            </w:r>
          </w:p>
        </w:tc>
      </w:tr>
      <w:tr>
        <w:tc>
          <w:tcPr/>
          <w:p>
            <w:pPr>
              <w:pStyle w:val="Compact"/>
            </w:pPr>
            <w:r>
              <w:rPr>
                <w:b/>
                <w:bCs/>
              </w:rPr>
              <w:t xml:space="preserve">เครือข่ายบัตร (Visa / Mastercard)</w:t>
            </w:r>
          </w:p>
        </w:tc>
        <w:tc>
          <w:tcPr/>
          <w:p>
            <w:pPr>
              <w:pStyle w:val="Compact"/>
            </w:pPr>
            <w:r>
              <w:t xml:space="preserve">scheme rules, certification, interchange, chargeback/dispute</w:t>
            </w:r>
          </w:p>
        </w:tc>
      </w:tr>
    </w:tbl>
    <w:p>
      <w:r>
        <w:pict>
          <v:rect style="width:0;height:1.5pt" o:hralign="center" o:hrstd="t" o:hr="t"/>
        </w:pict>
      </w:r>
    </w:p>
    <w:bookmarkEnd w:id="34"/>
    <w:bookmarkEnd w:id="35"/>
    <w:bookmarkStart w:id="38" w:name="ลกคาเปาหมาย-target-merchants"/>
    <w:p>
      <w:pPr>
        <w:pStyle w:val="Heading2"/>
      </w:pPr>
      <w:r>
        <w:t xml:space="preserve">2. ลูกค้าเป้าหมาย (Target Merchants)</w:t>
      </w:r>
    </w:p>
    <w:bookmarkStart w:id="36" w:name="Xf1802dd0b77e5adc501ebf25bb34af4716a67f3"/>
    <w:p>
      <w:pPr>
        <w:pStyle w:val="Heading3"/>
      </w:pPr>
      <w:r>
        <w:t xml:space="preserve">2.1 เกณฑ์การรับสมัคร (Merchant Eligibility &amp; Risk Tiers)</w:t>
      </w:r>
    </w:p>
    <w:p>
      <w:pPr>
        <w:pStyle w:val="FirstParagraph"/>
      </w:pPr>
      <w:r>
        <w:t xml:space="preserve">ทุกร้านค้าต้องผ่าน</w:t>
      </w:r>
      <w:r>
        <w:t xml:space="preserve"> </w:t>
      </w:r>
      <w:r>
        <w:rPr>
          <w:b/>
          <w:bCs/>
        </w:rPr>
        <w:t xml:space="preserve">KYC/KYB + CDD</w:t>
      </w:r>
      <w:r>
        <w:t xml:space="preserve"> </w:t>
      </w:r>
      <w:r>
        <w:t xml:space="preserve">ตามนโยบาย AML (สอดคล้องกฎหมาย ปปง.) ก่อน onboarding:</w:t>
      </w:r>
    </w:p>
    <w:tbl>
      <w:tblPr>
        <w:tblStyle w:val="Table"/>
        <w:tblW w:type="pct" w:w="5000"/>
        <w:tblLayout w:type="fixed"/>
        <w:tblLook w:firstRow="1" w:lastRow="0" w:firstColumn="0" w:lastColumn="0" w:noHBand="0" w:noVBand="0" w:val="0020"/>
      </w:tblPr>
      <w:tblGrid>
        <w:gridCol w:w="1177"/>
        <w:gridCol w:w="2996"/>
        <w:gridCol w:w="1926"/>
        <w:gridCol w:w="1819"/>
      </w:tblGrid>
      <w:tr>
        <w:trPr>
          <w:tblHeader w:val="on"/>
        </w:trPr>
        <w:tc>
          <w:tcPr/>
          <w:p>
            <w:pPr>
              <w:pStyle w:val="Compact"/>
            </w:pPr>
            <w:r>
              <w:t xml:space="preserve">Risk Tier</w:t>
            </w:r>
          </w:p>
        </w:tc>
        <w:tc>
          <w:tcPr/>
          <w:p>
            <w:pPr>
              <w:pStyle w:val="Compact"/>
            </w:pPr>
            <w:r>
              <w:t xml:space="preserve">ตัวอย่างประเภทธุรกิจ (MCC)</w:t>
            </w:r>
          </w:p>
        </w:tc>
        <w:tc>
          <w:tcPr/>
          <w:p>
            <w:pPr>
              <w:pStyle w:val="Compact"/>
            </w:pPr>
            <w:r>
              <w:t xml:space="preserve">ระดับการตรวจสอบ</w:t>
            </w:r>
          </w:p>
        </w:tc>
        <w:tc>
          <w:tcPr/>
          <w:p>
            <w:pPr>
              <w:pStyle w:val="Compact"/>
            </w:pPr>
            <w:r>
              <w:t xml:space="preserve">เพดานเบื้องต้น</w:t>
            </w:r>
          </w:p>
        </w:tc>
      </w:tr>
      <w:tr>
        <w:tc>
          <w:tcPr/>
          <w:p>
            <w:pPr>
              <w:pStyle w:val="Compact"/>
            </w:pPr>
            <w:r>
              <w:t xml:space="preserve">Low</w:t>
            </w:r>
          </w:p>
        </w:tc>
        <w:tc>
          <w:tcPr/>
          <w:p>
            <w:pPr>
              <w:pStyle w:val="Compact"/>
            </w:pPr>
            <w:r>
              <w:t xml:space="preserve">ค้าปลีกทั่วไป, ร้านอาหาร, SaaS</w:t>
            </w:r>
          </w:p>
        </w:tc>
        <w:tc>
          <w:tcPr/>
          <w:p>
            <w:pPr>
              <w:pStyle w:val="Compact"/>
            </w:pPr>
            <w:r>
              <w:t xml:space="preserve">KYB มาตรฐาน + sanction screen</w:t>
            </w:r>
          </w:p>
        </w:tc>
        <w:tc>
          <w:tcPr/>
          <w:p>
            <w:pPr>
              <w:pStyle w:val="Compact"/>
            </w:pPr>
            <w:r>
              <w:t xml:space="preserve">ตามยอดขายจริง</w:t>
            </w:r>
          </w:p>
        </w:tc>
      </w:tr>
      <w:tr>
        <w:tc>
          <w:tcPr/>
          <w:p>
            <w:pPr>
              <w:pStyle w:val="Compact"/>
            </w:pPr>
            <w:r>
              <w:t xml:space="preserve">Medium</w:t>
            </w:r>
          </w:p>
        </w:tc>
        <w:tc>
          <w:tcPr/>
          <w:p>
            <w:pPr>
              <w:pStyle w:val="Compact"/>
            </w:pPr>
            <w:r>
              <w:t xml:space="preserve">ท่องเที่ยว, ตั๋วเครื่องบิน, marketplace</w:t>
            </w:r>
          </w:p>
        </w:tc>
        <w:tc>
          <w:tcPr/>
          <w:p>
            <w:pPr>
              <w:pStyle w:val="Compact"/>
            </w:pPr>
            <w:r>
              <w:t xml:space="preserve">KYB เข้ม + delayed settlement/rolling reserve</w:t>
            </w:r>
          </w:p>
        </w:tc>
        <w:tc>
          <w:tcPr/>
          <w:p>
            <w:pPr>
              <w:pStyle w:val="Compact"/>
            </w:pPr>
            <w:r>
              <w:t xml:space="preserve">มี rolling reserve 5–10%</w:t>
            </w:r>
          </w:p>
        </w:tc>
      </w:tr>
      <w:tr>
        <w:tc>
          <w:tcPr/>
          <w:p>
            <w:pPr>
              <w:pStyle w:val="Compact"/>
            </w:pPr>
            <w:r>
              <w:t xml:space="preserve">High / ต้องพิจารณาพิเศษ</w:t>
            </w:r>
          </w:p>
        </w:tc>
        <w:tc>
          <w:tcPr/>
          <w:p>
            <w:pPr>
              <w:pStyle w:val="Compact"/>
            </w:pPr>
            <w:r>
              <w:t xml:space="preserve">high-chargeback, digital goods, ธุรกรรมข้ามพรมแดนสูง</w:t>
            </w:r>
          </w:p>
        </w:tc>
        <w:tc>
          <w:tcPr/>
          <w:p>
            <w:pPr>
              <w:pStyle w:val="Compact"/>
            </w:pPr>
            <w:r>
              <w:t xml:space="preserve">EDD + คณะกรรมการรับความเสี่ยง</w:t>
            </w:r>
          </w:p>
        </w:tc>
        <w:tc>
          <w:tcPr/>
          <w:p>
            <w:pPr>
              <w:pStyle w:val="Compact"/>
            </w:pPr>
            <w:r>
              <w:t xml:space="preserve">อนุมัติรายกรณี</w:t>
            </w:r>
          </w:p>
        </w:tc>
      </w:tr>
      <w:tr>
        <w:tc>
          <w:tcPr/>
          <w:p>
            <w:pPr>
              <w:pStyle w:val="Compact"/>
            </w:pPr>
            <w:r>
              <w:rPr>
                <w:b/>
                <w:bCs/>
              </w:rPr>
              <w:t xml:space="preserve">ต้องห้าม (Prohibited)</w:t>
            </w:r>
          </w:p>
        </w:tc>
        <w:tc>
          <w:tcPr/>
          <w:p>
            <w:pPr>
              <w:pStyle w:val="Compact"/>
            </w:pPr>
            <w:r>
              <w:t xml:space="preserve">สินค้าผิดกฎหมาย, การพนันที่ไม่ได้รับอนุญาต, สินค้าละเมิดสิทธิ์, ธุรกิจในบัญชี sanction</w:t>
            </w:r>
          </w:p>
        </w:tc>
        <w:tc>
          <w:tcPr/>
          <w:p>
            <w:pPr>
              <w:pStyle w:val="Compact"/>
            </w:pPr>
            <w:r>
              <w:t xml:space="preserve">ปฏิเสธ</w:t>
            </w:r>
          </w:p>
        </w:tc>
        <w:tc>
          <w:tcPr/>
          <w:p>
            <w:pPr>
              <w:pStyle w:val="Compact"/>
            </w:pPr>
            <w:r>
              <w:t xml:space="preserve">—</w:t>
            </w:r>
          </w:p>
        </w:tc>
      </w:tr>
    </w:tbl>
    <w:bookmarkEnd w:id="36"/>
    <w:bookmarkStart w:id="37" w:name="กระบวนการ-onboarding-รานคา-สรป"/>
    <w:p>
      <w:pPr>
        <w:pStyle w:val="Heading3"/>
      </w:pPr>
      <w:r>
        <w:t xml:space="preserve">2.2 กระบวนการ onboarding ร้านค้า (สรุป)</w:t>
      </w:r>
    </w:p>
    <w:p>
      <w:pPr>
        <w:pStyle w:val="Compact"/>
        <w:numPr>
          <w:ilvl w:val="0"/>
          <w:numId w:val="1002"/>
        </w:numPr>
      </w:pPr>
      <w:r>
        <w:t xml:space="preserve">สมัคร → เก็บเอกสารนิติบุคคล/บุคคลธรรมดา, กรรมการ, ผู้ถือหุ้นที่แท้จริง (UBO)</w:t>
      </w:r>
    </w:p>
    <w:p>
      <w:pPr>
        <w:pStyle w:val="Compact"/>
        <w:numPr>
          <w:ilvl w:val="0"/>
          <w:numId w:val="1002"/>
        </w:numPr>
      </w:pPr>
      <w:r>
        <w:rPr>
          <w:b/>
          <w:bCs/>
        </w:rPr>
        <w:t xml:space="preserve">KYB + sanction/PEP screening</w:t>
      </w:r>
      <w:r>
        <w:t xml:space="preserve"> </w:t>
      </w:r>
      <w:r>
        <w:t xml:space="preserve">(ปปง.) → ประเมิน risk tier</w:t>
      </w:r>
    </w:p>
    <w:p>
      <w:pPr>
        <w:pStyle w:val="Compact"/>
        <w:numPr>
          <w:ilvl w:val="0"/>
          <w:numId w:val="1002"/>
        </w:numPr>
      </w:pPr>
      <w:r>
        <w:t xml:space="preserve">Underwriting (ประเมินความเสี่ยงเครดิต/chargeback, กำหนด reserve)</w:t>
      </w:r>
    </w:p>
    <w:p>
      <w:pPr>
        <w:pStyle w:val="Compact"/>
        <w:numPr>
          <w:ilvl w:val="0"/>
          <w:numId w:val="1002"/>
        </w:numPr>
      </w:pPr>
      <w:r>
        <w:t xml:space="preserve">ลงนามข้อตกลงร้านค้า + ค่าธรรมเนียม → ออก API key / merchant ID</w:t>
      </w:r>
    </w:p>
    <w:p>
      <w:pPr>
        <w:pStyle w:val="Compact"/>
        <w:numPr>
          <w:ilvl w:val="0"/>
          <w:numId w:val="1002"/>
        </w:numPr>
      </w:pPr>
      <w:r>
        <w:t xml:space="preserve">Technical integration + go-live (ทดสอบใน sandbox → production)</w:t>
      </w:r>
    </w:p>
    <w:p>
      <w:pPr>
        <w:pStyle w:val="BlockText"/>
      </w:pPr>
      <w:r>
        <w:t xml:space="preserve">รายละเอียด KYC/AML และ PDPA อยู่ในเอกสารส่วนแยกของชุดคำขอ (นโยบาย AML/KYC/CDD และนโยบายคุ้มครองข้อมูลส่วนบุคคล)</w:t>
      </w:r>
    </w:p>
    <w:p>
      <w:r>
        <w:pict>
          <v:rect style="width:0;height:1.5pt" o:hralign="center" o:hrstd="t" o:hr="t"/>
        </w:pict>
      </w:r>
    </w:p>
    <w:bookmarkEnd w:id="37"/>
    <w:bookmarkEnd w:id="38"/>
    <w:bookmarkStart w:id="41" w:name="โครงสรางราคาและคาธรรมเนยม-pricing"/>
    <w:p>
      <w:pPr>
        <w:pStyle w:val="Heading2"/>
      </w:pPr>
      <w:r>
        <w:t xml:space="preserve">3. โครงสร้างราคาและค่าธรรมเนียม (Pricing)</w:t>
      </w:r>
    </w:p>
    <w:bookmarkStart w:id="39" w:name="โมเดลราคา"/>
    <w:p>
      <w:pPr>
        <w:pStyle w:val="Heading3"/>
      </w:pPr>
      <w:r>
        <w:t xml:space="preserve">3.1 โมเดลราคา</w:t>
      </w:r>
    </w:p>
    <w:p>
      <w:pPr>
        <w:pStyle w:val="FirstParagraph"/>
      </w:pPr>
      <w:r>
        <w:t xml:space="preserve">เสนอ 2 โครงสร้างตาม segment:</w:t>
      </w:r>
    </w:p>
    <w:tbl>
      <w:tblPr>
        <w:tblStyle w:val="Table"/>
        <w:tblW w:type="pct" w:w="5000"/>
        <w:tblLayout w:type="fixed"/>
        <w:tblLook w:firstRow="1" w:lastRow="0" w:firstColumn="0" w:lastColumn="0" w:noHBand="0" w:noVBand="0" w:val="0020"/>
      </w:tblPr>
      <w:tblGrid>
        <w:gridCol w:w="3004"/>
        <w:gridCol w:w="2731"/>
        <w:gridCol w:w="2184"/>
      </w:tblGrid>
      <w:tr>
        <w:trPr>
          <w:tblHeader w:val="on"/>
        </w:trPr>
        <w:tc>
          <w:tcPr/>
          <w:p>
            <w:pPr>
              <w:pStyle w:val="Compact"/>
            </w:pPr>
            <w:r>
              <w:t xml:space="preserve">โครงสร้าง</w:t>
            </w:r>
          </w:p>
        </w:tc>
        <w:tc>
          <w:tcPr/>
          <w:p>
            <w:pPr>
              <w:pStyle w:val="Compact"/>
            </w:pPr>
            <w:r>
              <w:t xml:space="preserve">เหมาะกับ</w:t>
            </w:r>
          </w:p>
        </w:tc>
        <w:tc>
          <w:tcPr/>
          <w:p>
            <w:pPr>
              <w:pStyle w:val="Compact"/>
            </w:pPr>
            <w:r>
              <w:t xml:space="preserve">รูปแบบ</w:t>
            </w:r>
          </w:p>
        </w:tc>
      </w:tr>
      <w:tr>
        <w:tc>
          <w:tcPr/>
          <w:p>
            <w:pPr>
              <w:pStyle w:val="Compact"/>
            </w:pPr>
            <w:r>
              <w:rPr>
                <w:b/>
                <w:bCs/>
              </w:rPr>
              <w:t xml:space="preserve">Blended (flat)</w:t>
            </w:r>
          </w:p>
        </w:tc>
        <w:tc>
          <w:tcPr/>
          <w:p>
            <w:pPr>
              <w:pStyle w:val="Compact"/>
            </w:pPr>
            <w:r>
              <w:t xml:space="preserve">SME / e-commerce</w:t>
            </w:r>
          </w:p>
        </w:tc>
        <w:tc>
          <w:tcPr/>
          <w:p>
            <w:pPr>
              <w:pStyle w:val="Compact"/>
            </w:pPr>
            <w:r>
              <w:t xml:space="preserve">อัตราเดียวต่อรายการ เช่น</w:t>
            </w:r>
            <w:r>
              <w:t xml:space="preserve"> </w:t>
            </w:r>
            <w:r>
              <w:rPr>
                <w:b/>
                <w:bCs/>
              </w:rPr>
              <w:t xml:space="preserve">2.65% + 5 บาท</w:t>
            </w:r>
            <w:r>
              <w:t xml:space="preserve"> </w:t>
            </w:r>
            <w:r>
              <w:t xml:space="preserve">(บัตรในประเทศ) — เข้าใจง่าย โปร่งใส</w:t>
            </w:r>
          </w:p>
        </w:tc>
      </w:tr>
      <w:tr>
        <w:tc>
          <w:tcPr/>
          <w:p>
            <w:pPr>
              <w:pStyle w:val="Compact"/>
            </w:pPr>
            <w:r>
              <w:rPr>
                <w:b/>
                <w:bCs/>
              </w:rPr>
              <w:t xml:space="preserve">Interchange++ (IC++)</w:t>
            </w:r>
          </w:p>
        </w:tc>
        <w:tc>
          <w:tcPr/>
          <w:p>
            <w:pPr>
              <w:pStyle w:val="Compact"/>
            </w:pPr>
            <w:r>
              <w:t xml:space="preserve">Enterprise / ปริมาณสูง</w:t>
            </w:r>
          </w:p>
        </w:tc>
        <w:tc>
          <w:tcPr/>
          <w:p>
            <w:pPr>
              <w:pStyle w:val="Compact"/>
            </w:pPr>
            <w:r>
              <w:t xml:space="preserve">interchange (ของ issuer) + scheme fee +</w:t>
            </w:r>
            <w:r>
              <w:t xml:space="preserve"> </w:t>
            </w:r>
            <w:r>
              <w:rPr>
                <w:b/>
                <w:bCs/>
              </w:rPr>
              <w:t xml:space="preserve">markup ของเรา</w:t>
            </w:r>
            <w:r>
              <w:t xml:space="preserve"> </w:t>
            </w:r>
            <w:r>
              <w:t xml:space="preserve">แยกบรรทัด — โปร่งใสต่อรายการ</w:t>
            </w:r>
          </w:p>
        </w:tc>
      </w:tr>
    </w:tbl>
    <w:p>
      <w:pPr>
        <w:pStyle w:val="BodyText"/>
      </w:pPr>
      <w:r>
        <w:t xml:space="preserve">ตัวอย่างอัตราอ้างอิง (บัตรในประเทศ ยังไม่รวม VAT):</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ช่องทาง</w:t>
            </w:r>
          </w:p>
        </w:tc>
        <w:tc>
          <w:tcPr/>
          <w:p>
            <w:pPr>
              <w:pStyle w:val="Compact"/>
            </w:pPr>
            <w:r>
              <w:t xml:space="preserve">อัตราตัวอย่าง</w:t>
            </w:r>
          </w:p>
        </w:tc>
      </w:tr>
      <w:tr>
        <w:tc>
          <w:tcPr/>
          <w:p>
            <w:pPr>
              <w:pStyle w:val="Compact"/>
            </w:pPr>
            <w:r>
              <w:t xml:space="preserve">บัตรเครดิต/เดบิตในประเทศ (blended)</w:t>
            </w:r>
          </w:p>
        </w:tc>
        <w:tc>
          <w:tcPr/>
          <w:p>
            <w:pPr>
              <w:pStyle w:val="Compact"/>
            </w:pPr>
            <w:r>
              <w:t xml:space="preserve">2.4% – 2.9%</w:t>
            </w:r>
          </w:p>
        </w:tc>
      </w:tr>
      <w:tr>
        <w:tc>
          <w:tcPr/>
          <w:p>
            <w:pPr>
              <w:pStyle w:val="Compact"/>
            </w:pPr>
            <w:r>
              <w:t xml:space="preserve">บัตรต่างประเทศ / cross-border</w:t>
            </w:r>
          </w:p>
        </w:tc>
        <w:tc>
          <w:tcPr/>
          <w:p>
            <w:pPr>
              <w:pStyle w:val="Compact"/>
            </w:pPr>
            <w:r>
              <w:t xml:space="preserve">+1.0% – 1.5%</w:t>
            </w:r>
          </w:p>
        </w:tc>
      </w:tr>
      <w:tr>
        <w:tc>
          <w:tcPr/>
          <w:p>
            <w:pPr>
              <w:pStyle w:val="Compact"/>
            </w:pPr>
            <w:r>
              <w:t xml:space="preserve">Thai QR / PromptPay</w:t>
            </w:r>
          </w:p>
        </w:tc>
        <w:tc>
          <w:tcPr/>
          <w:p>
            <w:pPr>
              <w:pStyle w:val="Compact"/>
            </w:pPr>
            <w:r>
              <w:t xml:space="preserve">0.5% – 1.0% (หรือคงที่ต่อรายการ)</w:t>
            </w:r>
          </w:p>
        </w:tc>
      </w:tr>
      <w:tr>
        <w:tc>
          <w:tcPr/>
          <w:p>
            <w:pPr>
              <w:pStyle w:val="Compact"/>
            </w:pPr>
            <w:r>
              <w:t xml:space="preserve">Refund / chargeback handling fee</w:t>
            </w:r>
          </w:p>
        </w:tc>
        <w:tc>
          <w:tcPr/>
          <w:p>
            <w:pPr>
              <w:pStyle w:val="Compact"/>
            </w:pPr>
            <w:r>
              <w:t xml:space="preserve">คงที่ต่อรายการ (เช่น 300–600 บาท ต่อ chargeback)</w:t>
            </w:r>
          </w:p>
        </w:tc>
      </w:tr>
      <w:tr>
        <w:tc>
          <w:tcPr/>
          <w:p>
            <w:pPr>
              <w:pStyle w:val="Compact"/>
            </w:pPr>
            <w:r>
              <w:t xml:space="preserve">Payout / settlement fee</w:t>
            </w:r>
          </w:p>
        </w:tc>
        <w:tc>
          <w:tcPr/>
          <w:p>
            <w:pPr>
              <w:pStyle w:val="Compact"/>
            </w:pPr>
            <w:r>
              <w:t xml:space="preserve">คงที่ต่อรอบ (option)</w:t>
            </w:r>
          </w:p>
        </w:tc>
      </w:tr>
    </w:tbl>
    <w:bookmarkEnd w:id="39"/>
    <w:bookmarkStart w:id="40" w:name="หมายเหตดานตนทน"/>
    <w:p>
      <w:pPr>
        <w:pStyle w:val="Heading3"/>
      </w:pPr>
      <w:r>
        <w:t xml:space="preserve">3.2 หมายเหตุด้านต้นทุน</w:t>
      </w:r>
    </w:p>
    <w:p>
      <w:pPr>
        <w:pStyle w:val="Compact"/>
        <w:numPr>
          <w:ilvl w:val="0"/>
          <w:numId w:val="1003"/>
        </w:numPr>
      </w:pPr>
      <w:r>
        <w:t xml:space="preserve">ต้นทุนหลักคือ</w:t>
      </w:r>
      <w:r>
        <w:t xml:space="preserve"> </w:t>
      </w:r>
      <w:r>
        <w:rPr>
          <w:b/>
          <w:bCs/>
        </w:rPr>
        <w:t xml:space="preserve">interchange (จ่ายให้ issuer)</w:t>
      </w:r>
      <w:r>
        <w:t xml:space="preserve"> </w:t>
      </w:r>
      <w:r>
        <w:t xml:space="preserve">+</w:t>
      </w:r>
      <w:r>
        <w:t xml:space="preserve"> </w:t>
      </w:r>
      <w:r>
        <w:rPr>
          <w:b/>
          <w:bCs/>
        </w:rPr>
        <w:t xml:space="preserve">scheme fee (Visa/MC)</w:t>
      </w:r>
      <w:r>
        <w:t xml:space="preserve"> </w:t>
      </w:r>
      <w:r>
        <w:t xml:space="preserve">+ ค่าธรรมเนียม sponsor bank</w:t>
      </w:r>
    </w:p>
    <w:p>
      <w:pPr>
        <w:pStyle w:val="Compact"/>
        <w:numPr>
          <w:ilvl w:val="0"/>
          <w:numId w:val="1003"/>
        </w:numPr>
      </w:pPr>
      <w:r>
        <w:rPr>
          <w:b/>
          <w:bCs/>
        </w:rPr>
        <w:t xml:space="preserve">take rate สุทธิของเรา</w:t>
      </w:r>
      <w:r>
        <w:t xml:space="preserve"> </w:t>
      </w:r>
      <w:r>
        <w:t xml:space="preserve">(net revenue / TPV) หลังหักต้นทุนต่อรายการ ประมาณ</w:t>
      </w:r>
      <w:r>
        <w:t xml:space="preserve"> </w:t>
      </w:r>
      <w:r>
        <w:rPr>
          <w:b/>
          <w:bCs/>
        </w:rPr>
        <w:t xml:space="preserve">0.9% – 1.1%</w:t>
      </w:r>
      <w:r>
        <w:t xml:space="preserve"> </w:t>
      </w:r>
      <w:r>
        <w:t xml:space="preserve">เป็นฐานประมาณการรายได้</w:t>
      </w:r>
    </w:p>
    <w:p>
      <w:pPr>
        <w:pStyle w:val="BlockText"/>
      </w:pPr>
      <w:r>
        <w:rPr>
          <w:b/>
          <w:bCs/>
        </w:rPr>
        <w:t xml:space="preserve">[ASSUMPTION / TODO]</w:t>
      </w:r>
      <w:r>
        <w:t xml:space="preserve"> </w:t>
      </w:r>
      <w:r>
        <w:t xml:space="preserve">อัตรา interchange และ scheme fee ที่แน่นอน รวมถึง sponsor bank fee เป็นตัวเลขที่ต้อง</w:t>
      </w:r>
      <w:r>
        <w:t xml:space="preserve"> </w:t>
      </w:r>
      <w:r>
        <w:rPr>
          <w:b/>
          <w:bCs/>
        </w:rPr>
        <w:t xml:space="preserve">ยืนยันหลังเจรจากับ sponsor bank และ scheme</w:t>
      </w:r>
      <w:r>
        <w:t xml:space="preserve"> </w:t>
      </w:r>
      <w:r>
        <w:t xml:space="preserve">(ดูข้อ 7 สมมติฐาน)</w:t>
      </w:r>
    </w:p>
    <w:p>
      <w:r>
        <w:pict>
          <v:rect style="width:0;height:1.5pt" o:hralign="center" o:hrstd="t" o:hr="t"/>
        </w:pict>
      </w:r>
    </w:p>
    <w:bookmarkEnd w:id="40"/>
    <w:bookmarkEnd w:id="41"/>
    <w:bookmarkStart w:id="45" w:name="โมเดลรายได-revenue-model"/>
    <w:p>
      <w:pPr>
        <w:pStyle w:val="Heading2"/>
      </w:pPr>
      <w:r>
        <w:t xml:space="preserve">4. โมเดลรายได้ (Revenue Model)</w:t>
      </w:r>
    </w:p>
    <w:bookmarkStart w:id="42" w:name="แหลงรายได"/>
    <w:p>
      <w:pPr>
        <w:pStyle w:val="Heading3"/>
      </w:pPr>
      <w:r>
        <w:t xml:space="preserve">4.1 แหล่งรายได้</w:t>
      </w:r>
    </w:p>
    <w:p>
      <w:pPr>
        <w:pStyle w:val="Compact"/>
        <w:numPr>
          <w:ilvl w:val="0"/>
          <w:numId w:val="1004"/>
        </w:numPr>
      </w:pPr>
      <w:r>
        <w:rPr>
          <w:b/>
          <w:bCs/>
        </w:rPr>
        <w:t xml:space="preserve">Merchant Discount Rate (MDR)</w:t>
      </w:r>
      <w:r>
        <w:t xml:space="preserve"> </w:t>
      </w:r>
      <w:r>
        <w:t xml:space="preserve">— รายได้หลัก คิดเป็น % ของ TPV</w:t>
      </w:r>
    </w:p>
    <w:p>
      <w:pPr>
        <w:pStyle w:val="Compact"/>
        <w:numPr>
          <w:ilvl w:val="0"/>
          <w:numId w:val="1004"/>
        </w:numPr>
      </w:pPr>
      <w:r>
        <w:rPr>
          <w:b/>
          <w:bCs/>
        </w:rPr>
        <w:t xml:space="preserve">Per-transaction fee</w:t>
      </w:r>
      <w:r>
        <w:t xml:space="preserve"> </w:t>
      </w:r>
      <w:r>
        <w:t xml:space="preserve">— คงที่ต่อรายการ (เสริมมาร์จิ้นในรายการยอดต่ำ)</w:t>
      </w:r>
    </w:p>
    <w:p>
      <w:pPr>
        <w:pStyle w:val="Compact"/>
        <w:numPr>
          <w:ilvl w:val="0"/>
          <w:numId w:val="1004"/>
        </w:numPr>
      </w:pPr>
      <w:r>
        <w:rPr>
          <w:b/>
          <w:bCs/>
        </w:rPr>
        <w:t xml:space="preserve">Value-added services</w:t>
      </w:r>
      <w:r>
        <w:t xml:space="preserve"> </w:t>
      </w:r>
      <w:r>
        <w:t xml:space="preserve">— tokenization/network token, สมัครสมาชิก (recurring), fraud/risk tools, รายงาน/แดชบอร์ด, FX markup</w:t>
      </w:r>
    </w:p>
    <w:p>
      <w:pPr>
        <w:pStyle w:val="Compact"/>
        <w:numPr>
          <w:ilvl w:val="0"/>
          <w:numId w:val="1004"/>
        </w:numPr>
      </w:pPr>
      <w:r>
        <w:rPr>
          <w:b/>
          <w:bCs/>
        </w:rPr>
        <w:t xml:space="preserve">Chargeback / dispute handling fees</w:t>
      </w:r>
    </w:p>
    <w:p>
      <w:pPr>
        <w:pStyle w:val="Compact"/>
        <w:numPr>
          <w:ilvl w:val="0"/>
          <w:numId w:val="1004"/>
        </w:numPr>
      </w:pPr>
      <w:r>
        <w:rPr>
          <w:b/>
          <w:bCs/>
        </w:rPr>
        <w:t xml:space="preserve">Settlement / payout options</w:t>
      </w:r>
      <w:r>
        <w:t xml:space="preserve"> </w:t>
      </w:r>
      <w:r>
        <w:t xml:space="preserve">(จ่ายเร็ว next-day เป็นบริการเสริม)</w:t>
      </w:r>
    </w:p>
    <w:bookmarkEnd w:id="42"/>
    <w:bookmarkStart w:id="43" w:name="หนวยเศรษฐศาสตร-unit-economics-ตวอยาง"/>
    <w:p>
      <w:pPr>
        <w:pStyle w:val="Heading3"/>
      </w:pPr>
      <w:r>
        <w:t xml:space="preserve">4.2 หน่วยเศรษฐศาสตร์ (Unit Economics — ตัวอย่าง)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รายการ</w:t>
            </w:r>
          </w:p>
        </w:tc>
        <w:tc>
          <w:tcPr/>
          <w:p>
            <w:pPr>
              <w:pStyle w:val="Compact"/>
            </w:pPr>
            <w:r>
              <w:t xml:space="preserve">ค่า (ตัวอย่าง)</w:t>
            </w:r>
          </w:p>
        </w:tc>
      </w:tr>
      <w:tr>
        <w:tc>
          <w:tcPr/>
          <w:p>
            <w:pPr>
              <w:pStyle w:val="Compact"/>
            </w:pPr>
            <w:r>
              <w:t xml:space="preserve">MDR ที่เก็บจากร้านค้า</w:t>
            </w:r>
          </w:p>
        </w:tc>
        <w:tc>
          <w:tcPr/>
          <w:p>
            <w:pPr>
              <w:pStyle w:val="Compact"/>
            </w:pPr>
            <w:r>
              <w:t xml:space="preserve">2.65%</w:t>
            </w:r>
          </w:p>
        </w:tc>
      </w:tr>
      <w:tr>
        <w:tc>
          <w:tcPr/>
          <w:p>
            <w:pPr>
              <w:pStyle w:val="Compact"/>
            </w:pPr>
            <w:r>
              <w:t xml:space="preserve">หัก: interchange + scheme + sponsor</w:t>
            </w:r>
          </w:p>
        </w:tc>
        <w:tc>
          <w:tcPr/>
          <w:p>
            <w:pPr>
              <w:pStyle w:val="Compact"/>
            </w:pPr>
            <w:r>
              <w:t xml:space="preserve">~1.6% – 1.75%</w:t>
            </w:r>
          </w:p>
        </w:tc>
      </w:tr>
      <w:tr>
        <w:tc>
          <w:tcPr/>
          <w:p>
            <w:pPr>
              <w:pStyle w:val="Compact"/>
            </w:pPr>
            <w:r>
              <w:rPr>
                <w:b/>
                <w:bCs/>
              </w:rPr>
              <w:t xml:space="preserve">Net take rate</w:t>
            </w:r>
          </w:p>
        </w:tc>
        <w:tc>
          <w:tcPr/>
          <w:p>
            <w:pPr>
              <w:pStyle w:val="Compact"/>
            </w:pPr>
            <w:r>
              <w:rPr>
                <w:b/>
                <w:bCs/>
              </w:rPr>
              <w:t xml:space="preserve">~0.9% – 1.05%</w:t>
            </w:r>
          </w:p>
        </w:tc>
      </w:tr>
      <w:tr>
        <w:tc>
          <w:tcPr/>
          <w:p>
            <w:pPr>
              <w:pStyle w:val="Compact"/>
            </w:pPr>
            <w:r>
              <w:t xml:space="preserve">ต้นทุน fraud/chargeback loss (เฉลี่ย)</w:t>
            </w:r>
          </w:p>
        </w:tc>
        <w:tc>
          <w:tcPr/>
          <w:p>
            <w:pPr>
              <w:pStyle w:val="Compact"/>
            </w:pPr>
            <w:r>
              <w:t xml:space="preserve">0.05% – 0.15% ของ TPV</w:t>
            </w:r>
          </w:p>
        </w:tc>
      </w:tr>
    </w:tbl>
    <w:bookmarkEnd w:id="43"/>
    <w:bookmarkStart w:id="44" w:name="ประมาณการรายได-5-ป"/>
    <w:p>
      <w:pPr>
        <w:pStyle w:val="Heading3"/>
      </w:pPr>
      <w:r>
        <w:t xml:space="preserve">4.3 ประมาณการรายได้ 5 ปี</w:t>
      </w:r>
    </w:p>
    <w:p>
      <w:pPr>
        <w:pStyle w:val="FirstParagraph"/>
      </w:pPr>
      <w:r>
        <w:t xml:space="preserve">(สอดคล้องตารางบทสรุปข้อ 0; net take rate เฉลี่ยแบบถ่วงน้ำหนัก ~0.95–1.1%)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ปี</w:t>
            </w:r>
          </w:p>
        </w:tc>
        <w:tc>
          <w:tcPr/>
          <w:p>
            <w:pPr>
              <w:pStyle w:val="Compact"/>
            </w:pPr>
            <w:r>
              <w:t xml:space="preserve">TPV (ล้านบาท)</w:t>
            </w:r>
          </w:p>
        </w:tc>
        <w:tc>
          <w:tcPr/>
          <w:p>
            <w:pPr>
              <w:pStyle w:val="Compact"/>
            </w:pPr>
            <w:r>
              <w:t xml:space="preserve">net take rate</w:t>
            </w:r>
          </w:p>
        </w:tc>
        <w:tc>
          <w:tcPr/>
          <w:p>
            <w:pPr>
              <w:pStyle w:val="Compact"/>
            </w:pPr>
            <w:r>
              <w:t xml:space="preserve">Net Revenue (ล้านบาท)</w:t>
            </w:r>
          </w:p>
        </w:tc>
      </w:tr>
      <w:tr>
        <w:tc>
          <w:tcPr/>
          <w:p>
            <w:pPr>
              <w:pStyle w:val="Compact"/>
            </w:pPr>
            <w:r>
              <w:t xml:space="preserve">1</w:t>
            </w:r>
          </w:p>
        </w:tc>
        <w:tc>
          <w:tcPr/>
          <w:p>
            <w:pPr>
              <w:pStyle w:val="Compact"/>
            </w:pPr>
            <w:r>
              <w:t xml:space="preserve">1,500</w:t>
            </w:r>
          </w:p>
        </w:tc>
        <w:tc>
          <w:tcPr/>
          <w:p>
            <w:pPr>
              <w:pStyle w:val="Compact"/>
            </w:pPr>
            <w:r>
              <w:t xml:space="preserve">1.20%</w:t>
            </w:r>
          </w:p>
        </w:tc>
        <w:tc>
          <w:tcPr/>
          <w:p>
            <w:pPr>
              <w:pStyle w:val="Compact"/>
            </w:pPr>
            <w:r>
              <w:t xml:space="preserve">18</w:t>
            </w:r>
          </w:p>
        </w:tc>
      </w:tr>
      <w:tr>
        <w:tc>
          <w:tcPr/>
          <w:p>
            <w:pPr>
              <w:pStyle w:val="Compact"/>
            </w:pPr>
            <w:r>
              <w:t xml:space="preserve">2</w:t>
            </w:r>
          </w:p>
        </w:tc>
        <w:tc>
          <w:tcPr/>
          <w:p>
            <w:pPr>
              <w:pStyle w:val="Compact"/>
            </w:pPr>
            <w:r>
              <w:t xml:space="preserve">6,000</w:t>
            </w:r>
          </w:p>
        </w:tc>
        <w:tc>
          <w:tcPr/>
          <w:p>
            <w:pPr>
              <w:pStyle w:val="Compact"/>
            </w:pPr>
            <w:r>
              <w:t xml:space="preserve">1.10%</w:t>
            </w:r>
          </w:p>
        </w:tc>
        <w:tc>
          <w:tcPr/>
          <w:p>
            <w:pPr>
              <w:pStyle w:val="Compact"/>
            </w:pPr>
            <w:r>
              <w:t xml:space="preserve">66</w:t>
            </w:r>
          </w:p>
        </w:tc>
      </w:tr>
      <w:tr>
        <w:tc>
          <w:tcPr/>
          <w:p>
            <w:pPr>
              <w:pStyle w:val="Compact"/>
            </w:pPr>
            <w:r>
              <w:t xml:space="preserve">3</w:t>
            </w:r>
          </w:p>
        </w:tc>
        <w:tc>
          <w:tcPr/>
          <w:p>
            <w:pPr>
              <w:pStyle w:val="Compact"/>
            </w:pPr>
            <w:r>
              <w:t xml:space="preserve">15,000</w:t>
            </w:r>
          </w:p>
        </w:tc>
        <w:tc>
          <w:tcPr/>
          <w:p>
            <w:pPr>
              <w:pStyle w:val="Compact"/>
            </w:pPr>
            <w:r>
              <w:t xml:space="preserve">1.05%</w:t>
            </w:r>
          </w:p>
        </w:tc>
        <w:tc>
          <w:tcPr/>
          <w:p>
            <w:pPr>
              <w:pStyle w:val="Compact"/>
            </w:pPr>
            <w:r>
              <w:t xml:space="preserve">158</w:t>
            </w:r>
          </w:p>
        </w:tc>
      </w:tr>
      <w:tr>
        <w:tc>
          <w:tcPr/>
          <w:p>
            <w:pPr>
              <w:pStyle w:val="Compact"/>
            </w:pPr>
            <w:r>
              <w:t xml:space="preserve">4</w:t>
            </w:r>
          </w:p>
        </w:tc>
        <w:tc>
          <w:tcPr/>
          <w:p>
            <w:pPr>
              <w:pStyle w:val="Compact"/>
            </w:pPr>
            <w:r>
              <w:t xml:space="preserve">30,000</w:t>
            </w:r>
          </w:p>
        </w:tc>
        <w:tc>
          <w:tcPr/>
          <w:p>
            <w:pPr>
              <w:pStyle w:val="Compact"/>
            </w:pPr>
            <w:r>
              <w:t xml:space="preserve">1.00%</w:t>
            </w:r>
          </w:p>
        </w:tc>
        <w:tc>
          <w:tcPr/>
          <w:p>
            <w:pPr>
              <w:pStyle w:val="Compact"/>
            </w:pPr>
            <w:r>
              <w:t xml:space="preserve">300</w:t>
            </w:r>
          </w:p>
        </w:tc>
      </w:tr>
      <w:tr>
        <w:tc>
          <w:tcPr/>
          <w:p>
            <w:pPr>
              <w:pStyle w:val="Compact"/>
            </w:pPr>
            <w:r>
              <w:t xml:space="preserve">5</w:t>
            </w:r>
          </w:p>
        </w:tc>
        <w:tc>
          <w:tcPr/>
          <w:p>
            <w:pPr>
              <w:pStyle w:val="Compact"/>
            </w:pPr>
            <w:r>
              <w:t xml:space="preserve">52,000</w:t>
            </w:r>
          </w:p>
        </w:tc>
        <w:tc>
          <w:tcPr/>
          <w:p>
            <w:pPr>
              <w:pStyle w:val="Compact"/>
            </w:pPr>
            <w:r>
              <w:t xml:space="preserve">0.95%</w:t>
            </w:r>
          </w:p>
        </w:tc>
        <w:tc>
          <w:tcPr/>
          <w:p>
            <w:pPr>
              <w:pStyle w:val="Compact"/>
            </w:pPr>
            <w:r>
              <w:t xml:space="preserve">494</w:t>
            </w:r>
          </w:p>
        </w:tc>
      </w:tr>
    </w:tbl>
    <w:p>
      <w:pPr>
        <w:pStyle w:val="BlockText"/>
      </w:pPr>
      <w:r>
        <w:t xml:space="preserve">take rate ค่อย ๆ ลดลงตามปริมาณ (สัดส่วนลูกค้า enterprise/IC++ และ QR เพิ่มขึ้น) แต่รายได้รวมโตจาก TPV</w:t>
      </w:r>
    </w:p>
    <w:p>
      <w:r>
        <w:pict>
          <v:rect style="width:0;height:1.5pt" o:hralign="center" o:hrstd="t" o:hr="t"/>
        </w:pict>
      </w:r>
    </w:p>
    <w:bookmarkEnd w:id="44"/>
    <w:bookmarkEnd w:id="45"/>
    <w:bookmarkStart w:id="50" w:name="X97c9d4f0b2a2d2bf06e9b67585d327696581d93"/>
    <w:p>
      <w:pPr>
        <w:pStyle w:val="Heading2"/>
      </w:pPr>
      <w:r>
        <w:t xml:space="preserve">5. จุดยืนเชิงแข่งขันและการเติบโต (Competitive Positioning &amp; Growth)</w:t>
      </w:r>
    </w:p>
    <w:bookmarkStart w:id="46" w:name="คแขงและการวางตำแหนง"/>
    <w:p>
      <w:pPr>
        <w:pStyle w:val="Heading3"/>
      </w:pPr>
      <w:r>
        <w:t xml:space="preserve">5.1 คู่แข่งและการวางตำแหน่ง</w:t>
      </w:r>
    </w:p>
    <w:p>
      <w:pPr>
        <w:pStyle w:val="Compact"/>
        <w:numPr>
          <w:ilvl w:val="0"/>
          <w:numId w:val="1005"/>
        </w:numPr>
      </w:pPr>
      <w:r>
        <w:t xml:space="preserve">คู่แข่ง: PSP/gateway ในไทย (ทั้ง facilitator ที่ต่อ acquirer เดิม และ acquirer ธนาคาร) และผู้เล่นสากลที่ให้บริการในไทย</w:t>
      </w:r>
    </w:p>
    <w:p>
      <w:pPr>
        <w:pStyle w:val="Compact"/>
        <w:numPr>
          <w:ilvl w:val="0"/>
          <w:numId w:val="1005"/>
        </w:numPr>
      </w:pPr>
      <w:r>
        <w:rPr>
          <w:b/>
          <w:bCs/>
        </w:rPr>
        <w:t xml:space="preserve">ความแตกต่างของเรา:</w:t>
      </w:r>
    </w:p>
    <w:p>
      <w:pPr>
        <w:pStyle w:val="Compact"/>
        <w:numPr>
          <w:ilvl w:val="1"/>
          <w:numId w:val="1006"/>
        </w:numPr>
      </w:pPr>
      <w:r>
        <w:rPr>
          <w:b/>
          <w:bCs/>
        </w:rPr>
        <w:t xml:space="preserve">Full acquiring</w:t>
      </w:r>
      <w:r>
        <w:t xml:space="preserve"> </w:t>
      </w:r>
      <w:r>
        <w:t xml:space="preserve">→ คุมต้นทุนต่อรายการได้ดีกว่า facilitator, เสนอ IC++ ได้จริง</w:t>
      </w:r>
    </w:p>
    <w:p>
      <w:pPr>
        <w:pStyle w:val="Compact"/>
        <w:numPr>
          <w:ilvl w:val="1"/>
          <w:numId w:val="1006"/>
        </w:numPr>
      </w:pPr>
      <w:r>
        <w:rPr>
          <w:b/>
          <w:bCs/>
        </w:rPr>
        <w:t xml:space="preserve">Compliance-by-design</w:t>
      </w:r>
      <w:r>
        <w:t xml:space="preserve"> </w:t>
      </w:r>
      <w:r>
        <w:t xml:space="preserve">→ PCI-DSS v4.0 L1 + เกณฑ์ ธปท. + PDPA ฝังในสถาปัตยกรรม (double-entry ledger, audit trail, tokenization vault)</w:t>
      </w:r>
    </w:p>
    <w:p>
      <w:pPr>
        <w:pStyle w:val="Compact"/>
        <w:numPr>
          <w:ilvl w:val="1"/>
          <w:numId w:val="1006"/>
        </w:numPr>
      </w:pPr>
      <w:r>
        <w:rPr>
          <w:b/>
          <w:bCs/>
        </w:rPr>
        <w:t xml:space="preserve">Reconciliation &amp; settlement ที่โปร่งใส</w:t>
      </w:r>
      <w:r>
        <w:t xml:space="preserve"> </w:t>
      </w:r>
      <w:r>
        <w:t xml:space="preserve">→ ledger append-only เป็น source of truth, รายงานกระทบยอดต่อร้าน</w:t>
      </w:r>
    </w:p>
    <w:p>
      <w:pPr>
        <w:pStyle w:val="Compact"/>
        <w:numPr>
          <w:ilvl w:val="1"/>
          <w:numId w:val="1006"/>
        </w:numPr>
      </w:pPr>
      <w:r>
        <w:rPr>
          <w:b/>
          <w:bCs/>
        </w:rPr>
        <w:t xml:space="preserve">Developer experience</w:t>
      </w:r>
      <w:r>
        <w:t xml:space="preserve"> </w:t>
      </w:r>
      <w:r>
        <w:t xml:space="preserve">→ API สะอาด, idempotency, webhook ลงลายเซ็น, sandbox</w:t>
      </w:r>
    </w:p>
    <w:bookmarkEnd w:id="46"/>
    <w:bookmarkStart w:id="47" w:name="กลยทธการเตบโต-แผน-5-ป"/>
    <w:p>
      <w:pPr>
        <w:pStyle w:val="Heading3"/>
      </w:pPr>
      <w:r>
        <w:t xml:space="preserve">5.2 กลยุทธ์การเติบโต (แผน 5 ปี)</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ช่วง</w:t>
            </w:r>
          </w:p>
        </w:tc>
        <w:tc>
          <w:tcPr/>
          <w:p>
            <w:pPr>
              <w:pStyle w:val="Compact"/>
            </w:pPr>
            <w:r>
              <w:t xml:space="preserve">โฟกัส</w:t>
            </w:r>
          </w:p>
        </w:tc>
      </w:tr>
      <w:tr>
        <w:tc>
          <w:tcPr/>
          <w:p>
            <w:pPr>
              <w:pStyle w:val="Compact"/>
            </w:pPr>
            <w:r>
              <w:rPr>
                <w:b/>
                <w:bCs/>
              </w:rPr>
              <w:t xml:space="preserve">ปีที่ 1 (2027)</w:t>
            </w:r>
          </w:p>
        </w:tc>
        <w:tc>
          <w:tcPr/>
          <w:p>
            <w:pPr>
              <w:pStyle w:val="Compact"/>
            </w:pPr>
            <w:r>
              <w:t xml:space="preserve">เปิดตัวหลังได้ใบอนุญาต + PCI L1; จับกลุ่ม e-commerce SME; onboarding ~400 ร้าน; พิสูจน์ reconciliation/settlement</w:t>
            </w:r>
          </w:p>
        </w:tc>
      </w:tr>
      <w:tr>
        <w:tc>
          <w:tcPr/>
          <w:p>
            <w:pPr>
              <w:pStyle w:val="Compact"/>
            </w:pPr>
            <w:r>
              <w:rPr>
                <w:b/>
                <w:bCs/>
              </w:rPr>
              <w:t xml:space="preserve">ปีที่ 2 (2028)</w:t>
            </w:r>
          </w:p>
        </w:tc>
        <w:tc>
          <w:tcPr/>
          <w:p>
            <w:pPr>
              <w:pStyle w:val="Compact"/>
            </w:pPr>
            <w:r>
              <w:t xml:space="preserve">ขยาย recurring/SaaS + travel; เพิ่ม value-added (tokenization, fraud tools); พันธมิตร platform/marketplace</w:t>
            </w:r>
          </w:p>
        </w:tc>
      </w:tr>
      <w:tr>
        <w:tc>
          <w:tcPr/>
          <w:p>
            <w:pPr>
              <w:pStyle w:val="Compact"/>
            </w:pPr>
            <w:r>
              <w:rPr>
                <w:b/>
                <w:bCs/>
              </w:rPr>
              <w:t xml:space="preserve">ปีที่ 3 (2029)</w:t>
            </w:r>
          </w:p>
        </w:tc>
        <w:tc>
          <w:tcPr/>
          <w:p>
            <w:pPr>
              <w:pStyle w:val="Compact"/>
            </w:pPr>
            <w:r>
              <w:t xml:space="preserve">เข้ากลุ่ม enterprise (IC++, SLA); cross-border/multi-currency; EBITDA เป็นบวก</w:t>
            </w:r>
          </w:p>
        </w:tc>
      </w:tr>
      <w:tr>
        <w:tc>
          <w:tcPr/>
          <w:p>
            <w:pPr>
              <w:pStyle w:val="Compact"/>
            </w:pPr>
            <w:r>
              <w:rPr>
                <w:b/>
                <w:bCs/>
              </w:rPr>
              <w:t xml:space="preserve">ปีที่ 4 (2030)</w:t>
            </w:r>
          </w:p>
        </w:tc>
        <w:tc>
          <w:tcPr/>
          <w:p>
            <w:pPr>
              <w:pStyle w:val="Compact"/>
            </w:pPr>
            <w:r>
              <w:t xml:space="preserve">omni-channel (หน้าร้าน + ออนไลน์); ขยายช่องทางท้องถิ่นเพิ่ม; scale ปริมาณ</w:t>
            </w:r>
          </w:p>
        </w:tc>
      </w:tr>
      <w:tr>
        <w:tc>
          <w:tcPr/>
          <w:p>
            <w:pPr>
              <w:pStyle w:val="Compact"/>
            </w:pPr>
            <w:r>
              <w:rPr>
                <w:b/>
                <w:bCs/>
              </w:rPr>
              <w:t xml:space="preserve">ปีที่ 5 (2031)</w:t>
            </w:r>
          </w:p>
        </w:tc>
        <w:tc>
          <w:tcPr/>
          <w:p>
            <w:pPr>
              <w:pStyle w:val="Compact"/>
            </w:pPr>
            <w:r>
              <w:t xml:space="preserve">ครองส่วนแบ่งกลุ่มเป้าหมาย; พิจารณาบริการเสริม (เช่น payout, ผลิตภัณฑ์ต่อยอด); เตรียมขยายภูมิภาค</w:t>
            </w:r>
          </w:p>
        </w:tc>
      </w:tr>
    </w:tbl>
    <w:bookmarkEnd w:id="47"/>
    <w:bookmarkStart w:id="48" w:name="ตวชวดหลก-kpi-ทตดตามและรายงานตอ-ธปท.ภายใน"/>
    <w:p>
      <w:pPr>
        <w:pStyle w:val="Heading3"/>
      </w:pPr>
      <w:r>
        <w:t xml:space="preserve">5.3 ตัวชี้วัดหลัก (KPI) ที่ติดตามและรายงานต่อ ธปท./ภายใน</w:t>
      </w:r>
    </w:p>
    <w:p>
      <w:pPr>
        <w:pStyle w:val="FirstParagraph"/>
      </w:pPr>
      <w:r>
        <w:t xml:space="preserve">TPV, จำนวนร้าน active, authorization success rate,</w:t>
      </w:r>
      <w:r>
        <w:t xml:space="preserve"> </w:t>
      </w:r>
      <w:r>
        <w:rPr>
          <w:b/>
          <w:bCs/>
        </w:rPr>
        <w:t xml:space="preserve">chargeback rate (เป้าหมาย &lt; 0.9% ตาม scheme threshold)</w:t>
      </w:r>
      <w:r>
        <w:t xml:space="preserve">, fraud loss rate, uptime (เป้า ≥ 99.95%), settlement accuracy, จำนวน STR ที่รายงาน ปปง.</w:t>
      </w:r>
    </w:p>
    <w:bookmarkEnd w:id="48"/>
    <w:bookmarkStart w:id="49" w:name="ความเสยงเชงกลยทธ"/>
    <w:p>
      <w:pPr>
        <w:pStyle w:val="Heading3"/>
      </w:pPr>
      <w:r>
        <w:t xml:space="preserve">5.4 ความเสี่ยงเชิงกลยุทธ์</w:t>
      </w:r>
    </w:p>
    <w:p>
      <w:pPr>
        <w:pStyle w:val="FirstParagraph"/>
      </w:pPr>
      <w:r>
        <w:t xml:space="preserve">เวลา/ต้นทุนใบอนุญาต + PCI, การพึ่งพา sponsor bank, การแข่งขันด้านราคา, fraud/chargeback, และ compliance ต่อเนื่อง (ดู</w:t>
      </w:r>
      <w:r>
        <w:t xml:space="preserve"> </w:t>
      </w:r>
      <w:r>
        <w:rPr>
          <w:rStyle w:val="VerbatimChar"/>
        </w:rPr>
        <w:t xml:space="preserve">ARCHITECTURE.md</w:t>
      </w:r>
      <w:r>
        <w:t xml:space="preserve"> </w:t>
      </w:r>
      <w:r>
        <w:t xml:space="preserve">ข้อ 9 และ</w:t>
      </w:r>
      <w:r>
        <w:t xml:space="preserve"> </w:t>
      </w:r>
      <w:r>
        <w:rPr>
          <w:rStyle w:val="VerbatimChar"/>
        </w:rPr>
        <w:t xml:space="preserve">ROADMAP.md</w:t>
      </w:r>
      <w:r>
        <w:t xml:space="preserve"> </w:t>
      </w:r>
      <w:r>
        <w:t xml:space="preserve">ข้อ 5)</w:t>
      </w:r>
    </w:p>
    <w:p>
      <w:r>
        <w:pict>
          <v:rect style="width:0;height:1.5pt" o:hralign="center" o:hrstd="t" o:hr="t"/>
        </w:pict>
      </w:r>
    </w:p>
    <w:bookmarkEnd w:id="49"/>
    <w:bookmarkEnd w:id="50"/>
    <w:bookmarkStart w:id="51" w:name="บทบาทและองคกร-roles-governance"/>
    <w:p>
      <w:pPr>
        <w:pStyle w:val="Heading2"/>
      </w:pPr>
      <w:r>
        <w:t xml:space="preserve">6. บทบาทและองค์กร (Roles &amp; Governance)</w:t>
      </w:r>
    </w:p>
    <w:tbl>
      <w:tblPr>
        <w:tblStyle w:val="Table"/>
        <w:tblW w:type="pct" w:w="5000"/>
        <w:tblLayout w:type="fixed"/>
        <w:tblLook w:firstRow="1" w:lastRow="0" w:firstColumn="0" w:lastColumn="0" w:noHBand="0" w:noVBand="0" w:val="0020"/>
      </w:tblPr>
      <w:tblGrid>
        <w:gridCol w:w="2053"/>
        <w:gridCol w:w="5866"/>
      </w:tblGrid>
      <w:tr>
        <w:trPr>
          <w:tblHeader w:val="on"/>
        </w:trPr>
        <w:tc>
          <w:tcPr/>
          <w:p>
            <w:pPr>
              <w:pStyle w:val="Compact"/>
            </w:pPr>
            <w:r>
              <w:t xml:space="preserve">บทบาท</w:t>
            </w:r>
          </w:p>
        </w:tc>
        <w:tc>
          <w:tcPr/>
          <w:p>
            <w:pPr>
              <w:pStyle w:val="Compact"/>
            </w:pPr>
            <w:r>
              <w:t xml:space="preserve">ความรับผิดชอบหลัก</w:t>
            </w:r>
          </w:p>
        </w:tc>
      </w:tr>
      <w:tr>
        <w:tc>
          <w:tcPr/>
          <w:p>
            <w:pPr>
              <w:pStyle w:val="Compact"/>
            </w:pPr>
            <w:r>
              <w:t xml:space="preserve">CEO / กรรมการผู้จัดการ</w:t>
            </w:r>
          </w:p>
        </w:tc>
        <w:tc>
          <w:tcPr/>
          <w:p>
            <w:pPr>
              <w:pStyle w:val="Compact"/>
            </w:pPr>
            <w:r>
              <w:t xml:space="preserve">กลยุทธ์, ความสัมพันธ์ ธปท./sponsor bank, มีกรรมการสัญชาติไทยถิ่นที่อยู่ในไทยอย่างน้อย 1 คน (เกณฑ์ ธปท.)</w:t>
            </w:r>
          </w:p>
        </w:tc>
      </w:tr>
      <w:tr>
        <w:tc>
          <w:tcPr/>
          <w:p>
            <w:pPr>
              <w:pStyle w:val="Compact"/>
            </w:pPr>
            <w:r>
              <w:t xml:space="preserve">Compliance Officer / MLRO</w:t>
            </w:r>
          </w:p>
        </w:tc>
        <w:tc>
          <w:tcPr/>
          <w:p>
            <w:pPr>
              <w:pStyle w:val="Compact"/>
            </w:pPr>
            <w:r>
              <w:t xml:space="preserve">AML/KYC, รายงาน ปปง., เกณฑ์ ธปท., ประสาน QSA</w:t>
            </w:r>
          </w:p>
        </w:tc>
      </w:tr>
      <w:tr>
        <w:tc>
          <w:tcPr/>
          <w:p>
            <w:pPr>
              <w:pStyle w:val="Compact"/>
            </w:pPr>
            <w:r>
              <w:t xml:space="preserve">DPO (Data Protection Officer)</w:t>
            </w:r>
          </w:p>
        </w:tc>
        <w:tc>
          <w:tcPr/>
          <w:p>
            <w:pPr>
              <w:pStyle w:val="Compact"/>
            </w:pPr>
            <w:r>
              <w:t xml:space="preserve">PDPA, สิทธิเจ้าของข้อมูล, การประมวลผลข้อมูล</w:t>
            </w:r>
          </w:p>
        </w:tc>
      </w:tr>
      <w:tr>
        <w:tc>
          <w:tcPr/>
          <w:p>
            <w:pPr>
              <w:pStyle w:val="Compact"/>
            </w:pPr>
            <w:r>
              <w:t xml:space="preserve">CISO / DevSecOps Lead</w:t>
            </w:r>
          </w:p>
        </w:tc>
        <w:tc>
          <w:tcPr/>
          <w:p>
            <w:pPr>
              <w:pStyle w:val="Compact"/>
            </w:pPr>
            <w:r>
              <w:t xml:space="preserve">PCI-DSS v4.0, HSM/KMS, network segmentation, pentest/ASV</w:t>
            </w:r>
          </w:p>
        </w:tc>
      </w:tr>
      <w:tr>
        <w:tc>
          <w:tcPr/>
          <w:p>
            <w:pPr>
              <w:pStyle w:val="Compact"/>
            </w:pPr>
            <w:r>
              <w:t xml:space="preserve">Head of Risk / Underwriting</w:t>
            </w:r>
          </w:p>
        </w:tc>
        <w:tc>
          <w:tcPr/>
          <w:p>
            <w:pPr>
              <w:pStyle w:val="Compact"/>
            </w:pPr>
            <w:r>
              <w:t xml:space="preserve">merchant risk tier, reserve, chargeback/fraud</w:t>
            </w:r>
          </w:p>
        </w:tc>
      </w:tr>
      <w:tr>
        <w:tc>
          <w:tcPr/>
          <w:p>
            <w:pPr>
              <w:pStyle w:val="Compact"/>
            </w:pPr>
            <w:r>
              <w:t xml:space="preserve">Head of Engineering / SRE</w:t>
            </w:r>
          </w:p>
        </w:tc>
        <w:tc>
          <w:tcPr/>
          <w:p>
            <w:pPr>
              <w:pStyle w:val="Compact"/>
            </w:pPr>
            <w:r>
              <w:t xml:space="preserve">availability, ledger, reconciliation, DR</w:t>
            </w:r>
          </w:p>
        </w:tc>
      </w:tr>
      <w:tr>
        <w:tc>
          <w:tcPr/>
          <w:p>
            <w:pPr>
              <w:pStyle w:val="Compact"/>
            </w:pPr>
            <w:r>
              <w:t xml:space="preserve">Head of Finance</w:t>
            </w:r>
          </w:p>
        </w:tc>
        <w:tc>
          <w:tcPr/>
          <w:p>
            <w:pPr>
              <w:pStyle w:val="Compact"/>
            </w:pPr>
            <w:r>
              <w:t xml:space="preserve">ทุนจดทะเบียน (คงไว้ ≥75%), settlement, ประมาณการการเงิน</w:t>
            </w:r>
          </w:p>
        </w:tc>
      </w:tr>
    </w:tbl>
    <w:p>
      <w:r>
        <w:pict>
          <v:rect style="width:0;height:1.5pt" o:hralign="center" o:hrstd="t" o:hr="t"/>
        </w:pict>
      </w:r>
    </w:p>
    <w:bookmarkEnd w:id="51"/>
    <w:bookmarkStart w:id="52" w:name="X02fdac6d4624ac10b5b60931792631358758dbe"/>
    <w:p>
      <w:pPr>
        <w:pStyle w:val="Heading2"/>
      </w:pPr>
      <w:r>
        <w:t xml:space="preserve">7. สมมติฐานและรายการที่ยังไม่ยืนยัน (Assumptions / TODO)</w:t>
      </w:r>
    </w:p>
    <w:p>
      <w:pPr>
        <w:pStyle w:val="BlockText"/>
      </w:pPr>
      <w:r>
        <w:rPr>
          <w:b/>
          <w:bCs/>
        </w:rPr>
        <w:t xml:space="preserve">[ASSUMPTION / TODO — ต้องยืนยันก่อนยื่น/ก่อน go-live]</w:t>
      </w:r>
    </w:p>
    <w:p>
      <w:pPr>
        <w:pStyle w:val="Compact"/>
        <w:numPr>
          <w:ilvl w:val="0"/>
          <w:numId w:val="1007"/>
        </w:numPr>
      </w:pPr>
      <w:r>
        <w:rPr>
          <w:b/>
          <w:bCs/>
        </w:rPr>
        <w:t xml:space="preserve">Sponsor bank / scheme certification</w:t>
      </w:r>
      <w:r>
        <w:t xml:space="preserve"> </w:t>
      </w:r>
      <w:r>
        <w:t xml:space="preserve">— ยังไม่ได้เลือกธนาคารผู้สนับสนุนและยังไม่เริ่ม certification กับ Visa/Mastercard เป็นทางการ ตัวเลข fee และ timeline certification เป็นประมาณการ ต้องยืนยันหลังลงนาม (ดู</w:t>
      </w:r>
      <w:r>
        <w:t xml:space="preserve"> </w:t>
      </w:r>
      <w:r>
        <w:rPr>
          <w:rStyle w:val="VerbatimChar"/>
        </w:rPr>
        <w:t xml:space="preserve">ROADMAP.md</w:t>
      </w:r>
      <w:r>
        <w:t xml:space="preserve">)</w:t>
      </w:r>
    </w:p>
    <w:p>
      <w:pPr>
        <w:pStyle w:val="Compact"/>
        <w:numPr>
          <w:ilvl w:val="0"/>
          <w:numId w:val="1007"/>
        </w:numPr>
      </w:pPr>
      <w:r>
        <w:rPr>
          <w:b/>
          <w:bCs/>
        </w:rPr>
        <w:t xml:space="preserve">QSA vendor</w:t>
      </w:r>
      <w:r>
        <w:t xml:space="preserve"> </w:t>
      </w:r>
      <w:r>
        <w:t xml:space="preserve">— ยังไม่ได้เลือก QSA สำหรับ PCI-DSS v4.0 L1 (RoC) และ ASV สำหรับ quarterly scan ต้นทุน PCI เป็นกรอบกว้าง (</w:t>
      </w:r>
      <w:r>
        <w:rPr>
          <w:rStyle w:val="VerbatimChar"/>
        </w:rPr>
        <w:t xml:space="preserve">ROADMAP.md</w:t>
      </w:r>
      <w:r>
        <w:t xml:space="preserve"> </w:t>
      </w:r>
      <w:r>
        <w:t xml:space="preserve">ข้อ 4)</w:t>
      </w:r>
    </w:p>
    <w:p>
      <w:pPr>
        <w:pStyle w:val="Compact"/>
        <w:numPr>
          <w:ilvl w:val="0"/>
          <w:numId w:val="1007"/>
        </w:numPr>
      </w:pPr>
      <w:r>
        <w:rPr>
          <w:b/>
          <w:bCs/>
        </w:rPr>
        <w:t xml:space="preserve">ทุนจดทะเบียนชำระแล้ว</w:t>
      </w:r>
      <w:r>
        <w:t xml:space="preserve"> </w:t>
      </w:r>
      <w:r>
        <w:t xml:space="preserve">— แผนอิงเกณฑ์ 50 ล้านบาท (Acquiring) และต้องคงไว้ ≥ 75% ตลอดการดำเนินงาน ต้องยืนยันการชำระทุนจริงและวัตถุประสงค์บริษัทครอบคลุมธุรกิจนี้</w:t>
      </w:r>
    </w:p>
    <w:p>
      <w:pPr>
        <w:pStyle w:val="Compact"/>
        <w:numPr>
          <w:ilvl w:val="0"/>
          <w:numId w:val="1007"/>
        </w:numPr>
      </w:pPr>
      <w:r>
        <w:rPr>
          <w:b/>
          <w:bCs/>
        </w:rPr>
        <w:t xml:space="preserve">อัตรา interchange / scheme fee / MDR</w:t>
      </w:r>
      <w:r>
        <w:t xml:space="preserve"> </w:t>
      </w:r>
      <w:r>
        <w:t xml:space="preserve">— ตัวเลขในข้อ 3–4 เป็นตัวอย่างอ้างอิง ต้องแทนที่ด้วยอัตราจริงหลังเจรจา</w:t>
      </w:r>
    </w:p>
    <w:p>
      <w:pPr>
        <w:pStyle w:val="Compact"/>
        <w:numPr>
          <w:ilvl w:val="0"/>
          <w:numId w:val="1007"/>
        </w:numPr>
      </w:pPr>
      <w:r>
        <w:rPr>
          <w:b/>
          <w:bCs/>
        </w:rPr>
        <w:t xml:space="preserve">ประมาณการ TPV/รายได้</w:t>
      </w:r>
      <w:r>
        <w:t xml:space="preserve"> </w:t>
      </w:r>
      <w:r>
        <w:t xml:space="preserve">— เป็นสมมติฐานเชิงกลยุทธ์เพื่อวางแผน มิใช่การรับประกันผล จะปรับตามผลจริงและ pipeline</w:t>
      </w:r>
    </w:p>
    <w:bookmarkEnd w:id="52"/>
    <w:bookmarkEnd w:id="53"/>
    <w:bookmarkStart w:id="76" w:name="X9eea11f44bfaebdde71e46e622f28f83a7b4b0c"/>
    <w:p>
      <w:pPr>
        <w:pStyle w:val="Heading1"/>
      </w:pPr>
      <w:r>
        <w:t xml:space="preserve">5-year business plan: market, target merchants, pricing, revenue model, competitive positioning, growth (English)</w:t>
      </w:r>
    </w:p>
    <w:p>
      <w:pPr>
        <w:pStyle w:val="BlockText"/>
      </w:pPr>
      <w:r>
        <w:t xml:space="preserve">Supporting document for the license application to operate an</w:t>
      </w:r>
      <w:r>
        <w:t xml:space="preserve"> </w:t>
      </w:r>
      <w:r>
        <w:rPr>
          <w:b/>
          <w:bCs/>
        </w:rPr>
        <w:t xml:space="preserve">Electronic Payment Acquiring Service (Acquiring)</w:t>
      </w:r>
      <w:r>
        <w:t xml:space="preserve"> </w:t>
      </w:r>
      <w:r>
        <w:t xml:space="preserve">under the</w:t>
      </w:r>
      <w:r>
        <w:t xml:space="preserve"> </w:t>
      </w:r>
      <w:r>
        <w:rPr>
          <w:b/>
          <w:bCs/>
        </w:rPr>
        <w:t xml:space="preserve">Payment Systems Act B.E. 2560 (2017)</w:t>
      </w:r>
      <w:r>
        <w:t xml:space="preserve">, supervised by the</w:t>
      </w:r>
      <w:r>
        <w:t xml:space="preserve"> </w:t>
      </w:r>
      <w:r>
        <w:rPr>
          <w:b/>
          <w:bCs/>
        </w:rPr>
        <w:t xml:space="preserve">Bank of Thailand (BOT / ธปท.)</w:t>
      </w:r>
      <w:r>
        <w:t xml:space="preserve">.</w:t>
      </w:r>
      <w:r>
        <w:t xml:space="preserve"> </w:t>
      </w:r>
      <w:r>
        <w:t xml:space="preserve">Applicant:</w:t>
      </w:r>
      <w:r>
        <w:t xml:space="preserve"> </w:t>
      </w:r>
      <w:r>
        <w:rPr>
          <w:b/>
          <w:bCs/>
        </w:rPr>
        <w:t xml:space="preserve">[บริษัท / Company]</w:t>
      </w:r>
      <w:r>
        <w:t xml:space="preserve"> </w:t>
      </w:r>
      <w:r>
        <w:t xml:space="preserve">· Paid-up capital:</w:t>
      </w:r>
      <w:r>
        <w:t xml:space="preserve"> </w:t>
      </w:r>
      <w:r>
        <w:rPr>
          <w:b/>
          <w:bCs/>
        </w:rPr>
        <w:t xml:space="preserve">THB 50 million</w:t>
      </w:r>
      <w:r>
        <w:t xml:space="preserve"> </w:t>
      </w:r>
      <w:r>
        <w:t xml:space="preserve">· Target standard:</w:t>
      </w:r>
      <w:r>
        <w:t xml:space="preserve"> </w:t>
      </w:r>
      <w:r>
        <w:rPr>
          <w:b/>
          <w:bCs/>
        </w:rPr>
        <w:t xml:space="preserve">PCI-DSS v4.0 Level 1</w:t>
      </w:r>
      <w:r>
        <w:t xml:space="preserve">.</w:t>
      </w:r>
    </w:p>
    <w:p>
      <w:pPr>
        <w:pStyle w:val="BlockText"/>
      </w:pPr>
      <w:r>
        <w:t xml:space="preserve">This is document 01 of the application set (read together with</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b/>
          <w:bCs/>
        </w:rPr>
        <w:t xml:space="preserve">This is a business/technical document, not legal advice</w:t>
      </w:r>
      <w:r>
        <w:t xml:space="preserve"> </w:t>
      </w:r>
      <w:r>
        <w:t xml:space="preserve">— must be reviewed by BOT-licensing counsel before submission.</w:t>
      </w:r>
    </w:p>
    <w:p>
      <w:r>
        <w:pict>
          <v:rect style="width:0;height:1.5pt" o:hralign="center" o:hrstd="t" o:hr="t"/>
        </w:pict>
      </w:r>
    </w:p>
    <w:bookmarkStart w:id="54" w:name="executive-summary"/>
    <w:p>
      <w:pPr>
        <w:pStyle w:val="Heading2"/>
      </w:pPr>
      <w:r>
        <w:t xml:space="preserve">0. Executive Summary</w:t>
      </w:r>
    </w:p>
    <w:p>
      <w:pPr>
        <w:pStyle w:val="FirstParagraph"/>
      </w:pPr>
      <w:r>
        <w:rPr>
          <w:b/>
          <w:bCs/>
        </w:rPr>
        <w:t xml:space="preserve">[บริษัท / Company]</w:t>
      </w:r>
      <w:r>
        <w:t xml:space="preserve"> </w:t>
      </w:r>
      <w:r>
        <w:t xml:space="preserve">seeks a Full Acquiring licence to provide card acceptance (Visa / Mastercard / JCB / UnionPay), Thai QR / PromptPay, and local payment methods to merchants in Thailand, acting as a direct acquirer via a sponsor-bank agreement and card-network certification.</w:t>
      </w:r>
    </w:p>
    <w:p>
      <w:pPr>
        <w:pStyle w:val="BodyText"/>
      </w:pPr>
      <w:r>
        <w:t xml:space="preserve">Core positioning:</w:t>
      </w:r>
      <w:r>
        <w:t xml:space="preserve"> </w:t>
      </w:r>
      <w:r>
        <w:rPr>
          <w:b/>
          <w:bCs/>
        </w:rPr>
        <w:t xml:space="preserve">a modern acquiring platform (Go/Fiber, double-entry ledger, tokenization vault) that is compliant-by-design with PCI-DSS v4.0 Level 1 and BOT requirements</w:t>
      </w:r>
      <w:r>
        <w:t xml:space="preserve">, emphasising pricing transparency, reconciliation quality, and predictable merchant settlement.</w:t>
      </w:r>
    </w:p>
    <w:p>
      <w:pPr>
        <w:pStyle w:val="BodyText"/>
      </w:pPr>
      <w:r>
        <w:t xml:space="preserve">Five-year financial targets (summary):</w:t>
      </w:r>
    </w:p>
    <w:tbl>
      <w:tblPr>
        <w:tblStyle w:val="Table"/>
        <w:tblW w:type="pct" w:w="5000"/>
        <w:tblLayout w:type="fixed"/>
        <w:tblLook w:firstRow="1" w:lastRow="0" w:firstColumn="0" w:lastColumn="0" w:noHBand="0" w:noVBand="0" w:val="0020"/>
      </w:tblPr>
      <w:tblGrid>
        <w:gridCol w:w="642"/>
        <w:gridCol w:w="3103"/>
        <w:gridCol w:w="1391"/>
        <w:gridCol w:w="1926"/>
        <w:gridCol w:w="856"/>
      </w:tblGrid>
      <w:tr>
        <w:trPr>
          <w:tblHeader w:val="on"/>
        </w:trPr>
        <w:tc>
          <w:tcPr/>
          <w:p>
            <w:pPr>
              <w:pStyle w:val="Compact"/>
            </w:pPr>
            <w:r>
              <w:t xml:space="preserve">Year</w:t>
            </w:r>
          </w:p>
        </w:tc>
        <w:tc>
          <w:tcPr/>
          <w:p>
            <w:pPr>
              <w:pStyle w:val="Compact"/>
            </w:pPr>
            <w:r>
              <w:t xml:space="preserve">Total Payment Volume (TPV)</w:t>
            </w:r>
          </w:p>
        </w:tc>
        <w:tc>
          <w:tcPr/>
          <w:p>
            <w:pPr>
              <w:pStyle w:val="Compact"/>
            </w:pPr>
            <w:r>
              <w:t xml:space="preserve">Net Revenue</w:t>
            </w:r>
          </w:p>
        </w:tc>
        <w:tc>
          <w:tcPr/>
          <w:p>
            <w:pPr>
              <w:pStyle w:val="Compact"/>
            </w:pPr>
            <w:r>
              <w:t xml:space="preserve">Active merchants</w:t>
            </w:r>
          </w:p>
        </w:tc>
        <w:tc>
          <w:tcPr/>
          <w:p>
            <w:pPr>
              <w:pStyle w:val="Compact"/>
            </w:pPr>
            <w:r>
              <w:t xml:space="preserve">EBITDA</w:t>
            </w:r>
          </w:p>
        </w:tc>
      </w:tr>
      <w:tr>
        <w:tc>
          <w:tcPr/>
          <w:p>
            <w:pPr>
              <w:pStyle w:val="Compact"/>
            </w:pPr>
            <w:r>
              <w:t xml:space="preserve">Y1 (2027)</w:t>
            </w:r>
          </w:p>
        </w:tc>
        <w:tc>
          <w:tcPr/>
          <w:p>
            <w:pPr>
              <w:pStyle w:val="Compact"/>
            </w:pPr>
            <w:r>
              <w:t xml:space="preserve">THB 1,500M</w:t>
            </w:r>
          </w:p>
        </w:tc>
        <w:tc>
          <w:tcPr/>
          <w:p>
            <w:pPr>
              <w:pStyle w:val="Compact"/>
            </w:pPr>
            <w:r>
              <w:t xml:space="preserve">THB 18M</w:t>
            </w:r>
          </w:p>
        </w:tc>
        <w:tc>
          <w:tcPr/>
          <w:p>
            <w:pPr>
              <w:pStyle w:val="Compact"/>
            </w:pPr>
            <w:r>
              <w:t xml:space="preserve">400</w:t>
            </w:r>
          </w:p>
        </w:tc>
        <w:tc>
          <w:tcPr/>
          <w:p>
            <w:pPr>
              <w:pStyle w:val="Compact"/>
            </w:pPr>
            <w:r>
              <w:t xml:space="preserve">Negative</w:t>
            </w:r>
          </w:p>
        </w:tc>
      </w:tr>
      <w:tr>
        <w:tc>
          <w:tcPr/>
          <w:p>
            <w:pPr>
              <w:pStyle w:val="Compact"/>
            </w:pPr>
            <w:r>
              <w:t xml:space="preserve">Y2 (2028)</w:t>
            </w:r>
          </w:p>
        </w:tc>
        <w:tc>
          <w:tcPr/>
          <w:p>
            <w:pPr>
              <w:pStyle w:val="Compact"/>
            </w:pPr>
            <w:r>
              <w:t xml:space="preserve">THB 6,000M</w:t>
            </w:r>
          </w:p>
        </w:tc>
        <w:tc>
          <w:tcPr/>
          <w:p>
            <w:pPr>
              <w:pStyle w:val="Compact"/>
            </w:pPr>
            <w:r>
              <w:t xml:space="preserve">THB 66M</w:t>
            </w:r>
          </w:p>
        </w:tc>
        <w:tc>
          <w:tcPr/>
          <w:p>
            <w:pPr>
              <w:pStyle w:val="Compact"/>
            </w:pPr>
            <w:r>
              <w:t xml:space="preserve">1,800</w:t>
            </w:r>
          </w:p>
        </w:tc>
        <w:tc>
          <w:tcPr/>
          <w:p>
            <w:pPr>
              <w:pStyle w:val="Compact"/>
            </w:pPr>
            <w:r>
              <w:t xml:space="preserve">Near break-even</w:t>
            </w:r>
          </w:p>
        </w:tc>
      </w:tr>
      <w:tr>
        <w:tc>
          <w:tcPr/>
          <w:p>
            <w:pPr>
              <w:pStyle w:val="Compact"/>
            </w:pPr>
            <w:r>
              <w:t xml:space="preserve">Y3 (2029)</w:t>
            </w:r>
          </w:p>
        </w:tc>
        <w:tc>
          <w:tcPr/>
          <w:p>
            <w:pPr>
              <w:pStyle w:val="Compact"/>
            </w:pPr>
            <w:r>
              <w:t xml:space="preserve">THB 15,000M</w:t>
            </w:r>
          </w:p>
        </w:tc>
        <w:tc>
          <w:tcPr/>
          <w:p>
            <w:pPr>
              <w:pStyle w:val="Compact"/>
            </w:pPr>
            <w:r>
              <w:t xml:space="preserve">THB 158M</w:t>
            </w:r>
          </w:p>
        </w:tc>
        <w:tc>
          <w:tcPr/>
          <w:p>
            <w:pPr>
              <w:pStyle w:val="Compact"/>
            </w:pPr>
            <w:r>
              <w:t xml:space="preserve">5,000</w:t>
            </w:r>
          </w:p>
        </w:tc>
        <w:tc>
          <w:tcPr/>
          <w:p>
            <w:pPr>
              <w:pStyle w:val="Compact"/>
            </w:pPr>
            <w:r>
              <w:t xml:space="preserve">Positive</w:t>
            </w:r>
          </w:p>
        </w:tc>
      </w:tr>
      <w:tr>
        <w:tc>
          <w:tcPr/>
          <w:p>
            <w:pPr>
              <w:pStyle w:val="Compact"/>
            </w:pPr>
            <w:r>
              <w:t xml:space="preserve">Y4 (2030)</w:t>
            </w:r>
          </w:p>
        </w:tc>
        <w:tc>
          <w:tcPr/>
          <w:p>
            <w:pPr>
              <w:pStyle w:val="Compact"/>
            </w:pPr>
            <w:r>
              <w:t xml:space="preserve">THB 30,000M</w:t>
            </w:r>
          </w:p>
        </w:tc>
        <w:tc>
          <w:tcPr/>
          <w:p>
            <w:pPr>
              <w:pStyle w:val="Compact"/>
            </w:pPr>
            <w:r>
              <w:t xml:space="preserve">THB 300M</w:t>
            </w:r>
          </w:p>
        </w:tc>
        <w:tc>
          <w:tcPr/>
          <w:p>
            <w:pPr>
              <w:pStyle w:val="Compact"/>
            </w:pPr>
            <w:r>
              <w:t xml:space="preserve">10,000</w:t>
            </w:r>
          </w:p>
        </w:tc>
        <w:tc>
          <w:tcPr/>
          <w:p>
            <w:pPr>
              <w:pStyle w:val="Compact"/>
            </w:pPr>
            <w:r>
              <w:t xml:space="preserve">Strongly positive</w:t>
            </w:r>
          </w:p>
        </w:tc>
      </w:tr>
      <w:tr>
        <w:tc>
          <w:tcPr/>
          <w:p>
            <w:pPr>
              <w:pStyle w:val="Compact"/>
            </w:pPr>
            <w:r>
              <w:t xml:space="preserve">Y5 (2031)</w:t>
            </w:r>
          </w:p>
        </w:tc>
        <w:tc>
          <w:tcPr/>
          <w:p>
            <w:pPr>
              <w:pStyle w:val="Compact"/>
            </w:pPr>
            <w:r>
              <w:t xml:space="preserve">THB 52,000M</w:t>
            </w:r>
          </w:p>
        </w:tc>
        <w:tc>
          <w:tcPr/>
          <w:p>
            <w:pPr>
              <w:pStyle w:val="Compact"/>
            </w:pPr>
            <w:r>
              <w:t xml:space="preserve">THB 494M</w:t>
            </w:r>
          </w:p>
        </w:tc>
        <w:tc>
          <w:tcPr/>
          <w:p>
            <w:pPr>
              <w:pStyle w:val="Compact"/>
            </w:pPr>
            <w:r>
              <w:t xml:space="preserve">18,000</w:t>
            </w:r>
          </w:p>
        </w:tc>
        <w:tc>
          <w:tcPr/>
          <w:p>
            <w:pPr>
              <w:pStyle w:val="Compact"/>
            </w:pPr>
            <w:r>
              <w:t xml:space="preserve">Expanding margin</w:t>
            </w:r>
          </w:p>
        </w:tc>
      </w:tr>
    </w:tbl>
    <w:p>
      <w:pPr>
        <w:pStyle w:val="BlockText"/>
      </w:pPr>
      <w:r>
        <w:t xml:space="preserve">Figures are strategic projections based on the assumptions in Sections 4–5 (average take rate ~0.95–1.1% of TPV), not guarantees.</w:t>
      </w:r>
    </w:p>
    <w:p>
      <w:r>
        <w:pict>
          <v:rect style="width:0;height:1.5pt" o:hralign="center" o:hrstd="t" o:hr="t"/>
        </w:pict>
      </w:r>
    </w:p>
    <w:bookmarkEnd w:id="54"/>
    <w:bookmarkStart w:id="58" w:name="market"/>
    <w:p>
      <w:pPr>
        <w:pStyle w:val="Heading2"/>
      </w:pPr>
      <w:r>
        <w:t xml:space="preserve">1. Market</w:t>
      </w:r>
    </w:p>
    <w:bookmarkStart w:id="55" w:name="market-overview"/>
    <w:p>
      <w:pPr>
        <w:pStyle w:val="Heading3"/>
      </w:pPr>
      <w:r>
        <w:t xml:space="preserve">1.1 Market overview</w:t>
      </w:r>
    </w:p>
    <w:p>
      <w:pPr>
        <w:pStyle w:val="Compact"/>
        <w:numPr>
          <w:ilvl w:val="0"/>
          <w:numId w:val="1008"/>
        </w:numPr>
      </w:pPr>
      <w:r>
        <w:t xml:space="preserve">Thailand has a</w:t>
      </w:r>
      <w:r>
        <w:t xml:space="preserve"> </w:t>
      </w:r>
      <w:r>
        <w:rPr>
          <w:b/>
          <w:bCs/>
        </w:rPr>
        <w:t xml:space="preserve">fast-growing digital-payments market</w:t>
      </w:r>
      <w:r>
        <w:t xml:space="preserve">, anchored by PromptPay and Thai QR Payment infrastructure promoted by the BOT, with sustained debit/credit card usage in e-commerce, travel, and modern retail.</w:t>
      </w:r>
    </w:p>
    <w:p>
      <w:pPr>
        <w:pStyle w:val="Compact"/>
        <w:numPr>
          <w:ilvl w:val="0"/>
          <w:numId w:val="1008"/>
        </w:numPr>
      </w:pPr>
      <w:r>
        <w:t xml:space="preserve">Structural trends: cash-to-digital migration, cross-border e-commerce, tourism recovery (foreign-card volume), and demand for omni-channel (online + in-store + in-app).</w:t>
      </w:r>
    </w:p>
    <w:bookmarkEnd w:id="55"/>
    <w:bookmarkStart w:id="56" w:name="target-segments"/>
    <w:p>
      <w:pPr>
        <w:pStyle w:val="Heading3"/>
      </w:pPr>
      <w:r>
        <w:t xml:space="preserve">1.2 Target segments</w:t>
      </w:r>
    </w:p>
    <w:tbl>
      <w:tblPr>
        <w:tblStyle w:val="Table"/>
        <w:tblW w:type="pct" w:w="5000"/>
        <w:tblLayout w:type="fixed"/>
        <w:tblLook w:firstRow="1" w:lastRow="0" w:firstColumn="0" w:lastColumn="0" w:noHBand="0" w:noVBand="0" w:val="0020"/>
      </w:tblPr>
      <w:tblGrid>
        <w:gridCol w:w="2457"/>
        <w:gridCol w:w="2457"/>
        <w:gridCol w:w="3004"/>
      </w:tblGrid>
      <w:tr>
        <w:trPr>
          <w:tblHeader w:val="on"/>
        </w:trPr>
        <w:tc>
          <w:tcPr/>
          <w:p>
            <w:pPr>
              <w:pStyle w:val="Compact"/>
            </w:pPr>
            <w:r>
              <w:t xml:space="preserve">Segment</w:t>
            </w:r>
          </w:p>
        </w:tc>
        <w:tc>
          <w:tcPr/>
          <w:p>
            <w:pPr>
              <w:pStyle w:val="Compact"/>
            </w:pPr>
            <w:r>
              <w:t xml:space="preserve">Profile</w:t>
            </w:r>
          </w:p>
        </w:tc>
        <w:tc>
          <w:tcPr/>
          <w:p>
            <w:pPr>
              <w:pStyle w:val="Compact"/>
            </w:pPr>
            <w:r>
              <w:t xml:space="preserve">Key needs</w:t>
            </w:r>
          </w:p>
        </w:tc>
      </w:tr>
      <w:tr>
        <w:tc>
          <w:tcPr/>
          <w:p>
            <w:pPr>
              <w:pStyle w:val="Compact"/>
            </w:pPr>
            <w:r>
              <w:t xml:space="preserve">e-commerce SME</w:t>
            </w:r>
          </w:p>
        </w:tc>
        <w:tc>
          <w:tcPr/>
          <w:p>
            <w:pPr>
              <w:pStyle w:val="Compact"/>
            </w:pPr>
            <w:r>
              <w:t xml:space="preserve">Online shops, mid-size ticket</w:t>
            </w:r>
          </w:p>
        </w:tc>
        <w:tc>
          <w:tcPr/>
          <w:p>
            <w:pPr>
              <w:pStyle w:val="Compact"/>
            </w:pPr>
            <w:r>
              <w:t xml:space="preserve">Fast onboarding, transparent fees, high-conversion checkout</w:t>
            </w:r>
          </w:p>
        </w:tc>
      </w:tr>
      <w:tr>
        <w:tc>
          <w:tcPr/>
          <w:p>
            <w:pPr>
              <w:pStyle w:val="Compact"/>
            </w:pPr>
            <w:r>
              <w:t xml:space="preserve">Digital / SaaS / Subscription</w:t>
            </w:r>
          </w:p>
        </w:tc>
        <w:tc>
          <w:tcPr/>
          <w:p>
            <w:pPr>
              <w:pStyle w:val="Compact"/>
            </w:pPr>
            <w:r>
              <w:t xml:space="preserve">Recurring billing</w:t>
            </w:r>
          </w:p>
        </w:tc>
        <w:tc>
          <w:tcPr/>
          <w:p>
            <w:pPr>
              <w:pStyle w:val="Compact"/>
            </w:pPr>
            <w:r>
              <w:t xml:space="preserve">Tokenization, network token, retry logic, 3DS</w:t>
            </w:r>
          </w:p>
        </w:tc>
      </w:tr>
      <w:tr>
        <w:tc>
          <w:tcPr/>
          <w:p>
            <w:pPr>
              <w:pStyle w:val="Compact"/>
            </w:pPr>
            <w:r>
              <w:t xml:space="preserve">Travel &amp; Hospitality</w:t>
            </w:r>
          </w:p>
        </w:tc>
        <w:tc>
          <w:tcPr/>
          <w:p>
            <w:pPr>
              <w:pStyle w:val="Compact"/>
            </w:pPr>
            <w:r>
              <w:t xml:space="preserve">High ticket, foreign cards</w:t>
            </w:r>
          </w:p>
        </w:tc>
        <w:tc>
          <w:tcPr/>
          <w:p>
            <w:pPr>
              <w:pStyle w:val="Compact"/>
            </w:pPr>
            <w:r>
              <w:t xml:space="preserve">Multi-currency, auth-then-capture, strong refund/dispute</w:t>
            </w:r>
          </w:p>
        </w:tc>
      </w:tr>
      <w:tr>
        <w:tc>
          <w:tcPr/>
          <w:p>
            <w:pPr>
              <w:pStyle w:val="Compact"/>
            </w:pPr>
            <w:r>
              <w:t xml:space="preserve">Marketplace / Platform</w:t>
            </w:r>
          </w:p>
        </w:tc>
        <w:tc>
          <w:tcPr/>
          <w:p>
            <w:pPr>
              <w:pStyle w:val="Compact"/>
            </w:pPr>
            <w:r>
              <w:t xml:space="preserve">Split payouts to many sellers</w:t>
            </w:r>
          </w:p>
        </w:tc>
        <w:tc>
          <w:tcPr/>
          <w:p>
            <w:pPr>
              <w:pStyle w:val="Compact"/>
            </w:pPr>
            <w:r>
              <w:t xml:space="preserve">Split settlement, sub-merchant, per-store reporting</w:t>
            </w:r>
          </w:p>
        </w:tc>
      </w:tr>
      <w:tr>
        <w:tc>
          <w:tcPr/>
          <w:p>
            <w:pPr>
              <w:pStyle w:val="Compact"/>
            </w:pPr>
            <w:r>
              <w:t xml:space="preserve">Enterprise Retail (omni-channel)</w:t>
            </w:r>
          </w:p>
        </w:tc>
        <w:tc>
          <w:tcPr/>
          <w:p>
            <w:pPr>
              <w:pStyle w:val="Compact"/>
            </w:pPr>
            <w:r>
              <w:t xml:space="preserve">High volume</w:t>
            </w:r>
          </w:p>
        </w:tc>
        <w:tc>
          <w:tcPr/>
          <w:p>
            <w:pPr>
              <w:pStyle w:val="Compact"/>
            </w:pPr>
            <w:r>
              <w:t xml:space="preserve">SLA, branch-level reconciliation, low per-txn cost (IC++)</w:t>
            </w:r>
          </w:p>
        </w:tc>
      </w:tr>
    </w:tbl>
    <w:bookmarkEnd w:id="56"/>
    <w:bookmarkStart w:id="57" w:name="relevant-regulators-standards"/>
    <w:p>
      <w:pPr>
        <w:pStyle w:val="Heading3"/>
      </w:pPr>
      <w:r>
        <w:t xml:space="preserve">1.3 Relevant regulators &amp; standards</w:t>
      </w:r>
    </w:p>
    <w:tbl>
      <w:tblPr>
        <w:tblStyle w:val="Table"/>
        <w:tblW w:type="pct" w:w="5000"/>
        <w:tblLayout w:type="fixed"/>
        <w:tblLook w:firstRow="1" w:lastRow="0" w:firstColumn="0" w:lastColumn="0" w:noHBand="0" w:noVBand="0" w:val="0020"/>
      </w:tblPr>
      <w:tblGrid>
        <w:gridCol w:w="3283"/>
        <w:gridCol w:w="4636"/>
      </w:tblGrid>
      <w:tr>
        <w:trPr>
          <w:tblHeader w:val="on"/>
        </w:trPr>
        <w:tc>
          <w:tcPr/>
          <w:p>
            <w:pPr>
              <w:pStyle w:val="Compact"/>
            </w:pPr>
            <w:r>
              <w:t xml:space="preserve">Body / standard</w:t>
            </w:r>
          </w:p>
        </w:tc>
        <w:tc>
          <w:tcPr/>
          <w:p>
            <w:pPr>
              <w:pStyle w:val="Compact"/>
            </w:pPr>
            <w:r>
              <w:t xml:space="preserve">Role for this business</w:t>
            </w:r>
          </w:p>
        </w:tc>
      </w:tr>
      <w:tr>
        <w:tc>
          <w:tcPr/>
          <w:p>
            <w:pPr>
              <w:pStyle w:val="Compact"/>
            </w:pPr>
            <w:r>
              <w:rPr>
                <w:b/>
                <w:bCs/>
              </w:rPr>
              <w:t xml:space="preserve">Bank of Thailand (ธปท.)</w:t>
            </w:r>
          </w:p>
        </w:tc>
        <w:tc>
          <w:tcPr/>
          <w:p>
            <w:pPr>
              <w:pStyle w:val="Compact"/>
            </w:pPr>
            <w:r>
              <w:t xml:space="preserve">Acquiring licence, IT risk, cyber resilience, BCP, outsourcing, periodic reporting</w:t>
            </w:r>
          </w:p>
        </w:tc>
      </w:tr>
      <w:tr>
        <w:tc>
          <w:tcPr/>
          <w:p>
            <w:pPr>
              <w:pStyle w:val="Compact"/>
            </w:pPr>
            <w:r>
              <w:rPr>
                <w:b/>
                <w:bCs/>
              </w:rPr>
              <w:t xml:space="preserve">AMLO (ปปง.)</w:t>
            </w:r>
          </w:p>
        </w:tc>
        <w:tc>
          <w:tcPr/>
          <w:p>
            <w:pPr>
              <w:pStyle w:val="Compact"/>
            </w:pPr>
            <w:r>
              <w:t xml:space="preserve">KYC/CDD, transaction reporting (STR/CTR), sanction/PEP screening under AML law</w:t>
            </w:r>
          </w:p>
        </w:tc>
      </w:tr>
      <w:tr>
        <w:tc>
          <w:tcPr/>
          <w:p>
            <w:pPr>
              <w:pStyle w:val="Compact"/>
            </w:pPr>
            <w:r>
              <w:rPr>
                <w:b/>
                <w:bCs/>
              </w:rPr>
              <w:t xml:space="preserve">PDPC (คปช.)</w:t>
            </w:r>
          </w:p>
        </w:tc>
        <w:tc>
          <w:tcPr/>
          <w:p>
            <w:pPr>
              <w:pStyle w:val="Compact"/>
            </w:pPr>
            <w:r>
              <w:t xml:space="preserve">Personal-data protection under PDPA (B.E. 2562)</w:t>
            </w:r>
          </w:p>
        </w:tc>
      </w:tr>
      <w:tr>
        <w:tc>
          <w:tcPr/>
          <w:p>
            <w:pPr>
              <w:pStyle w:val="Compact"/>
            </w:pPr>
            <w:r>
              <w:rPr>
                <w:b/>
                <w:bCs/>
              </w:rPr>
              <w:t xml:space="preserve">PCI SSC (via QSA/ASV)</w:t>
            </w:r>
          </w:p>
        </w:tc>
        <w:tc>
          <w:tcPr/>
          <w:p>
            <w:pPr>
              <w:pStyle w:val="Compact"/>
            </w:pPr>
            <w:r>
              <w:t xml:space="preserve">PCI-DSS v4.0 Level 1, EMV 3DS (3-D Secure 2.x)</w:t>
            </w:r>
          </w:p>
        </w:tc>
      </w:tr>
      <w:tr>
        <w:tc>
          <w:tcPr/>
          <w:p>
            <w:pPr>
              <w:pStyle w:val="Compact"/>
            </w:pPr>
            <w:r>
              <w:rPr>
                <w:b/>
                <w:bCs/>
              </w:rPr>
              <w:t xml:space="preserve">Card networks (Visa / Mastercard)</w:t>
            </w:r>
          </w:p>
        </w:tc>
        <w:tc>
          <w:tcPr/>
          <w:p>
            <w:pPr>
              <w:pStyle w:val="Compact"/>
            </w:pPr>
            <w:r>
              <w:t xml:space="preserve">Scheme rules, certification, interchange, chargeback/dispute</w:t>
            </w:r>
          </w:p>
        </w:tc>
      </w:tr>
    </w:tbl>
    <w:p>
      <w:r>
        <w:pict>
          <v:rect style="width:0;height:1.5pt" o:hralign="center" o:hrstd="t" o:hr="t"/>
        </w:pict>
      </w:r>
    </w:p>
    <w:bookmarkEnd w:id="57"/>
    <w:bookmarkEnd w:id="58"/>
    <w:bookmarkStart w:id="61" w:name="target-merchants"/>
    <w:p>
      <w:pPr>
        <w:pStyle w:val="Heading2"/>
      </w:pPr>
      <w:r>
        <w:t xml:space="preserve">2. Target Merchants</w:t>
      </w:r>
    </w:p>
    <w:bookmarkStart w:id="59" w:name="merchant-eligibility-risk-tiers"/>
    <w:p>
      <w:pPr>
        <w:pStyle w:val="Heading3"/>
      </w:pPr>
      <w:r>
        <w:t xml:space="preserve">2.1 Merchant eligibility &amp; risk tiers</w:t>
      </w:r>
    </w:p>
    <w:p>
      <w:pPr>
        <w:pStyle w:val="FirstParagraph"/>
      </w:pPr>
      <w:r>
        <w:t xml:space="preserve">Every merchant passes</w:t>
      </w:r>
      <w:r>
        <w:t xml:space="preserve"> </w:t>
      </w:r>
      <w:r>
        <w:rPr>
          <w:b/>
          <w:bCs/>
        </w:rPr>
        <w:t xml:space="preserve">KYC/KYB + CDD</w:t>
      </w:r>
      <w:r>
        <w:t xml:space="preserve"> </w:t>
      </w:r>
      <w:r>
        <w:t xml:space="preserve">per AML policy (aligned with AMLO law) before onboarding:</w:t>
      </w:r>
    </w:p>
    <w:tbl>
      <w:tblPr>
        <w:tblStyle w:val="Table"/>
        <w:tblW w:type="pct" w:w="5000"/>
        <w:tblLayout w:type="fixed"/>
        <w:tblLook w:firstRow="1" w:lastRow="0" w:firstColumn="0" w:lastColumn="0" w:noHBand="0" w:noVBand="0" w:val="0020"/>
      </w:tblPr>
      <w:tblGrid>
        <w:gridCol w:w="1210"/>
        <w:gridCol w:w="3410"/>
        <w:gridCol w:w="1210"/>
        <w:gridCol w:w="2090"/>
      </w:tblGrid>
      <w:tr>
        <w:trPr>
          <w:tblHeader w:val="on"/>
        </w:trPr>
        <w:tc>
          <w:tcPr/>
          <w:p>
            <w:pPr>
              <w:pStyle w:val="Compact"/>
            </w:pPr>
            <w:r>
              <w:t xml:space="preserve">Risk Tier</w:t>
            </w:r>
          </w:p>
        </w:tc>
        <w:tc>
          <w:tcPr/>
          <w:p>
            <w:pPr>
              <w:pStyle w:val="Compact"/>
            </w:pPr>
            <w:r>
              <w:t xml:space="preserve">Example business types (MCC)</w:t>
            </w:r>
          </w:p>
        </w:tc>
        <w:tc>
          <w:tcPr/>
          <w:p>
            <w:pPr>
              <w:pStyle w:val="Compact"/>
            </w:pPr>
            <w:r>
              <w:t xml:space="preserve">Diligence</w:t>
            </w:r>
          </w:p>
        </w:tc>
        <w:tc>
          <w:tcPr/>
          <w:p>
            <w:pPr>
              <w:pStyle w:val="Compact"/>
            </w:pPr>
            <w:r>
              <w:t xml:space="preserve">Initial controls</w:t>
            </w:r>
          </w:p>
        </w:tc>
      </w:tr>
      <w:tr>
        <w:tc>
          <w:tcPr/>
          <w:p>
            <w:pPr>
              <w:pStyle w:val="Compact"/>
            </w:pPr>
            <w:r>
              <w:t xml:space="preserve">Low</w:t>
            </w:r>
          </w:p>
        </w:tc>
        <w:tc>
          <w:tcPr/>
          <w:p>
            <w:pPr>
              <w:pStyle w:val="Compact"/>
            </w:pPr>
            <w:r>
              <w:t xml:space="preserve">General retail, restaurants, SaaS</w:t>
            </w:r>
          </w:p>
        </w:tc>
        <w:tc>
          <w:tcPr/>
          <w:p>
            <w:pPr>
              <w:pStyle w:val="Compact"/>
            </w:pPr>
            <w:r>
              <w:t xml:space="preserve">Standard KYB + sanction screen</w:t>
            </w:r>
          </w:p>
        </w:tc>
        <w:tc>
          <w:tcPr/>
          <w:p>
            <w:pPr>
              <w:pStyle w:val="Compact"/>
            </w:pPr>
            <w:r>
              <w:t xml:space="preserve">Per actual volume</w:t>
            </w:r>
          </w:p>
        </w:tc>
      </w:tr>
      <w:tr>
        <w:tc>
          <w:tcPr/>
          <w:p>
            <w:pPr>
              <w:pStyle w:val="Compact"/>
            </w:pPr>
            <w:r>
              <w:t xml:space="preserve">Medium</w:t>
            </w:r>
          </w:p>
        </w:tc>
        <w:tc>
          <w:tcPr/>
          <w:p>
            <w:pPr>
              <w:pStyle w:val="Compact"/>
            </w:pPr>
            <w:r>
              <w:t xml:space="preserve">Travel, airline tickets, marketplace</w:t>
            </w:r>
          </w:p>
        </w:tc>
        <w:tc>
          <w:tcPr/>
          <w:p>
            <w:pPr>
              <w:pStyle w:val="Compact"/>
            </w:pPr>
            <w:r>
              <w:t xml:space="preserve">Enhanced KYB + delayed settlement / rolling reserve</w:t>
            </w:r>
          </w:p>
        </w:tc>
        <w:tc>
          <w:tcPr/>
          <w:p>
            <w:pPr>
              <w:pStyle w:val="Compact"/>
            </w:pPr>
            <w:r>
              <w:t xml:space="preserve">5–10% rolling reserve</w:t>
            </w:r>
          </w:p>
        </w:tc>
      </w:tr>
      <w:tr>
        <w:tc>
          <w:tcPr/>
          <w:p>
            <w:pPr>
              <w:pStyle w:val="Compact"/>
            </w:pPr>
            <w:r>
              <w:t xml:space="preserve">High / special review</w:t>
            </w:r>
          </w:p>
        </w:tc>
        <w:tc>
          <w:tcPr/>
          <w:p>
            <w:pPr>
              <w:pStyle w:val="Compact"/>
            </w:pPr>
            <w:r>
              <w:t xml:space="preserve">High-chargeback, digital goods, high cross-border</w:t>
            </w:r>
          </w:p>
        </w:tc>
        <w:tc>
          <w:tcPr/>
          <w:p>
            <w:pPr>
              <w:pStyle w:val="Compact"/>
            </w:pPr>
            <w:r>
              <w:t xml:space="preserve">EDD + risk committee</w:t>
            </w:r>
          </w:p>
        </w:tc>
        <w:tc>
          <w:tcPr/>
          <w:p>
            <w:pPr>
              <w:pStyle w:val="Compact"/>
            </w:pPr>
            <w:r>
              <w:t xml:space="preserve">Case-by-case approval</w:t>
            </w:r>
          </w:p>
        </w:tc>
      </w:tr>
      <w:tr>
        <w:tc>
          <w:tcPr/>
          <w:p>
            <w:pPr>
              <w:pStyle w:val="Compact"/>
            </w:pPr>
            <w:r>
              <w:rPr>
                <w:b/>
                <w:bCs/>
              </w:rPr>
              <w:t xml:space="preserve">Prohibited</w:t>
            </w:r>
          </w:p>
        </w:tc>
        <w:tc>
          <w:tcPr/>
          <w:p>
            <w:pPr>
              <w:pStyle w:val="Compact"/>
            </w:pPr>
            <w:r>
              <w:t xml:space="preserve">Illegal goods, unlicensed gambling, IP-infringing goods, sanctioned parties</w:t>
            </w:r>
          </w:p>
        </w:tc>
        <w:tc>
          <w:tcPr/>
          <w:p>
            <w:pPr>
              <w:pStyle w:val="Compact"/>
            </w:pPr>
            <w:r>
              <w:t xml:space="preserve">Reject</w:t>
            </w:r>
          </w:p>
        </w:tc>
        <w:tc>
          <w:tcPr/>
          <w:p>
            <w:pPr>
              <w:pStyle w:val="Compact"/>
            </w:pPr>
            <w:r>
              <w:t xml:space="preserve">—</w:t>
            </w:r>
          </w:p>
        </w:tc>
      </w:tr>
    </w:tbl>
    <w:bookmarkEnd w:id="59"/>
    <w:bookmarkStart w:id="60" w:name="merchant-onboarding-process-summary"/>
    <w:p>
      <w:pPr>
        <w:pStyle w:val="Heading3"/>
      </w:pPr>
      <w:r>
        <w:t xml:space="preserve">2.2 Merchant onboarding process (summary)</w:t>
      </w:r>
    </w:p>
    <w:p>
      <w:pPr>
        <w:pStyle w:val="Compact"/>
        <w:numPr>
          <w:ilvl w:val="0"/>
          <w:numId w:val="1009"/>
        </w:numPr>
      </w:pPr>
      <w:r>
        <w:t xml:space="preserve">Apply → collect entity/individual docs, directors, ultimate beneficial owners (UBO).</w:t>
      </w:r>
    </w:p>
    <w:p>
      <w:pPr>
        <w:pStyle w:val="Compact"/>
        <w:numPr>
          <w:ilvl w:val="0"/>
          <w:numId w:val="1009"/>
        </w:numPr>
      </w:pPr>
      <w:r>
        <w:rPr>
          <w:b/>
          <w:bCs/>
        </w:rPr>
        <w:t xml:space="preserve">KYB + sanction/PEP screening</w:t>
      </w:r>
      <w:r>
        <w:t xml:space="preserve"> </w:t>
      </w:r>
      <w:r>
        <w:t xml:space="preserve">(AMLO) → assign risk tier.</w:t>
      </w:r>
    </w:p>
    <w:p>
      <w:pPr>
        <w:pStyle w:val="Compact"/>
        <w:numPr>
          <w:ilvl w:val="0"/>
          <w:numId w:val="1009"/>
        </w:numPr>
      </w:pPr>
      <w:r>
        <w:t xml:space="preserve">Underwriting (credit/chargeback risk, set reserve).</w:t>
      </w:r>
    </w:p>
    <w:p>
      <w:pPr>
        <w:pStyle w:val="Compact"/>
        <w:numPr>
          <w:ilvl w:val="0"/>
          <w:numId w:val="1009"/>
        </w:numPr>
      </w:pPr>
      <w:r>
        <w:t xml:space="preserve">Sign merchant agreement + fees → issue API key / merchant ID.</w:t>
      </w:r>
    </w:p>
    <w:p>
      <w:pPr>
        <w:pStyle w:val="Compact"/>
        <w:numPr>
          <w:ilvl w:val="0"/>
          <w:numId w:val="1009"/>
        </w:numPr>
      </w:pPr>
      <w:r>
        <w:t xml:space="preserve">Technical integration + go-live (sandbox → production).</w:t>
      </w:r>
    </w:p>
    <w:p>
      <w:pPr>
        <w:pStyle w:val="BlockText"/>
      </w:pPr>
      <w:r>
        <w:t xml:space="preserve">Detailed KYC/AML and PDPA controls live in separate documents of the application set (AML/KYC/CDD policy and Personal-Data Protection policy).</w:t>
      </w:r>
    </w:p>
    <w:p>
      <w:r>
        <w:pict>
          <v:rect style="width:0;height:1.5pt" o:hralign="center" o:hrstd="t" o:hr="t"/>
        </w:pict>
      </w:r>
    </w:p>
    <w:bookmarkEnd w:id="60"/>
    <w:bookmarkEnd w:id="61"/>
    <w:bookmarkStart w:id="64" w:name="pricing"/>
    <w:p>
      <w:pPr>
        <w:pStyle w:val="Heading2"/>
      </w:pPr>
      <w:r>
        <w:t xml:space="preserve">3. Pricing</w:t>
      </w:r>
    </w:p>
    <w:bookmarkStart w:id="62" w:name="pricing-model"/>
    <w:p>
      <w:pPr>
        <w:pStyle w:val="Heading3"/>
      </w:pPr>
      <w:r>
        <w:t xml:space="preserve">3.1 Pricing model</w:t>
      </w:r>
    </w:p>
    <w:p>
      <w:pPr>
        <w:pStyle w:val="FirstParagraph"/>
      </w:pPr>
      <w:r>
        <w:t xml:space="preserve">Two structures by segment:</w:t>
      </w:r>
    </w:p>
    <w:tbl>
      <w:tblPr>
        <w:tblStyle w:val="Table"/>
        <w:tblW w:type="pct" w:w="5000"/>
        <w:tblLayout w:type="fixed"/>
        <w:tblLook w:firstRow="1" w:lastRow="0" w:firstColumn="0" w:lastColumn="0" w:noHBand="0" w:noVBand="0" w:val="0020"/>
      </w:tblPr>
      <w:tblGrid>
        <w:gridCol w:w="3226"/>
        <w:gridCol w:w="2933"/>
        <w:gridCol w:w="1760"/>
      </w:tblGrid>
      <w:tr>
        <w:trPr>
          <w:tblHeader w:val="on"/>
        </w:trPr>
        <w:tc>
          <w:tcPr/>
          <w:p>
            <w:pPr>
              <w:pStyle w:val="Compact"/>
            </w:pPr>
            <w:r>
              <w:t xml:space="preserve">Structure</w:t>
            </w:r>
          </w:p>
        </w:tc>
        <w:tc>
          <w:tcPr/>
          <w:p>
            <w:pPr>
              <w:pStyle w:val="Compact"/>
            </w:pPr>
            <w:r>
              <w:t xml:space="preserve">Best for</w:t>
            </w:r>
          </w:p>
        </w:tc>
        <w:tc>
          <w:tcPr/>
          <w:p>
            <w:pPr>
              <w:pStyle w:val="Compact"/>
            </w:pPr>
            <w:r>
              <w:t xml:space="preserve">Form</w:t>
            </w:r>
          </w:p>
        </w:tc>
      </w:tr>
      <w:tr>
        <w:tc>
          <w:tcPr/>
          <w:p>
            <w:pPr>
              <w:pStyle w:val="Compact"/>
            </w:pPr>
            <w:r>
              <w:rPr>
                <w:b/>
                <w:bCs/>
              </w:rPr>
              <w:t xml:space="preserve">Blended (flat)</w:t>
            </w:r>
          </w:p>
        </w:tc>
        <w:tc>
          <w:tcPr/>
          <w:p>
            <w:pPr>
              <w:pStyle w:val="Compact"/>
            </w:pPr>
            <w:r>
              <w:t xml:space="preserve">SME / e-commerce</w:t>
            </w:r>
          </w:p>
        </w:tc>
        <w:tc>
          <w:tcPr/>
          <w:p>
            <w:pPr>
              <w:pStyle w:val="Compact"/>
            </w:pPr>
            <w:r>
              <w:t xml:space="preserve">Single rate per txn, e.g. </w:t>
            </w:r>
            <w:r>
              <w:rPr>
                <w:b/>
                <w:bCs/>
              </w:rPr>
              <w:t xml:space="preserve">2.65% + THB 5</w:t>
            </w:r>
            <w:r>
              <w:t xml:space="preserve"> </w:t>
            </w:r>
            <w:r>
              <w:t xml:space="preserve">(domestic) — simple, transparent</w:t>
            </w:r>
          </w:p>
        </w:tc>
      </w:tr>
      <w:tr>
        <w:tc>
          <w:tcPr/>
          <w:p>
            <w:pPr>
              <w:pStyle w:val="Compact"/>
            </w:pPr>
            <w:r>
              <w:rPr>
                <w:b/>
                <w:bCs/>
              </w:rPr>
              <w:t xml:space="preserve">Interchange++ (IC++)</w:t>
            </w:r>
          </w:p>
        </w:tc>
        <w:tc>
          <w:tcPr/>
          <w:p>
            <w:pPr>
              <w:pStyle w:val="Compact"/>
            </w:pPr>
            <w:r>
              <w:t xml:space="preserve">Enterprise / high volume</w:t>
            </w:r>
          </w:p>
        </w:tc>
        <w:tc>
          <w:tcPr/>
          <w:p>
            <w:pPr>
              <w:pStyle w:val="Compact"/>
            </w:pPr>
            <w:r>
              <w:t xml:space="preserve">interchange (issuer) + scheme fee +</w:t>
            </w:r>
            <w:r>
              <w:t xml:space="preserve"> </w:t>
            </w:r>
            <w:r>
              <w:rPr>
                <w:b/>
                <w:bCs/>
              </w:rPr>
              <w:t xml:space="preserve">our markup</w:t>
            </w:r>
            <w:r>
              <w:t xml:space="preserve">, itemised — per-txn transparency</w:t>
            </w:r>
          </w:p>
        </w:tc>
      </w:tr>
    </w:tbl>
    <w:p>
      <w:pPr>
        <w:pStyle w:val="BodyText"/>
      </w:pPr>
      <w:r>
        <w:t xml:space="preserve">Indicative rates (domestic cards, excl. VAT):</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Channel</w:t>
            </w:r>
          </w:p>
        </w:tc>
        <w:tc>
          <w:tcPr/>
          <w:p>
            <w:pPr>
              <w:pStyle w:val="Compact"/>
            </w:pPr>
            <w:r>
              <w:t xml:space="preserve">Indicative rate</w:t>
            </w:r>
          </w:p>
        </w:tc>
      </w:tr>
      <w:tr>
        <w:tc>
          <w:tcPr/>
          <w:p>
            <w:pPr>
              <w:pStyle w:val="Compact"/>
            </w:pPr>
            <w:r>
              <w:t xml:space="preserve">Domestic credit/debit (blended)</w:t>
            </w:r>
          </w:p>
        </w:tc>
        <w:tc>
          <w:tcPr/>
          <w:p>
            <w:pPr>
              <w:pStyle w:val="Compact"/>
            </w:pPr>
            <w:r>
              <w:t xml:space="preserve">2.4% – 2.9%</w:t>
            </w:r>
          </w:p>
        </w:tc>
      </w:tr>
      <w:tr>
        <w:tc>
          <w:tcPr/>
          <w:p>
            <w:pPr>
              <w:pStyle w:val="Compact"/>
            </w:pPr>
            <w:r>
              <w:t xml:space="preserve">Foreign / cross-border card</w:t>
            </w:r>
          </w:p>
        </w:tc>
        <w:tc>
          <w:tcPr/>
          <w:p>
            <w:pPr>
              <w:pStyle w:val="Compact"/>
            </w:pPr>
            <w:r>
              <w:t xml:space="preserve">+1.0% – 1.5%</w:t>
            </w:r>
          </w:p>
        </w:tc>
      </w:tr>
      <w:tr>
        <w:tc>
          <w:tcPr/>
          <w:p>
            <w:pPr>
              <w:pStyle w:val="Compact"/>
            </w:pPr>
            <w:r>
              <w:t xml:space="preserve">Thai QR / PromptPay</w:t>
            </w:r>
          </w:p>
        </w:tc>
        <w:tc>
          <w:tcPr/>
          <w:p>
            <w:pPr>
              <w:pStyle w:val="Compact"/>
            </w:pPr>
            <w:r>
              <w:t xml:space="preserve">0.5% – 1.0% (or fixed per txn)</w:t>
            </w:r>
          </w:p>
        </w:tc>
      </w:tr>
      <w:tr>
        <w:tc>
          <w:tcPr/>
          <w:p>
            <w:pPr>
              <w:pStyle w:val="Compact"/>
            </w:pPr>
            <w:r>
              <w:t xml:space="preserve">Refund / chargeback handling fee</w:t>
            </w:r>
          </w:p>
        </w:tc>
        <w:tc>
          <w:tcPr/>
          <w:p>
            <w:pPr>
              <w:pStyle w:val="Compact"/>
            </w:pPr>
            <w:r>
              <w:t xml:space="preserve">Fixed per txn (e.g. THB 300–600 per chargeback)</w:t>
            </w:r>
          </w:p>
        </w:tc>
      </w:tr>
      <w:tr>
        <w:tc>
          <w:tcPr/>
          <w:p>
            <w:pPr>
              <w:pStyle w:val="Compact"/>
            </w:pPr>
            <w:r>
              <w:t xml:space="preserve">Payout / settlement fee</w:t>
            </w:r>
          </w:p>
        </w:tc>
        <w:tc>
          <w:tcPr/>
          <w:p>
            <w:pPr>
              <w:pStyle w:val="Compact"/>
            </w:pPr>
            <w:r>
              <w:t xml:space="preserve">Fixed per cycle (optional)</w:t>
            </w:r>
          </w:p>
        </w:tc>
      </w:tr>
    </w:tbl>
    <w:bookmarkEnd w:id="62"/>
    <w:bookmarkStart w:id="63" w:name="cost-notes"/>
    <w:p>
      <w:pPr>
        <w:pStyle w:val="Heading3"/>
      </w:pPr>
      <w:r>
        <w:t xml:space="preserve">3.2 Cost notes</w:t>
      </w:r>
    </w:p>
    <w:p>
      <w:pPr>
        <w:pStyle w:val="Compact"/>
        <w:numPr>
          <w:ilvl w:val="0"/>
          <w:numId w:val="1010"/>
        </w:numPr>
      </w:pPr>
      <w:r>
        <w:t xml:space="preserve">Main costs are</w:t>
      </w:r>
      <w:r>
        <w:t xml:space="preserve"> </w:t>
      </w:r>
      <w:r>
        <w:rPr>
          <w:b/>
          <w:bCs/>
        </w:rPr>
        <w:t xml:space="preserve">interchange (paid to issuer)</w:t>
      </w:r>
      <w:r>
        <w:t xml:space="preserve"> </w:t>
      </w:r>
      <w:r>
        <w:t xml:space="preserve">+</w:t>
      </w:r>
      <w:r>
        <w:t xml:space="preserve"> </w:t>
      </w:r>
      <w:r>
        <w:rPr>
          <w:b/>
          <w:bCs/>
        </w:rPr>
        <w:t xml:space="preserve">scheme fee (Visa/MC)</w:t>
      </w:r>
      <w:r>
        <w:t xml:space="preserve"> </w:t>
      </w:r>
      <w:r>
        <w:t xml:space="preserve">+ sponsor-bank fees.</w:t>
      </w:r>
    </w:p>
    <w:p>
      <w:pPr>
        <w:pStyle w:val="Compact"/>
        <w:numPr>
          <w:ilvl w:val="0"/>
          <w:numId w:val="1010"/>
        </w:numPr>
      </w:pPr>
      <w:r>
        <w:rPr>
          <w:b/>
          <w:bCs/>
        </w:rPr>
        <w:t xml:space="preserve">Net take rate</w:t>
      </w:r>
      <w:r>
        <w:t xml:space="preserve"> </w:t>
      </w:r>
      <w:r>
        <w:t xml:space="preserve">(net revenue / TPV) after per-txn costs is ~</w:t>
      </w:r>
      <w:r>
        <w:rPr>
          <w:b/>
          <w:bCs/>
        </w:rPr>
        <w:t xml:space="preserve">0.9% – 1.1%</w:t>
      </w:r>
      <w:r>
        <w:t xml:space="preserve">, the basis for revenue projections.</w:t>
      </w:r>
    </w:p>
    <w:p>
      <w:pPr>
        <w:pStyle w:val="BlockText"/>
      </w:pPr>
      <w:r>
        <w:rPr>
          <w:b/>
          <w:bCs/>
        </w:rPr>
        <w:t xml:space="preserve">[ASSUMPTION / TODO]</w:t>
      </w:r>
      <w:r>
        <w:t xml:space="preserve"> </w:t>
      </w:r>
      <w:r>
        <w:t xml:space="preserve">Exact interchange, scheme fees, and sponsor-bank fees must be</w:t>
      </w:r>
      <w:r>
        <w:t xml:space="preserve"> </w:t>
      </w:r>
      <w:r>
        <w:rPr>
          <w:b/>
          <w:bCs/>
        </w:rPr>
        <w:t xml:space="preserve">confirmed after negotiating with the sponsor bank and scheme</w:t>
      </w:r>
      <w:r>
        <w:t xml:space="preserve"> </w:t>
      </w:r>
      <w:r>
        <w:t xml:space="preserve">(see Section 7).</w:t>
      </w:r>
    </w:p>
    <w:p>
      <w:r>
        <w:pict>
          <v:rect style="width:0;height:1.5pt" o:hralign="center" o:hrstd="t" o:hr="t"/>
        </w:pict>
      </w:r>
    </w:p>
    <w:bookmarkEnd w:id="63"/>
    <w:bookmarkEnd w:id="64"/>
    <w:bookmarkStart w:id="68" w:name="revenue-model"/>
    <w:p>
      <w:pPr>
        <w:pStyle w:val="Heading2"/>
      </w:pPr>
      <w:r>
        <w:t xml:space="preserve">4. Revenue Model</w:t>
      </w:r>
    </w:p>
    <w:bookmarkStart w:id="65" w:name="revenue-sources"/>
    <w:p>
      <w:pPr>
        <w:pStyle w:val="Heading3"/>
      </w:pPr>
      <w:r>
        <w:t xml:space="preserve">4.1 Revenue sources</w:t>
      </w:r>
    </w:p>
    <w:p>
      <w:pPr>
        <w:pStyle w:val="Compact"/>
        <w:numPr>
          <w:ilvl w:val="0"/>
          <w:numId w:val="1011"/>
        </w:numPr>
      </w:pPr>
      <w:r>
        <w:rPr>
          <w:b/>
          <w:bCs/>
        </w:rPr>
        <w:t xml:space="preserve">Merchant Discount Rate (MDR)</w:t>
      </w:r>
      <w:r>
        <w:t xml:space="preserve"> </w:t>
      </w:r>
      <w:r>
        <w:t xml:space="preserve">— primary revenue, % of TPV.</w:t>
      </w:r>
    </w:p>
    <w:p>
      <w:pPr>
        <w:pStyle w:val="Compact"/>
        <w:numPr>
          <w:ilvl w:val="0"/>
          <w:numId w:val="1011"/>
        </w:numPr>
      </w:pPr>
      <w:r>
        <w:rPr>
          <w:b/>
          <w:bCs/>
        </w:rPr>
        <w:t xml:space="preserve">Per-transaction fee</w:t>
      </w:r>
      <w:r>
        <w:t xml:space="preserve"> </w:t>
      </w:r>
      <w:r>
        <w:t xml:space="preserve">— fixed per txn (protects margin on low-value txns).</w:t>
      </w:r>
    </w:p>
    <w:p>
      <w:pPr>
        <w:pStyle w:val="Compact"/>
        <w:numPr>
          <w:ilvl w:val="0"/>
          <w:numId w:val="1011"/>
        </w:numPr>
      </w:pPr>
      <w:r>
        <w:rPr>
          <w:b/>
          <w:bCs/>
        </w:rPr>
        <w:t xml:space="preserve">Value-added services</w:t>
      </w:r>
      <w:r>
        <w:t xml:space="preserve"> </w:t>
      </w:r>
      <w:r>
        <w:t xml:space="preserve">— tokenization/network token, recurring billing, fraud/risk tools, reporting/dashboard, FX markup.</w:t>
      </w:r>
    </w:p>
    <w:p>
      <w:pPr>
        <w:pStyle w:val="Compact"/>
        <w:numPr>
          <w:ilvl w:val="0"/>
          <w:numId w:val="1011"/>
        </w:numPr>
      </w:pPr>
      <w:r>
        <w:rPr>
          <w:b/>
          <w:bCs/>
        </w:rPr>
        <w:t xml:space="preserve">Chargeback / dispute handling fees.</w:t>
      </w:r>
    </w:p>
    <w:p>
      <w:pPr>
        <w:pStyle w:val="Compact"/>
        <w:numPr>
          <w:ilvl w:val="0"/>
          <w:numId w:val="1011"/>
        </w:numPr>
      </w:pPr>
      <w:r>
        <w:rPr>
          <w:b/>
          <w:bCs/>
        </w:rPr>
        <w:t xml:space="preserve">Settlement / payout options</w:t>
      </w:r>
      <w:r>
        <w:t xml:space="preserve"> </w:t>
      </w:r>
      <w:r>
        <w:t xml:space="preserve">(faster next-day payout as an add-on).</w:t>
      </w:r>
    </w:p>
    <w:bookmarkEnd w:id="65"/>
    <w:bookmarkStart w:id="66" w:name="unit-economics-example"/>
    <w:p>
      <w:pPr>
        <w:pStyle w:val="Heading3"/>
      </w:pPr>
      <w:r>
        <w:t xml:space="preserve">4.2 Unit economics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 (example)</w:t>
            </w:r>
          </w:p>
        </w:tc>
      </w:tr>
      <w:tr>
        <w:tc>
          <w:tcPr/>
          <w:p>
            <w:pPr>
              <w:pStyle w:val="Compact"/>
            </w:pPr>
            <w:r>
              <w:t xml:space="preserve">MDR charged to merchant</w:t>
            </w:r>
          </w:p>
        </w:tc>
        <w:tc>
          <w:tcPr/>
          <w:p>
            <w:pPr>
              <w:pStyle w:val="Compact"/>
            </w:pPr>
            <w:r>
              <w:t xml:space="preserve">2.65%</w:t>
            </w:r>
          </w:p>
        </w:tc>
      </w:tr>
      <w:tr>
        <w:tc>
          <w:tcPr/>
          <w:p>
            <w:pPr>
              <w:pStyle w:val="Compact"/>
            </w:pPr>
            <w:r>
              <w:t xml:space="preserve">Less: interchange + scheme + sponsor</w:t>
            </w:r>
          </w:p>
        </w:tc>
        <w:tc>
          <w:tcPr/>
          <w:p>
            <w:pPr>
              <w:pStyle w:val="Compact"/>
            </w:pPr>
            <w:r>
              <w:t xml:space="preserve">~1.6% – 1.75%</w:t>
            </w:r>
          </w:p>
        </w:tc>
      </w:tr>
      <w:tr>
        <w:tc>
          <w:tcPr/>
          <w:p>
            <w:pPr>
              <w:pStyle w:val="Compact"/>
            </w:pPr>
            <w:r>
              <w:rPr>
                <w:b/>
                <w:bCs/>
              </w:rPr>
              <w:t xml:space="preserve">Net take rate</w:t>
            </w:r>
          </w:p>
        </w:tc>
        <w:tc>
          <w:tcPr/>
          <w:p>
            <w:pPr>
              <w:pStyle w:val="Compact"/>
            </w:pPr>
            <w:r>
              <w:rPr>
                <w:b/>
                <w:bCs/>
              </w:rPr>
              <w:t xml:space="preserve">~0.9% – 1.05%</w:t>
            </w:r>
          </w:p>
        </w:tc>
      </w:tr>
      <w:tr>
        <w:tc>
          <w:tcPr/>
          <w:p>
            <w:pPr>
              <w:pStyle w:val="Compact"/>
            </w:pPr>
            <w:r>
              <w:t xml:space="preserve">Fraud/chargeback loss (avg)</w:t>
            </w:r>
          </w:p>
        </w:tc>
        <w:tc>
          <w:tcPr/>
          <w:p>
            <w:pPr>
              <w:pStyle w:val="Compact"/>
            </w:pPr>
            <w:r>
              <w:t xml:space="preserve">0.05% – 0.15% of TPV</w:t>
            </w:r>
          </w:p>
        </w:tc>
      </w:tr>
    </w:tbl>
    <w:bookmarkEnd w:id="66"/>
    <w:bookmarkStart w:id="67" w:name="five-year-revenue-projection"/>
    <w:p>
      <w:pPr>
        <w:pStyle w:val="Heading3"/>
      </w:pPr>
      <w:r>
        <w:t xml:space="preserve">4.3 Five-year revenue projection</w:t>
      </w:r>
    </w:p>
    <w:p>
      <w:pPr>
        <w:pStyle w:val="FirstParagraph"/>
      </w:pPr>
      <w:r>
        <w:t xml:space="preserve">(Consistent with Section 0; weighted-average net take rate ~0.95–1.1%.)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TPV (THB M)</w:t>
            </w:r>
          </w:p>
        </w:tc>
        <w:tc>
          <w:tcPr/>
          <w:p>
            <w:pPr>
              <w:pStyle w:val="Compact"/>
            </w:pPr>
            <w:r>
              <w:t xml:space="preserve">Net take rate</w:t>
            </w:r>
          </w:p>
        </w:tc>
        <w:tc>
          <w:tcPr/>
          <w:p>
            <w:pPr>
              <w:pStyle w:val="Compact"/>
            </w:pPr>
            <w:r>
              <w:t xml:space="preserve">Net Revenue (THB M)</w:t>
            </w:r>
          </w:p>
        </w:tc>
      </w:tr>
      <w:tr>
        <w:tc>
          <w:tcPr/>
          <w:p>
            <w:pPr>
              <w:pStyle w:val="Compact"/>
            </w:pPr>
            <w:r>
              <w:t xml:space="preserve">1</w:t>
            </w:r>
          </w:p>
        </w:tc>
        <w:tc>
          <w:tcPr/>
          <w:p>
            <w:pPr>
              <w:pStyle w:val="Compact"/>
            </w:pPr>
            <w:r>
              <w:t xml:space="preserve">1,500</w:t>
            </w:r>
          </w:p>
        </w:tc>
        <w:tc>
          <w:tcPr/>
          <w:p>
            <w:pPr>
              <w:pStyle w:val="Compact"/>
            </w:pPr>
            <w:r>
              <w:t xml:space="preserve">1.20%</w:t>
            </w:r>
          </w:p>
        </w:tc>
        <w:tc>
          <w:tcPr/>
          <w:p>
            <w:pPr>
              <w:pStyle w:val="Compact"/>
            </w:pPr>
            <w:r>
              <w:t xml:space="preserve">18</w:t>
            </w:r>
          </w:p>
        </w:tc>
      </w:tr>
      <w:tr>
        <w:tc>
          <w:tcPr/>
          <w:p>
            <w:pPr>
              <w:pStyle w:val="Compact"/>
            </w:pPr>
            <w:r>
              <w:t xml:space="preserve">2</w:t>
            </w:r>
          </w:p>
        </w:tc>
        <w:tc>
          <w:tcPr/>
          <w:p>
            <w:pPr>
              <w:pStyle w:val="Compact"/>
            </w:pPr>
            <w:r>
              <w:t xml:space="preserve">6,000</w:t>
            </w:r>
          </w:p>
        </w:tc>
        <w:tc>
          <w:tcPr/>
          <w:p>
            <w:pPr>
              <w:pStyle w:val="Compact"/>
            </w:pPr>
            <w:r>
              <w:t xml:space="preserve">1.10%</w:t>
            </w:r>
          </w:p>
        </w:tc>
        <w:tc>
          <w:tcPr/>
          <w:p>
            <w:pPr>
              <w:pStyle w:val="Compact"/>
            </w:pPr>
            <w:r>
              <w:t xml:space="preserve">66</w:t>
            </w:r>
          </w:p>
        </w:tc>
      </w:tr>
      <w:tr>
        <w:tc>
          <w:tcPr/>
          <w:p>
            <w:pPr>
              <w:pStyle w:val="Compact"/>
            </w:pPr>
            <w:r>
              <w:t xml:space="preserve">3</w:t>
            </w:r>
          </w:p>
        </w:tc>
        <w:tc>
          <w:tcPr/>
          <w:p>
            <w:pPr>
              <w:pStyle w:val="Compact"/>
            </w:pPr>
            <w:r>
              <w:t xml:space="preserve">15,000</w:t>
            </w:r>
          </w:p>
        </w:tc>
        <w:tc>
          <w:tcPr/>
          <w:p>
            <w:pPr>
              <w:pStyle w:val="Compact"/>
            </w:pPr>
            <w:r>
              <w:t xml:space="preserve">1.05%</w:t>
            </w:r>
          </w:p>
        </w:tc>
        <w:tc>
          <w:tcPr/>
          <w:p>
            <w:pPr>
              <w:pStyle w:val="Compact"/>
            </w:pPr>
            <w:r>
              <w:t xml:space="preserve">158</w:t>
            </w:r>
          </w:p>
        </w:tc>
      </w:tr>
      <w:tr>
        <w:tc>
          <w:tcPr/>
          <w:p>
            <w:pPr>
              <w:pStyle w:val="Compact"/>
            </w:pPr>
            <w:r>
              <w:t xml:space="preserve">4</w:t>
            </w:r>
          </w:p>
        </w:tc>
        <w:tc>
          <w:tcPr/>
          <w:p>
            <w:pPr>
              <w:pStyle w:val="Compact"/>
            </w:pPr>
            <w:r>
              <w:t xml:space="preserve">30,000</w:t>
            </w:r>
          </w:p>
        </w:tc>
        <w:tc>
          <w:tcPr/>
          <w:p>
            <w:pPr>
              <w:pStyle w:val="Compact"/>
            </w:pPr>
            <w:r>
              <w:t xml:space="preserve">1.00%</w:t>
            </w:r>
          </w:p>
        </w:tc>
        <w:tc>
          <w:tcPr/>
          <w:p>
            <w:pPr>
              <w:pStyle w:val="Compact"/>
            </w:pPr>
            <w:r>
              <w:t xml:space="preserve">300</w:t>
            </w:r>
          </w:p>
        </w:tc>
      </w:tr>
      <w:tr>
        <w:tc>
          <w:tcPr/>
          <w:p>
            <w:pPr>
              <w:pStyle w:val="Compact"/>
            </w:pPr>
            <w:r>
              <w:t xml:space="preserve">5</w:t>
            </w:r>
          </w:p>
        </w:tc>
        <w:tc>
          <w:tcPr/>
          <w:p>
            <w:pPr>
              <w:pStyle w:val="Compact"/>
            </w:pPr>
            <w:r>
              <w:t xml:space="preserve">52,000</w:t>
            </w:r>
          </w:p>
        </w:tc>
        <w:tc>
          <w:tcPr/>
          <w:p>
            <w:pPr>
              <w:pStyle w:val="Compact"/>
            </w:pPr>
            <w:r>
              <w:t xml:space="preserve">0.95%</w:t>
            </w:r>
          </w:p>
        </w:tc>
        <w:tc>
          <w:tcPr/>
          <w:p>
            <w:pPr>
              <w:pStyle w:val="Compact"/>
            </w:pPr>
            <w:r>
              <w:t xml:space="preserve">494</w:t>
            </w:r>
          </w:p>
        </w:tc>
      </w:tr>
    </w:tbl>
    <w:p>
      <w:pPr>
        <w:pStyle w:val="BlockText"/>
      </w:pPr>
      <w:r>
        <w:t xml:space="preserve">Take rate declines with volume (rising enterprise/IC++ and QR mix) while total revenue grows with TPV.</w:t>
      </w:r>
    </w:p>
    <w:p>
      <w:r>
        <w:pict>
          <v:rect style="width:0;height:1.5pt" o:hralign="center" o:hrstd="t" o:hr="t"/>
        </w:pict>
      </w:r>
    </w:p>
    <w:bookmarkEnd w:id="67"/>
    <w:bookmarkEnd w:id="68"/>
    <w:bookmarkStart w:id="73" w:name="competitive-positioning-growth"/>
    <w:p>
      <w:pPr>
        <w:pStyle w:val="Heading2"/>
      </w:pPr>
      <w:r>
        <w:t xml:space="preserve">5. Competitive Positioning &amp; Growth</w:t>
      </w:r>
    </w:p>
    <w:bookmarkStart w:id="69" w:name="competitors-positioning"/>
    <w:p>
      <w:pPr>
        <w:pStyle w:val="Heading3"/>
      </w:pPr>
      <w:r>
        <w:t xml:space="preserve">5.1 Competitors &amp; positioning</w:t>
      </w:r>
    </w:p>
    <w:p>
      <w:pPr>
        <w:pStyle w:val="Compact"/>
        <w:numPr>
          <w:ilvl w:val="0"/>
          <w:numId w:val="1012"/>
        </w:numPr>
      </w:pPr>
      <w:r>
        <w:t xml:space="preserve">Competitors: Thai PSPs/gateways (facilitators riding existing acquirers, and bank acquirers) plus international players serving Thailand.</w:t>
      </w:r>
    </w:p>
    <w:p>
      <w:pPr>
        <w:pStyle w:val="Compact"/>
        <w:numPr>
          <w:ilvl w:val="0"/>
          <w:numId w:val="1012"/>
        </w:numPr>
      </w:pPr>
      <w:r>
        <w:rPr>
          <w:b/>
          <w:bCs/>
        </w:rPr>
        <w:t xml:space="preserve">Our differentiation:</w:t>
      </w:r>
    </w:p>
    <w:p>
      <w:pPr>
        <w:pStyle w:val="Compact"/>
        <w:numPr>
          <w:ilvl w:val="1"/>
          <w:numId w:val="1013"/>
        </w:numPr>
      </w:pPr>
      <w:r>
        <w:rPr>
          <w:b/>
          <w:bCs/>
        </w:rPr>
        <w:t xml:space="preserve">Full acquiring</w:t>
      </w:r>
      <w:r>
        <w:t xml:space="preserve"> </w:t>
      </w:r>
      <w:r>
        <w:t xml:space="preserve">→ better per-txn cost control than facilitators; genuine IC++ offering.</w:t>
      </w:r>
    </w:p>
    <w:p>
      <w:pPr>
        <w:pStyle w:val="Compact"/>
        <w:numPr>
          <w:ilvl w:val="1"/>
          <w:numId w:val="1013"/>
        </w:numPr>
      </w:pPr>
      <w:r>
        <w:rPr>
          <w:b/>
          <w:bCs/>
        </w:rPr>
        <w:t xml:space="preserve">Compliance-by-design</w:t>
      </w:r>
      <w:r>
        <w:t xml:space="preserve"> </w:t>
      </w:r>
      <w:r>
        <w:t xml:space="preserve">→ PCI-DSS v4.0 L1 + BOT requirements + PDPA embedded in architecture (double-entry ledger, audit trail, tokenization vault).</w:t>
      </w:r>
    </w:p>
    <w:p>
      <w:pPr>
        <w:pStyle w:val="Compact"/>
        <w:numPr>
          <w:ilvl w:val="1"/>
          <w:numId w:val="1013"/>
        </w:numPr>
      </w:pPr>
      <w:r>
        <w:rPr>
          <w:b/>
          <w:bCs/>
        </w:rPr>
        <w:t xml:space="preserve">Transparent reconciliation &amp; settlement</w:t>
      </w:r>
      <w:r>
        <w:t xml:space="preserve"> </w:t>
      </w:r>
      <w:r>
        <w:t xml:space="preserve">→ append-only ledger as source of truth, per-merchant reconciliation reporting.</w:t>
      </w:r>
    </w:p>
    <w:p>
      <w:pPr>
        <w:pStyle w:val="Compact"/>
        <w:numPr>
          <w:ilvl w:val="1"/>
          <w:numId w:val="1013"/>
        </w:numPr>
      </w:pPr>
      <w:r>
        <w:rPr>
          <w:b/>
          <w:bCs/>
        </w:rPr>
        <w:t xml:space="preserve">Developer experience</w:t>
      </w:r>
      <w:r>
        <w:t xml:space="preserve"> </w:t>
      </w:r>
      <w:r>
        <w:t xml:space="preserve">→ clean API, idempotency, signed webhooks, sandbox.</w:t>
      </w:r>
    </w:p>
    <w:bookmarkEnd w:id="69"/>
    <w:bookmarkStart w:id="70" w:name="growth-strategy-5-year"/>
    <w:p>
      <w:pPr>
        <w:pStyle w:val="Heading3"/>
      </w:pPr>
      <w:r>
        <w:t xml:space="preserve">5.2 Growth strategy (5-year)</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Period</w:t>
            </w:r>
          </w:p>
        </w:tc>
        <w:tc>
          <w:tcPr/>
          <w:p>
            <w:pPr>
              <w:pStyle w:val="Compact"/>
            </w:pPr>
            <w:r>
              <w:t xml:space="preserve">Focus</w:t>
            </w:r>
          </w:p>
        </w:tc>
      </w:tr>
      <w:tr>
        <w:tc>
          <w:tcPr/>
          <w:p>
            <w:pPr>
              <w:pStyle w:val="Compact"/>
            </w:pPr>
            <w:r>
              <w:rPr>
                <w:b/>
                <w:bCs/>
              </w:rPr>
              <w:t xml:space="preserve">Y1 (2027)</w:t>
            </w:r>
          </w:p>
        </w:tc>
        <w:tc>
          <w:tcPr/>
          <w:p>
            <w:pPr>
              <w:pStyle w:val="Compact"/>
            </w:pPr>
            <w:r>
              <w:t xml:space="preserve">Launch post-licence + PCI L1; capture e-commerce SME; onboard ~400 merchants; prove reconciliation/settlement</w:t>
            </w:r>
          </w:p>
        </w:tc>
      </w:tr>
      <w:tr>
        <w:tc>
          <w:tcPr/>
          <w:p>
            <w:pPr>
              <w:pStyle w:val="Compact"/>
            </w:pPr>
            <w:r>
              <w:rPr>
                <w:b/>
                <w:bCs/>
              </w:rPr>
              <w:t xml:space="preserve">Y2 (2028)</w:t>
            </w:r>
          </w:p>
        </w:tc>
        <w:tc>
          <w:tcPr/>
          <w:p>
            <w:pPr>
              <w:pStyle w:val="Compact"/>
            </w:pPr>
            <w:r>
              <w:t xml:space="preserve">Expand recurring/SaaS + travel; add value-added (tokenization, fraud tools); platform/marketplace partnerships</w:t>
            </w:r>
          </w:p>
        </w:tc>
      </w:tr>
      <w:tr>
        <w:tc>
          <w:tcPr/>
          <w:p>
            <w:pPr>
              <w:pStyle w:val="Compact"/>
            </w:pPr>
            <w:r>
              <w:rPr>
                <w:b/>
                <w:bCs/>
              </w:rPr>
              <w:t xml:space="preserve">Y3 (2029)</w:t>
            </w:r>
          </w:p>
        </w:tc>
        <w:tc>
          <w:tcPr/>
          <w:p>
            <w:pPr>
              <w:pStyle w:val="Compact"/>
            </w:pPr>
            <w:r>
              <w:t xml:space="preserve">Enter enterprise (IC++, SLA); cross-border/multi-currency; EBITDA positive</w:t>
            </w:r>
          </w:p>
        </w:tc>
      </w:tr>
      <w:tr>
        <w:tc>
          <w:tcPr/>
          <w:p>
            <w:pPr>
              <w:pStyle w:val="Compact"/>
            </w:pPr>
            <w:r>
              <w:rPr>
                <w:b/>
                <w:bCs/>
              </w:rPr>
              <w:t xml:space="preserve">Y4 (2030)</w:t>
            </w:r>
          </w:p>
        </w:tc>
        <w:tc>
          <w:tcPr/>
          <w:p>
            <w:pPr>
              <w:pStyle w:val="Compact"/>
            </w:pPr>
            <w:r>
              <w:t xml:space="preserve">Omni-channel (in-store + online); add local payment methods; scale volume</w:t>
            </w:r>
          </w:p>
        </w:tc>
      </w:tr>
      <w:tr>
        <w:tc>
          <w:tcPr/>
          <w:p>
            <w:pPr>
              <w:pStyle w:val="Compact"/>
            </w:pPr>
            <w:r>
              <w:rPr>
                <w:b/>
                <w:bCs/>
              </w:rPr>
              <w:t xml:space="preserve">Y5 (2031)</w:t>
            </w:r>
          </w:p>
        </w:tc>
        <w:tc>
          <w:tcPr/>
          <w:p>
            <w:pPr>
              <w:pStyle w:val="Compact"/>
            </w:pPr>
            <w:r>
              <w:t xml:space="preserve">Lead target segments; consider adjacent services (e.g. payout); prepare regional expansion</w:t>
            </w:r>
          </w:p>
        </w:tc>
      </w:tr>
    </w:tbl>
    <w:bookmarkEnd w:id="70"/>
    <w:bookmarkStart w:id="71" w:name="key-kpis-reported-to-botinternally"/>
    <w:p>
      <w:pPr>
        <w:pStyle w:val="Heading3"/>
      </w:pPr>
      <w:r>
        <w:t xml:space="preserve">5.3 Key KPIs reported to BOT/internally</w:t>
      </w:r>
    </w:p>
    <w:p>
      <w:pPr>
        <w:pStyle w:val="FirstParagraph"/>
      </w:pPr>
      <w:r>
        <w:t xml:space="preserve">TPV, active merchants, authorization success rate,</w:t>
      </w:r>
      <w:r>
        <w:t xml:space="preserve"> </w:t>
      </w:r>
      <w:r>
        <w:rPr>
          <w:b/>
          <w:bCs/>
        </w:rPr>
        <w:t xml:space="preserve">chargeback rate (target &lt; 0.9% per scheme threshold)</w:t>
      </w:r>
      <w:r>
        <w:t xml:space="preserve">, fraud loss rate, uptime (target ≥ 99.95%), settlement accuracy, number of STRs filed to AMLO.</w:t>
      </w:r>
    </w:p>
    <w:bookmarkEnd w:id="71"/>
    <w:bookmarkStart w:id="72" w:name="strategic-risks"/>
    <w:p>
      <w:pPr>
        <w:pStyle w:val="Heading3"/>
      </w:pPr>
      <w:r>
        <w:t xml:space="preserve">5.4 Strategic risks</w:t>
      </w:r>
    </w:p>
    <w:p>
      <w:pPr>
        <w:pStyle w:val="FirstParagraph"/>
      </w:pPr>
      <w:r>
        <w:t xml:space="preserve">Licence/PCI time and cost, sponsor-bank dependency, price competition, fraud/chargeback, and ongoing compliance (see</w:t>
      </w:r>
      <w:r>
        <w:t xml:space="preserve"> </w:t>
      </w:r>
      <w:r>
        <w:rPr>
          <w:rStyle w:val="VerbatimChar"/>
        </w:rPr>
        <w:t xml:space="preserve">ARCHITECTURE.md</w:t>
      </w:r>
      <w:r>
        <w:t xml:space="preserve"> </w:t>
      </w:r>
      <w:r>
        <w:t xml:space="preserve">§9 and</w:t>
      </w:r>
      <w:r>
        <w:t xml:space="preserve"> </w:t>
      </w:r>
      <w:r>
        <w:rPr>
          <w:rStyle w:val="VerbatimChar"/>
        </w:rPr>
        <w:t xml:space="preserve">ROADMAP.md</w:t>
      </w:r>
      <w:r>
        <w:t xml:space="preserve"> </w:t>
      </w:r>
      <w:r>
        <w:t xml:space="preserve">§5).</w:t>
      </w:r>
    </w:p>
    <w:p>
      <w:r>
        <w:pict>
          <v:rect style="width:0;height:1.5pt" o:hralign="center" o:hrstd="t" o:hr="t"/>
        </w:pict>
      </w:r>
    </w:p>
    <w:bookmarkEnd w:id="72"/>
    <w:bookmarkEnd w:id="73"/>
    <w:bookmarkStart w:id="74" w:name="roles-governance"/>
    <w:p>
      <w:pPr>
        <w:pStyle w:val="Heading2"/>
      </w:pPr>
      <w:r>
        <w:t xml:space="preserve">6. Roles &amp; Governance</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Role</w:t>
            </w:r>
          </w:p>
        </w:tc>
        <w:tc>
          <w:tcPr/>
          <w:p>
            <w:pPr>
              <w:pStyle w:val="Compact"/>
            </w:pPr>
            <w:r>
              <w:t xml:space="preserve">Key responsibilities</w:t>
            </w:r>
          </w:p>
        </w:tc>
      </w:tr>
      <w:tr>
        <w:tc>
          <w:tcPr/>
          <w:p>
            <w:pPr>
              <w:pStyle w:val="Compact"/>
            </w:pPr>
            <w:r>
              <w:t xml:space="preserve">CEO / Managing Director</w:t>
            </w:r>
          </w:p>
        </w:tc>
        <w:tc>
          <w:tcPr/>
          <w:p>
            <w:pPr>
              <w:pStyle w:val="Compact"/>
            </w:pPr>
            <w:r>
              <w:t xml:space="preserve">Strategy, BOT/sponsor-bank relations; at least one Thai-national director resident in Thailand (BOT rule)</w:t>
            </w:r>
          </w:p>
        </w:tc>
      </w:tr>
      <w:tr>
        <w:tc>
          <w:tcPr/>
          <w:p>
            <w:pPr>
              <w:pStyle w:val="Compact"/>
            </w:pPr>
            <w:r>
              <w:t xml:space="preserve">Compliance Officer / MLRO</w:t>
            </w:r>
          </w:p>
        </w:tc>
        <w:tc>
          <w:tcPr/>
          <w:p>
            <w:pPr>
              <w:pStyle w:val="Compact"/>
            </w:pPr>
            <w:r>
              <w:t xml:space="preserve">AML/KYC, AMLO reporting, BOT requirements, QSA liaison</w:t>
            </w:r>
          </w:p>
        </w:tc>
      </w:tr>
      <w:tr>
        <w:tc>
          <w:tcPr/>
          <w:p>
            <w:pPr>
              <w:pStyle w:val="Compact"/>
            </w:pPr>
            <w:r>
              <w:t xml:space="preserve">DPO (Data Protection Officer)</w:t>
            </w:r>
          </w:p>
        </w:tc>
        <w:tc>
          <w:tcPr/>
          <w:p>
            <w:pPr>
              <w:pStyle w:val="Compact"/>
            </w:pPr>
            <w:r>
              <w:t xml:space="preserve">PDPA, data-subject rights, processing governance</w:t>
            </w:r>
          </w:p>
        </w:tc>
      </w:tr>
      <w:tr>
        <w:tc>
          <w:tcPr/>
          <w:p>
            <w:pPr>
              <w:pStyle w:val="Compact"/>
            </w:pPr>
            <w:r>
              <w:t xml:space="preserve">CISO / DevSecOps Lead</w:t>
            </w:r>
          </w:p>
        </w:tc>
        <w:tc>
          <w:tcPr/>
          <w:p>
            <w:pPr>
              <w:pStyle w:val="Compact"/>
            </w:pPr>
            <w:r>
              <w:t xml:space="preserve">PCI-DSS v4.0, HSM/KMS, network segmentation, pentest/ASV</w:t>
            </w:r>
          </w:p>
        </w:tc>
      </w:tr>
      <w:tr>
        <w:tc>
          <w:tcPr/>
          <w:p>
            <w:pPr>
              <w:pStyle w:val="Compact"/>
            </w:pPr>
            <w:r>
              <w:t xml:space="preserve">Head of Risk / Underwriting</w:t>
            </w:r>
          </w:p>
        </w:tc>
        <w:tc>
          <w:tcPr/>
          <w:p>
            <w:pPr>
              <w:pStyle w:val="Compact"/>
            </w:pPr>
            <w:r>
              <w:t xml:space="preserve">Merchant risk tiering, reserves, chargeback/fraud</w:t>
            </w:r>
          </w:p>
        </w:tc>
      </w:tr>
      <w:tr>
        <w:tc>
          <w:tcPr/>
          <w:p>
            <w:pPr>
              <w:pStyle w:val="Compact"/>
            </w:pPr>
            <w:r>
              <w:t xml:space="preserve">Head of Engineering / SRE</w:t>
            </w:r>
          </w:p>
        </w:tc>
        <w:tc>
          <w:tcPr/>
          <w:p>
            <w:pPr>
              <w:pStyle w:val="Compact"/>
            </w:pPr>
            <w:r>
              <w:t xml:space="preserve">Availability, ledger, reconciliation, DR</w:t>
            </w:r>
          </w:p>
        </w:tc>
      </w:tr>
      <w:tr>
        <w:tc>
          <w:tcPr/>
          <w:p>
            <w:pPr>
              <w:pStyle w:val="Compact"/>
            </w:pPr>
            <w:r>
              <w:t xml:space="preserve">Head of Finance</w:t>
            </w:r>
          </w:p>
        </w:tc>
        <w:tc>
          <w:tcPr/>
          <w:p>
            <w:pPr>
              <w:pStyle w:val="Compact"/>
            </w:pPr>
            <w:r>
              <w:t xml:space="preserve">Paid-up capital (maintain ≥75%), settlement, financial projections</w:t>
            </w:r>
          </w:p>
        </w:tc>
      </w:tr>
    </w:tbl>
    <w:p>
      <w:r>
        <w:pict>
          <v:rect style="width:0;height:1.5pt" o:hralign="center" o:hrstd="t" o:hr="t"/>
        </w:pict>
      </w:r>
    </w:p>
    <w:bookmarkEnd w:id="74"/>
    <w:bookmarkStart w:id="75" w:name="assumptions-todo"/>
    <w:p>
      <w:pPr>
        <w:pStyle w:val="Heading2"/>
      </w:pPr>
      <w:r>
        <w:t xml:space="preserve">7. Assumptions / TODO</w:t>
      </w:r>
    </w:p>
    <w:p>
      <w:pPr>
        <w:pStyle w:val="BlockText"/>
      </w:pPr>
      <w:r>
        <w:rPr>
          <w:b/>
          <w:bCs/>
        </w:rPr>
        <w:t xml:space="preserve">[ASSUMPTION / TODO — confirm before submission / go-live]</w:t>
      </w:r>
    </w:p>
    <w:p>
      <w:pPr>
        <w:pStyle w:val="Compact"/>
        <w:numPr>
          <w:ilvl w:val="0"/>
          <w:numId w:val="1014"/>
        </w:numPr>
      </w:pPr>
      <w:r>
        <w:rPr>
          <w:b/>
          <w:bCs/>
        </w:rPr>
        <w:t xml:space="preserve">Sponsor bank / scheme certification</w:t>
      </w:r>
      <w:r>
        <w:t xml:space="preserve"> </w:t>
      </w:r>
      <w:r>
        <w:t xml:space="preserve">— sponsor bank not yet selected and Visa/Mastercard certification not formally started; fee figures and certification timeline are estimates to be confirmed after signing (see</w:t>
      </w:r>
      <w:r>
        <w:t xml:space="preserve"> </w:t>
      </w:r>
      <w:r>
        <w:rPr>
          <w:rStyle w:val="VerbatimChar"/>
        </w:rPr>
        <w:t xml:space="preserve">ROADMAP.md</w:t>
      </w:r>
      <w:r>
        <w:t xml:space="preserve">).</w:t>
      </w:r>
    </w:p>
    <w:p>
      <w:pPr>
        <w:pStyle w:val="Compact"/>
        <w:numPr>
          <w:ilvl w:val="0"/>
          <w:numId w:val="1014"/>
        </w:numPr>
      </w:pPr>
      <w:r>
        <w:rPr>
          <w:b/>
          <w:bCs/>
        </w:rPr>
        <w:t xml:space="preserve">QSA vendor</w:t>
      </w:r>
      <w:r>
        <w:t xml:space="preserve"> </w:t>
      </w:r>
      <w:r>
        <w:t xml:space="preserve">— QSA for PCI-DSS v4.0 L1 (RoC) and ASV for quarterly scans not yet selected; PCI costs are broad ranges (</w:t>
      </w:r>
      <w:r>
        <w:rPr>
          <w:rStyle w:val="VerbatimChar"/>
        </w:rPr>
        <w:t xml:space="preserve">ROADMAP.md</w:t>
      </w:r>
      <w:r>
        <w:t xml:space="preserve"> </w:t>
      </w:r>
      <w:r>
        <w:t xml:space="preserve">§4).</w:t>
      </w:r>
    </w:p>
    <w:p>
      <w:pPr>
        <w:pStyle w:val="Compact"/>
        <w:numPr>
          <w:ilvl w:val="0"/>
          <w:numId w:val="1014"/>
        </w:numPr>
      </w:pPr>
      <w:r>
        <w:rPr>
          <w:b/>
          <w:bCs/>
        </w:rPr>
        <w:t xml:space="preserve">Paid-up capital</w:t>
      </w:r>
      <w:r>
        <w:t xml:space="preserve"> </w:t>
      </w:r>
      <w:r>
        <w:t xml:space="preserve">— plan assumes the THB 50M Acquiring threshold, maintained at ≥75% throughout operations; actual capital payment and that company objectives cover this business must be confirmed.</w:t>
      </w:r>
    </w:p>
    <w:p>
      <w:pPr>
        <w:pStyle w:val="Compact"/>
        <w:numPr>
          <w:ilvl w:val="0"/>
          <w:numId w:val="1014"/>
        </w:numPr>
      </w:pPr>
      <w:r>
        <w:rPr>
          <w:b/>
          <w:bCs/>
        </w:rPr>
        <w:t xml:space="preserve">Interchange / scheme fee / MDR rates</w:t>
      </w:r>
      <w:r>
        <w:t xml:space="preserve"> </w:t>
      </w:r>
      <w:r>
        <w:t xml:space="preserve">— figures in Sections 3–4 are indicative and must be replaced with actual negotiated rates.</w:t>
      </w:r>
    </w:p>
    <w:p>
      <w:pPr>
        <w:pStyle w:val="Compact"/>
        <w:numPr>
          <w:ilvl w:val="0"/>
          <w:numId w:val="1014"/>
        </w:numPr>
      </w:pPr>
      <w:r>
        <w:rPr>
          <w:b/>
          <w:bCs/>
        </w:rPr>
        <w:t xml:space="preserve">TPV/revenue projections</w:t>
      </w:r>
      <w:r>
        <w:t xml:space="preserve"> </w:t>
      </w:r>
      <w:r>
        <w:t xml:space="preserve">— strategic planning assumptions, not guarantees; to be revised against actuals and pipeline.</w:t>
      </w:r>
    </w:p>
    <w:p>
      <w:r>
        <w:br w:type="page"/>
      </w:r>
    </w:p>
    <w:bookmarkEnd w:id="75"/>
    <w:bookmarkEnd w:id="76"/>
    <w:bookmarkStart w:id="98" w:name="Xfe4e7ef73593107bd16a0d0c934b1e86ccfb0ee"/>
    <w:p>
      <w:pPr>
        <w:pStyle w:val="Heading1"/>
      </w:pPr>
      <w:r>
        <w:t xml:space="preserve">ประมาณการทางการเงินและโครงสร้างทุน 50 ล้านบาท (ไทย)</w:t>
      </w:r>
    </w:p>
    <w:p>
      <w:pPr>
        <w:pStyle w:val="BlockText"/>
      </w:pPr>
      <w:r>
        <w:t xml:space="preserve">เอกสารประกอบคำขอรับใบอนุญาตประกอบธุรกิจ</w:t>
      </w:r>
      <w:r>
        <w:t xml:space="preserve"> </w:t>
      </w:r>
      <w:r>
        <w:rPr>
          <w:b/>
          <w:bCs/>
        </w:rPr>
        <w:t xml:space="preserve">บริการรับชำระเงินด้วยวิธีการทางอิเล็กทรอนิกส์ (Acquiring Service)</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ผู้ขอ:</w:t>
      </w:r>
      <w:r>
        <w:t xml:space="preserve"> </w:t>
      </w:r>
      <w:r>
        <w:rPr>
          <w:b/>
          <w:bCs/>
        </w:rPr>
        <w:t xml:space="preserve">[บริษัท / Company]</w:t>
      </w:r>
      <w:r>
        <w:t xml:space="preserve"> </w:t>
      </w:r>
      <w:r>
        <w:t xml:space="preserve">· เวอร์ชัน 0.1 · วันที่จัดทำ: 2026-07-22</w:t>
      </w:r>
      <w:r>
        <w:t xml:space="preserve"> </w:t>
      </w:r>
      <w:r>
        <w:t xml:space="preserve">เอกสารที่เกี่ยวข้อง: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pPr>
        <w:pStyle w:val="BlockText"/>
      </w:pPr>
      <w:r>
        <w:rPr>
          <w:b/>
          <w:bCs/>
        </w:rPr>
        <w:t xml:space="preserve">ข้อจำกัดความรับผิด:</w:t>
      </w:r>
      <w:r>
        <w:t xml:space="preserve"> </w:t>
      </w:r>
      <w:r>
        <w:t xml:space="preserve">เอกสารนี้เป็นเอกสารประกอบเชิงเทคนิค/การเงินสำหรับการยื่นคำขอ ไม่ใช่คำแนะนำทางกฎหมายหรือการลงทุน</w:t>
      </w:r>
      <w:r>
        <w:t xml:space="preserve"> </w:t>
      </w:r>
      <w:r>
        <w:t xml:space="preserve">ตัวเลขประมาณการต้องได้รับการรับรองจากผู้สอบบัญชีรับอนุญาต (CPA) และที่ปรึกษากฎหมายด้านใบอนุญาต ธปท. ก่อนยื่นจริง</w:t>
      </w:r>
    </w:p>
    <w:p>
      <w:r>
        <w:pict>
          <v:rect style="width:0;height:1.5pt" o:hralign="center" o:hrstd="t" o:hr="t"/>
        </w:pict>
      </w:r>
    </w:p>
    <w:bookmarkStart w:id="77" w:name="บทสรปผบรหาร-executive-summary-1"/>
    <w:p>
      <w:pPr>
        <w:pStyle w:val="Heading2"/>
      </w:pPr>
      <w:r>
        <w:t xml:space="preserve">1. บทสรุปผู้บริหาร (Executive Summary)</w:t>
      </w:r>
    </w:p>
    <w:p>
      <w:pPr>
        <w:pStyle w:val="FirstParagraph"/>
      </w:pPr>
      <w:r>
        <w:rPr>
          <w:b/>
          <w:bCs/>
        </w:rPr>
        <w:t xml:space="preserve">[บริษัท / Company]</w:t>
      </w:r>
      <w:r>
        <w:t xml:space="preserve"> </w:t>
      </w:r>
      <w:r>
        <w:t xml:space="preserve">ยื่นขอใบอนุญาต Acquiring Service ซึ่งกำหนด</w:t>
      </w:r>
      <w:r>
        <w:t xml:space="preserve"> </w:t>
      </w:r>
      <w:r>
        <w:rPr>
          <w:b/>
          <w:bCs/>
        </w:rPr>
        <w:t xml:space="preserve">ทุนจดทะเบียนที่ชำระแล้วขั้นต่ำ 50 ล้านบาท</w:t>
      </w:r>
      <w:r>
        <w:t xml:space="preserve"> </w:t>
      </w:r>
      <w:r>
        <w:t xml:space="preserve">โดยบริษัทจะดำรงทุนดังกล่าวเป็นทุนที่</w:t>
      </w:r>
      <w:r>
        <w:t xml:space="preserve"> </w:t>
      </w:r>
      <w:r>
        <w:t xml:space="preserve">“มีและคงไว้”</w:t>
      </w:r>
      <w:r>
        <w:t xml:space="preserve"> </w:t>
      </w:r>
      <w:r>
        <w:t xml:space="preserve">(maintained capital) ไม่ใช่ค่าใช้จ่ายหมุนเวียน และจะรักษาระดับทุน</w:t>
      </w:r>
      <w:r>
        <w:t xml:space="preserve"> </w:t>
      </w:r>
      <w:r>
        <w:rPr>
          <w:b/>
          <w:bCs/>
        </w:rPr>
        <w:t xml:space="preserve">ไม่ต่ำกว่า 75% (37.5 ล้านบาท)</w:t>
      </w:r>
      <w:r>
        <w:t xml:space="preserve"> </w:t>
      </w:r>
      <w:r>
        <w:t xml:space="preserve">ของทุนขั้นต่ำตลอดการดำเนินงานตามหลักเกณฑ์ ธปท.</w:t>
      </w:r>
    </w:p>
    <w:p>
      <w:pPr>
        <w:pStyle w:val="BodyText"/>
      </w:pPr>
      <w:r>
        <w:t xml:space="preserve">หลักการทางการเงินหลัก:</w:t>
      </w:r>
    </w:p>
    <w:p>
      <w:pPr>
        <w:pStyle w:val="Compact"/>
        <w:numPr>
          <w:ilvl w:val="0"/>
          <w:numId w:val="1015"/>
        </w:numPr>
      </w:pPr>
      <w:r>
        <w:rPr>
          <w:b/>
          <w:bCs/>
        </w:rPr>
        <w:t xml:space="preserve">แยกเงินลูกค้าออกจากเงินบริษัท (client money segregation)</w:t>
      </w:r>
      <w:r>
        <w:t xml:space="preserve"> </w:t>
      </w:r>
      <w:r>
        <w:t xml:space="preserve">— เงินที่รับแทน merchant ในระหว่างรอ settlement</w:t>
      </w:r>
      <w:r>
        <w:t xml:space="preserve"> </w:t>
      </w:r>
      <w:r>
        <w:t xml:space="preserve">จะเก็บใน</w:t>
      </w:r>
      <w:r>
        <w:t xml:space="preserve"> </w:t>
      </w:r>
      <w:r>
        <w:rPr>
          <w:b/>
          <w:bCs/>
        </w:rPr>
        <w:t xml:space="preserve">บัญชีแยกต่างหาก (segregated / trust-style account)</w:t>
      </w:r>
      <w:r>
        <w:t xml:space="preserve"> </w:t>
      </w:r>
      <w:r>
        <w:t xml:space="preserve">กับสถาบันการเงิน ไม่ปะปนกับทุนดำเนินงาน</w:t>
      </w:r>
    </w:p>
    <w:p>
      <w:pPr>
        <w:pStyle w:val="Compact"/>
        <w:numPr>
          <w:ilvl w:val="0"/>
          <w:numId w:val="1015"/>
        </w:numPr>
      </w:pPr>
      <w:r>
        <w:rPr>
          <w:b/>
          <w:bCs/>
        </w:rPr>
        <w:t xml:space="preserve">ทุนขั้นต่ำเป็นเงินสด/สินทรัพย์สภาพคล่องสูง</w:t>
      </w:r>
      <w:r>
        <w:t xml:space="preserve"> </w:t>
      </w:r>
      <w:r>
        <w:t xml:space="preserve">— ถือเป็น buffer รองรับ operational risk, chargeback, settlement timing</w:t>
      </w:r>
    </w:p>
    <w:p>
      <w:pPr>
        <w:pStyle w:val="Compact"/>
        <w:numPr>
          <w:ilvl w:val="0"/>
          <w:numId w:val="1015"/>
        </w:numPr>
      </w:pPr>
      <w:r>
        <w:rPr>
          <w:b/>
          <w:bCs/>
        </w:rPr>
        <w:t xml:space="preserve">ประมาณการ 5 ปี</w:t>
      </w:r>
      <w:r>
        <w:t xml:space="preserve"> </w:t>
      </w:r>
      <w:r>
        <w:t xml:space="preserve">สร้างบน 3 สถานการณ์ (Base / Conservative / Aggressive) พร้อมการทดสอบภาวะวิกฤต (stress test)</w:t>
      </w:r>
    </w:p>
    <w:p>
      <w:pPr>
        <w:pStyle w:val="Compact"/>
        <w:numPr>
          <w:ilvl w:val="0"/>
          <w:numId w:val="1015"/>
        </w:numPr>
      </w:pPr>
      <w:r>
        <w:rPr>
          <w:b/>
          <w:bCs/>
        </w:rPr>
        <w:t xml:space="preserve">Liquidity &amp; solvency</w:t>
      </w:r>
      <w:r>
        <w:t xml:space="preserve"> </w:t>
      </w:r>
      <w:r>
        <w:t xml:space="preserve">ติดตามด้วยตัวชี้วัดรายเดือน (LCR-style, current ratio, capital adequacy) และรายงานต่อ ธปท. ตามงวด</w:t>
      </w:r>
    </w:p>
    <w:p>
      <w:r>
        <w:pict>
          <v:rect style="width:0;height:1.5pt" o:hralign="center" o:hrstd="t" o:hr="t"/>
        </w:pict>
      </w:r>
    </w:p>
    <w:bookmarkEnd w:id="77"/>
    <w:bookmarkStart w:id="81" w:name="โครงสรางทนจดทะเบยน-50-ลานบาท"/>
    <w:p>
      <w:pPr>
        <w:pStyle w:val="Heading2"/>
      </w:pPr>
      <w:r>
        <w:t xml:space="preserve">2. โครงสร้างทุนจดทะเบียน 50 ล้านบาท</w:t>
      </w:r>
    </w:p>
    <w:bookmarkStart w:id="78" w:name="องคประกอบของทนและการจดสรร"/>
    <w:p>
      <w:pPr>
        <w:pStyle w:val="Heading3"/>
      </w:pPr>
      <w:r>
        <w:t xml:space="preserve">2.1 องค์ประกอบของทุนและการจัดสรร</w:t>
      </w:r>
    </w:p>
    <w:p>
      <w:pPr>
        <w:pStyle w:val="FirstParagraph"/>
      </w:pPr>
      <w:r>
        <w:t xml:space="preserve">ทุนจดทะเบียนที่ชำระแล้ว 50,000,000 บาท แบ่งการจัดสรรเชิงบริหาร (ทุนยังคงเป็นของบริษัท เพียงจัดสรรวัตถุประสงค์การใช้):</w:t>
      </w:r>
    </w:p>
    <w:tbl>
      <w:tblPr>
        <w:tblStyle w:val="Table"/>
        <w:tblW w:type="pct" w:w="5000"/>
        <w:tblLayout w:type="fixed"/>
        <w:tblLook w:firstRow="1" w:lastRow="0" w:firstColumn="0" w:lastColumn="0" w:noHBand="0" w:noVBand="0" w:val="0020"/>
      </w:tblPr>
      <w:tblGrid>
        <w:gridCol w:w="1361"/>
        <w:gridCol w:w="1980"/>
        <w:gridCol w:w="990"/>
        <w:gridCol w:w="1980"/>
        <w:gridCol w:w="1608"/>
      </w:tblGrid>
      <w:tr>
        <w:trPr>
          <w:tblHeader w:val="on"/>
        </w:trPr>
        <w:tc>
          <w:tcPr/>
          <w:p>
            <w:pPr>
              <w:pStyle w:val="Compact"/>
            </w:pPr>
            <w:r>
              <w:t xml:space="preserve">องค์ประกอบ</w:t>
            </w:r>
          </w:p>
        </w:tc>
        <w:tc>
          <w:tcPr/>
          <w:p>
            <w:pPr>
              <w:pStyle w:val="Compact"/>
            </w:pPr>
            <w:r>
              <w:t xml:space="preserve">จำนวน (ล้านบาท)</w:t>
            </w:r>
          </w:p>
        </w:tc>
        <w:tc>
          <w:tcPr/>
          <w:p>
            <w:pPr>
              <w:pStyle w:val="Compact"/>
            </w:pPr>
            <w:r>
              <w:t xml:space="preserve">สัดส่วน</w:t>
            </w:r>
          </w:p>
        </w:tc>
        <w:tc>
          <w:tcPr/>
          <w:p>
            <w:pPr>
              <w:pStyle w:val="Compact"/>
            </w:pPr>
            <w:r>
              <w:t xml:space="preserve">รูปแบบสินทรัพย์</w:t>
            </w:r>
          </w:p>
        </w:tc>
        <w:tc>
          <w:tcPr/>
          <w:p>
            <w:pPr>
              <w:pStyle w:val="Compact"/>
            </w:pPr>
            <w:r>
              <w:t xml:space="preserve">วัตถุประสงค์</w:t>
            </w:r>
          </w:p>
        </w:tc>
      </w:tr>
      <w:tr>
        <w:tc>
          <w:tcPr/>
          <w:p>
            <w:pPr>
              <w:pStyle w:val="Compact"/>
            </w:pPr>
            <w:r>
              <w:rPr>
                <w:b/>
                <w:bCs/>
              </w:rPr>
              <w:t xml:space="preserve">Regulatory capital buffer (คงไว้ ≥ 75%)</w:t>
            </w:r>
          </w:p>
        </w:tc>
        <w:tc>
          <w:tcPr/>
          <w:p>
            <w:pPr>
              <w:pStyle w:val="Compact"/>
            </w:pPr>
            <w:r>
              <w:t xml:space="preserve">37.50</w:t>
            </w:r>
          </w:p>
        </w:tc>
        <w:tc>
          <w:tcPr/>
          <w:p>
            <w:pPr>
              <w:pStyle w:val="Compact"/>
            </w:pPr>
            <w:r>
              <w:t xml:space="preserve">75%</w:t>
            </w:r>
          </w:p>
        </w:tc>
        <w:tc>
          <w:tcPr/>
          <w:p>
            <w:pPr>
              <w:pStyle w:val="Compact"/>
            </w:pPr>
            <w:r>
              <w:t xml:space="preserve">เงินฝากประจำ/พันธบัตรรัฐบาล/T-bill</w:t>
            </w:r>
          </w:p>
        </w:tc>
        <w:tc>
          <w:tcPr/>
          <w:p>
            <w:pPr>
              <w:pStyle w:val="Compact"/>
            </w:pPr>
            <w:r>
              <w:t xml:space="preserve">ทุนขั้นต่ำตามเกณฑ์ ธปท. ห้ามนำไปใช้หมุนเวียน</w:t>
            </w:r>
          </w:p>
        </w:tc>
      </w:tr>
      <w:tr>
        <w:tc>
          <w:tcPr/>
          <w:p>
            <w:pPr>
              <w:pStyle w:val="Compact"/>
            </w:pPr>
            <w:r>
              <w:rPr>
                <w:b/>
                <w:bCs/>
              </w:rPr>
              <w:t xml:space="preserve">Operational working capital</w:t>
            </w:r>
          </w:p>
        </w:tc>
        <w:tc>
          <w:tcPr/>
          <w:p>
            <w:pPr>
              <w:pStyle w:val="Compact"/>
            </w:pPr>
            <w:r>
              <w:t xml:space="preserve">7.50</w:t>
            </w:r>
          </w:p>
        </w:tc>
        <w:tc>
          <w:tcPr/>
          <w:p>
            <w:pPr>
              <w:pStyle w:val="Compact"/>
            </w:pPr>
            <w:r>
              <w:t xml:space="preserve">15%</w:t>
            </w:r>
          </w:p>
        </w:tc>
        <w:tc>
          <w:tcPr/>
          <w:p>
            <w:pPr>
              <w:pStyle w:val="Compact"/>
            </w:pPr>
            <w:r>
              <w:t xml:space="preserve">เงินฝากกระแสรายวัน/ออมทรัพย์</w:t>
            </w:r>
          </w:p>
        </w:tc>
        <w:tc>
          <w:tcPr/>
          <w:p>
            <w:pPr>
              <w:pStyle w:val="Compact"/>
            </w:pPr>
            <w:r>
              <w:t xml:space="preserve">เงินเดือน, ค่าโครงสร้างพื้นฐาน, PCI/QSA, ค่าธรรมเนียม scheme</w:t>
            </w:r>
          </w:p>
        </w:tc>
      </w:tr>
      <w:tr>
        <w:tc>
          <w:tcPr/>
          <w:p>
            <w:pPr>
              <w:pStyle w:val="Compact"/>
            </w:pPr>
            <w:r>
              <w:rPr>
                <w:b/>
                <w:bCs/>
              </w:rPr>
              <w:t xml:space="preserve">Settlement / chargeback reserve</w:t>
            </w:r>
          </w:p>
        </w:tc>
        <w:tc>
          <w:tcPr/>
          <w:p>
            <w:pPr>
              <w:pStyle w:val="Compact"/>
            </w:pPr>
            <w:r>
              <w:t xml:space="preserve">3.00</w:t>
            </w:r>
          </w:p>
        </w:tc>
        <w:tc>
          <w:tcPr/>
          <w:p>
            <w:pPr>
              <w:pStyle w:val="Compact"/>
            </w:pPr>
            <w:r>
              <w:t xml:space="preserve">6%</w:t>
            </w:r>
          </w:p>
        </w:tc>
        <w:tc>
          <w:tcPr/>
          <w:p>
            <w:pPr>
              <w:pStyle w:val="Compact"/>
            </w:pPr>
            <w:r>
              <w:t xml:space="preserve">เงินฝากสภาพคล่องสูง</w:t>
            </w:r>
          </w:p>
        </w:tc>
        <w:tc>
          <w:tcPr/>
          <w:p>
            <w:pPr>
              <w:pStyle w:val="Compact"/>
            </w:pPr>
            <w:r>
              <w:t xml:space="preserve">รองรับ timing gap ของ settlement และ chargeback liability</w:t>
            </w:r>
          </w:p>
        </w:tc>
      </w:tr>
      <w:tr>
        <w:tc>
          <w:tcPr/>
          <w:p>
            <w:pPr>
              <w:pStyle w:val="Compact"/>
            </w:pPr>
            <w:r>
              <w:rPr>
                <w:b/>
                <w:bCs/>
              </w:rPr>
              <w:t xml:space="preserve">Contingency / stress reserve</w:t>
            </w:r>
          </w:p>
        </w:tc>
        <w:tc>
          <w:tcPr/>
          <w:p>
            <w:pPr>
              <w:pStyle w:val="Compact"/>
            </w:pPr>
            <w:r>
              <w:t xml:space="preserve">2.00</w:t>
            </w:r>
          </w:p>
        </w:tc>
        <w:tc>
          <w:tcPr/>
          <w:p>
            <w:pPr>
              <w:pStyle w:val="Compact"/>
            </w:pPr>
            <w:r>
              <w:t xml:space="preserve">4%</w:t>
            </w:r>
          </w:p>
        </w:tc>
        <w:tc>
          <w:tcPr/>
          <w:p>
            <w:pPr>
              <w:pStyle w:val="Compact"/>
            </w:pPr>
            <w:r>
              <w:t xml:space="preserve">เงินฝากสภาพคล่องสูง</w:t>
            </w:r>
          </w:p>
        </w:tc>
        <w:tc>
          <w:tcPr/>
          <w:p>
            <w:pPr>
              <w:pStyle w:val="Compact"/>
            </w:pPr>
            <w:r>
              <w:t xml:space="preserve">รองรับเหตุการณ์ไม่คาดคิด / fraud loss</w:t>
            </w:r>
          </w:p>
        </w:tc>
      </w:tr>
      <w:tr>
        <w:tc>
          <w:tcPr/>
          <w:p>
            <w:pPr>
              <w:pStyle w:val="Compact"/>
            </w:pPr>
            <w:r>
              <w:rPr>
                <w:b/>
                <w:bCs/>
              </w:rPr>
              <w:t xml:space="preserve">รวม</w:t>
            </w:r>
          </w:p>
        </w:tc>
        <w:tc>
          <w:tcPr/>
          <w:p>
            <w:pPr>
              <w:pStyle w:val="Compact"/>
            </w:pPr>
            <w:r>
              <w:rPr>
                <w:b/>
                <w:bCs/>
              </w:rPr>
              <w:t xml:space="preserve">50.00</w:t>
            </w:r>
          </w:p>
        </w:tc>
        <w:tc>
          <w:tcPr/>
          <w:p>
            <w:pPr>
              <w:pStyle w:val="Compact"/>
            </w:pPr>
            <w:r>
              <w:rPr>
                <w:b/>
                <w:bCs/>
              </w:rPr>
              <w:t xml:space="preserve">100%</w:t>
            </w:r>
          </w:p>
        </w:tc>
        <w:tc>
          <w:tcPr/>
          <w:p>
            <w:pPr>
              <w:pStyle w:val="Compact"/>
            </w:pPr>
          </w:p>
        </w:tc>
        <w:tc>
          <w:tcPr/>
          <w:p>
            <w:pPr>
              <w:pStyle w:val="Compact"/>
            </w:pPr>
          </w:p>
        </w:tc>
      </w:tr>
    </w:tbl>
    <w:p>
      <w:pPr>
        <w:pStyle w:val="BlockText"/>
      </w:pPr>
      <w:r>
        <w:rPr>
          <w:b/>
          <w:bCs/>
        </w:rPr>
        <w:t xml:space="preserve">หมายเหตุ:</w:t>
      </w:r>
      <w:r>
        <w:t xml:space="preserve"> </w:t>
      </w:r>
      <w:r>
        <w:t xml:space="preserve">Settlement reserve และ chargeback reserve ข้างต้นเป็น buffer ที่มาจากทุนบริษัท</w:t>
      </w:r>
      <w:r>
        <w:t xml:space="preserve"> </w:t>
      </w:r>
      <w:r>
        <w:rPr>
          <w:b/>
          <w:bCs/>
        </w:rPr>
        <w:t xml:space="preserve">แยกต่างหาก</w:t>
      </w:r>
      <w:r>
        <w:t xml:space="preserve"> </w:t>
      </w:r>
      <w:r>
        <w:t xml:space="preserve">จากเงินของ merchant ที่อยู่ในบัญชี segregated (ดูข้อ 5) — ไม่นับซ้ำ</w:t>
      </w:r>
    </w:p>
    <w:bookmarkEnd w:id="78"/>
    <w:bookmarkStart w:id="79" w:name="โครงสรางผถอหน-cap-table-โครงราง"/>
    <w:p>
      <w:pPr>
        <w:pStyle w:val="Heading3"/>
      </w:pPr>
      <w:r>
        <w:t xml:space="preserve">2.2 โครงสร้างผู้ถือหุ้น (Cap Table) — โครงร่าง</w:t>
      </w:r>
    </w:p>
    <w:tbl>
      <w:tblPr>
        <w:tblStyle w:val="Table"/>
        <w:tblW w:type="pct" w:w="5000"/>
        <w:tblLayout w:type="fixed"/>
        <w:tblLook w:firstRow="1" w:lastRow="0" w:firstColumn="0" w:lastColumn="0" w:noHBand="0" w:noVBand="0" w:val="0020"/>
      </w:tblPr>
      <w:tblGrid>
        <w:gridCol w:w="2420"/>
        <w:gridCol w:w="1760"/>
        <w:gridCol w:w="1760"/>
        <w:gridCol w:w="1980"/>
      </w:tblGrid>
      <w:tr>
        <w:trPr>
          <w:tblHeader w:val="on"/>
        </w:trPr>
        <w:tc>
          <w:tcPr/>
          <w:p>
            <w:pPr>
              <w:pStyle w:val="Compact"/>
            </w:pPr>
            <w:r>
              <w:t xml:space="preserve">ผู้ถือหุ้น</w:t>
            </w:r>
          </w:p>
        </w:tc>
        <w:tc>
          <w:tcPr/>
          <w:p>
            <w:pPr>
              <w:pStyle w:val="Compact"/>
            </w:pPr>
            <w:r>
              <w:t xml:space="preserve">ประเภท</w:t>
            </w:r>
          </w:p>
        </w:tc>
        <w:tc>
          <w:tcPr/>
          <w:p>
            <w:pPr>
              <w:pStyle w:val="Compact"/>
            </w:pPr>
            <w:r>
              <w:t xml:space="preserve">สัดส่วน</w:t>
            </w:r>
          </w:p>
        </w:tc>
        <w:tc>
          <w:tcPr/>
          <w:p>
            <w:pPr>
              <w:pStyle w:val="Compact"/>
            </w:pPr>
            <w:r>
              <w:t xml:space="preserve">หมายเหตุ</w:t>
            </w:r>
          </w:p>
        </w:tc>
      </w:tr>
      <w:tr>
        <w:tc>
          <w:tcPr/>
          <w:p>
            <w:pPr>
              <w:pStyle w:val="Compact"/>
            </w:pPr>
            <w:r>
              <w:t xml:space="preserve">ผู้ก่อตั้ง / กรรมการไทย</w:t>
            </w:r>
          </w:p>
        </w:tc>
        <w:tc>
          <w:tcPr/>
          <w:p>
            <w:pPr>
              <w:pStyle w:val="Compact"/>
            </w:pPr>
            <w:r>
              <w:t xml:space="preserve">สามัญ</w:t>
            </w:r>
          </w:p>
        </w:tc>
        <w:tc>
          <w:tcPr/>
          <w:p>
            <w:pPr>
              <w:pStyle w:val="Compact"/>
            </w:pPr>
            <w:r>
              <w:t xml:space="preserve">[TODO %]</w:t>
            </w:r>
          </w:p>
        </w:tc>
        <w:tc>
          <w:tcPr/>
          <w:p>
            <w:pPr>
              <w:pStyle w:val="Compact"/>
            </w:pPr>
            <w:r>
              <w:t xml:space="preserve">ต้องมีกรรมการอย่างน้อย 1 คนสัญชาติไทยและมีถิ่นที่อยู่ในไทย</w:t>
            </w:r>
          </w:p>
        </w:tc>
      </w:tr>
      <w:tr>
        <w:tc>
          <w:tcPr/>
          <w:p>
            <w:pPr>
              <w:pStyle w:val="Compact"/>
            </w:pPr>
            <w:r>
              <w:t xml:space="preserve">นักลงทุนเชิงกลยุทธ์</w:t>
            </w:r>
          </w:p>
        </w:tc>
        <w:tc>
          <w:tcPr/>
          <w:p>
            <w:pPr>
              <w:pStyle w:val="Compact"/>
            </w:pPr>
            <w:r>
              <w:t xml:space="preserve">สามัญ/บุริมสิทธิ</w:t>
            </w:r>
          </w:p>
        </w:tc>
        <w:tc>
          <w:tcPr/>
          <w:p>
            <w:pPr>
              <w:pStyle w:val="Compact"/>
            </w:pPr>
            <w:r>
              <w:t xml:space="preserve">[TODO %]</w:t>
            </w:r>
          </w:p>
        </w:tc>
        <w:tc>
          <w:tcPr/>
          <w:p>
            <w:pPr>
              <w:pStyle w:val="Compact"/>
            </w:pPr>
            <w:r>
              <w:t xml:space="preserve">หากต่างชาติถือข้างมากอาจต้องมี Foreign Business License (FBL)</w:t>
            </w:r>
          </w:p>
        </w:tc>
      </w:tr>
      <w:tr>
        <w:tc>
          <w:tcPr/>
          <w:p>
            <w:pPr>
              <w:pStyle w:val="Compact"/>
            </w:pPr>
            <w:r>
              <w:t xml:space="preserve">ESOP pool</w:t>
            </w:r>
          </w:p>
        </w:tc>
        <w:tc>
          <w:tcPr/>
          <w:p>
            <w:pPr>
              <w:pStyle w:val="Compact"/>
            </w:pPr>
            <w:r>
              <w:t xml:space="preserve">—</w:t>
            </w:r>
          </w:p>
        </w:tc>
        <w:tc>
          <w:tcPr/>
          <w:p>
            <w:pPr>
              <w:pStyle w:val="Compact"/>
            </w:pPr>
            <w:r>
              <w:t xml:space="preserve">[TODO %]</w:t>
            </w:r>
          </w:p>
        </w:tc>
        <w:tc>
          <w:tcPr/>
          <w:p>
            <w:pPr>
              <w:pStyle w:val="Compact"/>
            </w:pPr>
            <w:r>
              <w:t xml:space="preserve">ตามนโยบายบริษัท</w:t>
            </w:r>
          </w:p>
        </w:tc>
      </w:tr>
    </w:tbl>
    <w:p>
      <w:pPr>
        <w:pStyle w:val="BlockText"/>
      </w:pPr>
      <w:r>
        <w:t xml:space="preserve">🔲</w:t>
      </w:r>
      <w:r>
        <w:t xml:space="preserve"> </w:t>
      </w:r>
      <w:r>
        <w:rPr>
          <w:b/>
          <w:bCs/>
        </w:rPr>
        <w:t xml:space="preserve">ASSUMPTION / TODO — โครงสร้างผู้ถือหุ้นจริง:</w:t>
      </w:r>
      <w:r>
        <w:t xml:space="preserve"> </w:t>
      </w:r>
      <w:r>
        <w:t xml:space="preserve">สัดส่วนการถือหุ้นและสัญชาติผู้ถือหุ้นข้างมากยังไม่สรุป</w:t>
      </w:r>
      <w:r>
        <w:t xml:space="preserve"> </w:t>
      </w:r>
      <w:r>
        <w:t xml:space="preserve">ต้องยืนยันก่อนยื่น เพราะกระทบเงื่อนไข FBL และ fit &amp; proper ของกรรมการ/ผู้บริหาร</w:t>
      </w:r>
    </w:p>
    <w:bookmarkEnd w:id="79"/>
    <w:bookmarkStart w:id="80" w:name="ทมาของทน-source-of-funds"/>
    <w:p>
      <w:pPr>
        <w:pStyle w:val="Heading3"/>
      </w:pPr>
      <w:r>
        <w:t xml:space="preserve">2.3 ที่มาของทุน (Source of Funds)</w:t>
      </w:r>
    </w:p>
    <w:tbl>
      <w:tblPr>
        <w:tblStyle w:val="Table"/>
        <w:tblW w:type="pct" w:w="5000"/>
        <w:tblLayout w:type="fixed"/>
        <w:tblLook w:firstRow="1" w:lastRow="0" w:firstColumn="0" w:lastColumn="0" w:noHBand="0" w:noVBand="0" w:val="0020"/>
      </w:tblPr>
      <w:tblGrid>
        <w:gridCol w:w="1777"/>
        <w:gridCol w:w="2586"/>
        <w:gridCol w:w="1131"/>
        <w:gridCol w:w="2424"/>
      </w:tblGrid>
      <w:tr>
        <w:trPr>
          <w:tblHeader w:val="on"/>
        </w:trPr>
        <w:tc>
          <w:tcPr/>
          <w:p>
            <w:pPr>
              <w:pStyle w:val="Compact"/>
            </w:pPr>
            <w:r>
              <w:t xml:space="preserve">แหล่งที่มา</w:t>
            </w:r>
          </w:p>
        </w:tc>
        <w:tc>
          <w:tcPr/>
          <w:p>
            <w:pPr>
              <w:pStyle w:val="Compact"/>
            </w:pPr>
            <w:r>
              <w:t xml:space="preserve">จำนวน (ล้านบาท)</w:t>
            </w:r>
          </w:p>
        </w:tc>
        <w:tc>
          <w:tcPr/>
          <w:p>
            <w:pPr>
              <w:pStyle w:val="Compact"/>
            </w:pPr>
            <w:r>
              <w:t xml:space="preserve">สถานะ</w:t>
            </w:r>
          </w:p>
        </w:tc>
        <w:tc>
          <w:tcPr/>
          <w:p>
            <w:pPr>
              <w:pStyle w:val="Compact"/>
            </w:pPr>
            <w:r>
              <w:t xml:space="preserve">เอกสารหลักฐาน</w:t>
            </w:r>
          </w:p>
        </w:tc>
      </w:tr>
      <w:tr>
        <w:tc>
          <w:tcPr/>
          <w:p>
            <w:pPr>
              <w:pStyle w:val="Compact"/>
            </w:pPr>
            <w:r>
              <w:t xml:space="preserve">ทุนจากผู้ก่อตั้ง (paid-in)</w:t>
            </w:r>
          </w:p>
        </w:tc>
        <w:tc>
          <w:tcPr/>
          <w:p>
            <w:pPr>
              <w:pStyle w:val="Compact"/>
            </w:pPr>
            <w:r>
              <w:t xml:space="preserve">[TODO]</w:t>
            </w:r>
          </w:p>
        </w:tc>
        <w:tc>
          <w:tcPr/>
          <w:p>
            <w:pPr>
              <w:pStyle w:val="Compact"/>
            </w:pPr>
            <w:r>
              <w:t xml:space="preserve">[TODO]</w:t>
            </w:r>
          </w:p>
        </w:tc>
        <w:tc>
          <w:tcPr/>
          <w:p>
            <w:pPr>
              <w:pStyle w:val="Compact"/>
            </w:pPr>
            <w:r>
              <w:t xml:space="preserve">หนังสือรับรอง, statement ธนาคาร</w:t>
            </w:r>
          </w:p>
        </w:tc>
      </w:tr>
      <w:tr>
        <w:tc>
          <w:tcPr/>
          <w:p>
            <w:pPr>
              <w:pStyle w:val="Compact"/>
            </w:pPr>
            <w:r>
              <w:t xml:space="preserve">Equity round (นักลงทุน)</w:t>
            </w:r>
          </w:p>
        </w:tc>
        <w:tc>
          <w:tcPr/>
          <w:p>
            <w:pPr>
              <w:pStyle w:val="Compact"/>
            </w:pPr>
            <w:r>
              <w:t xml:space="preserve">[TODO]</w:t>
            </w:r>
          </w:p>
        </w:tc>
        <w:tc>
          <w:tcPr/>
          <w:p>
            <w:pPr>
              <w:pStyle w:val="Compact"/>
            </w:pPr>
            <w:r>
              <w:t xml:space="preserve">[TODO]</w:t>
            </w:r>
          </w:p>
        </w:tc>
        <w:tc>
          <w:tcPr/>
          <w:p>
            <w:pPr>
              <w:pStyle w:val="Compact"/>
            </w:pPr>
            <w:r>
              <w:t xml:space="preserve">Share subscription agreement</w:t>
            </w:r>
          </w:p>
        </w:tc>
      </w:tr>
      <w:tr>
        <w:tc>
          <w:tcPr/>
          <w:p>
            <w:pPr>
              <w:pStyle w:val="Compact"/>
            </w:pPr>
            <w:r>
              <w:rPr>
                <w:b/>
                <w:bCs/>
              </w:rPr>
              <w:t xml:space="preserve">รวม paid-up capital</w:t>
            </w:r>
          </w:p>
        </w:tc>
        <w:tc>
          <w:tcPr/>
          <w:p>
            <w:pPr>
              <w:pStyle w:val="Compact"/>
            </w:pPr>
            <w:r>
              <w:rPr>
                <w:b/>
                <w:bCs/>
              </w:rPr>
              <w:t xml:space="preserve">50.00</w:t>
            </w:r>
          </w:p>
        </w:tc>
        <w:tc>
          <w:tcPr/>
          <w:p>
            <w:pPr>
              <w:pStyle w:val="Compact"/>
            </w:pPr>
            <w:r>
              <w:t xml:space="preserve">ต้องชำระเต็มก่อนยื่น</w:t>
            </w:r>
          </w:p>
        </w:tc>
        <w:tc>
          <w:tcPr/>
          <w:p>
            <w:pPr>
              <w:pStyle w:val="Compact"/>
            </w:pPr>
            <w:r>
              <w:t xml:space="preserve">ใบสำคัญรับชำระค่าหุ้น, บอจ.5</w:t>
            </w:r>
          </w:p>
        </w:tc>
      </w:tr>
    </w:tbl>
    <w:p>
      <w:pPr>
        <w:pStyle w:val="BlockText"/>
      </w:pPr>
      <w:r>
        <w:t xml:space="preserve">🔲</w:t>
      </w:r>
      <w:r>
        <w:t xml:space="preserve"> </w:t>
      </w:r>
      <w:r>
        <w:rPr>
          <w:b/>
          <w:bCs/>
        </w:rPr>
        <w:t xml:space="preserve">ASSUMPTION / TODO — การระดมทุนจริง:</w:t>
      </w:r>
      <w:r>
        <w:t xml:space="preserve"> </w:t>
      </w:r>
      <w:r>
        <w:t xml:space="preserve">ยอดและกำหนดเวลาการชำระค่าหุ้นจริงยังไม่ยืนยัน ที่มาของเงินทุน</w:t>
      </w:r>
      <w:r>
        <w:t xml:space="preserve"> </w:t>
      </w:r>
      <w:r>
        <w:t xml:space="preserve">ต้องผ่าน</w:t>
      </w:r>
      <w:r>
        <w:t xml:space="preserve"> </w:t>
      </w:r>
      <w:r>
        <w:rPr>
          <w:b/>
          <w:bCs/>
        </w:rPr>
        <w:t xml:space="preserve">AML/CDD source-of-fund verification</w:t>
      </w:r>
      <w:r>
        <w:t xml:space="preserve"> </w:t>
      </w:r>
      <w:r>
        <w:t xml:space="preserve">และรายงานตามเกณฑ์</w:t>
      </w:r>
      <w:r>
        <w:t xml:space="preserve"> </w:t>
      </w:r>
      <w:r>
        <w:rPr>
          <w:b/>
          <w:bCs/>
        </w:rPr>
        <w:t xml:space="preserve">ปปง. (AMLO)</w:t>
      </w:r>
      <w:r>
        <w:t xml:space="preserve"> </w:t>
      </w:r>
      <w:r>
        <w:t xml:space="preserve">ก่อนรับเข้าเป็นทุน</w:t>
      </w:r>
    </w:p>
    <w:p>
      <w:r>
        <w:pict>
          <v:rect style="width:0;height:1.5pt" o:hralign="center" o:hrstd="t" o:hr="t"/>
        </w:pict>
      </w:r>
    </w:p>
    <w:bookmarkEnd w:id="80"/>
    <w:bookmarkEnd w:id="81"/>
    <w:bookmarkStart w:id="83" w:name="สมมตฐานของประมาณการ-key-assumptions"/>
    <w:p>
      <w:pPr>
        <w:pStyle w:val="Heading2"/>
      </w:pPr>
      <w:r>
        <w:t xml:space="preserve">3. สมมติฐานของประมาณการ (Key Assumptions)</w:t>
      </w:r>
    </w:p>
    <w:tbl>
      <w:tblPr>
        <w:tblStyle w:val="Table"/>
        <w:tblW w:type="pct" w:w="5000"/>
        <w:tblLayout w:type="fixed"/>
        <w:tblLook w:firstRow="1" w:lastRow="0" w:firstColumn="0" w:lastColumn="0" w:noHBand="0" w:noVBand="0" w:val="0020"/>
      </w:tblPr>
      <w:tblGrid>
        <w:gridCol w:w="2782"/>
        <w:gridCol w:w="3210"/>
        <w:gridCol w:w="1926"/>
      </w:tblGrid>
      <w:tr>
        <w:trPr>
          <w:tblHeader w:val="on"/>
        </w:trPr>
        <w:tc>
          <w:tcPr/>
          <w:p>
            <w:pPr>
              <w:pStyle w:val="Compact"/>
            </w:pPr>
            <w:r>
              <w:t xml:space="preserve">พารามิเตอร์</w:t>
            </w:r>
          </w:p>
        </w:tc>
        <w:tc>
          <w:tcPr/>
          <w:p>
            <w:pPr>
              <w:pStyle w:val="Compact"/>
            </w:pPr>
            <w:r>
              <w:t xml:space="preserve">สมมติฐาน Base</w:t>
            </w:r>
          </w:p>
        </w:tc>
        <w:tc>
          <w:tcPr/>
          <w:p>
            <w:pPr>
              <w:pStyle w:val="Compact"/>
            </w:pPr>
            <w:r>
              <w:t xml:space="preserve">หมายเหตุ</w:t>
            </w:r>
          </w:p>
        </w:tc>
      </w:tr>
      <w:tr>
        <w:tc>
          <w:tcPr/>
          <w:p>
            <w:pPr>
              <w:pStyle w:val="Compact"/>
            </w:pPr>
            <w:r>
              <w:t xml:space="preserve">Merchant discount rate (MDR) เฉลี่ย</w:t>
            </w:r>
          </w:p>
        </w:tc>
        <w:tc>
          <w:tcPr/>
          <w:p>
            <w:pPr>
              <w:pStyle w:val="Compact"/>
            </w:pPr>
            <w:r>
              <w:t xml:space="preserve">1.85% ของ TPV</w:t>
            </w:r>
          </w:p>
        </w:tc>
        <w:tc>
          <w:tcPr/>
          <w:p>
            <w:pPr>
              <w:pStyle w:val="Compact"/>
            </w:pPr>
            <w:r>
              <w:t xml:space="preserve">รายได้หลัก; หัก interchange + scheme fee</w:t>
            </w:r>
          </w:p>
        </w:tc>
      </w:tr>
      <w:tr>
        <w:tc>
          <w:tcPr/>
          <w:p>
            <w:pPr>
              <w:pStyle w:val="Compact"/>
            </w:pPr>
            <w:r>
              <w:t xml:space="preserve">Interchange + scheme fee (ต้นทุนขาย)</w:t>
            </w:r>
          </w:p>
        </w:tc>
        <w:tc>
          <w:tcPr/>
          <w:p>
            <w:pPr>
              <w:pStyle w:val="Compact"/>
            </w:pPr>
            <w:r>
              <w:t xml:space="preserve">~1.20% ของ TPV</w:t>
            </w:r>
          </w:p>
        </w:tc>
        <w:tc>
          <w:tcPr/>
          <w:p>
            <w:pPr>
              <w:pStyle w:val="Compact"/>
            </w:pPr>
            <w:r>
              <w:t xml:space="preserve">จ่ายให้ issuer/scheme (net MDR margin ~0.65%)</w:t>
            </w:r>
          </w:p>
        </w:tc>
      </w:tr>
      <w:tr>
        <w:tc>
          <w:tcPr/>
          <w:p>
            <w:pPr>
              <w:pStyle w:val="Compact"/>
            </w:pPr>
            <w:r>
              <w:t xml:space="preserve">ค่าธรรมเนียม gateway ต่อรายการ</w:t>
            </w:r>
          </w:p>
        </w:tc>
        <w:tc>
          <w:tcPr/>
          <w:p>
            <w:pPr>
              <w:pStyle w:val="Compact"/>
            </w:pPr>
            <w:r>
              <w:t xml:space="preserve">1.50 บาท/รายการ</w:t>
            </w:r>
          </w:p>
        </w:tc>
        <w:tc>
          <w:tcPr/>
          <w:p>
            <w:pPr>
              <w:pStyle w:val="Compact"/>
            </w:pPr>
            <w:r>
              <w:t xml:space="preserve">สำหรับ authorization + 3DS</w:t>
            </w:r>
          </w:p>
        </w:tc>
      </w:tr>
      <w:tr>
        <w:tc>
          <w:tcPr/>
          <w:p>
            <w:pPr>
              <w:pStyle w:val="Compact"/>
            </w:pPr>
            <w:r>
              <w:t xml:space="preserve">Chargeback rate</w:t>
            </w:r>
          </w:p>
        </w:tc>
        <w:tc>
          <w:tcPr/>
          <w:p>
            <w:pPr>
              <w:pStyle w:val="Compact"/>
            </w:pPr>
            <w:r>
              <w:t xml:space="preserve">0.10% ของจำนวนรายการ</w:t>
            </w:r>
          </w:p>
        </w:tc>
        <w:tc>
          <w:tcPr/>
          <w:p>
            <w:pPr>
              <w:pStyle w:val="Compact"/>
            </w:pPr>
            <w:r>
              <w:t xml:space="preserve">ตั้งเป้าต่ำกว่าเกณฑ์ scheme (Visa/MC 0.9%–1.0%)</w:t>
            </w:r>
          </w:p>
        </w:tc>
      </w:tr>
      <w:tr>
        <w:tc>
          <w:tcPr/>
          <w:p>
            <w:pPr>
              <w:pStyle w:val="Compact"/>
            </w:pPr>
            <w:r>
              <w:t xml:space="preserve">Fraud loss (net)</w:t>
            </w:r>
          </w:p>
        </w:tc>
        <w:tc>
          <w:tcPr/>
          <w:p>
            <w:pPr>
              <w:pStyle w:val="Compact"/>
            </w:pPr>
            <w:r>
              <w:t xml:space="preserve">0.03% ของ TPV</w:t>
            </w:r>
          </w:p>
        </w:tc>
        <w:tc>
          <w:tcPr/>
          <w:p>
            <w:pPr>
              <w:pStyle w:val="Compact"/>
            </w:pPr>
            <w:r>
              <w:t xml:space="preserve">หลังหัก 3DS liability shift</w:t>
            </w:r>
          </w:p>
        </w:tc>
      </w:tr>
      <w:tr>
        <w:tc>
          <w:tcPr/>
          <w:p>
            <w:pPr>
              <w:pStyle w:val="Compact"/>
            </w:pPr>
            <w:r>
              <w:t xml:space="preserve">Settlement cycle</w:t>
            </w:r>
          </w:p>
        </w:tc>
        <w:tc>
          <w:tcPr/>
          <w:p>
            <w:pPr>
              <w:pStyle w:val="Compact"/>
            </w:pPr>
            <w:r>
              <w:t xml:space="preserve">T+1 / T+2</w:t>
            </w:r>
          </w:p>
        </w:tc>
        <w:tc>
          <w:tcPr/>
          <w:p>
            <w:pPr>
              <w:pStyle w:val="Compact"/>
            </w:pPr>
            <w:r>
              <w:t xml:space="preserve">ตามข้อตกลง sponsor bank</w:t>
            </w:r>
          </w:p>
        </w:tc>
      </w:tr>
      <w:tr>
        <w:tc>
          <w:tcPr/>
          <w:p>
            <w:pPr>
              <w:pStyle w:val="Compact"/>
            </w:pPr>
            <w:r>
              <w:t xml:space="preserve">อัตราภาษีเงินได้นิติบุคคล</w:t>
            </w:r>
          </w:p>
        </w:tc>
        <w:tc>
          <w:tcPr/>
          <w:p>
            <w:pPr>
              <w:pStyle w:val="Compact"/>
            </w:pPr>
            <w:r>
              <w:t xml:space="preserve">20%</w:t>
            </w:r>
          </w:p>
        </w:tc>
        <w:tc>
          <w:tcPr/>
          <w:p>
            <w:pPr>
              <w:pStyle w:val="Compact"/>
            </w:pPr>
            <w:r>
              <w:t xml:space="preserve">ตามประมวลรัษฎากร</w:t>
            </w:r>
          </w:p>
        </w:tc>
      </w:tr>
      <w:tr>
        <w:tc>
          <w:tcPr/>
          <w:p>
            <w:pPr>
              <w:pStyle w:val="Compact"/>
            </w:pPr>
            <w:r>
              <w:t xml:space="preserve">อัตราดอกเบิ้ยรับจากทุน buffer</w:t>
            </w:r>
          </w:p>
        </w:tc>
        <w:tc>
          <w:tcPr/>
          <w:p>
            <w:pPr>
              <w:pStyle w:val="Compact"/>
            </w:pPr>
            <w:r>
              <w:t xml:space="preserve">2.0%/ปี</w:t>
            </w:r>
          </w:p>
        </w:tc>
        <w:tc>
          <w:tcPr/>
          <w:p>
            <w:pPr>
              <w:pStyle w:val="Compact"/>
            </w:pPr>
            <w:r>
              <w:t xml:space="preserve">เงินฝากประจำ/พันธบัตรระยะสั้น</w:t>
            </w:r>
          </w:p>
        </w:tc>
      </w:tr>
    </w:tbl>
    <w:p>
      <w:pPr>
        <w:pStyle w:val="BlockText"/>
      </w:pPr>
      <w:r>
        <w:t xml:space="preserve">🔲</w:t>
      </w:r>
      <w:r>
        <w:t xml:space="preserve"> </w:t>
      </w:r>
      <w:r>
        <w:rPr>
          <w:b/>
          <w:bCs/>
        </w:rPr>
        <w:t xml:space="preserve">ASSUMPTION / TODO — เศรษฐศาสตร์ต่อรายการ (unit economics):</w:t>
      </w:r>
      <w:r>
        <w:t xml:space="preserve"> </w:t>
      </w:r>
      <w:r>
        <w:t xml:space="preserve">MDR, interchange และ scheme fee จริง</w:t>
      </w:r>
      <w:r>
        <w:t xml:space="preserve"> </w:t>
      </w:r>
      <w:r>
        <w:t xml:space="preserve">ขึ้นกับสัญญากับ</w:t>
      </w:r>
      <w:r>
        <w:t xml:space="preserve"> </w:t>
      </w:r>
      <w:r>
        <w:rPr>
          <w:b/>
          <w:bCs/>
        </w:rPr>
        <w:t xml:space="preserve">sponsor bank</w:t>
      </w:r>
      <w:r>
        <w:t xml:space="preserve"> </w:t>
      </w:r>
      <w:r>
        <w:t xml:space="preserve">และ</w:t>
      </w:r>
      <w:r>
        <w:t xml:space="preserve"> </w:t>
      </w:r>
      <w:r>
        <w:rPr>
          <w:b/>
          <w:bCs/>
        </w:rPr>
        <w:t xml:space="preserve">card scheme (Visa/Mastercard)</w:t>
      </w:r>
      <w:r>
        <w:t xml:space="preserve"> </w:t>
      </w:r>
      <w:r>
        <w:t xml:space="preserve">ที่ยังไม่สรุป ตัวเลขข้างต้นเป็นค่าอ้างอิงตลาด</w:t>
      </w:r>
    </w:p>
    <w:bookmarkStart w:id="82" w:name="X06c04b27d176b2f2e05a592c568f803f0c0c409"/>
    <w:p>
      <w:pPr>
        <w:pStyle w:val="Heading3"/>
      </w:pPr>
      <w:r>
        <w:t xml:space="preserve">3.1 สมมติฐานปริมาณธุรกรรม (TPV — Total Payment Volume)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ปี</w:t>
            </w:r>
          </w:p>
        </w:tc>
        <w:tc>
          <w:tcPr/>
          <w:p>
            <w:pPr>
              <w:pStyle w:val="Compact"/>
            </w:pPr>
            <w:r>
              <w:t xml:space="preserve">TPV (ล้านบาท)</w:t>
            </w:r>
          </w:p>
        </w:tc>
        <w:tc>
          <w:tcPr/>
          <w:p>
            <w:pPr>
              <w:pStyle w:val="Compact"/>
            </w:pPr>
            <w:r>
              <w:t xml:space="preserve">จำนวนรายการ (ล้านรายการ)</w:t>
            </w:r>
          </w:p>
        </w:tc>
        <w:tc>
          <w:tcPr/>
          <w:p>
            <w:pPr>
              <w:pStyle w:val="Compact"/>
            </w:pPr>
            <w:r>
              <w:t xml:space="preserve">Merchant active</w:t>
            </w:r>
          </w:p>
        </w:tc>
      </w:tr>
      <w:tr>
        <w:tc>
          <w:tcPr/>
          <w:p>
            <w:pPr>
              <w:pStyle w:val="Compact"/>
            </w:pPr>
            <w:r>
              <w:t xml:space="preserve">ปีที่ 1</w:t>
            </w:r>
          </w:p>
        </w:tc>
        <w:tc>
          <w:tcPr/>
          <w:p>
            <w:pPr>
              <w:pStyle w:val="Compact"/>
            </w:pPr>
            <w:r>
              <w:t xml:space="preserve">1,200</w:t>
            </w:r>
          </w:p>
        </w:tc>
        <w:tc>
          <w:tcPr/>
          <w:p>
            <w:pPr>
              <w:pStyle w:val="Compact"/>
            </w:pPr>
            <w:r>
              <w:t xml:space="preserve">4.0</w:t>
            </w:r>
          </w:p>
        </w:tc>
        <w:tc>
          <w:tcPr/>
          <w:p>
            <w:pPr>
              <w:pStyle w:val="Compact"/>
            </w:pPr>
            <w:r>
              <w:t xml:space="preserve">300</w:t>
            </w:r>
          </w:p>
        </w:tc>
      </w:tr>
      <w:tr>
        <w:tc>
          <w:tcPr/>
          <w:p>
            <w:pPr>
              <w:pStyle w:val="Compact"/>
            </w:pPr>
            <w:r>
              <w:t xml:space="preserve">ปีที่ 2</w:t>
            </w:r>
          </w:p>
        </w:tc>
        <w:tc>
          <w:tcPr/>
          <w:p>
            <w:pPr>
              <w:pStyle w:val="Compact"/>
            </w:pPr>
            <w:r>
              <w:t xml:space="preserve">4,500</w:t>
            </w:r>
          </w:p>
        </w:tc>
        <w:tc>
          <w:tcPr/>
          <w:p>
            <w:pPr>
              <w:pStyle w:val="Compact"/>
            </w:pPr>
            <w:r>
              <w:t xml:space="preserve">15.0</w:t>
            </w:r>
          </w:p>
        </w:tc>
        <w:tc>
          <w:tcPr/>
          <w:p>
            <w:pPr>
              <w:pStyle w:val="Compact"/>
            </w:pPr>
            <w:r>
              <w:t xml:space="preserve">1,200</w:t>
            </w:r>
          </w:p>
        </w:tc>
      </w:tr>
      <w:tr>
        <w:tc>
          <w:tcPr/>
          <w:p>
            <w:pPr>
              <w:pStyle w:val="Compact"/>
            </w:pPr>
            <w:r>
              <w:t xml:space="preserve">ปีที่ 3</w:t>
            </w:r>
          </w:p>
        </w:tc>
        <w:tc>
          <w:tcPr/>
          <w:p>
            <w:pPr>
              <w:pStyle w:val="Compact"/>
            </w:pPr>
            <w:r>
              <w:t xml:space="preserve">12,000</w:t>
            </w:r>
          </w:p>
        </w:tc>
        <w:tc>
          <w:tcPr/>
          <w:p>
            <w:pPr>
              <w:pStyle w:val="Compact"/>
            </w:pPr>
            <w:r>
              <w:t xml:space="preserve">40.0</w:t>
            </w:r>
          </w:p>
        </w:tc>
        <w:tc>
          <w:tcPr/>
          <w:p>
            <w:pPr>
              <w:pStyle w:val="Compact"/>
            </w:pPr>
            <w:r>
              <w:t xml:space="preserve">3,500</w:t>
            </w:r>
          </w:p>
        </w:tc>
      </w:tr>
      <w:tr>
        <w:tc>
          <w:tcPr/>
          <w:p>
            <w:pPr>
              <w:pStyle w:val="Compact"/>
            </w:pPr>
            <w:r>
              <w:t xml:space="preserve">ปีที่ 4</w:t>
            </w:r>
          </w:p>
        </w:tc>
        <w:tc>
          <w:tcPr/>
          <w:p>
            <w:pPr>
              <w:pStyle w:val="Compact"/>
            </w:pPr>
            <w:r>
              <w:t xml:space="preserve">24,000</w:t>
            </w:r>
          </w:p>
        </w:tc>
        <w:tc>
          <w:tcPr/>
          <w:p>
            <w:pPr>
              <w:pStyle w:val="Compact"/>
            </w:pPr>
            <w:r>
              <w:t xml:space="preserve">80.0</w:t>
            </w:r>
          </w:p>
        </w:tc>
        <w:tc>
          <w:tcPr/>
          <w:p>
            <w:pPr>
              <w:pStyle w:val="Compact"/>
            </w:pPr>
            <w:r>
              <w:t xml:space="preserve">7,000</w:t>
            </w:r>
          </w:p>
        </w:tc>
      </w:tr>
      <w:tr>
        <w:tc>
          <w:tcPr/>
          <w:p>
            <w:pPr>
              <w:pStyle w:val="Compact"/>
            </w:pPr>
            <w:r>
              <w:t xml:space="preserve">ปีที่ 5</w:t>
            </w:r>
          </w:p>
        </w:tc>
        <w:tc>
          <w:tcPr/>
          <w:p>
            <w:pPr>
              <w:pStyle w:val="Compact"/>
            </w:pPr>
            <w:r>
              <w:t xml:space="preserve">40,000</w:t>
            </w:r>
          </w:p>
        </w:tc>
        <w:tc>
          <w:tcPr/>
          <w:p>
            <w:pPr>
              <w:pStyle w:val="Compact"/>
            </w:pPr>
            <w:r>
              <w:t xml:space="preserve">130.0</w:t>
            </w:r>
          </w:p>
        </w:tc>
        <w:tc>
          <w:tcPr/>
          <w:p>
            <w:pPr>
              <w:pStyle w:val="Compact"/>
            </w:pPr>
            <w:r>
              <w:t xml:space="preserve">12,000</w:t>
            </w:r>
          </w:p>
        </w:tc>
      </w:tr>
    </w:tbl>
    <w:p>
      <w:pPr>
        <w:pStyle w:val="BlockText"/>
      </w:pPr>
      <w:r>
        <w:t xml:space="preserve">จำนวนรายการปีที่ 2 เป็นต้นไป &gt; 6 ล้านรายการ/ปี →</w:t>
      </w:r>
      <w:r>
        <w:t xml:space="preserve"> </w:t>
      </w:r>
      <w:r>
        <w:rPr>
          <w:b/>
          <w:bCs/>
        </w:rPr>
        <w:t xml:space="preserve">ยืนยันความจำเป็นของ PCI-DSS Level 1</w:t>
      </w:r>
      <w:r>
        <w:t xml:space="preserve"> </w:t>
      </w:r>
      <w:r>
        <w:t xml:space="preserve">(สอดคล้อง</w:t>
      </w:r>
      <w:r>
        <w:t xml:space="preserve"> </w:t>
      </w:r>
      <w:r>
        <w:rPr>
          <w:rStyle w:val="VerbatimChar"/>
        </w:rPr>
        <w:t xml:space="preserve">ARCHITECTURE.md</w:t>
      </w:r>
      <w:r>
        <w:t xml:space="preserve"> </w:t>
      </w:r>
      <w:r>
        <w:t xml:space="preserve">§1, §7)</w:t>
      </w:r>
    </w:p>
    <w:p>
      <w:r>
        <w:pict>
          <v:rect style="width:0;height:1.5pt" o:hralign="center" o:hrstd="t" o:hr="t"/>
        </w:pict>
      </w:r>
    </w:p>
    <w:bookmarkEnd w:id="82"/>
    <w:bookmarkEnd w:id="83"/>
    <w:bookmarkStart w:id="87" w:name="ประมาณการทางการเงน-5-ป-base-case"/>
    <w:p>
      <w:pPr>
        <w:pStyle w:val="Heading2"/>
      </w:pPr>
      <w:r>
        <w:t xml:space="preserve">4. ประมาณการทางการเงิน 5 ปี (Base Case)</w:t>
      </w:r>
    </w:p>
    <w:bookmarkStart w:id="84" w:name="งบกำไรขาดทนโดยสรป-pl-หนวย-ลานบาท"/>
    <w:p>
      <w:pPr>
        <w:pStyle w:val="Heading3"/>
      </w:pPr>
      <w:r>
        <w:t xml:space="preserve">4.1 งบกำไรขาดทุนโดยสรุป (P&amp;L, หน่วย: ล้านบาท)</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รายการ</w:t>
            </w:r>
          </w:p>
        </w:tc>
        <w:tc>
          <w:tcPr/>
          <w:p>
            <w:pPr>
              <w:pStyle w:val="Compact"/>
            </w:pPr>
            <w:r>
              <w:t xml:space="preserve">ปีที่ 1</w:t>
            </w:r>
          </w:p>
        </w:tc>
        <w:tc>
          <w:tcPr/>
          <w:p>
            <w:pPr>
              <w:pStyle w:val="Compact"/>
            </w:pPr>
            <w:r>
              <w:t xml:space="preserve">ปีที่ 2</w:t>
            </w:r>
          </w:p>
        </w:tc>
        <w:tc>
          <w:tcPr/>
          <w:p>
            <w:pPr>
              <w:pStyle w:val="Compact"/>
            </w:pPr>
            <w:r>
              <w:t xml:space="preserve">ปีที่ 3</w:t>
            </w:r>
          </w:p>
        </w:tc>
        <w:tc>
          <w:tcPr/>
          <w:p>
            <w:pPr>
              <w:pStyle w:val="Compact"/>
            </w:pPr>
            <w:r>
              <w:t xml:space="preserve">ปีที่ 4</w:t>
            </w:r>
          </w:p>
        </w:tc>
        <w:tc>
          <w:tcPr/>
          <w:p>
            <w:pPr>
              <w:pStyle w:val="Compact"/>
            </w:pPr>
            <w:r>
              <w:t xml:space="preserve">ปีที่ 5</w:t>
            </w:r>
          </w:p>
        </w:tc>
      </w:tr>
      <w:tr>
        <w:tc>
          <w:tcPr/>
          <w:p>
            <w:pPr>
              <w:pStyle w:val="Compact"/>
            </w:pPr>
            <w:r>
              <w:t xml:space="preserve">รายได้ MDR (net margin ~0.65% ของ TPV)</w:t>
            </w:r>
          </w:p>
        </w:tc>
        <w:tc>
          <w:tcPr/>
          <w:p>
            <w:pPr>
              <w:pStyle w:val="Compact"/>
            </w:pPr>
            <w:r>
              <w:t xml:space="preserve">7.80</w:t>
            </w:r>
          </w:p>
        </w:tc>
        <w:tc>
          <w:tcPr/>
          <w:p>
            <w:pPr>
              <w:pStyle w:val="Compact"/>
            </w:pPr>
            <w:r>
              <w:t xml:space="preserve">29.25</w:t>
            </w:r>
          </w:p>
        </w:tc>
        <w:tc>
          <w:tcPr/>
          <w:p>
            <w:pPr>
              <w:pStyle w:val="Compact"/>
            </w:pPr>
            <w:r>
              <w:t xml:space="preserve">78.00</w:t>
            </w:r>
          </w:p>
        </w:tc>
        <w:tc>
          <w:tcPr/>
          <w:p>
            <w:pPr>
              <w:pStyle w:val="Compact"/>
            </w:pPr>
            <w:r>
              <w:t xml:space="preserve">156.00</w:t>
            </w:r>
          </w:p>
        </w:tc>
        <w:tc>
          <w:tcPr/>
          <w:p>
            <w:pPr>
              <w:pStyle w:val="Compact"/>
            </w:pPr>
            <w:r>
              <w:t xml:space="preserve">260.00</w:t>
            </w:r>
          </w:p>
        </w:tc>
      </w:tr>
      <w:tr>
        <w:tc>
          <w:tcPr/>
          <w:p>
            <w:pPr>
              <w:pStyle w:val="Compact"/>
            </w:pPr>
            <w:r>
              <w:t xml:space="preserve">รายได้ค่าธรรมเนียมรายการ + อื่น ๆ</w:t>
            </w:r>
          </w:p>
        </w:tc>
        <w:tc>
          <w:tcPr/>
          <w:p>
            <w:pPr>
              <w:pStyle w:val="Compact"/>
            </w:pPr>
            <w:r>
              <w:t xml:space="preserve">6.00</w:t>
            </w:r>
          </w:p>
        </w:tc>
        <w:tc>
          <w:tcPr/>
          <w:p>
            <w:pPr>
              <w:pStyle w:val="Compact"/>
            </w:pPr>
            <w:r>
              <w:t xml:space="preserve">22.50</w:t>
            </w:r>
          </w:p>
        </w:tc>
        <w:tc>
          <w:tcPr/>
          <w:p>
            <w:pPr>
              <w:pStyle w:val="Compact"/>
            </w:pPr>
            <w:r>
              <w:t xml:space="preserve">60.00</w:t>
            </w:r>
          </w:p>
        </w:tc>
        <w:tc>
          <w:tcPr/>
          <w:p>
            <w:pPr>
              <w:pStyle w:val="Compact"/>
            </w:pPr>
            <w:r>
              <w:t xml:space="preserve">120.00</w:t>
            </w:r>
          </w:p>
        </w:tc>
        <w:tc>
          <w:tcPr/>
          <w:p>
            <w:pPr>
              <w:pStyle w:val="Compact"/>
            </w:pPr>
            <w:r>
              <w:t xml:space="preserve">195.00</w:t>
            </w:r>
          </w:p>
        </w:tc>
      </w:tr>
      <w:tr>
        <w:tc>
          <w:tcPr/>
          <w:p>
            <w:pPr>
              <w:pStyle w:val="Compact"/>
            </w:pPr>
            <w:r>
              <w:rPr>
                <w:b/>
                <w:bCs/>
              </w:rPr>
              <w:t xml:space="preserve">รายได้รวม</w:t>
            </w:r>
          </w:p>
        </w:tc>
        <w:tc>
          <w:tcPr/>
          <w:p>
            <w:pPr>
              <w:pStyle w:val="Compact"/>
            </w:pPr>
            <w:r>
              <w:rPr>
                <w:b/>
                <w:bCs/>
              </w:rPr>
              <w:t xml:space="preserve">13.80</w:t>
            </w:r>
          </w:p>
        </w:tc>
        <w:tc>
          <w:tcPr/>
          <w:p>
            <w:pPr>
              <w:pStyle w:val="Compact"/>
            </w:pPr>
            <w:r>
              <w:rPr>
                <w:b/>
                <w:bCs/>
              </w:rPr>
              <w:t xml:space="preserve">51.75</w:t>
            </w:r>
          </w:p>
        </w:tc>
        <w:tc>
          <w:tcPr/>
          <w:p>
            <w:pPr>
              <w:pStyle w:val="Compact"/>
            </w:pPr>
            <w:r>
              <w:rPr>
                <w:b/>
                <w:bCs/>
              </w:rPr>
              <w:t xml:space="preserve">138.00</w:t>
            </w:r>
          </w:p>
        </w:tc>
        <w:tc>
          <w:tcPr/>
          <w:p>
            <w:pPr>
              <w:pStyle w:val="Compact"/>
            </w:pPr>
            <w:r>
              <w:rPr>
                <w:b/>
                <w:bCs/>
              </w:rPr>
              <w:t xml:space="preserve">276.00</w:t>
            </w:r>
          </w:p>
        </w:tc>
        <w:tc>
          <w:tcPr/>
          <w:p>
            <w:pPr>
              <w:pStyle w:val="Compact"/>
            </w:pPr>
            <w:r>
              <w:rPr>
                <w:b/>
                <w:bCs/>
              </w:rPr>
              <w:t xml:space="preserve">455.00</w:t>
            </w:r>
          </w:p>
        </w:tc>
      </w:tr>
      <w:tr>
        <w:tc>
          <w:tcPr/>
          <w:p>
            <w:pPr>
              <w:pStyle w:val="Compact"/>
            </w:pPr>
            <w:r>
              <w:t xml:space="preserve">ต้นทุนขาย (processing, 3DS, scheme pass-through)</w:t>
            </w:r>
          </w:p>
        </w:tc>
        <w:tc>
          <w:tcPr/>
          <w:p>
            <w:pPr>
              <w:pStyle w:val="Compact"/>
            </w:pPr>
            <w:r>
              <w:t xml:space="preserve">(5.20)</w:t>
            </w:r>
          </w:p>
        </w:tc>
        <w:tc>
          <w:tcPr/>
          <w:p>
            <w:pPr>
              <w:pStyle w:val="Compact"/>
            </w:pPr>
            <w:r>
              <w:t xml:space="preserve">(18.00)</w:t>
            </w:r>
          </w:p>
        </w:tc>
        <w:tc>
          <w:tcPr/>
          <w:p>
            <w:pPr>
              <w:pStyle w:val="Compact"/>
            </w:pPr>
            <w:r>
              <w:t xml:space="preserve">(46.00)</w:t>
            </w:r>
          </w:p>
        </w:tc>
        <w:tc>
          <w:tcPr/>
          <w:p>
            <w:pPr>
              <w:pStyle w:val="Compact"/>
            </w:pPr>
            <w:r>
              <w:t xml:space="preserve">(88.00)</w:t>
            </w:r>
          </w:p>
        </w:tc>
        <w:tc>
          <w:tcPr/>
          <w:p>
            <w:pPr>
              <w:pStyle w:val="Compact"/>
            </w:pPr>
            <w:r>
              <w:t xml:space="preserve">(140.00)</w:t>
            </w:r>
          </w:p>
        </w:tc>
      </w:tr>
      <w:tr>
        <w:tc>
          <w:tcPr/>
          <w:p>
            <w:pPr>
              <w:pStyle w:val="Compact"/>
            </w:pPr>
            <w:r>
              <w:rPr>
                <w:b/>
                <w:bCs/>
              </w:rPr>
              <w:t xml:space="preserve">กำไรขั้นต้น</w:t>
            </w:r>
          </w:p>
        </w:tc>
        <w:tc>
          <w:tcPr/>
          <w:p>
            <w:pPr>
              <w:pStyle w:val="Compact"/>
            </w:pPr>
            <w:r>
              <w:rPr>
                <w:b/>
                <w:bCs/>
              </w:rPr>
              <w:t xml:space="preserve">8.60</w:t>
            </w:r>
          </w:p>
        </w:tc>
        <w:tc>
          <w:tcPr/>
          <w:p>
            <w:pPr>
              <w:pStyle w:val="Compact"/>
            </w:pPr>
            <w:r>
              <w:rPr>
                <w:b/>
                <w:bCs/>
              </w:rPr>
              <w:t xml:space="preserve">33.75</w:t>
            </w:r>
          </w:p>
        </w:tc>
        <w:tc>
          <w:tcPr/>
          <w:p>
            <w:pPr>
              <w:pStyle w:val="Compact"/>
            </w:pPr>
            <w:r>
              <w:rPr>
                <w:b/>
                <w:bCs/>
              </w:rPr>
              <w:t xml:space="preserve">92.00</w:t>
            </w:r>
          </w:p>
        </w:tc>
        <w:tc>
          <w:tcPr/>
          <w:p>
            <w:pPr>
              <w:pStyle w:val="Compact"/>
            </w:pPr>
            <w:r>
              <w:rPr>
                <w:b/>
                <w:bCs/>
              </w:rPr>
              <w:t xml:space="preserve">188.00</w:t>
            </w:r>
          </w:p>
        </w:tc>
        <w:tc>
          <w:tcPr/>
          <w:p>
            <w:pPr>
              <w:pStyle w:val="Compact"/>
            </w:pPr>
            <w:r>
              <w:rPr>
                <w:b/>
                <w:bCs/>
              </w:rPr>
              <w:t xml:space="preserve">315.00</w:t>
            </w:r>
          </w:p>
        </w:tc>
      </w:tr>
      <w:tr>
        <w:tc>
          <w:tcPr/>
          <w:p>
            <w:pPr>
              <w:pStyle w:val="Compact"/>
            </w:pPr>
            <w:r>
              <w:t xml:space="preserve">ค่าใช้จ่ายบุคลากร (ทีมตาม ROADMAP §3)</w:t>
            </w:r>
          </w:p>
        </w:tc>
        <w:tc>
          <w:tcPr/>
          <w:p>
            <w:pPr>
              <w:pStyle w:val="Compact"/>
            </w:pPr>
            <w:r>
              <w:t xml:space="preserve">(18.00)</w:t>
            </w:r>
          </w:p>
        </w:tc>
        <w:tc>
          <w:tcPr/>
          <w:p>
            <w:pPr>
              <w:pStyle w:val="Compact"/>
            </w:pPr>
            <w:r>
              <w:t xml:space="preserve">(26.00)</w:t>
            </w:r>
          </w:p>
        </w:tc>
        <w:tc>
          <w:tcPr/>
          <w:p>
            <w:pPr>
              <w:pStyle w:val="Compact"/>
            </w:pPr>
            <w:r>
              <w:t xml:space="preserve">(38.00)</w:t>
            </w:r>
          </w:p>
        </w:tc>
        <w:tc>
          <w:tcPr/>
          <w:p>
            <w:pPr>
              <w:pStyle w:val="Compact"/>
            </w:pPr>
            <w:r>
              <w:t xml:space="preserve">(52.00)</w:t>
            </w:r>
          </w:p>
        </w:tc>
        <w:tc>
          <w:tcPr/>
          <w:p>
            <w:pPr>
              <w:pStyle w:val="Compact"/>
            </w:pPr>
            <w:r>
              <w:t xml:space="preserve">(66.00)</w:t>
            </w:r>
          </w:p>
        </w:tc>
      </w:tr>
      <w:tr>
        <w:tc>
          <w:tcPr/>
          <w:p>
            <w:pPr>
              <w:pStyle w:val="Compact"/>
            </w:pPr>
            <w:r>
              <w:t xml:space="preserve">PCI-DSS / QSA / ASV / pentest</w:t>
            </w:r>
          </w:p>
        </w:tc>
        <w:tc>
          <w:tcPr/>
          <w:p>
            <w:pPr>
              <w:pStyle w:val="Compact"/>
            </w:pPr>
            <w:r>
              <w:t xml:space="preserve">(4.50)</w:t>
            </w:r>
          </w:p>
        </w:tc>
        <w:tc>
          <w:tcPr/>
          <w:p>
            <w:pPr>
              <w:pStyle w:val="Compact"/>
            </w:pPr>
            <w:r>
              <w:t xml:space="preserve">(5.00)</w:t>
            </w:r>
          </w:p>
        </w:tc>
        <w:tc>
          <w:tcPr/>
          <w:p>
            <w:pPr>
              <w:pStyle w:val="Compact"/>
            </w:pPr>
            <w:r>
              <w:t xml:space="preserve">(5.50)</w:t>
            </w:r>
          </w:p>
        </w:tc>
        <w:tc>
          <w:tcPr/>
          <w:p>
            <w:pPr>
              <w:pStyle w:val="Compact"/>
            </w:pPr>
            <w:r>
              <w:t xml:space="preserve">(6.00)</w:t>
            </w:r>
          </w:p>
        </w:tc>
        <w:tc>
          <w:tcPr/>
          <w:p>
            <w:pPr>
              <w:pStyle w:val="Compact"/>
            </w:pPr>
            <w:r>
              <w:t xml:space="preserve">(6.50)</w:t>
            </w:r>
          </w:p>
        </w:tc>
      </w:tr>
      <w:tr>
        <w:tc>
          <w:tcPr/>
          <w:p>
            <w:pPr>
              <w:pStyle w:val="Compact"/>
            </w:pPr>
            <w:r>
              <w:t xml:space="preserve">HSM/KMS + Infra (HA + DR)</w:t>
            </w:r>
          </w:p>
        </w:tc>
        <w:tc>
          <w:tcPr/>
          <w:p>
            <w:pPr>
              <w:pStyle w:val="Compact"/>
            </w:pPr>
            <w:r>
              <w:t xml:space="preserve">(5.00)</w:t>
            </w:r>
          </w:p>
        </w:tc>
        <w:tc>
          <w:tcPr/>
          <w:p>
            <w:pPr>
              <w:pStyle w:val="Compact"/>
            </w:pPr>
            <w:r>
              <w:t xml:space="preserve">(6.00)</w:t>
            </w:r>
          </w:p>
        </w:tc>
        <w:tc>
          <w:tcPr/>
          <w:p>
            <w:pPr>
              <w:pStyle w:val="Compact"/>
            </w:pPr>
            <w:r>
              <w:t xml:space="preserve">(7.50)</w:t>
            </w:r>
          </w:p>
        </w:tc>
        <w:tc>
          <w:tcPr/>
          <w:p>
            <w:pPr>
              <w:pStyle w:val="Compact"/>
            </w:pPr>
            <w:r>
              <w:t xml:space="preserve">(9.00)</w:t>
            </w:r>
          </w:p>
        </w:tc>
        <w:tc>
          <w:tcPr/>
          <w:p>
            <w:pPr>
              <w:pStyle w:val="Compact"/>
            </w:pPr>
            <w:r>
              <w:t xml:space="preserve">(11.00)</w:t>
            </w:r>
          </w:p>
        </w:tc>
      </w:tr>
      <w:tr>
        <w:tc>
          <w:tcPr/>
          <w:p>
            <w:pPr>
              <w:pStyle w:val="Compact"/>
            </w:pPr>
            <w:r>
              <w:t xml:space="preserve">ที่ปรึกษากฎหมาย / ใบอนุญาต / compliance</w:t>
            </w:r>
          </w:p>
        </w:tc>
        <w:tc>
          <w:tcPr/>
          <w:p>
            <w:pPr>
              <w:pStyle w:val="Compact"/>
            </w:pPr>
            <w:r>
              <w:t xml:space="preserve">(2.50)</w:t>
            </w:r>
          </w:p>
        </w:tc>
        <w:tc>
          <w:tcPr/>
          <w:p>
            <w:pPr>
              <w:pStyle w:val="Compact"/>
            </w:pPr>
            <w:r>
              <w:t xml:space="preserve">(1.50)</w:t>
            </w:r>
          </w:p>
        </w:tc>
        <w:tc>
          <w:tcPr/>
          <w:p>
            <w:pPr>
              <w:pStyle w:val="Compact"/>
            </w:pPr>
            <w:r>
              <w:t xml:space="preserve">(1.50)</w:t>
            </w:r>
          </w:p>
        </w:tc>
        <w:tc>
          <w:tcPr/>
          <w:p>
            <w:pPr>
              <w:pStyle w:val="Compact"/>
            </w:pPr>
            <w:r>
              <w:t xml:space="preserve">(1.80)</w:t>
            </w:r>
          </w:p>
        </w:tc>
        <w:tc>
          <w:tcPr/>
          <w:p>
            <w:pPr>
              <w:pStyle w:val="Compact"/>
            </w:pPr>
            <w:r>
              <w:t xml:space="preserve">(2.00)</w:t>
            </w:r>
          </w:p>
        </w:tc>
      </w:tr>
      <w:tr>
        <w:tc>
          <w:tcPr/>
          <w:p>
            <w:pPr>
              <w:pStyle w:val="Compact"/>
            </w:pPr>
            <w:r>
              <w:t xml:space="preserve">Chargeback + fraud loss</w:t>
            </w:r>
          </w:p>
        </w:tc>
        <w:tc>
          <w:tcPr/>
          <w:p>
            <w:pPr>
              <w:pStyle w:val="Compact"/>
            </w:pPr>
            <w:r>
              <w:t xml:space="preserve">(0.50)</w:t>
            </w:r>
          </w:p>
        </w:tc>
        <w:tc>
          <w:tcPr/>
          <w:p>
            <w:pPr>
              <w:pStyle w:val="Compact"/>
            </w:pPr>
            <w:r>
              <w:t xml:space="preserve">(1.80)</w:t>
            </w:r>
          </w:p>
        </w:tc>
        <w:tc>
          <w:tcPr/>
          <w:p>
            <w:pPr>
              <w:pStyle w:val="Compact"/>
            </w:pPr>
            <w:r>
              <w:t xml:space="preserve">(4.80)</w:t>
            </w:r>
          </w:p>
        </w:tc>
        <w:tc>
          <w:tcPr/>
          <w:p>
            <w:pPr>
              <w:pStyle w:val="Compact"/>
            </w:pPr>
            <w:r>
              <w:t xml:space="preserve">(9.60)</w:t>
            </w:r>
          </w:p>
        </w:tc>
        <w:tc>
          <w:tcPr/>
          <w:p>
            <w:pPr>
              <w:pStyle w:val="Compact"/>
            </w:pPr>
            <w:r>
              <w:t xml:space="preserve">(16.00)</w:t>
            </w:r>
          </w:p>
        </w:tc>
      </w:tr>
      <w:tr>
        <w:tc>
          <w:tcPr/>
          <w:p>
            <w:pPr>
              <w:pStyle w:val="Compact"/>
            </w:pPr>
            <w:r>
              <w:t xml:space="preserve">ค่าใช้จ่ายดำเนินงานอื่น</w:t>
            </w:r>
          </w:p>
        </w:tc>
        <w:tc>
          <w:tcPr/>
          <w:p>
            <w:pPr>
              <w:pStyle w:val="Compact"/>
            </w:pPr>
            <w:r>
              <w:t xml:space="preserve">(3.00)</w:t>
            </w:r>
          </w:p>
        </w:tc>
        <w:tc>
          <w:tcPr/>
          <w:p>
            <w:pPr>
              <w:pStyle w:val="Compact"/>
            </w:pPr>
            <w:r>
              <w:t xml:space="preserve">(4.50)</w:t>
            </w:r>
          </w:p>
        </w:tc>
        <w:tc>
          <w:tcPr/>
          <w:p>
            <w:pPr>
              <w:pStyle w:val="Compact"/>
            </w:pPr>
            <w:r>
              <w:t xml:space="preserve">(6.50)</w:t>
            </w:r>
          </w:p>
        </w:tc>
        <w:tc>
          <w:tcPr/>
          <w:p>
            <w:pPr>
              <w:pStyle w:val="Compact"/>
            </w:pPr>
            <w:r>
              <w:t xml:space="preserve">(9.00)</w:t>
            </w:r>
          </w:p>
        </w:tc>
        <w:tc>
          <w:tcPr/>
          <w:p>
            <w:pPr>
              <w:pStyle w:val="Compact"/>
            </w:pPr>
            <w:r>
              <w:t xml:space="preserve">(12.00)</w:t>
            </w:r>
          </w:p>
        </w:tc>
      </w:tr>
      <w:tr>
        <w:tc>
          <w:tcPr/>
          <w:p>
            <w:pPr>
              <w:pStyle w:val="Compact"/>
            </w:pPr>
            <w:r>
              <w:rPr>
                <w:b/>
                <w:bCs/>
              </w:rPr>
              <w:t xml:space="preserve">EBITDA</w:t>
            </w:r>
          </w:p>
        </w:tc>
        <w:tc>
          <w:tcPr/>
          <w:p>
            <w:pPr>
              <w:pStyle w:val="Compact"/>
            </w:pPr>
            <w:r>
              <w:rPr>
                <w:b/>
                <w:bCs/>
              </w:rPr>
              <w:t xml:space="preserve">(24.90)</w:t>
            </w:r>
          </w:p>
        </w:tc>
        <w:tc>
          <w:tcPr/>
          <w:p>
            <w:pPr>
              <w:pStyle w:val="Compact"/>
            </w:pPr>
            <w:r>
              <w:rPr>
                <w:b/>
                <w:bCs/>
              </w:rPr>
              <w:t xml:space="preserve">(11.05)</w:t>
            </w:r>
          </w:p>
        </w:tc>
        <w:tc>
          <w:tcPr/>
          <w:p>
            <w:pPr>
              <w:pStyle w:val="Compact"/>
            </w:pPr>
            <w:r>
              <w:rPr>
                <w:b/>
                <w:bCs/>
              </w:rPr>
              <w:t xml:space="preserve">27.70</w:t>
            </w:r>
          </w:p>
        </w:tc>
        <w:tc>
          <w:tcPr/>
          <w:p>
            <w:pPr>
              <w:pStyle w:val="Compact"/>
            </w:pPr>
            <w:r>
              <w:rPr>
                <w:b/>
                <w:bCs/>
              </w:rPr>
              <w:t xml:space="preserve">90.80</w:t>
            </w:r>
          </w:p>
        </w:tc>
        <w:tc>
          <w:tcPr/>
          <w:p>
            <w:pPr>
              <w:pStyle w:val="Compact"/>
            </w:pPr>
            <w:r>
              <w:rPr>
                <w:b/>
                <w:bCs/>
              </w:rPr>
              <w:t xml:space="preserve">201.50</w:t>
            </w:r>
          </w:p>
        </w:tc>
      </w:tr>
      <w:tr>
        <w:tc>
          <w:tcPr/>
          <w:p>
            <w:pPr>
              <w:pStyle w:val="Compact"/>
            </w:pPr>
            <w:r>
              <w:t xml:space="preserve">ค่าเสื่อม/ตัดจำหน่าย</w:t>
            </w:r>
          </w:p>
        </w:tc>
        <w:tc>
          <w:tcPr/>
          <w:p>
            <w:pPr>
              <w:pStyle w:val="Compact"/>
            </w:pPr>
            <w:r>
              <w:t xml:space="preserve">(1.50)</w:t>
            </w:r>
          </w:p>
        </w:tc>
        <w:tc>
          <w:tcPr/>
          <w:p>
            <w:pPr>
              <w:pStyle w:val="Compact"/>
            </w:pPr>
            <w:r>
              <w:t xml:space="preserve">(2.00)</w:t>
            </w:r>
          </w:p>
        </w:tc>
        <w:tc>
          <w:tcPr/>
          <w:p>
            <w:pPr>
              <w:pStyle w:val="Compact"/>
            </w:pPr>
            <w:r>
              <w:t xml:space="preserve">(2.50)</w:t>
            </w:r>
          </w:p>
        </w:tc>
        <w:tc>
          <w:tcPr/>
          <w:p>
            <w:pPr>
              <w:pStyle w:val="Compact"/>
            </w:pPr>
            <w:r>
              <w:t xml:space="preserve">(3.00)</w:t>
            </w:r>
          </w:p>
        </w:tc>
        <w:tc>
          <w:tcPr/>
          <w:p>
            <w:pPr>
              <w:pStyle w:val="Compact"/>
            </w:pPr>
            <w:r>
              <w:t xml:space="preserve">(3.50)</w:t>
            </w:r>
          </w:p>
        </w:tc>
      </w:tr>
      <w:tr>
        <w:tc>
          <w:tcPr/>
          <w:p>
            <w:pPr>
              <w:pStyle w:val="Compact"/>
            </w:pPr>
            <w:r>
              <w:rPr>
                <w:b/>
                <w:bCs/>
              </w:rPr>
              <w:t xml:space="preserve">EBIT</w:t>
            </w:r>
          </w:p>
        </w:tc>
        <w:tc>
          <w:tcPr/>
          <w:p>
            <w:pPr>
              <w:pStyle w:val="Compact"/>
            </w:pPr>
            <w:r>
              <w:rPr>
                <w:b/>
                <w:bCs/>
              </w:rPr>
              <w:t xml:space="preserve">(26.40)</w:t>
            </w:r>
          </w:p>
        </w:tc>
        <w:tc>
          <w:tcPr/>
          <w:p>
            <w:pPr>
              <w:pStyle w:val="Compact"/>
            </w:pPr>
            <w:r>
              <w:rPr>
                <w:b/>
                <w:bCs/>
              </w:rPr>
              <w:t xml:space="preserve">(13.05)</w:t>
            </w:r>
          </w:p>
        </w:tc>
        <w:tc>
          <w:tcPr/>
          <w:p>
            <w:pPr>
              <w:pStyle w:val="Compact"/>
            </w:pPr>
            <w:r>
              <w:rPr>
                <w:b/>
                <w:bCs/>
              </w:rPr>
              <w:t xml:space="preserve">25.20</w:t>
            </w:r>
          </w:p>
        </w:tc>
        <w:tc>
          <w:tcPr/>
          <w:p>
            <w:pPr>
              <w:pStyle w:val="Compact"/>
            </w:pPr>
            <w:r>
              <w:rPr>
                <w:b/>
                <w:bCs/>
              </w:rPr>
              <w:t xml:space="preserve">87.80</w:t>
            </w:r>
          </w:p>
        </w:tc>
        <w:tc>
          <w:tcPr/>
          <w:p>
            <w:pPr>
              <w:pStyle w:val="Compact"/>
            </w:pPr>
            <w:r>
              <w:rPr>
                <w:b/>
                <w:bCs/>
              </w:rPr>
              <w:t xml:space="preserve">198.00</w:t>
            </w:r>
          </w:p>
        </w:tc>
      </w:tr>
      <w:tr>
        <w:tc>
          <w:tcPr/>
          <w:p>
            <w:pPr>
              <w:pStyle w:val="Compact"/>
            </w:pPr>
            <w:r>
              <w:t xml:space="preserve">รายได้ดอกเบี้ยจากทุน buffer</w:t>
            </w:r>
          </w:p>
        </w:tc>
        <w:tc>
          <w:tcPr/>
          <w:p>
            <w:pPr>
              <w:pStyle w:val="Compact"/>
            </w:pPr>
            <w:r>
              <w:t xml:space="preserve">0.75</w:t>
            </w:r>
          </w:p>
        </w:tc>
        <w:tc>
          <w:tcPr/>
          <w:p>
            <w:pPr>
              <w:pStyle w:val="Compact"/>
            </w:pPr>
            <w:r>
              <w:t xml:space="preserve">0.75</w:t>
            </w:r>
          </w:p>
        </w:tc>
        <w:tc>
          <w:tcPr/>
          <w:p>
            <w:pPr>
              <w:pStyle w:val="Compact"/>
            </w:pPr>
            <w:r>
              <w:t xml:space="preserve">0.75</w:t>
            </w:r>
          </w:p>
        </w:tc>
        <w:tc>
          <w:tcPr/>
          <w:p>
            <w:pPr>
              <w:pStyle w:val="Compact"/>
            </w:pPr>
            <w:r>
              <w:t xml:space="preserve">0.90</w:t>
            </w:r>
          </w:p>
        </w:tc>
        <w:tc>
          <w:tcPr/>
          <w:p>
            <w:pPr>
              <w:pStyle w:val="Compact"/>
            </w:pPr>
            <w:r>
              <w:t xml:space="preserve">1.00</w:t>
            </w:r>
          </w:p>
        </w:tc>
      </w:tr>
      <w:tr>
        <w:tc>
          <w:tcPr/>
          <w:p>
            <w:pPr>
              <w:pStyle w:val="Compact"/>
            </w:pPr>
            <w:r>
              <w:t xml:space="preserve">ภาษีเงินได้ (20%, เมื่อมีกำไรและใช้ผลขาดทุนสะสมหมด)</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(14.40)</w:t>
            </w:r>
          </w:p>
        </w:tc>
        <w:tc>
          <w:tcPr/>
          <w:p>
            <w:pPr>
              <w:pStyle w:val="Compact"/>
            </w:pPr>
            <w:r>
              <w:t xml:space="preserve">(39.80)</w:t>
            </w:r>
          </w:p>
        </w:tc>
      </w:tr>
      <w:tr>
        <w:tc>
          <w:tcPr/>
          <w:p>
            <w:pPr>
              <w:pStyle w:val="Compact"/>
            </w:pPr>
            <w:r>
              <w:rPr>
                <w:b/>
                <w:bCs/>
              </w:rPr>
              <w:t xml:space="preserve">กำไร(ขาดทุน)สุทธิ</w:t>
            </w:r>
          </w:p>
        </w:tc>
        <w:tc>
          <w:tcPr/>
          <w:p>
            <w:pPr>
              <w:pStyle w:val="Compact"/>
            </w:pPr>
            <w:r>
              <w:rPr>
                <w:b/>
                <w:bCs/>
              </w:rPr>
              <w:t xml:space="preserve">(25.65)</w:t>
            </w:r>
          </w:p>
        </w:tc>
        <w:tc>
          <w:tcPr/>
          <w:p>
            <w:pPr>
              <w:pStyle w:val="Compact"/>
            </w:pPr>
            <w:r>
              <w:rPr>
                <w:b/>
                <w:bCs/>
              </w:rPr>
              <w:t xml:space="preserve">(12.30)</w:t>
            </w:r>
          </w:p>
        </w:tc>
        <w:tc>
          <w:tcPr/>
          <w:p>
            <w:pPr>
              <w:pStyle w:val="Compact"/>
            </w:pPr>
            <w:r>
              <w:rPr>
                <w:b/>
                <w:bCs/>
              </w:rPr>
              <w:t xml:space="preserve">25.95</w:t>
            </w:r>
          </w:p>
        </w:tc>
        <w:tc>
          <w:tcPr/>
          <w:p>
            <w:pPr>
              <w:pStyle w:val="Compact"/>
            </w:pPr>
            <w:r>
              <w:rPr>
                <w:b/>
                <w:bCs/>
              </w:rPr>
              <w:t xml:space="preserve">74.30</w:t>
            </w:r>
          </w:p>
        </w:tc>
        <w:tc>
          <w:tcPr/>
          <w:p>
            <w:pPr>
              <w:pStyle w:val="Compact"/>
            </w:pPr>
            <w:r>
              <w:rPr>
                <w:b/>
                <w:bCs/>
              </w:rPr>
              <w:t xml:space="preserve">159.20</w:t>
            </w:r>
          </w:p>
        </w:tc>
      </w:tr>
      <w:tr>
        <w:tc>
          <w:tcPr/>
          <w:p>
            <w:pPr>
              <w:pStyle w:val="Compact"/>
            </w:pPr>
            <w:r>
              <w:t xml:space="preserve">ขาดทุนสะสม (ยกไป)</w:t>
            </w:r>
          </w:p>
        </w:tc>
        <w:tc>
          <w:tcPr/>
          <w:p>
            <w:pPr>
              <w:pStyle w:val="Compact"/>
            </w:pPr>
            <w:r>
              <w:t xml:space="preserve">(25.65)</w:t>
            </w:r>
          </w:p>
        </w:tc>
        <w:tc>
          <w:tcPr/>
          <w:p>
            <w:pPr>
              <w:pStyle w:val="Compact"/>
            </w:pPr>
            <w:r>
              <w:t xml:space="preserve">(37.95)</w:t>
            </w:r>
          </w:p>
        </w:tc>
        <w:tc>
          <w:tcPr/>
          <w:p>
            <w:pPr>
              <w:pStyle w:val="Compact"/>
            </w:pPr>
            <w:r>
              <w:t xml:space="preserve">(12.00)</w:t>
            </w:r>
          </w:p>
        </w:tc>
        <w:tc>
          <w:tcPr/>
          <w:p>
            <w:pPr>
              <w:pStyle w:val="Compact"/>
            </w:pPr>
            <w:r>
              <w:t xml:space="preserve">62.30</w:t>
            </w:r>
          </w:p>
        </w:tc>
        <w:tc>
          <w:tcPr/>
          <w:p>
            <w:pPr>
              <w:pStyle w:val="Compact"/>
            </w:pPr>
            <w:r>
              <w:t xml:space="preserve">221.50</w:t>
            </w:r>
          </w:p>
        </w:tc>
      </w:tr>
    </w:tbl>
    <w:p>
      <w:pPr>
        <w:pStyle w:val="BodyText"/>
      </w:pPr>
      <w:r>
        <w:rPr>
          <w:b/>
          <w:bCs/>
        </w:rPr>
        <w:t xml:space="preserve">จุดคุ้มทุน (break-even):</w:t>
      </w:r>
      <w:r>
        <w:t xml:space="preserve"> </w:t>
      </w:r>
      <w:r>
        <w:t xml:space="preserve">คาดในปีที่ 3 (EBITDA เป็นบวก) และกำไรสุทธิสะสมเป็นบวกในปีที่ 4</w:t>
      </w:r>
    </w:p>
    <w:bookmarkEnd w:id="84"/>
    <w:bookmarkStart w:id="85" w:name="กระแสเงนสด-cash-flow-โดยสรป-ลานบาท"/>
    <w:p>
      <w:pPr>
        <w:pStyle w:val="Heading3"/>
      </w:pPr>
      <w:r>
        <w:t xml:space="preserve">4.2 กระแสเงินสด (Cash Flow โดยสรุป, ล้านบาท)</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รายการ</w:t>
            </w:r>
          </w:p>
        </w:tc>
        <w:tc>
          <w:tcPr/>
          <w:p>
            <w:pPr>
              <w:pStyle w:val="Compact"/>
            </w:pPr>
            <w:r>
              <w:t xml:space="preserve">ปีที่ 1</w:t>
            </w:r>
          </w:p>
        </w:tc>
        <w:tc>
          <w:tcPr/>
          <w:p>
            <w:pPr>
              <w:pStyle w:val="Compact"/>
            </w:pPr>
            <w:r>
              <w:t xml:space="preserve">ปีที่ 2</w:t>
            </w:r>
          </w:p>
        </w:tc>
        <w:tc>
          <w:tcPr/>
          <w:p>
            <w:pPr>
              <w:pStyle w:val="Compact"/>
            </w:pPr>
            <w:r>
              <w:t xml:space="preserve">ปีที่ 3</w:t>
            </w:r>
          </w:p>
        </w:tc>
        <w:tc>
          <w:tcPr/>
          <w:p>
            <w:pPr>
              <w:pStyle w:val="Compact"/>
            </w:pPr>
            <w:r>
              <w:t xml:space="preserve">ปีที่ 4</w:t>
            </w:r>
          </w:p>
        </w:tc>
        <w:tc>
          <w:tcPr/>
          <w:p>
            <w:pPr>
              <w:pStyle w:val="Compact"/>
            </w:pPr>
            <w:r>
              <w:t xml:space="preserve">ปีที่ 5</w:t>
            </w:r>
          </w:p>
        </w:tc>
      </w:tr>
      <w:tr>
        <w:tc>
          <w:tcPr/>
          <w:p>
            <w:pPr>
              <w:pStyle w:val="Compact"/>
            </w:pPr>
            <w:r>
              <w:t xml:space="preserve">เงินสดจากดำเนินงาน</w:t>
            </w:r>
          </w:p>
        </w:tc>
        <w:tc>
          <w:tcPr/>
          <w:p>
            <w:pPr>
              <w:pStyle w:val="Compact"/>
            </w:pPr>
            <w:r>
              <w:t xml:space="preserve">(24.90)</w:t>
            </w:r>
          </w:p>
        </w:tc>
        <w:tc>
          <w:tcPr/>
          <w:p>
            <w:pPr>
              <w:pStyle w:val="Compact"/>
            </w:pPr>
            <w:r>
              <w:t xml:space="preserve">(11.05)</w:t>
            </w:r>
          </w:p>
        </w:tc>
        <w:tc>
          <w:tcPr/>
          <w:p>
            <w:pPr>
              <w:pStyle w:val="Compact"/>
            </w:pPr>
            <w:r>
              <w:t xml:space="preserve">27.70</w:t>
            </w:r>
          </w:p>
        </w:tc>
        <w:tc>
          <w:tcPr/>
          <w:p>
            <w:pPr>
              <w:pStyle w:val="Compact"/>
            </w:pPr>
            <w:r>
              <w:t xml:space="preserve">90.80</w:t>
            </w:r>
          </w:p>
        </w:tc>
        <w:tc>
          <w:tcPr/>
          <w:p>
            <w:pPr>
              <w:pStyle w:val="Compact"/>
            </w:pPr>
            <w:r>
              <w:t xml:space="preserve">201.50</w:t>
            </w:r>
          </w:p>
        </w:tc>
      </w:tr>
      <w:tr>
        <w:tc>
          <w:tcPr/>
          <w:p>
            <w:pPr>
              <w:pStyle w:val="Compact"/>
            </w:pPr>
            <w:r>
              <w:t xml:space="preserve">เงินลงทุน (capex: HSM, infra)</w:t>
            </w:r>
          </w:p>
        </w:tc>
        <w:tc>
          <w:tcPr/>
          <w:p>
            <w:pPr>
              <w:pStyle w:val="Compact"/>
            </w:pPr>
            <w:r>
              <w:t xml:space="preserve">(3.00)</w:t>
            </w:r>
          </w:p>
        </w:tc>
        <w:tc>
          <w:tcPr/>
          <w:p>
            <w:pPr>
              <w:pStyle w:val="Compact"/>
            </w:pPr>
            <w:r>
              <w:t xml:space="preserve">(2.50)</w:t>
            </w:r>
          </w:p>
        </w:tc>
        <w:tc>
          <w:tcPr/>
          <w:p>
            <w:pPr>
              <w:pStyle w:val="Compact"/>
            </w:pPr>
            <w:r>
              <w:t xml:space="preserve">(3.00)</w:t>
            </w:r>
          </w:p>
        </w:tc>
        <w:tc>
          <w:tcPr/>
          <w:p>
            <w:pPr>
              <w:pStyle w:val="Compact"/>
            </w:pPr>
            <w:r>
              <w:t xml:space="preserve">(3.50)</w:t>
            </w:r>
          </w:p>
        </w:tc>
        <w:tc>
          <w:tcPr/>
          <w:p>
            <w:pPr>
              <w:pStyle w:val="Compact"/>
            </w:pPr>
            <w:r>
              <w:t xml:space="preserve">(4.00)</w:t>
            </w:r>
          </w:p>
        </w:tc>
      </w:tr>
      <w:tr>
        <w:tc>
          <w:tcPr/>
          <w:p>
            <w:pPr>
              <w:pStyle w:val="Compact"/>
            </w:pPr>
            <w:r>
              <w:t xml:space="preserve">เงินสดต้นงวด</w:t>
            </w:r>
          </w:p>
        </w:tc>
        <w:tc>
          <w:tcPr/>
          <w:p>
            <w:pPr>
              <w:pStyle w:val="Compact"/>
            </w:pPr>
            <w:r>
              <w:t xml:space="preserve">50.00</w:t>
            </w:r>
          </w:p>
        </w:tc>
        <w:tc>
          <w:tcPr/>
          <w:p>
            <w:pPr>
              <w:pStyle w:val="Compact"/>
            </w:pPr>
            <w:r>
              <w:t xml:space="preserve">22.10</w:t>
            </w:r>
          </w:p>
        </w:tc>
        <w:tc>
          <w:tcPr/>
          <w:p>
            <w:pPr>
              <w:pStyle w:val="Compact"/>
            </w:pPr>
            <w:r>
              <w:t xml:space="preserve">8.55</w:t>
            </w:r>
          </w:p>
        </w:tc>
        <w:tc>
          <w:tcPr/>
          <w:p>
            <w:pPr>
              <w:pStyle w:val="Compact"/>
            </w:pPr>
            <w:r>
              <w:t xml:space="preserve">33.25</w:t>
            </w:r>
          </w:p>
        </w:tc>
        <w:tc>
          <w:tcPr/>
          <w:p>
            <w:pPr>
              <w:pStyle w:val="Compact"/>
            </w:pPr>
            <w:r>
              <w:t xml:space="preserve">120.55</w:t>
            </w:r>
          </w:p>
        </w:tc>
      </w:tr>
      <w:tr>
        <w:tc>
          <w:tcPr/>
          <w:p>
            <w:pPr>
              <w:pStyle w:val="Compact"/>
            </w:pPr>
            <w:r>
              <w:rPr>
                <w:b/>
                <w:bCs/>
              </w:rPr>
              <w:t xml:space="preserve">เงินสดปลายงวด</w:t>
            </w:r>
          </w:p>
        </w:tc>
        <w:tc>
          <w:tcPr/>
          <w:p>
            <w:pPr>
              <w:pStyle w:val="Compact"/>
            </w:pPr>
            <w:r>
              <w:rPr>
                <w:b/>
                <w:bCs/>
              </w:rPr>
              <w:t xml:space="preserve">22.10</w:t>
            </w:r>
          </w:p>
        </w:tc>
        <w:tc>
          <w:tcPr/>
          <w:p>
            <w:pPr>
              <w:pStyle w:val="Compact"/>
            </w:pPr>
            <w:r>
              <w:rPr>
                <w:b/>
                <w:bCs/>
              </w:rPr>
              <w:t xml:space="preserve">8.55</w:t>
            </w:r>
          </w:p>
        </w:tc>
        <w:tc>
          <w:tcPr/>
          <w:p>
            <w:pPr>
              <w:pStyle w:val="Compact"/>
            </w:pPr>
            <w:r>
              <w:rPr>
                <w:b/>
                <w:bCs/>
              </w:rPr>
              <w:t xml:space="preserve">33.25</w:t>
            </w:r>
          </w:p>
        </w:tc>
        <w:tc>
          <w:tcPr/>
          <w:p>
            <w:pPr>
              <w:pStyle w:val="Compact"/>
            </w:pPr>
            <w:r>
              <w:rPr>
                <w:b/>
                <w:bCs/>
              </w:rPr>
              <w:t xml:space="preserve">120.55</w:t>
            </w:r>
          </w:p>
        </w:tc>
        <w:tc>
          <w:tcPr/>
          <w:p>
            <w:pPr>
              <w:pStyle w:val="Compact"/>
            </w:pPr>
            <w:r>
              <w:rPr>
                <w:b/>
                <w:bCs/>
              </w:rPr>
              <w:t xml:space="preserve">318.05</w:t>
            </w:r>
          </w:p>
        </w:tc>
      </w:tr>
    </w:tbl>
    <w:p>
      <w:pPr>
        <w:pStyle w:val="BlockText"/>
      </w:pPr>
      <w:r>
        <w:rPr>
          <w:b/>
          <w:bCs/>
        </w:rPr>
        <w:t xml:space="preserve">จุดวิกฤต liquidity:</w:t>
      </w:r>
      <w:r>
        <w:t xml:space="preserve"> </w:t>
      </w:r>
      <w:r>
        <w:t xml:space="preserve">ปลายปีที่ 2 เงินสดเหลือ ~8.55 ล้านบาท ต่ำกว่า operational working capital ที่จัดสรร</w:t>
      </w:r>
      <w:r>
        <w:t xml:space="preserve"> </w:t>
      </w:r>
      <w:r>
        <w:t xml:space="preserve">→</w:t>
      </w:r>
      <w:r>
        <w:t xml:space="preserve"> </w:t>
      </w:r>
      <w:r>
        <w:rPr>
          <w:b/>
          <w:bCs/>
        </w:rPr>
        <w:t xml:space="preserve">ต้องมีแผนระดมทุนรอบเพิ่ม (bridge/Series) ปลายปีที่ 1 หรือกลางปีที่ 2</w:t>
      </w:r>
      <w:r>
        <w:t xml:space="preserve"> </w:t>
      </w:r>
      <w:r>
        <w:t xml:space="preserve">ก่อนถึงจุดนี้ (ดู runway ข้อ 6.3)</w:t>
      </w:r>
    </w:p>
    <w:p>
      <w:pPr>
        <w:pStyle w:val="BlockText"/>
      </w:pPr>
      <w:r>
        <w:t xml:space="preserve">🔲</w:t>
      </w:r>
      <w:r>
        <w:t xml:space="preserve"> </w:t>
      </w:r>
      <w:r>
        <w:rPr>
          <w:b/>
          <w:bCs/>
        </w:rPr>
        <w:t xml:space="preserve">ASSUMPTION / TODO — Runway และการเพิ่มทุน:</w:t>
      </w:r>
      <w:r>
        <w:t xml:space="preserve"> </w:t>
      </w:r>
      <w:r>
        <w:t xml:space="preserve">ประมาณการนี้ชี้ว่าลำพังทุน 50 ล้านไม่พอครอบคลุมช่วงขาดทุนสะสม</w:t>
      </w:r>
      <w:r>
        <w:t xml:space="preserve"> </w:t>
      </w:r>
      <w:r>
        <w:t xml:space="preserve">ก่อน break-even บริษัทต้องวางแผนเงินทุนหมุนเวียนเพิ่ม โดย</w:t>
      </w:r>
      <w:r>
        <w:t xml:space="preserve"> </w:t>
      </w:r>
      <w:r>
        <w:rPr>
          <w:b/>
          <w:bCs/>
        </w:rPr>
        <w:t xml:space="preserve">ห้ามแตะ regulatory buffer 37.5 ล้านบาท</w:t>
      </w:r>
    </w:p>
    <w:bookmarkEnd w:id="85"/>
    <w:bookmarkStart w:id="86" w:name="งบดลโดยสรป-balance-sheet-ปลายป-ลานบาท"/>
    <w:p>
      <w:pPr>
        <w:pStyle w:val="Heading3"/>
      </w:pPr>
      <w:r>
        <w:t xml:space="preserve">4.3 งบดุลโดยสรุป (Balance Sheet, ปลายปี, ล้านบาท)</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รายการ</w:t>
            </w:r>
          </w:p>
        </w:tc>
        <w:tc>
          <w:tcPr/>
          <w:p>
            <w:pPr>
              <w:pStyle w:val="Compact"/>
            </w:pPr>
            <w:r>
              <w:t xml:space="preserve">ปีที่ 1</w:t>
            </w:r>
          </w:p>
        </w:tc>
        <w:tc>
          <w:tcPr/>
          <w:p>
            <w:pPr>
              <w:pStyle w:val="Compact"/>
            </w:pPr>
            <w:r>
              <w:t xml:space="preserve">ปีที่ 2</w:t>
            </w:r>
          </w:p>
        </w:tc>
        <w:tc>
          <w:tcPr/>
          <w:p>
            <w:pPr>
              <w:pStyle w:val="Compact"/>
            </w:pPr>
            <w:r>
              <w:t xml:space="preserve">ปีที่ 3</w:t>
            </w:r>
          </w:p>
        </w:tc>
        <w:tc>
          <w:tcPr/>
          <w:p>
            <w:pPr>
              <w:pStyle w:val="Compact"/>
            </w:pPr>
            <w:r>
              <w:t xml:space="preserve">ปีที่ 4</w:t>
            </w:r>
          </w:p>
        </w:tc>
        <w:tc>
          <w:tcPr/>
          <w:p>
            <w:pPr>
              <w:pStyle w:val="Compact"/>
            </w:pPr>
            <w:r>
              <w:t xml:space="preserve">ปีที่ 5</w:t>
            </w:r>
          </w:p>
        </w:tc>
      </w:tr>
      <w:tr>
        <w:tc>
          <w:tcPr/>
          <w:p>
            <w:pPr>
              <w:pStyle w:val="Compact"/>
            </w:pPr>
            <w:r>
              <w:t xml:space="preserve">สินทรัพย์สภาพคล่อง (ไม่รวมเงิน merchant)</w:t>
            </w:r>
          </w:p>
        </w:tc>
        <w:tc>
          <w:tcPr/>
          <w:p>
            <w:pPr>
              <w:pStyle w:val="Compact"/>
            </w:pPr>
            <w:r>
              <w:t xml:space="preserve">22.10</w:t>
            </w:r>
          </w:p>
        </w:tc>
        <w:tc>
          <w:tcPr/>
          <w:p>
            <w:pPr>
              <w:pStyle w:val="Compact"/>
            </w:pPr>
            <w:r>
              <w:t xml:space="preserve">8.55</w:t>
            </w:r>
          </w:p>
        </w:tc>
        <w:tc>
          <w:tcPr/>
          <w:p>
            <w:pPr>
              <w:pStyle w:val="Compact"/>
            </w:pPr>
            <w:r>
              <w:t xml:space="preserve">33.25</w:t>
            </w:r>
          </w:p>
        </w:tc>
        <w:tc>
          <w:tcPr/>
          <w:p>
            <w:pPr>
              <w:pStyle w:val="Compact"/>
            </w:pPr>
            <w:r>
              <w:t xml:space="preserve">120.55</w:t>
            </w:r>
          </w:p>
        </w:tc>
        <w:tc>
          <w:tcPr/>
          <w:p>
            <w:pPr>
              <w:pStyle w:val="Compact"/>
            </w:pPr>
            <w:r>
              <w:t xml:space="preserve">318.05</w:t>
            </w:r>
          </w:p>
        </w:tc>
      </w:tr>
      <w:tr>
        <w:tc>
          <w:tcPr/>
          <w:p>
            <w:pPr>
              <w:pStyle w:val="Compact"/>
            </w:pPr>
            <w:r>
              <w:t xml:space="preserve">สินทรัพย์ถาวรสุทธิ</w:t>
            </w:r>
          </w:p>
        </w:tc>
        <w:tc>
          <w:tcPr/>
          <w:p>
            <w:pPr>
              <w:pStyle w:val="Compact"/>
            </w:pPr>
            <w:r>
              <w:t xml:space="preserve">4.50</w:t>
            </w:r>
          </w:p>
        </w:tc>
        <w:tc>
          <w:tcPr/>
          <w:p>
            <w:pPr>
              <w:pStyle w:val="Compact"/>
            </w:pPr>
            <w:r>
              <w:t xml:space="preserve">5.00</w:t>
            </w:r>
          </w:p>
        </w:tc>
        <w:tc>
          <w:tcPr/>
          <w:p>
            <w:pPr>
              <w:pStyle w:val="Compact"/>
            </w:pPr>
            <w:r>
              <w:t xml:space="preserve">5.50</w:t>
            </w:r>
          </w:p>
        </w:tc>
        <w:tc>
          <w:tcPr/>
          <w:p>
            <w:pPr>
              <w:pStyle w:val="Compact"/>
            </w:pPr>
            <w:r>
              <w:t xml:space="preserve">6.00</w:t>
            </w:r>
          </w:p>
        </w:tc>
        <w:tc>
          <w:tcPr/>
          <w:p>
            <w:pPr>
              <w:pStyle w:val="Compact"/>
            </w:pPr>
            <w:r>
              <w:t xml:space="preserve">6.50</w:t>
            </w:r>
          </w:p>
        </w:tc>
      </w:tr>
      <w:tr>
        <w:tc>
          <w:tcPr/>
          <w:p>
            <w:pPr>
              <w:pStyle w:val="Compact"/>
            </w:pPr>
            <w:r>
              <w:t xml:space="preserve">เงิน merchant ในบัญชี segregated (off-B/S ในเชิงบริหาร)</w:t>
            </w:r>
          </w:p>
        </w:tc>
        <w:tc>
          <w:tcPr/>
          <w:p>
            <w:pPr>
              <w:pStyle w:val="Compact"/>
            </w:pPr>
            <w:r>
              <w:t xml:space="preserve">~3.3</w:t>
            </w:r>
          </w:p>
        </w:tc>
        <w:tc>
          <w:tcPr/>
          <w:p>
            <w:pPr>
              <w:pStyle w:val="Compact"/>
            </w:pPr>
            <w:r>
              <w:t xml:space="preserve">~12.3</w:t>
            </w:r>
          </w:p>
        </w:tc>
        <w:tc>
          <w:tcPr/>
          <w:p>
            <w:pPr>
              <w:pStyle w:val="Compact"/>
            </w:pPr>
            <w:r>
              <w:t xml:space="preserve">~33</w:t>
            </w:r>
          </w:p>
        </w:tc>
        <w:tc>
          <w:tcPr/>
          <w:p>
            <w:pPr>
              <w:pStyle w:val="Compact"/>
            </w:pPr>
            <w:r>
              <w:t xml:space="preserve">~66</w:t>
            </w:r>
          </w:p>
        </w:tc>
        <w:tc>
          <w:tcPr/>
          <w:p>
            <w:pPr>
              <w:pStyle w:val="Compact"/>
            </w:pPr>
            <w:r>
              <w:t xml:space="preserve">~110</w:t>
            </w:r>
          </w:p>
        </w:tc>
      </w:tr>
      <w:tr>
        <w:tc>
          <w:tcPr/>
          <w:p>
            <w:pPr>
              <w:pStyle w:val="Compact"/>
            </w:pPr>
            <w:r>
              <w:t xml:space="preserve">หนี้สินหมุนเวียน (settlement payable ต่อ merchant)</w:t>
            </w:r>
          </w:p>
        </w:tc>
        <w:tc>
          <w:tcPr/>
          <w:p>
            <w:pPr>
              <w:pStyle w:val="Compact"/>
            </w:pPr>
            <w:r>
              <w:t xml:space="preserve">~3.3</w:t>
            </w:r>
          </w:p>
        </w:tc>
        <w:tc>
          <w:tcPr/>
          <w:p>
            <w:pPr>
              <w:pStyle w:val="Compact"/>
            </w:pPr>
            <w:r>
              <w:t xml:space="preserve">~12.3</w:t>
            </w:r>
          </w:p>
        </w:tc>
        <w:tc>
          <w:tcPr/>
          <w:p>
            <w:pPr>
              <w:pStyle w:val="Compact"/>
            </w:pPr>
            <w:r>
              <w:t xml:space="preserve">~33</w:t>
            </w:r>
          </w:p>
        </w:tc>
        <w:tc>
          <w:tcPr/>
          <w:p>
            <w:pPr>
              <w:pStyle w:val="Compact"/>
            </w:pPr>
            <w:r>
              <w:t xml:space="preserve">~66</w:t>
            </w:r>
          </w:p>
        </w:tc>
        <w:tc>
          <w:tcPr/>
          <w:p>
            <w:pPr>
              <w:pStyle w:val="Compact"/>
            </w:pPr>
            <w:r>
              <w:t xml:space="preserve">~110</w:t>
            </w:r>
          </w:p>
        </w:tc>
      </w:tr>
      <w:tr>
        <w:tc>
          <w:tcPr/>
          <w:p>
            <w:pPr>
              <w:pStyle w:val="Compact"/>
            </w:pPr>
            <w:r>
              <w:t xml:space="preserve">ส่วนของผู้ถือหุ้น (ทุน + กำไรสะสม)</w:t>
            </w:r>
          </w:p>
        </w:tc>
        <w:tc>
          <w:tcPr/>
          <w:p>
            <w:pPr>
              <w:pStyle w:val="Compact"/>
            </w:pPr>
            <w:r>
              <w:t xml:space="preserve">24.35</w:t>
            </w:r>
          </w:p>
        </w:tc>
        <w:tc>
          <w:tcPr/>
          <w:p>
            <w:pPr>
              <w:pStyle w:val="Compact"/>
            </w:pPr>
            <w:r>
              <w:t xml:space="preserve">12.05</w:t>
            </w:r>
          </w:p>
        </w:tc>
        <w:tc>
          <w:tcPr/>
          <w:p>
            <w:pPr>
              <w:pStyle w:val="Compact"/>
            </w:pPr>
            <w:r>
              <w:t xml:space="preserve">38.00</w:t>
            </w:r>
          </w:p>
        </w:tc>
        <w:tc>
          <w:tcPr/>
          <w:p>
            <w:pPr>
              <w:pStyle w:val="Compact"/>
            </w:pPr>
            <w:r>
              <w:t xml:space="preserve">112.30</w:t>
            </w:r>
          </w:p>
        </w:tc>
        <w:tc>
          <w:tcPr/>
          <w:p>
            <w:pPr>
              <w:pStyle w:val="Compact"/>
            </w:pPr>
            <w:r>
              <w:t xml:space="preserve">271.50</w:t>
            </w:r>
          </w:p>
        </w:tc>
      </w:tr>
    </w:tbl>
    <w:p>
      <w:r>
        <w:pict>
          <v:rect style="width:0;height:1.5pt" o:hralign="center" o:hrstd="t" o:hr="t"/>
        </w:pict>
      </w:r>
    </w:p>
    <w:bookmarkEnd w:id="86"/>
    <w:bookmarkEnd w:id="87"/>
    <w:bookmarkStart w:id="91" w:name="X87d00ce4167aad3b3a2a17a05a0d6554d143bf2"/>
    <w:p>
      <w:pPr>
        <w:pStyle w:val="Heading2"/>
      </w:pPr>
      <w:r>
        <w:t xml:space="preserve">5. การบริหารเงินลูกค้าและ Settlement (Client Money &amp; Settlement)</w:t>
      </w:r>
    </w:p>
    <w:bookmarkStart w:id="88" w:name="หลกการแยกเงน-segregation"/>
    <w:p>
      <w:pPr>
        <w:pStyle w:val="Heading3"/>
      </w:pPr>
      <w:r>
        <w:t xml:space="preserve">5.1 หลักการแยกเงิน (Segregation)</w:t>
      </w:r>
    </w:p>
    <w:p>
      <w:pPr>
        <w:pStyle w:val="Compact"/>
        <w:numPr>
          <w:ilvl w:val="0"/>
          <w:numId w:val="1016"/>
        </w:numPr>
      </w:pPr>
      <w:r>
        <w:t xml:space="preserve">เงินที่ได้รับจาก card network เพื่อ settle ให้ merchant</w:t>
      </w:r>
      <w:r>
        <w:t xml:space="preserve"> </w:t>
      </w:r>
      <w:r>
        <w:rPr>
          <w:b/>
          <w:bCs/>
        </w:rPr>
        <w:t xml:space="preserve">ไม่ถือเป็นรายได้/สินทรัพย์ของบริษัท</w:t>
      </w:r>
      <w:r>
        <w:t xml:space="preserve"> </w:t>
      </w:r>
      <w:r>
        <w:t xml:space="preserve">เป็นเพียง fiduciary liability</w:t>
      </w:r>
    </w:p>
    <w:p>
      <w:pPr>
        <w:pStyle w:val="Compact"/>
        <w:numPr>
          <w:ilvl w:val="0"/>
          <w:numId w:val="1016"/>
        </w:numPr>
      </w:pPr>
      <w:r>
        <w:t xml:space="preserve">เก็บใน</w:t>
      </w:r>
      <w:r>
        <w:t xml:space="preserve"> </w:t>
      </w:r>
      <w:r>
        <w:rPr>
          <w:b/>
          <w:bCs/>
        </w:rPr>
        <w:t xml:space="preserve">บัญชีแยกต่างหาก (segregated account)</w:t>
      </w:r>
      <w:r>
        <w:t xml:space="preserve"> </w:t>
      </w:r>
      <w:r>
        <w:t xml:space="preserve">ที่สถาบันการเงินที่ ธปท. กำกับ แยกจากบัญชีดำเนินงานของบริษัท</w:t>
      </w:r>
    </w:p>
    <w:p>
      <w:pPr>
        <w:pStyle w:val="Compact"/>
        <w:numPr>
          <w:ilvl w:val="0"/>
          <w:numId w:val="1016"/>
        </w:numPr>
      </w:pPr>
      <w:r>
        <w:rPr>
          <w:b/>
          <w:bCs/>
        </w:rPr>
        <w:t xml:space="preserve">ห้ามนำเงิน merchant ไปใช้เป็นทุนหมุนเวียน</w:t>
      </w:r>
      <w:r>
        <w:t xml:space="preserve"> </w:t>
      </w:r>
      <w:r>
        <w:t xml:space="preserve">หรือลงทุนใด ๆ (no commingling)</w:t>
      </w:r>
    </w:p>
    <w:p>
      <w:pPr>
        <w:pStyle w:val="Compact"/>
        <w:numPr>
          <w:ilvl w:val="0"/>
          <w:numId w:val="1016"/>
        </w:numPr>
      </w:pPr>
      <w:r>
        <w:t xml:space="preserve">กระทบยอด (reconciliation) เงินในบัญชี segregated กับยอด</w:t>
      </w:r>
      <w:r>
        <w:t xml:space="preserve"> </w:t>
      </w:r>
      <w:r>
        <w:rPr>
          <w:rStyle w:val="VerbatimChar"/>
        </w:rPr>
        <w:t xml:space="preserve">settlement payable</w:t>
      </w:r>
      <w:r>
        <w:t xml:space="preserve"> </w:t>
      </w:r>
      <w:r>
        <w:t xml:space="preserve">ใน ledger</w:t>
      </w:r>
      <w:r>
        <w:t xml:space="preserve"> </w:t>
      </w:r>
      <w:r>
        <w:rPr>
          <w:b/>
          <w:bCs/>
        </w:rPr>
        <w:t xml:space="preserve">ทุกวันทำการ</w:t>
      </w:r>
      <w:r>
        <w:t xml:space="preserve"> </w:t>
      </w:r>
      <w:r>
        <w:t xml:space="preserve">โดยอ้างอิง</w:t>
      </w:r>
      <w:r>
        <w:t xml:space="preserve"> </w:t>
      </w:r>
      <w:r>
        <w:rPr>
          <w:rStyle w:val="VerbatimChar"/>
        </w:rPr>
        <w:t xml:space="preserve">ledger_entries(settlement)</w:t>
      </w:r>
      <w:r>
        <w:t xml:space="preserve"> </w:t>
      </w:r>
      <w:r>
        <w:t xml:space="preserve">(double-entry, append-only) ตาม</w:t>
      </w:r>
      <w:r>
        <w:t xml:space="preserve"> </w:t>
      </w:r>
      <w:r>
        <w:rPr>
          <w:rStyle w:val="VerbatimChar"/>
        </w:rPr>
        <w:t xml:space="preserve">ARCHITECTURE.md</w:t>
      </w:r>
      <w:r>
        <w:t xml:space="preserve"> </w:t>
      </w:r>
      <w:r>
        <w:t xml:space="preserve">§6</w:t>
      </w:r>
    </w:p>
    <w:bookmarkEnd w:id="88"/>
    <w:bookmarkStart w:id="89" w:name="บทบาทและอำนาจอนมต-roles-authority"/>
    <w:p>
      <w:pPr>
        <w:pStyle w:val="Heading3"/>
      </w:pPr>
      <w:r>
        <w:t xml:space="preserve">5.2 บทบาทและอำนาจอนุมัติ (Roles &amp; Authority)</w:t>
      </w:r>
    </w:p>
    <w:tbl>
      <w:tblPr>
        <w:tblStyle w:val="Table"/>
        <w:tblW w:type="pct" w:w="5000"/>
        <w:tblLayout w:type="fixed"/>
        <w:tblLook w:firstRow="1" w:lastRow="0" w:firstColumn="0" w:lastColumn="0" w:noHBand="0" w:noVBand="0" w:val="0020"/>
      </w:tblPr>
      <w:tblGrid>
        <w:gridCol w:w="1630"/>
        <w:gridCol w:w="4658"/>
        <w:gridCol w:w="1630"/>
      </w:tblGrid>
      <w:tr>
        <w:trPr>
          <w:tblHeader w:val="on"/>
        </w:trPr>
        <w:tc>
          <w:tcPr/>
          <w:p>
            <w:pPr>
              <w:pStyle w:val="Compact"/>
            </w:pPr>
            <w:r>
              <w:t xml:space="preserve">บทบาท</w:t>
            </w:r>
          </w:p>
        </w:tc>
        <w:tc>
          <w:tcPr/>
          <w:p>
            <w:pPr>
              <w:pStyle w:val="Compact"/>
            </w:pPr>
            <w:r>
              <w:t xml:space="preserve">หน้าที่ด้านการเงิน</w:t>
            </w:r>
          </w:p>
        </w:tc>
        <w:tc>
          <w:tcPr/>
          <w:p>
            <w:pPr>
              <w:pStyle w:val="Compact"/>
            </w:pPr>
            <w:r>
              <w:t xml:space="preserve">อำนาจ</w:t>
            </w:r>
          </w:p>
        </w:tc>
      </w:tr>
      <w:tr>
        <w:tc>
          <w:tcPr/>
          <w:p>
            <w:pPr>
              <w:pStyle w:val="Compact"/>
            </w:pPr>
            <w:r>
              <w:t xml:space="preserve">CFO / Head of Finance</w:t>
            </w:r>
          </w:p>
        </w:tc>
        <w:tc>
          <w:tcPr/>
          <w:p>
            <w:pPr>
              <w:pStyle w:val="Compact"/>
            </w:pPr>
            <w:r>
              <w:t xml:space="preserve">นโยบายเงินทุน, กำกับ solvency/liquidity, รายงาน ธปท.</w:t>
            </w:r>
          </w:p>
        </w:tc>
        <w:tc>
          <w:tcPr/>
          <w:p>
            <w:pPr>
              <w:pStyle w:val="Compact"/>
            </w:pPr>
            <w:r>
              <w:t xml:space="preserve">อนุมัติสูงสุด, เจ้าของ capital plan</w:t>
            </w:r>
          </w:p>
        </w:tc>
      </w:tr>
      <w:tr>
        <w:tc>
          <w:tcPr/>
          <w:p>
            <w:pPr>
              <w:pStyle w:val="Compact"/>
            </w:pPr>
            <w:r>
              <w:t xml:space="preserve">Treasury Manager</w:t>
            </w:r>
          </w:p>
        </w:tc>
        <w:tc>
          <w:tcPr/>
          <w:p>
            <w:pPr>
              <w:pStyle w:val="Compact"/>
            </w:pPr>
            <w:r>
              <w:t xml:space="preserve">บริหาร buffer, บัญชี segregated, reconciliation รายวัน</w:t>
            </w:r>
          </w:p>
        </w:tc>
        <w:tc>
          <w:tcPr/>
          <w:p>
            <w:pPr>
              <w:pStyle w:val="Compact"/>
            </w:pPr>
            <w:r>
              <w:t xml:space="preserve">ดำเนินการภายใต้ limit ที่ CFO กำหนด</w:t>
            </w:r>
          </w:p>
        </w:tc>
      </w:tr>
      <w:tr>
        <w:tc>
          <w:tcPr/>
          <w:p>
            <w:pPr>
              <w:pStyle w:val="Compact"/>
            </w:pPr>
            <w:r>
              <w:t xml:space="preserve">Compliance Officer</w:t>
            </w:r>
          </w:p>
        </w:tc>
        <w:tc>
          <w:tcPr/>
          <w:p>
            <w:pPr>
              <w:pStyle w:val="Compact"/>
            </w:pPr>
            <w:r>
              <w:t xml:space="preserve">AML/CDD source-of-fund, รายงาน ปปง., เกณฑ์ ธปท.</w:t>
            </w:r>
          </w:p>
        </w:tc>
        <w:tc>
          <w:tcPr/>
          <w:p>
            <w:pPr>
              <w:pStyle w:val="Compact"/>
            </w:pPr>
            <w:r>
              <w:t xml:space="preserve">veto ธุรกรรมที่มีความเสี่ยง AML</w:t>
            </w:r>
          </w:p>
        </w:tc>
      </w:tr>
      <w:tr>
        <w:tc>
          <w:tcPr/>
          <w:p>
            <w:pPr>
              <w:pStyle w:val="Compact"/>
            </w:pPr>
            <w:r>
              <w:t xml:space="preserve">Internal Audit</w:t>
            </w:r>
          </w:p>
        </w:tc>
        <w:tc>
          <w:tcPr/>
          <w:p>
            <w:pPr>
              <w:pStyle w:val="Compact"/>
            </w:pPr>
            <w:r>
              <w:t xml:space="preserve">ตรวจสอบการแยกเงิน, reconciliation, capital adequacy</w:t>
            </w:r>
          </w:p>
        </w:tc>
        <w:tc>
          <w:tcPr/>
          <w:p>
            <w:pPr>
              <w:pStyle w:val="Compact"/>
            </w:pPr>
            <w:r>
              <w:t xml:space="preserve">รายงานตรงต่อคณะกรรมการตรวจสอบ</w:t>
            </w:r>
          </w:p>
        </w:tc>
      </w:tr>
      <w:tr>
        <w:tc>
          <w:tcPr/>
          <w:p>
            <w:pPr>
              <w:pStyle w:val="Compact"/>
            </w:pPr>
            <w:r>
              <w:t xml:space="preserve">External Auditor (CPA)</w:t>
            </w:r>
          </w:p>
        </w:tc>
        <w:tc>
          <w:tcPr/>
          <w:p>
            <w:pPr>
              <w:pStyle w:val="Compact"/>
            </w:pPr>
            <w:r>
              <w:t xml:space="preserve">รับรองงบการเงินและประมาณการ</w:t>
            </w:r>
          </w:p>
        </w:tc>
        <w:tc>
          <w:tcPr/>
          <w:p>
            <w:pPr>
              <w:pStyle w:val="Compact"/>
            </w:pPr>
            <w:r>
              <w:t xml:space="preserve">อิสระ</w:t>
            </w:r>
          </w:p>
        </w:tc>
      </w:tr>
    </w:tbl>
    <w:bookmarkEnd w:id="89"/>
    <w:bookmarkStart w:id="90" w:name="chargeback-reserve"/>
    <w:p>
      <w:pPr>
        <w:pStyle w:val="Heading3"/>
      </w:pPr>
      <w:r>
        <w:t xml:space="preserve">5.3 Chargeback &amp; Reserve</w:t>
      </w:r>
    </w:p>
    <w:p>
      <w:pPr>
        <w:pStyle w:val="Compact"/>
        <w:numPr>
          <w:ilvl w:val="0"/>
          <w:numId w:val="1017"/>
        </w:numPr>
      </w:pPr>
      <w:r>
        <w:t xml:space="preserve">ตั้งสำรอง chargeback แบบ dynamic ตาม risk profile ของ merchant (rolling reserve สำหรับ merchant ความเสี่ยงสูง)</w:t>
      </w:r>
    </w:p>
    <w:p>
      <w:pPr>
        <w:pStyle w:val="Compact"/>
        <w:numPr>
          <w:ilvl w:val="0"/>
          <w:numId w:val="1017"/>
        </w:numPr>
      </w:pPr>
      <w:r>
        <w:t xml:space="preserve">Chargeback liability เชื่อมกับ dispute/chargeback workflow (</w:t>
      </w:r>
      <w:r>
        <w:rPr>
          <w:rStyle w:val="VerbatimChar"/>
        </w:rPr>
        <w:t xml:space="preserve">ROADMAP.md</w:t>
      </w:r>
      <w:r>
        <w:t xml:space="preserve"> </w:t>
      </w:r>
      <w:r>
        <w:t xml:space="preserve">Phase 3) และ 3DS 2.x liability shift (EMV 3DS)</w:t>
      </w:r>
    </w:p>
    <w:p>
      <w:pPr>
        <w:pStyle w:val="Compact"/>
        <w:numPr>
          <w:ilvl w:val="0"/>
          <w:numId w:val="1017"/>
        </w:numPr>
      </w:pPr>
      <w:r>
        <w:t xml:space="preserve">ตั้งเป้า chargeback rate &lt; 0.10% ต่ำกว่าเกณฑ์ card scheme (Visa VDMP / Mastercard ECM) อย่างมีนัยสำคัญ</w:t>
      </w:r>
    </w:p>
    <w:p>
      <w:r>
        <w:pict>
          <v:rect style="width:0;height:1.5pt" o:hralign="center" o:hrstd="t" o:hr="t"/>
        </w:pict>
      </w:r>
    </w:p>
    <w:bookmarkEnd w:id="90"/>
    <w:bookmarkEnd w:id="91"/>
    <w:bookmarkStart w:id="95" w:name="X6f8484713132b3d53351561b32bcc131592d284"/>
    <w:p>
      <w:pPr>
        <w:pStyle w:val="Heading2"/>
      </w:pPr>
      <w:r>
        <w:t xml:space="preserve">6. สภาพคล่องและความสามารถในการชำระหนี้ (Liquidity &amp; Solvency)</w:t>
      </w:r>
    </w:p>
    <w:bookmarkStart w:id="92" w:name="ตวชวดและเกณฑเตอน-thresholds"/>
    <w:p>
      <w:pPr>
        <w:pStyle w:val="Heading3"/>
      </w:pPr>
      <w:r>
        <w:t xml:space="preserve">6.1 ตัวชี้วัดและเกณฑ์เตือน (Thresholds)</w:t>
      </w:r>
    </w:p>
    <w:tbl>
      <w:tblPr>
        <w:tblStyle w:val="Table"/>
        <w:tblW w:type="pct" w:w="5000"/>
        <w:tblLayout w:type="fixed"/>
        <w:tblLook w:firstRow="1" w:lastRow="0" w:firstColumn="0" w:lastColumn="0" w:noHBand="0" w:noVBand="0" w:val="0020"/>
      </w:tblPr>
      <w:tblGrid>
        <w:gridCol w:w="1147"/>
        <w:gridCol w:w="688"/>
        <w:gridCol w:w="1721"/>
        <w:gridCol w:w="2295"/>
        <w:gridCol w:w="2066"/>
      </w:tblGrid>
      <w:tr>
        <w:trPr>
          <w:tblHeader w:val="on"/>
        </w:trPr>
        <w:tc>
          <w:tcPr/>
          <w:p>
            <w:pPr>
              <w:pStyle w:val="Compact"/>
            </w:pPr>
            <w:r>
              <w:t xml:space="preserve">ตัวชี้วัด</w:t>
            </w:r>
          </w:p>
        </w:tc>
        <w:tc>
          <w:tcPr/>
          <w:p>
            <w:pPr>
              <w:pStyle w:val="Compact"/>
            </w:pPr>
            <w:r>
              <w:t xml:space="preserve">สูตร</w:t>
            </w:r>
          </w:p>
        </w:tc>
        <w:tc>
          <w:tcPr/>
          <w:p>
            <w:pPr>
              <w:pStyle w:val="Compact"/>
            </w:pPr>
            <w:r>
              <w:t xml:space="preserve">เกณฑ์เป้าหมาย</w:t>
            </w:r>
          </w:p>
        </w:tc>
        <w:tc>
          <w:tcPr/>
          <w:p>
            <w:pPr>
              <w:pStyle w:val="Compact"/>
            </w:pPr>
            <w:r>
              <w:t xml:space="preserve">ระดับเตือน (Amber)</w:t>
            </w:r>
          </w:p>
        </w:tc>
        <w:tc>
          <w:tcPr/>
          <w:p>
            <w:pPr>
              <w:pStyle w:val="Compact"/>
            </w:pPr>
            <w:r>
              <w:t xml:space="preserve">ระดับวิกฤต (Red)</w:t>
            </w:r>
          </w:p>
        </w:tc>
      </w:tr>
      <w:tr>
        <w:tc>
          <w:tcPr/>
          <w:p>
            <w:pPr>
              <w:pStyle w:val="Compact"/>
            </w:pPr>
            <w:r>
              <w:rPr>
                <w:b/>
                <w:bCs/>
              </w:rPr>
              <w:t xml:space="preserve">Capital adequacy</w:t>
            </w:r>
          </w:p>
        </w:tc>
        <w:tc>
          <w:tcPr/>
          <w:p>
            <w:pPr>
              <w:pStyle w:val="Compact"/>
            </w:pPr>
            <w:r>
              <w:t xml:space="preserve">ทุนที่คงไว้ / ทุนขั้นต่ำ 50 ล้าน</w:t>
            </w:r>
          </w:p>
        </w:tc>
        <w:tc>
          <w:tcPr/>
          <w:p>
            <w:pPr>
              <w:pStyle w:val="Compact"/>
            </w:pPr>
            <w:r>
              <w:t xml:space="preserve">≥ 100%</w:t>
            </w:r>
          </w:p>
        </w:tc>
        <w:tc>
          <w:tcPr/>
          <w:p>
            <w:pPr>
              <w:pStyle w:val="Compact"/>
            </w:pPr>
            <w:r>
              <w:t xml:space="preserve">&lt; 90%</w:t>
            </w:r>
          </w:p>
        </w:tc>
        <w:tc>
          <w:tcPr/>
          <w:p>
            <w:pPr>
              <w:pStyle w:val="Compact"/>
            </w:pPr>
            <w:r>
              <w:t xml:space="preserve">&lt; 75% (ผิดเกณฑ์ ธปท.)</w:t>
            </w:r>
          </w:p>
        </w:tc>
      </w:tr>
      <w:tr>
        <w:tc>
          <w:tcPr/>
          <w:p>
            <w:pPr>
              <w:pStyle w:val="Compact"/>
            </w:pPr>
            <w:r>
              <w:rPr>
                <w:b/>
                <w:bCs/>
              </w:rPr>
              <w:t xml:space="preserve">Current ratio</w:t>
            </w:r>
          </w:p>
        </w:tc>
        <w:tc>
          <w:tcPr/>
          <w:p>
            <w:pPr>
              <w:pStyle w:val="Compact"/>
            </w:pPr>
            <w:r>
              <w:t xml:space="preserve">สินทรัพย์หมุนเวียน / หนี้สินหมุนเวียน</w:t>
            </w:r>
          </w:p>
        </w:tc>
        <w:tc>
          <w:tcPr/>
          <w:p>
            <w:pPr>
              <w:pStyle w:val="Compact"/>
            </w:pPr>
            <w:r>
              <w:t xml:space="preserve">≥ 1.5</w:t>
            </w:r>
          </w:p>
        </w:tc>
        <w:tc>
          <w:tcPr/>
          <w:p>
            <w:pPr>
              <w:pStyle w:val="Compact"/>
            </w:pPr>
            <w:r>
              <w:t xml:space="preserve">&lt; 1.2</w:t>
            </w:r>
          </w:p>
        </w:tc>
        <w:tc>
          <w:tcPr/>
          <w:p>
            <w:pPr>
              <w:pStyle w:val="Compact"/>
            </w:pPr>
            <w:r>
              <w:t xml:space="preserve">&lt; 1.0</w:t>
            </w:r>
          </w:p>
        </w:tc>
      </w:tr>
      <w:tr>
        <w:tc>
          <w:tcPr/>
          <w:p>
            <w:pPr>
              <w:pStyle w:val="Compact"/>
            </w:pPr>
            <w:r>
              <w:rPr>
                <w:b/>
                <w:bCs/>
              </w:rPr>
              <w:t xml:space="preserve">Liquidity coverage (LCR-style)</w:t>
            </w:r>
          </w:p>
        </w:tc>
        <w:tc>
          <w:tcPr/>
          <w:p>
            <w:pPr>
              <w:pStyle w:val="Compact"/>
            </w:pPr>
            <w:r>
              <w:t xml:space="preserve">สินทรัพย์สภาพคล่องสูง / กระแสจ่ายสุทธิ 30 วัน</w:t>
            </w:r>
          </w:p>
        </w:tc>
        <w:tc>
          <w:tcPr/>
          <w:p>
            <w:pPr>
              <w:pStyle w:val="Compact"/>
            </w:pPr>
            <w:r>
              <w:t xml:space="preserve">≥ 1.2</w:t>
            </w:r>
          </w:p>
        </w:tc>
        <w:tc>
          <w:tcPr/>
          <w:p>
            <w:pPr>
              <w:pStyle w:val="Compact"/>
            </w:pPr>
            <w:r>
              <w:t xml:space="preserve">&lt; 1.1</w:t>
            </w:r>
          </w:p>
        </w:tc>
        <w:tc>
          <w:tcPr/>
          <w:p>
            <w:pPr>
              <w:pStyle w:val="Compact"/>
            </w:pPr>
            <w:r>
              <w:t xml:space="preserve">&lt; 1.0</w:t>
            </w:r>
          </w:p>
        </w:tc>
      </w:tr>
      <w:tr>
        <w:tc>
          <w:tcPr/>
          <w:p>
            <w:pPr>
              <w:pStyle w:val="Compact"/>
            </w:pPr>
            <w:r>
              <w:rPr>
                <w:b/>
                <w:bCs/>
              </w:rPr>
              <w:t xml:space="preserve">Segregation ratio</w:t>
            </w:r>
          </w:p>
        </w:tc>
        <w:tc>
          <w:tcPr/>
          <w:p>
            <w:pPr>
              <w:pStyle w:val="Compact"/>
            </w:pPr>
            <w:r>
              <w:t xml:space="preserve">ยอดบัญชี segregated / settlement payable</w:t>
            </w:r>
          </w:p>
        </w:tc>
        <w:tc>
          <w:tcPr/>
          <w:p>
            <w:pPr>
              <w:pStyle w:val="Compact"/>
            </w:pPr>
            <w:r>
              <w:t xml:space="preserve">= 100%</w:t>
            </w:r>
          </w:p>
        </w:tc>
        <w:tc>
          <w:tcPr/>
          <w:p>
            <w:pPr>
              <w:pStyle w:val="Compact"/>
            </w:pPr>
            <w:r>
              <w:t xml:space="preserve">&lt; 100%</w:t>
            </w:r>
          </w:p>
        </w:tc>
        <w:tc>
          <w:tcPr/>
          <w:p>
            <w:pPr>
              <w:pStyle w:val="Compact"/>
            </w:pPr>
            <w:r>
              <w:t xml:space="preserve">&lt; 100% (ต้องเติมทันที)</w:t>
            </w:r>
          </w:p>
        </w:tc>
      </w:tr>
      <w:tr>
        <w:tc>
          <w:tcPr/>
          <w:p>
            <w:pPr>
              <w:pStyle w:val="Compact"/>
            </w:pPr>
            <w:r>
              <w:rPr>
                <w:b/>
                <w:bCs/>
              </w:rPr>
              <w:t xml:space="preserve">Cash runway</w:t>
            </w:r>
          </w:p>
        </w:tc>
        <w:tc>
          <w:tcPr/>
          <w:p>
            <w:pPr>
              <w:pStyle w:val="Compact"/>
            </w:pPr>
            <w:r>
              <w:t xml:space="preserve">เงินสดดำเนินงาน / เงินเผาต่อเดือน</w:t>
            </w:r>
          </w:p>
        </w:tc>
        <w:tc>
          <w:tcPr/>
          <w:p>
            <w:pPr>
              <w:pStyle w:val="Compact"/>
            </w:pPr>
            <w:r>
              <w:t xml:space="preserve">≥ 12 เดือน</w:t>
            </w:r>
          </w:p>
        </w:tc>
        <w:tc>
          <w:tcPr/>
          <w:p>
            <w:pPr>
              <w:pStyle w:val="Compact"/>
            </w:pPr>
            <w:r>
              <w:t xml:space="preserve">&lt; 9 เดือน</w:t>
            </w:r>
          </w:p>
        </w:tc>
        <w:tc>
          <w:tcPr/>
          <w:p>
            <w:pPr>
              <w:pStyle w:val="Compact"/>
            </w:pPr>
            <w:r>
              <w:t xml:space="preserve">&lt; 6 เดือน</w:t>
            </w:r>
          </w:p>
        </w:tc>
      </w:tr>
    </w:tbl>
    <w:bookmarkEnd w:id="92"/>
    <w:bookmarkStart w:id="93" w:name="การทดสอบภาวะวกฤต-stress-testing"/>
    <w:p>
      <w:pPr>
        <w:pStyle w:val="Heading3"/>
      </w:pPr>
      <w:r>
        <w:t xml:space="preserve">6.2 การทดสอบภาวะวิกฤต (Stress Testing)</w:t>
      </w:r>
    </w:p>
    <w:p>
      <w:pPr>
        <w:pStyle w:val="FirstParagraph"/>
      </w:pPr>
      <w:r>
        <w:t xml:space="preserve">ทดสอบราย 6 เดือน อย่างน้อยตามสถานการณ์:</w:t>
      </w:r>
    </w:p>
    <w:p>
      <w:pPr>
        <w:pStyle w:val="Compact"/>
        <w:numPr>
          <w:ilvl w:val="0"/>
          <w:numId w:val="1018"/>
        </w:numPr>
      </w:pPr>
      <w:r>
        <w:rPr>
          <w:b/>
          <w:bCs/>
        </w:rPr>
        <w:t xml:space="preserve">Settlement delay</w:t>
      </w:r>
      <w:r>
        <w:t xml:space="preserve"> </w:t>
      </w:r>
      <w:r>
        <w:t xml:space="preserve">— sponsor bank ชะลอ settlement 5 วันทำการ → ทดสอบว่า buffer + segregated account รองรับได้</w:t>
      </w:r>
    </w:p>
    <w:p>
      <w:pPr>
        <w:pStyle w:val="Compact"/>
        <w:numPr>
          <w:ilvl w:val="0"/>
          <w:numId w:val="1018"/>
        </w:numPr>
      </w:pPr>
      <w:r>
        <w:rPr>
          <w:b/>
          <w:bCs/>
        </w:rPr>
        <w:t xml:space="preserve">Chargeback spike</w:t>
      </w:r>
      <w:r>
        <w:t xml:space="preserve"> </w:t>
      </w:r>
      <w:r>
        <w:t xml:space="preserve">— chargeback พุ่งเป็น 3 เท่า (0.30%) ต่อเนื่อง 3 เดือน → ทดสอบ reserve</w:t>
      </w:r>
    </w:p>
    <w:p>
      <w:pPr>
        <w:pStyle w:val="Compact"/>
        <w:numPr>
          <w:ilvl w:val="0"/>
          <w:numId w:val="1018"/>
        </w:numPr>
      </w:pPr>
      <w:r>
        <w:rPr>
          <w:b/>
          <w:bCs/>
        </w:rPr>
        <w:t xml:space="preserve">Revenue shortfall</w:t>
      </w:r>
      <w:r>
        <w:t xml:space="preserve"> </w:t>
      </w:r>
      <w:r>
        <w:t xml:space="preserve">— TPV ต่ำกว่า Base 40% → ทดสอบ runway และ capital adequacy</w:t>
      </w:r>
    </w:p>
    <w:p>
      <w:pPr>
        <w:pStyle w:val="Compact"/>
        <w:numPr>
          <w:ilvl w:val="0"/>
          <w:numId w:val="1018"/>
        </w:numPr>
      </w:pPr>
      <w:r>
        <w:rPr>
          <w:b/>
          <w:bCs/>
        </w:rPr>
        <w:t xml:space="preserve">Fraud event</w:t>
      </w:r>
      <w:r>
        <w:t xml:space="preserve"> </w:t>
      </w:r>
      <w:r>
        <w:t xml:space="preserve">— เหตุ fraud ครั้งเดียวมูลค่า 5 ล้านบาท → ทดสอบ contingency reserve</w:t>
      </w:r>
    </w:p>
    <w:p>
      <w:pPr>
        <w:pStyle w:val="Compact"/>
        <w:numPr>
          <w:ilvl w:val="0"/>
          <w:numId w:val="1018"/>
        </w:numPr>
      </w:pPr>
      <w:r>
        <w:rPr>
          <w:b/>
          <w:bCs/>
        </w:rPr>
        <w:t xml:space="preserve">Operational outage</w:t>
      </w:r>
      <w:r>
        <w:t xml:space="preserve"> </w:t>
      </w:r>
      <w:r>
        <w:t xml:space="preserve">— downtime กระทบรายได้ + ค่าปรับ SLA (อ้างอิง availability ≥ 99.95%,</w:t>
      </w:r>
      <w:r>
        <w:t xml:space="preserve"> </w:t>
      </w:r>
      <w:r>
        <w:rPr>
          <w:rStyle w:val="VerbatimChar"/>
        </w:rPr>
        <w:t xml:space="preserve">ARCHITECTURE.md</w:t>
      </w:r>
      <w:r>
        <w:t xml:space="preserve"> </w:t>
      </w:r>
      <w:r>
        <w:t xml:space="preserve">§8)</w:t>
      </w:r>
    </w:p>
    <w:bookmarkEnd w:id="93"/>
    <w:bookmarkStart w:id="94" w:name="สถานการณจำลอง-scenario-analysis"/>
    <w:p>
      <w:pPr>
        <w:pStyle w:val="Heading3"/>
      </w:pPr>
      <w:r>
        <w:t xml:space="preserve">6.3 สถานการณ์จำลอง (Scenario Analysis)</w:t>
      </w:r>
    </w:p>
    <w:tbl>
      <w:tblPr>
        <w:tblStyle w:val="Table"/>
        <w:tblW w:type="pct" w:w="5000"/>
        <w:tblLayout w:type="fixed"/>
        <w:tblLook w:firstRow="1" w:lastRow="0" w:firstColumn="0" w:lastColumn="0" w:noHBand="0" w:noVBand="0" w:val="0020"/>
      </w:tblPr>
      <w:tblGrid>
        <w:gridCol w:w="1320"/>
        <w:gridCol w:w="1560"/>
        <w:gridCol w:w="2280"/>
        <w:gridCol w:w="1680"/>
        <w:gridCol w:w="1080"/>
      </w:tblGrid>
      <w:tr>
        <w:trPr>
          <w:tblHeader w:val="on"/>
        </w:trPr>
        <w:tc>
          <w:tcPr/>
          <w:p>
            <w:pPr>
              <w:pStyle w:val="Compact"/>
            </w:pPr>
            <w:r>
              <w:t xml:space="preserve">สถานการณ์</w:t>
            </w:r>
          </w:p>
        </w:tc>
        <w:tc>
          <w:tcPr/>
          <w:p>
            <w:pPr>
              <w:pStyle w:val="Compact"/>
            </w:pPr>
            <w:r>
              <w:t xml:space="preserve">TPV vs Base</w:t>
            </w:r>
          </w:p>
        </w:tc>
        <w:tc>
          <w:tcPr/>
          <w:p>
            <w:pPr>
              <w:pStyle w:val="Compact"/>
            </w:pPr>
            <w:r>
              <w:t xml:space="preserve">EBITDA break-even</w:t>
            </w:r>
          </w:p>
        </w:tc>
        <w:tc>
          <w:tcPr/>
          <w:p>
            <w:pPr>
              <w:pStyle w:val="Compact"/>
            </w:pPr>
            <w:r>
              <w:t xml:space="preserve">เงินสดต่ำสุด</w:t>
            </w:r>
          </w:p>
        </w:tc>
        <w:tc>
          <w:tcPr/>
          <w:p>
            <w:pPr>
              <w:pStyle w:val="Compact"/>
            </w:pPr>
            <w:r>
              <w:t xml:space="preserve">ความเห็น</w:t>
            </w:r>
          </w:p>
        </w:tc>
      </w:tr>
      <w:tr>
        <w:tc>
          <w:tcPr/>
          <w:p>
            <w:pPr>
              <w:pStyle w:val="Compact"/>
            </w:pPr>
            <w:r>
              <w:rPr>
                <w:b/>
                <w:bCs/>
              </w:rPr>
              <w:t xml:space="preserve">Conservative</w:t>
            </w:r>
          </w:p>
        </w:tc>
        <w:tc>
          <w:tcPr/>
          <w:p>
            <w:pPr>
              <w:pStyle w:val="Compact"/>
            </w:pPr>
            <w:r>
              <w:t xml:space="preserve">-40%</w:t>
            </w:r>
          </w:p>
        </w:tc>
        <w:tc>
          <w:tcPr/>
          <w:p>
            <w:pPr>
              <w:pStyle w:val="Compact"/>
            </w:pPr>
            <w:r>
              <w:t xml:space="preserve">ปีที่ 4</w:t>
            </w:r>
          </w:p>
        </w:tc>
        <w:tc>
          <w:tcPr/>
          <w:p>
            <w:pPr>
              <w:pStyle w:val="Compact"/>
            </w:pPr>
            <w:r>
              <w:t xml:space="preserve">~2–3 ล้าน (ปีที่ 2–3)</w:t>
            </w:r>
          </w:p>
        </w:tc>
        <w:tc>
          <w:tcPr/>
          <w:p>
            <w:pPr>
              <w:pStyle w:val="Compact"/>
            </w:pPr>
            <w:r>
              <w:t xml:space="preserve">ต้องเพิ่มทุน ~15–20 ล้านก่อนปีที่ 2</w:t>
            </w:r>
          </w:p>
        </w:tc>
      </w:tr>
      <w:tr>
        <w:tc>
          <w:tcPr/>
          <w:p>
            <w:pPr>
              <w:pStyle w:val="Compact"/>
            </w:pPr>
            <w:r>
              <w:rPr>
                <w:b/>
                <w:bCs/>
              </w:rPr>
              <w:t xml:space="preserve">Base</w:t>
            </w:r>
          </w:p>
        </w:tc>
        <w:tc>
          <w:tcPr/>
          <w:p>
            <w:pPr>
              <w:pStyle w:val="Compact"/>
            </w:pPr>
            <w:r>
              <w:t xml:space="preserve">—</w:t>
            </w:r>
          </w:p>
        </w:tc>
        <w:tc>
          <w:tcPr/>
          <w:p>
            <w:pPr>
              <w:pStyle w:val="Compact"/>
            </w:pPr>
            <w:r>
              <w:t xml:space="preserve">ปีที่ 3</w:t>
            </w:r>
          </w:p>
        </w:tc>
        <w:tc>
          <w:tcPr/>
          <w:p>
            <w:pPr>
              <w:pStyle w:val="Compact"/>
            </w:pPr>
            <w:r>
              <w:t xml:space="preserve">~8.55 ล้าน (ปีที่ 2)</w:t>
            </w:r>
          </w:p>
        </w:tc>
        <w:tc>
          <w:tcPr/>
          <w:p>
            <w:pPr>
              <w:pStyle w:val="Compact"/>
            </w:pPr>
            <w:r>
              <w:t xml:space="preserve">ต้องเตรียม bridge ปลายปีที่ 1</w:t>
            </w:r>
          </w:p>
        </w:tc>
      </w:tr>
      <w:tr>
        <w:tc>
          <w:tcPr/>
          <w:p>
            <w:pPr>
              <w:pStyle w:val="Compact"/>
            </w:pPr>
            <w:r>
              <w:rPr>
                <w:b/>
                <w:bCs/>
              </w:rPr>
              <w:t xml:space="preserve">Aggressive</w:t>
            </w:r>
          </w:p>
        </w:tc>
        <w:tc>
          <w:tcPr/>
          <w:p>
            <w:pPr>
              <w:pStyle w:val="Compact"/>
            </w:pPr>
            <w:r>
              <w:t xml:space="preserve">+50%</w:t>
            </w:r>
          </w:p>
        </w:tc>
        <w:tc>
          <w:tcPr/>
          <w:p>
            <w:pPr>
              <w:pStyle w:val="Compact"/>
            </w:pPr>
            <w:r>
              <w:t xml:space="preserve">ปีที่ 2</w:t>
            </w:r>
          </w:p>
        </w:tc>
        <w:tc>
          <w:tcPr/>
          <w:p>
            <w:pPr>
              <w:pStyle w:val="Compact"/>
            </w:pPr>
            <w:r>
              <w:t xml:space="preserve">~18 ล้าน (ปีที่ 2)</w:t>
            </w:r>
          </w:p>
        </w:tc>
        <w:tc>
          <w:tcPr/>
          <w:p>
            <w:pPr>
              <w:pStyle w:val="Compact"/>
            </w:pPr>
            <w:r>
              <w:t xml:space="preserve">อาจไม่ต้องเพิ่มทุน</w:t>
            </w:r>
          </w:p>
        </w:tc>
      </w:tr>
    </w:tbl>
    <w:p>
      <w:pPr>
        <w:pStyle w:val="BlockText"/>
      </w:pPr>
      <w:r>
        <w:rPr>
          <w:b/>
          <w:bCs/>
        </w:rPr>
        <w:t xml:space="preserve">สรุปด้านสภาพคล่อง:</w:t>
      </w:r>
      <w:r>
        <w:t xml:space="preserve"> </w:t>
      </w:r>
      <w:r>
        <w:t xml:space="preserve">ในทุกสถานการณ์</w:t>
      </w:r>
      <w:r>
        <w:t xml:space="preserve"> </w:t>
      </w:r>
      <w:r>
        <w:rPr>
          <w:b/>
          <w:bCs/>
        </w:rPr>
        <w:t xml:space="preserve">regulatory buffer 37.5 ล้านบาทต้องคงอยู่ครบ</w:t>
      </w:r>
      <w:r>
        <w:t xml:space="preserve"> </w:t>
      </w:r>
      <w:r>
        <w:t xml:space="preserve">และไม่ถูกนำมาชดเชยการขาดทุน</w:t>
      </w:r>
      <w:r>
        <w:t xml:space="preserve"> </w:t>
      </w:r>
      <w:r>
        <w:t xml:space="preserve">การขาดสภาพคล่องเชิงดำเนินงานต้องแก้ด้วยการเพิ่มทุน/หนี้ระยะยาว ไม่ใช่การลดทุนขั้นต่ำ</w:t>
      </w:r>
    </w:p>
    <w:p>
      <w:r>
        <w:pict>
          <v:rect style="width:0;height:1.5pt" o:hralign="center" o:hrstd="t" o:hr="t"/>
        </w:pict>
      </w:r>
    </w:p>
    <w:bookmarkEnd w:id="94"/>
    <w:bookmarkEnd w:id="95"/>
    <w:bookmarkStart w:id="96" w:name="Xbdfca21f7066d2b5575d37a92bc2e2419b20c16"/>
    <w:p>
      <w:pPr>
        <w:pStyle w:val="Heading2"/>
      </w:pPr>
      <w:r>
        <w:t xml:space="preserve">7. การกำกับ การรายงาน และการควบคุมภายใน (Governance &amp; Reporting)</w:t>
      </w:r>
    </w:p>
    <w:tbl>
      <w:tblPr>
        <w:tblStyle w:val="Table"/>
        <w:tblW w:type="pct" w:w="5000"/>
        <w:tblLayout w:type="fixed"/>
        <w:tblLook w:firstRow="1" w:lastRow="0" w:firstColumn="0" w:lastColumn="0" w:noHBand="0" w:noVBand="0" w:val="0020"/>
      </w:tblPr>
      <w:tblGrid>
        <w:gridCol w:w="1712"/>
        <w:gridCol w:w="1712"/>
        <w:gridCol w:w="1498"/>
        <w:gridCol w:w="2996"/>
      </w:tblGrid>
      <w:tr>
        <w:trPr>
          <w:tblHeader w:val="on"/>
        </w:trPr>
        <w:tc>
          <w:tcPr/>
          <w:p>
            <w:pPr>
              <w:pStyle w:val="Compact"/>
            </w:pPr>
            <w:r>
              <w:t xml:space="preserve">รายงาน</w:t>
            </w:r>
          </w:p>
        </w:tc>
        <w:tc>
          <w:tcPr/>
          <w:p>
            <w:pPr>
              <w:pStyle w:val="Compact"/>
            </w:pPr>
            <w:r>
              <w:t xml:space="preserve">ความถี่</w:t>
            </w:r>
          </w:p>
        </w:tc>
        <w:tc>
          <w:tcPr/>
          <w:p>
            <w:pPr>
              <w:pStyle w:val="Compact"/>
            </w:pPr>
            <w:r>
              <w:t xml:space="preserve">ผู้รับ</w:t>
            </w:r>
          </w:p>
        </w:tc>
        <w:tc>
          <w:tcPr/>
          <w:p>
            <w:pPr>
              <w:pStyle w:val="Compact"/>
            </w:pPr>
            <w:r>
              <w:t xml:space="preserve">อ้างอิงเกณฑ์</w:t>
            </w:r>
          </w:p>
        </w:tc>
      </w:tr>
      <w:tr>
        <w:tc>
          <w:tcPr/>
          <w:p>
            <w:pPr>
              <w:pStyle w:val="Compact"/>
            </w:pPr>
            <w:r>
              <w:t xml:space="preserve">การดำรงทุน (capital maintenance ≥ 75%)</w:t>
            </w:r>
          </w:p>
        </w:tc>
        <w:tc>
          <w:tcPr/>
          <w:p>
            <w:pPr>
              <w:pStyle w:val="Compact"/>
            </w:pPr>
            <w:r>
              <w:t xml:space="preserve">รายเดือน + รายไตรมาส</w:t>
            </w:r>
          </w:p>
        </w:tc>
        <w:tc>
          <w:tcPr/>
          <w:p>
            <w:pPr>
              <w:pStyle w:val="Compact"/>
            </w:pPr>
            <w:r>
              <w:t xml:space="preserve">ธปท.</w:t>
            </w:r>
          </w:p>
        </w:tc>
        <w:tc>
          <w:tcPr/>
          <w:p>
            <w:pPr>
              <w:pStyle w:val="Compact"/>
            </w:pPr>
            <w:r>
              <w:t xml:space="preserve">พ.ร.บ. ระบบการชำระเงิน 2560</w:t>
            </w:r>
          </w:p>
        </w:tc>
      </w:tr>
      <w:tr>
        <w:tc>
          <w:tcPr/>
          <w:p>
            <w:pPr>
              <w:pStyle w:val="Compact"/>
            </w:pPr>
            <w:r>
              <w:t xml:space="preserve">งบการเงินที่ผู้สอบบัญชีรับรอง</w:t>
            </w:r>
          </w:p>
        </w:tc>
        <w:tc>
          <w:tcPr/>
          <w:p>
            <w:pPr>
              <w:pStyle w:val="Compact"/>
            </w:pPr>
            <w:r>
              <w:t xml:space="preserve">รายปี</w:t>
            </w:r>
          </w:p>
        </w:tc>
        <w:tc>
          <w:tcPr/>
          <w:p>
            <w:pPr>
              <w:pStyle w:val="Compact"/>
            </w:pPr>
            <w:r>
              <w:t xml:space="preserve">ธปท. / กรมพัฒนาธุรกิจการค้า</w:t>
            </w:r>
          </w:p>
        </w:tc>
        <w:tc>
          <w:tcPr/>
          <w:p>
            <w:pPr>
              <w:pStyle w:val="Compact"/>
            </w:pPr>
            <w:r>
              <w:t xml:space="preserve">มาตรฐานบัญชีไทย</w:t>
            </w:r>
          </w:p>
        </w:tc>
      </w:tr>
      <w:tr>
        <w:tc>
          <w:tcPr/>
          <w:p>
            <w:pPr>
              <w:pStyle w:val="Compact"/>
            </w:pPr>
            <w:r>
              <w:t xml:space="preserve">Reconciliation บัญชี segregated</w:t>
            </w:r>
          </w:p>
        </w:tc>
        <w:tc>
          <w:tcPr/>
          <w:p>
            <w:pPr>
              <w:pStyle w:val="Compact"/>
            </w:pPr>
            <w:r>
              <w:t xml:space="preserve">รายวัน</w:t>
            </w:r>
          </w:p>
        </w:tc>
        <w:tc>
          <w:tcPr/>
          <w:p>
            <w:pPr>
              <w:pStyle w:val="Compact"/>
            </w:pPr>
            <w:r>
              <w:t xml:space="preserve">Treasury / Internal Audit</w:t>
            </w:r>
          </w:p>
        </w:tc>
        <w:tc>
          <w:tcPr/>
          <w:p>
            <w:pPr>
              <w:pStyle w:val="Compact"/>
            </w:pPr>
            <w:r>
              <w:t xml:space="preserve">เกณฑ์การแยกเงิน</w:t>
            </w:r>
          </w:p>
        </w:tc>
      </w:tr>
      <w:tr>
        <w:tc>
          <w:tcPr/>
          <w:p>
            <w:pPr>
              <w:pStyle w:val="Compact"/>
            </w:pPr>
            <w:r>
              <w:t xml:space="preserve">รายงานธุรกรรมน่าสงสัย (STR/CTR)</w:t>
            </w:r>
          </w:p>
        </w:tc>
        <w:tc>
          <w:tcPr/>
          <w:p>
            <w:pPr>
              <w:pStyle w:val="Compact"/>
            </w:pPr>
            <w:r>
              <w:t xml:space="preserve">ตามเหตุการณ์</w:t>
            </w:r>
          </w:p>
        </w:tc>
        <w:tc>
          <w:tcPr/>
          <w:p>
            <w:pPr>
              <w:pStyle w:val="Compact"/>
            </w:pPr>
            <w:r>
              <w:t xml:space="preserve">ปปง. (AMLO)</w:t>
            </w:r>
          </w:p>
        </w:tc>
        <w:tc>
          <w:tcPr/>
          <w:p>
            <w:pPr>
              <w:pStyle w:val="Compact"/>
            </w:pPr>
            <w:r>
              <w:t xml:space="preserve">พ.ร.บ. ป้องกันและปราบปรามการฟอกเงิน</w:t>
            </w:r>
          </w:p>
        </w:tc>
      </w:tr>
      <w:tr>
        <w:tc>
          <w:tcPr/>
          <w:p>
            <w:pPr>
              <w:pStyle w:val="Compact"/>
            </w:pPr>
            <w:r>
              <w:t xml:space="preserve">เหตุการณ์ด้าน IT/ไซเบอร์</w:t>
            </w:r>
          </w:p>
        </w:tc>
        <w:tc>
          <w:tcPr/>
          <w:p>
            <w:pPr>
              <w:pStyle w:val="Compact"/>
            </w:pPr>
            <w:r>
              <w:t xml:space="preserve">ตามเหตุการณ์ + งวด</w:t>
            </w:r>
          </w:p>
        </w:tc>
        <w:tc>
          <w:tcPr/>
          <w:p>
            <w:pPr>
              <w:pStyle w:val="Compact"/>
            </w:pPr>
            <w:r>
              <w:t xml:space="preserve">ธปท.</w:t>
            </w:r>
          </w:p>
        </w:tc>
        <w:tc>
          <w:tcPr/>
          <w:p>
            <w:pPr>
              <w:pStyle w:val="Compact"/>
            </w:pPr>
            <w:r>
              <w:t xml:space="preserve">ประกาศ ธปท. ด้าน IT/cyber resilience</w:t>
            </w:r>
          </w:p>
        </w:tc>
      </w:tr>
      <w:tr>
        <w:tc>
          <w:tcPr/>
          <w:p>
            <w:pPr>
              <w:pStyle w:val="Compact"/>
            </w:pPr>
            <w:r>
              <w:t xml:space="preserve">การละเมิดข้อมูลส่วนบุคคล</w:t>
            </w:r>
          </w:p>
        </w:tc>
        <w:tc>
          <w:tcPr/>
          <w:p>
            <w:pPr>
              <w:pStyle w:val="Compact"/>
            </w:pPr>
            <w:r>
              <w:t xml:space="preserve">ภายใน 72 ชม.</w:t>
            </w:r>
          </w:p>
        </w:tc>
        <w:tc>
          <w:tcPr/>
          <w:p>
            <w:pPr>
              <w:pStyle w:val="Compact"/>
            </w:pPr>
            <w:r>
              <w:t xml:space="preserve">PDPC</w:t>
            </w:r>
          </w:p>
        </w:tc>
        <w:tc>
          <w:tcPr/>
          <w:p>
            <w:pPr>
              <w:pStyle w:val="Compact"/>
            </w:pPr>
            <w:r>
              <w:t xml:space="preserve">PDPA พ.ศ. 2562</w:t>
            </w:r>
          </w:p>
        </w:tc>
      </w:tr>
    </w:tbl>
    <w:p>
      <w:pPr>
        <w:pStyle w:val="BodyText"/>
      </w:pPr>
      <w:r>
        <w:rPr>
          <w:b/>
          <w:bCs/>
        </w:rPr>
        <w:t xml:space="preserve">การควบคุมภายในหลัก:</w:t>
      </w:r>
      <w:r>
        <w:t xml:space="preserve"> </w:t>
      </w:r>
      <w:r>
        <w:t xml:space="preserve">dual control และ split knowledge สำหรับการโยกย้ายเงิน buffer/reserve (สอดคล้องหลัก key management PCI Req 3),</w:t>
      </w:r>
      <w:r>
        <w:t xml:space="preserve"> </w:t>
      </w:r>
      <w:r>
        <w:t xml:space="preserve">maker-checker สำหรับ payout, และ segregation of duties ระหว่าง Treasury / Compliance / Internal Audit</w:t>
      </w:r>
    </w:p>
    <w:p>
      <w:r>
        <w:pict>
          <v:rect style="width:0;height:1.5pt" o:hralign="center" o:hrstd="t" o:hr="t"/>
        </w:pict>
      </w:r>
    </w:p>
    <w:bookmarkEnd w:id="96"/>
    <w:bookmarkStart w:id="97" w:name="X6fd8ca6aeaa008bd6300ec152a43ee6a0b4238a"/>
    <w:p>
      <w:pPr>
        <w:pStyle w:val="Heading2"/>
      </w:pPr>
      <w:r>
        <w:t xml:space="preserve">8. รายการสมมติฐานและสิ่งที่ต้องยืนยัน (Assumptions &amp; TODO — สรุป)</w:t>
      </w:r>
    </w:p>
    <w:tbl>
      <w:tblPr>
        <w:tblStyle w:val="Table"/>
        <w:tblW w:type="pct" w:w="5000"/>
        <w:tblLayout w:type="fixed"/>
        <w:tblLook w:firstRow="1" w:lastRow="0" w:firstColumn="0" w:lastColumn="0" w:noHBand="0" w:noVBand="0" w:val="0020"/>
      </w:tblPr>
      <w:tblGrid>
        <w:gridCol w:w="465"/>
        <w:gridCol w:w="1242"/>
        <w:gridCol w:w="2174"/>
        <w:gridCol w:w="4037"/>
      </w:tblGrid>
      <w:tr>
        <w:trPr>
          <w:tblHeader w:val="on"/>
        </w:trPr>
        <w:tc>
          <w:tcPr/>
          <w:p>
            <w:pPr>
              <w:pStyle w:val="Compact"/>
            </w:pPr>
            <w:r>
              <w:t xml:space="preserve">#</w:t>
            </w:r>
          </w:p>
        </w:tc>
        <w:tc>
          <w:tcPr/>
          <w:p>
            <w:pPr>
              <w:pStyle w:val="Compact"/>
            </w:pPr>
            <w:r>
              <w:t xml:space="preserve">รายการ</w:t>
            </w:r>
          </w:p>
        </w:tc>
        <w:tc>
          <w:tcPr/>
          <w:p>
            <w:pPr>
              <w:pStyle w:val="Compact"/>
            </w:pPr>
            <w:r>
              <w:t xml:space="preserve">ผู้รับผิดชอบ</w:t>
            </w:r>
          </w:p>
        </w:tc>
        <w:tc>
          <w:tcPr/>
          <w:p>
            <w:pPr>
              <w:pStyle w:val="Compact"/>
            </w:pPr>
            <w:r>
              <w:t xml:space="preserve">Deadline (อ้าง ROADMAP)</w:t>
            </w:r>
          </w:p>
        </w:tc>
      </w:tr>
      <w:tr>
        <w:tc>
          <w:tcPr/>
          <w:p>
            <w:pPr>
              <w:pStyle w:val="Compact"/>
            </w:pPr>
            <w:r>
              <w:t xml:space="preserve">A1</w:t>
            </w:r>
          </w:p>
        </w:tc>
        <w:tc>
          <w:tcPr/>
          <w:p>
            <w:pPr>
              <w:pStyle w:val="Compact"/>
            </w:pPr>
            <w:r>
              <w:t xml:space="preserve">โครงสร้างผู้ถือหุ้น + สัญชาติ (FBL?)</w:t>
            </w:r>
          </w:p>
        </w:tc>
        <w:tc>
          <w:tcPr/>
          <w:p>
            <w:pPr>
              <w:pStyle w:val="Compact"/>
            </w:pPr>
            <w:r>
              <w:t xml:space="preserve">Legal / Founders</w:t>
            </w:r>
          </w:p>
        </w:tc>
        <w:tc>
          <w:tcPr/>
          <w:p>
            <w:pPr>
              <w:pStyle w:val="Compact"/>
            </w:pPr>
            <w:r>
              <w:t xml:space="preserve">ก่อนยื่น ธปท. (เตรียมนิติบุคคล 45 วัน)</w:t>
            </w:r>
          </w:p>
        </w:tc>
      </w:tr>
      <w:tr>
        <w:tc>
          <w:tcPr/>
          <w:p>
            <w:pPr>
              <w:pStyle w:val="Compact"/>
            </w:pPr>
            <w:r>
              <w:t xml:space="preserve">A2</w:t>
            </w:r>
          </w:p>
        </w:tc>
        <w:tc>
          <w:tcPr/>
          <w:p>
            <w:pPr>
              <w:pStyle w:val="Compact"/>
            </w:pPr>
            <w:r>
              <w:t xml:space="preserve">ยอด/กำหนดชำระค่าหุ้นจริง + source of funds (AML)</w:t>
            </w:r>
          </w:p>
        </w:tc>
        <w:tc>
          <w:tcPr/>
          <w:p>
            <w:pPr>
              <w:pStyle w:val="Compact"/>
            </w:pPr>
            <w:r>
              <w:t xml:space="preserve">Finance / Compliance</w:t>
            </w:r>
          </w:p>
        </w:tc>
        <w:tc>
          <w:tcPr/>
          <w:p>
            <w:pPr>
              <w:pStyle w:val="Compact"/>
            </w:pPr>
            <w:r>
              <w:t xml:space="preserve">ก่อนยื่น</w:t>
            </w:r>
          </w:p>
        </w:tc>
      </w:tr>
      <w:tr>
        <w:tc>
          <w:tcPr/>
          <w:p>
            <w:pPr>
              <w:pStyle w:val="Compact"/>
            </w:pPr>
            <w:r>
              <w:t xml:space="preserve">A3</w:t>
            </w:r>
          </w:p>
        </w:tc>
        <w:tc>
          <w:tcPr/>
          <w:p>
            <w:pPr>
              <w:pStyle w:val="Compact"/>
            </w:pPr>
            <w:r>
              <w:t xml:space="preserve">สัญญา sponsor bank + MDR/interchange จริง</w:t>
            </w:r>
          </w:p>
        </w:tc>
        <w:tc>
          <w:tcPr/>
          <w:p>
            <w:pPr>
              <w:pStyle w:val="Compact"/>
            </w:pPr>
            <w:r>
              <w:t xml:space="preserve">Product / BD</w:t>
            </w:r>
          </w:p>
        </w:tc>
        <w:tc>
          <w:tcPr/>
          <w:p>
            <w:pPr>
              <w:pStyle w:val="Compact"/>
            </w:pPr>
            <w:r>
              <w:t xml:space="preserve">Critical path เส้นทาง B</w:t>
            </w:r>
          </w:p>
        </w:tc>
      </w:tr>
      <w:tr>
        <w:tc>
          <w:tcPr/>
          <w:p>
            <w:pPr>
              <w:pStyle w:val="Compact"/>
            </w:pPr>
            <w:r>
              <w:t xml:space="preserve">A4</w:t>
            </w:r>
          </w:p>
        </w:tc>
        <w:tc>
          <w:tcPr/>
          <w:p>
            <w:pPr>
              <w:pStyle w:val="Compact"/>
            </w:pPr>
            <w:r>
              <w:t xml:space="preserve">QSA vendor + ขอบเขต/ราคา PCI-DSS L1</w:t>
            </w:r>
          </w:p>
        </w:tc>
        <w:tc>
          <w:tcPr/>
          <w:p>
            <w:pPr>
              <w:pStyle w:val="Compact"/>
            </w:pPr>
            <w:r>
              <w:t xml:space="preserve">Security / DevSecOps</w:t>
            </w:r>
          </w:p>
        </w:tc>
        <w:tc>
          <w:tcPr/>
          <w:p>
            <w:pPr>
              <w:pStyle w:val="Compact"/>
            </w:pPr>
            <w:r>
              <w:t xml:space="preserve">Phase 4 (Q4 2026)</w:t>
            </w:r>
          </w:p>
        </w:tc>
      </w:tr>
      <w:tr>
        <w:tc>
          <w:tcPr/>
          <w:p>
            <w:pPr>
              <w:pStyle w:val="Compact"/>
            </w:pPr>
            <w:r>
              <w:t xml:space="preserve">A5</w:t>
            </w:r>
          </w:p>
        </w:tc>
        <w:tc>
          <w:tcPr/>
          <w:p>
            <w:pPr>
              <w:pStyle w:val="Compact"/>
            </w:pPr>
            <w:r>
              <w:t xml:space="preserve">แผนเพิ่มทุน/bridge ก่อน break-even</w:t>
            </w:r>
          </w:p>
        </w:tc>
        <w:tc>
          <w:tcPr/>
          <w:p>
            <w:pPr>
              <w:pStyle w:val="Compact"/>
            </w:pPr>
            <w:r>
              <w:t xml:space="preserve">CFO / Board</w:t>
            </w:r>
          </w:p>
        </w:tc>
        <w:tc>
          <w:tcPr/>
          <w:p>
            <w:pPr>
              <w:pStyle w:val="Compact"/>
            </w:pPr>
            <w:r>
              <w:t xml:space="preserve">ปลายปีที่ 1</w:t>
            </w:r>
          </w:p>
        </w:tc>
      </w:tr>
      <w:tr>
        <w:tc>
          <w:tcPr/>
          <w:p>
            <w:pPr>
              <w:pStyle w:val="Compact"/>
            </w:pPr>
            <w:r>
              <w:t xml:space="preserve">A6</w:t>
            </w:r>
          </w:p>
        </w:tc>
        <w:tc>
          <w:tcPr/>
          <w:p>
            <w:pPr>
              <w:pStyle w:val="Compact"/>
            </w:pPr>
            <w:r>
              <w:t xml:space="preserve">ธนาคารที่เปิดบัญชี segregated + เงื่อนไข trust</w:t>
            </w:r>
          </w:p>
        </w:tc>
        <w:tc>
          <w:tcPr/>
          <w:p>
            <w:pPr>
              <w:pStyle w:val="Compact"/>
            </w:pPr>
            <w:r>
              <w:t xml:space="preserve">Treasury / Legal</w:t>
            </w:r>
          </w:p>
        </w:tc>
        <w:tc>
          <w:tcPr/>
          <w:p>
            <w:pPr>
              <w:pStyle w:val="Compact"/>
            </w:pPr>
            <w:r>
              <w:t xml:space="preserve">ก่อน go-live</w:t>
            </w:r>
          </w:p>
        </w:tc>
      </w:tr>
    </w:tbl>
    <w:p>
      <w:r>
        <w:pict>
          <v:rect style="width:0;height:1.5pt" o:hralign="center" o:hrstd="t" o:hr="t"/>
        </w:pict>
      </w:r>
    </w:p>
    <w:bookmarkEnd w:id="97"/>
    <w:bookmarkEnd w:id="98"/>
    <w:bookmarkStart w:id="120" w:name="X834e94911edd507086219dfb7abccda0ee8d12c"/>
    <w:p>
      <w:pPr>
        <w:pStyle w:val="Heading1"/>
      </w:pPr>
      <w:r>
        <w:t xml:space="preserve">5-year financial projections + registered capital structure of 50M THB for Acquiring service, liquidity/solvency (English)</w:t>
      </w:r>
    </w:p>
    <w:p>
      <w:pPr>
        <w:pStyle w:val="BlockText"/>
      </w:pPr>
      <w:r>
        <w:t xml:space="preserve">Supporting document for the license application for</w:t>
      </w:r>
      <w:r>
        <w:t xml:space="preserve"> </w:t>
      </w:r>
      <w:r>
        <w:rPr>
          <w:b/>
          <w:bCs/>
        </w:rPr>
        <w:t xml:space="preserve">Acquiring Service (electronic payment acceptance)</w:t>
      </w:r>
      <w:r>
        <w:t xml:space="preserve"> </w:t>
      </w:r>
      <w:r>
        <w:t xml:space="preserve">under the</w:t>
      </w:r>
      <w:r>
        <w:t xml:space="preserve"> </w:t>
      </w:r>
      <w:r>
        <w:rPr>
          <w:b/>
          <w:bCs/>
        </w:rPr>
        <w:t xml:space="preserve">Payment Systems Act B.E. 2560</w:t>
      </w:r>
      <w:r>
        <w:t xml:space="preserve">, supervised by the</w:t>
      </w:r>
      <w:r>
        <w:t xml:space="preserve"> </w:t>
      </w:r>
      <w:r>
        <w:rPr>
          <w:b/>
          <w:bCs/>
        </w:rPr>
        <w:t xml:space="preserve">Bank of Thailand (BOT / ธปท.)</w:t>
      </w:r>
      <w:r>
        <w:t xml:space="preserve">.</w:t>
      </w:r>
      <w:r>
        <w:t xml:space="preserve"> </w:t>
      </w:r>
      <w:r>
        <w:t xml:space="preserve">Applicant:</w:t>
      </w:r>
      <w:r>
        <w:t xml:space="preserve"> </w:t>
      </w:r>
      <w:r>
        <w:rPr>
          <w:b/>
          <w:bCs/>
        </w:rPr>
        <w:t xml:space="preserve">[บริษัท / Company]</w:t>
      </w:r>
      <w:r>
        <w:t xml:space="preserve"> </w:t>
      </w:r>
      <w:r>
        <w:t xml:space="preserve">· Version 0.1 · Date: 2026-07-22</w:t>
      </w:r>
      <w:r>
        <w:t xml:space="preserve"> </w:t>
      </w:r>
      <w:r>
        <w:t xml:space="preserve">Related docs: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pPr>
        <w:pStyle w:val="BlockText"/>
      </w:pPr>
      <w:r>
        <w:rPr>
          <w:b/>
          <w:bCs/>
        </w:rPr>
        <w:t xml:space="preserve">Disclaimer:</w:t>
      </w:r>
      <w:r>
        <w:t xml:space="preserve"> </w:t>
      </w:r>
      <w:r>
        <w:t xml:space="preserve">This is a technical/financial supporting document, not legal or investment advice.</w:t>
      </w:r>
      <w:r>
        <w:t xml:space="preserve"> </w:t>
      </w:r>
      <w:r>
        <w:t xml:space="preserve">All projected figures must be certified by a licensed CPA and reviewed by BOT-licensing counsel before submission.</w:t>
      </w:r>
    </w:p>
    <w:p>
      <w:r>
        <w:pict>
          <v:rect style="width:0;height:1.5pt" o:hralign="center" o:hrstd="t" o:hr="t"/>
        </w:pict>
      </w:r>
    </w:p>
    <w:bookmarkStart w:id="99" w:name="executive-summary-1"/>
    <w:p>
      <w:pPr>
        <w:pStyle w:val="Heading2"/>
      </w:pPr>
      <w:r>
        <w:t xml:space="preserve">1. Executive Summary</w:t>
      </w:r>
    </w:p>
    <w:p>
      <w:pPr>
        <w:pStyle w:val="FirstParagraph"/>
      </w:pPr>
      <w:r>
        <w:rPr>
          <w:b/>
          <w:bCs/>
        </w:rPr>
        <w:t xml:space="preserve">[บริษัท / Company]</w:t>
      </w:r>
      <w:r>
        <w:t xml:space="preserve"> </w:t>
      </w:r>
      <w:r>
        <w:t xml:space="preserve">applies for an Acquiring Service license, which mandates a</w:t>
      </w:r>
      <w:r>
        <w:t xml:space="preserve"> </w:t>
      </w:r>
      <w:r>
        <w:rPr>
          <w:b/>
          <w:bCs/>
        </w:rPr>
        <w:t xml:space="preserve">minimum paid-up registered</w:t>
      </w:r>
      <w:r>
        <w:rPr>
          <w:b/>
          <w:bCs/>
        </w:rPr>
        <w:t xml:space="preserve"> </w:t>
      </w:r>
      <w:r>
        <w:rPr>
          <w:b/>
          <w:bCs/>
        </w:rPr>
        <w:t xml:space="preserve">capital of THB 50 million</w:t>
      </w:r>
      <w:r>
        <w:t xml:space="preserve">. This capital is treated as</w:t>
      </w:r>
      <w:r>
        <w:t xml:space="preserve"> </w:t>
      </w:r>
      <w:r>
        <w:rPr>
          <w:b/>
          <w:bCs/>
        </w:rPr>
        <w:t xml:space="preserve">maintained capital</w:t>
      </w:r>
      <w:r>
        <w:t xml:space="preserve"> </w:t>
      </w:r>
      <w:r>
        <w:t xml:space="preserve">(held, not consumed), and the</w:t>
      </w:r>
      <w:r>
        <w:t xml:space="preserve"> </w:t>
      </w:r>
      <w:r>
        <w:t xml:space="preserve">company will keep it</w:t>
      </w:r>
      <w:r>
        <w:t xml:space="preserve"> </w:t>
      </w:r>
      <w:r>
        <w:rPr>
          <w:b/>
          <w:bCs/>
        </w:rPr>
        <w:t xml:space="preserve">at no less than 75% (THB 37.5M)</w:t>
      </w:r>
      <w:r>
        <w:t xml:space="preserve"> </w:t>
      </w:r>
      <w:r>
        <w:t xml:space="preserve">of the minimum threshold at all times, per BOT rules.</w:t>
      </w:r>
    </w:p>
    <w:p>
      <w:pPr>
        <w:pStyle w:val="BodyText"/>
      </w:pPr>
      <w:r>
        <w:t xml:space="preserve">Core financial principles:</w:t>
      </w:r>
    </w:p>
    <w:p>
      <w:pPr>
        <w:pStyle w:val="Compact"/>
        <w:numPr>
          <w:ilvl w:val="0"/>
          <w:numId w:val="1019"/>
        </w:numPr>
      </w:pPr>
      <w:r>
        <w:rPr>
          <w:b/>
          <w:bCs/>
        </w:rPr>
        <w:t xml:space="preserve">Client money segregation</w:t>
      </w:r>
      <w:r>
        <w:t xml:space="preserve"> </w:t>
      </w:r>
      <w:r>
        <w:t xml:space="preserve">— funds received on behalf of merchants pending settlement are held in a</w:t>
      </w:r>
      <w:r>
        <w:t xml:space="preserve"> </w:t>
      </w:r>
      <w:r>
        <w:rPr>
          <w:b/>
          <w:bCs/>
        </w:rPr>
        <w:t xml:space="preserve">segregated / trust-style account</w:t>
      </w:r>
      <w:r>
        <w:t xml:space="preserve"> </w:t>
      </w:r>
      <w:r>
        <w:t xml:space="preserve">at a supervised financial institution, never commingled with operating capital.</w:t>
      </w:r>
    </w:p>
    <w:p>
      <w:pPr>
        <w:pStyle w:val="Compact"/>
        <w:numPr>
          <w:ilvl w:val="0"/>
          <w:numId w:val="1019"/>
        </w:numPr>
      </w:pPr>
      <w:r>
        <w:rPr>
          <w:b/>
          <w:bCs/>
        </w:rPr>
        <w:t xml:space="preserve">Minimum capital held as cash / highly liquid assets</w:t>
      </w:r>
      <w:r>
        <w:t xml:space="preserve"> </w:t>
      </w:r>
      <w:r>
        <w:t xml:space="preserve">— serving as a buffer for operational risk, chargebacks and settlement timing.</w:t>
      </w:r>
    </w:p>
    <w:p>
      <w:pPr>
        <w:pStyle w:val="Compact"/>
        <w:numPr>
          <w:ilvl w:val="0"/>
          <w:numId w:val="1019"/>
        </w:numPr>
      </w:pPr>
      <w:r>
        <w:rPr>
          <w:b/>
          <w:bCs/>
        </w:rPr>
        <w:t xml:space="preserve">5-year projection</w:t>
      </w:r>
      <w:r>
        <w:t xml:space="preserve"> </w:t>
      </w:r>
      <w:r>
        <w:t xml:space="preserve">built on three scenarios (Base / Conservative / Aggressive) plus stress testing.</w:t>
      </w:r>
    </w:p>
    <w:p>
      <w:pPr>
        <w:pStyle w:val="Compact"/>
        <w:numPr>
          <w:ilvl w:val="0"/>
          <w:numId w:val="1019"/>
        </w:numPr>
      </w:pPr>
      <w:r>
        <w:rPr>
          <w:b/>
          <w:bCs/>
        </w:rPr>
        <w:t xml:space="preserve">Liquidity &amp; solvency</w:t>
      </w:r>
      <w:r>
        <w:t xml:space="preserve"> </w:t>
      </w:r>
      <w:r>
        <w:t xml:space="preserve">tracked via monthly metrics (LCR-style, current ratio, capital adequacy) and reported to BOT on the required cadence.</w:t>
      </w:r>
    </w:p>
    <w:p>
      <w:r>
        <w:pict>
          <v:rect style="width:0;height:1.5pt" o:hralign="center" o:hrstd="t" o:hr="t"/>
        </w:pict>
      </w:r>
    </w:p>
    <w:bookmarkEnd w:id="99"/>
    <w:bookmarkStart w:id="103" w:name="X943c91ef193e3fc23407acbc3babcb7f6f9f572"/>
    <w:p>
      <w:pPr>
        <w:pStyle w:val="Heading2"/>
      </w:pPr>
      <w:r>
        <w:t xml:space="preserve">2. Registered Capital Structure — THB 50 Million</w:t>
      </w:r>
    </w:p>
    <w:bookmarkStart w:id="100" w:name="capital-components-allocation"/>
    <w:p>
      <w:pPr>
        <w:pStyle w:val="Heading3"/>
      </w:pPr>
      <w:r>
        <w:t xml:space="preserve">2.1 Capital Components &amp; Allocation</w:t>
      </w:r>
    </w:p>
    <w:p>
      <w:pPr>
        <w:pStyle w:val="FirstParagraph"/>
      </w:pPr>
      <w:r>
        <w:t xml:space="preserve">Paid-up capital of THB 50,000,000, with a managerial (purpose) allocation — the capital remains the company’s:</w:t>
      </w:r>
    </w:p>
    <w:tbl>
      <w:tblPr>
        <w:tblStyle w:val="Table"/>
        <w:tblW w:type="pct" w:w="5000"/>
        <w:tblLayout w:type="fixed"/>
        <w:tblLook w:firstRow="1" w:lastRow="0" w:firstColumn="0" w:lastColumn="0" w:noHBand="0" w:noVBand="0" w:val="0020"/>
      </w:tblPr>
      <w:tblGrid>
        <w:gridCol w:w="1584"/>
        <w:gridCol w:w="2304"/>
        <w:gridCol w:w="1007"/>
        <w:gridCol w:w="1728"/>
        <w:gridCol w:w="1296"/>
      </w:tblGrid>
      <w:tr>
        <w:trPr>
          <w:tblHeader w:val="on"/>
        </w:trPr>
        <w:tc>
          <w:tcPr/>
          <w:p>
            <w:pPr>
              <w:pStyle w:val="Compact"/>
            </w:pPr>
            <w:r>
              <w:t xml:space="preserve">Component</w:t>
            </w:r>
          </w:p>
        </w:tc>
        <w:tc>
          <w:tcPr/>
          <w:p>
            <w:pPr>
              <w:pStyle w:val="Compact"/>
            </w:pPr>
            <w:r>
              <w:t xml:space="preserve">Amount (THB M)</w:t>
            </w:r>
          </w:p>
        </w:tc>
        <w:tc>
          <w:tcPr/>
          <w:p>
            <w:pPr>
              <w:pStyle w:val="Compact"/>
            </w:pPr>
            <w:r>
              <w:t xml:space="preserve">Share</w:t>
            </w:r>
          </w:p>
        </w:tc>
        <w:tc>
          <w:tcPr/>
          <w:p>
            <w:pPr>
              <w:pStyle w:val="Compact"/>
            </w:pPr>
            <w:r>
              <w:t xml:space="preserve">Asset form</w:t>
            </w:r>
          </w:p>
        </w:tc>
        <w:tc>
          <w:tcPr/>
          <w:p>
            <w:pPr>
              <w:pStyle w:val="Compact"/>
            </w:pPr>
            <w:r>
              <w:t xml:space="preserve">Purpose</w:t>
            </w:r>
          </w:p>
        </w:tc>
      </w:tr>
      <w:tr>
        <w:tc>
          <w:tcPr/>
          <w:p>
            <w:pPr>
              <w:pStyle w:val="Compact"/>
            </w:pPr>
            <w:r>
              <w:rPr>
                <w:b/>
                <w:bCs/>
              </w:rPr>
              <w:t xml:space="preserve">Regulatory capital buffer (keep ≥ 75%)</w:t>
            </w:r>
          </w:p>
        </w:tc>
        <w:tc>
          <w:tcPr/>
          <w:p>
            <w:pPr>
              <w:pStyle w:val="Compact"/>
            </w:pPr>
            <w:r>
              <w:t xml:space="preserve">37.50</w:t>
            </w:r>
          </w:p>
        </w:tc>
        <w:tc>
          <w:tcPr/>
          <w:p>
            <w:pPr>
              <w:pStyle w:val="Compact"/>
            </w:pPr>
            <w:r>
              <w:t xml:space="preserve">75%</w:t>
            </w:r>
          </w:p>
        </w:tc>
        <w:tc>
          <w:tcPr/>
          <w:p>
            <w:pPr>
              <w:pStyle w:val="Compact"/>
            </w:pPr>
            <w:r>
              <w:t xml:space="preserve">Fixed deposit / govt bonds / T-bills</w:t>
            </w:r>
          </w:p>
        </w:tc>
        <w:tc>
          <w:tcPr/>
          <w:p>
            <w:pPr>
              <w:pStyle w:val="Compact"/>
            </w:pPr>
            <w:r>
              <w:t xml:space="preserve">BOT minimum capital; not to be used as working capital</w:t>
            </w:r>
          </w:p>
        </w:tc>
      </w:tr>
      <w:tr>
        <w:tc>
          <w:tcPr/>
          <w:p>
            <w:pPr>
              <w:pStyle w:val="Compact"/>
            </w:pPr>
            <w:r>
              <w:rPr>
                <w:b/>
                <w:bCs/>
              </w:rPr>
              <w:t xml:space="preserve">Operational working capital</w:t>
            </w:r>
          </w:p>
        </w:tc>
        <w:tc>
          <w:tcPr/>
          <w:p>
            <w:pPr>
              <w:pStyle w:val="Compact"/>
            </w:pPr>
            <w:r>
              <w:t xml:space="preserve">7.50</w:t>
            </w:r>
          </w:p>
        </w:tc>
        <w:tc>
          <w:tcPr/>
          <w:p>
            <w:pPr>
              <w:pStyle w:val="Compact"/>
            </w:pPr>
            <w:r>
              <w:t xml:space="preserve">15%</w:t>
            </w:r>
          </w:p>
        </w:tc>
        <w:tc>
          <w:tcPr/>
          <w:p>
            <w:pPr>
              <w:pStyle w:val="Compact"/>
            </w:pPr>
            <w:r>
              <w:t xml:space="preserve">Current / savings deposits</w:t>
            </w:r>
          </w:p>
        </w:tc>
        <w:tc>
          <w:tcPr/>
          <w:p>
            <w:pPr>
              <w:pStyle w:val="Compact"/>
            </w:pPr>
            <w:r>
              <w:t xml:space="preserve">Payroll, infra, PCI/QSA, scheme fees</w:t>
            </w:r>
          </w:p>
        </w:tc>
      </w:tr>
      <w:tr>
        <w:tc>
          <w:tcPr/>
          <w:p>
            <w:pPr>
              <w:pStyle w:val="Compact"/>
            </w:pPr>
            <w:r>
              <w:rPr>
                <w:b/>
                <w:bCs/>
              </w:rPr>
              <w:t xml:space="preserve">Settlement / chargeback reserve</w:t>
            </w:r>
          </w:p>
        </w:tc>
        <w:tc>
          <w:tcPr/>
          <w:p>
            <w:pPr>
              <w:pStyle w:val="Compact"/>
            </w:pPr>
            <w:r>
              <w:t xml:space="preserve">3.00</w:t>
            </w:r>
          </w:p>
        </w:tc>
        <w:tc>
          <w:tcPr/>
          <w:p>
            <w:pPr>
              <w:pStyle w:val="Compact"/>
            </w:pPr>
            <w:r>
              <w:t xml:space="preserve">6%</w:t>
            </w:r>
          </w:p>
        </w:tc>
        <w:tc>
          <w:tcPr/>
          <w:p>
            <w:pPr>
              <w:pStyle w:val="Compact"/>
            </w:pPr>
            <w:r>
              <w:t xml:space="preserve">Highly liquid deposits</w:t>
            </w:r>
          </w:p>
        </w:tc>
        <w:tc>
          <w:tcPr/>
          <w:p>
            <w:pPr>
              <w:pStyle w:val="Compact"/>
            </w:pPr>
            <w:r>
              <w:t xml:space="preserve">Absorbs settlement timing gaps and chargeback liability</w:t>
            </w:r>
          </w:p>
        </w:tc>
      </w:tr>
      <w:tr>
        <w:tc>
          <w:tcPr/>
          <w:p>
            <w:pPr>
              <w:pStyle w:val="Compact"/>
            </w:pPr>
            <w:r>
              <w:rPr>
                <w:b/>
                <w:bCs/>
              </w:rPr>
              <w:t xml:space="preserve">Contingency / stress reserve</w:t>
            </w:r>
          </w:p>
        </w:tc>
        <w:tc>
          <w:tcPr/>
          <w:p>
            <w:pPr>
              <w:pStyle w:val="Compact"/>
            </w:pPr>
            <w:r>
              <w:t xml:space="preserve">2.00</w:t>
            </w:r>
          </w:p>
        </w:tc>
        <w:tc>
          <w:tcPr/>
          <w:p>
            <w:pPr>
              <w:pStyle w:val="Compact"/>
            </w:pPr>
            <w:r>
              <w:t xml:space="preserve">4%</w:t>
            </w:r>
          </w:p>
        </w:tc>
        <w:tc>
          <w:tcPr/>
          <w:p>
            <w:pPr>
              <w:pStyle w:val="Compact"/>
            </w:pPr>
            <w:r>
              <w:t xml:space="preserve">Highly liquid deposits</w:t>
            </w:r>
          </w:p>
        </w:tc>
        <w:tc>
          <w:tcPr/>
          <w:p>
            <w:pPr>
              <w:pStyle w:val="Compact"/>
            </w:pPr>
            <w:r>
              <w:t xml:space="preserve">Unexpected events / fraud loss</w:t>
            </w:r>
          </w:p>
        </w:tc>
      </w:tr>
      <w:tr>
        <w:tc>
          <w:tcPr/>
          <w:p>
            <w:pPr>
              <w:pStyle w:val="Compact"/>
            </w:pPr>
            <w:r>
              <w:rPr>
                <w:b/>
                <w:bCs/>
              </w:rPr>
              <w:t xml:space="preserve">Total</w:t>
            </w:r>
          </w:p>
        </w:tc>
        <w:tc>
          <w:tcPr/>
          <w:p>
            <w:pPr>
              <w:pStyle w:val="Compact"/>
            </w:pPr>
            <w:r>
              <w:rPr>
                <w:b/>
                <w:bCs/>
              </w:rPr>
              <w:t xml:space="preserve">50.00</w:t>
            </w:r>
          </w:p>
        </w:tc>
        <w:tc>
          <w:tcPr/>
          <w:p>
            <w:pPr>
              <w:pStyle w:val="Compact"/>
            </w:pPr>
            <w:r>
              <w:rPr>
                <w:b/>
                <w:bCs/>
              </w:rPr>
              <w:t xml:space="preserve">100%</w:t>
            </w:r>
          </w:p>
        </w:tc>
        <w:tc>
          <w:tcPr/>
          <w:p>
            <w:pPr>
              <w:pStyle w:val="Compact"/>
            </w:pPr>
          </w:p>
        </w:tc>
        <w:tc>
          <w:tcPr/>
          <w:p>
            <w:pPr>
              <w:pStyle w:val="Compact"/>
            </w:pPr>
          </w:p>
        </w:tc>
      </w:tr>
    </w:tbl>
    <w:p>
      <w:pPr>
        <w:pStyle w:val="BlockText"/>
      </w:pPr>
      <w:r>
        <w:rPr>
          <w:b/>
          <w:bCs/>
        </w:rPr>
        <w:t xml:space="preserve">Note:</w:t>
      </w:r>
      <w:r>
        <w:t xml:space="preserve"> </w:t>
      </w:r>
      <w:r>
        <w:t xml:space="preserve">Settlement and chargeback reserves above are company-funded buffers,</w:t>
      </w:r>
      <w:r>
        <w:t xml:space="preserve"> </w:t>
      </w:r>
      <w:r>
        <w:rPr>
          <w:b/>
          <w:bCs/>
        </w:rPr>
        <w:t xml:space="preserve">separate</w:t>
      </w:r>
      <w:r>
        <w:t xml:space="preserve"> </w:t>
      </w:r>
      <w:r>
        <w:t xml:space="preserve">from merchant funds</w:t>
      </w:r>
      <w:r>
        <w:t xml:space="preserve"> </w:t>
      </w:r>
      <w:r>
        <w:t xml:space="preserve">held in the segregated account (see §5) — not double-counted.</w:t>
      </w:r>
    </w:p>
    <w:bookmarkEnd w:id="100"/>
    <w:bookmarkStart w:id="101" w:name="cap-table-outline"/>
    <w:p>
      <w:pPr>
        <w:pStyle w:val="Heading3"/>
      </w:pPr>
      <w:r>
        <w:t xml:space="preserve">2.2 Cap Table — Outline</w:t>
      </w:r>
    </w:p>
    <w:tbl>
      <w:tblPr>
        <w:tblStyle w:val="Table"/>
        <w:tblW w:type="pct" w:w="5000"/>
        <w:tblLayout w:type="fixed"/>
        <w:tblLook w:firstRow="1" w:lastRow="0" w:firstColumn="0" w:lastColumn="0" w:noHBand="0" w:noVBand="0" w:val="0020"/>
      </w:tblPr>
      <w:tblGrid>
        <w:gridCol w:w="3217"/>
        <w:gridCol w:w="1485"/>
        <w:gridCol w:w="1732"/>
        <w:gridCol w:w="1485"/>
      </w:tblGrid>
      <w:tr>
        <w:trPr>
          <w:tblHeader w:val="on"/>
        </w:trPr>
        <w:tc>
          <w:tcPr/>
          <w:p>
            <w:pPr>
              <w:pStyle w:val="Compact"/>
            </w:pPr>
            <w:r>
              <w:t xml:space="preserve">Shareholder</w:t>
            </w:r>
          </w:p>
        </w:tc>
        <w:tc>
          <w:tcPr/>
          <w:p>
            <w:pPr>
              <w:pStyle w:val="Compact"/>
            </w:pPr>
            <w:r>
              <w:t xml:space="preserve">Type</w:t>
            </w:r>
          </w:p>
        </w:tc>
        <w:tc>
          <w:tcPr/>
          <w:p>
            <w:pPr>
              <w:pStyle w:val="Compact"/>
            </w:pPr>
            <w:r>
              <w:t xml:space="preserve">Share</w:t>
            </w:r>
          </w:p>
        </w:tc>
        <w:tc>
          <w:tcPr/>
          <w:p>
            <w:pPr>
              <w:pStyle w:val="Compact"/>
            </w:pPr>
            <w:r>
              <w:t xml:space="preserve">Note</w:t>
            </w:r>
          </w:p>
        </w:tc>
      </w:tr>
      <w:tr>
        <w:tc>
          <w:tcPr/>
          <w:p>
            <w:pPr>
              <w:pStyle w:val="Compact"/>
            </w:pPr>
            <w:r>
              <w:t xml:space="preserve">Founders / Thai director(s)</w:t>
            </w:r>
          </w:p>
        </w:tc>
        <w:tc>
          <w:tcPr/>
          <w:p>
            <w:pPr>
              <w:pStyle w:val="Compact"/>
            </w:pPr>
            <w:r>
              <w:t xml:space="preserve">Ordinary</w:t>
            </w:r>
          </w:p>
        </w:tc>
        <w:tc>
          <w:tcPr/>
          <w:p>
            <w:pPr>
              <w:pStyle w:val="Compact"/>
            </w:pPr>
            <w:r>
              <w:t xml:space="preserve">[TODO %]</w:t>
            </w:r>
          </w:p>
        </w:tc>
        <w:tc>
          <w:tcPr/>
          <w:p>
            <w:pPr>
              <w:pStyle w:val="Compact"/>
            </w:pPr>
            <w:r>
              <w:t xml:space="preserve">At least one director must be a Thai national resident in Thailand</w:t>
            </w:r>
          </w:p>
        </w:tc>
      </w:tr>
      <w:tr>
        <w:tc>
          <w:tcPr/>
          <w:p>
            <w:pPr>
              <w:pStyle w:val="Compact"/>
            </w:pPr>
            <w:r>
              <w:t xml:space="preserve">Strategic investor(s)</w:t>
            </w:r>
          </w:p>
        </w:tc>
        <w:tc>
          <w:tcPr/>
          <w:p>
            <w:pPr>
              <w:pStyle w:val="Compact"/>
            </w:pPr>
            <w:r>
              <w:t xml:space="preserve">Ordinary / Preferred</w:t>
            </w:r>
          </w:p>
        </w:tc>
        <w:tc>
          <w:tcPr/>
          <w:p>
            <w:pPr>
              <w:pStyle w:val="Compact"/>
            </w:pPr>
            <w:r>
              <w:t xml:space="preserve">[TODO %]</w:t>
            </w:r>
          </w:p>
        </w:tc>
        <w:tc>
          <w:tcPr/>
          <w:p>
            <w:pPr>
              <w:pStyle w:val="Compact"/>
            </w:pPr>
            <w:r>
              <w:t xml:space="preserve">Foreign majority ownership may require a Foreign Business License (FBL)</w:t>
            </w:r>
          </w:p>
        </w:tc>
      </w:tr>
      <w:tr>
        <w:tc>
          <w:tcPr/>
          <w:p>
            <w:pPr>
              <w:pStyle w:val="Compact"/>
            </w:pPr>
            <w:r>
              <w:t xml:space="preserve">ESOP pool</w:t>
            </w:r>
          </w:p>
        </w:tc>
        <w:tc>
          <w:tcPr/>
          <w:p>
            <w:pPr>
              <w:pStyle w:val="Compact"/>
            </w:pPr>
            <w:r>
              <w:t xml:space="preserve">—</w:t>
            </w:r>
          </w:p>
        </w:tc>
        <w:tc>
          <w:tcPr/>
          <w:p>
            <w:pPr>
              <w:pStyle w:val="Compact"/>
            </w:pPr>
            <w:r>
              <w:t xml:space="preserve">[TODO %]</w:t>
            </w:r>
          </w:p>
        </w:tc>
        <w:tc>
          <w:tcPr/>
          <w:p>
            <w:pPr>
              <w:pStyle w:val="Compact"/>
            </w:pPr>
            <w:r>
              <w:t xml:space="preserve">Per company policy</w:t>
            </w:r>
          </w:p>
        </w:tc>
      </w:tr>
    </w:tbl>
    <w:p>
      <w:pPr>
        <w:pStyle w:val="BlockText"/>
      </w:pPr>
      <w:r>
        <w:t xml:space="preserve">🔲</w:t>
      </w:r>
      <w:r>
        <w:t xml:space="preserve"> </w:t>
      </w:r>
      <w:r>
        <w:rPr>
          <w:b/>
          <w:bCs/>
        </w:rPr>
        <w:t xml:space="preserve">ASSUMPTION / TODO — actual shareholding:</w:t>
      </w:r>
      <w:r>
        <w:t xml:space="preserve"> </w:t>
      </w:r>
      <w:r>
        <w:t xml:space="preserve">Ownership percentages and majority-shareholder nationality are</w:t>
      </w:r>
      <w:r>
        <w:t xml:space="preserve"> </w:t>
      </w:r>
      <w:r>
        <w:t xml:space="preserve">not finalized. Must be confirmed before submission as they affect FBL requirements and directors’/executives’ fit &amp; proper.</w:t>
      </w:r>
    </w:p>
    <w:bookmarkEnd w:id="101"/>
    <w:bookmarkStart w:id="102" w:name="source-of-funds"/>
    <w:p>
      <w:pPr>
        <w:pStyle w:val="Heading3"/>
      </w:pPr>
      <w:r>
        <w:t xml:space="preserve">2.3 Source of Funds</w:t>
      </w:r>
    </w:p>
    <w:tbl>
      <w:tblPr>
        <w:tblStyle w:val="Table"/>
        <w:tblW w:type="pct" w:w="5000"/>
        <w:tblLayout w:type="fixed"/>
        <w:tblLook w:firstRow="1" w:lastRow="0" w:firstColumn="0" w:lastColumn="0" w:noHBand="0" w:noVBand="0" w:val="0020"/>
      </w:tblPr>
      <w:tblGrid>
        <w:gridCol w:w="1508"/>
        <w:gridCol w:w="3017"/>
        <w:gridCol w:w="1508"/>
        <w:gridCol w:w="1885"/>
      </w:tblGrid>
      <w:tr>
        <w:trPr>
          <w:tblHeader w:val="on"/>
        </w:trPr>
        <w:tc>
          <w:tcPr/>
          <w:p>
            <w:pPr>
              <w:pStyle w:val="Compact"/>
            </w:pPr>
            <w:r>
              <w:t xml:space="preserve">Source</w:t>
            </w:r>
          </w:p>
        </w:tc>
        <w:tc>
          <w:tcPr/>
          <w:p>
            <w:pPr>
              <w:pStyle w:val="Compact"/>
            </w:pPr>
            <w:r>
              <w:t xml:space="preserve">Amount (THB M)</w:t>
            </w:r>
          </w:p>
        </w:tc>
        <w:tc>
          <w:tcPr/>
          <w:p>
            <w:pPr>
              <w:pStyle w:val="Compact"/>
            </w:pPr>
            <w:r>
              <w:t xml:space="preserve">Status</w:t>
            </w:r>
          </w:p>
        </w:tc>
        <w:tc>
          <w:tcPr/>
          <w:p>
            <w:pPr>
              <w:pStyle w:val="Compact"/>
            </w:pPr>
            <w:r>
              <w:t xml:space="preserve">Evidence</w:t>
            </w:r>
          </w:p>
        </w:tc>
      </w:tr>
      <w:tr>
        <w:tc>
          <w:tcPr/>
          <w:p>
            <w:pPr>
              <w:pStyle w:val="Compact"/>
            </w:pPr>
            <w:r>
              <w:t xml:space="preserve">Founder paid-in capital</w:t>
            </w:r>
          </w:p>
        </w:tc>
        <w:tc>
          <w:tcPr/>
          <w:p>
            <w:pPr>
              <w:pStyle w:val="Compact"/>
            </w:pPr>
            <w:r>
              <w:t xml:space="preserve">[TODO]</w:t>
            </w:r>
          </w:p>
        </w:tc>
        <w:tc>
          <w:tcPr/>
          <w:p>
            <w:pPr>
              <w:pStyle w:val="Compact"/>
            </w:pPr>
            <w:r>
              <w:t xml:space="preserve">[TODO]</w:t>
            </w:r>
          </w:p>
        </w:tc>
        <w:tc>
          <w:tcPr/>
          <w:p>
            <w:pPr>
              <w:pStyle w:val="Compact"/>
            </w:pPr>
            <w:r>
              <w:t xml:space="preserve">Certificates, bank statements</w:t>
            </w:r>
          </w:p>
        </w:tc>
      </w:tr>
      <w:tr>
        <w:tc>
          <w:tcPr/>
          <w:p>
            <w:pPr>
              <w:pStyle w:val="Compact"/>
            </w:pPr>
            <w:r>
              <w:t xml:space="preserve">Equity round (investors)</w:t>
            </w:r>
          </w:p>
        </w:tc>
        <w:tc>
          <w:tcPr/>
          <w:p>
            <w:pPr>
              <w:pStyle w:val="Compact"/>
            </w:pPr>
            <w:r>
              <w:t xml:space="preserve">[TODO]</w:t>
            </w:r>
          </w:p>
        </w:tc>
        <w:tc>
          <w:tcPr/>
          <w:p>
            <w:pPr>
              <w:pStyle w:val="Compact"/>
            </w:pPr>
            <w:r>
              <w:t xml:space="preserve">[TODO]</w:t>
            </w:r>
          </w:p>
        </w:tc>
        <w:tc>
          <w:tcPr/>
          <w:p>
            <w:pPr>
              <w:pStyle w:val="Compact"/>
            </w:pPr>
            <w:r>
              <w:t xml:space="preserve">Share subscription agreement</w:t>
            </w:r>
          </w:p>
        </w:tc>
      </w:tr>
      <w:tr>
        <w:tc>
          <w:tcPr/>
          <w:p>
            <w:pPr>
              <w:pStyle w:val="Compact"/>
            </w:pPr>
            <w:r>
              <w:rPr>
                <w:b/>
                <w:bCs/>
              </w:rPr>
              <w:t xml:space="preserve">Total paid-up capital</w:t>
            </w:r>
          </w:p>
        </w:tc>
        <w:tc>
          <w:tcPr/>
          <w:p>
            <w:pPr>
              <w:pStyle w:val="Compact"/>
            </w:pPr>
            <w:r>
              <w:rPr>
                <w:b/>
                <w:bCs/>
              </w:rPr>
              <w:t xml:space="preserve">50.00</w:t>
            </w:r>
          </w:p>
        </w:tc>
        <w:tc>
          <w:tcPr/>
          <w:p>
            <w:pPr>
              <w:pStyle w:val="Compact"/>
            </w:pPr>
            <w:r>
              <w:t xml:space="preserve">Must be fully paid before filing</w:t>
            </w:r>
          </w:p>
        </w:tc>
        <w:tc>
          <w:tcPr/>
          <w:p>
            <w:pPr>
              <w:pStyle w:val="Compact"/>
            </w:pPr>
            <w:r>
              <w:t xml:space="preserve">Share payment receipts, BOJ.5</w:t>
            </w:r>
          </w:p>
        </w:tc>
      </w:tr>
    </w:tbl>
    <w:p>
      <w:pPr>
        <w:pStyle w:val="BlockText"/>
      </w:pPr>
      <w:r>
        <w:t xml:space="preserve">🔲</w:t>
      </w:r>
      <w:r>
        <w:t xml:space="preserve"> </w:t>
      </w:r>
      <w:r>
        <w:rPr>
          <w:b/>
          <w:bCs/>
        </w:rPr>
        <w:t xml:space="preserve">ASSUMPTION / TODO — actual fundraising:</w:t>
      </w:r>
      <w:r>
        <w:t xml:space="preserve"> </w:t>
      </w:r>
      <w:r>
        <w:t xml:space="preserve">Amounts and payment timing are unconfirmed. Source of funds must</w:t>
      </w:r>
      <w:r>
        <w:t xml:space="preserve"> </w:t>
      </w:r>
      <w:r>
        <w:t xml:space="preserve">pass</w:t>
      </w:r>
      <w:r>
        <w:t xml:space="preserve"> </w:t>
      </w:r>
      <w:r>
        <w:rPr>
          <w:b/>
          <w:bCs/>
        </w:rPr>
        <w:t xml:space="preserve">AML/CDD source-of-fund verification</w:t>
      </w:r>
      <w:r>
        <w:t xml:space="preserve"> </w:t>
      </w:r>
      <w:r>
        <w:t xml:space="preserve">and be reported per</w:t>
      </w:r>
      <w:r>
        <w:t xml:space="preserve"> </w:t>
      </w:r>
      <w:r>
        <w:rPr>
          <w:b/>
          <w:bCs/>
        </w:rPr>
        <w:t xml:space="preserve">AMLO (ปปง.)</w:t>
      </w:r>
      <w:r>
        <w:t xml:space="preserve"> </w:t>
      </w:r>
      <w:r>
        <w:t xml:space="preserve">rules before being accepted as capital.</w:t>
      </w:r>
    </w:p>
    <w:p>
      <w:r>
        <w:pict>
          <v:rect style="width:0;height:1.5pt" o:hralign="center" o:hrstd="t" o:hr="t"/>
        </w:pict>
      </w:r>
    </w:p>
    <w:bookmarkEnd w:id="102"/>
    <w:bookmarkEnd w:id="103"/>
    <w:bookmarkStart w:id="105" w:name="key-assumptions"/>
    <w:p>
      <w:pPr>
        <w:pStyle w:val="Heading2"/>
      </w:pPr>
      <w:r>
        <w:t xml:space="preserve">3. Key Assumptions</w:t>
      </w:r>
    </w:p>
    <w:tbl>
      <w:tblPr>
        <w:tblStyle w:val="Table"/>
        <w:tblW w:type="pct" w:w="5000"/>
        <w:tblLayout w:type="fixed"/>
        <w:tblLook w:firstRow="1" w:lastRow="0" w:firstColumn="0" w:lastColumn="0" w:noHBand="0" w:noVBand="0" w:val="0020"/>
      </w:tblPr>
      <w:tblGrid>
        <w:gridCol w:w="2562"/>
        <w:gridCol w:w="3960"/>
        <w:gridCol w:w="1397"/>
      </w:tblGrid>
      <w:tr>
        <w:trPr>
          <w:tblHeader w:val="on"/>
        </w:trPr>
        <w:tc>
          <w:tcPr/>
          <w:p>
            <w:pPr>
              <w:pStyle w:val="Compact"/>
            </w:pPr>
            <w:r>
              <w:t xml:space="preserve">Parameter</w:t>
            </w:r>
          </w:p>
        </w:tc>
        <w:tc>
          <w:tcPr/>
          <w:p>
            <w:pPr>
              <w:pStyle w:val="Compact"/>
            </w:pPr>
            <w:r>
              <w:t xml:space="preserve">Base assumption</w:t>
            </w:r>
          </w:p>
        </w:tc>
        <w:tc>
          <w:tcPr/>
          <w:p>
            <w:pPr>
              <w:pStyle w:val="Compact"/>
            </w:pPr>
            <w:r>
              <w:t xml:space="preserve">Note</w:t>
            </w:r>
          </w:p>
        </w:tc>
      </w:tr>
      <w:tr>
        <w:tc>
          <w:tcPr/>
          <w:p>
            <w:pPr>
              <w:pStyle w:val="Compact"/>
            </w:pPr>
            <w:r>
              <w:t xml:space="preserve">Average Merchant Discount Rate (MDR)</w:t>
            </w:r>
          </w:p>
        </w:tc>
        <w:tc>
          <w:tcPr/>
          <w:p>
            <w:pPr>
              <w:pStyle w:val="Compact"/>
            </w:pPr>
            <w:r>
              <w:t xml:space="preserve">1.85% of TPV</w:t>
            </w:r>
          </w:p>
        </w:tc>
        <w:tc>
          <w:tcPr/>
          <w:p>
            <w:pPr>
              <w:pStyle w:val="Compact"/>
            </w:pPr>
            <w:r>
              <w:t xml:space="preserve">Primary revenue; net of interchange + scheme fees</w:t>
            </w:r>
          </w:p>
        </w:tc>
      </w:tr>
      <w:tr>
        <w:tc>
          <w:tcPr/>
          <w:p>
            <w:pPr>
              <w:pStyle w:val="Compact"/>
            </w:pPr>
            <w:r>
              <w:t xml:space="preserve">Interchange + scheme fee (COGS)</w:t>
            </w:r>
          </w:p>
        </w:tc>
        <w:tc>
          <w:tcPr/>
          <w:p>
            <w:pPr>
              <w:pStyle w:val="Compact"/>
            </w:pPr>
            <w:r>
              <w:t xml:space="preserve">~1.20% of TPV</w:t>
            </w:r>
          </w:p>
        </w:tc>
        <w:tc>
          <w:tcPr/>
          <w:p>
            <w:pPr>
              <w:pStyle w:val="Compact"/>
            </w:pPr>
            <w:r>
              <w:t xml:space="preserve">Paid to issuer/scheme (net MDR margin ~0.65%)</w:t>
            </w:r>
          </w:p>
        </w:tc>
      </w:tr>
      <w:tr>
        <w:tc>
          <w:tcPr/>
          <w:p>
            <w:pPr>
              <w:pStyle w:val="Compact"/>
            </w:pPr>
            <w:r>
              <w:t xml:space="preserve">Gateway fee per transaction</w:t>
            </w:r>
          </w:p>
        </w:tc>
        <w:tc>
          <w:tcPr/>
          <w:p>
            <w:pPr>
              <w:pStyle w:val="Compact"/>
            </w:pPr>
            <w:r>
              <w:t xml:space="preserve">THB 1.50 / txn</w:t>
            </w:r>
          </w:p>
        </w:tc>
        <w:tc>
          <w:tcPr/>
          <w:p>
            <w:pPr>
              <w:pStyle w:val="Compact"/>
            </w:pPr>
            <w:r>
              <w:t xml:space="preserve">For authorization + 3DS</w:t>
            </w:r>
          </w:p>
        </w:tc>
      </w:tr>
      <w:tr>
        <w:tc>
          <w:tcPr/>
          <w:p>
            <w:pPr>
              <w:pStyle w:val="Compact"/>
            </w:pPr>
            <w:r>
              <w:t xml:space="preserve">Chargeback rate</w:t>
            </w:r>
          </w:p>
        </w:tc>
        <w:tc>
          <w:tcPr/>
          <w:p>
            <w:pPr>
              <w:pStyle w:val="Compact"/>
            </w:pPr>
            <w:r>
              <w:t xml:space="preserve">0.10% of transactions</w:t>
            </w:r>
          </w:p>
        </w:tc>
        <w:tc>
          <w:tcPr/>
          <w:p>
            <w:pPr>
              <w:pStyle w:val="Compact"/>
            </w:pPr>
            <w:r>
              <w:t xml:space="preserve">Target well below scheme thresholds (Visa/MC 0.9%–1.0%)</w:t>
            </w:r>
          </w:p>
        </w:tc>
      </w:tr>
      <w:tr>
        <w:tc>
          <w:tcPr/>
          <w:p>
            <w:pPr>
              <w:pStyle w:val="Compact"/>
            </w:pPr>
            <w:r>
              <w:t xml:space="preserve">Net fraud loss</w:t>
            </w:r>
          </w:p>
        </w:tc>
        <w:tc>
          <w:tcPr/>
          <w:p>
            <w:pPr>
              <w:pStyle w:val="Compact"/>
            </w:pPr>
            <w:r>
              <w:t xml:space="preserve">0.03% of TPV</w:t>
            </w:r>
          </w:p>
        </w:tc>
        <w:tc>
          <w:tcPr/>
          <w:p>
            <w:pPr>
              <w:pStyle w:val="Compact"/>
            </w:pPr>
            <w:r>
              <w:t xml:space="preserve">After 3DS liability shift</w:t>
            </w:r>
          </w:p>
        </w:tc>
      </w:tr>
      <w:tr>
        <w:tc>
          <w:tcPr/>
          <w:p>
            <w:pPr>
              <w:pStyle w:val="Compact"/>
            </w:pPr>
            <w:r>
              <w:t xml:space="preserve">Settlement cycle</w:t>
            </w:r>
          </w:p>
        </w:tc>
        <w:tc>
          <w:tcPr/>
          <w:p>
            <w:pPr>
              <w:pStyle w:val="Compact"/>
            </w:pPr>
            <w:r>
              <w:t xml:space="preserve">T+1 / T+2</w:t>
            </w:r>
          </w:p>
        </w:tc>
        <w:tc>
          <w:tcPr/>
          <w:p>
            <w:pPr>
              <w:pStyle w:val="Compact"/>
            </w:pPr>
            <w:r>
              <w:t xml:space="preserve">Per sponsor-bank agreement</w:t>
            </w:r>
          </w:p>
        </w:tc>
      </w:tr>
      <w:tr>
        <w:tc>
          <w:tcPr/>
          <w:p>
            <w:pPr>
              <w:pStyle w:val="Compact"/>
            </w:pPr>
            <w:r>
              <w:t xml:space="preserve">Corporate income tax</w:t>
            </w:r>
          </w:p>
        </w:tc>
        <w:tc>
          <w:tcPr/>
          <w:p>
            <w:pPr>
              <w:pStyle w:val="Compact"/>
            </w:pPr>
            <w:r>
              <w:t xml:space="preserve">20%</w:t>
            </w:r>
          </w:p>
        </w:tc>
        <w:tc>
          <w:tcPr/>
          <w:p>
            <w:pPr>
              <w:pStyle w:val="Compact"/>
            </w:pPr>
            <w:r>
              <w:t xml:space="preserve">Thai Revenue Code</w:t>
            </w:r>
          </w:p>
        </w:tc>
      </w:tr>
      <w:tr>
        <w:tc>
          <w:tcPr/>
          <w:p>
            <w:pPr>
              <w:pStyle w:val="Compact"/>
            </w:pPr>
            <w:r>
              <w:t xml:space="preserve">Interest yield on buffer</w:t>
            </w:r>
          </w:p>
        </w:tc>
        <w:tc>
          <w:tcPr/>
          <w:p>
            <w:pPr>
              <w:pStyle w:val="Compact"/>
            </w:pPr>
            <w:r>
              <w:t xml:space="preserve">2.0% p.a.</w:t>
            </w:r>
          </w:p>
        </w:tc>
        <w:tc>
          <w:tcPr/>
          <w:p>
            <w:pPr>
              <w:pStyle w:val="Compact"/>
            </w:pPr>
            <w:r>
              <w:t xml:space="preserve">Fixed deposit / short-term bonds</w:t>
            </w:r>
          </w:p>
        </w:tc>
      </w:tr>
    </w:tbl>
    <w:p>
      <w:pPr>
        <w:pStyle w:val="BlockText"/>
      </w:pPr>
      <w:r>
        <w:t xml:space="preserve">🔲</w:t>
      </w:r>
      <w:r>
        <w:t xml:space="preserve"> </w:t>
      </w:r>
      <w:r>
        <w:rPr>
          <w:b/>
          <w:bCs/>
        </w:rPr>
        <w:t xml:space="preserve">ASSUMPTION / TODO — unit economics:</w:t>
      </w:r>
      <w:r>
        <w:t xml:space="preserve"> </w:t>
      </w:r>
      <w:r>
        <w:t xml:space="preserve">Actual MDR, interchange and scheme fees depend on unresolved contracts</w:t>
      </w:r>
      <w:r>
        <w:t xml:space="preserve"> </w:t>
      </w:r>
      <w:r>
        <w:t xml:space="preserve">with the</w:t>
      </w:r>
      <w:r>
        <w:t xml:space="preserve"> </w:t>
      </w:r>
      <w:r>
        <w:rPr>
          <w:b/>
          <w:bCs/>
        </w:rPr>
        <w:t xml:space="preserve">sponsor bank</w:t>
      </w:r>
      <w:r>
        <w:t xml:space="preserve"> </w:t>
      </w:r>
      <w:r>
        <w:t xml:space="preserve">and</w:t>
      </w:r>
      <w:r>
        <w:t xml:space="preserve"> </w:t>
      </w:r>
      <w:r>
        <w:rPr>
          <w:b/>
          <w:bCs/>
        </w:rPr>
        <w:t xml:space="preserve">card schemes (Visa/Mastercard)</w:t>
      </w:r>
      <w:r>
        <w:t xml:space="preserve">. Figures above are market reference points.</w:t>
      </w:r>
    </w:p>
    <w:bookmarkStart w:id="104" w:name="Xf06c52fc31b21a834ec4ed560ca8643fc513967"/>
    <w:p>
      <w:pPr>
        <w:pStyle w:val="Heading3"/>
      </w:pPr>
      <w:r>
        <w:t xml:space="preserve">3.1 Transaction Volume Assumptions (TPV — Total Payment Volume)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TPV (THB M)</w:t>
            </w:r>
          </w:p>
        </w:tc>
        <w:tc>
          <w:tcPr/>
          <w:p>
            <w:pPr>
              <w:pStyle w:val="Compact"/>
            </w:pPr>
            <w:r>
              <w:t xml:space="preserve">Transactions (M)</w:t>
            </w:r>
          </w:p>
        </w:tc>
        <w:tc>
          <w:tcPr/>
          <w:p>
            <w:pPr>
              <w:pStyle w:val="Compact"/>
            </w:pPr>
            <w:r>
              <w:t xml:space="preserve">Active merchants</w:t>
            </w:r>
          </w:p>
        </w:tc>
      </w:tr>
      <w:tr>
        <w:tc>
          <w:tcPr/>
          <w:p>
            <w:pPr>
              <w:pStyle w:val="Compact"/>
            </w:pPr>
            <w:r>
              <w:t xml:space="preserve">Y1</w:t>
            </w:r>
          </w:p>
        </w:tc>
        <w:tc>
          <w:tcPr/>
          <w:p>
            <w:pPr>
              <w:pStyle w:val="Compact"/>
            </w:pPr>
            <w:r>
              <w:t xml:space="preserve">1,200</w:t>
            </w:r>
          </w:p>
        </w:tc>
        <w:tc>
          <w:tcPr/>
          <w:p>
            <w:pPr>
              <w:pStyle w:val="Compact"/>
            </w:pPr>
            <w:r>
              <w:t xml:space="preserve">4.0</w:t>
            </w:r>
          </w:p>
        </w:tc>
        <w:tc>
          <w:tcPr/>
          <w:p>
            <w:pPr>
              <w:pStyle w:val="Compact"/>
            </w:pPr>
            <w:r>
              <w:t xml:space="preserve">300</w:t>
            </w:r>
          </w:p>
        </w:tc>
      </w:tr>
      <w:tr>
        <w:tc>
          <w:tcPr/>
          <w:p>
            <w:pPr>
              <w:pStyle w:val="Compact"/>
            </w:pPr>
            <w:r>
              <w:t xml:space="preserve">Y2</w:t>
            </w:r>
          </w:p>
        </w:tc>
        <w:tc>
          <w:tcPr/>
          <w:p>
            <w:pPr>
              <w:pStyle w:val="Compact"/>
            </w:pPr>
            <w:r>
              <w:t xml:space="preserve">4,500</w:t>
            </w:r>
          </w:p>
        </w:tc>
        <w:tc>
          <w:tcPr/>
          <w:p>
            <w:pPr>
              <w:pStyle w:val="Compact"/>
            </w:pPr>
            <w:r>
              <w:t xml:space="preserve">15.0</w:t>
            </w:r>
          </w:p>
        </w:tc>
        <w:tc>
          <w:tcPr/>
          <w:p>
            <w:pPr>
              <w:pStyle w:val="Compact"/>
            </w:pPr>
            <w:r>
              <w:t xml:space="preserve">1,200</w:t>
            </w:r>
          </w:p>
        </w:tc>
      </w:tr>
      <w:tr>
        <w:tc>
          <w:tcPr/>
          <w:p>
            <w:pPr>
              <w:pStyle w:val="Compact"/>
            </w:pPr>
            <w:r>
              <w:t xml:space="preserve">Y3</w:t>
            </w:r>
          </w:p>
        </w:tc>
        <w:tc>
          <w:tcPr/>
          <w:p>
            <w:pPr>
              <w:pStyle w:val="Compact"/>
            </w:pPr>
            <w:r>
              <w:t xml:space="preserve">12,000</w:t>
            </w:r>
          </w:p>
        </w:tc>
        <w:tc>
          <w:tcPr/>
          <w:p>
            <w:pPr>
              <w:pStyle w:val="Compact"/>
            </w:pPr>
            <w:r>
              <w:t xml:space="preserve">40.0</w:t>
            </w:r>
          </w:p>
        </w:tc>
        <w:tc>
          <w:tcPr/>
          <w:p>
            <w:pPr>
              <w:pStyle w:val="Compact"/>
            </w:pPr>
            <w:r>
              <w:t xml:space="preserve">3,500</w:t>
            </w:r>
          </w:p>
        </w:tc>
      </w:tr>
      <w:tr>
        <w:tc>
          <w:tcPr/>
          <w:p>
            <w:pPr>
              <w:pStyle w:val="Compact"/>
            </w:pPr>
            <w:r>
              <w:t xml:space="preserve">Y4</w:t>
            </w:r>
          </w:p>
        </w:tc>
        <w:tc>
          <w:tcPr/>
          <w:p>
            <w:pPr>
              <w:pStyle w:val="Compact"/>
            </w:pPr>
            <w:r>
              <w:t xml:space="preserve">24,000</w:t>
            </w:r>
          </w:p>
        </w:tc>
        <w:tc>
          <w:tcPr/>
          <w:p>
            <w:pPr>
              <w:pStyle w:val="Compact"/>
            </w:pPr>
            <w:r>
              <w:t xml:space="preserve">80.0</w:t>
            </w:r>
          </w:p>
        </w:tc>
        <w:tc>
          <w:tcPr/>
          <w:p>
            <w:pPr>
              <w:pStyle w:val="Compact"/>
            </w:pPr>
            <w:r>
              <w:t xml:space="preserve">7,000</w:t>
            </w:r>
          </w:p>
        </w:tc>
      </w:tr>
      <w:tr>
        <w:tc>
          <w:tcPr/>
          <w:p>
            <w:pPr>
              <w:pStyle w:val="Compact"/>
            </w:pPr>
            <w:r>
              <w:t xml:space="preserve">Y5</w:t>
            </w:r>
          </w:p>
        </w:tc>
        <w:tc>
          <w:tcPr/>
          <w:p>
            <w:pPr>
              <w:pStyle w:val="Compact"/>
            </w:pPr>
            <w:r>
              <w:t xml:space="preserve">40,000</w:t>
            </w:r>
          </w:p>
        </w:tc>
        <w:tc>
          <w:tcPr/>
          <w:p>
            <w:pPr>
              <w:pStyle w:val="Compact"/>
            </w:pPr>
            <w:r>
              <w:t xml:space="preserve">130.0</w:t>
            </w:r>
          </w:p>
        </w:tc>
        <w:tc>
          <w:tcPr/>
          <w:p>
            <w:pPr>
              <w:pStyle w:val="Compact"/>
            </w:pPr>
            <w:r>
              <w:t xml:space="preserve">12,000</w:t>
            </w:r>
          </w:p>
        </w:tc>
      </w:tr>
    </w:tbl>
    <w:p>
      <w:pPr>
        <w:pStyle w:val="BlockText"/>
      </w:pPr>
      <w:r>
        <w:t xml:space="preserve">From Y2, transactions exceed 6M/year →</w:t>
      </w:r>
      <w:r>
        <w:t xml:space="preserve"> </w:t>
      </w:r>
      <w:r>
        <w:rPr>
          <w:b/>
          <w:bCs/>
        </w:rPr>
        <w:t xml:space="preserve">confirms the need for PCI-DSS Level 1</w:t>
      </w:r>
      <w:r>
        <w:t xml:space="preserve"> </w:t>
      </w:r>
      <w:r>
        <w:t xml:space="preserve">(aligns with</w:t>
      </w:r>
      <w:r>
        <w:t xml:space="preserve"> </w:t>
      </w:r>
      <w:r>
        <w:rPr>
          <w:rStyle w:val="VerbatimChar"/>
        </w:rPr>
        <w:t xml:space="preserve">ARCHITECTURE.md</w:t>
      </w:r>
      <w:r>
        <w:t xml:space="preserve"> </w:t>
      </w:r>
      <w:r>
        <w:t xml:space="preserve">§1, §7).</w:t>
      </w:r>
    </w:p>
    <w:p>
      <w:r>
        <w:pict>
          <v:rect style="width:0;height:1.5pt" o:hralign="center" o:hrstd="t" o:hr="t"/>
        </w:pict>
      </w:r>
    </w:p>
    <w:bookmarkEnd w:id="104"/>
    <w:bookmarkEnd w:id="105"/>
    <w:bookmarkStart w:id="109" w:name="year-financial-projections-base-case"/>
    <w:p>
      <w:pPr>
        <w:pStyle w:val="Heading2"/>
      </w:pPr>
      <w:r>
        <w:t xml:space="preserve">4. 5-Year Financial Projections (Base Case)</w:t>
      </w:r>
    </w:p>
    <w:bookmarkStart w:id="106" w:name="summary-pl-thb-m"/>
    <w:p>
      <w:pPr>
        <w:pStyle w:val="Heading3"/>
      </w:pPr>
      <w:r>
        <w:t xml:space="preserve">4.1 Summary P&amp;L (THB M)</w:t>
      </w:r>
    </w:p>
    <w:tbl>
      <w:tblPr>
        <w:tblStyle w:val="Table"/>
        <w:tblW w:type="pct" w:w="5000"/>
        <w:tblLayout w:type="fixed"/>
        <w:tblLook w:firstRow="1" w:lastRow="0" w:firstColumn="0" w:lastColumn="0" w:noHBand="0" w:noVBand="0" w:val="0020"/>
      </w:tblPr>
      <w:tblGrid>
        <w:gridCol w:w="1827"/>
        <w:gridCol w:w="1218"/>
        <w:gridCol w:w="1218"/>
        <w:gridCol w:w="1218"/>
        <w:gridCol w:w="1218"/>
        <w:gridCol w:w="1218"/>
      </w:tblGrid>
      <w:tr>
        <w:trPr>
          <w:tblHeader w:val="on"/>
        </w:trPr>
        <w:tc>
          <w:tcPr/>
          <w:p>
            <w:pPr>
              <w:pStyle w:val="Compact"/>
            </w:pPr>
            <w:r>
              <w:t xml:space="preserve">Item</w:t>
            </w: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r>
      <w:tr>
        <w:tc>
          <w:tcPr/>
          <w:p>
            <w:pPr>
              <w:pStyle w:val="Compact"/>
            </w:pPr>
            <w:r>
              <w:t xml:space="preserve">MDR revenue (net margin ~0.65% of TPV)</w:t>
            </w:r>
          </w:p>
        </w:tc>
        <w:tc>
          <w:tcPr/>
          <w:p>
            <w:pPr>
              <w:pStyle w:val="Compact"/>
            </w:pPr>
            <w:r>
              <w:t xml:space="preserve">7.80</w:t>
            </w:r>
          </w:p>
        </w:tc>
        <w:tc>
          <w:tcPr/>
          <w:p>
            <w:pPr>
              <w:pStyle w:val="Compact"/>
            </w:pPr>
            <w:r>
              <w:t xml:space="preserve">29.25</w:t>
            </w:r>
          </w:p>
        </w:tc>
        <w:tc>
          <w:tcPr/>
          <w:p>
            <w:pPr>
              <w:pStyle w:val="Compact"/>
            </w:pPr>
            <w:r>
              <w:t xml:space="preserve">78.00</w:t>
            </w:r>
          </w:p>
        </w:tc>
        <w:tc>
          <w:tcPr/>
          <w:p>
            <w:pPr>
              <w:pStyle w:val="Compact"/>
            </w:pPr>
            <w:r>
              <w:t xml:space="preserve">156.00</w:t>
            </w:r>
          </w:p>
        </w:tc>
        <w:tc>
          <w:tcPr/>
          <w:p>
            <w:pPr>
              <w:pStyle w:val="Compact"/>
            </w:pPr>
            <w:r>
              <w:t xml:space="preserve">260.00</w:t>
            </w:r>
          </w:p>
        </w:tc>
      </w:tr>
      <w:tr>
        <w:tc>
          <w:tcPr/>
          <w:p>
            <w:pPr>
              <w:pStyle w:val="Compact"/>
            </w:pPr>
            <w:r>
              <w:t xml:space="preserve">Per-transaction &amp; other fees</w:t>
            </w:r>
          </w:p>
        </w:tc>
        <w:tc>
          <w:tcPr/>
          <w:p>
            <w:pPr>
              <w:pStyle w:val="Compact"/>
            </w:pPr>
            <w:r>
              <w:t xml:space="preserve">6.00</w:t>
            </w:r>
          </w:p>
        </w:tc>
        <w:tc>
          <w:tcPr/>
          <w:p>
            <w:pPr>
              <w:pStyle w:val="Compact"/>
            </w:pPr>
            <w:r>
              <w:t xml:space="preserve">22.50</w:t>
            </w:r>
          </w:p>
        </w:tc>
        <w:tc>
          <w:tcPr/>
          <w:p>
            <w:pPr>
              <w:pStyle w:val="Compact"/>
            </w:pPr>
            <w:r>
              <w:t xml:space="preserve">60.00</w:t>
            </w:r>
          </w:p>
        </w:tc>
        <w:tc>
          <w:tcPr/>
          <w:p>
            <w:pPr>
              <w:pStyle w:val="Compact"/>
            </w:pPr>
            <w:r>
              <w:t xml:space="preserve">120.00</w:t>
            </w:r>
          </w:p>
        </w:tc>
        <w:tc>
          <w:tcPr/>
          <w:p>
            <w:pPr>
              <w:pStyle w:val="Compact"/>
            </w:pPr>
            <w:r>
              <w:t xml:space="preserve">195.00</w:t>
            </w:r>
          </w:p>
        </w:tc>
      </w:tr>
      <w:tr>
        <w:tc>
          <w:tcPr/>
          <w:p>
            <w:pPr>
              <w:pStyle w:val="Compact"/>
            </w:pPr>
            <w:r>
              <w:rPr>
                <w:b/>
                <w:bCs/>
              </w:rPr>
              <w:t xml:space="preserve">Total revenue</w:t>
            </w:r>
          </w:p>
        </w:tc>
        <w:tc>
          <w:tcPr/>
          <w:p>
            <w:pPr>
              <w:pStyle w:val="Compact"/>
            </w:pPr>
            <w:r>
              <w:rPr>
                <w:b/>
                <w:bCs/>
              </w:rPr>
              <w:t xml:space="preserve">13.80</w:t>
            </w:r>
          </w:p>
        </w:tc>
        <w:tc>
          <w:tcPr/>
          <w:p>
            <w:pPr>
              <w:pStyle w:val="Compact"/>
            </w:pPr>
            <w:r>
              <w:rPr>
                <w:b/>
                <w:bCs/>
              </w:rPr>
              <w:t xml:space="preserve">51.75</w:t>
            </w:r>
          </w:p>
        </w:tc>
        <w:tc>
          <w:tcPr/>
          <w:p>
            <w:pPr>
              <w:pStyle w:val="Compact"/>
            </w:pPr>
            <w:r>
              <w:rPr>
                <w:b/>
                <w:bCs/>
              </w:rPr>
              <w:t xml:space="preserve">138.00</w:t>
            </w:r>
          </w:p>
        </w:tc>
        <w:tc>
          <w:tcPr/>
          <w:p>
            <w:pPr>
              <w:pStyle w:val="Compact"/>
            </w:pPr>
            <w:r>
              <w:rPr>
                <w:b/>
                <w:bCs/>
              </w:rPr>
              <w:t xml:space="preserve">276.00</w:t>
            </w:r>
          </w:p>
        </w:tc>
        <w:tc>
          <w:tcPr/>
          <w:p>
            <w:pPr>
              <w:pStyle w:val="Compact"/>
            </w:pPr>
            <w:r>
              <w:rPr>
                <w:b/>
                <w:bCs/>
              </w:rPr>
              <w:t xml:space="preserve">455.00</w:t>
            </w:r>
          </w:p>
        </w:tc>
      </w:tr>
      <w:tr>
        <w:tc>
          <w:tcPr/>
          <w:p>
            <w:pPr>
              <w:pStyle w:val="Compact"/>
            </w:pPr>
            <w:r>
              <w:t xml:space="preserve">COGS (processing, 3DS, scheme pass-through)</w:t>
            </w:r>
          </w:p>
        </w:tc>
        <w:tc>
          <w:tcPr/>
          <w:p>
            <w:pPr>
              <w:pStyle w:val="Compact"/>
            </w:pPr>
            <w:r>
              <w:t xml:space="preserve">(5.20)</w:t>
            </w:r>
          </w:p>
        </w:tc>
        <w:tc>
          <w:tcPr/>
          <w:p>
            <w:pPr>
              <w:pStyle w:val="Compact"/>
            </w:pPr>
            <w:r>
              <w:t xml:space="preserve">(18.00)</w:t>
            </w:r>
          </w:p>
        </w:tc>
        <w:tc>
          <w:tcPr/>
          <w:p>
            <w:pPr>
              <w:pStyle w:val="Compact"/>
            </w:pPr>
            <w:r>
              <w:t xml:space="preserve">(46.00)</w:t>
            </w:r>
          </w:p>
        </w:tc>
        <w:tc>
          <w:tcPr/>
          <w:p>
            <w:pPr>
              <w:pStyle w:val="Compact"/>
            </w:pPr>
            <w:r>
              <w:t xml:space="preserve">(88.00)</w:t>
            </w:r>
          </w:p>
        </w:tc>
        <w:tc>
          <w:tcPr/>
          <w:p>
            <w:pPr>
              <w:pStyle w:val="Compact"/>
            </w:pPr>
            <w:r>
              <w:t xml:space="preserve">(140.00)</w:t>
            </w:r>
          </w:p>
        </w:tc>
      </w:tr>
      <w:tr>
        <w:tc>
          <w:tcPr/>
          <w:p>
            <w:pPr>
              <w:pStyle w:val="Compact"/>
            </w:pPr>
            <w:r>
              <w:rPr>
                <w:b/>
                <w:bCs/>
              </w:rPr>
              <w:t xml:space="preserve">Gross profit</w:t>
            </w:r>
          </w:p>
        </w:tc>
        <w:tc>
          <w:tcPr/>
          <w:p>
            <w:pPr>
              <w:pStyle w:val="Compact"/>
            </w:pPr>
            <w:r>
              <w:rPr>
                <w:b/>
                <w:bCs/>
              </w:rPr>
              <w:t xml:space="preserve">8.60</w:t>
            </w:r>
          </w:p>
        </w:tc>
        <w:tc>
          <w:tcPr/>
          <w:p>
            <w:pPr>
              <w:pStyle w:val="Compact"/>
            </w:pPr>
            <w:r>
              <w:rPr>
                <w:b/>
                <w:bCs/>
              </w:rPr>
              <w:t xml:space="preserve">33.75</w:t>
            </w:r>
          </w:p>
        </w:tc>
        <w:tc>
          <w:tcPr/>
          <w:p>
            <w:pPr>
              <w:pStyle w:val="Compact"/>
            </w:pPr>
            <w:r>
              <w:rPr>
                <w:b/>
                <w:bCs/>
              </w:rPr>
              <w:t xml:space="preserve">92.00</w:t>
            </w:r>
          </w:p>
        </w:tc>
        <w:tc>
          <w:tcPr/>
          <w:p>
            <w:pPr>
              <w:pStyle w:val="Compact"/>
            </w:pPr>
            <w:r>
              <w:rPr>
                <w:b/>
                <w:bCs/>
              </w:rPr>
              <w:t xml:space="preserve">188.00</w:t>
            </w:r>
          </w:p>
        </w:tc>
        <w:tc>
          <w:tcPr/>
          <w:p>
            <w:pPr>
              <w:pStyle w:val="Compact"/>
            </w:pPr>
            <w:r>
              <w:rPr>
                <w:b/>
                <w:bCs/>
              </w:rPr>
              <w:t xml:space="preserve">315.00</w:t>
            </w:r>
          </w:p>
        </w:tc>
      </w:tr>
      <w:tr>
        <w:tc>
          <w:tcPr/>
          <w:p>
            <w:pPr>
              <w:pStyle w:val="Compact"/>
            </w:pPr>
            <w:r>
              <w:t xml:space="preserve">Personnel (team per ROADMAP §3)</w:t>
            </w:r>
          </w:p>
        </w:tc>
        <w:tc>
          <w:tcPr/>
          <w:p>
            <w:pPr>
              <w:pStyle w:val="Compact"/>
            </w:pPr>
            <w:r>
              <w:t xml:space="preserve">(18.00)</w:t>
            </w:r>
          </w:p>
        </w:tc>
        <w:tc>
          <w:tcPr/>
          <w:p>
            <w:pPr>
              <w:pStyle w:val="Compact"/>
            </w:pPr>
            <w:r>
              <w:t xml:space="preserve">(26.00)</w:t>
            </w:r>
          </w:p>
        </w:tc>
        <w:tc>
          <w:tcPr/>
          <w:p>
            <w:pPr>
              <w:pStyle w:val="Compact"/>
            </w:pPr>
            <w:r>
              <w:t xml:space="preserve">(38.00)</w:t>
            </w:r>
          </w:p>
        </w:tc>
        <w:tc>
          <w:tcPr/>
          <w:p>
            <w:pPr>
              <w:pStyle w:val="Compact"/>
            </w:pPr>
            <w:r>
              <w:t xml:space="preserve">(52.00)</w:t>
            </w:r>
          </w:p>
        </w:tc>
        <w:tc>
          <w:tcPr/>
          <w:p>
            <w:pPr>
              <w:pStyle w:val="Compact"/>
            </w:pPr>
            <w:r>
              <w:t xml:space="preserve">(66.00)</w:t>
            </w:r>
          </w:p>
        </w:tc>
      </w:tr>
      <w:tr>
        <w:tc>
          <w:tcPr/>
          <w:p>
            <w:pPr>
              <w:pStyle w:val="Compact"/>
            </w:pPr>
            <w:r>
              <w:t xml:space="preserve">PCI-DSS / QSA / ASV / pentest</w:t>
            </w:r>
          </w:p>
        </w:tc>
        <w:tc>
          <w:tcPr/>
          <w:p>
            <w:pPr>
              <w:pStyle w:val="Compact"/>
            </w:pPr>
            <w:r>
              <w:t xml:space="preserve">(4.50)</w:t>
            </w:r>
          </w:p>
        </w:tc>
        <w:tc>
          <w:tcPr/>
          <w:p>
            <w:pPr>
              <w:pStyle w:val="Compact"/>
            </w:pPr>
            <w:r>
              <w:t xml:space="preserve">(5.00)</w:t>
            </w:r>
          </w:p>
        </w:tc>
        <w:tc>
          <w:tcPr/>
          <w:p>
            <w:pPr>
              <w:pStyle w:val="Compact"/>
            </w:pPr>
            <w:r>
              <w:t xml:space="preserve">(5.50)</w:t>
            </w:r>
          </w:p>
        </w:tc>
        <w:tc>
          <w:tcPr/>
          <w:p>
            <w:pPr>
              <w:pStyle w:val="Compact"/>
            </w:pPr>
            <w:r>
              <w:t xml:space="preserve">(6.00)</w:t>
            </w:r>
          </w:p>
        </w:tc>
        <w:tc>
          <w:tcPr/>
          <w:p>
            <w:pPr>
              <w:pStyle w:val="Compact"/>
            </w:pPr>
            <w:r>
              <w:t xml:space="preserve">(6.50)</w:t>
            </w:r>
          </w:p>
        </w:tc>
      </w:tr>
      <w:tr>
        <w:tc>
          <w:tcPr/>
          <w:p>
            <w:pPr>
              <w:pStyle w:val="Compact"/>
            </w:pPr>
            <w:r>
              <w:t xml:space="preserve">HSM/KMS + Infra (HA + DR)</w:t>
            </w:r>
          </w:p>
        </w:tc>
        <w:tc>
          <w:tcPr/>
          <w:p>
            <w:pPr>
              <w:pStyle w:val="Compact"/>
            </w:pPr>
            <w:r>
              <w:t xml:space="preserve">(5.00)</w:t>
            </w:r>
          </w:p>
        </w:tc>
        <w:tc>
          <w:tcPr/>
          <w:p>
            <w:pPr>
              <w:pStyle w:val="Compact"/>
            </w:pPr>
            <w:r>
              <w:t xml:space="preserve">(6.00)</w:t>
            </w:r>
          </w:p>
        </w:tc>
        <w:tc>
          <w:tcPr/>
          <w:p>
            <w:pPr>
              <w:pStyle w:val="Compact"/>
            </w:pPr>
            <w:r>
              <w:t xml:space="preserve">(7.50)</w:t>
            </w:r>
          </w:p>
        </w:tc>
        <w:tc>
          <w:tcPr/>
          <w:p>
            <w:pPr>
              <w:pStyle w:val="Compact"/>
            </w:pPr>
            <w:r>
              <w:t xml:space="preserve">(9.00)</w:t>
            </w:r>
          </w:p>
        </w:tc>
        <w:tc>
          <w:tcPr/>
          <w:p>
            <w:pPr>
              <w:pStyle w:val="Compact"/>
            </w:pPr>
            <w:r>
              <w:t xml:space="preserve">(11.00)</w:t>
            </w:r>
          </w:p>
        </w:tc>
      </w:tr>
      <w:tr>
        <w:tc>
          <w:tcPr/>
          <w:p>
            <w:pPr>
              <w:pStyle w:val="Compact"/>
            </w:pPr>
            <w:r>
              <w:t xml:space="preserve">Legal / licensing / compliance</w:t>
            </w:r>
          </w:p>
        </w:tc>
        <w:tc>
          <w:tcPr/>
          <w:p>
            <w:pPr>
              <w:pStyle w:val="Compact"/>
            </w:pPr>
            <w:r>
              <w:t xml:space="preserve">(2.50)</w:t>
            </w:r>
          </w:p>
        </w:tc>
        <w:tc>
          <w:tcPr/>
          <w:p>
            <w:pPr>
              <w:pStyle w:val="Compact"/>
            </w:pPr>
            <w:r>
              <w:t xml:space="preserve">(1.50)</w:t>
            </w:r>
          </w:p>
        </w:tc>
        <w:tc>
          <w:tcPr/>
          <w:p>
            <w:pPr>
              <w:pStyle w:val="Compact"/>
            </w:pPr>
            <w:r>
              <w:t xml:space="preserve">(1.50)</w:t>
            </w:r>
          </w:p>
        </w:tc>
        <w:tc>
          <w:tcPr/>
          <w:p>
            <w:pPr>
              <w:pStyle w:val="Compact"/>
            </w:pPr>
            <w:r>
              <w:t xml:space="preserve">(1.80)</w:t>
            </w:r>
          </w:p>
        </w:tc>
        <w:tc>
          <w:tcPr/>
          <w:p>
            <w:pPr>
              <w:pStyle w:val="Compact"/>
            </w:pPr>
            <w:r>
              <w:t xml:space="preserve">(2.00)</w:t>
            </w:r>
          </w:p>
        </w:tc>
      </w:tr>
      <w:tr>
        <w:tc>
          <w:tcPr/>
          <w:p>
            <w:pPr>
              <w:pStyle w:val="Compact"/>
            </w:pPr>
            <w:r>
              <w:t xml:space="preserve">Chargeback + fraud loss</w:t>
            </w:r>
          </w:p>
        </w:tc>
        <w:tc>
          <w:tcPr/>
          <w:p>
            <w:pPr>
              <w:pStyle w:val="Compact"/>
            </w:pPr>
            <w:r>
              <w:t xml:space="preserve">(0.50)</w:t>
            </w:r>
          </w:p>
        </w:tc>
        <w:tc>
          <w:tcPr/>
          <w:p>
            <w:pPr>
              <w:pStyle w:val="Compact"/>
            </w:pPr>
            <w:r>
              <w:t xml:space="preserve">(1.80)</w:t>
            </w:r>
          </w:p>
        </w:tc>
        <w:tc>
          <w:tcPr/>
          <w:p>
            <w:pPr>
              <w:pStyle w:val="Compact"/>
            </w:pPr>
            <w:r>
              <w:t xml:space="preserve">(4.80)</w:t>
            </w:r>
          </w:p>
        </w:tc>
        <w:tc>
          <w:tcPr/>
          <w:p>
            <w:pPr>
              <w:pStyle w:val="Compact"/>
            </w:pPr>
            <w:r>
              <w:t xml:space="preserve">(9.60)</w:t>
            </w:r>
          </w:p>
        </w:tc>
        <w:tc>
          <w:tcPr/>
          <w:p>
            <w:pPr>
              <w:pStyle w:val="Compact"/>
            </w:pPr>
            <w:r>
              <w:t xml:space="preserve">(16.00)</w:t>
            </w:r>
          </w:p>
        </w:tc>
      </w:tr>
      <w:tr>
        <w:tc>
          <w:tcPr/>
          <w:p>
            <w:pPr>
              <w:pStyle w:val="Compact"/>
            </w:pPr>
            <w:r>
              <w:t xml:space="preserve">Other operating expenses</w:t>
            </w:r>
          </w:p>
        </w:tc>
        <w:tc>
          <w:tcPr/>
          <w:p>
            <w:pPr>
              <w:pStyle w:val="Compact"/>
            </w:pPr>
            <w:r>
              <w:t xml:space="preserve">(3.00)</w:t>
            </w:r>
          </w:p>
        </w:tc>
        <w:tc>
          <w:tcPr/>
          <w:p>
            <w:pPr>
              <w:pStyle w:val="Compact"/>
            </w:pPr>
            <w:r>
              <w:t xml:space="preserve">(4.50)</w:t>
            </w:r>
          </w:p>
        </w:tc>
        <w:tc>
          <w:tcPr/>
          <w:p>
            <w:pPr>
              <w:pStyle w:val="Compact"/>
            </w:pPr>
            <w:r>
              <w:t xml:space="preserve">(6.50)</w:t>
            </w:r>
          </w:p>
        </w:tc>
        <w:tc>
          <w:tcPr/>
          <w:p>
            <w:pPr>
              <w:pStyle w:val="Compact"/>
            </w:pPr>
            <w:r>
              <w:t xml:space="preserve">(9.00)</w:t>
            </w:r>
          </w:p>
        </w:tc>
        <w:tc>
          <w:tcPr/>
          <w:p>
            <w:pPr>
              <w:pStyle w:val="Compact"/>
            </w:pPr>
            <w:r>
              <w:t xml:space="preserve">(12.00)</w:t>
            </w:r>
          </w:p>
        </w:tc>
      </w:tr>
      <w:tr>
        <w:tc>
          <w:tcPr/>
          <w:p>
            <w:pPr>
              <w:pStyle w:val="Compact"/>
            </w:pPr>
            <w:r>
              <w:rPr>
                <w:b/>
                <w:bCs/>
              </w:rPr>
              <w:t xml:space="preserve">EBITDA</w:t>
            </w:r>
          </w:p>
        </w:tc>
        <w:tc>
          <w:tcPr/>
          <w:p>
            <w:pPr>
              <w:pStyle w:val="Compact"/>
            </w:pPr>
            <w:r>
              <w:rPr>
                <w:b/>
                <w:bCs/>
              </w:rPr>
              <w:t xml:space="preserve">(24.90)</w:t>
            </w:r>
          </w:p>
        </w:tc>
        <w:tc>
          <w:tcPr/>
          <w:p>
            <w:pPr>
              <w:pStyle w:val="Compact"/>
            </w:pPr>
            <w:r>
              <w:rPr>
                <w:b/>
                <w:bCs/>
              </w:rPr>
              <w:t xml:space="preserve">(11.05)</w:t>
            </w:r>
          </w:p>
        </w:tc>
        <w:tc>
          <w:tcPr/>
          <w:p>
            <w:pPr>
              <w:pStyle w:val="Compact"/>
            </w:pPr>
            <w:r>
              <w:rPr>
                <w:b/>
                <w:bCs/>
              </w:rPr>
              <w:t xml:space="preserve">27.70</w:t>
            </w:r>
          </w:p>
        </w:tc>
        <w:tc>
          <w:tcPr/>
          <w:p>
            <w:pPr>
              <w:pStyle w:val="Compact"/>
            </w:pPr>
            <w:r>
              <w:rPr>
                <w:b/>
                <w:bCs/>
              </w:rPr>
              <w:t xml:space="preserve">90.80</w:t>
            </w:r>
          </w:p>
        </w:tc>
        <w:tc>
          <w:tcPr/>
          <w:p>
            <w:pPr>
              <w:pStyle w:val="Compact"/>
            </w:pPr>
            <w:r>
              <w:rPr>
                <w:b/>
                <w:bCs/>
              </w:rPr>
              <w:t xml:space="preserve">201.50</w:t>
            </w:r>
          </w:p>
        </w:tc>
      </w:tr>
      <w:tr>
        <w:tc>
          <w:tcPr/>
          <w:p>
            <w:pPr>
              <w:pStyle w:val="Compact"/>
            </w:pPr>
            <w:r>
              <w:t xml:space="preserve">Depreciation &amp; amortization</w:t>
            </w:r>
          </w:p>
        </w:tc>
        <w:tc>
          <w:tcPr/>
          <w:p>
            <w:pPr>
              <w:pStyle w:val="Compact"/>
            </w:pPr>
            <w:r>
              <w:t xml:space="preserve">(1.50)</w:t>
            </w:r>
          </w:p>
        </w:tc>
        <w:tc>
          <w:tcPr/>
          <w:p>
            <w:pPr>
              <w:pStyle w:val="Compact"/>
            </w:pPr>
            <w:r>
              <w:t xml:space="preserve">(2.00)</w:t>
            </w:r>
          </w:p>
        </w:tc>
        <w:tc>
          <w:tcPr/>
          <w:p>
            <w:pPr>
              <w:pStyle w:val="Compact"/>
            </w:pPr>
            <w:r>
              <w:t xml:space="preserve">(2.50)</w:t>
            </w:r>
          </w:p>
        </w:tc>
        <w:tc>
          <w:tcPr/>
          <w:p>
            <w:pPr>
              <w:pStyle w:val="Compact"/>
            </w:pPr>
            <w:r>
              <w:t xml:space="preserve">(3.00)</w:t>
            </w:r>
          </w:p>
        </w:tc>
        <w:tc>
          <w:tcPr/>
          <w:p>
            <w:pPr>
              <w:pStyle w:val="Compact"/>
            </w:pPr>
            <w:r>
              <w:t xml:space="preserve">(3.50)</w:t>
            </w:r>
          </w:p>
        </w:tc>
      </w:tr>
      <w:tr>
        <w:tc>
          <w:tcPr/>
          <w:p>
            <w:pPr>
              <w:pStyle w:val="Compact"/>
            </w:pPr>
            <w:r>
              <w:rPr>
                <w:b/>
                <w:bCs/>
              </w:rPr>
              <w:t xml:space="preserve">EBIT</w:t>
            </w:r>
          </w:p>
        </w:tc>
        <w:tc>
          <w:tcPr/>
          <w:p>
            <w:pPr>
              <w:pStyle w:val="Compact"/>
            </w:pPr>
            <w:r>
              <w:rPr>
                <w:b/>
                <w:bCs/>
              </w:rPr>
              <w:t xml:space="preserve">(26.40)</w:t>
            </w:r>
          </w:p>
        </w:tc>
        <w:tc>
          <w:tcPr/>
          <w:p>
            <w:pPr>
              <w:pStyle w:val="Compact"/>
            </w:pPr>
            <w:r>
              <w:rPr>
                <w:b/>
                <w:bCs/>
              </w:rPr>
              <w:t xml:space="preserve">(13.05)</w:t>
            </w:r>
          </w:p>
        </w:tc>
        <w:tc>
          <w:tcPr/>
          <w:p>
            <w:pPr>
              <w:pStyle w:val="Compact"/>
            </w:pPr>
            <w:r>
              <w:rPr>
                <w:b/>
                <w:bCs/>
              </w:rPr>
              <w:t xml:space="preserve">25.20</w:t>
            </w:r>
          </w:p>
        </w:tc>
        <w:tc>
          <w:tcPr/>
          <w:p>
            <w:pPr>
              <w:pStyle w:val="Compact"/>
            </w:pPr>
            <w:r>
              <w:rPr>
                <w:b/>
                <w:bCs/>
              </w:rPr>
              <w:t xml:space="preserve">87.80</w:t>
            </w:r>
          </w:p>
        </w:tc>
        <w:tc>
          <w:tcPr/>
          <w:p>
            <w:pPr>
              <w:pStyle w:val="Compact"/>
            </w:pPr>
            <w:r>
              <w:rPr>
                <w:b/>
                <w:bCs/>
              </w:rPr>
              <w:t xml:space="preserve">198.00</w:t>
            </w:r>
          </w:p>
        </w:tc>
      </w:tr>
      <w:tr>
        <w:tc>
          <w:tcPr/>
          <w:p>
            <w:pPr>
              <w:pStyle w:val="Compact"/>
            </w:pPr>
            <w:r>
              <w:t xml:space="preserve">Interest income on buffer</w:t>
            </w:r>
          </w:p>
        </w:tc>
        <w:tc>
          <w:tcPr/>
          <w:p>
            <w:pPr>
              <w:pStyle w:val="Compact"/>
            </w:pPr>
            <w:r>
              <w:t xml:space="preserve">0.75</w:t>
            </w:r>
          </w:p>
        </w:tc>
        <w:tc>
          <w:tcPr/>
          <w:p>
            <w:pPr>
              <w:pStyle w:val="Compact"/>
            </w:pPr>
            <w:r>
              <w:t xml:space="preserve">0.75</w:t>
            </w:r>
          </w:p>
        </w:tc>
        <w:tc>
          <w:tcPr/>
          <w:p>
            <w:pPr>
              <w:pStyle w:val="Compact"/>
            </w:pPr>
            <w:r>
              <w:t xml:space="preserve">0.75</w:t>
            </w:r>
          </w:p>
        </w:tc>
        <w:tc>
          <w:tcPr/>
          <w:p>
            <w:pPr>
              <w:pStyle w:val="Compact"/>
            </w:pPr>
            <w:r>
              <w:t xml:space="preserve">0.90</w:t>
            </w:r>
          </w:p>
        </w:tc>
        <w:tc>
          <w:tcPr/>
          <w:p>
            <w:pPr>
              <w:pStyle w:val="Compact"/>
            </w:pPr>
            <w:r>
              <w:t xml:space="preserve">1.00</w:t>
            </w:r>
          </w:p>
        </w:tc>
      </w:tr>
      <w:tr>
        <w:tc>
          <w:tcPr/>
          <w:p>
            <w:pPr>
              <w:pStyle w:val="Compact"/>
            </w:pPr>
            <w:r>
              <w:t xml:space="preserve">Income tax (20%, after loss carryforward used)</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(14.40)</w:t>
            </w:r>
          </w:p>
        </w:tc>
        <w:tc>
          <w:tcPr/>
          <w:p>
            <w:pPr>
              <w:pStyle w:val="Compact"/>
            </w:pPr>
            <w:r>
              <w:t xml:space="preserve">(39.80)</w:t>
            </w:r>
          </w:p>
        </w:tc>
      </w:tr>
      <w:tr>
        <w:tc>
          <w:tcPr/>
          <w:p>
            <w:pPr>
              <w:pStyle w:val="Compact"/>
            </w:pPr>
            <w:r>
              <w:rPr>
                <w:b/>
                <w:bCs/>
              </w:rPr>
              <w:t xml:space="preserve">Net profit (loss)</w:t>
            </w:r>
          </w:p>
        </w:tc>
        <w:tc>
          <w:tcPr/>
          <w:p>
            <w:pPr>
              <w:pStyle w:val="Compact"/>
            </w:pPr>
            <w:r>
              <w:rPr>
                <w:b/>
                <w:bCs/>
              </w:rPr>
              <w:t xml:space="preserve">(25.65)</w:t>
            </w:r>
          </w:p>
        </w:tc>
        <w:tc>
          <w:tcPr/>
          <w:p>
            <w:pPr>
              <w:pStyle w:val="Compact"/>
            </w:pPr>
            <w:r>
              <w:rPr>
                <w:b/>
                <w:bCs/>
              </w:rPr>
              <w:t xml:space="preserve">(12.30)</w:t>
            </w:r>
          </w:p>
        </w:tc>
        <w:tc>
          <w:tcPr/>
          <w:p>
            <w:pPr>
              <w:pStyle w:val="Compact"/>
            </w:pPr>
            <w:r>
              <w:rPr>
                <w:b/>
                <w:bCs/>
              </w:rPr>
              <w:t xml:space="preserve">25.95</w:t>
            </w:r>
          </w:p>
        </w:tc>
        <w:tc>
          <w:tcPr/>
          <w:p>
            <w:pPr>
              <w:pStyle w:val="Compact"/>
            </w:pPr>
            <w:r>
              <w:rPr>
                <w:b/>
                <w:bCs/>
              </w:rPr>
              <w:t xml:space="preserve">74.30</w:t>
            </w:r>
          </w:p>
        </w:tc>
        <w:tc>
          <w:tcPr/>
          <w:p>
            <w:pPr>
              <w:pStyle w:val="Compact"/>
            </w:pPr>
            <w:r>
              <w:rPr>
                <w:b/>
                <w:bCs/>
              </w:rPr>
              <w:t xml:space="preserve">159.20</w:t>
            </w:r>
          </w:p>
        </w:tc>
      </w:tr>
      <w:tr>
        <w:tc>
          <w:tcPr/>
          <w:p>
            <w:pPr>
              <w:pStyle w:val="Compact"/>
            </w:pPr>
            <w:r>
              <w:t xml:space="preserve">Accumulated P&amp;L (carried)</w:t>
            </w:r>
          </w:p>
        </w:tc>
        <w:tc>
          <w:tcPr/>
          <w:p>
            <w:pPr>
              <w:pStyle w:val="Compact"/>
            </w:pPr>
            <w:r>
              <w:t xml:space="preserve">(25.65)</w:t>
            </w:r>
          </w:p>
        </w:tc>
        <w:tc>
          <w:tcPr/>
          <w:p>
            <w:pPr>
              <w:pStyle w:val="Compact"/>
            </w:pPr>
            <w:r>
              <w:t xml:space="preserve">(37.95)</w:t>
            </w:r>
          </w:p>
        </w:tc>
        <w:tc>
          <w:tcPr/>
          <w:p>
            <w:pPr>
              <w:pStyle w:val="Compact"/>
            </w:pPr>
            <w:r>
              <w:t xml:space="preserve">(12.00)</w:t>
            </w:r>
          </w:p>
        </w:tc>
        <w:tc>
          <w:tcPr/>
          <w:p>
            <w:pPr>
              <w:pStyle w:val="Compact"/>
            </w:pPr>
            <w:r>
              <w:t xml:space="preserve">62.30</w:t>
            </w:r>
          </w:p>
        </w:tc>
        <w:tc>
          <w:tcPr/>
          <w:p>
            <w:pPr>
              <w:pStyle w:val="Compact"/>
            </w:pPr>
            <w:r>
              <w:t xml:space="preserve">221.50</w:t>
            </w:r>
          </w:p>
        </w:tc>
      </w:tr>
    </w:tbl>
    <w:p>
      <w:pPr>
        <w:pStyle w:val="BodyText"/>
      </w:pPr>
      <w:r>
        <w:rPr>
          <w:b/>
          <w:bCs/>
        </w:rPr>
        <w:t xml:space="preserve">Break-even:</w:t>
      </w:r>
      <w:r>
        <w:t xml:space="preserve"> </w:t>
      </w:r>
      <w:r>
        <w:t xml:space="preserve">EBITDA turns positive in Y3; cumulative net profit turns positive in Y4.</w:t>
      </w:r>
    </w:p>
    <w:bookmarkEnd w:id="106"/>
    <w:bookmarkStart w:id="107" w:name="summary-cash-flow-thb-m"/>
    <w:p>
      <w:pPr>
        <w:pStyle w:val="Heading3"/>
      </w:pPr>
      <w:r>
        <w:t xml:space="preserve">4.2 Summary Cash Flow (THB M)</w:t>
      </w:r>
    </w:p>
    <w:tbl>
      <w:tblPr>
        <w:tblStyle w:val="Table"/>
        <w:tblW w:type="pct" w:w="5000"/>
        <w:tblLayout w:type="fixed"/>
        <w:tblLook w:firstRow="1" w:lastRow="0" w:firstColumn="0" w:lastColumn="0" w:noHBand="0" w:noVBand="0" w:val="0020"/>
      </w:tblPr>
      <w:tblGrid>
        <w:gridCol w:w="1827"/>
        <w:gridCol w:w="1218"/>
        <w:gridCol w:w="1218"/>
        <w:gridCol w:w="1218"/>
        <w:gridCol w:w="1218"/>
        <w:gridCol w:w="1218"/>
      </w:tblGrid>
      <w:tr>
        <w:trPr>
          <w:tblHeader w:val="on"/>
        </w:trPr>
        <w:tc>
          <w:tcPr/>
          <w:p>
            <w:pPr>
              <w:pStyle w:val="Compact"/>
            </w:pPr>
            <w:r>
              <w:t xml:space="preserve">Item</w:t>
            </w: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r>
      <w:tr>
        <w:tc>
          <w:tcPr/>
          <w:p>
            <w:pPr>
              <w:pStyle w:val="Compact"/>
            </w:pPr>
            <w:r>
              <w:t xml:space="preserve">Operating cash flow</w:t>
            </w:r>
          </w:p>
        </w:tc>
        <w:tc>
          <w:tcPr/>
          <w:p>
            <w:pPr>
              <w:pStyle w:val="Compact"/>
            </w:pPr>
            <w:r>
              <w:t xml:space="preserve">(24.90)</w:t>
            </w:r>
          </w:p>
        </w:tc>
        <w:tc>
          <w:tcPr/>
          <w:p>
            <w:pPr>
              <w:pStyle w:val="Compact"/>
            </w:pPr>
            <w:r>
              <w:t xml:space="preserve">(11.05)</w:t>
            </w:r>
          </w:p>
        </w:tc>
        <w:tc>
          <w:tcPr/>
          <w:p>
            <w:pPr>
              <w:pStyle w:val="Compact"/>
            </w:pPr>
            <w:r>
              <w:t xml:space="preserve">27.70</w:t>
            </w:r>
          </w:p>
        </w:tc>
        <w:tc>
          <w:tcPr/>
          <w:p>
            <w:pPr>
              <w:pStyle w:val="Compact"/>
            </w:pPr>
            <w:r>
              <w:t xml:space="preserve">90.80</w:t>
            </w:r>
          </w:p>
        </w:tc>
        <w:tc>
          <w:tcPr/>
          <w:p>
            <w:pPr>
              <w:pStyle w:val="Compact"/>
            </w:pPr>
            <w:r>
              <w:t xml:space="preserve">201.50</w:t>
            </w:r>
          </w:p>
        </w:tc>
      </w:tr>
      <w:tr>
        <w:tc>
          <w:tcPr/>
          <w:p>
            <w:pPr>
              <w:pStyle w:val="Compact"/>
            </w:pPr>
            <w:r>
              <w:t xml:space="preserve">Investing (capex: HSM, infra)</w:t>
            </w:r>
          </w:p>
        </w:tc>
        <w:tc>
          <w:tcPr/>
          <w:p>
            <w:pPr>
              <w:pStyle w:val="Compact"/>
            </w:pPr>
            <w:r>
              <w:t xml:space="preserve">(3.00)</w:t>
            </w:r>
          </w:p>
        </w:tc>
        <w:tc>
          <w:tcPr/>
          <w:p>
            <w:pPr>
              <w:pStyle w:val="Compact"/>
            </w:pPr>
            <w:r>
              <w:t xml:space="preserve">(2.50)</w:t>
            </w:r>
          </w:p>
        </w:tc>
        <w:tc>
          <w:tcPr/>
          <w:p>
            <w:pPr>
              <w:pStyle w:val="Compact"/>
            </w:pPr>
            <w:r>
              <w:t xml:space="preserve">(3.00)</w:t>
            </w:r>
          </w:p>
        </w:tc>
        <w:tc>
          <w:tcPr/>
          <w:p>
            <w:pPr>
              <w:pStyle w:val="Compact"/>
            </w:pPr>
            <w:r>
              <w:t xml:space="preserve">(3.50)</w:t>
            </w:r>
          </w:p>
        </w:tc>
        <w:tc>
          <w:tcPr/>
          <w:p>
            <w:pPr>
              <w:pStyle w:val="Compact"/>
            </w:pPr>
            <w:r>
              <w:t xml:space="preserve">(4.00)</w:t>
            </w:r>
          </w:p>
        </w:tc>
      </w:tr>
      <w:tr>
        <w:tc>
          <w:tcPr/>
          <w:p>
            <w:pPr>
              <w:pStyle w:val="Compact"/>
            </w:pPr>
            <w:r>
              <w:t xml:space="preserve">Opening cash</w:t>
            </w:r>
          </w:p>
        </w:tc>
        <w:tc>
          <w:tcPr/>
          <w:p>
            <w:pPr>
              <w:pStyle w:val="Compact"/>
            </w:pPr>
            <w:r>
              <w:t xml:space="preserve">50.00</w:t>
            </w:r>
          </w:p>
        </w:tc>
        <w:tc>
          <w:tcPr/>
          <w:p>
            <w:pPr>
              <w:pStyle w:val="Compact"/>
            </w:pPr>
            <w:r>
              <w:t xml:space="preserve">22.10</w:t>
            </w:r>
          </w:p>
        </w:tc>
        <w:tc>
          <w:tcPr/>
          <w:p>
            <w:pPr>
              <w:pStyle w:val="Compact"/>
            </w:pPr>
            <w:r>
              <w:t xml:space="preserve">8.55</w:t>
            </w:r>
          </w:p>
        </w:tc>
        <w:tc>
          <w:tcPr/>
          <w:p>
            <w:pPr>
              <w:pStyle w:val="Compact"/>
            </w:pPr>
            <w:r>
              <w:t xml:space="preserve">33.25</w:t>
            </w:r>
          </w:p>
        </w:tc>
        <w:tc>
          <w:tcPr/>
          <w:p>
            <w:pPr>
              <w:pStyle w:val="Compact"/>
            </w:pPr>
            <w:r>
              <w:t xml:space="preserve">120.55</w:t>
            </w:r>
          </w:p>
        </w:tc>
      </w:tr>
      <w:tr>
        <w:tc>
          <w:tcPr/>
          <w:p>
            <w:pPr>
              <w:pStyle w:val="Compact"/>
            </w:pPr>
            <w:r>
              <w:rPr>
                <w:b/>
                <w:bCs/>
              </w:rPr>
              <w:t xml:space="preserve">Closing cash</w:t>
            </w:r>
          </w:p>
        </w:tc>
        <w:tc>
          <w:tcPr/>
          <w:p>
            <w:pPr>
              <w:pStyle w:val="Compact"/>
            </w:pPr>
            <w:r>
              <w:rPr>
                <w:b/>
                <w:bCs/>
              </w:rPr>
              <w:t xml:space="preserve">22.10</w:t>
            </w:r>
          </w:p>
        </w:tc>
        <w:tc>
          <w:tcPr/>
          <w:p>
            <w:pPr>
              <w:pStyle w:val="Compact"/>
            </w:pPr>
            <w:r>
              <w:rPr>
                <w:b/>
                <w:bCs/>
              </w:rPr>
              <w:t xml:space="preserve">8.55</w:t>
            </w:r>
          </w:p>
        </w:tc>
        <w:tc>
          <w:tcPr/>
          <w:p>
            <w:pPr>
              <w:pStyle w:val="Compact"/>
            </w:pPr>
            <w:r>
              <w:rPr>
                <w:b/>
                <w:bCs/>
              </w:rPr>
              <w:t xml:space="preserve">33.25</w:t>
            </w:r>
          </w:p>
        </w:tc>
        <w:tc>
          <w:tcPr/>
          <w:p>
            <w:pPr>
              <w:pStyle w:val="Compact"/>
            </w:pPr>
            <w:r>
              <w:rPr>
                <w:b/>
                <w:bCs/>
              </w:rPr>
              <w:t xml:space="preserve">120.55</w:t>
            </w:r>
          </w:p>
        </w:tc>
        <w:tc>
          <w:tcPr/>
          <w:p>
            <w:pPr>
              <w:pStyle w:val="Compact"/>
            </w:pPr>
            <w:r>
              <w:rPr>
                <w:b/>
                <w:bCs/>
              </w:rPr>
              <w:t xml:space="preserve">318.05</w:t>
            </w:r>
          </w:p>
        </w:tc>
      </w:tr>
    </w:tbl>
    <w:p>
      <w:pPr>
        <w:pStyle w:val="BlockText"/>
      </w:pPr>
      <w:r>
        <w:rPr>
          <w:b/>
          <w:bCs/>
        </w:rPr>
        <w:t xml:space="preserve">Liquidity pinch point:</w:t>
      </w:r>
      <w:r>
        <w:t xml:space="preserve"> </w:t>
      </w:r>
      <w:r>
        <w:t xml:space="preserve">End of Y2 leaves ~THB 8.55M, below allocated operational working capital</w:t>
      </w:r>
      <w:r>
        <w:t xml:space="preserve"> </w:t>
      </w:r>
      <w:r>
        <w:t xml:space="preserve">→</w:t>
      </w:r>
      <w:r>
        <w:t xml:space="preserve"> </w:t>
      </w:r>
      <w:r>
        <w:rPr>
          <w:b/>
          <w:bCs/>
        </w:rPr>
        <w:t xml:space="preserve">a bridge/Series raise is required by end of Y1 or mid-Y2</w:t>
      </w:r>
      <w:r>
        <w:t xml:space="preserve">, before reaching this point (see runway §6.3).</w:t>
      </w:r>
    </w:p>
    <w:p>
      <w:pPr>
        <w:pStyle w:val="BlockText"/>
      </w:pPr>
      <w:r>
        <w:t xml:space="preserve">🔲</w:t>
      </w:r>
      <w:r>
        <w:t xml:space="preserve"> </w:t>
      </w:r>
      <w:r>
        <w:rPr>
          <w:b/>
          <w:bCs/>
        </w:rPr>
        <w:t xml:space="preserve">ASSUMPTION / TODO — runway &amp; top-up:</w:t>
      </w:r>
      <w:r>
        <w:t xml:space="preserve"> </w:t>
      </w:r>
      <w:r>
        <w:t xml:space="preserve">This projection shows THB 50M alone is insufficient to cover the</w:t>
      </w:r>
      <w:r>
        <w:t xml:space="preserve"> </w:t>
      </w:r>
      <w:r>
        <w:t xml:space="preserve">cumulative loss period before break-even. Additional working capital must be planned,</w:t>
      </w:r>
      <w:r>
        <w:t xml:space="preserve"> </w:t>
      </w:r>
      <w:r>
        <w:rPr>
          <w:b/>
          <w:bCs/>
        </w:rPr>
        <w:t xml:space="preserve">without touching the THB 37.5M regulatory buffer.</w:t>
      </w:r>
    </w:p>
    <w:bookmarkEnd w:id="107"/>
    <w:bookmarkStart w:id="108" w:name="summary-balance-sheet-year-end-thb-m"/>
    <w:p>
      <w:pPr>
        <w:pStyle w:val="Heading3"/>
      </w:pPr>
      <w:r>
        <w:t xml:space="preserve">4.3 Summary Balance Sheet (year-end, THB M)</w:t>
      </w:r>
    </w:p>
    <w:tbl>
      <w:tblPr>
        <w:tblStyle w:val="Table"/>
        <w:tblW w:type="pct" w:w="5000"/>
        <w:tblLayout w:type="fixed"/>
        <w:tblLook w:firstRow="1" w:lastRow="0" w:firstColumn="0" w:lastColumn="0" w:noHBand="0" w:noVBand="0" w:val="0020"/>
      </w:tblPr>
      <w:tblGrid>
        <w:gridCol w:w="1827"/>
        <w:gridCol w:w="1218"/>
        <w:gridCol w:w="1218"/>
        <w:gridCol w:w="1218"/>
        <w:gridCol w:w="1218"/>
        <w:gridCol w:w="1218"/>
      </w:tblGrid>
      <w:tr>
        <w:trPr>
          <w:tblHeader w:val="on"/>
        </w:trPr>
        <w:tc>
          <w:tcPr/>
          <w:p>
            <w:pPr>
              <w:pStyle w:val="Compact"/>
            </w:pPr>
            <w:r>
              <w:t xml:space="preserve">Item</w:t>
            </w: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r>
      <w:tr>
        <w:tc>
          <w:tcPr/>
          <w:p>
            <w:pPr>
              <w:pStyle w:val="Compact"/>
            </w:pPr>
            <w:r>
              <w:t xml:space="preserve">Liquid assets (excl. merchant funds)</w:t>
            </w:r>
          </w:p>
        </w:tc>
        <w:tc>
          <w:tcPr/>
          <w:p>
            <w:pPr>
              <w:pStyle w:val="Compact"/>
            </w:pPr>
            <w:r>
              <w:t xml:space="preserve">22.10</w:t>
            </w:r>
          </w:p>
        </w:tc>
        <w:tc>
          <w:tcPr/>
          <w:p>
            <w:pPr>
              <w:pStyle w:val="Compact"/>
            </w:pPr>
            <w:r>
              <w:t xml:space="preserve">8.55</w:t>
            </w:r>
          </w:p>
        </w:tc>
        <w:tc>
          <w:tcPr/>
          <w:p>
            <w:pPr>
              <w:pStyle w:val="Compact"/>
            </w:pPr>
            <w:r>
              <w:t xml:space="preserve">33.25</w:t>
            </w:r>
          </w:p>
        </w:tc>
        <w:tc>
          <w:tcPr/>
          <w:p>
            <w:pPr>
              <w:pStyle w:val="Compact"/>
            </w:pPr>
            <w:r>
              <w:t xml:space="preserve">120.55</w:t>
            </w:r>
          </w:p>
        </w:tc>
        <w:tc>
          <w:tcPr/>
          <w:p>
            <w:pPr>
              <w:pStyle w:val="Compact"/>
            </w:pPr>
            <w:r>
              <w:t xml:space="preserve">318.05</w:t>
            </w:r>
          </w:p>
        </w:tc>
      </w:tr>
      <w:tr>
        <w:tc>
          <w:tcPr/>
          <w:p>
            <w:pPr>
              <w:pStyle w:val="Compact"/>
            </w:pPr>
            <w:r>
              <w:t xml:space="preserve">Net fixed assets</w:t>
            </w:r>
          </w:p>
        </w:tc>
        <w:tc>
          <w:tcPr/>
          <w:p>
            <w:pPr>
              <w:pStyle w:val="Compact"/>
            </w:pPr>
            <w:r>
              <w:t xml:space="preserve">4.50</w:t>
            </w:r>
          </w:p>
        </w:tc>
        <w:tc>
          <w:tcPr/>
          <w:p>
            <w:pPr>
              <w:pStyle w:val="Compact"/>
            </w:pPr>
            <w:r>
              <w:t xml:space="preserve">5.00</w:t>
            </w:r>
          </w:p>
        </w:tc>
        <w:tc>
          <w:tcPr/>
          <w:p>
            <w:pPr>
              <w:pStyle w:val="Compact"/>
            </w:pPr>
            <w:r>
              <w:t xml:space="preserve">5.50</w:t>
            </w:r>
          </w:p>
        </w:tc>
        <w:tc>
          <w:tcPr/>
          <w:p>
            <w:pPr>
              <w:pStyle w:val="Compact"/>
            </w:pPr>
            <w:r>
              <w:t xml:space="preserve">6.00</w:t>
            </w:r>
          </w:p>
        </w:tc>
        <w:tc>
          <w:tcPr/>
          <w:p>
            <w:pPr>
              <w:pStyle w:val="Compact"/>
            </w:pPr>
            <w:r>
              <w:t xml:space="preserve">6.50</w:t>
            </w:r>
          </w:p>
        </w:tc>
      </w:tr>
      <w:tr>
        <w:tc>
          <w:tcPr/>
          <w:p>
            <w:pPr>
              <w:pStyle w:val="Compact"/>
            </w:pPr>
            <w:r>
              <w:t xml:space="preserve">Merchant funds in segregated account (managerially off-B/S)</w:t>
            </w:r>
          </w:p>
        </w:tc>
        <w:tc>
          <w:tcPr/>
          <w:p>
            <w:pPr>
              <w:pStyle w:val="Compact"/>
            </w:pPr>
            <w:r>
              <w:t xml:space="preserve">~3.3</w:t>
            </w:r>
          </w:p>
        </w:tc>
        <w:tc>
          <w:tcPr/>
          <w:p>
            <w:pPr>
              <w:pStyle w:val="Compact"/>
            </w:pPr>
            <w:r>
              <w:t xml:space="preserve">~12.3</w:t>
            </w:r>
          </w:p>
        </w:tc>
        <w:tc>
          <w:tcPr/>
          <w:p>
            <w:pPr>
              <w:pStyle w:val="Compact"/>
            </w:pPr>
            <w:r>
              <w:t xml:space="preserve">~33</w:t>
            </w:r>
          </w:p>
        </w:tc>
        <w:tc>
          <w:tcPr/>
          <w:p>
            <w:pPr>
              <w:pStyle w:val="Compact"/>
            </w:pPr>
            <w:r>
              <w:t xml:space="preserve">~66</w:t>
            </w:r>
          </w:p>
        </w:tc>
        <w:tc>
          <w:tcPr/>
          <w:p>
            <w:pPr>
              <w:pStyle w:val="Compact"/>
            </w:pPr>
            <w:r>
              <w:t xml:space="preserve">~110</w:t>
            </w:r>
          </w:p>
        </w:tc>
      </w:tr>
      <w:tr>
        <w:tc>
          <w:tcPr/>
          <w:p>
            <w:pPr>
              <w:pStyle w:val="Compact"/>
            </w:pPr>
            <w:r>
              <w:t xml:space="preserve">Current liabilities (settlement payable to merchants)</w:t>
            </w:r>
          </w:p>
        </w:tc>
        <w:tc>
          <w:tcPr/>
          <w:p>
            <w:pPr>
              <w:pStyle w:val="Compact"/>
            </w:pPr>
            <w:r>
              <w:t xml:space="preserve">~3.3</w:t>
            </w:r>
          </w:p>
        </w:tc>
        <w:tc>
          <w:tcPr/>
          <w:p>
            <w:pPr>
              <w:pStyle w:val="Compact"/>
            </w:pPr>
            <w:r>
              <w:t xml:space="preserve">~12.3</w:t>
            </w:r>
          </w:p>
        </w:tc>
        <w:tc>
          <w:tcPr/>
          <w:p>
            <w:pPr>
              <w:pStyle w:val="Compact"/>
            </w:pPr>
            <w:r>
              <w:t xml:space="preserve">~33</w:t>
            </w:r>
          </w:p>
        </w:tc>
        <w:tc>
          <w:tcPr/>
          <w:p>
            <w:pPr>
              <w:pStyle w:val="Compact"/>
            </w:pPr>
            <w:r>
              <w:t xml:space="preserve">~66</w:t>
            </w:r>
          </w:p>
        </w:tc>
        <w:tc>
          <w:tcPr/>
          <w:p>
            <w:pPr>
              <w:pStyle w:val="Compact"/>
            </w:pPr>
            <w:r>
              <w:t xml:space="preserve">~110</w:t>
            </w:r>
          </w:p>
        </w:tc>
      </w:tr>
      <w:tr>
        <w:tc>
          <w:tcPr/>
          <w:p>
            <w:pPr>
              <w:pStyle w:val="Compact"/>
            </w:pPr>
            <w:r>
              <w:t xml:space="preserve">Shareholders’ equity (capital + retained earnings)</w:t>
            </w:r>
          </w:p>
        </w:tc>
        <w:tc>
          <w:tcPr/>
          <w:p>
            <w:pPr>
              <w:pStyle w:val="Compact"/>
            </w:pPr>
            <w:r>
              <w:t xml:space="preserve">24.35</w:t>
            </w:r>
          </w:p>
        </w:tc>
        <w:tc>
          <w:tcPr/>
          <w:p>
            <w:pPr>
              <w:pStyle w:val="Compact"/>
            </w:pPr>
            <w:r>
              <w:t xml:space="preserve">12.05</w:t>
            </w:r>
          </w:p>
        </w:tc>
        <w:tc>
          <w:tcPr/>
          <w:p>
            <w:pPr>
              <w:pStyle w:val="Compact"/>
            </w:pPr>
            <w:r>
              <w:t xml:space="preserve">38.00</w:t>
            </w:r>
          </w:p>
        </w:tc>
        <w:tc>
          <w:tcPr/>
          <w:p>
            <w:pPr>
              <w:pStyle w:val="Compact"/>
            </w:pPr>
            <w:r>
              <w:t xml:space="preserve">112.30</w:t>
            </w:r>
          </w:p>
        </w:tc>
        <w:tc>
          <w:tcPr/>
          <w:p>
            <w:pPr>
              <w:pStyle w:val="Compact"/>
            </w:pPr>
            <w:r>
              <w:t xml:space="preserve">271.50</w:t>
            </w:r>
          </w:p>
        </w:tc>
      </w:tr>
    </w:tbl>
    <w:p>
      <w:r>
        <w:pict>
          <v:rect style="width:0;height:1.5pt" o:hralign="center" o:hrstd="t" o:hr="t"/>
        </w:pict>
      </w:r>
    </w:p>
    <w:bookmarkEnd w:id="108"/>
    <w:bookmarkEnd w:id="109"/>
    <w:bookmarkStart w:id="113" w:name="client-money-settlement"/>
    <w:p>
      <w:pPr>
        <w:pStyle w:val="Heading2"/>
      </w:pPr>
      <w:r>
        <w:t xml:space="preserve">5. Client Money &amp; Settlement</w:t>
      </w:r>
    </w:p>
    <w:bookmarkStart w:id="110" w:name="segregation-principle"/>
    <w:p>
      <w:pPr>
        <w:pStyle w:val="Heading3"/>
      </w:pPr>
      <w:r>
        <w:t xml:space="preserve">5.1 Segregation Principle</w:t>
      </w:r>
    </w:p>
    <w:p>
      <w:pPr>
        <w:pStyle w:val="Compact"/>
        <w:numPr>
          <w:ilvl w:val="0"/>
          <w:numId w:val="1020"/>
        </w:numPr>
      </w:pPr>
      <w:r>
        <w:t xml:space="preserve">Funds received from card networks to settle merchants are</w:t>
      </w:r>
      <w:r>
        <w:t xml:space="preserve"> </w:t>
      </w:r>
      <w:r>
        <w:rPr>
          <w:b/>
          <w:bCs/>
        </w:rPr>
        <w:t xml:space="preserve">not company revenue/assets</w:t>
      </w:r>
      <w:r>
        <w:t xml:space="preserve"> </w:t>
      </w:r>
      <w:r>
        <w:t xml:space="preserve">— a fiduciary liability only.</w:t>
      </w:r>
    </w:p>
    <w:p>
      <w:pPr>
        <w:pStyle w:val="Compact"/>
        <w:numPr>
          <w:ilvl w:val="0"/>
          <w:numId w:val="1020"/>
        </w:numPr>
      </w:pPr>
      <w:r>
        <w:t xml:space="preserve">Held in a</w:t>
      </w:r>
      <w:r>
        <w:t xml:space="preserve"> </w:t>
      </w:r>
      <w:r>
        <w:rPr>
          <w:b/>
          <w:bCs/>
        </w:rPr>
        <w:t xml:space="preserve">segregated account</w:t>
      </w:r>
      <w:r>
        <w:t xml:space="preserve"> </w:t>
      </w:r>
      <w:r>
        <w:t xml:space="preserve">at a BOT-supervised institution, separate from the company’s operating account.</w:t>
      </w:r>
    </w:p>
    <w:p>
      <w:pPr>
        <w:pStyle w:val="Compact"/>
        <w:numPr>
          <w:ilvl w:val="0"/>
          <w:numId w:val="1020"/>
        </w:numPr>
      </w:pPr>
      <w:r>
        <w:rPr>
          <w:b/>
          <w:bCs/>
        </w:rPr>
        <w:t xml:space="preserve">Merchant funds must never be used as working capital</w:t>
      </w:r>
      <w:r>
        <w:t xml:space="preserve"> </w:t>
      </w:r>
      <w:r>
        <w:t xml:space="preserve">or invested (no commingling).</w:t>
      </w:r>
    </w:p>
    <w:p>
      <w:pPr>
        <w:pStyle w:val="Compact"/>
        <w:numPr>
          <w:ilvl w:val="0"/>
          <w:numId w:val="1020"/>
        </w:numPr>
      </w:pPr>
      <w:r>
        <w:t xml:space="preserve">The segregated account is reconciled against</w:t>
      </w:r>
      <w:r>
        <w:t xml:space="preserve"> </w:t>
      </w:r>
      <w:r>
        <w:rPr>
          <w:rStyle w:val="VerbatimChar"/>
        </w:rPr>
        <w:t xml:space="preserve">settlement payable</w:t>
      </w:r>
      <w:r>
        <w:t xml:space="preserve"> </w:t>
      </w:r>
      <w:r>
        <w:t xml:space="preserve">in the ledger</w:t>
      </w:r>
      <w:r>
        <w:t xml:space="preserve"> </w:t>
      </w:r>
      <w:r>
        <w:rPr>
          <w:b/>
          <w:bCs/>
        </w:rPr>
        <w:t xml:space="preserve">every business day</w:t>
      </w:r>
      <w:r>
        <w:t xml:space="preserve">, referencing</w:t>
      </w:r>
      <w:r>
        <w:t xml:space="preserve"> </w:t>
      </w:r>
      <w:r>
        <w:rPr>
          <w:rStyle w:val="VerbatimChar"/>
        </w:rPr>
        <w:t xml:space="preserve">ledger_entries(settlement)</w:t>
      </w:r>
      <w:r>
        <w:t xml:space="preserve"> </w:t>
      </w:r>
      <w:r>
        <w:t xml:space="preserve">(double-entry, append-only) per</w:t>
      </w:r>
      <w:r>
        <w:t xml:space="preserve"> </w:t>
      </w:r>
      <w:r>
        <w:rPr>
          <w:rStyle w:val="VerbatimChar"/>
        </w:rPr>
        <w:t xml:space="preserve">ARCHITECTURE.md</w:t>
      </w:r>
      <w:r>
        <w:t xml:space="preserve"> </w:t>
      </w:r>
      <w:r>
        <w:t xml:space="preserve">§6.</w:t>
      </w:r>
    </w:p>
    <w:bookmarkEnd w:id="110"/>
    <w:bookmarkStart w:id="111" w:name="roles-authority"/>
    <w:p>
      <w:pPr>
        <w:pStyle w:val="Heading3"/>
      </w:pPr>
      <w:r>
        <w:t xml:space="preserve">5.2 Roles &amp; Authority</w:t>
      </w:r>
    </w:p>
    <w:tbl>
      <w:tblPr>
        <w:tblStyle w:val="Table"/>
        <w:tblW w:type="pct" w:w="5000"/>
        <w:tblLayout w:type="fixed"/>
        <w:tblLook w:firstRow="1" w:lastRow="0" w:firstColumn="0" w:lastColumn="0" w:noHBand="0" w:noVBand="0" w:val="0020"/>
      </w:tblPr>
      <w:tblGrid>
        <w:gridCol w:w="1105"/>
        <w:gridCol w:w="4788"/>
        <w:gridCol w:w="2026"/>
      </w:tblGrid>
      <w:tr>
        <w:trPr>
          <w:tblHeader w:val="on"/>
        </w:trPr>
        <w:tc>
          <w:tcPr/>
          <w:p>
            <w:pPr>
              <w:pStyle w:val="Compact"/>
            </w:pPr>
            <w:r>
              <w:t xml:space="preserve">Role</w:t>
            </w:r>
          </w:p>
        </w:tc>
        <w:tc>
          <w:tcPr/>
          <w:p>
            <w:pPr>
              <w:pStyle w:val="Compact"/>
            </w:pPr>
            <w:r>
              <w:t xml:space="preserve">Financial responsibility</w:t>
            </w:r>
          </w:p>
        </w:tc>
        <w:tc>
          <w:tcPr/>
          <w:p>
            <w:pPr>
              <w:pStyle w:val="Compact"/>
            </w:pPr>
            <w:r>
              <w:t xml:space="preserve">Authority</w:t>
            </w:r>
          </w:p>
        </w:tc>
      </w:tr>
      <w:tr>
        <w:tc>
          <w:tcPr/>
          <w:p>
            <w:pPr>
              <w:pStyle w:val="Compact"/>
            </w:pPr>
            <w:r>
              <w:t xml:space="preserve">CFO / Head of Finance</w:t>
            </w:r>
          </w:p>
        </w:tc>
        <w:tc>
          <w:tcPr/>
          <w:p>
            <w:pPr>
              <w:pStyle w:val="Compact"/>
            </w:pPr>
            <w:r>
              <w:t xml:space="preserve">Capital policy, solvency/liquidity oversight, BOT reporting</w:t>
            </w:r>
          </w:p>
        </w:tc>
        <w:tc>
          <w:tcPr/>
          <w:p>
            <w:pPr>
              <w:pStyle w:val="Compact"/>
            </w:pPr>
            <w:r>
              <w:t xml:space="preserve">Highest approval; owns capital plan</w:t>
            </w:r>
          </w:p>
        </w:tc>
      </w:tr>
      <w:tr>
        <w:tc>
          <w:tcPr/>
          <w:p>
            <w:pPr>
              <w:pStyle w:val="Compact"/>
            </w:pPr>
            <w:r>
              <w:t xml:space="preserve">Treasury Manager</w:t>
            </w:r>
          </w:p>
        </w:tc>
        <w:tc>
          <w:tcPr/>
          <w:p>
            <w:pPr>
              <w:pStyle w:val="Compact"/>
            </w:pPr>
            <w:r>
              <w:t xml:space="preserve">Buffer management, segregated account, daily reconciliation</w:t>
            </w:r>
          </w:p>
        </w:tc>
        <w:tc>
          <w:tcPr/>
          <w:p>
            <w:pPr>
              <w:pStyle w:val="Compact"/>
            </w:pPr>
            <w:r>
              <w:t xml:space="preserve">Acts within CFO-defined limits</w:t>
            </w:r>
          </w:p>
        </w:tc>
      </w:tr>
      <w:tr>
        <w:tc>
          <w:tcPr/>
          <w:p>
            <w:pPr>
              <w:pStyle w:val="Compact"/>
            </w:pPr>
            <w:r>
              <w:t xml:space="preserve">Compliance Officer</w:t>
            </w:r>
          </w:p>
        </w:tc>
        <w:tc>
          <w:tcPr/>
          <w:p>
            <w:pPr>
              <w:pStyle w:val="Compact"/>
            </w:pPr>
            <w:r>
              <w:t xml:space="preserve">AML/CDD source-of-fund, AMLO reporting, BOT rules</w:t>
            </w:r>
          </w:p>
        </w:tc>
        <w:tc>
          <w:tcPr/>
          <w:p>
            <w:pPr>
              <w:pStyle w:val="Compact"/>
            </w:pPr>
            <w:r>
              <w:t xml:space="preserve">Veto over AML-risky transactions</w:t>
            </w:r>
          </w:p>
        </w:tc>
      </w:tr>
      <w:tr>
        <w:tc>
          <w:tcPr/>
          <w:p>
            <w:pPr>
              <w:pStyle w:val="Compact"/>
            </w:pPr>
            <w:r>
              <w:t xml:space="preserve">Internal Audit</w:t>
            </w:r>
          </w:p>
        </w:tc>
        <w:tc>
          <w:tcPr/>
          <w:p>
            <w:pPr>
              <w:pStyle w:val="Compact"/>
            </w:pPr>
            <w:r>
              <w:t xml:space="preserve">Audits segregation, reconciliation, capital adequacy</w:t>
            </w:r>
          </w:p>
        </w:tc>
        <w:tc>
          <w:tcPr/>
          <w:p>
            <w:pPr>
              <w:pStyle w:val="Compact"/>
            </w:pPr>
            <w:r>
              <w:t xml:space="preserve">Reports to Audit Committee</w:t>
            </w:r>
          </w:p>
        </w:tc>
      </w:tr>
      <w:tr>
        <w:tc>
          <w:tcPr/>
          <w:p>
            <w:pPr>
              <w:pStyle w:val="Compact"/>
            </w:pPr>
            <w:r>
              <w:t xml:space="preserve">External Auditor (CPA)</w:t>
            </w:r>
          </w:p>
        </w:tc>
        <w:tc>
          <w:tcPr/>
          <w:p>
            <w:pPr>
              <w:pStyle w:val="Compact"/>
            </w:pPr>
            <w:r>
              <w:t xml:space="preserve">Certifies financials &amp; projections</w:t>
            </w:r>
          </w:p>
        </w:tc>
        <w:tc>
          <w:tcPr/>
          <w:p>
            <w:pPr>
              <w:pStyle w:val="Compact"/>
            </w:pPr>
            <w:r>
              <w:t xml:space="preserve">Independent</w:t>
            </w:r>
          </w:p>
        </w:tc>
      </w:tr>
    </w:tbl>
    <w:bookmarkEnd w:id="111"/>
    <w:bookmarkStart w:id="112" w:name="chargeback-reserve-1"/>
    <w:p>
      <w:pPr>
        <w:pStyle w:val="Heading3"/>
      </w:pPr>
      <w:r>
        <w:t xml:space="preserve">5.3 Chargeback &amp; Reserve</w:t>
      </w:r>
    </w:p>
    <w:p>
      <w:pPr>
        <w:pStyle w:val="Compact"/>
        <w:numPr>
          <w:ilvl w:val="0"/>
          <w:numId w:val="1021"/>
        </w:numPr>
      </w:pPr>
      <w:r>
        <w:t xml:space="preserve">Dynamic chargeback reserve per merchant risk profile (rolling reserve for high-risk merchants).</w:t>
      </w:r>
    </w:p>
    <w:p>
      <w:pPr>
        <w:pStyle w:val="Compact"/>
        <w:numPr>
          <w:ilvl w:val="0"/>
          <w:numId w:val="1021"/>
        </w:numPr>
      </w:pPr>
      <w:r>
        <w:t xml:space="preserve">Chargeback liability linked to the dispute/chargeback workflow (</w:t>
      </w:r>
      <w:r>
        <w:rPr>
          <w:rStyle w:val="VerbatimChar"/>
        </w:rPr>
        <w:t xml:space="preserve">ROADMAP.md</w:t>
      </w:r>
      <w:r>
        <w:t xml:space="preserve"> </w:t>
      </w:r>
      <w:r>
        <w:t xml:space="preserve">Phase 3) and 3DS 2.x liability shift (EMV 3DS).</w:t>
      </w:r>
    </w:p>
    <w:p>
      <w:pPr>
        <w:pStyle w:val="Compact"/>
        <w:numPr>
          <w:ilvl w:val="0"/>
          <w:numId w:val="1021"/>
        </w:numPr>
      </w:pPr>
      <w:r>
        <w:t xml:space="preserve">Target chargeback rate &lt; 0.10%, significantly below card-scheme thresholds (Visa VDMP / Mastercard ECM).</w:t>
      </w:r>
    </w:p>
    <w:p>
      <w:r>
        <w:pict>
          <v:rect style="width:0;height:1.5pt" o:hralign="center" o:hrstd="t" o:hr="t"/>
        </w:pict>
      </w:r>
    </w:p>
    <w:bookmarkEnd w:id="112"/>
    <w:bookmarkEnd w:id="113"/>
    <w:bookmarkStart w:id="117" w:name="liquidity-solvency"/>
    <w:p>
      <w:pPr>
        <w:pStyle w:val="Heading2"/>
      </w:pPr>
      <w:r>
        <w:t xml:space="preserve">6. Liquidity &amp; Solvency</w:t>
      </w:r>
    </w:p>
    <w:bookmarkStart w:id="114" w:name="metrics-thresholds"/>
    <w:p>
      <w:pPr>
        <w:pStyle w:val="Heading3"/>
      </w:pPr>
      <w:r>
        <w:t xml:space="preserve">6.1 Metrics &amp; Thresholds</w:t>
      </w:r>
    </w:p>
    <w:tbl>
      <w:tblPr>
        <w:tblStyle w:val="Table"/>
        <w:tblW w:type="pct" w:w="5000"/>
        <w:tblLayout w:type="fixed"/>
        <w:tblLook w:firstRow="1" w:lastRow="0" w:firstColumn="0" w:lastColumn="0" w:noHBand="0" w:noVBand="0" w:val="0020"/>
      </w:tblPr>
      <w:tblGrid>
        <w:gridCol w:w="1712"/>
        <w:gridCol w:w="1926"/>
        <w:gridCol w:w="1712"/>
        <w:gridCol w:w="1498"/>
        <w:gridCol w:w="1070"/>
      </w:tblGrid>
      <w:tr>
        <w:trPr>
          <w:tblHeader w:val="on"/>
        </w:trPr>
        <w:tc>
          <w:tcPr/>
          <w:p>
            <w:pPr>
              <w:pStyle w:val="Compact"/>
            </w:pPr>
            <w:r>
              <w:t xml:space="preserve">Metric</w:t>
            </w:r>
          </w:p>
        </w:tc>
        <w:tc>
          <w:tcPr/>
          <w:p>
            <w:pPr>
              <w:pStyle w:val="Compact"/>
            </w:pPr>
            <w:r>
              <w:t xml:space="preserve">Formula</w:t>
            </w:r>
          </w:p>
        </w:tc>
        <w:tc>
          <w:tcPr/>
          <w:p>
            <w:pPr>
              <w:pStyle w:val="Compact"/>
            </w:pPr>
            <w:r>
              <w:t xml:space="preserve">Target</w:t>
            </w:r>
          </w:p>
        </w:tc>
        <w:tc>
          <w:tcPr/>
          <w:p>
            <w:pPr>
              <w:pStyle w:val="Compact"/>
            </w:pPr>
            <w:r>
              <w:t xml:space="preserve">Amber</w:t>
            </w:r>
          </w:p>
        </w:tc>
        <w:tc>
          <w:tcPr/>
          <w:p>
            <w:pPr>
              <w:pStyle w:val="Compact"/>
            </w:pPr>
            <w:r>
              <w:t xml:space="preserve">Red</w:t>
            </w:r>
          </w:p>
        </w:tc>
      </w:tr>
      <w:tr>
        <w:tc>
          <w:tcPr/>
          <w:p>
            <w:pPr>
              <w:pStyle w:val="Compact"/>
            </w:pPr>
            <w:r>
              <w:rPr>
                <w:b/>
                <w:bCs/>
              </w:rPr>
              <w:t xml:space="preserve">Capital adequacy</w:t>
            </w:r>
          </w:p>
        </w:tc>
        <w:tc>
          <w:tcPr/>
          <w:p>
            <w:pPr>
              <w:pStyle w:val="Compact"/>
            </w:pPr>
            <w:r>
              <w:t xml:space="preserve">Maintained capital / THB 50M minimum</w:t>
            </w:r>
          </w:p>
        </w:tc>
        <w:tc>
          <w:tcPr/>
          <w:p>
            <w:pPr>
              <w:pStyle w:val="Compact"/>
            </w:pPr>
            <w:r>
              <w:t xml:space="preserve">≥ 100%</w:t>
            </w:r>
          </w:p>
        </w:tc>
        <w:tc>
          <w:tcPr/>
          <w:p>
            <w:pPr>
              <w:pStyle w:val="Compact"/>
            </w:pPr>
            <w:r>
              <w:t xml:space="preserve">&lt; 90%</w:t>
            </w:r>
          </w:p>
        </w:tc>
        <w:tc>
          <w:tcPr/>
          <w:p>
            <w:pPr>
              <w:pStyle w:val="Compact"/>
            </w:pPr>
            <w:r>
              <w:t xml:space="preserve">&lt; 75% (BOT breach)</w:t>
            </w:r>
          </w:p>
        </w:tc>
      </w:tr>
      <w:tr>
        <w:tc>
          <w:tcPr/>
          <w:p>
            <w:pPr>
              <w:pStyle w:val="Compact"/>
            </w:pPr>
            <w:r>
              <w:rPr>
                <w:b/>
                <w:bCs/>
              </w:rPr>
              <w:t xml:space="preserve">Current ratio</w:t>
            </w:r>
          </w:p>
        </w:tc>
        <w:tc>
          <w:tcPr/>
          <w:p>
            <w:pPr>
              <w:pStyle w:val="Compact"/>
            </w:pPr>
            <w:r>
              <w:t xml:space="preserve">Current assets / current liabilities</w:t>
            </w:r>
          </w:p>
        </w:tc>
        <w:tc>
          <w:tcPr/>
          <w:p>
            <w:pPr>
              <w:pStyle w:val="Compact"/>
            </w:pPr>
            <w:r>
              <w:t xml:space="preserve">≥ 1.5</w:t>
            </w:r>
          </w:p>
        </w:tc>
        <w:tc>
          <w:tcPr/>
          <w:p>
            <w:pPr>
              <w:pStyle w:val="Compact"/>
            </w:pPr>
            <w:r>
              <w:t xml:space="preserve">&lt; 1.2</w:t>
            </w:r>
          </w:p>
        </w:tc>
        <w:tc>
          <w:tcPr/>
          <w:p>
            <w:pPr>
              <w:pStyle w:val="Compact"/>
            </w:pPr>
            <w:r>
              <w:t xml:space="preserve">&lt; 1.0</w:t>
            </w:r>
          </w:p>
        </w:tc>
      </w:tr>
      <w:tr>
        <w:tc>
          <w:tcPr/>
          <w:p>
            <w:pPr>
              <w:pStyle w:val="Compact"/>
            </w:pPr>
            <w:r>
              <w:rPr>
                <w:b/>
                <w:bCs/>
              </w:rPr>
              <w:t xml:space="preserve">Liquidity coverage (LCR-style)</w:t>
            </w:r>
          </w:p>
        </w:tc>
        <w:tc>
          <w:tcPr/>
          <w:p>
            <w:pPr>
              <w:pStyle w:val="Compact"/>
            </w:pPr>
            <w:r>
              <w:t xml:space="preserve">HQLA / net 30-day outflow</w:t>
            </w:r>
          </w:p>
        </w:tc>
        <w:tc>
          <w:tcPr/>
          <w:p>
            <w:pPr>
              <w:pStyle w:val="Compact"/>
            </w:pPr>
            <w:r>
              <w:t xml:space="preserve">≥ 1.2</w:t>
            </w:r>
          </w:p>
        </w:tc>
        <w:tc>
          <w:tcPr/>
          <w:p>
            <w:pPr>
              <w:pStyle w:val="Compact"/>
            </w:pPr>
            <w:r>
              <w:t xml:space="preserve">&lt; 1.1</w:t>
            </w:r>
          </w:p>
        </w:tc>
        <w:tc>
          <w:tcPr/>
          <w:p>
            <w:pPr>
              <w:pStyle w:val="Compact"/>
            </w:pPr>
            <w:r>
              <w:t xml:space="preserve">&lt; 1.0</w:t>
            </w:r>
          </w:p>
        </w:tc>
      </w:tr>
      <w:tr>
        <w:tc>
          <w:tcPr/>
          <w:p>
            <w:pPr>
              <w:pStyle w:val="Compact"/>
            </w:pPr>
            <w:r>
              <w:rPr>
                <w:b/>
                <w:bCs/>
              </w:rPr>
              <w:t xml:space="preserve">Segregation ratio</w:t>
            </w:r>
          </w:p>
        </w:tc>
        <w:tc>
          <w:tcPr/>
          <w:p>
            <w:pPr>
              <w:pStyle w:val="Compact"/>
            </w:pPr>
            <w:r>
              <w:t xml:space="preserve">Segregated balance / settlement payable</w:t>
            </w:r>
          </w:p>
        </w:tc>
        <w:tc>
          <w:tcPr/>
          <w:p>
            <w:pPr>
              <w:pStyle w:val="Compact"/>
            </w:pPr>
            <w:r>
              <w:t xml:space="preserve">= 100%</w:t>
            </w:r>
          </w:p>
        </w:tc>
        <w:tc>
          <w:tcPr/>
          <w:p>
            <w:pPr>
              <w:pStyle w:val="Compact"/>
            </w:pPr>
            <w:r>
              <w:t xml:space="preserve">&lt; 100%</w:t>
            </w:r>
          </w:p>
        </w:tc>
        <w:tc>
          <w:tcPr/>
          <w:p>
            <w:pPr>
              <w:pStyle w:val="Compact"/>
            </w:pPr>
            <w:r>
              <w:t xml:space="preserve">&lt; 100% (top up now)</w:t>
            </w:r>
          </w:p>
        </w:tc>
      </w:tr>
      <w:tr>
        <w:tc>
          <w:tcPr/>
          <w:p>
            <w:pPr>
              <w:pStyle w:val="Compact"/>
            </w:pPr>
            <w:r>
              <w:rPr>
                <w:b/>
                <w:bCs/>
              </w:rPr>
              <w:t xml:space="preserve">Cash runway</w:t>
            </w:r>
          </w:p>
        </w:tc>
        <w:tc>
          <w:tcPr/>
          <w:p>
            <w:pPr>
              <w:pStyle w:val="Compact"/>
            </w:pPr>
            <w:r>
              <w:t xml:space="preserve">Operating cash / monthly burn</w:t>
            </w:r>
          </w:p>
        </w:tc>
        <w:tc>
          <w:tcPr/>
          <w:p>
            <w:pPr>
              <w:pStyle w:val="Compact"/>
            </w:pPr>
            <w:r>
              <w:t xml:space="preserve">≥ 12 mo</w:t>
            </w:r>
          </w:p>
        </w:tc>
        <w:tc>
          <w:tcPr/>
          <w:p>
            <w:pPr>
              <w:pStyle w:val="Compact"/>
            </w:pPr>
            <w:r>
              <w:t xml:space="preserve">&lt; 9 mo</w:t>
            </w:r>
          </w:p>
        </w:tc>
        <w:tc>
          <w:tcPr/>
          <w:p>
            <w:pPr>
              <w:pStyle w:val="Compact"/>
            </w:pPr>
            <w:r>
              <w:t xml:space="preserve">&lt; 6 mo</w:t>
            </w:r>
          </w:p>
        </w:tc>
      </w:tr>
    </w:tbl>
    <w:bookmarkEnd w:id="114"/>
    <w:bookmarkStart w:id="115" w:name="stress-testing"/>
    <w:p>
      <w:pPr>
        <w:pStyle w:val="Heading3"/>
      </w:pPr>
      <w:r>
        <w:t xml:space="preserve">6.2 Stress Testing</w:t>
      </w:r>
    </w:p>
    <w:p>
      <w:pPr>
        <w:pStyle w:val="FirstParagraph"/>
      </w:pPr>
      <w:r>
        <w:t xml:space="preserve">Run at least semi-annually across:</w:t>
      </w:r>
    </w:p>
    <w:p>
      <w:pPr>
        <w:pStyle w:val="Compact"/>
        <w:numPr>
          <w:ilvl w:val="0"/>
          <w:numId w:val="1022"/>
        </w:numPr>
      </w:pPr>
      <w:r>
        <w:rPr>
          <w:b/>
          <w:bCs/>
        </w:rPr>
        <w:t xml:space="preserve">Settlement delay</w:t>
      </w:r>
      <w:r>
        <w:t xml:space="preserve"> </w:t>
      </w:r>
      <w:r>
        <w:t xml:space="preserve">— sponsor bank delays settlement by 5 business days → buffer + segregated account coverage.</w:t>
      </w:r>
    </w:p>
    <w:p>
      <w:pPr>
        <w:pStyle w:val="Compact"/>
        <w:numPr>
          <w:ilvl w:val="0"/>
          <w:numId w:val="1022"/>
        </w:numPr>
      </w:pPr>
      <w:r>
        <w:rPr>
          <w:b/>
          <w:bCs/>
        </w:rPr>
        <w:t xml:space="preserve">Chargeback spike</w:t>
      </w:r>
      <w:r>
        <w:t xml:space="preserve"> </w:t>
      </w:r>
      <w:r>
        <w:t xml:space="preserve">— chargebacks triple (0.30%) for 3 months → reserve adequacy.</w:t>
      </w:r>
    </w:p>
    <w:p>
      <w:pPr>
        <w:pStyle w:val="Compact"/>
        <w:numPr>
          <w:ilvl w:val="0"/>
          <w:numId w:val="1022"/>
        </w:numPr>
      </w:pPr>
      <w:r>
        <w:rPr>
          <w:b/>
          <w:bCs/>
        </w:rPr>
        <w:t xml:space="preserve">Revenue shortfall</w:t>
      </w:r>
      <w:r>
        <w:t xml:space="preserve"> </w:t>
      </w:r>
      <w:r>
        <w:t xml:space="preserve">— TPV 40% below Base → runway and capital adequacy.</w:t>
      </w:r>
    </w:p>
    <w:p>
      <w:pPr>
        <w:pStyle w:val="Compact"/>
        <w:numPr>
          <w:ilvl w:val="0"/>
          <w:numId w:val="1022"/>
        </w:numPr>
      </w:pPr>
      <w:r>
        <w:rPr>
          <w:b/>
          <w:bCs/>
        </w:rPr>
        <w:t xml:space="preserve">Fraud event</w:t>
      </w:r>
      <w:r>
        <w:t xml:space="preserve"> </w:t>
      </w:r>
      <w:r>
        <w:t xml:space="preserve">— single fraud loss of THB 5M → contingency reserve.</w:t>
      </w:r>
    </w:p>
    <w:p>
      <w:pPr>
        <w:pStyle w:val="Compact"/>
        <w:numPr>
          <w:ilvl w:val="0"/>
          <w:numId w:val="1022"/>
        </w:numPr>
      </w:pPr>
      <w:r>
        <w:rPr>
          <w:b/>
          <w:bCs/>
        </w:rPr>
        <w:t xml:space="preserve">Operational outage</w:t>
      </w:r>
      <w:r>
        <w:t xml:space="preserve"> </w:t>
      </w:r>
      <w:r>
        <w:t xml:space="preserve">— downtime impacting revenue + SLA penalties (availability ≥ 99.95%,</w:t>
      </w:r>
      <w:r>
        <w:t xml:space="preserve"> </w:t>
      </w:r>
      <w:r>
        <w:rPr>
          <w:rStyle w:val="VerbatimChar"/>
        </w:rPr>
        <w:t xml:space="preserve">ARCHITECTURE.md</w:t>
      </w:r>
      <w:r>
        <w:t xml:space="preserve"> </w:t>
      </w:r>
      <w:r>
        <w:t xml:space="preserve">§8).</w:t>
      </w:r>
    </w:p>
    <w:bookmarkEnd w:id="115"/>
    <w:bookmarkStart w:id="116" w:name="scenario-analysis"/>
    <w:p>
      <w:pPr>
        <w:pStyle w:val="Heading3"/>
      </w:pPr>
      <w:r>
        <w:t xml:space="preserve">6.3 Scenario Analysis</w:t>
      </w:r>
    </w:p>
    <w:tbl>
      <w:tblPr>
        <w:tblStyle w:val="Table"/>
        <w:tblW w:type="pct" w:w="5000"/>
        <w:tblLayout w:type="fixed"/>
        <w:tblLook w:firstRow="1" w:lastRow="0" w:firstColumn="0" w:lastColumn="0" w:noHBand="0" w:noVBand="0" w:val="0020"/>
      </w:tblPr>
      <w:tblGrid>
        <w:gridCol w:w="1237"/>
        <w:gridCol w:w="1608"/>
        <w:gridCol w:w="2351"/>
        <w:gridCol w:w="1608"/>
        <w:gridCol w:w="1113"/>
      </w:tblGrid>
      <w:tr>
        <w:trPr>
          <w:tblHeader w:val="on"/>
        </w:trPr>
        <w:tc>
          <w:tcPr/>
          <w:p>
            <w:pPr>
              <w:pStyle w:val="Compact"/>
            </w:pPr>
            <w:r>
              <w:t xml:space="preserve">Scenario</w:t>
            </w:r>
          </w:p>
        </w:tc>
        <w:tc>
          <w:tcPr/>
          <w:p>
            <w:pPr>
              <w:pStyle w:val="Compact"/>
            </w:pPr>
            <w:r>
              <w:t xml:space="preserve">TPV vs Base</w:t>
            </w:r>
          </w:p>
        </w:tc>
        <w:tc>
          <w:tcPr/>
          <w:p>
            <w:pPr>
              <w:pStyle w:val="Compact"/>
            </w:pPr>
            <w:r>
              <w:t xml:space="preserve">EBITDA break-even</w:t>
            </w:r>
          </w:p>
        </w:tc>
        <w:tc>
          <w:tcPr/>
          <w:p>
            <w:pPr>
              <w:pStyle w:val="Compact"/>
            </w:pPr>
            <w:r>
              <w:t xml:space="preserve">Lowest cash</w:t>
            </w:r>
          </w:p>
        </w:tc>
        <w:tc>
          <w:tcPr/>
          <w:p>
            <w:pPr>
              <w:pStyle w:val="Compact"/>
            </w:pPr>
            <w:r>
              <w:t xml:space="preserve">Comment</w:t>
            </w:r>
          </w:p>
        </w:tc>
      </w:tr>
      <w:tr>
        <w:tc>
          <w:tcPr/>
          <w:p>
            <w:pPr>
              <w:pStyle w:val="Compact"/>
            </w:pPr>
            <w:r>
              <w:rPr>
                <w:b/>
                <w:bCs/>
              </w:rPr>
              <w:t xml:space="preserve">Conservative</w:t>
            </w:r>
          </w:p>
        </w:tc>
        <w:tc>
          <w:tcPr/>
          <w:p>
            <w:pPr>
              <w:pStyle w:val="Compact"/>
            </w:pPr>
            <w:r>
              <w:t xml:space="preserve">-40%</w:t>
            </w:r>
          </w:p>
        </w:tc>
        <w:tc>
          <w:tcPr/>
          <w:p>
            <w:pPr>
              <w:pStyle w:val="Compact"/>
            </w:pPr>
            <w:r>
              <w:t xml:space="preserve">Y4</w:t>
            </w:r>
          </w:p>
        </w:tc>
        <w:tc>
          <w:tcPr/>
          <w:p>
            <w:pPr>
              <w:pStyle w:val="Compact"/>
            </w:pPr>
            <w:r>
              <w:t xml:space="preserve">~THB 2–3M (Y2–Y3)</w:t>
            </w:r>
          </w:p>
        </w:tc>
        <w:tc>
          <w:tcPr/>
          <w:p>
            <w:pPr>
              <w:pStyle w:val="Compact"/>
            </w:pPr>
            <w:r>
              <w:t xml:space="preserve">Needs ~THB 15–20M raise before Y2</w:t>
            </w:r>
          </w:p>
        </w:tc>
      </w:tr>
      <w:tr>
        <w:tc>
          <w:tcPr/>
          <w:p>
            <w:pPr>
              <w:pStyle w:val="Compact"/>
            </w:pPr>
            <w:r>
              <w:rPr>
                <w:b/>
                <w:bCs/>
              </w:rPr>
              <w:t xml:space="preserve">Base</w:t>
            </w:r>
          </w:p>
        </w:tc>
        <w:tc>
          <w:tcPr/>
          <w:p>
            <w:pPr>
              <w:pStyle w:val="Compact"/>
            </w:pPr>
            <w:r>
              <w:t xml:space="preserve">—</w:t>
            </w:r>
          </w:p>
        </w:tc>
        <w:tc>
          <w:tcPr/>
          <w:p>
            <w:pPr>
              <w:pStyle w:val="Compact"/>
            </w:pPr>
            <w:r>
              <w:t xml:space="preserve">Y3</w:t>
            </w:r>
          </w:p>
        </w:tc>
        <w:tc>
          <w:tcPr/>
          <w:p>
            <w:pPr>
              <w:pStyle w:val="Compact"/>
            </w:pPr>
            <w:r>
              <w:t xml:space="preserve">~THB 8.55M (Y2)</w:t>
            </w:r>
          </w:p>
        </w:tc>
        <w:tc>
          <w:tcPr/>
          <w:p>
            <w:pPr>
              <w:pStyle w:val="Compact"/>
            </w:pPr>
            <w:r>
              <w:t xml:space="preserve">Prepare a bridge by end of Y1</w:t>
            </w:r>
          </w:p>
        </w:tc>
      </w:tr>
      <w:tr>
        <w:tc>
          <w:tcPr/>
          <w:p>
            <w:pPr>
              <w:pStyle w:val="Compact"/>
            </w:pPr>
            <w:r>
              <w:rPr>
                <w:b/>
                <w:bCs/>
              </w:rPr>
              <w:t xml:space="preserve">Aggressive</w:t>
            </w:r>
          </w:p>
        </w:tc>
        <w:tc>
          <w:tcPr/>
          <w:p>
            <w:pPr>
              <w:pStyle w:val="Compact"/>
            </w:pPr>
            <w:r>
              <w:t xml:space="preserve">+50%</w:t>
            </w:r>
          </w:p>
        </w:tc>
        <w:tc>
          <w:tcPr/>
          <w:p>
            <w:pPr>
              <w:pStyle w:val="Compact"/>
            </w:pPr>
            <w:r>
              <w:t xml:space="preserve">Y2</w:t>
            </w:r>
          </w:p>
        </w:tc>
        <w:tc>
          <w:tcPr/>
          <w:p>
            <w:pPr>
              <w:pStyle w:val="Compact"/>
            </w:pPr>
            <w:r>
              <w:t xml:space="preserve">~THB 18M (Y2)</w:t>
            </w:r>
          </w:p>
        </w:tc>
        <w:tc>
          <w:tcPr/>
          <w:p>
            <w:pPr>
              <w:pStyle w:val="Compact"/>
            </w:pPr>
            <w:r>
              <w:t xml:space="preserve">May not need a raise</w:t>
            </w:r>
          </w:p>
        </w:tc>
      </w:tr>
    </w:tbl>
    <w:p>
      <w:pPr>
        <w:pStyle w:val="BlockText"/>
      </w:pPr>
      <w:r>
        <w:rPr>
          <w:b/>
          <w:bCs/>
        </w:rPr>
        <w:t xml:space="preserve">Liquidity conclusion:</w:t>
      </w:r>
      <w:r>
        <w:t xml:space="preserve"> </w:t>
      </w:r>
      <w:r>
        <w:t xml:space="preserve">In every scenario the</w:t>
      </w:r>
      <w:r>
        <w:t xml:space="preserve"> </w:t>
      </w:r>
      <w:r>
        <w:rPr>
          <w:b/>
          <w:bCs/>
        </w:rPr>
        <w:t xml:space="preserve">THB 37.5M regulatory buffer must remain fully intact</w:t>
      </w:r>
      <w:r>
        <w:t xml:space="preserve"> </w:t>
      </w:r>
      <w:r>
        <w:t xml:space="preserve">and never</w:t>
      </w:r>
      <w:r>
        <w:t xml:space="preserve"> </w:t>
      </w:r>
      <w:r>
        <w:t xml:space="preserve">offset operating losses. Operating liquidity gaps must be closed via capital/long-term debt raises, not by reducing minimum capital.</w:t>
      </w:r>
    </w:p>
    <w:p>
      <w:r>
        <w:pict>
          <v:rect style="width:0;height:1.5pt" o:hralign="center" o:hrstd="t" o:hr="t"/>
        </w:pict>
      </w:r>
    </w:p>
    <w:bookmarkEnd w:id="116"/>
    <w:bookmarkEnd w:id="117"/>
    <w:bookmarkStart w:id="118" w:name="governance-reporting-internal-controls"/>
    <w:p>
      <w:pPr>
        <w:pStyle w:val="Heading2"/>
      </w:pPr>
      <w:r>
        <w:t xml:space="preserve">7. Governance, Reporting &amp; Internal Controls</w:t>
      </w:r>
    </w:p>
    <w:tbl>
      <w:tblPr>
        <w:tblStyle w:val="Table"/>
        <w:tblW w:type="pct" w:w="5000"/>
        <w:tblLayout w:type="fixed"/>
        <w:tblLook w:firstRow="1" w:lastRow="0" w:firstColumn="0" w:lastColumn="0" w:noHBand="0" w:noVBand="0" w:val="0020"/>
      </w:tblPr>
      <w:tblGrid>
        <w:gridCol w:w="1712"/>
        <w:gridCol w:w="2354"/>
        <w:gridCol w:w="2354"/>
        <w:gridCol w:w="1498"/>
      </w:tblGrid>
      <w:tr>
        <w:trPr>
          <w:tblHeader w:val="on"/>
        </w:trPr>
        <w:tc>
          <w:tcPr/>
          <w:p>
            <w:pPr>
              <w:pStyle w:val="Compact"/>
            </w:pPr>
            <w:r>
              <w:t xml:space="preserve">Report</w:t>
            </w:r>
          </w:p>
        </w:tc>
        <w:tc>
          <w:tcPr/>
          <w:p>
            <w:pPr>
              <w:pStyle w:val="Compact"/>
            </w:pPr>
            <w:r>
              <w:t xml:space="preserve">Frequency</w:t>
            </w:r>
          </w:p>
        </w:tc>
        <w:tc>
          <w:tcPr/>
          <w:p>
            <w:pPr>
              <w:pStyle w:val="Compact"/>
            </w:pPr>
            <w:r>
              <w:t xml:space="preserve">Recipient</w:t>
            </w:r>
          </w:p>
        </w:tc>
        <w:tc>
          <w:tcPr/>
          <w:p>
            <w:pPr>
              <w:pStyle w:val="Compact"/>
            </w:pPr>
            <w:r>
              <w:t xml:space="preserve">Basis</w:t>
            </w:r>
          </w:p>
        </w:tc>
      </w:tr>
      <w:tr>
        <w:tc>
          <w:tcPr/>
          <w:p>
            <w:pPr>
              <w:pStyle w:val="Compact"/>
            </w:pPr>
            <w:r>
              <w:t xml:space="preserve">Capital maintenance (≥ 75%)</w:t>
            </w:r>
          </w:p>
        </w:tc>
        <w:tc>
          <w:tcPr/>
          <w:p>
            <w:pPr>
              <w:pStyle w:val="Compact"/>
            </w:pPr>
            <w:r>
              <w:t xml:space="preserve">Monthly + quarterly</w:t>
            </w:r>
          </w:p>
        </w:tc>
        <w:tc>
          <w:tcPr/>
          <w:p>
            <w:pPr>
              <w:pStyle w:val="Compact"/>
            </w:pPr>
            <w:r>
              <w:t xml:space="preserve">BOT (ธปท.)</w:t>
            </w:r>
          </w:p>
        </w:tc>
        <w:tc>
          <w:tcPr/>
          <w:p>
            <w:pPr>
              <w:pStyle w:val="Compact"/>
            </w:pPr>
            <w:r>
              <w:t xml:space="preserve">Payment Systems Act B.E. 2560</w:t>
            </w:r>
          </w:p>
        </w:tc>
      </w:tr>
      <w:tr>
        <w:tc>
          <w:tcPr/>
          <w:p>
            <w:pPr>
              <w:pStyle w:val="Compact"/>
            </w:pPr>
            <w:r>
              <w:t xml:space="preserve">Audited financial statements</w:t>
            </w:r>
          </w:p>
        </w:tc>
        <w:tc>
          <w:tcPr/>
          <w:p>
            <w:pPr>
              <w:pStyle w:val="Compact"/>
            </w:pPr>
            <w:r>
              <w:t xml:space="preserve">Annual</w:t>
            </w:r>
          </w:p>
        </w:tc>
        <w:tc>
          <w:tcPr/>
          <w:p>
            <w:pPr>
              <w:pStyle w:val="Compact"/>
            </w:pPr>
            <w:r>
              <w:t xml:space="preserve">BOT / DBD</w:t>
            </w:r>
          </w:p>
        </w:tc>
        <w:tc>
          <w:tcPr/>
          <w:p>
            <w:pPr>
              <w:pStyle w:val="Compact"/>
            </w:pPr>
            <w:r>
              <w:t xml:space="preserve">Thai accounting standards</w:t>
            </w:r>
          </w:p>
        </w:tc>
      </w:tr>
      <w:tr>
        <w:tc>
          <w:tcPr/>
          <w:p>
            <w:pPr>
              <w:pStyle w:val="Compact"/>
            </w:pPr>
            <w:r>
              <w:t xml:space="preserve">Segregated-account reconciliation</w:t>
            </w:r>
          </w:p>
        </w:tc>
        <w:tc>
          <w:tcPr/>
          <w:p>
            <w:pPr>
              <w:pStyle w:val="Compact"/>
            </w:pPr>
            <w:r>
              <w:t xml:space="preserve">Daily</w:t>
            </w:r>
          </w:p>
        </w:tc>
        <w:tc>
          <w:tcPr/>
          <w:p>
            <w:pPr>
              <w:pStyle w:val="Compact"/>
            </w:pPr>
            <w:r>
              <w:t xml:space="preserve">Treasury / Internal Audit</w:t>
            </w:r>
          </w:p>
        </w:tc>
        <w:tc>
          <w:tcPr/>
          <w:p>
            <w:pPr>
              <w:pStyle w:val="Compact"/>
            </w:pPr>
            <w:r>
              <w:t xml:space="preserve">Segregation rules</w:t>
            </w:r>
          </w:p>
        </w:tc>
      </w:tr>
      <w:tr>
        <w:tc>
          <w:tcPr/>
          <w:p>
            <w:pPr>
              <w:pStyle w:val="Compact"/>
            </w:pPr>
            <w:r>
              <w:t xml:space="preserve">Suspicious/cash transaction reports (STR/CTR)</w:t>
            </w:r>
          </w:p>
        </w:tc>
        <w:tc>
          <w:tcPr/>
          <w:p>
            <w:pPr>
              <w:pStyle w:val="Compact"/>
            </w:pPr>
            <w:r>
              <w:t xml:space="preserve">Event-driven</w:t>
            </w:r>
          </w:p>
        </w:tc>
        <w:tc>
          <w:tcPr/>
          <w:p>
            <w:pPr>
              <w:pStyle w:val="Compact"/>
            </w:pPr>
            <w:r>
              <w:t xml:space="preserve">AMLO (ปปง.)</w:t>
            </w:r>
          </w:p>
        </w:tc>
        <w:tc>
          <w:tcPr/>
          <w:p>
            <w:pPr>
              <w:pStyle w:val="Compact"/>
            </w:pPr>
            <w:r>
              <w:t xml:space="preserve">Anti-Money Laundering Act</w:t>
            </w:r>
          </w:p>
        </w:tc>
      </w:tr>
      <w:tr>
        <w:tc>
          <w:tcPr/>
          <w:p>
            <w:pPr>
              <w:pStyle w:val="Compact"/>
            </w:pPr>
            <w:r>
              <w:t xml:space="preserve">IT / cyber incidents</w:t>
            </w:r>
          </w:p>
        </w:tc>
        <w:tc>
          <w:tcPr/>
          <w:p>
            <w:pPr>
              <w:pStyle w:val="Compact"/>
            </w:pPr>
            <w:r>
              <w:t xml:space="preserve">Event-driven + periodic</w:t>
            </w:r>
          </w:p>
        </w:tc>
        <w:tc>
          <w:tcPr/>
          <w:p>
            <w:pPr>
              <w:pStyle w:val="Compact"/>
            </w:pPr>
            <w:r>
              <w:t xml:space="preserve">BOT</w:t>
            </w:r>
          </w:p>
        </w:tc>
        <w:tc>
          <w:tcPr/>
          <w:p>
            <w:pPr>
              <w:pStyle w:val="Compact"/>
            </w:pPr>
            <w:r>
              <w:t xml:space="preserve">BOT IT/cyber resilience notifications</w:t>
            </w:r>
          </w:p>
        </w:tc>
      </w:tr>
      <w:tr>
        <w:tc>
          <w:tcPr/>
          <w:p>
            <w:pPr>
              <w:pStyle w:val="Compact"/>
            </w:pPr>
            <w:r>
              <w:t xml:space="preserve">Personal data breach</w:t>
            </w:r>
          </w:p>
        </w:tc>
        <w:tc>
          <w:tcPr/>
          <w:p>
            <w:pPr>
              <w:pStyle w:val="Compact"/>
            </w:pPr>
            <w:r>
              <w:t xml:space="preserve">Within 72 hours</w:t>
            </w:r>
          </w:p>
        </w:tc>
        <w:tc>
          <w:tcPr/>
          <w:p>
            <w:pPr>
              <w:pStyle w:val="Compact"/>
            </w:pPr>
            <w:r>
              <w:t xml:space="preserve">PDPC</w:t>
            </w:r>
          </w:p>
        </w:tc>
        <w:tc>
          <w:tcPr/>
          <w:p>
            <w:pPr>
              <w:pStyle w:val="Compact"/>
            </w:pPr>
            <w:r>
              <w:t xml:space="preserve">PDPA B.E. 2562</w:t>
            </w:r>
          </w:p>
        </w:tc>
      </w:tr>
    </w:tbl>
    <w:p>
      <w:pPr>
        <w:pStyle w:val="BodyText"/>
      </w:pPr>
      <w:r>
        <w:rPr>
          <w:b/>
          <w:bCs/>
        </w:rPr>
        <w:t xml:space="preserve">Key internal controls:</w:t>
      </w:r>
      <w:r>
        <w:t xml:space="preserve"> </w:t>
      </w:r>
      <w:r>
        <w:t xml:space="preserve">dual control and split knowledge for moving buffer/reserve funds (consistent with PCI Req 3</w:t>
      </w:r>
      <w:r>
        <w:t xml:space="preserve"> </w:t>
      </w:r>
      <w:r>
        <w:t xml:space="preserve">key-management principles), maker-checker for payouts, and segregation of duties across Treasury / Compliance / Internal Audit.</w:t>
      </w:r>
    </w:p>
    <w:p>
      <w:r>
        <w:pict>
          <v:rect style="width:0;height:1.5pt" o:hralign="center" o:hrstd="t" o:hr="t"/>
        </w:pict>
      </w:r>
    </w:p>
    <w:bookmarkEnd w:id="118"/>
    <w:bookmarkStart w:id="119" w:name="assumptions-todo-summary"/>
    <w:p>
      <w:pPr>
        <w:pStyle w:val="Heading2"/>
      </w:pPr>
      <w:r>
        <w:t xml:space="preserve">8. Assumptions &amp; TODO — Summary</w:t>
      </w:r>
    </w:p>
    <w:tbl>
      <w:tblPr>
        <w:tblStyle w:val="Table"/>
        <w:tblW w:type="pct" w:w="5000"/>
        <w:tblLayout w:type="fixed"/>
        <w:tblLook w:firstRow="1" w:lastRow="0" w:firstColumn="0" w:lastColumn="0" w:noHBand="0" w:noVBand="0" w:val="0020"/>
      </w:tblPr>
      <w:tblGrid>
        <w:gridCol w:w="594"/>
        <w:gridCol w:w="1188"/>
        <w:gridCol w:w="1386"/>
        <w:gridCol w:w="4752"/>
      </w:tblGrid>
      <w:tr>
        <w:trPr>
          <w:tblHeader w:val="on"/>
        </w:trPr>
        <w:tc>
          <w:tcPr/>
          <w:p>
            <w:pPr>
              <w:pStyle w:val="Compact"/>
            </w:pPr>
            <w:r>
              <w:t xml:space="preserve">#</w:t>
            </w:r>
          </w:p>
        </w:tc>
        <w:tc>
          <w:tcPr/>
          <w:p>
            <w:pPr>
              <w:pStyle w:val="Compact"/>
            </w:pPr>
            <w:r>
              <w:t xml:space="preserve">Item</w:t>
            </w:r>
          </w:p>
        </w:tc>
        <w:tc>
          <w:tcPr/>
          <w:p>
            <w:pPr>
              <w:pStyle w:val="Compact"/>
            </w:pPr>
            <w:r>
              <w:t xml:space="preserve">Owner</w:t>
            </w:r>
          </w:p>
        </w:tc>
        <w:tc>
          <w:tcPr/>
          <w:p>
            <w:pPr>
              <w:pStyle w:val="Compact"/>
            </w:pPr>
            <w:r>
              <w:t xml:space="preserve">Deadline (per ROADMAP)</w:t>
            </w:r>
          </w:p>
        </w:tc>
      </w:tr>
      <w:tr>
        <w:tc>
          <w:tcPr/>
          <w:p>
            <w:pPr>
              <w:pStyle w:val="Compact"/>
            </w:pPr>
            <w:r>
              <w:t xml:space="preserve">A1</w:t>
            </w:r>
          </w:p>
        </w:tc>
        <w:tc>
          <w:tcPr/>
          <w:p>
            <w:pPr>
              <w:pStyle w:val="Compact"/>
            </w:pPr>
            <w:r>
              <w:t xml:space="preserve">Shareholding structure + nationality (FBL?)</w:t>
            </w:r>
          </w:p>
        </w:tc>
        <w:tc>
          <w:tcPr/>
          <w:p>
            <w:pPr>
              <w:pStyle w:val="Compact"/>
            </w:pPr>
            <w:r>
              <w:t xml:space="preserve">Legal / Founders</w:t>
            </w:r>
          </w:p>
        </w:tc>
        <w:tc>
          <w:tcPr/>
          <w:p>
            <w:pPr>
              <w:pStyle w:val="Compact"/>
            </w:pPr>
            <w:r>
              <w:t xml:space="preserve">Before BOT filing (45-day entity prep)</w:t>
            </w:r>
          </w:p>
        </w:tc>
      </w:tr>
      <w:tr>
        <w:tc>
          <w:tcPr/>
          <w:p>
            <w:pPr>
              <w:pStyle w:val="Compact"/>
            </w:pPr>
            <w:r>
              <w:t xml:space="preserve">A2</w:t>
            </w:r>
          </w:p>
        </w:tc>
        <w:tc>
          <w:tcPr/>
          <w:p>
            <w:pPr>
              <w:pStyle w:val="Compact"/>
            </w:pPr>
            <w:r>
              <w:t xml:space="preserve">Actual share payment amounts/timing + source of funds (AML)</w:t>
            </w:r>
          </w:p>
        </w:tc>
        <w:tc>
          <w:tcPr/>
          <w:p>
            <w:pPr>
              <w:pStyle w:val="Compact"/>
            </w:pPr>
            <w:r>
              <w:t xml:space="preserve">Finance / Compliance</w:t>
            </w:r>
          </w:p>
        </w:tc>
        <w:tc>
          <w:tcPr/>
          <w:p>
            <w:pPr>
              <w:pStyle w:val="Compact"/>
            </w:pPr>
            <w:r>
              <w:t xml:space="preserve">Before filing</w:t>
            </w:r>
          </w:p>
        </w:tc>
      </w:tr>
      <w:tr>
        <w:tc>
          <w:tcPr/>
          <w:p>
            <w:pPr>
              <w:pStyle w:val="Compact"/>
            </w:pPr>
            <w:r>
              <w:t xml:space="preserve">A3</w:t>
            </w:r>
          </w:p>
        </w:tc>
        <w:tc>
          <w:tcPr/>
          <w:p>
            <w:pPr>
              <w:pStyle w:val="Compact"/>
            </w:pPr>
            <w:r>
              <w:t xml:space="preserve">Sponsor-bank contract + actual MDR/interchange</w:t>
            </w:r>
          </w:p>
        </w:tc>
        <w:tc>
          <w:tcPr/>
          <w:p>
            <w:pPr>
              <w:pStyle w:val="Compact"/>
            </w:pPr>
            <w:r>
              <w:t xml:space="preserve">Product / BD</w:t>
            </w:r>
          </w:p>
        </w:tc>
        <w:tc>
          <w:tcPr/>
          <w:p>
            <w:pPr>
              <w:pStyle w:val="Compact"/>
            </w:pPr>
            <w:r>
              <w:t xml:space="preserve">Critical path (Track B)</w:t>
            </w:r>
          </w:p>
        </w:tc>
      </w:tr>
      <w:tr>
        <w:tc>
          <w:tcPr/>
          <w:p>
            <w:pPr>
              <w:pStyle w:val="Compact"/>
            </w:pPr>
            <w:r>
              <w:t xml:space="preserve">A4</w:t>
            </w:r>
          </w:p>
        </w:tc>
        <w:tc>
          <w:tcPr/>
          <w:p>
            <w:pPr>
              <w:pStyle w:val="Compact"/>
            </w:pPr>
            <w:r>
              <w:t xml:space="preserve">QSA vendor + PCI-DSS L1 scope/pricing</w:t>
            </w:r>
          </w:p>
        </w:tc>
        <w:tc>
          <w:tcPr/>
          <w:p>
            <w:pPr>
              <w:pStyle w:val="Compact"/>
            </w:pPr>
            <w:r>
              <w:t xml:space="preserve">Security / DevSecOps</w:t>
            </w:r>
          </w:p>
        </w:tc>
        <w:tc>
          <w:tcPr/>
          <w:p>
            <w:pPr>
              <w:pStyle w:val="Compact"/>
            </w:pPr>
            <w:r>
              <w:t xml:space="preserve">Phase 4 (Q4 2026)</w:t>
            </w:r>
          </w:p>
        </w:tc>
      </w:tr>
      <w:tr>
        <w:tc>
          <w:tcPr/>
          <w:p>
            <w:pPr>
              <w:pStyle w:val="Compact"/>
            </w:pPr>
            <w:r>
              <w:t xml:space="preserve">A5</w:t>
            </w:r>
          </w:p>
        </w:tc>
        <w:tc>
          <w:tcPr/>
          <w:p>
            <w:pPr>
              <w:pStyle w:val="Compact"/>
            </w:pPr>
            <w:r>
              <w:t xml:space="preserve">Top-up/bridge plan before break-even</w:t>
            </w:r>
          </w:p>
        </w:tc>
        <w:tc>
          <w:tcPr/>
          <w:p>
            <w:pPr>
              <w:pStyle w:val="Compact"/>
            </w:pPr>
            <w:r>
              <w:t xml:space="preserve">CFO / Board</w:t>
            </w:r>
          </w:p>
        </w:tc>
        <w:tc>
          <w:tcPr/>
          <w:p>
            <w:pPr>
              <w:pStyle w:val="Compact"/>
            </w:pPr>
            <w:r>
              <w:t xml:space="preserve">End of Y1</w:t>
            </w:r>
          </w:p>
        </w:tc>
      </w:tr>
      <w:tr>
        <w:tc>
          <w:tcPr/>
          <w:p>
            <w:pPr>
              <w:pStyle w:val="Compact"/>
            </w:pPr>
            <w:r>
              <w:t xml:space="preserve">A6</w:t>
            </w:r>
          </w:p>
        </w:tc>
        <w:tc>
          <w:tcPr/>
          <w:p>
            <w:pPr>
              <w:pStyle w:val="Compact"/>
            </w:pPr>
            <w:r>
              <w:t xml:space="preserve">Bank for segregated account + trust terms</w:t>
            </w:r>
          </w:p>
        </w:tc>
        <w:tc>
          <w:tcPr/>
          <w:p>
            <w:pPr>
              <w:pStyle w:val="Compact"/>
            </w:pPr>
            <w:r>
              <w:t xml:space="preserve">Treasury / Legal</w:t>
            </w:r>
          </w:p>
        </w:tc>
        <w:tc>
          <w:tcPr/>
          <w:p>
            <w:pPr>
              <w:pStyle w:val="Compact"/>
            </w:pPr>
            <w:r>
              <w:t xml:space="preserve">Before go-live</w:t>
            </w:r>
          </w:p>
        </w:tc>
      </w:tr>
    </w:tbl>
    <w:p>
      <w:r>
        <w:pict>
          <v:rect style="width:0;height:1.5pt" o:hralign="center" o:hrstd="t" o:hr="t"/>
        </w:pict>
      </w:r>
    </w:p>
    <w:p>
      <w:pPr>
        <w:pStyle w:val="FirstParagraph"/>
      </w:pPr>
      <w:r>
        <w:rPr>
          <w:i/>
          <w:iCs/>
        </w:rPr>
        <w:t xml:space="preserve">End of document —</w:t>
      </w:r>
      <w:r>
        <w:rPr>
          <w:i/>
          <w:iCs/>
        </w:rPr>
        <w:t xml:space="preserve"> </w:t>
      </w:r>
      <w:r>
        <w:rPr>
          <w:rStyle w:val="VerbatimChar"/>
          <w:i/>
          <w:iCs/>
        </w:rPr>
        <w:t xml:space="preserve">docs/compliance/02-financial-projections-capital.md</w:t>
      </w:r>
    </w:p>
    <w:p>
      <w:r>
        <w:br w:type="page"/>
      </w:r>
    </w:p>
    <w:bookmarkEnd w:id="119"/>
    <w:bookmarkEnd w:id="120"/>
    <w:bookmarkStart w:id="146" w:name="X994ce09926b14ee5022fb5f156edf746322d875"/>
    <w:p>
      <w:pPr>
        <w:pStyle w:val="Heading1"/>
      </w:pPr>
      <w:r>
        <w:t xml:space="preserve">โครงสร้างผู้ถือหุ้น คณะกรรมการ และ fit &amp; proper (ไทย)</w:t>
      </w:r>
    </w:p>
    <w:p>
      <w:pPr>
        <w:pStyle w:val="BlockText"/>
      </w:pPr>
      <w:r>
        <w:t xml:space="preserve">เอกสารประกอบคำขอรับใบอนุญาต</w:t>
      </w:r>
      <w:r>
        <w:t xml:space="preserve"> </w:t>
      </w:r>
      <w:r>
        <w:rPr>
          <w:b/>
          <w:bCs/>
        </w:rPr>
        <w:t xml:space="preserve">การให้บริการรับชำระเงินด้วยวิธีการทางอิเล็กทรอนิกส์ (Acquiring — Full Acquiring Gateway)</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 ทุนจดทะเบียนชำระแล้ว 50 ล้านบาท</w:t>
      </w:r>
      <w:r>
        <w:t xml:space="preserve"> </w:t>
      </w:r>
      <w:r>
        <w:t xml:space="preserve">เอกสารชุด:</w:t>
      </w:r>
      <w:r>
        <w:t xml:space="preserve"> </w:t>
      </w:r>
      <w:r>
        <w:rPr>
          <w:rStyle w:val="VerbatimChar"/>
        </w:rPr>
        <w:t xml:space="preserve">03-shareholder-board-fit-proper.md</w:t>
      </w:r>
      <w:r>
        <w:t xml:space="preserve"> </w:t>
      </w:r>
      <w:r>
        <w:t xml:space="preserve">— เชื่อมโยงกับ</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 </w:t>
      </w:r>
      <w:r>
        <w:rPr>
          <w:b/>
          <w:bCs/>
        </w:rPr>
        <w:t xml:space="preserve">ข้อสงวน:</w:t>
      </w:r>
      <w:r>
        <w:t xml:space="preserve"> </w:t>
      </w:r>
      <w:r>
        <w:t xml:space="preserve">เอกสารนี้เป็นแม่แบบเชิงปฏิบัติ ไม่ใช่คำแนะนำทางกฎหมาย ต้องให้ที่ปรึกษากฎหมายด้านใบอนุญาต ธปท. ทวนสอบก่อนยื่นจริง</w:t>
      </w:r>
    </w:p>
    <w:p>
      <w:r>
        <w:pict>
          <v:rect style="width:0;height:1.5pt" o:hralign="center" o:hrstd="t" o:hr="t"/>
        </w:pict>
      </w:r>
    </w:p>
    <w:p>
      <w:pPr>
        <w:pStyle w:val="BlockText"/>
      </w:pPr>
      <w:r>
        <w:rPr>
          <w:b/>
          <w:bCs/>
        </w:rPr>
        <w:t xml:space="preserve">⚠️ สมมติฐาน / รายการค้าง (TODO) ที่ต้องปิดก่อนยื่นจริง</w:t>
      </w:r>
    </w:p>
    <w:p>
      <w:pPr>
        <w:pStyle w:val="BlockText"/>
      </w:pPr>
      <w:r>
        <w:t xml:space="preserve">รายการต่อไปนี้เป็น</w:t>
      </w:r>
      <w:r>
        <w:t xml:space="preserve"> </w:t>
      </w:r>
      <w:r>
        <w:rPr>
          <w:i/>
          <w:iCs/>
        </w:rPr>
        <w:t xml:space="preserve">ตัวเลข/คู่ค้าจริง</w:t>
      </w:r>
      <w:r>
        <w:t xml:space="preserve"> </w:t>
      </w:r>
      <w:r>
        <w:t xml:space="preserve">ที่ยังไม่ผูกในเอกสารนี้ ห้ามกรอกด้วยข้อมูลสมมติเมื่อยื่น ธปท.</w:t>
      </w:r>
    </w:p>
    <w:p>
      <w:pPr>
        <w:pStyle w:val="Compact"/>
        <w:numPr>
          <w:ilvl w:val="0"/>
          <w:numId w:val="1023"/>
        </w:numPr>
      </w:pPr>
      <w:r>
        <w:rPr>
          <w:b/>
          <w:bCs/>
        </w:rPr>
        <w:t xml:space="preserve">[TODO-CAP]</w:t>
      </w:r>
      <w:r>
        <w:t xml:space="preserve"> </w:t>
      </w:r>
      <w:r>
        <w:t xml:space="preserve">ยอดทุนจดทะเบียนชำระแล้วจริง และหลักฐานการชำระ (บัญชีเงินฝาก/หนังสือรับรองธนาคาร) — ต้องไม่ต่ำกว่า</w:t>
      </w:r>
      <w:r>
        <w:t xml:space="preserve"> </w:t>
      </w:r>
      <w:r>
        <w:rPr>
          <w:b/>
          <w:bCs/>
        </w:rPr>
        <w:t xml:space="preserve">50,000,000 บาท</w:t>
      </w:r>
      <w:r>
        <w:t xml:space="preserve"> </w:t>
      </w:r>
      <w:r>
        <w:t xml:space="preserve">และคงไว้</w:t>
      </w:r>
      <w:r>
        <w:t xml:space="preserve"> </w:t>
      </w:r>
      <w:r>
        <w:rPr>
          <w:b/>
          <w:bCs/>
        </w:rPr>
        <w:t xml:space="preserve">≥ 75%</w:t>
      </w:r>
      <w:r>
        <w:t xml:space="preserve"> </w:t>
      </w:r>
      <w:r>
        <w:t xml:space="preserve">ตลอดการดำเนินงาน</w:t>
      </w:r>
    </w:p>
    <w:p>
      <w:pPr>
        <w:pStyle w:val="Compact"/>
        <w:numPr>
          <w:ilvl w:val="0"/>
          <w:numId w:val="1023"/>
        </w:numPr>
      </w:pPr>
      <w:r>
        <w:rPr>
          <w:b/>
          <w:bCs/>
        </w:rPr>
        <w:t xml:space="preserve">[TODO-SPONSOR]</w:t>
      </w:r>
      <w:r>
        <w:t xml:space="preserve"> </w:t>
      </w:r>
      <w:r>
        <w:t xml:space="preserve">ธนาคารผู้สนับสนุน (sponsor bank) / คู่สัญญา card scheme (Visa/Mastercard) — ยังไม่สรุป มีผลต่อโครงสร้างผู้ถือหุ้นเชิงกลยุทธ์และเงื่อนไข scheme</w:t>
      </w:r>
    </w:p>
    <w:p>
      <w:pPr>
        <w:pStyle w:val="Compact"/>
        <w:numPr>
          <w:ilvl w:val="0"/>
          <w:numId w:val="1023"/>
        </w:numPr>
      </w:pPr>
      <w:r>
        <w:rPr>
          <w:b/>
          <w:bCs/>
        </w:rPr>
        <w:t xml:space="preserve">[TODO-QSA]</w:t>
      </w:r>
      <w:r>
        <w:t xml:space="preserve"> </w:t>
      </w:r>
      <w:r>
        <w:t xml:space="preserve">ผู้ประเมิน PCI-DSS (QSA vendor) ที่จะออก RoC — ยังไม่เลือก (ดู</w:t>
      </w:r>
      <w:r>
        <w:t xml:space="preserve"> </w:t>
      </w:r>
      <w:r>
        <w:rPr>
          <w:rStyle w:val="VerbatimChar"/>
        </w:rPr>
        <w:t xml:space="preserve">ARCHITECTURE.md</w:t>
      </w:r>
      <w:r>
        <w:t xml:space="preserve"> </w:t>
      </w:r>
      <w:r>
        <w:t xml:space="preserve">§7)</w:t>
      </w:r>
    </w:p>
    <w:p>
      <w:pPr>
        <w:pStyle w:val="Compact"/>
        <w:numPr>
          <w:ilvl w:val="0"/>
          <w:numId w:val="1023"/>
        </w:numPr>
      </w:pPr>
      <w:r>
        <w:rPr>
          <w:b/>
          <w:bCs/>
        </w:rPr>
        <w:t xml:space="preserve">[TODO-UBO]</w:t>
      </w:r>
      <w:r>
        <w:t xml:space="preserve"> </w:t>
      </w:r>
      <w:r>
        <w:t xml:space="preserve">รายชื่อ UBO จริง สัดส่วนการถือหุ้นจริง และสายการถือหุ้น (ownership chain) จนถึงบุคคลธรรมดา — ต้องยืนยันด้วยบัญชีรายชื่อผู้ถือหุ้น (บอจ.5) ณ วันยื่น</w:t>
      </w:r>
    </w:p>
    <w:p>
      <w:pPr>
        <w:pStyle w:val="Compact"/>
        <w:numPr>
          <w:ilvl w:val="0"/>
          <w:numId w:val="1023"/>
        </w:numPr>
      </w:pPr>
      <w:r>
        <w:rPr>
          <w:b/>
          <w:bCs/>
        </w:rPr>
        <w:t xml:space="preserve">[TODO-FBL]</w:t>
      </w:r>
      <w:r>
        <w:t xml:space="preserve"> </w:t>
      </w:r>
      <w:r>
        <w:t xml:space="preserve">กรณีผู้ถือหุ้นต่างชาติเกินเกณฑ์ ต้องประเมินความจำเป็นของ Foreign Business License (FBL) ตาม พ.ร.บ. การประกอบธุรกิจของคนต่างด้าว พ.ศ. 2542</w:t>
      </w:r>
    </w:p>
    <w:p>
      <w:pPr>
        <w:pStyle w:val="Compact"/>
        <w:numPr>
          <w:ilvl w:val="0"/>
          <w:numId w:val="1023"/>
        </w:numPr>
      </w:pPr>
      <w:r>
        <w:rPr>
          <w:b/>
          <w:bCs/>
        </w:rPr>
        <w:t xml:space="preserve">[TODO-BOARD]</w:t>
      </w:r>
      <w:r>
        <w:t xml:space="preserve"> </w:t>
      </w:r>
      <w:r>
        <w:t xml:space="preserve">รายชื่อกรรมการ/ผู้บริหารระดับสูงจริง พร้อมประวัติและเอกสาร fit &amp; proper ครบชุด</w:t>
      </w:r>
    </w:p>
    <w:p>
      <w:r>
        <w:pict>
          <v:rect style="width:0;height:1.5pt" o:hralign="center" o:hrstd="t" o:hr="t"/>
        </w:pict>
      </w:r>
    </w:p>
    <w:bookmarkStart w:id="121" w:name="วตถประสงคและขอบเขต"/>
    <w:p>
      <w:pPr>
        <w:pStyle w:val="Heading2"/>
      </w:pPr>
      <w:r>
        <w:t xml:space="preserve">1. วัตถุประสงค์และขอบเขต</w:t>
      </w:r>
    </w:p>
    <w:p>
      <w:pPr>
        <w:pStyle w:val="FirstParagraph"/>
      </w:pPr>
      <w:r>
        <w:t xml:space="preserve">เอกสารนี้แสดงต่อ ธปท. ว่า</w:t>
      </w:r>
      <w:r>
        <w:t xml:space="preserve"> </w:t>
      </w:r>
      <w:r>
        <w:rPr>
          <w:b/>
          <w:bCs/>
        </w:rPr>
        <w:t xml:space="preserve">[บริษัท / Company]</w:t>
      </w:r>
      <w:r>
        <w:t xml:space="preserve"> </w:t>
      </w:r>
      <w:r>
        <w:t xml:space="preserve">มี (1) โครงสร้างผู้ถือหุ้นที่โปร่งใสและตรวจสอบได้ถึงผู้รับประโยชน์ที่แท้จริง (UBO) (2) คณะกรรมการและผู้บริหารที่มีองค์ประกอบเหมาะสม มีความเป็นอิสระ และมีความรู้ความสามารถ (3) กระบวนการประเมินคุณสมบัติและลักษณะต้องห้าม (fit &amp; proper) ที่เป็นระบบ และ (4) การควบคุมการเปลี่ยนแปลงผู้ถือหุ้น/กรรมการอย่างต่อเนื่องหลังได้รับใบอนุญาต</w:t>
      </w:r>
    </w:p>
    <w:p>
      <w:pPr>
        <w:pStyle w:val="BodyText"/>
      </w:pPr>
      <w:r>
        <w:t xml:space="preserve">ครอบคลุมสอดคล้องกับ:</w:t>
      </w:r>
      <w:r>
        <w:t xml:space="preserve"> </w:t>
      </w:r>
      <w:r>
        <w:t xml:space="preserve">-</w:t>
      </w:r>
      <w:r>
        <w:t xml:space="preserve"> </w:t>
      </w:r>
      <w:r>
        <w:rPr>
          <w:b/>
          <w:bCs/>
        </w:rPr>
        <w:t xml:space="preserve">พ.ร.บ. ระบบการชำระเงิน พ.ศ. 2560</w:t>
      </w:r>
      <w:r>
        <w:t xml:space="preserve"> </w:t>
      </w:r>
      <w:r>
        <w:t xml:space="preserve">และประกาศ ธปท. ที่เกี่ยวข้อง (ธรรมาภิบาล, ผู้มีอำนาจควบคุม, การรายงานการเปลี่ยนแปลง)</w:t>
      </w:r>
      <w:r>
        <w:t xml:space="preserve"> </w:t>
      </w:r>
      <w:r>
        <w:t xml:space="preserve">-</w:t>
      </w:r>
      <w:r>
        <w:t xml:space="preserve"> </w:t>
      </w:r>
      <w:r>
        <w:rPr>
          <w:b/>
          <w:bCs/>
        </w:rPr>
        <w:t xml:space="preserve">พ.ร.บ. ป้องกันและปราบปรามการฟอกเงิน</w:t>
      </w:r>
      <w:r>
        <w:t xml:space="preserve"> </w:t>
      </w:r>
      <w:r>
        <w:t xml:space="preserve">— สำนักงาน ปปง. (AMLO): การระบุ UBO ตามหลัก CDD</w:t>
      </w:r>
      <w:r>
        <w:t xml:space="preserve"> </w:t>
      </w:r>
      <w:r>
        <w:t xml:space="preserve">-</w:t>
      </w:r>
      <w:r>
        <w:t xml:space="preserve"> </w:t>
      </w:r>
      <w:r>
        <w:rPr>
          <w:b/>
          <w:bCs/>
        </w:rPr>
        <w:t xml:space="preserve">พ.ร.บ. คุ้มครองข้อมูลส่วนบุคคล พ.ศ. 2562 (PDPA)</w:t>
      </w:r>
      <w:r>
        <w:t xml:space="preserve"> </w:t>
      </w:r>
      <w:r>
        <w:t xml:space="preserve">— สำนักงาน PDPC: การเก็บ/ใช้ข้อมูลส่วนบุคคลของกรรมการ/ผู้ถือหุ้น</w:t>
      </w:r>
      <w:r>
        <w:t xml:space="preserve"> </w:t>
      </w:r>
      <w:r>
        <w:t xml:space="preserve">-</w:t>
      </w:r>
      <w:r>
        <w:t xml:space="preserve"> </w:t>
      </w:r>
      <w:r>
        <w:rPr>
          <w:b/>
          <w:bCs/>
        </w:rPr>
        <w:t xml:space="preserve">PCI-DSS v4.0</w:t>
      </w:r>
      <w:r>
        <w:t xml:space="preserve"> </w:t>
      </w:r>
      <w:r>
        <w:t xml:space="preserve">— ในส่วนบุคลากรที่เข้าถึงสภาพแวดล้อมข้อมูลบัตร (CDE) ต้องผ่านการตรวจประวัติ (Req. 12.x, personnel screening)</w:t>
      </w:r>
    </w:p>
    <w:p>
      <w:r>
        <w:pict>
          <v:rect style="width:0;height:1.5pt" o:hralign="center" o:hrstd="t" o:hr="t"/>
        </w:pict>
      </w:r>
    </w:p>
    <w:bookmarkEnd w:id="121"/>
    <w:bookmarkStart w:id="125" w:name="โครงสรางผถอหน-shareholder-structure"/>
    <w:p>
      <w:pPr>
        <w:pStyle w:val="Heading2"/>
      </w:pPr>
      <w:r>
        <w:t xml:space="preserve">2. โครงสร้างผู้ถือหุ้น (Shareholder Structure)</w:t>
      </w:r>
    </w:p>
    <w:bookmarkStart w:id="122" w:name="หลกการ"/>
    <w:p>
      <w:pPr>
        <w:pStyle w:val="Heading3"/>
      </w:pPr>
      <w:r>
        <w:t xml:space="preserve">2.1 หลักการ</w:t>
      </w:r>
    </w:p>
    <w:p>
      <w:pPr>
        <w:pStyle w:val="Compact"/>
        <w:numPr>
          <w:ilvl w:val="0"/>
          <w:numId w:val="1024"/>
        </w:numPr>
      </w:pPr>
      <w:r>
        <w:t xml:space="preserve">ทุนจดทะเบียนชำระแล้ว</w:t>
      </w:r>
      <w:r>
        <w:t xml:space="preserve"> </w:t>
      </w:r>
      <w:r>
        <w:rPr>
          <w:b/>
          <w:bCs/>
        </w:rPr>
        <w:t xml:space="preserve">≥ 50,000,000 บาท</w:t>
      </w:r>
      <w:r>
        <w:t xml:space="preserve"> </w:t>
      </w:r>
      <w:r>
        <w:t xml:space="preserve">(เกณฑ์บริการ Acquiring ตาม</w:t>
      </w:r>
      <w:r>
        <w:t xml:space="preserve"> </w:t>
      </w:r>
      <w:r>
        <w:rPr>
          <w:rStyle w:val="VerbatimChar"/>
        </w:rPr>
        <w:t xml:space="preserve">COMPLIANCE-TH.md</w:t>
      </w:r>
      <w:r>
        <w:t xml:space="preserve"> </w:t>
      </w:r>
      <w:r>
        <w:t xml:space="preserve">§2) และคงไว้</w:t>
      </w:r>
      <w:r>
        <w:t xml:space="preserve"> </w:t>
      </w:r>
      <w:r>
        <w:rPr>
          <w:b/>
          <w:bCs/>
        </w:rPr>
        <w:t xml:space="preserve">≥ 75%</w:t>
      </w:r>
      <w:r>
        <w:t xml:space="preserve"> </w:t>
      </w:r>
      <w:r>
        <w:t xml:space="preserve">ตลอดเวลา — มีการติดตามอัตราส่วนความเพียงพอของทุนทุกไตรมาส</w:t>
      </w:r>
    </w:p>
    <w:p>
      <w:pPr>
        <w:pStyle w:val="Compact"/>
        <w:numPr>
          <w:ilvl w:val="0"/>
          <w:numId w:val="1024"/>
        </w:numPr>
      </w:pPr>
      <w:r>
        <w:t xml:space="preserve">ผู้ถือหุ้นทุกทอดตรวจสอบได้จนถึง</w:t>
      </w:r>
      <w:r>
        <w:t xml:space="preserve"> </w:t>
      </w:r>
      <w:r>
        <w:rPr>
          <w:b/>
          <w:bCs/>
        </w:rPr>
        <w:t xml:space="preserve">บุคคลธรรมดา</w:t>
      </w:r>
      <w:r>
        <w:t xml:space="preserve"> </w:t>
      </w:r>
      <w:r>
        <w:t xml:space="preserve">ที่เป็น UBO</w:t>
      </w:r>
    </w:p>
    <w:p>
      <w:pPr>
        <w:pStyle w:val="Compact"/>
        <w:numPr>
          <w:ilvl w:val="0"/>
          <w:numId w:val="1024"/>
        </w:numPr>
      </w:pPr>
      <w:r>
        <w:t xml:space="preserve">กรรมการอย่างน้อย</w:t>
      </w:r>
      <w:r>
        <w:t xml:space="preserve"> </w:t>
      </w:r>
      <w:r>
        <w:rPr>
          <w:b/>
          <w:bCs/>
        </w:rPr>
        <w:t xml:space="preserve">1 คนเป็นสัญชาติไทยและมีถิ่นที่อยู่ในไทย</w:t>
      </w:r>
      <w:r>
        <w:t xml:space="preserve"> </w:t>
      </w:r>
      <w:r>
        <w:t xml:space="preserve">(ตาม §3 ของ</w:t>
      </w:r>
      <w:r>
        <w:t xml:space="preserve"> </w:t>
      </w:r>
      <w:r>
        <w:rPr>
          <w:rStyle w:val="VerbatimChar"/>
        </w:rPr>
        <w:t xml:space="preserve">COMPLIANCE-TH.md</w:t>
      </w:r>
      <w:r>
        <w:t xml:space="preserve">)</w:t>
      </w:r>
    </w:p>
    <w:p>
      <w:pPr>
        <w:pStyle w:val="Compact"/>
        <w:numPr>
          <w:ilvl w:val="0"/>
          <w:numId w:val="1024"/>
        </w:numPr>
      </w:pPr>
      <w:r>
        <w:t xml:space="preserve">โครงสร้างถือหุ้นแบบชั้นซ้อน (holding layer) ที่ทำให้ตรวจสอบ UBO ได้ยาก —</w:t>
      </w:r>
      <w:r>
        <w:t xml:space="preserve"> </w:t>
      </w:r>
      <w:r>
        <w:rPr>
          <w:b/>
          <w:bCs/>
        </w:rPr>
        <w:t xml:space="preserve">ไม่อนุญาต</w:t>
      </w:r>
      <w:r>
        <w:t xml:space="preserve"> </w:t>
      </w:r>
      <w:r>
        <w:t xml:space="preserve">เว้นแต่มีเหตุผลทางธุรกิจที่อธิบายได้และเปิดเผยครบ</w:t>
      </w:r>
    </w:p>
    <w:bookmarkEnd w:id="122"/>
    <w:bookmarkStart w:id="123" w:name="ตารางผถอหน-แมแบบ-เตมขอมลจรงจาก-บอจ.5"/>
    <w:p>
      <w:pPr>
        <w:pStyle w:val="Heading3"/>
      </w:pPr>
      <w:r>
        <w:t xml:space="preserve">2.2 ตารางผู้ถือหุ้น (แม่แบบ — เติมข้อมูลจริงจาก บอจ.5)</w:t>
      </w:r>
    </w:p>
    <w:tbl>
      <w:tblPr>
        <w:tblStyle w:val="Table"/>
        <w:tblW w:type="pct" w:w="5000"/>
        <w:tblLayout w:type="fixed"/>
        <w:tblLook w:firstRow="1" w:lastRow="0" w:firstColumn="0" w:lastColumn="0" w:noHBand="0" w:noVBand="0" w:val="0020"/>
      </w:tblPr>
      <w:tblGrid>
        <w:gridCol w:w="572"/>
        <w:gridCol w:w="1049"/>
        <w:gridCol w:w="763"/>
        <w:gridCol w:w="858"/>
        <w:gridCol w:w="1049"/>
        <w:gridCol w:w="1049"/>
        <w:gridCol w:w="1622"/>
        <w:gridCol w:w="954"/>
      </w:tblGrid>
      <w:tr>
        <w:trPr>
          <w:tblHeader w:val="on"/>
        </w:trPr>
        <w:tc>
          <w:tcPr/>
          <w:p>
            <w:pPr>
              <w:pStyle w:val="Compact"/>
            </w:pPr>
            <w:r>
              <w:t xml:space="preserve">ลำดับ</w:t>
            </w:r>
          </w:p>
        </w:tc>
        <w:tc>
          <w:tcPr/>
          <w:p>
            <w:pPr>
              <w:pStyle w:val="Compact"/>
            </w:pPr>
            <w:r>
              <w:t xml:space="preserve">ผู้ถือหุ้น</w:t>
            </w:r>
          </w:p>
        </w:tc>
        <w:tc>
          <w:tcPr/>
          <w:p>
            <w:pPr>
              <w:pStyle w:val="Compact"/>
            </w:pPr>
            <w:r>
              <w:t xml:space="preserve">ประเภท</w:t>
            </w:r>
          </w:p>
        </w:tc>
        <w:tc>
          <w:tcPr/>
          <w:p>
            <w:pPr>
              <w:pStyle w:val="Compact"/>
            </w:pPr>
            <w:r>
              <w:t xml:space="preserve">สัญชาติ</w:t>
            </w:r>
          </w:p>
        </w:tc>
        <w:tc>
          <w:tcPr/>
          <w:p>
            <w:pPr>
              <w:pStyle w:val="Compact"/>
            </w:pPr>
            <w:r>
              <w:t xml:space="preserve">จำนวนหุ้น</w:t>
            </w:r>
          </w:p>
        </w:tc>
        <w:tc>
          <w:tcPr/>
          <w:p>
            <w:pPr>
              <w:pStyle w:val="Compact"/>
            </w:pPr>
            <w:r>
              <w:t xml:space="preserve">% ถือหุ้น</w:t>
            </w:r>
          </w:p>
        </w:tc>
        <w:tc>
          <w:tcPr/>
          <w:p>
            <w:pPr>
              <w:pStyle w:val="Compact"/>
            </w:pPr>
            <w:r>
              <w:t xml:space="preserve">สิทธิออกเสียง %</w:t>
            </w:r>
          </w:p>
        </w:tc>
        <w:tc>
          <w:tcPr/>
          <w:p>
            <w:pPr>
              <w:pStyle w:val="Compact"/>
            </w:pPr>
            <w:r>
              <w:t xml:space="preserve">หมายเหตุ</w:t>
            </w:r>
          </w:p>
        </w:tc>
      </w:tr>
      <w:tr>
        <w:tc>
          <w:tcPr/>
          <w:p>
            <w:pPr>
              <w:pStyle w:val="Compact"/>
            </w:pPr>
            <w:r>
              <w:t xml:space="preserve">1</w:t>
            </w:r>
          </w:p>
        </w:tc>
        <w:tc>
          <w:tcPr/>
          <w:p>
            <w:pPr>
              <w:pStyle w:val="Compact"/>
            </w:pPr>
            <w:r>
              <w:rPr>
                <w:rStyle w:val="VerbatimChar"/>
              </w:rPr>
              <w:t xml:space="preserve">[ผู้ก่อตั้ง/บุคคล A]</w:t>
            </w:r>
          </w:p>
        </w:tc>
        <w:tc>
          <w:tcPr/>
          <w:p>
            <w:pPr>
              <w:pStyle w:val="Compact"/>
            </w:pPr>
            <w:r>
              <w:t xml:space="preserve">บุคคลธรรมดา</w:t>
            </w:r>
          </w:p>
        </w:tc>
        <w:tc>
          <w:tcPr/>
          <w:p>
            <w:pPr>
              <w:pStyle w:val="Compact"/>
            </w:pPr>
            <w:r>
              <w:t xml:space="preserve">ไทย</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t xml:space="preserve">UBO</w:t>
            </w:r>
          </w:p>
        </w:tc>
      </w:tr>
      <w:tr>
        <w:tc>
          <w:tcPr/>
          <w:p>
            <w:pPr>
              <w:pStyle w:val="Compact"/>
            </w:pPr>
            <w:r>
              <w:t xml:space="preserve">2</w:t>
            </w:r>
          </w:p>
        </w:tc>
        <w:tc>
          <w:tcPr/>
          <w:p>
            <w:pPr>
              <w:pStyle w:val="Compact"/>
            </w:pPr>
            <w:r>
              <w:rPr>
                <w:rStyle w:val="VerbatimChar"/>
              </w:rPr>
              <w:t xml:space="preserve">[บริษัทโฮลดิ้ง B]</w:t>
            </w:r>
          </w:p>
        </w:tc>
        <w:tc>
          <w:tcPr/>
          <w:p>
            <w:pPr>
              <w:pStyle w:val="Compact"/>
            </w:pPr>
            <w:r>
              <w:t xml:space="preserve">นิติบุคคล</w:t>
            </w:r>
          </w:p>
        </w:tc>
        <w:tc>
          <w:tcPr/>
          <w:p>
            <w:pPr>
              <w:pStyle w:val="Compact"/>
            </w:pPr>
            <w:r>
              <w:t xml:space="preserve">ไทย</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t xml:space="preserve">ต้องเปิด ownership chain ต่อ</w:t>
            </w:r>
          </w:p>
        </w:tc>
      </w:tr>
      <w:tr>
        <w:tc>
          <w:tcPr/>
          <w:p>
            <w:pPr>
              <w:pStyle w:val="Compact"/>
            </w:pPr>
            <w:r>
              <w:t xml:space="preserve">3</w:t>
            </w:r>
          </w:p>
        </w:tc>
        <w:tc>
          <w:tcPr/>
          <w:p>
            <w:pPr>
              <w:pStyle w:val="Compact"/>
            </w:pPr>
            <w:r>
              <w:rPr>
                <w:rStyle w:val="VerbatimChar"/>
              </w:rPr>
              <w:t xml:space="preserve">[นักลงทุน C]</w:t>
            </w:r>
          </w:p>
        </w:tc>
        <w:tc>
          <w:tcPr/>
          <w:p>
            <w:pPr>
              <w:pStyle w:val="Compact"/>
            </w:pPr>
            <w:r>
              <w:t xml:space="preserve">นิติบุคคล/ต่างชาติ</w:t>
            </w:r>
          </w:p>
        </w:tc>
        <w:tc>
          <w:tcPr/>
          <w:p>
            <w:pPr>
              <w:pStyle w:val="Compact"/>
            </w:pPr>
            <w:r>
              <w:rPr>
                <w:rStyle w:val="VerbatimChar"/>
              </w:rPr>
              <w:t xml:space="preserve">[TODO]</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t xml:space="preserve">ตรวจเกณฑ์ FBL</w:t>
            </w:r>
            <w:r>
              <w:t xml:space="preserve"> </w:t>
            </w:r>
            <w:r>
              <w:rPr>
                <w:rStyle w:val="VerbatimChar"/>
              </w:rPr>
              <w:t xml:space="preserve">[TODO-FBL]</w:t>
            </w:r>
          </w:p>
        </w:tc>
      </w:tr>
      <w:tr>
        <w:tc>
          <w:tcPr/>
          <w:p>
            <w:pPr>
              <w:pStyle w:val="Compact"/>
            </w:pPr>
            <w:r>
              <w:t xml:space="preserve">—</w:t>
            </w:r>
          </w:p>
        </w:tc>
        <w:tc>
          <w:tcPr/>
          <w:p>
            <w:pPr>
              <w:pStyle w:val="Compact"/>
            </w:pPr>
            <w:r>
              <w:rPr>
                <w:b/>
                <w:bCs/>
              </w:rPr>
              <w:t xml:space="preserve">รวม</w:t>
            </w:r>
          </w:p>
        </w:tc>
        <w:tc>
          <w:tcPr/>
          <w:p>
            <w:pPr>
              <w:pStyle w:val="Compact"/>
            </w:pPr>
          </w:p>
        </w:tc>
        <w:tc>
          <w:tcPr/>
          <w:p>
            <w:pPr>
              <w:pStyle w:val="Compact"/>
            </w:pPr>
          </w:p>
        </w:tc>
        <w:tc>
          <w:tcPr/>
          <w:p>
            <w:pPr>
              <w:pStyle w:val="Compact"/>
            </w:pPr>
          </w:p>
        </w:tc>
        <w:tc>
          <w:tcPr/>
          <w:p>
            <w:pPr>
              <w:pStyle w:val="Compact"/>
            </w:pPr>
            <w:r>
              <w:rPr>
                <w:b/>
                <w:bCs/>
              </w:rPr>
              <w:t xml:space="preserve">100%</w:t>
            </w:r>
          </w:p>
        </w:tc>
        <w:tc>
          <w:tcPr/>
          <w:p>
            <w:pPr>
              <w:pStyle w:val="Compact"/>
            </w:pPr>
            <w:r>
              <w:rPr>
                <w:b/>
                <w:bCs/>
              </w:rPr>
              <w:t xml:space="preserve">100%</w:t>
            </w:r>
          </w:p>
        </w:tc>
        <w:tc>
          <w:tcPr/>
          <w:p>
            <w:pPr>
              <w:pStyle w:val="Compact"/>
            </w:pPr>
          </w:p>
        </w:tc>
      </w:tr>
    </w:tbl>
    <w:p>
      <w:pPr>
        <w:pStyle w:val="BlockText"/>
      </w:pPr>
      <w:r>
        <w:t xml:space="preserve">สัดส่วนต่างชาติรวมทุกทอด:</w:t>
      </w:r>
      <w:r>
        <w:t xml:space="preserve"> </w:t>
      </w:r>
      <w:r>
        <w:rPr>
          <w:rStyle w:val="VerbatimChar"/>
        </w:rPr>
        <w:t xml:space="preserve">[TODO-FBL]</w:t>
      </w:r>
      <w:r>
        <w:t xml:space="preserve"> </w:t>
      </w:r>
      <w:r>
        <w:t xml:space="preserve">— หากรวมแล้ว</w:t>
      </w:r>
      <w:r>
        <w:t xml:space="preserve"> </w:t>
      </w:r>
      <w:r>
        <w:rPr>
          <w:b/>
          <w:bCs/>
        </w:rPr>
        <w:t xml:space="preserve">≥ 50%</w:t>
      </w:r>
      <w:r>
        <w:t xml:space="preserve"> </w:t>
      </w:r>
      <w:r>
        <w:t xml:space="preserve">ต้องประเมินความจำเป็นของ FBL และผลต่อเงื่อนไข ธปท.</w:t>
      </w:r>
    </w:p>
    <w:bookmarkEnd w:id="123"/>
    <w:bookmarkStart w:id="124" w:name="เกณฑสดสวนทตองรายงานขออนมต"/>
    <w:p>
      <w:pPr>
        <w:pStyle w:val="Heading3"/>
      </w:pPr>
      <w:r>
        <w:t xml:space="preserve">2.3 เกณฑ์สัดส่วนที่ต้องรายงาน/ขออนุมัติ</w:t>
      </w:r>
    </w:p>
    <w:tbl>
      <w:tblPr>
        <w:tblStyle w:val="Table"/>
        <w:tblW w:type="pct" w:w="5000"/>
        <w:tblLayout w:type="fixed"/>
        <w:tblLook w:firstRow="1" w:lastRow="0" w:firstColumn="0" w:lastColumn="0" w:noHBand="0" w:noVBand="0" w:val="0020"/>
      </w:tblPr>
      <w:tblGrid>
        <w:gridCol w:w="2722"/>
        <w:gridCol w:w="1732"/>
        <w:gridCol w:w="3465"/>
      </w:tblGrid>
      <w:tr>
        <w:trPr>
          <w:tblHeader w:val="on"/>
        </w:trPr>
        <w:tc>
          <w:tcPr/>
          <w:p>
            <w:pPr>
              <w:pStyle w:val="Compact"/>
            </w:pPr>
            <w:r>
              <w:t xml:space="preserve">เหตุการณ์</w:t>
            </w:r>
          </w:p>
        </w:tc>
        <w:tc>
          <w:tcPr/>
          <w:p>
            <w:pPr>
              <w:pStyle w:val="Compact"/>
            </w:pPr>
            <w:r>
              <w:t xml:space="preserve">เกณฑ์</w:t>
            </w:r>
          </w:p>
        </w:tc>
        <w:tc>
          <w:tcPr/>
          <w:p>
            <w:pPr>
              <w:pStyle w:val="Compact"/>
            </w:pPr>
            <w:r>
              <w:t xml:space="preserve">การดำเนินการ</w:t>
            </w:r>
          </w:p>
        </w:tc>
      </w:tr>
      <w:tr>
        <w:tc>
          <w:tcPr/>
          <w:p>
            <w:pPr>
              <w:pStyle w:val="Compact"/>
            </w:pPr>
            <w:r>
              <w:t xml:space="preserve">ผู้ถือหุ้นรายใหญ่ (major shareholder)</w:t>
            </w:r>
          </w:p>
        </w:tc>
        <w:tc>
          <w:tcPr/>
          <w:p>
            <w:pPr>
              <w:pStyle w:val="Compact"/>
            </w:pPr>
            <w:r>
              <w:t xml:space="preserve">ถือ</w:t>
            </w:r>
            <w:r>
              <w:t xml:space="preserve"> </w:t>
            </w:r>
            <w:r>
              <w:rPr>
                <w:b/>
                <w:bCs/>
              </w:rPr>
              <w:t xml:space="preserve">≥ 10%</w:t>
            </w:r>
            <w:r>
              <w:t xml:space="preserve"> </w:t>
            </w:r>
            <w:r>
              <w:t xml:space="preserve">ของทุนหรือสิทธิออกเสียง</w:t>
            </w:r>
          </w:p>
        </w:tc>
        <w:tc>
          <w:tcPr/>
          <w:p>
            <w:pPr>
              <w:pStyle w:val="Compact"/>
            </w:pPr>
            <w:r>
              <w:t xml:space="preserve">ต้องผ่าน fit &amp; proper และแจ้ง ธปท.</w:t>
            </w:r>
          </w:p>
        </w:tc>
      </w:tr>
      <w:tr>
        <w:tc>
          <w:tcPr/>
          <w:p>
            <w:pPr>
              <w:pStyle w:val="Compact"/>
            </w:pPr>
            <w:r>
              <w:t xml:space="preserve">การเปลี่ยนผู้มีอำนาจควบคุม</w:t>
            </w:r>
          </w:p>
        </w:tc>
        <w:tc>
          <w:tcPr/>
          <w:p>
            <w:pPr>
              <w:pStyle w:val="Compact"/>
            </w:pPr>
            <w:r>
              <w:t xml:space="preserve">ได้มา/เปลี่ยนอำนาจควบคุมกิจการ</w:t>
            </w:r>
          </w:p>
        </w:tc>
        <w:tc>
          <w:tcPr/>
          <w:p>
            <w:pPr>
              <w:pStyle w:val="Compact"/>
            </w:pPr>
            <w:r>
              <w:rPr>
                <w:b/>
                <w:bCs/>
              </w:rPr>
              <w:t xml:space="preserve">แจ้ง/ขออนุมัติ ธปท. ล่วงหน้า</w:t>
            </w:r>
            <w:r>
              <w:t xml:space="preserve"> </w:t>
            </w:r>
            <w:r>
              <w:t xml:space="preserve">ตามประกาศที่เกี่ยวข้อง</w:t>
            </w:r>
          </w:p>
        </w:tc>
      </w:tr>
      <w:tr>
        <w:tc>
          <w:tcPr/>
          <w:p>
            <w:pPr>
              <w:pStyle w:val="Compact"/>
            </w:pPr>
            <w:r>
              <w:t xml:space="preserve">การเปลี่ยนสัดส่วน ≥ 5%</w:t>
            </w:r>
          </w:p>
        </w:tc>
        <w:tc>
          <w:tcPr/>
          <w:p>
            <w:pPr>
              <w:pStyle w:val="Compact"/>
            </w:pPr>
            <w:r>
              <w:t xml:space="preserve">เพิ่ม/ลดข้ามขั้น 5%, 10%, 25%, 50%</w:t>
            </w:r>
          </w:p>
        </w:tc>
        <w:tc>
          <w:tcPr/>
          <w:p>
            <w:pPr>
              <w:pStyle w:val="Compact"/>
            </w:pPr>
            <w:r>
              <w:t xml:space="preserve">บันทึกในทะเบียน และประเมินผลต่อเงื่อนไขใบอนุญาต</w:t>
            </w:r>
          </w:p>
        </w:tc>
      </w:tr>
      <w:tr>
        <w:tc>
          <w:tcPr/>
          <w:p>
            <w:pPr>
              <w:pStyle w:val="Compact"/>
            </w:pPr>
            <w:r>
              <w:t xml:space="preserve">การลดทุน</w:t>
            </w:r>
          </w:p>
        </w:tc>
        <w:tc>
          <w:tcPr/>
          <w:p>
            <w:pPr>
              <w:pStyle w:val="Compact"/>
            </w:pPr>
            <w:r>
              <w:t xml:space="preserve">ทำให้ทุนต่ำกว่าเกณฑ์หรือต่ำกว่า 75%</w:t>
            </w:r>
          </w:p>
        </w:tc>
        <w:tc>
          <w:tcPr/>
          <w:p>
            <w:pPr>
              <w:pStyle w:val="Compact"/>
            </w:pPr>
            <w:r>
              <w:rPr>
                <w:b/>
                <w:bCs/>
              </w:rPr>
              <w:t xml:space="preserve">ห้าม</w:t>
            </w:r>
            <w:r>
              <w:t xml:space="preserve"> </w:t>
            </w:r>
            <w:r>
              <w:t xml:space="preserve">เว้นแต่ได้รับอนุมัติ ธปท. ก่อน</w:t>
            </w:r>
          </w:p>
        </w:tc>
      </w:tr>
    </w:tbl>
    <w:p>
      <w:r>
        <w:pict>
          <v:rect style="width:0;height:1.5pt" o:hralign="center" o:hrstd="t" o:hr="t"/>
        </w:pict>
      </w:r>
    </w:p>
    <w:bookmarkEnd w:id="124"/>
    <w:bookmarkEnd w:id="125"/>
    <w:bookmarkStart w:id="129" w:name="Xf96838918d1738eecef437a1f052e769ca8ac28"/>
    <w:p>
      <w:pPr>
        <w:pStyle w:val="Heading2"/>
      </w:pPr>
      <w:r>
        <w:t xml:space="preserve">3. ผู้รับประโยชน์ที่แท้จริง (Ultimate Beneficial Ownership — UBO)</w:t>
      </w:r>
    </w:p>
    <w:bookmarkStart w:id="126" w:name="นยามและเกณฑการระบ-สอดคลอง-ปปง.amlo"/>
    <w:p>
      <w:pPr>
        <w:pStyle w:val="Heading3"/>
      </w:pPr>
      <w:r>
        <w:t xml:space="preserve">3.1 นิยามและเกณฑ์การระบุ (สอดคล้อง ปปง./AMLO)</w:t>
      </w:r>
    </w:p>
    <w:p>
      <w:pPr>
        <w:pStyle w:val="FirstParagraph"/>
      </w:pPr>
      <w:r>
        <w:rPr>
          <w:b/>
          <w:bCs/>
        </w:rPr>
        <w:t xml:space="preserve">UBO</w:t>
      </w:r>
      <w:r>
        <w:t xml:space="preserve"> </w:t>
      </w:r>
      <w:r>
        <w:t xml:space="preserve">= บุคคลธรรมดาที่ (ก) ถือหุ้นหรือมีสิทธิออกเสียงทั้งทางตรง/ทางอ้อม</w:t>
      </w:r>
      <w:r>
        <w:t xml:space="preserve"> </w:t>
      </w:r>
      <w:r>
        <w:rPr>
          <w:b/>
          <w:bCs/>
        </w:rPr>
        <w:t xml:space="preserve">≥ 25%</w:t>
      </w:r>
      <w:r>
        <w:t xml:space="preserve"> </w:t>
      </w:r>
      <w:r>
        <w:t xml:space="preserve">หรือ (ข) ใช้อำนาจควบคุมกิจการโดยวิธีอื่น (เช่น สิทธิแต่งตั้งกรรมการข้างมาก ข้อตกลงผู้ถือหุ้น) หรือ (ค) กรณีไม่พบตาม (ก)/(ข) ให้ระบุ</w:t>
      </w:r>
      <w:r>
        <w:t xml:space="preserve"> </w:t>
      </w:r>
      <w:r>
        <w:rPr>
          <w:b/>
          <w:bCs/>
        </w:rPr>
        <w:t xml:space="preserve">ผู้บริหารระดับสูงสุด</w:t>
      </w:r>
      <w:r>
        <w:t xml:space="preserve"> </w:t>
      </w:r>
      <w:r>
        <w:t xml:space="preserve">เป็น UBO โดยอนุโลม</w:t>
      </w:r>
    </w:p>
    <w:bookmarkEnd w:id="126"/>
    <w:bookmarkStart w:id="127" w:name="ขนตอนพสจน-ubo"/>
    <w:p>
      <w:pPr>
        <w:pStyle w:val="Heading3"/>
      </w:pPr>
      <w:r>
        <w:t xml:space="preserve">3.2 ขั้นตอนพิสูจน์ UBO</w:t>
      </w:r>
    </w:p>
    <w:p>
      <w:pPr>
        <w:pStyle w:val="Compact"/>
        <w:numPr>
          <w:ilvl w:val="0"/>
          <w:numId w:val="1025"/>
        </w:numPr>
      </w:pPr>
      <w:r>
        <w:t xml:space="preserve">รวบรวมบัญชีรายชื่อผู้ถือหุ้น (บอจ.5) และหนังสือรับรองบริษัททุกทอด</w:t>
      </w:r>
    </w:p>
    <w:p>
      <w:pPr>
        <w:pStyle w:val="Compact"/>
        <w:numPr>
          <w:ilvl w:val="0"/>
          <w:numId w:val="1025"/>
        </w:numPr>
      </w:pPr>
      <w:r>
        <w:t xml:space="preserve">สร้าง</w:t>
      </w:r>
      <w:r>
        <w:t xml:space="preserve"> </w:t>
      </w:r>
      <w:r>
        <w:rPr>
          <w:b/>
          <w:bCs/>
        </w:rPr>
        <w:t xml:space="preserve">ownership chain diagram</w:t>
      </w:r>
      <w:r>
        <w:t xml:space="preserve"> </w:t>
      </w:r>
      <w:r>
        <w:t xml:space="preserve">จากนิติบุคคลจนถึงบุคคลธรรมดา คำนวณสัดส่วนแบบคูณต่อทอด (multiplication of holdings)</w:t>
      </w:r>
    </w:p>
    <w:p>
      <w:pPr>
        <w:pStyle w:val="Compact"/>
        <w:numPr>
          <w:ilvl w:val="0"/>
          <w:numId w:val="1025"/>
        </w:numPr>
      </w:pPr>
      <w:r>
        <w:t xml:space="preserve">ระบุ UBO ทุกรายที่ผ่านเกณฑ์ 25% หรือมีอำนาจควบคุม</w:t>
      </w:r>
    </w:p>
    <w:p>
      <w:pPr>
        <w:pStyle w:val="Compact"/>
        <w:numPr>
          <w:ilvl w:val="0"/>
          <w:numId w:val="1025"/>
        </w:numPr>
      </w:pPr>
      <w:r>
        <w:t xml:space="preserve">คัดกรอง UBO กับ</w:t>
      </w:r>
      <w:r>
        <w:t xml:space="preserve"> </w:t>
      </w:r>
      <w:r>
        <w:rPr>
          <w:b/>
          <w:bCs/>
        </w:rPr>
        <w:t xml:space="preserve">sanction list</w:t>
      </w:r>
      <w:r>
        <w:t xml:space="preserve"> </w:t>
      </w:r>
      <w:r>
        <w:t xml:space="preserve">(UN, OFAC, EU) และ</w:t>
      </w:r>
      <w:r>
        <w:t xml:space="preserve"> </w:t>
      </w:r>
      <w:r>
        <w:rPr>
          <w:b/>
          <w:bCs/>
        </w:rPr>
        <w:t xml:space="preserve">PEP</w:t>
      </w:r>
      <w:r>
        <w:t xml:space="preserve"> </w:t>
      </w:r>
      <w:r>
        <w:t xml:space="preserve">(Politically Exposed Persons) ก่อนยื่นและทบทวนอย่างน้อยปีละครั้ง</w:t>
      </w:r>
    </w:p>
    <w:p>
      <w:pPr>
        <w:pStyle w:val="Compact"/>
        <w:numPr>
          <w:ilvl w:val="0"/>
          <w:numId w:val="1025"/>
        </w:numPr>
      </w:pPr>
      <w:r>
        <w:t xml:space="preserve">จัดเก็บเอกสารระบุตัวตน (บัตรประชาชน/หนังสือเดินทาง) ภายใต้ PDPA (ดู §7)</w:t>
      </w:r>
    </w:p>
    <w:bookmarkEnd w:id="127"/>
    <w:bookmarkStart w:id="128" w:name="ตาราง-ubo-แมแบบ"/>
    <w:p>
      <w:pPr>
        <w:pStyle w:val="Heading3"/>
      </w:pPr>
      <w:r>
        <w:t xml:space="preserve">3.3 ตาราง UBO (แม่แบบ)</w:t>
      </w:r>
    </w:p>
    <w:tbl>
      <w:tblPr>
        <w:tblStyle w:val="Table"/>
        <w:tblW w:type="pct" w:w="5000"/>
        <w:tblLayout w:type="fixed"/>
        <w:tblLook w:firstRow="1" w:lastRow="0" w:firstColumn="0" w:lastColumn="0" w:noHBand="0" w:noVBand="0" w:val="0020"/>
      </w:tblPr>
      <w:tblGrid>
        <w:gridCol w:w="370"/>
        <w:gridCol w:w="666"/>
        <w:gridCol w:w="1406"/>
        <w:gridCol w:w="1480"/>
        <w:gridCol w:w="444"/>
        <w:gridCol w:w="1998"/>
        <w:gridCol w:w="1554"/>
      </w:tblGrid>
      <w:tr>
        <w:trPr>
          <w:tblHeader w:val="on"/>
        </w:trPr>
        <w:tc>
          <w:tcPr/>
          <w:p>
            <w:pPr>
              <w:pStyle w:val="Compact"/>
            </w:pPr>
            <w:r>
              <w:t xml:space="preserve">UBO</w:t>
            </w:r>
          </w:p>
        </w:tc>
        <w:tc>
          <w:tcPr/>
          <w:p>
            <w:pPr>
              <w:pStyle w:val="Compact"/>
            </w:pPr>
            <w:r>
              <w:t xml:space="preserve">สัญชาติ</w:t>
            </w:r>
          </w:p>
        </w:tc>
        <w:tc>
          <w:tcPr/>
          <w:p>
            <w:pPr>
              <w:pStyle w:val="Compact"/>
            </w:pPr>
            <w:r>
              <w:t xml:space="preserve">เส้นทางการถือหุ้น</w:t>
            </w:r>
          </w:p>
        </w:tc>
        <w:tc>
          <w:tcPr/>
          <w:p>
            <w:pPr>
              <w:pStyle w:val="Compact"/>
            </w:pPr>
            <w:r>
              <w:t xml:space="preserve">สัดส่วนทางอ้อมรวม %</w:t>
            </w:r>
          </w:p>
        </w:tc>
        <w:tc>
          <w:tcPr/>
          <w:p>
            <w:pPr>
              <w:pStyle w:val="Compact"/>
            </w:pPr>
            <w:r>
              <w:t xml:space="preserve">PEP?</w:t>
            </w:r>
          </w:p>
        </w:tc>
        <w:tc>
          <w:tcPr/>
          <w:p>
            <w:pPr>
              <w:pStyle w:val="Compact"/>
            </w:pPr>
            <w:r>
              <w:t xml:space="preserve">ผล sanction/PEP screening</w:t>
            </w:r>
          </w:p>
        </w:tc>
        <w:tc>
          <w:tcPr/>
          <w:p>
            <w:pPr>
              <w:pStyle w:val="Compact"/>
            </w:pPr>
            <w:r>
              <w:t xml:space="preserve">วันที่คัดกรองล่าสุด</w:t>
            </w:r>
          </w:p>
        </w:tc>
      </w:tr>
      <w:tr>
        <w:tc>
          <w:tcPr/>
          <w:p>
            <w:pPr>
              <w:pStyle w:val="Compact"/>
            </w:pPr>
            <w:r>
              <w:rPr>
                <w:rStyle w:val="VerbatimChar"/>
              </w:rPr>
              <w:t xml:space="preserve">[บุคคล A]</w:t>
            </w:r>
          </w:p>
        </w:tc>
        <w:tc>
          <w:tcPr/>
          <w:p>
            <w:pPr>
              <w:pStyle w:val="Compact"/>
            </w:pPr>
            <w:r>
              <w:t xml:space="preserve">ไทย</w:t>
            </w:r>
          </w:p>
        </w:tc>
        <w:tc>
          <w:tcPr/>
          <w:p>
            <w:pPr>
              <w:pStyle w:val="Compact"/>
            </w:pPr>
            <w:r>
              <w:t xml:space="preserve">ถือตรง</w:t>
            </w:r>
          </w:p>
        </w:tc>
        <w:tc>
          <w:tcPr/>
          <w:p>
            <w:pPr>
              <w:pStyle w:val="Compact"/>
            </w:pPr>
            <w:r>
              <w:rPr>
                <w:rStyle w:val="VerbatimChar"/>
              </w:rPr>
              <w:t xml:space="preserve">[TODO-UBO]</w:t>
            </w:r>
          </w:p>
        </w:tc>
        <w:tc>
          <w:tcPr/>
          <w:p>
            <w:pPr>
              <w:pStyle w:val="Compact"/>
            </w:pPr>
            <w:r>
              <w:t xml:space="preserve">ไม่/ใช่</w:t>
            </w:r>
          </w:p>
        </w:tc>
        <w:tc>
          <w:tcPr/>
          <w:p>
            <w:pPr>
              <w:pStyle w:val="Compact"/>
            </w:pPr>
            <w:r>
              <w:t xml:space="preserve">Clear/</w:t>
            </w:r>
            <w:r>
              <w:rPr>
                <w:rStyle w:val="VerbatimChar"/>
              </w:rPr>
              <w:t xml:space="preserve">[TODO]</w:t>
            </w:r>
          </w:p>
        </w:tc>
        <w:tc>
          <w:tcPr/>
          <w:p>
            <w:pPr>
              <w:pStyle w:val="Compact"/>
            </w:pPr>
            <w:r>
              <w:rPr>
                <w:rStyle w:val="VerbatimChar"/>
              </w:rPr>
              <w:t xml:space="preserve">[TODO]</w:t>
            </w:r>
          </w:p>
        </w:tc>
      </w:tr>
      <w:tr>
        <w:tc>
          <w:tcPr/>
          <w:p>
            <w:pPr>
              <w:pStyle w:val="Compact"/>
            </w:pPr>
            <w:r>
              <w:rPr>
                <w:rStyle w:val="VerbatimChar"/>
              </w:rPr>
              <w:t xml:space="preserve">[บุคคล X]</w:t>
            </w:r>
          </w:p>
        </w:tc>
        <w:tc>
          <w:tcPr/>
          <w:p>
            <w:pPr>
              <w:pStyle w:val="Compact"/>
            </w:pPr>
            <w:r>
              <w:rPr>
                <w:rStyle w:val="VerbatimChar"/>
              </w:rPr>
              <w:t xml:space="preserve">[TODO]</w:t>
            </w:r>
          </w:p>
        </w:tc>
        <w:tc>
          <w:tcPr/>
          <w:p>
            <w:pPr>
              <w:pStyle w:val="Compact"/>
            </w:pPr>
            <w:r>
              <w:t xml:space="preserve">ผ่าน</w:t>
            </w:r>
            <w:r>
              <w:t xml:space="preserve"> </w:t>
            </w:r>
            <w:r>
              <w:rPr>
                <w:rStyle w:val="VerbatimChar"/>
              </w:rPr>
              <w:t xml:space="preserve">[โฮลดิ้ง B]</w:t>
            </w:r>
          </w:p>
        </w:tc>
        <w:tc>
          <w:tcPr/>
          <w:p>
            <w:pPr>
              <w:pStyle w:val="Compact"/>
            </w:pPr>
            <w:r>
              <w:rPr>
                <w:rStyle w:val="VerbatimChar"/>
              </w:rPr>
              <w:t xml:space="preserve">[TODO-UBO]</w:t>
            </w:r>
          </w:p>
        </w:tc>
        <w:tc>
          <w:tcPr/>
          <w:p>
            <w:pPr>
              <w:pStyle w:val="Compact"/>
            </w:pPr>
            <w:r>
              <w:t xml:space="preserve">ไม่/ใช่</w:t>
            </w:r>
          </w:p>
        </w:tc>
        <w:tc>
          <w:tcPr/>
          <w:p>
            <w:pPr>
              <w:pStyle w:val="Compact"/>
            </w:pPr>
            <w:r>
              <w:t xml:space="preserve">Clear/</w:t>
            </w:r>
            <w:r>
              <w:rPr>
                <w:rStyle w:val="VerbatimChar"/>
              </w:rPr>
              <w:t xml:space="preserve">[TODO]</w:t>
            </w:r>
          </w:p>
        </w:tc>
        <w:tc>
          <w:tcPr/>
          <w:p>
            <w:pPr>
              <w:pStyle w:val="Compact"/>
            </w:pPr>
            <w:r>
              <w:rPr>
                <w:rStyle w:val="VerbatimChar"/>
              </w:rPr>
              <w:t xml:space="preserve">[TODO]</w:t>
            </w:r>
          </w:p>
        </w:tc>
      </w:tr>
    </w:tbl>
    <w:p>
      <w:r>
        <w:pict>
          <v:rect style="width:0;height:1.5pt" o:hralign="center" o:hrstd="t" o:hr="t"/>
        </w:pict>
      </w:r>
    </w:p>
    <w:bookmarkEnd w:id="128"/>
    <w:bookmarkEnd w:id="129"/>
    <w:bookmarkStart w:id="133" w:name="องคประกอบคณะกรรมการ-board-composition"/>
    <w:p>
      <w:pPr>
        <w:pStyle w:val="Heading2"/>
      </w:pPr>
      <w:r>
        <w:t xml:space="preserve">4. องค์ประกอบคณะกรรมการ (Board Composition)</w:t>
      </w:r>
    </w:p>
    <w:bookmarkStart w:id="130" w:name="หลกการธรรมาภบาล"/>
    <w:p>
      <w:pPr>
        <w:pStyle w:val="Heading3"/>
      </w:pPr>
      <w:r>
        <w:t xml:space="preserve">4.1 หลักการธรรมาภิบาล</w:t>
      </w:r>
    </w:p>
    <w:p>
      <w:pPr>
        <w:pStyle w:val="Compact"/>
        <w:numPr>
          <w:ilvl w:val="0"/>
          <w:numId w:val="1026"/>
        </w:numPr>
      </w:pPr>
      <w:r>
        <w:t xml:space="preserve">ขนาดคณะกรรมการ:</w:t>
      </w:r>
      <w:r>
        <w:t xml:space="preserve"> </w:t>
      </w:r>
      <w:r>
        <w:rPr>
          <w:b/>
          <w:bCs/>
        </w:rPr>
        <w:t xml:space="preserve">5–9 คน</w:t>
      </w:r>
      <w:r>
        <w:t xml:space="preserve"> </w:t>
      </w:r>
      <w:r>
        <w:t xml:space="preserve">เพื่อความคล่องตัวและถ่วงดุล</w:t>
      </w:r>
    </w:p>
    <w:p>
      <w:pPr>
        <w:pStyle w:val="Compact"/>
        <w:numPr>
          <w:ilvl w:val="0"/>
          <w:numId w:val="1026"/>
        </w:numPr>
      </w:pPr>
      <w:r>
        <w:t xml:space="preserve">กรรมการอิสระ</w:t>
      </w:r>
      <w:r>
        <w:t xml:space="preserve"> </w:t>
      </w:r>
      <w:r>
        <w:rPr>
          <w:b/>
          <w:bCs/>
        </w:rPr>
        <w:t xml:space="preserve">≥ 1 ใน 3</w:t>
      </w:r>
      <w:r>
        <w:t xml:space="preserve"> </w:t>
      </w:r>
      <w:r>
        <w:t xml:space="preserve">ของจำนวนกรรมการทั้งหมด</w:t>
      </w:r>
    </w:p>
    <w:p>
      <w:pPr>
        <w:pStyle w:val="Compact"/>
        <w:numPr>
          <w:ilvl w:val="0"/>
          <w:numId w:val="1026"/>
        </w:numPr>
      </w:pPr>
      <w:r>
        <w:t xml:space="preserve">แยกบทบาท</w:t>
      </w:r>
      <w:r>
        <w:t xml:space="preserve"> </w:t>
      </w:r>
      <w:r>
        <w:rPr>
          <w:b/>
          <w:bCs/>
        </w:rPr>
        <w:t xml:space="preserve">ประธานกรรมการ</w:t>
      </w:r>
      <w:r>
        <w:t xml:space="preserve"> </w:t>
      </w:r>
      <w:r>
        <w:t xml:space="preserve">ออกจาก</w:t>
      </w:r>
      <w:r>
        <w:t xml:space="preserve"> </w:t>
      </w:r>
      <w:r>
        <w:rPr>
          <w:b/>
          <w:bCs/>
        </w:rPr>
        <w:t xml:space="preserve">ประธานเจ้าหน้าที่บริหาร (CEO)</w:t>
      </w:r>
    </w:p>
    <w:p>
      <w:pPr>
        <w:pStyle w:val="Compact"/>
        <w:numPr>
          <w:ilvl w:val="0"/>
          <w:numId w:val="1026"/>
        </w:numPr>
      </w:pPr>
      <w:r>
        <w:t xml:space="preserve">กรรมการ</w:t>
      </w:r>
      <w:r>
        <w:t xml:space="preserve"> </w:t>
      </w:r>
      <w:r>
        <w:rPr>
          <w:b/>
          <w:bCs/>
        </w:rPr>
        <w:t xml:space="preserve">≥ 1 คนเป็นสัญชาติไทยและมีถิ่นที่อยู่ในไทย</w:t>
      </w:r>
      <w:r>
        <w:t xml:space="preserve"> </w:t>
      </w:r>
      <w:r>
        <w:t xml:space="preserve">(ข้อกำหนดคุณสมบัติผู้ขอ)</w:t>
      </w:r>
    </w:p>
    <w:p>
      <w:pPr>
        <w:pStyle w:val="Compact"/>
        <w:numPr>
          <w:ilvl w:val="0"/>
          <w:numId w:val="1026"/>
        </w:numPr>
      </w:pPr>
      <w:r>
        <w:t xml:space="preserve">มีคณะกรรมการชุดย่อยด้าน</w:t>
      </w:r>
      <w:r>
        <w:t xml:space="preserve"> </w:t>
      </w:r>
      <w:r>
        <w:rPr>
          <w:b/>
          <w:bCs/>
        </w:rPr>
        <w:t xml:space="preserve">ตรวจสอบ (Audit)</w:t>
      </w:r>
      <w:r>
        <w:t xml:space="preserve"> </w:t>
      </w:r>
      <w:r>
        <w:t xml:space="preserve">และ</w:t>
      </w:r>
      <w:r>
        <w:t xml:space="preserve"> </w:t>
      </w:r>
      <w:r>
        <w:rPr>
          <w:b/>
          <w:bCs/>
        </w:rPr>
        <w:t xml:space="preserve">บริหารความเสี่ยง (Risk)</w:t>
      </w:r>
      <w:r>
        <w:t xml:space="preserve"> </w:t>
      </w:r>
      <w:r>
        <w:t xml:space="preserve">เป็นอย่างน้อย</w:t>
      </w:r>
    </w:p>
    <w:bookmarkEnd w:id="130"/>
    <w:bookmarkStart w:id="131" w:name="องคประกอบและความรบผดชอบ-แมแบบ"/>
    <w:p>
      <w:pPr>
        <w:pStyle w:val="Heading3"/>
      </w:pPr>
      <w:r>
        <w:t xml:space="preserve">4.2 องค์ประกอบและความรับผิดชอบ (แม่แบบ)</w:t>
      </w:r>
    </w:p>
    <w:tbl>
      <w:tblPr>
        <w:tblStyle w:val="Table"/>
        <w:tblW w:type="pct" w:w="5000"/>
        <w:tblLayout w:type="fixed"/>
        <w:tblLook w:firstRow="1" w:lastRow="0" w:firstColumn="0" w:lastColumn="0" w:noHBand="0" w:noVBand="0" w:val="0020"/>
      </w:tblPr>
      <w:tblGrid>
        <w:gridCol w:w="1272"/>
        <w:gridCol w:w="1131"/>
        <w:gridCol w:w="2121"/>
        <w:gridCol w:w="3394"/>
      </w:tblGrid>
      <w:tr>
        <w:trPr>
          <w:tblHeader w:val="on"/>
        </w:trPr>
        <w:tc>
          <w:tcPr/>
          <w:p>
            <w:pPr>
              <w:pStyle w:val="Compact"/>
            </w:pPr>
            <w:r>
              <w:t xml:space="preserve">ตำแหน่ง</w:t>
            </w:r>
          </w:p>
        </w:tc>
        <w:tc>
          <w:tcPr/>
          <w:p>
            <w:pPr>
              <w:pStyle w:val="Compact"/>
            </w:pPr>
            <w:r>
              <w:t xml:space="preserve">ประเภท</w:t>
            </w:r>
          </w:p>
        </w:tc>
        <w:tc>
          <w:tcPr/>
          <w:p>
            <w:pPr>
              <w:pStyle w:val="Compact"/>
            </w:pPr>
            <w:r>
              <w:t xml:space="preserve">คุณสมบัติหลัก</w:t>
            </w:r>
          </w:p>
        </w:tc>
        <w:tc>
          <w:tcPr/>
          <w:p>
            <w:pPr>
              <w:pStyle w:val="Compact"/>
            </w:pPr>
            <w:r>
              <w:t xml:space="preserve">ความรับผิดชอบด้านกำกับ</w:t>
            </w:r>
          </w:p>
        </w:tc>
      </w:tr>
      <w:tr>
        <w:tc>
          <w:tcPr/>
          <w:p>
            <w:pPr>
              <w:pStyle w:val="Compact"/>
            </w:pPr>
            <w:r>
              <w:t xml:space="preserve">ประธานกรรมการ</w:t>
            </w:r>
          </w:p>
        </w:tc>
        <w:tc>
          <w:tcPr/>
          <w:p>
            <w:pPr>
              <w:pStyle w:val="Compact"/>
            </w:pPr>
            <w:r>
              <w:t xml:space="preserve">Non-executive</w:t>
            </w:r>
          </w:p>
        </w:tc>
        <w:tc>
          <w:tcPr/>
          <w:p>
            <w:pPr>
              <w:pStyle w:val="Compact"/>
            </w:pPr>
            <w:r>
              <w:t xml:space="preserve">ประสบการณ์บริหารสถาบันการเงิน/payment</w:t>
            </w:r>
          </w:p>
        </w:tc>
        <w:tc>
          <w:tcPr/>
          <w:p>
            <w:pPr>
              <w:pStyle w:val="Compact"/>
            </w:pPr>
            <w:r>
              <w:t xml:space="preserve">กำกับทิศทาง, ธรรมาภิบาล</w:t>
            </w:r>
          </w:p>
        </w:tc>
      </w:tr>
      <w:tr>
        <w:tc>
          <w:tcPr/>
          <w:p>
            <w:pPr>
              <w:pStyle w:val="Compact"/>
            </w:pPr>
            <w:r>
              <w:t xml:space="preserve">กรรมการอิสระ 1</w:t>
            </w:r>
          </w:p>
        </w:tc>
        <w:tc>
          <w:tcPr/>
          <w:p>
            <w:pPr>
              <w:pStyle w:val="Compact"/>
            </w:pPr>
            <w:r>
              <w:t xml:space="preserve">Independent</w:t>
            </w:r>
          </w:p>
        </w:tc>
        <w:tc>
          <w:tcPr/>
          <w:p>
            <w:pPr>
              <w:pStyle w:val="Compact"/>
            </w:pPr>
            <w:r>
              <w:t xml:space="preserve">ผู้เชี่ยวชาญบัญชี/การเงิน</w:t>
            </w:r>
          </w:p>
        </w:tc>
        <w:tc>
          <w:tcPr/>
          <w:p>
            <w:pPr>
              <w:pStyle w:val="Compact"/>
            </w:pPr>
            <w:r>
              <w:t xml:space="preserve">ประธานคณะกรรมการตรวจสอบ</w:t>
            </w:r>
          </w:p>
        </w:tc>
      </w:tr>
      <w:tr>
        <w:tc>
          <w:tcPr/>
          <w:p>
            <w:pPr>
              <w:pStyle w:val="Compact"/>
            </w:pPr>
            <w:r>
              <w:t xml:space="preserve">กรรมการอิสระ 2</w:t>
            </w:r>
          </w:p>
        </w:tc>
        <w:tc>
          <w:tcPr/>
          <w:p>
            <w:pPr>
              <w:pStyle w:val="Compact"/>
            </w:pPr>
            <w:r>
              <w:t xml:space="preserve">Independent</w:t>
            </w:r>
          </w:p>
        </w:tc>
        <w:tc>
          <w:tcPr/>
          <w:p>
            <w:pPr>
              <w:pStyle w:val="Compact"/>
            </w:pPr>
            <w:r>
              <w:t xml:space="preserve">ผู้เชี่ยวชาญกฎหมาย/compliance</w:t>
            </w:r>
          </w:p>
        </w:tc>
        <w:tc>
          <w:tcPr/>
          <w:p>
            <w:pPr>
              <w:pStyle w:val="Compact"/>
            </w:pPr>
            <w:r>
              <w:t xml:space="preserve">กำกับ AML/PDPA</w:t>
            </w:r>
          </w:p>
        </w:tc>
      </w:tr>
      <w:tr>
        <w:tc>
          <w:tcPr/>
          <w:p>
            <w:pPr>
              <w:pStyle w:val="Compact"/>
            </w:pPr>
            <w:r>
              <w:t xml:space="preserve">CEO</w:t>
            </w:r>
          </w:p>
        </w:tc>
        <w:tc>
          <w:tcPr/>
          <w:p>
            <w:pPr>
              <w:pStyle w:val="Compact"/>
            </w:pPr>
            <w:r>
              <w:t xml:space="preserve">Executive</w:t>
            </w:r>
          </w:p>
        </w:tc>
        <w:tc>
          <w:tcPr/>
          <w:p>
            <w:pPr>
              <w:pStyle w:val="Compact"/>
            </w:pPr>
            <w:r>
              <w:t xml:space="preserve">ประสบการณ์ payment/fintech</w:t>
            </w:r>
          </w:p>
        </w:tc>
        <w:tc>
          <w:tcPr/>
          <w:p>
            <w:pPr>
              <w:pStyle w:val="Compact"/>
            </w:pPr>
            <w:r>
              <w:t xml:space="preserve">รับผิดชอบผลการดำเนินงานรวม</w:t>
            </w:r>
          </w:p>
        </w:tc>
      </w:tr>
      <w:tr>
        <w:tc>
          <w:tcPr/>
          <w:p>
            <w:pPr>
              <w:pStyle w:val="Compact"/>
            </w:pPr>
            <w:r>
              <w:t xml:space="preserve">กรรมการ (ไทย, residency)</w:t>
            </w:r>
          </w:p>
        </w:tc>
        <w:tc>
          <w:tcPr/>
          <w:p>
            <w:pPr>
              <w:pStyle w:val="Compact"/>
            </w:pPr>
            <w:r>
              <w:t xml:space="preserve">Executive/Non-exec</w:t>
            </w:r>
          </w:p>
        </w:tc>
        <w:tc>
          <w:tcPr/>
          <w:p>
            <w:pPr>
              <w:pStyle w:val="Compact"/>
            </w:pPr>
            <w:r>
              <w:t xml:space="preserve">สัญชาติไทย มีถิ่นที่อยู่ในไทย</w:t>
            </w:r>
          </w:p>
        </w:tc>
        <w:tc>
          <w:tcPr/>
          <w:p>
            <w:pPr>
              <w:pStyle w:val="Compact"/>
            </w:pPr>
            <w:r>
              <w:t xml:space="preserve">เงื่อนไขคุณสมบัติผู้ขอ</w:t>
            </w:r>
          </w:p>
        </w:tc>
      </w:tr>
      <w:tr>
        <w:tc>
          <w:tcPr/>
          <w:p>
            <w:pPr>
              <w:pStyle w:val="Compact"/>
            </w:pPr>
            <w:r>
              <w:t xml:space="preserve">กรรมการด้านเทคโนโลยี</w:t>
            </w:r>
          </w:p>
        </w:tc>
        <w:tc>
          <w:tcPr/>
          <w:p>
            <w:pPr>
              <w:pStyle w:val="Compact"/>
            </w:pPr>
            <w:r>
              <w:t xml:space="preserve">Executive</w:t>
            </w:r>
          </w:p>
        </w:tc>
        <w:tc>
          <w:tcPr/>
          <w:p>
            <w:pPr>
              <w:pStyle w:val="Compact"/>
            </w:pPr>
            <w:r>
              <w:t xml:space="preserve">IT security/PCI/architecture</w:t>
            </w:r>
          </w:p>
        </w:tc>
        <w:tc>
          <w:tcPr/>
          <w:p>
            <w:pPr>
              <w:pStyle w:val="Compact"/>
            </w:pPr>
            <w:r>
              <w:t xml:space="preserve">กำกับ cyber resilience, PCI-DSS v4.0</w:t>
            </w:r>
          </w:p>
        </w:tc>
      </w:tr>
    </w:tbl>
    <w:p>
      <w:pPr>
        <w:pStyle w:val="BlockText"/>
      </w:pPr>
      <w:r>
        <w:rPr>
          <w:b/>
          <w:bCs/>
        </w:rPr>
        <w:t xml:space="preserve">[TODO-BOARD]</w:t>
      </w:r>
      <w:r>
        <w:t xml:space="preserve"> </w:t>
      </w:r>
      <w:r>
        <w:t xml:space="preserve">เติมรายชื่อจริง พร้อมประวัติ (CV), หนังสือรับรองการเป็นกรรมการ และแบบ fit &amp; proper รายบุคคล</w:t>
      </w:r>
    </w:p>
    <w:bookmarkEnd w:id="131"/>
    <w:bookmarkStart w:id="132" w:name="บทบาทผบรหารสำคญทตองผาน-fit-proper"/>
    <w:p>
      <w:pPr>
        <w:pStyle w:val="Heading3"/>
      </w:pPr>
      <w:r>
        <w:t xml:space="preserve">4.3 บทบาทผู้บริหารสำคัญที่ต้องผ่าน fit &amp; proper</w:t>
      </w:r>
    </w:p>
    <w:p>
      <w:pPr>
        <w:pStyle w:val="FirstParagraph"/>
      </w:pPr>
      <w:r>
        <w:t xml:space="preserve">CEO, CFO,</w:t>
      </w:r>
      <w:r>
        <w:t xml:space="preserve"> </w:t>
      </w:r>
      <w:r>
        <w:rPr>
          <w:b/>
          <w:bCs/>
        </w:rPr>
        <w:t xml:space="preserve">Chief Compliance Officer / AMLCO</w:t>
      </w:r>
      <w:r>
        <w:t xml:space="preserve"> </w:t>
      </w:r>
      <w:r>
        <w:t xml:space="preserve">(เจ้าหน้าที่กำกับ AML ตาม ปปง.),</w:t>
      </w:r>
      <w:r>
        <w:t xml:space="preserve"> </w:t>
      </w:r>
      <w:r>
        <w:rPr>
          <w:b/>
          <w:bCs/>
        </w:rPr>
        <w:t xml:space="preserve">CISO</w:t>
      </w:r>
      <w:r>
        <w:t xml:space="preserve"> </w:t>
      </w:r>
      <w:r>
        <w:t xml:space="preserve">(ผู้รับผิดชอบ PCI-DSS/cyber),</w:t>
      </w:r>
      <w:r>
        <w:t xml:space="preserve"> </w:t>
      </w:r>
      <w:r>
        <w:rPr>
          <w:b/>
          <w:bCs/>
        </w:rPr>
        <w:t xml:space="preserve">DPO</w:t>
      </w:r>
      <w:r>
        <w:t xml:space="preserve"> </w:t>
      </w:r>
      <w:r>
        <w:t xml:space="preserve">(Data Protection Officer ตาม PDPA), Head of Internal Audit, Head of Risk</w:t>
      </w:r>
    </w:p>
    <w:p>
      <w:r>
        <w:pict>
          <v:rect style="width:0;height:1.5pt" o:hralign="center" o:hrstd="t" o:hr="t"/>
        </w:pict>
      </w:r>
    </w:p>
    <w:bookmarkEnd w:id="132"/>
    <w:bookmarkEnd w:id="133"/>
    <w:bookmarkStart w:id="139" w:name="คณสมบตและลกษณะตองหาม-fit-proper-criteria"/>
    <w:p>
      <w:pPr>
        <w:pStyle w:val="Heading2"/>
      </w:pPr>
      <w:r>
        <w:t xml:space="preserve">5. คุณสมบัติและลักษณะต้องห้าม (Fit &amp; Proper Criteria)</w:t>
      </w:r>
    </w:p>
    <w:p>
      <w:pPr>
        <w:pStyle w:val="FirstParagraph"/>
      </w:pPr>
      <w:r>
        <w:t xml:space="preserve">การประเมิน fit &amp; proper ใช้กับ</w:t>
      </w:r>
      <w:r>
        <w:t xml:space="preserve"> </w:t>
      </w:r>
      <w:r>
        <w:rPr>
          <w:b/>
          <w:bCs/>
        </w:rPr>
        <w:t xml:space="preserve">กรรมการ ผู้มีอำนาจในการจัดการ ผู้ถือหุ้นรายใหญ่ (≥10%) และ UBO</w:t>
      </w:r>
      <w:r>
        <w:t xml:space="preserve"> </w:t>
      </w:r>
      <w:r>
        <w:t xml:space="preserve">ครอบคลุม 4 มิติ:</w:t>
      </w:r>
    </w:p>
    <w:bookmarkStart w:id="134" w:name="ความซอสตยและชอเสยง-honesty-integrity"/>
    <w:p>
      <w:pPr>
        <w:pStyle w:val="Heading3"/>
      </w:pPr>
      <w:r>
        <w:t xml:space="preserve">5.1 ความซื่อสัตย์และชื่อเสียง (Honesty &amp; Integrity)</w:t>
      </w:r>
    </w:p>
    <w:p>
      <w:pPr>
        <w:pStyle w:val="Compact"/>
        <w:numPr>
          <w:ilvl w:val="0"/>
          <w:numId w:val="1027"/>
        </w:numPr>
      </w:pPr>
      <w:r>
        <w:t xml:space="preserve">ไม่เคยต้องคำพิพากษาถึงที่สุดในความผิดเกี่ยวกับทรัพย์ ทุจริต ฉ้อโกง ฟอกเงิน</w:t>
      </w:r>
    </w:p>
    <w:p>
      <w:pPr>
        <w:pStyle w:val="Compact"/>
        <w:numPr>
          <w:ilvl w:val="0"/>
          <w:numId w:val="1027"/>
        </w:numPr>
      </w:pPr>
      <w:r>
        <w:t xml:space="preserve">ไม่เป็นบุคคลล้มละลาย/พิทักษ์ทรัพย์</w:t>
      </w:r>
    </w:p>
    <w:p>
      <w:pPr>
        <w:pStyle w:val="Compact"/>
        <w:numPr>
          <w:ilvl w:val="0"/>
          <w:numId w:val="1027"/>
        </w:numPr>
      </w:pPr>
      <w:r>
        <w:t xml:space="preserve">ไม่เคยถูกเพิกถอน/พักใบอนุญาตด้านการเงินโดยหน่วยงานกำกับ</w:t>
      </w:r>
    </w:p>
    <w:p>
      <w:pPr>
        <w:pStyle w:val="Compact"/>
        <w:numPr>
          <w:ilvl w:val="0"/>
          <w:numId w:val="1027"/>
        </w:numPr>
      </w:pPr>
      <w:r>
        <w:t xml:space="preserve">ไม่อยู่ในบัญชี sanction หรือรายชื่อผู้กระทำผิดของ ปปง.</w:t>
      </w:r>
    </w:p>
    <w:bookmarkEnd w:id="134"/>
    <w:bookmarkStart w:id="135" w:name="Xf79abefb314c076f08c8e1432d291609357e916"/>
    <w:p>
      <w:pPr>
        <w:pStyle w:val="Heading3"/>
      </w:pPr>
      <w:r>
        <w:t xml:space="preserve">5.2 ความรู้ ความสามารถ และประสบการณ์ (Competence &amp; Capability)</w:t>
      </w:r>
    </w:p>
    <w:p>
      <w:pPr>
        <w:pStyle w:val="Compact"/>
        <w:numPr>
          <w:ilvl w:val="0"/>
          <w:numId w:val="1028"/>
        </w:numPr>
      </w:pPr>
      <w:r>
        <w:t xml:space="preserve">มีคุณวุฒิ/ประสบการณ์เหมาะสมกับบทบาท (การเงิน, payment, IT security, compliance)</w:t>
      </w:r>
    </w:p>
    <w:p>
      <w:pPr>
        <w:pStyle w:val="Compact"/>
        <w:numPr>
          <w:ilvl w:val="0"/>
          <w:numId w:val="1028"/>
        </w:numPr>
      </w:pPr>
      <w:r>
        <w:t xml:space="preserve">สามารถอุทิศเวลาให้กับหน้าที่ได้เพียงพอ</w:t>
      </w:r>
    </w:p>
    <w:bookmarkEnd w:id="135"/>
    <w:bookmarkStart w:id="136" w:name="ฐานะการเงน-financial-soundness"/>
    <w:p>
      <w:pPr>
        <w:pStyle w:val="Heading3"/>
      </w:pPr>
      <w:r>
        <w:t xml:space="preserve">5.3 ฐานะการเงิน (Financial Soundness)</w:t>
      </w:r>
    </w:p>
    <w:p>
      <w:pPr>
        <w:pStyle w:val="Compact"/>
        <w:numPr>
          <w:ilvl w:val="0"/>
          <w:numId w:val="1029"/>
        </w:numPr>
      </w:pPr>
      <w:r>
        <w:t xml:space="preserve">ไม่มีประวัติผิดนัดชำระหนี้ร้ายแรง/ถูกฟ้องล้มละลาย</w:t>
      </w:r>
    </w:p>
    <w:bookmarkEnd w:id="136"/>
    <w:bookmarkStart w:id="137" w:name="X8aa361646d24a7095d83bfc690223df58f4853b"/>
    <w:p>
      <w:pPr>
        <w:pStyle w:val="Heading3"/>
      </w:pPr>
      <w:r>
        <w:t xml:space="preserve">5.4 ความขัดแย้งทางผลประโยชน์ (Conflict of Interest &amp; Independence)</w:t>
      </w:r>
    </w:p>
    <w:p>
      <w:pPr>
        <w:pStyle w:val="Compact"/>
        <w:numPr>
          <w:ilvl w:val="0"/>
          <w:numId w:val="1030"/>
        </w:numPr>
      </w:pPr>
      <w:r>
        <w:t xml:space="preserve">เปิดเผยการถือหุ้น/ตำแหน่งในกิจการที่เกี่ยวโยงกัน</w:t>
      </w:r>
    </w:p>
    <w:p>
      <w:pPr>
        <w:pStyle w:val="Compact"/>
        <w:numPr>
          <w:ilvl w:val="0"/>
          <w:numId w:val="1030"/>
        </w:numPr>
      </w:pPr>
      <w:r>
        <w:t xml:space="preserve">กรรมการอิสระต้องไม่มีความสัมพันธ์ที่กระทบความเป็นอิสระ</w:t>
      </w:r>
    </w:p>
    <w:bookmarkEnd w:id="137"/>
    <w:bookmarkStart w:id="138" w:name="ตารางลกษณะตองหาม-disqualification-matrix"/>
    <w:p>
      <w:pPr>
        <w:pStyle w:val="Heading3"/>
      </w:pPr>
      <w:r>
        <w:t xml:space="preserve">5.5 ตารางลักษณะต้องห้าม (Disqualification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ลักษณะต้องห้าม</w:t>
            </w:r>
          </w:p>
        </w:tc>
        <w:tc>
          <w:tcPr/>
          <w:p>
            <w:pPr>
              <w:pStyle w:val="Compact"/>
            </w:pPr>
            <w:r>
              <w:t xml:space="preserve">ผล</w:t>
            </w:r>
          </w:p>
        </w:tc>
      </w:tr>
      <w:tr>
        <w:tc>
          <w:tcPr/>
          <w:p>
            <w:pPr>
              <w:pStyle w:val="Compact"/>
            </w:pPr>
            <w:r>
              <w:t xml:space="preserve">เคยต้องโทษคดีทุจริต/ฟอกเงิน (คำพิพากษาถึงที่สุด)</w:t>
            </w:r>
          </w:p>
        </w:tc>
        <w:tc>
          <w:tcPr/>
          <w:p>
            <w:pPr>
              <w:pStyle w:val="Compact"/>
            </w:pPr>
            <w:r>
              <w:t xml:space="preserve">ขาดคุณสมบัติ</w:t>
            </w:r>
          </w:p>
        </w:tc>
      </w:tr>
      <w:tr>
        <w:tc>
          <w:tcPr/>
          <w:p>
            <w:pPr>
              <w:pStyle w:val="Compact"/>
            </w:pPr>
            <w:r>
              <w:t xml:space="preserve">เป็นบุคคลล้มละลาย/ไร้ความสามารถ</w:t>
            </w:r>
          </w:p>
        </w:tc>
        <w:tc>
          <w:tcPr/>
          <w:p>
            <w:pPr>
              <w:pStyle w:val="Compact"/>
            </w:pPr>
            <w:r>
              <w:t xml:space="preserve">ขาดคุณสมบัติ</w:t>
            </w:r>
          </w:p>
        </w:tc>
      </w:tr>
      <w:tr>
        <w:tc>
          <w:tcPr/>
          <w:p>
            <w:pPr>
              <w:pStyle w:val="Compact"/>
            </w:pPr>
            <w:r>
              <w:t xml:space="preserve">ถูกหน่วยงานกำกับเพิกถอน/พักใบอนุญาต</w:t>
            </w:r>
          </w:p>
        </w:tc>
        <w:tc>
          <w:tcPr/>
          <w:p>
            <w:pPr>
              <w:pStyle w:val="Compact"/>
            </w:pPr>
            <w:r>
              <w:t xml:space="preserve">ขาดคุณสมบัติ (ตามระยะเวลาที่กำหนด)</w:t>
            </w:r>
          </w:p>
        </w:tc>
      </w:tr>
      <w:tr>
        <w:tc>
          <w:tcPr/>
          <w:p>
            <w:pPr>
              <w:pStyle w:val="Compact"/>
            </w:pPr>
            <w:r>
              <w:t xml:space="preserve">อยู่ใน sanction list (UN/OFAC/EU)</w:t>
            </w:r>
          </w:p>
        </w:tc>
        <w:tc>
          <w:tcPr/>
          <w:p>
            <w:pPr>
              <w:pStyle w:val="Compact"/>
            </w:pPr>
            <w:r>
              <w:t xml:space="preserve">ขาดคุณสมบัติ</w:t>
            </w:r>
          </w:p>
        </w:tc>
      </w:tr>
      <w:tr>
        <w:tc>
          <w:tcPr/>
          <w:p>
            <w:pPr>
              <w:pStyle w:val="Compact"/>
            </w:pPr>
            <w:r>
              <w:t xml:space="preserve">ปกปิดข้อมูลสำคัญในแบบ fit &amp; proper</w:t>
            </w:r>
          </w:p>
        </w:tc>
        <w:tc>
          <w:tcPr/>
          <w:p>
            <w:pPr>
              <w:pStyle w:val="Compact"/>
            </w:pPr>
            <w:r>
              <w:t xml:space="preserve">ขาดคุณสมบัติ + ทบทวนความน่าเชื่อถือ</w:t>
            </w:r>
          </w:p>
        </w:tc>
      </w:tr>
    </w:tbl>
    <w:p>
      <w:r>
        <w:pict>
          <v:rect style="width:0;height:1.5pt" o:hralign="center" o:hrstd="t" o:hr="t"/>
        </w:pict>
      </w:r>
    </w:p>
    <w:bookmarkEnd w:id="138"/>
    <w:bookmarkEnd w:id="139"/>
    <w:bookmarkStart w:id="143" w:name="กระบวนการและวงจร-fit-proper"/>
    <w:p>
      <w:pPr>
        <w:pStyle w:val="Heading2"/>
      </w:pPr>
      <w:r>
        <w:t xml:space="preserve">6. กระบวนการและวงจร fit &amp; proper</w:t>
      </w:r>
    </w:p>
    <w:bookmarkStart w:id="140" w:name="ขนตอน-onboarding"/>
    <w:p>
      <w:pPr>
        <w:pStyle w:val="Heading3"/>
      </w:pPr>
      <w:r>
        <w:t xml:space="preserve">6.1 ขั้นตอน (Onboarding)</w:t>
      </w:r>
    </w:p>
    <w:p>
      <w:pPr>
        <w:pStyle w:val="Compact"/>
        <w:numPr>
          <w:ilvl w:val="0"/>
          <w:numId w:val="1031"/>
        </w:numPr>
      </w:pPr>
      <w:r>
        <w:t xml:space="preserve">ผู้ได้รับการเสนอชื่อกรอก</w:t>
      </w:r>
      <w:r>
        <w:t xml:space="preserve"> </w:t>
      </w:r>
      <w:r>
        <w:rPr>
          <w:b/>
          <w:bCs/>
        </w:rPr>
        <w:t xml:space="preserve">แบบประเมิน fit &amp; proper</w:t>
      </w:r>
      <w:r>
        <w:t xml:space="preserve"> </w:t>
      </w:r>
      <w:r>
        <w:t xml:space="preserve">+ ให้ความยินยอมตรวจประวัติ (PDPA consent)</w:t>
      </w:r>
    </w:p>
    <w:p>
      <w:pPr>
        <w:pStyle w:val="Compact"/>
        <w:numPr>
          <w:ilvl w:val="0"/>
          <w:numId w:val="1031"/>
        </w:numPr>
      </w:pPr>
      <w:r>
        <w:rPr>
          <w:b/>
          <w:bCs/>
        </w:rPr>
        <w:t xml:space="preserve">Compliance</w:t>
      </w:r>
      <w:r>
        <w:t xml:space="preserve"> </w:t>
      </w:r>
      <w:r>
        <w:t xml:space="preserve">ตรวจ: sanction/PEP screening, ประวัติอาชญากรรม (หนังสือรับรองความประพฤติ), เครดิตบูโร (กรณีที่เกี่ยวข้อง), ทะเบียนล้มละลาย, ฐานข้อมูลหน่วยกำกับ</w:t>
      </w:r>
    </w:p>
    <w:p>
      <w:pPr>
        <w:pStyle w:val="Compact"/>
        <w:numPr>
          <w:ilvl w:val="0"/>
          <w:numId w:val="1031"/>
        </w:numPr>
      </w:pPr>
      <w:r>
        <w:t xml:space="preserve">คณะกรรมการสรรหา/Nomination พิจารณาและเสนอคณะกรรมการอนุมัติ</w:t>
      </w:r>
    </w:p>
    <w:p>
      <w:pPr>
        <w:pStyle w:val="Compact"/>
        <w:numPr>
          <w:ilvl w:val="0"/>
          <w:numId w:val="1031"/>
        </w:numPr>
      </w:pPr>
      <w:r>
        <w:rPr>
          <w:b/>
          <w:bCs/>
        </w:rPr>
        <w:t xml:space="preserve">แจ้ง/ยื่นต่อ ธปท.</w:t>
      </w:r>
      <w:r>
        <w:t xml:space="preserve"> </w:t>
      </w:r>
      <w:r>
        <w:t xml:space="preserve">ตามที่ประกาศกำหนดก่อนเข้าดำรงตำแหน่ง (สำหรับกรรมการ/ผู้มีอำนาจจัดการ/ผู้ถือหุ้นรายใหญ่)</w:t>
      </w:r>
    </w:p>
    <w:p>
      <w:pPr>
        <w:pStyle w:val="Compact"/>
        <w:numPr>
          <w:ilvl w:val="0"/>
          <w:numId w:val="1031"/>
        </w:numPr>
      </w:pPr>
      <w:r>
        <w:t xml:space="preserve">จัดเก็บเอกสารในทะเบียน fit &amp; proper แบบควบคุมการเข้าถึง</w:t>
      </w:r>
    </w:p>
    <w:bookmarkEnd w:id="140"/>
    <w:bookmarkStart w:id="141" w:name="การทบทวนตอเนอง-ongoing"/>
    <w:p>
      <w:pPr>
        <w:pStyle w:val="Heading3"/>
      </w:pPr>
      <w:r>
        <w:t xml:space="preserve">6.2 การทบทวนต่อเนื่อง (Ongoing)</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t xml:space="preserve">กิจกรรม</w:t>
            </w:r>
          </w:p>
        </w:tc>
        <w:tc>
          <w:tcPr/>
          <w:p>
            <w:pPr>
              <w:pStyle w:val="Compact"/>
            </w:pPr>
            <w:r>
              <w:t xml:space="preserve">ความถี่</w:t>
            </w:r>
          </w:p>
        </w:tc>
        <w:tc>
          <w:tcPr/>
          <w:p>
            <w:pPr>
              <w:pStyle w:val="Compact"/>
            </w:pPr>
            <w:r>
              <w:t xml:space="preserve">ผู้รับผิดชอบ</w:t>
            </w:r>
          </w:p>
        </w:tc>
      </w:tr>
      <w:tr>
        <w:tc>
          <w:tcPr/>
          <w:p>
            <w:pPr>
              <w:pStyle w:val="Compact"/>
            </w:pPr>
            <w:r>
              <w:t xml:space="preserve">ทบทวน fit &amp; proper รายบุคคล</w:t>
            </w:r>
          </w:p>
        </w:tc>
        <w:tc>
          <w:tcPr/>
          <w:p>
            <w:pPr>
              <w:pStyle w:val="Compact"/>
            </w:pPr>
            <w:r>
              <w:t xml:space="preserve">อย่างน้อยปีละครั้ง</w:t>
            </w:r>
          </w:p>
        </w:tc>
        <w:tc>
          <w:tcPr/>
          <w:p>
            <w:pPr>
              <w:pStyle w:val="Compact"/>
            </w:pPr>
            <w:r>
              <w:t xml:space="preserve">Compliance</w:t>
            </w:r>
          </w:p>
        </w:tc>
      </w:tr>
      <w:tr>
        <w:tc>
          <w:tcPr/>
          <w:p>
            <w:pPr>
              <w:pStyle w:val="Compact"/>
            </w:pPr>
            <w:r>
              <w:t xml:space="preserve">Sanction/PEP re-screening (กรรมการ, UBO, ผู้ถือหุ้น ≥10%)</w:t>
            </w:r>
          </w:p>
        </w:tc>
        <w:tc>
          <w:tcPr/>
          <w:p>
            <w:pPr>
              <w:pStyle w:val="Compact"/>
            </w:pPr>
            <w:r>
              <w:t xml:space="preserve">อย่างน้อยปีละครั้ง + เมื่อ list เปลี่ยน</w:t>
            </w:r>
          </w:p>
        </w:tc>
        <w:tc>
          <w:tcPr/>
          <w:p>
            <w:pPr>
              <w:pStyle w:val="Compact"/>
            </w:pPr>
            <w:r>
              <w:t xml:space="preserve">Compliance/AMLCO</w:t>
            </w:r>
          </w:p>
        </w:tc>
      </w:tr>
      <w:tr>
        <w:tc>
          <w:tcPr/>
          <w:p>
            <w:pPr>
              <w:pStyle w:val="Compact"/>
            </w:pPr>
            <w:r>
              <w:t xml:space="preserve">ปรับปรุงทะเบียนผู้ถือหุ้น/UBO</w:t>
            </w:r>
          </w:p>
        </w:tc>
        <w:tc>
          <w:tcPr/>
          <w:p>
            <w:pPr>
              <w:pStyle w:val="Compact"/>
            </w:pPr>
            <w:r>
              <w:t xml:space="preserve">เมื่อมีการเปลี่ยนแปลง (ภายใน</w:t>
            </w:r>
            <w:r>
              <w:t xml:space="preserve"> </w:t>
            </w:r>
            <w:r>
              <w:rPr>
                <w:b/>
                <w:bCs/>
              </w:rPr>
              <w:t xml:space="preserve">15 วันทำการ</w:t>
            </w:r>
            <w:r>
              <w:t xml:space="preserve">)</w:t>
            </w:r>
          </w:p>
        </w:tc>
        <w:tc>
          <w:tcPr/>
          <w:p>
            <w:pPr>
              <w:pStyle w:val="Compact"/>
            </w:pPr>
            <w:r>
              <w:t xml:space="preserve">Corporate Secretary</w:t>
            </w:r>
          </w:p>
        </w:tc>
      </w:tr>
      <w:tr>
        <w:tc>
          <w:tcPr/>
          <w:p>
            <w:pPr>
              <w:pStyle w:val="Compact"/>
            </w:pPr>
            <w:r>
              <w:t xml:space="preserve">รายงานการเปลี่ยนกรรมการ/ผู้ถือหุ้นรายใหญ่ต่อ ธปท.</w:t>
            </w:r>
          </w:p>
        </w:tc>
        <w:tc>
          <w:tcPr/>
          <w:p>
            <w:pPr>
              <w:pStyle w:val="Compact"/>
            </w:pPr>
            <w:r>
              <w:t xml:space="preserve">ตามกำหนดในประกาศ (ปกติ</w:t>
            </w:r>
            <w:r>
              <w:t xml:space="preserve"> </w:t>
            </w:r>
            <w:r>
              <w:rPr>
                <w:b/>
                <w:bCs/>
              </w:rPr>
              <w:t xml:space="preserve">ล่วงหน้า/ทันทีที่เกิดเหตุ</w:t>
            </w:r>
            <w:r>
              <w:t xml:space="preserve">)</w:t>
            </w:r>
          </w:p>
        </w:tc>
        <w:tc>
          <w:tcPr/>
          <w:p>
            <w:pPr>
              <w:pStyle w:val="Compact"/>
            </w:pPr>
            <w:r>
              <w:t xml:space="preserve">Compliance</w:t>
            </w:r>
          </w:p>
        </w:tc>
      </w:tr>
      <w:tr>
        <w:tc>
          <w:tcPr/>
          <w:p>
            <w:pPr>
              <w:pStyle w:val="Compact"/>
            </w:pPr>
            <w:r>
              <w:t xml:space="preserve">ทบทวนความเป็นอิสระของกรรมการอิสระ</w:t>
            </w:r>
          </w:p>
        </w:tc>
        <w:tc>
          <w:tcPr/>
          <w:p>
            <w:pPr>
              <w:pStyle w:val="Compact"/>
            </w:pPr>
            <w:r>
              <w:t xml:space="preserve">ปีละครั้ง</w:t>
            </w:r>
          </w:p>
        </w:tc>
        <w:tc>
          <w:tcPr/>
          <w:p>
            <w:pPr>
              <w:pStyle w:val="Compact"/>
            </w:pPr>
            <w:r>
              <w:t xml:space="preserve">Nomination Committee</w:t>
            </w:r>
          </w:p>
        </w:tc>
      </w:tr>
    </w:tbl>
    <w:bookmarkEnd w:id="141"/>
    <w:bookmarkStart w:id="142" w:name="การรายงานเหตการณ-event-driven"/>
    <w:p>
      <w:pPr>
        <w:pStyle w:val="Heading3"/>
      </w:pPr>
      <w:r>
        <w:t xml:space="preserve">6.3 การรายงานเหตุการณ์ (Event-driven)</w:t>
      </w:r>
    </w:p>
    <w:p>
      <w:pPr>
        <w:pStyle w:val="FirstParagraph"/>
      </w:pPr>
      <w:r>
        <w:t xml:space="preserve">หากพบว่าบุคคลใด</w:t>
      </w:r>
      <w:r>
        <w:t xml:space="preserve"> </w:t>
      </w:r>
      <w:r>
        <w:rPr>
          <w:b/>
          <w:bCs/>
        </w:rPr>
        <w:t xml:space="preserve">ขาดคุณสมบัติ/มีลักษณะต้องห้ามภายหลัง</w:t>
      </w:r>
      <w:r>
        <w:t xml:space="preserve"> </w:t>
      </w:r>
      <w:r>
        <w:t xml:space="preserve">→ ระงับอำนาจ, รายงานคณะกรรมการและ ธปท. โดยไม่ชักช้า, จัดหาผู้ทดแทนที่ผ่าน fit &amp; proper</w:t>
      </w:r>
    </w:p>
    <w:p>
      <w:r>
        <w:pict>
          <v:rect style="width:0;height:1.5pt" o:hralign="center" o:hrstd="t" o:hr="t"/>
        </w:pict>
      </w:r>
    </w:p>
    <w:bookmarkEnd w:id="142"/>
    <w:bookmarkEnd w:id="143"/>
    <w:bookmarkStart w:id="144" w:name="การคมครองขอมลสวนบคคล-pdpa-ในกระบวนการน"/>
    <w:p>
      <w:pPr>
        <w:pStyle w:val="Heading2"/>
      </w:pPr>
      <w:r>
        <w:t xml:space="preserve">7. การคุ้มครองข้อมูลส่วนบุคคล (PDPA) ในกระบวนการนี้</w:t>
      </w:r>
    </w:p>
    <w:p>
      <w:pPr>
        <w:pStyle w:val="Compact"/>
        <w:numPr>
          <w:ilvl w:val="0"/>
          <w:numId w:val="1032"/>
        </w:numPr>
      </w:pPr>
      <w:r>
        <w:t xml:space="preserve">เก็บข้อมูลกรรมการ/ผู้ถือหุ้น/UBO</w:t>
      </w:r>
      <w:r>
        <w:t xml:space="preserve"> </w:t>
      </w:r>
      <w:r>
        <w:rPr>
          <w:b/>
          <w:bCs/>
        </w:rPr>
        <w:t xml:space="preserve">เท่าที่จำเป็น</w:t>
      </w:r>
      <w:r>
        <w:t xml:space="preserve"> </w:t>
      </w:r>
      <w:r>
        <w:t xml:space="preserve">ตามฐานทางกฎหมาย (การปฏิบัติตามกฎหมาย + ความยินยอม)</w:t>
      </w:r>
    </w:p>
    <w:p>
      <w:pPr>
        <w:pStyle w:val="Compact"/>
        <w:numPr>
          <w:ilvl w:val="0"/>
          <w:numId w:val="1032"/>
        </w:numPr>
      </w:pPr>
      <w:r>
        <w:t xml:space="preserve">แจ้ง</w:t>
      </w:r>
      <w:r>
        <w:t xml:space="preserve"> </w:t>
      </w:r>
      <w:r>
        <w:rPr>
          <w:b/>
          <w:bCs/>
        </w:rPr>
        <w:t xml:space="preserve">privacy notice</w:t>
      </w:r>
      <w:r>
        <w:t xml:space="preserve"> </w:t>
      </w:r>
      <w:r>
        <w:t xml:space="preserve">ก่อนตรวจประวัติ และขอความยินยอมสำหรับข้อมูลอ่อนไหว (เช่น ประวัติอาชญากรรม)</w:t>
      </w:r>
    </w:p>
    <w:p>
      <w:pPr>
        <w:pStyle w:val="Compact"/>
        <w:numPr>
          <w:ilvl w:val="0"/>
          <w:numId w:val="1032"/>
        </w:numPr>
      </w:pPr>
      <w:r>
        <w:t xml:space="preserve">เก็บรักษาแบบเข้ารหัส จำกัดการเข้าถึง (RBAC) และกำหนดระยะเวลาเก็บ (retention) ตามข้อกำหนด ธปท./PDPA</w:t>
      </w:r>
    </w:p>
    <w:p>
      <w:pPr>
        <w:pStyle w:val="Compact"/>
        <w:numPr>
          <w:ilvl w:val="0"/>
          <w:numId w:val="1032"/>
        </w:numPr>
      </w:pPr>
      <w:r>
        <w:rPr>
          <w:b/>
          <w:bCs/>
        </w:rPr>
        <w:t xml:space="preserve">DPO</w:t>
      </w:r>
      <w:r>
        <w:t xml:space="preserve"> </w:t>
      </w:r>
      <w:r>
        <w:t xml:space="preserve">กำกับดูแลการประมวลผลข้อมูลนี้ และรองรับสิทธิของเจ้าของข้อมูลตาม PDPA</w:t>
      </w:r>
    </w:p>
    <w:p>
      <w:r>
        <w:pict>
          <v:rect style="width:0;height:1.5pt" o:hralign="center" o:hrstd="t" o:hr="t"/>
        </w:pict>
      </w:r>
    </w:p>
    <w:bookmarkEnd w:id="144"/>
    <w:bookmarkStart w:id="145" w:name="เอกสารประกอบทตองแนบกบคำขอ-checklist"/>
    <w:p>
      <w:pPr>
        <w:pStyle w:val="Heading2"/>
      </w:pPr>
      <w:r>
        <w:t xml:space="preserve">8. เอกสารประกอบที่ต้องแนบกับคำขอ (Checklist)</w:t>
      </w:r>
    </w:p>
    <w:p>
      <w:pPr>
        <w:pStyle w:val="Compact"/>
        <w:numPr>
          <w:ilvl w:val="0"/>
          <w:numId w:val="1033"/>
        </w:numPr>
      </w:pPr>
      <w:r>
        <w:t xml:space="preserve">บัญชีรายชื่อผู้ถือหุ้น (บอจ.5) ล่าสุด + หนังสือรับรองบริษัท (วัตถุประสงค์ครอบคลุมธุรกิจ payment)</w:t>
      </w:r>
    </w:p>
    <w:p>
      <w:pPr>
        <w:pStyle w:val="Compact"/>
        <w:numPr>
          <w:ilvl w:val="0"/>
          <w:numId w:val="1034"/>
        </w:numPr>
      </w:pPr>
      <w:r>
        <w:t xml:space="preserve">หลักฐานทุนจดทะเบียนชำระแล้ว ≥ 50 ล้านบาท</w:t>
      </w:r>
      <w:r>
        <w:t xml:space="preserve"> </w:t>
      </w:r>
      <w:r>
        <w:rPr>
          <w:rStyle w:val="VerbatimChar"/>
        </w:rPr>
        <w:t xml:space="preserve">[TODO-CAP]</w:t>
      </w:r>
    </w:p>
    <w:p>
      <w:pPr>
        <w:pStyle w:val="Compact"/>
        <w:numPr>
          <w:ilvl w:val="0"/>
          <w:numId w:val="1035"/>
        </w:numPr>
      </w:pPr>
      <w:r>
        <w:t xml:space="preserve">แผนภาพโครงสร้างผู้ถือหุ้นและ ownership chain ถึง UBO</w:t>
      </w:r>
      <w:r>
        <w:t xml:space="preserve"> </w:t>
      </w:r>
      <w:r>
        <w:rPr>
          <w:rStyle w:val="VerbatimChar"/>
        </w:rPr>
        <w:t xml:space="preserve">[TODO-UBO]</w:t>
      </w:r>
    </w:p>
    <w:p>
      <w:pPr>
        <w:pStyle w:val="Compact"/>
        <w:numPr>
          <w:ilvl w:val="0"/>
          <w:numId w:val="1036"/>
        </w:numPr>
      </w:pPr>
      <w:r>
        <w:t xml:space="preserve">ตาราง UBO + ผลคัดกรอง sanction/PEP</w:t>
      </w:r>
    </w:p>
    <w:p>
      <w:pPr>
        <w:pStyle w:val="Compact"/>
        <w:numPr>
          <w:ilvl w:val="0"/>
          <w:numId w:val="1037"/>
        </w:numPr>
      </w:pPr>
      <w:r>
        <w:t xml:space="preserve">รายชื่อคณะกรรมการ + CV + หนังสือรับรองการดำรงตำแหน่ง</w:t>
      </w:r>
      <w:r>
        <w:t xml:space="preserve"> </w:t>
      </w:r>
      <w:r>
        <w:rPr>
          <w:rStyle w:val="VerbatimChar"/>
        </w:rPr>
        <w:t xml:space="preserve">[TODO-BOARD]</w:t>
      </w:r>
    </w:p>
    <w:p>
      <w:pPr>
        <w:pStyle w:val="Compact"/>
        <w:numPr>
          <w:ilvl w:val="0"/>
          <w:numId w:val="1038"/>
        </w:numPr>
      </w:pPr>
      <w:r>
        <w:t xml:space="preserve">แบบ fit &amp; proper รายบุคคลครบทุกคน + เอกสารตรวจประวัติ</w:t>
      </w:r>
    </w:p>
    <w:p>
      <w:pPr>
        <w:pStyle w:val="Compact"/>
        <w:numPr>
          <w:ilvl w:val="0"/>
          <w:numId w:val="1039"/>
        </w:numPr>
      </w:pPr>
      <w:r>
        <w:t xml:space="preserve">กฎบัตรคณะกรรมการและคณะกรรมการชุดย่อย (Audit, Risk)</w:t>
      </w:r>
    </w:p>
    <w:p>
      <w:pPr>
        <w:pStyle w:val="Compact"/>
        <w:numPr>
          <w:ilvl w:val="0"/>
          <w:numId w:val="1040"/>
        </w:numPr>
      </w:pPr>
      <w:r>
        <w:t xml:space="preserve">ผลประเมิน FBL (กรณีต่างชาติ)</w:t>
      </w:r>
      <w:r>
        <w:t xml:space="preserve"> </w:t>
      </w:r>
      <w:r>
        <w:rPr>
          <w:rStyle w:val="VerbatimChar"/>
        </w:rPr>
        <w:t xml:space="preserve">[TODO-FBL]</w:t>
      </w:r>
    </w:p>
    <w:p>
      <w:r>
        <w:pict>
          <v:rect style="width:0;height:1.5pt" o:hralign="center" o:hrstd="t" o:hr="t"/>
        </w:pict>
      </w:r>
    </w:p>
    <w:bookmarkEnd w:id="145"/>
    <w:bookmarkEnd w:id="146"/>
    <w:bookmarkStart w:id="172" w:name="X75c78a56f330a3159562e5f001e35f5643e7b36"/>
    <w:p>
      <w:pPr>
        <w:pStyle w:val="Heading1"/>
      </w:pPr>
      <w:r>
        <w:t xml:space="preserve">Shareholder structure, board composition, fit-and-proper declarations, ultimate beneficial ownership (English)</w:t>
      </w:r>
    </w:p>
    <w:p>
      <w:pPr>
        <w:pStyle w:val="BlockText"/>
      </w:pPr>
      <w:r>
        <w:t xml:space="preserve">Supporting document for the license application for</w:t>
      </w:r>
      <w:r>
        <w:t xml:space="preserve"> </w:t>
      </w:r>
      <w:r>
        <w:rPr>
          <w:b/>
          <w:bCs/>
        </w:rPr>
        <w:t xml:space="preserve">Electronic Payment Acquiring Service (Full Acquiring Gateway)</w:t>
      </w:r>
      <w:r>
        <w:t xml:space="preserve"> </w:t>
      </w:r>
      <w:r>
        <w:t xml:space="preserve">under the</w:t>
      </w:r>
      <w:r>
        <w:t xml:space="preserve"> </w:t>
      </w:r>
      <w:r>
        <w:rPr>
          <w:b/>
          <w:bCs/>
        </w:rPr>
        <w:t xml:space="preserve">Payment Systems Act B.E. 2560 (2017)</w:t>
      </w:r>
      <w:r>
        <w:t xml:space="preserve">, regulated by the</w:t>
      </w:r>
      <w:r>
        <w:t xml:space="preserve"> </w:t>
      </w:r>
      <w:r>
        <w:rPr>
          <w:b/>
          <w:bCs/>
        </w:rPr>
        <w:t xml:space="preserve">Bank of Thailand (BOT)</w:t>
      </w:r>
      <w:r>
        <w:t xml:space="preserve"> </w:t>
      </w:r>
      <w:r>
        <w:t xml:space="preserve">· paid-up capital THB 50 million.</w:t>
      </w:r>
      <w:r>
        <w:t xml:space="preserve"> </w:t>
      </w:r>
      <w:r>
        <w:t xml:space="preserve">Document set:</w:t>
      </w:r>
      <w:r>
        <w:t xml:space="preserve"> </w:t>
      </w:r>
      <w:r>
        <w:rPr>
          <w:rStyle w:val="VerbatimChar"/>
        </w:rPr>
        <w:t xml:space="preserve">03-shareholder-board-fit-proper.md</w:t>
      </w:r>
      <w:r>
        <w:t xml:space="preserve"> </w:t>
      </w:r>
      <w:r>
        <w:t xml:space="preserve">— cross-references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b/>
          <w:bCs/>
        </w:rPr>
        <w:t xml:space="preserve">Disclaimer:</w:t>
      </w:r>
      <w:r>
        <w:t xml:space="preserve"> </w:t>
      </w:r>
      <w:r>
        <w:t xml:space="preserve">This is a practical template, not legal advice. It must be reviewed by BOT-licensing legal counsel before submission.</w:t>
      </w:r>
    </w:p>
    <w:p>
      <w:r>
        <w:pict>
          <v:rect style="width:0;height:1.5pt" o:hralign="center" o:hrstd="t" o:hr="t"/>
        </w:pict>
      </w:r>
    </w:p>
    <w:p>
      <w:pPr>
        <w:pStyle w:val="BlockText"/>
      </w:pPr>
      <w:r>
        <w:rPr>
          <w:b/>
          <w:bCs/>
        </w:rPr>
        <w:t xml:space="preserve">⚠️ ASSUMPTIONS / OPEN TODOs to close before actual submission</w:t>
      </w:r>
    </w:p>
    <w:p>
      <w:pPr>
        <w:pStyle w:val="BlockText"/>
      </w:pPr>
      <w:r>
        <w:t xml:space="preserve">The following are</w:t>
      </w:r>
      <w:r>
        <w:t xml:space="preserve"> </w:t>
      </w:r>
      <w:r>
        <w:rPr>
          <w:i/>
          <w:iCs/>
        </w:rPr>
        <w:t xml:space="preserve">real figures/counterparties</w:t>
      </w:r>
      <w:r>
        <w:t xml:space="preserve"> </w:t>
      </w:r>
      <w:r>
        <w:t xml:space="preserve">not yet bound in this document. Do NOT populate them with invented data when filing with the BOT.</w:t>
      </w:r>
    </w:p>
    <w:p>
      <w:pPr>
        <w:pStyle w:val="Compact"/>
        <w:numPr>
          <w:ilvl w:val="0"/>
          <w:numId w:val="1041"/>
        </w:numPr>
      </w:pPr>
      <w:r>
        <w:rPr>
          <w:b/>
          <w:bCs/>
        </w:rPr>
        <w:t xml:space="preserve">[TODO-CAP]</w:t>
      </w:r>
      <w:r>
        <w:t xml:space="preserve"> </w:t>
      </w:r>
      <w:r>
        <w:t xml:space="preserve">Actual paid-up capital and proof of payment (bank statement / bank confirmation letter) — must be</w:t>
      </w:r>
      <w:r>
        <w:t xml:space="preserve"> </w:t>
      </w:r>
      <w:r>
        <w:rPr>
          <w:b/>
          <w:bCs/>
        </w:rPr>
        <w:t xml:space="preserve">≥ THB 50,000,000</w:t>
      </w:r>
      <w:r>
        <w:t xml:space="preserve"> </w:t>
      </w:r>
      <w:r>
        <w:t xml:space="preserve">and maintained at</w:t>
      </w:r>
      <w:r>
        <w:t xml:space="preserve"> </w:t>
      </w:r>
      <w:r>
        <w:rPr>
          <w:b/>
          <w:bCs/>
        </w:rPr>
        <w:t xml:space="preserve">≥ 75%</w:t>
      </w:r>
      <w:r>
        <w:t xml:space="preserve"> </w:t>
      </w:r>
      <w:r>
        <w:t xml:space="preserve">throughout operations.</w:t>
      </w:r>
    </w:p>
    <w:p>
      <w:pPr>
        <w:pStyle w:val="Compact"/>
        <w:numPr>
          <w:ilvl w:val="0"/>
          <w:numId w:val="1041"/>
        </w:numPr>
      </w:pPr>
      <w:r>
        <w:rPr>
          <w:b/>
          <w:bCs/>
        </w:rPr>
        <w:t xml:space="preserve">[TODO-SPONSOR]</w:t>
      </w:r>
      <w:r>
        <w:t xml:space="preserve"> </w:t>
      </w:r>
      <w:r>
        <w:t xml:space="preserve">Sponsor bank / card scheme counterparty (Visa/Mastercard) — not yet finalized; affects strategic shareholding and scheme conditions.</w:t>
      </w:r>
    </w:p>
    <w:p>
      <w:pPr>
        <w:pStyle w:val="Compact"/>
        <w:numPr>
          <w:ilvl w:val="0"/>
          <w:numId w:val="1041"/>
        </w:numPr>
      </w:pPr>
      <w:r>
        <w:rPr>
          <w:b/>
          <w:bCs/>
        </w:rPr>
        <w:t xml:space="preserve">[TODO-QSA]</w:t>
      </w:r>
      <w:r>
        <w:t xml:space="preserve"> </w:t>
      </w:r>
      <w:r>
        <w:t xml:space="preserve">PCI-DSS assessor (QSA vendor) issuing the RoC — not yet selected (see</w:t>
      </w:r>
      <w:r>
        <w:t xml:space="preserve"> </w:t>
      </w:r>
      <w:r>
        <w:rPr>
          <w:rStyle w:val="VerbatimChar"/>
        </w:rPr>
        <w:t xml:space="preserve">ARCHITECTURE.md</w:t>
      </w:r>
      <w:r>
        <w:t xml:space="preserve"> </w:t>
      </w:r>
      <w:r>
        <w:t xml:space="preserve">§7).</w:t>
      </w:r>
    </w:p>
    <w:p>
      <w:pPr>
        <w:pStyle w:val="Compact"/>
        <w:numPr>
          <w:ilvl w:val="0"/>
          <w:numId w:val="1041"/>
        </w:numPr>
      </w:pPr>
      <w:r>
        <w:rPr>
          <w:b/>
          <w:bCs/>
        </w:rPr>
        <w:t xml:space="preserve">[TODO-UBO]</w:t>
      </w:r>
      <w:r>
        <w:t xml:space="preserve"> </w:t>
      </w:r>
      <w:r>
        <w:t xml:space="preserve">Actual UBO names, real shareholding percentages, and the full ownership chain down to natural persons — must be verified against the shareholder register (BorOorJor.5 /</w:t>
      </w:r>
      <w:r>
        <w:t xml:space="preserve"> </w:t>
      </w:r>
      <w:r>
        <w:t xml:space="preserve">“บอจ.5”</w:t>
      </w:r>
      <w:r>
        <w:t xml:space="preserve">) as of the filing date.</w:t>
      </w:r>
    </w:p>
    <w:p>
      <w:pPr>
        <w:pStyle w:val="Compact"/>
        <w:numPr>
          <w:ilvl w:val="0"/>
          <w:numId w:val="1041"/>
        </w:numPr>
      </w:pPr>
      <w:r>
        <w:rPr>
          <w:b/>
          <w:bCs/>
        </w:rPr>
        <w:t xml:space="preserve">[TODO-FBL]</w:t>
      </w:r>
      <w:r>
        <w:t xml:space="preserve"> </w:t>
      </w:r>
      <w:r>
        <w:t xml:space="preserve">If foreign shareholding exceeds the threshold, assess whether a Foreign Business License (FBL) is required under the Foreign Business Act B.E. 2542.</w:t>
      </w:r>
    </w:p>
    <w:p>
      <w:pPr>
        <w:pStyle w:val="Compact"/>
        <w:numPr>
          <w:ilvl w:val="0"/>
          <w:numId w:val="1041"/>
        </w:numPr>
      </w:pPr>
      <w:r>
        <w:rPr>
          <w:b/>
          <w:bCs/>
        </w:rPr>
        <w:t xml:space="preserve">[TODO-BOARD]</w:t>
      </w:r>
      <w:r>
        <w:t xml:space="preserve"> </w:t>
      </w:r>
      <w:r>
        <w:t xml:space="preserve">Actual directors / senior executives with CVs and complete fit &amp; proper documentation.</w:t>
      </w:r>
    </w:p>
    <w:p>
      <w:r>
        <w:pict>
          <v:rect style="width:0;height:1.5pt" o:hralign="center" o:hrstd="t" o:hr="t"/>
        </w:pict>
      </w:r>
    </w:p>
    <w:bookmarkStart w:id="147" w:name="purpose-and-scope"/>
    <w:p>
      <w:pPr>
        <w:pStyle w:val="Heading2"/>
      </w:pPr>
      <w:r>
        <w:t xml:space="preserve">1. Purpose and scope</w:t>
      </w:r>
    </w:p>
    <w:p>
      <w:pPr>
        <w:pStyle w:val="FirstParagraph"/>
      </w:pPr>
      <w:r>
        <w:t xml:space="preserve">This document demonstrates to the BOT that</w:t>
      </w:r>
      <w:r>
        <w:t xml:space="preserve"> </w:t>
      </w:r>
      <w:r>
        <w:rPr>
          <w:b/>
          <w:bCs/>
        </w:rPr>
        <w:t xml:space="preserve">[บริษัท / Company]</w:t>
      </w:r>
      <w:r>
        <w:t xml:space="preserve"> </w:t>
      </w:r>
      <w:r>
        <w:t xml:space="preserve">has (1) a transparent shareholder structure traceable to its ultimate beneficial owners (UBOs), (2) a board and management with appropriate composition, independence, and competence, (3) a systematic fit-and-proper assessment process, and (4) ongoing controls over shareholder/director changes after licensing.</w:t>
      </w:r>
    </w:p>
    <w:p>
      <w:pPr>
        <w:pStyle w:val="BodyText"/>
      </w:pPr>
      <w:r>
        <w:t xml:space="preserve">It is aligned with:</w:t>
      </w:r>
      <w:r>
        <w:t xml:space="preserve"> </w:t>
      </w:r>
      <w:r>
        <w:t xml:space="preserve">-</w:t>
      </w:r>
      <w:r>
        <w:t xml:space="preserve"> </w:t>
      </w:r>
      <w:r>
        <w:rPr>
          <w:b/>
          <w:bCs/>
        </w:rPr>
        <w:t xml:space="preserve">Payment Systems Act B.E. 2560</w:t>
      </w:r>
      <w:r>
        <w:t xml:space="preserve"> </w:t>
      </w:r>
      <w:r>
        <w:t xml:space="preserve">and related BOT notifications (governance, controlling persons, change reporting).</w:t>
      </w:r>
      <w:r>
        <w:t xml:space="preserve"> </w:t>
      </w:r>
      <w:r>
        <w:t xml:space="preserve">-</w:t>
      </w:r>
      <w:r>
        <w:t xml:space="preserve"> </w:t>
      </w:r>
      <w:r>
        <w:rPr>
          <w:b/>
          <w:bCs/>
        </w:rPr>
        <w:t xml:space="preserve">Anti-Money Laundering Act</w:t>
      </w:r>
      <w:r>
        <w:t xml:space="preserve"> </w:t>
      </w:r>
      <w:r>
        <w:t xml:space="preserve">— Anti-Money Laundering Office (AMLO): UBO identification per CDD principles.</w:t>
      </w:r>
      <w:r>
        <w:t xml:space="preserve"> </w:t>
      </w:r>
      <w:r>
        <w:t xml:space="preserve">-</w:t>
      </w:r>
      <w:r>
        <w:t xml:space="preserve"> </w:t>
      </w:r>
      <w:r>
        <w:rPr>
          <w:b/>
          <w:bCs/>
        </w:rPr>
        <w:t xml:space="preserve">Personal Data Protection Act B.E. 2562 (PDPA)</w:t>
      </w:r>
      <w:r>
        <w:t xml:space="preserve"> </w:t>
      </w:r>
      <w:r>
        <w:t xml:space="preserve">— PDPC: processing of directors’/shareholders’ personal data.</w:t>
      </w:r>
      <w:r>
        <w:t xml:space="preserve"> </w:t>
      </w:r>
      <w:r>
        <w:t xml:space="preserve">-</w:t>
      </w:r>
      <w:r>
        <w:t xml:space="preserve"> </w:t>
      </w:r>
      <w:r>
        <w:rPr>
          <w:b/>
          <w:bCs/>
        </w:rPr>
        <w:t xml:space="preserve">PCI-DSS v4.0</w:t>
      </w:r>
      <w:r>
        <w:t xml:space="preserve"> </w:t>
      </w:r>
      <w:r>
        <w:t xml:space="preserve">— personnel accessing the cardholder data environment (CDE) must undergo screening (Req. 12.x personnel screening).</w:t>
      </w:r>
    </w:p>
    <w:p>
      <w:r>
        <w:pict>
          <v:rect style="width:0;height:1.5pt" o:hralign="center" o:hrstd="t" o:hr="t"/>
        </w:pict>
      </w:r>
    </w:p>
    <w:bookmarkEnd w:id="147"/>
    <w:bookmarkStart w:id="151" w:name="shareholder-structure"/>
    <w:p>
      <w:pPr>
        <w:pStyle w:val="Heading2"/>
      </w:pPr>
      <w:r>
        <w:t xml:space="preserve">2. Shareholder structure</w:t>
      </w:r>
    </w:p>
    <w:bookmarkStart w:id="148" w:name="principles"/>
    <w:p>
      <w:pPr>
        <w:pStyle w:val="Heading3"/>
      </w:pPr>
      <w:r>
        <w:t xml:space="preserve">2.1 Principles</w:t>
      </w:r>
    </w:p>
    <w:p>
      <w:pPr>
        <w:pStyle w:val="Compact"/>
        <w:numPr>
          <w:ilvl w:val="0"/>
          <w:numId w:val="1042"/>
        </w:numPr>
      </w:pPr>
      <w:r>
        <w:t xml:space="preserve">Paid-up capital</w:t>
      </w:r>
      <w:r>
        <w:t xml:space="preserve"> </w:t>
      </w:r>
      <w:r>
        <w:rPr>
          <w:b/>
          <w:bCs/>
        </w:rPr>
        <w:t xml:space="preserve">≥ THB 50,000,000</w:t>
      </w:r>
      <w:r>
        <w:t xml:space="preserve"> </w:t>
      </w:r>
      <w:r>
        <w:t xml:space="preserve">(Acquiring threshold per</w:t>
      </w:r>
      <w:r>
        <w:t xml:space="preserve"> </w:t>
      </w:r>
      <w:r>
        <w:rPr>
          <w:rStyle w:val="VerbatimChar"/>
        </w:rPr>
        <w:t xml:space="preserve">COMPLIANCE-TH.md</w:t>
      </w:r>
      <w:r>
        <w:t xml:space="preserve"> </w:t>
      </w:r>
      <w:r>
        <w:t xml:space="preserve">§2), maintained at</w:t>
      </w:r>
      <w:r>
        <w:t xml:space="preserve"> </w:t>
      </w:r>
      <w:r>
        <w:rPr>
          <w:b/>
          <w:bCs/>
        </w:rPr>
        <w:t xml:space="preserve">≥ 75%</w:t>
      </w:r>
      <w:r>
        <w:t xml:space="preserve"> </w:t>
      </w:r>
      <w:r>
        <w:t xml:space="preserve">at all times — capital adequacy monitored quarterly.</w:t>
      </w:r>
    </w:p>
    <w:p>
      <w:pPr>
        <w:pStyle w:val="Compact"/>
        <w:numPr>
          <w:ilvl w:val="0"/>
          <w:numId w:val="1042"/>
        </w:numPr>
      </w:pPr>
      <w:r>
        <w:t xml:space="preserve">Every tier of ownership is traceable to the</w:t>
      </w:r>
      <w:r>
        <w:t xml:space="preserve"> </w:t>
      </w:r>
      <w:r>
        <w:rPr>
          <w:b/>
          <w:bCs/>
        </w:rPr>
        <w:t xml:space="preserve">natural persons</w:t>
      </w:r>
      <w:r>
        <w:t xml:space="preserve"> </w:t>
      </w:r>
      <w:r>
        <w:t xml:space="preserve">who are UBOs.</w:t>
      </w:r>
    </w:p>
    <w:p>
      <w:pPr>
        <w:pStyle w:val="Compact"/>
        <w:numPr>
          <w:ilvl w:val="0"/>
          <w:numId w:val="1042"/>
        </w:numPr>
      </w:pPr>
      <w:r>
        <w:t xml:space="preserve">At least</w:t>
      </w:r>
      <w:r>
        <w:t xml:space="preserve"> </w:t>
      </w:r>
      <w:r>
        <w:rPr>
          <w:b/>
          <w:bCs/>
        </w:rPr>
        <w:t xml:space="preserve">1 director must be a Thai national resident in Thailand</w:t>
      </w:r>
      <w:r>
        <w:t xml:space="preserve"> </w:t>
      </w:r>
      <w:r>
        <w:t xml:space="preserve">(per §3 of</w:t>
      </w:r>
      <w:r>
        <w:t xml:space="preserve"> </w:t>
      </w:r>
      <w:r>
        <w:rPr>
          <w:rStyle w:val="VerbatimChar"/>
        </w:rPr>
        <w:t xml:space="preserve">COMPLIANCE-TH.md</w:t>
      </w:r>
      <w:r>
        <w:t xml:space="preserve">).</w:t>
      </w:r>
    </w:p>
    <w:p>
      <w:pPr>
        <w:pStyle w:val="Compact"/>
        <w:numPr>
          <w:ilvl w:val="0"/>
          <w:numId w:val="1042"/>
        </w:numPr>
      </w:pPr>
      <w:r>
        <w:t xml:space="preserve">Nested holding layers that obscure UBO traceability are</w:t>
      </w:r>
      <w:r>
        <w:t xml:space="preserve"> </w:t>
      </w:r>
      <w:r>
        <w:rPr>
          <w:b/>
          <w:bCs/>
        </w:rPr>
        <w:t xml:space="preserve">not permitted</w:t>
      </w:r>
      <w:r>
        <w:t xml:space="preserve"> </w:t>
      </w:r>
      <w:r>
        <w:t xml:space="preserve">unless a defensible business rationale is fully disclosed.</w:t>
      </w:r>
    </w:p>
    <w:bookmarkEnd w:id="148"/>
    <w:bookmarkStart w:id="149" w:name="Xb352f145b43d4c06b162358d0fc9818e1494fb8"/>
    <w:p>
      <w:pPr>
        <w:pStyle w:val="Heading3"/>
      </w:pPr>
      <w:r>
        <w:t xml:space="preserve">2.2 Shareholder table (template — populate from BorOorJor.5)</w:t>
      </w:r>
    </w:p>
    <w:tbl>
      <w:tblPr>
        <w:tblStyle w:val="Table"/>
        <w:tblW w:type="pct" w:w="5000"/>
        <w:tblLayout w:type="fixed"/>
        <w:tblLook w:firstRow="1" w:lastRow="0" w:firstColumn="0" w:lastColumn="0" w:noHBand="0" w:noVBand="0" w:val="0020"/>
      </w:tblPr>
      <w:tblGrid>
        <w:gridCol w:w="325"/>
        <w:gridCol w:w="1410"/>
        <w:gridCol w:w="650"/>
        <w:gridCol w:w="1410"/>
        <w:gridCol w:w="867"/>
        <w:gridCol w:w="1410"/>
        <w:gridCol w:w="1084"/>
        <w:gridCol w:w="759"/>
      </w:tblGrid>
      <w:tr>
        <w:trPr>
          <w:tblHeader w:val="on"/>
        </w:trPr>
        <w:tc>
          <w:tcPr/>
          <w:p>
            <w:pPr>
              <w:pStyle w:val="Compact"/>
            </w:pPr>
            <w:r>
              <w:t xml:space="preserve">#</w:t>
            </w:r>
          </w:p>
        </w:tc>
        <w:tc>
          <w:tcPr/>
          <w:p>
            <w:pPr>
              <w:pStyle w:val="Compact"/>
            </w:pPr>
            <w:r>
              <w:t xml:space="preserve">Shareholder</w:t>
            </w:r>
          </w:p>
        </w:tc>
        <w:tc>
          <w:tcPr/>
          <w:p>
            <w:pPr>
              <w:pStyle w:val="Compact"/>
            </w:pPr>
            <w:r>
              <w:t xml:space="preserve">Type</w:t>
            </w:r>
          </w:p>
        </w:tc>
        <w:tc>
          <w:tcPr/>
          <w:p>
            <w:pPr>
              <w:pStyle w:val="Compact"/>
            </w:pPr>
            <w:r>
              <w:t xml:space="preserve">Nationality</w:t>
            </w:r>
          </w:p>
        </w:tc>
        <w:tc>
          <w:tcPr/>
          <w:p>
            <w:pPr>
              <w:pStyle w:val="Compact"/>
            </w:pPr>
            <w:r>
              <w:t xml:space="preserve">Shares</w:t>
            </w:r>
          </w:p>
        </w:tc>
        <w:tc>
          <w:tcPr/>
          <w:p>
            <w:pPr>
              <w:pStyle w:val="Compact"/>
            </w:pPr>
            <w:r>
              <w:t xml:space="preserve">Ownership %</w:t>
            </w:r>
          </w:p>
        </w:tc>
        <w:tc>
          <w:tcPr/>
          <w:p>
            <w:pPr>
              <w:pStyle w:val="Compact"/>
            </w:pPr>
            <w:r>
              <w:t xml:space="preserve">Voting %</w:t>
            </w:r>
          </w:p>
        </w:tc>
        <w:tc>
          <w:tcPr/>
          <w:p>
            <w:pPr>
              <w:pStyle w:val="Compact"/>
            </w:pPr>
            <w:r>
              <w:t xml:space="preserve">Notes</w:t>
            </w:r>
          </w:p>
        </w:tc>
      </w:tr>
      <w:tr>
        <w:tc>
          <w:tcPr/>
          <w:p>
            <w:pPr>
              <w:pStyle w:val="Compact"/>
            </w:pPr>
            <w:r>
              <w:t xml:space="preserve">1</w:t>
            </w:r>
          </w:p>
        </w:tc>
        <w:tc>
          <w:tcPr/>
          <w:p>
            <w:pPr>
              <w:pStyle w:val="Compact"/>
            </w:pPr>
            <w:r>
              <w:rPr>
                <w:rStyle w:val="VerbatimChar"/>
              </w:rPr>
              <w:t xml:space="preserve">[Founder/Person A]</w:t>
            </w:r>
          </w:p>
        </w:tc>
        <w:tc>
          <w:tcPr/>
          <w:p>
            <w:pPr>
              <w:pStyle w:val="Compact"/>
            </w:pPr>
            <w:r>
              <w:t xml:space="preserve">Individual</w:t>
            </w:r>
          </w:p>
        </w:tc>
        <w:tc>
          <w:tcPr/>
          <w:p>
            <w:pPr>
              <w:pStyle w:val="Compact"/>
            </w:pPr>
            <w:r>
              <w:t xml:space="preserve">Thai</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t xml:space="preserve">UBO</w:t>
            </w:r>
          </w:p>
        </w:tc>
      </w:tr>
      <w:tr>
        <w:tc>
          <w:tcPr/>
          <w:p>
            <w:pPr>
              <w:pStyle w:val="Compact"/>
            </w:pPr>
            <w:r>
              <w:t xml:space="preserve">2</w:t>
            </w:r>
          </w:p>
        </w:tc>
        <w:tc>
          <w:tcPr/>
          <w:p>
            <w:pPr>
              <w:pStyle w:val="Compact"/>
            </w:pPr>
            <w:r>
              <w:rPr>
                <w:rStyle w:val="VerbatimChar"/>
              </w:rPr>
              <w:t xml:space="preserve">[Holding Co. B]</w:t>
            </w:r>
          </w:p>
        </w:tc>
        <w:tc>
          <w:tcPr/>
          <w:p>
            <w:pPr>
              <w:pStyle w:val="Compact"/>
            </w:pPr>
            <w:r>
              <w:t xml:space="preserve">Legal entity</w:t>
            </w:r>
          </w:p>
        </w:tc>
        <w:tc>
          <w:tcPr/>
          <w:p>
            <w:pPr>
              <w:pStyle w:val="Compact"/>
            </w:pPr>
            <w:r>
              <w:t xml:space="preserve">Thai</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t xml:space="preserve">Expand ownership chain</w:t>
            </w:r>
          </w:p>
        </w:tc>
      </w:tr>
      <w:tr>
        <w:tc>
          <w:tcPr/>
          <w:p>
            <w:pPr>
              <w:pStyle w:val="Compact"/>
            </w:pPr>
            <w:r>
              <w:t xml:space="preserve">3</w:t>
            </w:r>
          </w:p>
        </w:tc>
        <w:tc>
          <w:tcPr/>
          <w:p>
            <w:pPr>
              <w:pStyle w:val="Compact"/>
            </w:pPr>
            <w:r>
              <w:rPr>
                <w:rStyle w:val="VerbatimChar"/>
              </w:rPr>
              <w:t xml:space="preserve">[Investor C]</w:t>
            </w:r>
          </w:p>
        </w:tc>
        <w:tc>
          <w:tcPr/>
          <w:p>
            <w:pPr>
              <w:pStyle w:val="Compact"/>
            </w:pPr>
            <w:r>
              <w:t xml:space="preserve">Legal/foreign</w:t>
            </w:r>
          </w:p>
        </w:tc>
        <w:tc>
          <w:tcPr/>
          <w:p>
            <w:pPr>
              <w:pStyle w:val="Compact"/>
            </w:pPr>
            <w:r>
              <w:rPr>
                <w:rStyle w:val="VerbatimChar"/>
              </w:rPr>
              <w:t xml:space="preserve">[TODO]</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rPr>
                <w:rStyle w:val="VerbatimChar"/>
              </w:rPr>
              <w:t xml:space="preserve">[TODO-UBO]</w:t>
            </w:r>
          </w:p>
        </w:tc>
        <w:tc>
          <w:tcPr/>
          <w:p>
            <w:pPr>
              <w:pStyle w:val="Compact"/>
            </w:pPr>
            <w:r>
              <w:t xml:space="preserve">Check FBL</w:t>
            </w:r>
            <w:r>
              <w:t xml:space="preserve"> </w:t>
            </w:r>
            <w:r>
              <w:rPr>
                <w:rStyle w:val="VerbatimChar"/>
              </w:rPr>
              <w:t xml:space="preserve">[TODO-FBL]</w:t>
            </w:r>
          </w:p>
        </w:tc>
      </w:tr>
      <w:tr>
        <w:tc>
          <w:tcPr/>
          <w:p>
            <w:pPr>
              <w:pStyle w:val="Compact"/>
            </w:pPr>
            <w:r>
              <w:t xml:space="preserve">—</w:t>
            </w:r>
          </w:p>
        </w:tc>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r>
              <w:rPr>
                <w:b/>
                <w:bCs/>
              </w:rPr>
              <w:t xml:space="preserve">100%</w:t>
            </w:r>
          </w:p>
        </w:tc>
        <w:tc>
          <w:tcPr/>
          <w:p>
            <w:pPr>
              <w:pStyle w:val="Compact"/>
            </w:pPr>
            <w:r>
              <w:rPr>
                <w:b/>
                <w:bCs/>
              </w:rPr>
              <w:t xml:space="preserve">100%</w:t>
            </w:r>
          </w:p>
        </w:tc>
        <w:tc>
          <w:tcPr/>
          <w:p>
            <w:pPr>
              <w:pStyle w:val="Compact"/>
            </w:pPr>
          </w:p>
        </w:tc>
      </w:tr>
    </w:tbl>
    <w:p>
      <w:pPr>
        <w:pStyle w:val="BlockText"/>
      </w:pPr>
      <w:r>
        <w:t xml:space="preserve">Aggregate foreign ownership across all tiers:</w:t>
      </w:r>
      <w:r>
        <w:t xml:space="preserve"> </w:t>
      </w:r>
      <w:r>
        <w:rPr>
          <w:rStyle w:val="VerbatimChar"/>
        </w:rPr>
        <w:t xml:space="preserve">[TODO-FBL]</w:t>
      </w:r>
      <w:r>
        <w:t xml:space="preserve"> </w:t>
      </w:r>
      <w:r>
        <w:t xml:space="preserve">— if</w:t>
      </w:r>
      <w:r>
        <w:t xml:space="preserve"> </w:t>
      </w:r>
      <w:r>
        <w:rPr>
          <w:b/>
          <w:bCs/>
        </w:rPr>
        <w:t xml:space="preserve">≥ 50%</w:t>
      </w:r>
      <w:r>
        <w:t xml:space="preserve">, assess FBL necessity and impact on BOT conditions.</w:t>
      </w:r>
    </w:p>
    <w:bookmarkEnd w:id="149"/>
    <w:bookmarkStart w:id="150" w:name="thresholds-requiring-reportingapproval"/>
    <w:p>
      <w:pPr>
        <w:pStyle w:val="Heading3"/>
      </w:pPr>
      <w:r>
        <w:t xml:space="preserve">2.3 Thresholds requiring reporting/approval</w:t>
      </w:r>
    </w:p>
    <w:tbl>
      <w:tblPr>
        <w:tblStyle w:val="Table"/>
        <w:tblW w:type="pct" w:w="5000"/>
        <w:tblLayout w:type="fixed"/>
        <w:tblLook w:firstRow="1" w:lastRow="0" w:firstColumn="0" w:lastColumn="0" w:noHBand="0" w:noVBand="0" w:val="0020"/>
      </w:tblPr>
      <w:tblGrid>
        <w:gridCol w:w="2132"/>
        <w:gridCol w:w="3350"/>
        <w:gridCol w:w="2436"/>
      </w:tblGrid>
      <w:tr>
        <w:trPr>
          <w:tblHeader w:val="on"/>
        </w:trPr>
        <w:tc>
          <w:tcPr/>
          <w:p>
            <w:pPr>
              <w:pStyle w:val="Compact"/>
            </w:pPr>
            <w:r>
              <w:t xml:space="preserve">Event</w:t>
            </w:r>
          </w:p>
        </w:tc>
        <w:tc>
          <w:tcPr/>
          <w:p>
            <w:pPr>
              <w:pStyle w:val="Compact"/>
            </w:pPr>
            <w:r>
              <w:t xml:space="preserve">Threshold</w:t>
            </w:r>
          </w:p>
        </w:tc>
        <w:tc>
          <w:tcPr/>
          <w:p>
            <w:pPr>
              <w:pStyle w:val="Compact"/>
            </w:pPr>
            <w:r>
              <w:t xml:space="preserve">Action</w:t>
            </w:r>
          </w:p>
        </w:tc>
      </w:tr>
      <w:tr>
        <w:tc>
          <w:tcPr/>
          <w:p>
            <w:pPr>
              <w:pStyle w:val="Compact"/>
            </w:pPr>
            <w:r>
              <w:t xml:space="preserve">Major shareholder</w:t>
            </w:r>
          </w:p>
        </w:tc>
        <w:tc>
          <w:tcPr/>
          <w:p>
            <w:pPr>
              <w:pStyle w:val="Compact"/>
            </w:pPr>
            <w:r>
              <w:t xml:space="preserve">Holds</w:t>
            </w:r>
            <w:r>
              <w:t xml:space="preserve"> </w:t>
            </w:r>
            <w:r>
              <w:rPr>
                <w:b/>
                <w:bCs/>
              </w:rPr>
              <w:t xml:space="preserve">≥ 10%</w:t>
            </w:r>
            <w:r>
              <w:t xml:space="preserve"> </w:t>
            </w:r>
            <w:r>
              <w:t xml:space="preserve">of capital or voting rights</w:t>
            </w:r>
          </w:p>
        </w:tc>
        <w:tc>
          <w:tcPr/>
          <w:p>
            <w:pPr>
              <w:pStyle w:val="Compact"/>
            </w:pPr>
            <w:r>
              <w:t xml:space="preserve">Must pass fit &amp; proper and be reported to BOT</w:t>
            </w:r>
          </w:p>
        </w:tc>
      </w:tr>
      <w:tr>
        <w:tc>
          <w:tcPr/>
          <w:p>
            <w:pPr>
              <w:pStyle w:val="Compact"/>
            </w:pPr>
            <w:r>
              <w:t xml:space="preserve">Change of controlling person</w:t>
            </w:r>
          </w:p>
        </w:tc>
        <w:tc>
          <w:tcPr/>
          <w:p>
            <w:pPr>
              <w:pStyle w:val="Compact"/>
            </w:pPr>
            <w:r>
              <w:t xml:space="preserve">Acquisition/change of control of the company</w:t>
            </w:r>
          </w:p>
        </w:tc>
        <w:tc>
          <w:tcPr/>
          <w:p>
            <w:pPr>
              <w:pStyle w:val="Compact"/>
            </w:pPr>
            <w:r>
              <w:rPr>
                <w:b/>
                <w:bCs/>
              </w:rPr>
              <w:t xml:space="preserve">Prior BOT notification/approval</w:t>
            </w:r>
            <w:r>
              <w:t xml:space="preserve"> </w:t>
            </w:r>
            <w:r>
              <w:t xml:space="preserve">per relevant notification</w:t>
            </w:r>
          </w:p>
        </w:tc>
      </w:tr>
      <w:tr>
        <w:tc>
          <w:tcPr/>
          <w:p>
            <w:pPr>
              <w:pStyle w:val="Compact"/>
            </w:pPr>
            <w:r>
              <w:t xml:space="preserve">Ownership change ≥ 5%</w:t>
            </w:r>
          </w:p>
        </w:tc>
        <w:tc>
          <w:tcPr/>
          <w:p>
            <w:pPr>
              <w:pStyle w:val="Compact"/>
            </w:pPr>
            <w:r>
              <w:t xml:space="preserve">Crossing 5%, 10%, 25%, 50% bands</w:t>
            </w:r>
          </w:p>
        </w:tc>
        <w:tc>
          <w:tcPr/>
          <w:p>
            <w:pPr>
              <w:pStyle w:val="Compact"/>
            </w:pPr>
            <w:r>
              <w:t xml:space="preserve">Record in register; assess impact on license conditions</w:t>
            </w:r>
          </w:p>
        </w:tc>
      </w:tr>
      <w:tr>
        <w:tc>
          <w:tcPr/>
          <w:p>
            <w:pPr>
              <w:pStyle w:val="Compact"/>
            </w:pPr>
            <w:r>
              <w:t xml:space="preserve">Capital reduction</w:t>
            </w:r>
          </w:p>
        </w:tc>
        <w:tc>
          <w:tcPr/>
          <w:p>
            <w:pPr>
              <w:pStyle w:val="Compact"/>
            </w:pPr>
            <w:r>
              <w:t xml:space="preserve">Below threshold or below 75%</w:t>
            </w:r>
          </w:p>
        </w:tc>
        <w:tc>
          <w:tcPr/>
          <w:p>
            <w:pPr>
              <w:pStyle w:val="Compact"/>
            </w:pPr>
            <w:r>
              <w:rPr>
                <w:b/>
                <w:bCs/>
              </w:rPr>
              <w:t xml:space="preserve">Prohibited</w:t>
            </w:r>
            <w:r>
              <w:t xml:space="preserve"> </w:t>
            </w:r>
            <w:r>
              <w:t xml:space="preserve">unless BOT approval obtained in advance</w:t>
            </w:r>
          </w:p>
        </w:tc>
      </w:tr>
    </w:tbl>
    <w:p>
      <w:r>
        <w:pict>
          <v:rect style="width:0;height:1.5pt" o:hralign="center" o:hrstd="t" o:hr="t"/>
        </w:pict>
      </w:r>
    </w:p>
    <w:bookmarkEnd w:id="150"/>
    <w:bookmarkEnd w:id="151"/>
    <w:bookmarkStart w:id="155" w:name="ultimate-beneficial-ownership-ubo"/>
    <w:p>
      <w:pPr>
        <w:pStyle w:val="Heading2"/>
      </w:pPr>
      <w:r>
        <w:t xml:space="preserve">3. Ultimate Beneficial Ownership (UBO)</w:t>
      </w:r>
    </w:p>
    <w:bookmarkStart w:id="152" w:name="X6ce0c33e1cafb21501330bee8f77e8ce6566a7b"/>
    <w:p>
      <w:pPr>
        <w:pStyle w:val="Heading3"/>
      </w:pPr>
      <w:r>
        <w:t xml:space="preserve">3.1 Definition and identification (aligned with AMLO)</w:t>
      </w:r>
    </w:p>
    <w:p>
      <w:pPr>
        <w:pStyle w:val="FirstParagraph"/>
      </w:pPr>
      <w:r>
        <w:rPr>
          <w:b/>
          <w:bCs/>
        </w:rPr>
        <w:t xml:space="preserve">UBO</w:t>
      </w:r>
      <w:r>
        <w:t xml:space="preserve"> </w:t>
      </w:r>
      <w:r>
        <w:t xml:space="preserve">= a natural person who (a) directly/indirectly holds shares or voting rights</w:t>
      </w:r>
      <w:r>
        <w:t xml:space="preserve"> </w:t>
      </w:r>
      <w:r>
        <w:rPr>
          <w:b/>
          <w:bCs/>
        </w:rPr>
        <w:t xml:space="preserve">≥ 25%</w:t>
      </w:r>
      <w:r>
        <w:t xml:space="preserve">, or (b) exercises control by other means (e.g., right to appoint the majority of directors, shareholder agreements), or (c) where none can be identified under (a)/(b), the</w:t>
      </w:r>
      <w:r>
        <w:t xml:space="preserve"> </w:t>
      </w:r>
      <w:r>
        <w:rPr>
          <w:b/>
          <w:bCs/>
        </w:rPr>
        <w:t xml:space="preserve">most senior managing official</w:t>
      </w:r>
      <w:r>
        <w:t xml:space="preserve"> </w:t>
      </w:r>
      <w:r>
        <w:t xml:space="preserve">is designated as UBO.</w:t>
      </w:r>
    </w:p>
    <w:bookmarkEnd w:id="152"/>
    <w:bookmarkStart w:id="153" w:name="ubo-verification-procedure"/>
    <w:p>
      <w:pPr>
        <w:pStyle w:val="Heading3"/>
      </w:pPr>
      <w:r>
        <w:t xml:space="preserve">3.2 UBO verification procedure</w:t>
      </w:r>
    </w:p>
    <w:p>
      <w:pPr>
        <w:pStyle w:val="Compact"/>
        <w:numPr>
          <w:ilvl w:val="0"/>
          <w:numId w:val="1043"/>
        </w:numPr>
      </w:pPr>
      <w:r>
        <w:t xml:space="preserve">Collect shareholder registers (BorOorJor.5) and company affidavits at every tier.</w:t>
      </w:r>
    </w:p>
    <w:p>
      <w:pPr>
        <w:pStyle w:val="Compact"/>
        <w:numPr>
          <w:ilvl w:val="0"/>
          <w:numId w:val="1043"/>
        </w:numPr>
      </w:pPr>
      <w:r>
        <w:t xml:space="preserve">Build an</w:t>
      </w:r>
      <w:r>
        <w:t xml:space="preserve"> </w:t>
      </w:r>
      <w:r>
        <w:rPr>
          <w:b/>
          <w:bCs/>
        </w:rPr>
        <w:t xml:space="preserve">ownership chain diagram</w:t>
      </w:r>
      <w:r>
        <w:t xml:space="preserve"> </w:t>
      </w:r>
      <w:r>
        <w:t xml:space="preserve">from legal entities down to natural persons; compute indirect stakes by multiplication of holdings across tiers.</w:t>
      </w:r>
    </w:p>
    <w:p>
      <w:pPr>
        <w:pStyle w:val="Compact"/>
        <w:numPr>
          <w:ilvl w:val="0"/>
          <w:numId w:val="1043"/>
        </w:numPr>
      </w:pPr>
      <w:r>
        <w:t xml:space="preserve">Identify all UBOs meeting the 25% threshold or exercising control.</w:t>
      </w:r>
    </w:p>
    <w:p>
      <w:pPr>
        <w:pStyle w:val="Compact"/>
        <w:numPr>
          <w:ilvl w:val="0"/>
          <w:numId w:val="1043"/>
        </w:numPr>
      </w:pPr>
      <w:r>
        <w:t xml:space="preserve">Screen UBOs against</w:t>
      </w:r>
      <w:r>
        <w:t xml:space="preserve"> </w:t>
      </w:r>
      <w:r>
        <w:rPr>
          <w:b/>
          <w:bCs/>
        </w:rPr>
        <w:t xml:space="preserve">sanction lists</w:t>
      </w:r>
      <w:r>
        <w:t xml:space="preserve"> </w:t>
      </w:r>
      <w:r>
        <w:t xml:space="preserve">(UN, OFAC, EU) and</w:t>
      </w:r>
      <w:r>
        <w:t xml:space="preserve"> </w:t>
      </w:r>
      <w:r>
        <w:rPr>
          <w:b/>
          <w:bCs/>
        </w:rPr>
        <w:t xml:space="preserve">PEP</w:t>
      </w:r>
      <w:r>
        <w:t xml:space="preserve"> </w:t>
      </w:r>
      <w:r>
        <w:t xml:space="preserve">lists before filing and review at least annually.</w:t>
      </w:r>
    </w:p>
    <w:p>
      <w:pPr>
        <w:pStyle w:val="Compact"/>
        <w:numPr>
          <w:ilvl w:val="0"/>
          <w:numId w:val="1043"/>
        </w:numPr>
      </w:pPr>
      <w:r>
        <w:t xml:space="preserve">Store identity documents (national ID/passport) under PDPA controls (see §7).</w:t>
      </w:r>
    </w:p>
    <w:bookmarkEnd w:id="153"/>
    <w:bookmarkStart w:id="154" w:name="ubo-table-template"/>
    <w:p>
      <w:pPr>
        <w:pStyle w:val="Heading3"/>
      </w:pPr>
      <w:r>
        <w:t xml:space="preserve">3.3 UBO table (template)</w:t>
      </w:r>
    </w:p>
    <w:tbl>
      <w:tblPr>
        <w:tblStyle w:val="Table"/>
        <w:tblW w:type="pct" w:w="5000"/>
        <w:tblLayout w:type="fixed"/>
        <w:tblLook w:firstRow="1" w:lastRow="0" w:firstColumn="0" w:lastColumn="0" w:noHBand="0" w:noVBand="0" w:val="0020"/>
      </w:tblPr>
      <w:tblGrid>
        <w:gridCol w:w="366"/>
        <w:gridCol w:w="953"/>
        <w:gridCol w:w="1173"/>
        <w:gridCol w:w="1613"/>
        <w:gridCol w:w="440"/>
        <w:gridCol w:w="2273"/>
        <w:gridCol w:w="1100"/>
      </w:tblGrid>
      <w:tr>
        <w:trPr>
          <w:tblHeader w:val="on"/>
        </w:trPr>
        <w:tc>
          <w:tcPr/>
          <w:p>
            <w:pPr>
              <w:pStyle w:val="Compact"/>
            </w:pPr>
            <w:r>
              <w:t xml:space="preserve">UBO</w:t>
            </w:r>
          </w:p>
        </w:tc>
        <w:tc>
          <w:tcPr/>
          <w:p>
            <w:pPr>
              <w:pStyle w:val="Compact"/>
            </w:pPr>
            <w:r>
              <w:t xml:space="preserve">Nationality</w:t>
            </w:r>
          </w:p>
        </w:tc>
        <w:tc>
          <w:tcPr/>
          <w:p>
            <w:pPr>
              <w:pStyle w:val="Compact"/>
            </w:pPr>
            <w:r>
              <w:t xml:space="preserve">Ownership path</w:t>
            </w:r>
          </w:p>
        </w:tc>
        <w:tc>
          <w:tcPr/>
          <w:p>
            <w:pPr>
              <w:pStyle w:val="Compact"/>
            </w:pPr>
            <w:r>
              <w:t xml:space="preserve">Aggregate indirect %</w:t>
            </w:r>
          </w:p>
        </w:tc>
        <w:tc>
          <w:tcPr/>
          <w:p>
            <w:pPr>
              <w:pStyle w:val="Compact"/>
            </w:pPr>
            <w:r>
              <w:t xml:space="preserve">PEP?</w:t>
            </w:r>
          </w:p>
        </w:tc>
        <w:tc>
          <w:tcPr/>
          <w:p>
            <w:pPr>
              <w:pStyle w:val="Compact"/>
            </w:pPr>
            <w:r>
              <w:t xml:space="preserve">Sanction/PEP screening result</w:t>
            </w:r>
          </w:p>
        </w:tc>
        <w:tc>
          <w:tcPr/>
          <w:p>
            <w:pPr>
              <w:pStyle w:val="Compact"/>
            </w:pPr>
            <w:r>
              <w:t xml:space="preserve">Last screened</w:t>
            </w:r>
          </w:p>
        </w:tc>
      </w:tr>
      <w:tr>
        <w:tc>
          <w:tcPr/>
          <w:p>
            <w:pPr>
              <w:pStyle w:val="Compact"/>
            </w:pPr>
            <w:r>
              <w:rPr>
                <w:rStyle w:val="VerbatimChar"/>
              </w:rPr>
              <w:t xml:space="preserve">[Person A]</w:t>
            </w:r>
          </w:p>
        </w:tc>
        <w:tc>
          <w:tcPr/>
          <w:p>
            <w:pPr>
              <w:pStyle w:val="Compact"/>
            </w:pPr>
            <w:r>
              <w:t xml:space="preserve">Thai</w:t>
            </w:r>
          </w:p>
        </w:tc>
        <w:tc>
          <w:tcPr/>
          <w:p>
            <w:pPr>
              <w:pStyle w:val="Compact"/>
            </w:pPr>
            <w:r>
              <w:t xml:space="preserve">Direct</w:t>
            </w:r>
          </w:p>
        </w:tc>
        <w:tc>
          <w:tcPr/>
          <w:p>
            <w:pPr>
              <w:pStyle w:val="Compact"/>
            </w:pPr>
            <w:r>
              <w:rPr>
                <w:rStyle w:val="VerbatimChar"/>
              </w:rPr>
              <w:t xml:space="preserve">[TODO-UBO]</w:t>
            </w:r>
          </w:p>
        </w:tc>
        <w:tc>
          <w:tcPr/>
          <w:p>
            <w:pPr>
              <w:pStyle w:val="Compact"/>
            </w:pPr>
            <w:r>
              <w:t xml:space="preserve">No/Yes</w:t>
            </w:r>
          </w:p>
        </w:tc>
        <w:tc>
          <w:tcPr/>
          <w:p>
            <w:pPr>
              <w:pStyle w:val="Compact"/>
            </w:pPr>
            <w:r>
              <w:t xml:space="preserve">Clear/</w:t>
            </w:r>
            <w:r>
              <w:rPr>
                <w:rStyle w:val="VerbatimChar"/>
              </w:rPr>
              <w:t xml:space="preserve">[TODO]</w:t>
            </w:r>
          </w:p>
        </w:tc>
        <w:tc>
          <w:tcPr/>
          <w:p>
            <w:pPr>
              <w:pStyle w:val="Compact"/>
            </w:pPr>
            <w:r>
              <w:rPr>
                <w:rStyle w:val="VerbatimChar"/>
              </w:rPr>
              <w:t xml:space="preserve">[TODO]</w:t>
            </w:r>
          </w:p>
        </w:tc>
      </w:tr>
      <w:tr>
        <w:tc>
          <w:tcPr/>
          <w:p>
            <w:pPr>
              <w:pStyle w:val="Compact"/>
            </w:pPr>
            <w:r>
              <w:rPr>
                <w:rStyle w:val="VerbatimChar"/>
              </w:rPr>
              <w:t xml:space="preserve">[Person X]</w:t>
            </w:r>
          </w:p>
        </w:tc>
        <w:tc>
          <w:tcPr/>
          <w:p>
            <w:pPr>
              <w:pStyle w:val="Compact"/>
            </w:pPr>
            <w:r>
              <w:rPr>
                <w:rStyle w:val="VerbatimChar"/>
              </w:rPr>
              <w:t xml:space="preserve">[TODO]</w:t>
            </w:r>
          </w:p>
        </w:tc>
        <w:tc>
          <w:tcPr/>
          <w:p>
            <w:pPr>
              <w:pStyle w:val="Compact"/>
            </w:pPr>
            <w:r>
              <w:t xml:space="preserve">via</w:t>
            </w:r>
            <w:r>
              <w:t xml:space="preserve"> </w:t>
            </w:r>
            <w:r>
              <w:rPr>
                <w:rStyle w:val="VerbatimChar"/>
              </w:rPr>
              <w:t xml:space="preserve">[Holding B]</w:t>
            </w:r>
          </w:p>
        </w:tc>
        <w:tc>
          <w:tcPr/>
          <w:p>
            <w:pPr>
              <w:pStyle w:val="Compact"/>
            </w:pPr>
            <w:r>
              <w:rPr>
                <w:rStyle w:val="VerbatimChar"/>
              </w:rPr>
              <w:t xml:space="preserve">[TODO-UBO]</w:t>
            </w:r>
          </w:p>
        </w:tc>
        <w:tc>
          <w:tcPr/>
          <w:p>
            <w:pPr>
              <w:pStyle w:val="Compact"/>
            </w:pPr>
            <w:r>
              <w:t xml:space="preserve">No/Yes</w:t>
            </w:r>
          </w:p>
        </w:tc>
        <w:tc>
          <w:tcPr/>
          <w:p>
            <w:pPr>
              <w:pStyle w:val="Compact"/>
            </w:pPr>
            <w:r>
              <w:t xml:space="preserve">Clear/</w:t>
            </w:r>
            <w:r>
              <w:rPr>
                <w:rStyle w:val="VerbatimChar"/>
              </w:rPr>
              <w:t xml:space="preserve">[TODO]</w:t>
            </w:r>
          </w:p>
        </w:tc>
        <w:tc>
          <w:tcPr/>
          <w:p>
            <w:pPr>
              <w:pStyle w:val="Compact"/>
            </w:pPr>
            <w:r>
              <w:rPr>
                <w:rStyle w:val="VerbatimChar"/>
              </w:rPr>
              <w:t xml:space="preserve">[TODO]</w:t>
            </w:r>
          </w:p>
        </w:tc>
      </w:tr>
    </w:tbl>
    <w:p>
      <w:r>
        <w:pict>
          <v:rect style="width:0;height:1.5pt" o:hralign="center" o:hrstd="t" o:hr="t"/>
        </w:pict>
      </w:r>
    </w:p>
    <w:bookmarkEnd w:id="154"/>
    <w:bookmarkEnd w:id="155"/>
    <w:bookmarkStart w:id="159" w:name="board-composition"/>
    <w:p>
      <w:pPr>
        <w:pStyle w:val="Heading2"/>
      </w:pPr>
      <w:r>
        <w:t xml:space="preserve">4. Board composition</w:t>
      </w:r>
    </w:p>
    <w:bookmarkStart w:id="156" w:name="governance-principles"/>
    <w:p>
      <w:pPr>
        <w:pStyle w:val="Heading3"/>
      </w:pPr>
      <w:r>
        <w:t xml:space="preserve">4.1 Governance principles</w:t>
      </w:r>
    </w:p>
    <w:p>
      <w:pPr>
        <w:pStyle w:val="Compact"/>
        <w:numPr>
          <w:ilvl w:val="0"/>
          <w:numId w:val="1044"/>
        </w:numPr>
      </w:pPr>
      <w:r>
        <w:t xml:space="preserve">Board size:</w:t>
      </w:r>
      <w:r>
        <w:t xml:space="preserve"> </w:t>
      </w:r>
      <w:r>
        <w:rPr>
          <w:b/>
          <w:bCs/>
        </w:rPr>
        <w:t xml:space="preserve">5–9 members</w:t>
      </w:r>
      <w:r>
        <w:t xml:space="preserve"> </w:t>
      </w:r>
      <w:r>
        <w:t xml:space="preserve">for agility and balance.</w:t>
      </w:r>
    </w:p>
    <w:p>
      <w:pPr>
        <w:pStyle w:val="Compact"/>
        <w:numPr>
          <w:ilvl w:val="0"/>
          <w:numId w:val="1044"/>
        </w:numPr>
      </w:pPr>
      <w:r>
        <w:t xml:space="preserve">Independent directors</w:t>
      </w:r>
      <w:r>
        <w:t xml:space="preserve"> </w:t>
      </w:r>
      <w:r>
        <w:rPr>
          <w:b/>
          <w:bCs/>
        </w:rPr>
        <w:t xml:space="preserve">≥ one-third</w:t>
      </w:r>
      <w:r>
        <w:t xml:space="preserve"> </w:t>
      </w:r>
      <w:r>
        <w:t xml:space="preserve">of the board.</w:t>
      </w:r>
    </w:p>
    <w:p>
      <w:pPr>
        <w:pStyle w:val="Compact"/>
        <w:numPr>
          <w:ilvl w:val="0"/>
          <w:numId w:val="1044"/>
        </w:numPr>
      </w:pPr>
      <w:r>
        <w:t xml:space="preserve">Separate the roles of</w:t>
      </w:r>
      <w:r>
        <w:t xml:space="preserve"> </w:t>
      </w:r>
      <w:r>
        <w:rPr>
          <w:b/>
          <w:bCs/>
        </w:rPr>
        <w:t xml:space="preserve">Chairman</w:t>
      </w:r>
      <w:r>
        <w:t xml:space="preserve"> </w:t>
      </w:r>
      <w:r>
        <w:t xml:space="preserve">and</w:t>
      </w:r>
      <w:r>
        <w:t xml:space="preserve"> </w:t>
      </w:r>
      <w:r>
        <w:rPr>
          <w:b/>
          <w:bCs/>
        </w:rPr>
        <w:t xml:space="preserve">Chief Executive Officer (CEO)</w:t>
      </w:r>
      <w:r>
        <w:t xml:space="preserve">.</w:t>
      </w:r>
    </w:p>
    <w:p>
      <w:pPr>
        <w:pStyle w:val="Compact"/>
        <w:numPr>
          <w:ilvl w:val="0"/>
          <w:numId w:val="1044"/>
        </w:numPr>
      </w:pPr>
      <w:r>
        <w:t xml:space="preserve">At least</w:t>
      </w:r>
      <w:r>
        <w:t xml:space="preserve"> </w:t>
      </w:r>
      <w:r>
        <w:rPr>
          <w:b/>
          <w:bCs/>
        </w:rPr>
        <w:t xml:space="preserve">1 director is a Thai national resident in Thailand</w:t>
      </w:r>
      <w:r>
        <w:t xml:space="preserve"> </w:t>
      </w:r>
      <w:r>
        <w:t xml:space="preserve">(applicant eligibility requirement).</w:t>
      </w:r>
    </w:p>
    <w:p>
      <w:pPr>
        <w:pStyle w:val="Compact"/>
        <w:numPr>
          <w:ilvl w:val="0"/>
          <w:numId w:val="1044"/>
        </w:numPr>
      </w:pPr>
      <w:r>
        <w:t xml:space="preserve">At minimum, an</w:t>
      </w:r>
      <w:r>
        <w:t xml:space="preserve"> </w:t>
      </w:r>
      <w:r>
        <w:rPr>
          <w:b/>
          <w:bCs/>
        </w:rPr>
        <w:t xml:space="preserve">Audit Committee</w:t>
      </w:r>
      <w:r>
        <w:t xml:space="preserve"> </w:t>
      </w:r>
      <w:r>
        <w:t xml:space="preserve">and a</w:t>
      </w:r>
      <w:r>
        <w:t xml:space="preserve"> </w:t>
      </w:r>
      <w:r>
        <w:rPr>
          <w:b/>
          <w:bCs/>
        </w:rPr>
        <w:t xml:space="preserve">Risk Committee</w:t>
      </w:r>
      <w:r>
        <w:t xml:space="preserve"> </w:t>
      </w:r>
      <w:r>
        <w:t xml:space="preserve">as board subcommittees.</w:t>
      </w:r>
    </w:p>
    <w:bookmarkEnd w:id="156"/>
    <w:bookmarkStart w:id="157" w:name="X8c8660eec63884751975d72d344a8a1465ea24f"/>
    <w:p>
      <w:pPr>
        <w:pStyle w:val="Heading3"/>
      </w:pPr>
      <w:r>
        <w:t xml:space="preserve">4.2 Composition and responsibilities (template)</w:t>
      </w:r>
    </w:p>
    <w:tbl>
      <w:tblPr>
        <w:tblStyle w:val="Table"/>
        <w:tblW w:type="pct" w:w="5000"/>
        <w:tblLayout w:type="fixed"/>
        <w:tblLook w:firstRow="1" w:lastRow="0" w:firstColumn="0" w:lastColumn="0" w:noHBand="0" w:noVBand="0" w:val="0020"/>
      </w:tblPr>
      <w:tblGrid>
        <w:gridCol w:w="1257"/>
        <w:gridCol w:w="754"/>
        <w:gridCol w:w="2514"/>
        <w:gridCol w:w="3394"/>
      </w:tblGrid>
      <w:tr>
        <w:trPr>
          <w:tblHeader w:val="on"/>
        </w:trPr>
        <w:tc>
          <w:tcPr/>
          <w:p>
            <w:pPr>
              <w:pStyle w:val="Compact"/>
            </w:pPr>
            <w:r>
              <w:t xml:space="preserve">Position</w:t>
            </w:r>
          </w:p>
        </w:tc>
        <w:tc>
          <w:tcPr/>
          <w:p>
            <w:pPr>
              <w:pStyle w:val="Compact"/>
            </w:pPr>
            <w:r>
              <w:t xml:space="preserve">Type</w:t>
            </w:r>
          </w:p>
        </w:tc>
        <w:tc>
          <w:tcPr/>
          <w:p>
            <w:pPr>
              <w:pStyle w:val="Compact"/>
            </w:pPr>
            <w:r>
              <w:t xml:space="preserve">Key qualifications</w:t>
            </w:r>
          </w:p>
        </w:tc>
        <w:tc>
          <w:tcPr/>
          <w:p>
            <w:pPr>
              <w:pStyle w:val="Compact"/>
            </w:pPr>
            <w:r>
              <w:t xml:space="preserve">Governance responsibility</w:t>
            </w:r>
          </w:p>
        </w:tc>
      </w:tr>
      <w:tr>
        <w:tc>
          <w:tcPr/>
          <w:p>
            <w:pPr>
              <w:pStyle w:val="Compact"/>
            </w:pPr>
            <w:r>
              <w:t xml:space="preserve">Chairman</w:t>
            </w:r>
          </w:p>
        </w:tc>
        <w:tc>
          <w:tcPr/>
          <w:p>
            <w:pPr>
              <w:pStyle w:val="Compact"/>
            </w:pPr>
            <w:r>
              <w:t xml:space="preserve">Non-executive</w:t>
            </w:r>
          </w:p>
        </w:tc>
        <w:tc>
          <w:tcPr/>
          <w:p>
            <w:pPr>
              <w:pStyle w:val="Compact"/>
            </w:pPr>
            <w:r>
              <w:t xml:space="preserve">Financial institution / payments management experience</w:t>
            </w:r>
          </w:p>
        </w:tc>
        <w:tc>
          <w:tcPr/>
          <w:p>
            <w:pPr>
              <w:pStyle w:val="Compact"/>
            </w:pPr>
            <w:r>
              <w:t xml:space="preserve">Strategic oversight, governance</w:t>
            </w:r>
          </w:p>
        </w:tc>
      </w:tr>
      <w:tr>
        <w:tc>
          <w:tcPr/>
          <w:p>
            <w:pPr>
              <w:pStyle w:val="Compact"/>
            </w:pPr>
            <w:r>
              <w:t xml:space="preserve">Independent Director 1</w:t>
            </w:r>
          </w:p>
        </w:tc>
        <w:tc>
          <w:tcPr/>
          <w:p>
            <w:pPr>
              <w:pStyle w:val="Compact"/>
            </w:pPr>
            <w:r>
              <w:t xml:space="preserve">Independent</w:t>
            </w:r>
          </w:p>
        </w:tc>
        <w:tc>
          <w:tcPr/>
          <w:p>
            <w:pPr>
              <w:pStyle w:val="Compact"/>
            </w:pPr>
            <w:r>
              <w:t xml:space="preserve">Accounting/finance expert</w:t>
            </w:r>
          </w:p>
        </w:tc>
        <w:tc>
          <w:tcPr/>
          <w:p>
            <w:pPr>
              <w:pStyle w:val="Compact"/>
            </w:pPr>
            <w:r>
              <w:t xml:space="preserve">Chair of Audit Committee</w:t>
            </w:r>
          </w:p>
        </w:tc>
      </w:tr>
      <w:tr>
        <w:tc>
          <w:tcPr/>
          <w:p>
            <w:pPr>
              <w:pStyle w:val="Compact"/>
            </w:pPr>
            <w:r>
              <w:t xml:space="preserve">Independent Director 2</w:t>
            </w:r>
          </w:p>
        </w:tc>
        <w:tc>
          <w:tcPr/>
          <w:p>
            <w:pPr>
              <w:pStyle w:val="Compact"/>
            </w:pPr>
            <w:r>
              <w:t xml:space="preserve">Independent</w:t>
            </w:r>
          </w:p>
        </w:tc>
        <w:tc>
          <w:tcPr/>
          <w:p>
            <w:pPr>
              <w:pStyle w:val="Compact"/>
            </w:pPr>
            <w:r>
              <w:t xml:space="preserve">Legal/compliance expert</w:t>
            </w:r>
          </w:p>
        </w:tc>
        <w:tc>
          <w:tcPr/>
          <w:p>
            <w:pPr>
              <w:pStyle w:val="Compact"/>
            </w:pPr>
            <w:r>
              <w:t xml:space="preserve">AML/PDPA oversight</w:t>
            </w:r>
          </w:p>
        </w:tc>
      </w:tr>
      <w:tr>
        <w:tc>
          <w:tcPr/>
          <w:p>
            <w:pPr>
              <w:pStyle w:val="Compact"/>
            </w:pPr>
            <w:r>
              <w:t xml:space="preserve">CEO</w:t>
            </w:r>
          </w:p>
        </w:tc>
        <w:tc>
          <w:tcPr/>
          <w:p>
            <w:pPr>
              <w:pStyle w:val="Compact"/>
            </w:pPr>
            <w:r>
              <w:t xml:space="preserve">Executive</w:t>
            </w:r>
          </w:p>
        </w:tc>
        <w:tc>
          <w:tcPr/>
          <w:p>
            <w:pPr>
              <w:pStyle w:val="Compact"/>
            </w:pPr>
            <w:r>
              <w:t xml:space="preserve">Payments/fintech experience</w:t>
            </w:r>
          </w:p>
        </w:tc>
        <w:tc>
          <w:tcPr/>
          <w:p>
            <w:pPr>
              <w:pStyle w:val="Compact"/>
            </w:pPr>
            <w:r>
              <w:t xml:space="preserve">Overall performance</w:t>
            </w:r>
          </w:p>
        </w:tc>
      </w:tr>
      <w:tr>
        <w:tc>
          <w:tcPr/>
          <w:p>
            <w:pPr>
              <w:pStyle w:val="Compact"/>
            </w:pPr>
            <w:r>
              <w:t xml:space="preserve">Director (Thai, resident)</w:t>
            </w:r>
          </w:p>
        </w:tc>
        <w:tc>
          <w:tcPr/>
          <w:p>
            <w:pPr>
              <w:pStyle w:val="Compact"/>
            </w:pPr>
            <w:r>
              <w:t xml:space="preserve">Executive/Non-exec</w:t>
            </w:r>
          </w:p>
        </w:tc>
        <w:tc>
          <w:tcPr/>
          <w:p>
            <w:pPr>
              <w:pStyle w:val="Compact"/>
            </w:pPr>
            <w:r>
              <w:t xml:space="preserve">Thai national resident in Thailand</w:t>
            </w:r>
          </w:p>
        </w:tc>
        <w:tc>
          <w:tcPr/>
          <w:p>
            <w:pPr>
              <w:pStyle w:val="Compact"/>
            </w:pPr>
            <w:r>
              <w:t xml:space="preserve">Applicant eligibility condition</w:t>
            </w:r>
          </w:p>
        </w:tc>
      </w:tr>
      <w:tr>
        <w:tc>
          <w:tcPr/>
          <w:p>
            <w:pPr>
              <w:pStyle w:val="Compact"/>
            </w:pPr>
            <w:r>
              <w:t xml:space="preserve">Technology Director</w:t>
            </w:r>
          </w:p>
        </w:tc>
        <w:tc>
          <w:tcPr/>
          <w:p>
            <w:pPr>
              <w:pStyle w:val="Compact"/>
            </w:pPr>
            <w:r>
              <w:t xml:space="preserve">Executive</w:t>
            </w:r>
          </w:p>
        </w:tc>
        <w:tc>
          <w:tcPr/>
          <w:p>
            <w:pPr>
              <w:pStyle w:val="Compact"/>
            </w:pPr>
            <w:r>
              <w:t xml:space="preserve">IT security/PCI/architecture</w:t>
            </w:r>
          </w:p>
        </w:tc>
        <w:tc>
          <w:tcPr/>
          <w:p>
            <w:pPr>
              <w:pStyle w:val="Compact"/>
            </w:pPr>
            <w:r>
              <w:t xml:space="preserve">Cyber resilience, PCI-DSS v4.0</w:t>
            </w:r>
          </w:p>
        </w:tc>
      </w:tr>
    </w:tbl>
    <w:p>
      <w:pPr>
        <w:pStyle w:val="BlockText"/>
      </w:pPr>
      <w:r>
        <w:rPr>
          <w:b/>
          <w:bCs/>
        </w:rPr>
        <w:t xml:space="preserve">[TODO-BOARD]</w:t>
      </w:r>
      <w:r>
        <w:t xml:space="preserve"> </w:t>
      </w:r>
      <w:r>
        <w:t xml:space="preserve">Populate with real names plus CVs, director certificates, and individual fit &amp; proper forms.</w:t>
      </w:r>
    </w:p>
    <w:bookmarkEnd w:id="157"/>
    <w:bookmarkStart w:id="158" w:name="key-executives-requiring-fit-proper"/>
    <w:p>
      <w:pPr>
        <w:pStyle w:val="Heading3"/>
      </w:pPr>
      <w:r>
        <w:t xml:space="preserve">4.3 Key executives requiring fit &amp; proper</w:t>
      </w:r>
    </w:p>
    <w:p>
      <w:pPr>
        <w:pStyle w:val="FirstParagraph"/>
      </w:pPr>
      <w:r>
        <w:t xml:space="preserve">CEO, CFO,</w:t>
      </w:r>
      <w:r>
        <w:t xml:space="preserve"> </w:t>
      </w:r>
      <w:r>
        <w:rPr>
          <w:b/>
          <w:bCs/>
        </w:rPr>
        <w:t xml:space="preserve">Chief Compliance Officer / AMLCO</w:t>
      </w:r>
      <w:r>
        <w:t xml:space="preserve"> </w:t>
      </w:r>
      <w:r>
        <w:t xml:space="preserve">(AML compliance officer per AMLO),</w:t>
      </w:r>
      <w:r>
        <w:t xml:space="preserve"> </w:t>
      </w:r>
      <w:r>
        <w:rPr>
          <w:b/>
          <w:bCs/>
        </w:rPr>
        <w:t xml:space="preserve">CISO</w:t>
      </w:r>
      <w:r>
        <w:t xml:space="preserve"> </w:t>
      </w:r>
      <w:r>
        <w:t xml:space="preserve">(PCI-DSS/cyber owner),</w:t>
      </w:r>
      <w:r>
        <w:t xml:space="preserve"> </w:t>
      </w:r>
      <w:r>
        <w:rPr>
          <w:b/>
          <w:bCs/>
        </w:rPr>
        <w:t xml:space="preserve">DPO</w:t>
      </w:r>
      <w:r>
        <w:t xml:space="preserve"> </w:t>
      </w:r>
      <w:r>
        <w:t xml:space="preserve">(Data Protection Officer under PDPA), Head of Internal Audit, Head of Risk.</w:t>
      </w:r>
    </w:p>
    <w:p>
      <w:r>
        <w:pict>
          <v:rect style="width:0;height:1.5pt" o:hralign="center" o:hrstd="t" o:hr="t"/>
        </w:pict>
      </w:r>
    </w:p>
    <w:bookmarkEnd w:id="158"/>
    <w:bookmarkEnd w:id="159"/>
    <w:bookmarkStart w:id="165" w:name="fit-and-proper-criteria"/>
    <w:p>
      <w:pPr>
        <w:pStyle w:val="Heading2"/>
      </w:pPr>
      <w:r>
        <w:t xml:space="preserve">5. Fit-and-proper criteria</w:t>
      </w:r>
    </w:p>
    <w:p>
      <w:pPr>
        <w:pStyle w:val="FirstParagraph"/>
      </w:pPr>
      <w:r>
        <w:t xml:space="preserve">Fit-and-proper assessment applies to</w:t>
      </w:r>
      <w:r>
        <w:t xml:space="preserve"> </w:t>
      </w:r>
      <w:r>
        <w:rPr>
          <w:b/>
          <w:bCs/>
        </w:rPr>
        <w:t xml:space="preserve">directors, persons with management authority, major shareholders (≥10%), and UBOs</w:t>
      </w:r>
      <w:r>
        <w:t xml:space="preserve">, across 4 dimensions:</w:t>
      </w:r>
    </w:p>
    <w:bookmarkStart w:id="160" w:name="honesty-integrity"/>
    <w:p>
      <w:pPr>
        <w:pStyle w:val="Heading3"/>
      </w:pPr>
      <w:r>
        <w:t xml:space="preserve">5.1 Honesty &amp; integrity</w:t>
      </w:r>
    </w:p>
    <w:p>
      <w:pPr>
        <w:pStyle w:val="Compact"/>
        <w:numPr>
          <w:ilvl w:val="0"/>
          <w:numId w:val="1045"/>
        </w:numPr>
      </w:pPr>
      <w:r>
        <w:t xml:space="preserve">No final judgment for offenses involving property, dishonesty, fraud, or money laundering.</w:t>
      </w:r>
    </w:p>
    <w:p>
      <w:pPr>
        <w:pStyle w:val="Compact"/>
        <w:numPr>
          <w:ilvl w:val="0"/>
          <w:numId w:val="1045"/>
        </w:numPr>
      </w:pPr>
      <w:r>
        <w:t xml:space="preserve">Not a bankrupt / under receivership.</w:t>
      </w:r>
    </w:p>
    <w:p>
      <w:pPr>
        <w:pStyle w:val="Compact"/>
        <w:numPr>
          <w:ilvl w:val="0"/>
          <w:numId w:val="1045"/>
        </w:numPr>
      </w:pPr>
      <w:r>
        <w:t xml:space="preserve">Never had a financial license revoked/suspended by a regulator.</w:t>
      </w:r>
    </w:p>
    <w:p>
      <w:pPr>
        <w:pStyle w:val="Compact"/>
        <w:numPr>
          <w:ilvl w:val="0"/>
          <w:numId w:val="1045"/>
        </w:numPr>
      </w:pPr>
      <w:r>
        <w:t xml:space="preserve">Not on any sanction list or AMLO offender list.</w:t>
      </w:r>
    </w:p>
    <w:bookmarkEnd w:id="160"/>
    <w:bookmarkStart w:id="161" w:name="competence-capability"/>
    <w:p>
      <w:pPr>
        <w:pStyle w:val="Heading3"/>
      </w:pPr>
      <w:r>
        <w:t xml:space="preserve">5.2 Competence &amp; capability</w:t>
      </w:r>
    </w:p>
    <w:p>
      <w:pPr>
        <w:pStyle w:val="Compact"/>
        <w:numPr>
          <w:ilvl w:val="0"/>
          <w:numId w:val="1046"/>
        </w:numPr>
      </w:pPr>
      <w:r>
        <w:t xml:space="preserve">Qualifications/experience appropriate to the role (finance, payments, IT security, compliance).</w:t>
      </w:r>
    </w:p>
    <w:p>
      <w:pPr>
        <w:pStyle w:val="Compact"/>
        <w:numPr>
          <w:ilvl w:val="0"/>
          <w:numId w:val="1046"/>
        </w:numPr>
      </w:pPr>
      <w:r>
        <w:t xml:space="preserve">Able to dedicate sufficient time to the role.</w:t>
      </w:r>
    </w:p>
    <w:bookmarkEnd w:id="161"/>
    <w:bookmarkStart w:id="162" w:name="financial-soundness"/>
    <w:p>
      <w:pPr>
        <w:pStyle w:val="Heading3"/>
      </w:pPr>
      <w:r>
        <w:t xml:space="preserve">5.3 Financial soundness</w:t>
      </w:r>
    </w:p>
    <w:p>
      <w:pPr>
        <w:pStyle w:val="Compact"/>
        <w:numPr>
          <w:ilvl w:val="0"/>
          <w:numId w:val="1047"/>
        </w:numPr>
      </w:pPr>
      <w:r>
        <w:t xml:space="preserve">No record of serious debt default / bankruptcy litigation.</w:t>
      </w:r>
    </w:p>
    <w:bookmarkEnd w:id="162"/>
    <w:bookmarkStart w:id="163" w:name="conflict-of-interest-independence"/>
    <w:p>
      <w:pPr>
        <w:pStyle w:val="Heading3"/>
      </w:pPr>
      <w:r>
        <w:t xml:space="preserve">5.4 Conflict of interest &amp; independence</w:t>
      </w:r>
    </w:p>
    <w:p>
      <w:pPr>
        <w:pStyle w:val="Compact"/>
        <w:numPr>
          <w:ilvl w:val="0"/>
          <w:numId w:val="1048"/>
        </w:numPr>
      </w:pPr>
      <w:r>
        <w:t xml:space="preserve">Disclose holdings/positions in related businesses.</w:t>
      </w:r>
    </w:p>
    <w:p>
      <w:pPr>
        <w:pStyle w:val="Compact"/>
        <w:numPr>
          <w:ilvl w:val="0"/>
          <w:numId w:val="1048"/>
        </w:numPr>
      </w:pPr>
      <w:r>
        <w:t xml:space="preserve">Independent directors must have no relationship impairing independence.</w:t>
      </w:r>
    </w:p>
    <w:bookmarkEnd w:id="163"/>
    <w:bookmarkStart w:id="164" w:name="disqualification-matrix"/>
    <w:p>
      <w:pPr>
        <w:pStyle w:val="Heading3"/>
      </w:pPr>
      <w:r>
        <w:t xml:space="preserve">5.5 Disqualification matrix</w:t>
      </w:r>
    </w:p>
    <w:tbl>
      <w:tblPr>
        <w:tblStyle w:val="Table"/>
        <w:tblW w:type="pct" w:w="5000"/>
        <w:tblLayout w:type="fixed"/>
        <w:tblLook w:firstRow="1" w:lastRow="0" w:firstColumn="0" w:lastColumn="0" w:noHBand="0" w:noVBand="0" w:val="0020"/>
      </w:tblPr>
      <w:tblGrid>
        <w:gridCol w:w="6252"/>
        <w:gridCol w:w="1667"/>
      </w:tblGrid>
      <w:tr>
        <w:trPr>
          <w:tblHeader w:val="on"/>
        </w:trPr>
        <w:tc>
          <w:tcPr/>
          <w:p>
            <w:pPr>
              <w:pStyle w:val="Compact"/>
            </w:pPr>
            <w:r>
              <w:t xml:space="preserve">Disqualifying characteristic</w:t>
            </w:r>
          </w:p>
        </w:tc>
        <w:tc>
          <w:tcPr/>
          <w:p>
            <w:pPr>
              <w:pStyle w:val="Compact"/>
            </w:pPr>
            <w:r>
              <w:t xml:space="preserve">Effect</w:t>
            </w:r>
          </w:p>
        </w:tc>
      </w:tr>
      <w:tr>
        <w:tc>
          <w:tcPr/>
          <w:p>
            <w:pPr>
              <w:pStyle w:val="Compact"/>
            </w:pPr>
            <w:r>
              <w:t xml:space="preserve">Prior conviction for fraud/money laundering (final judgment)</w:t>
            </w:r>
          </w:p>
        </w:tc>
        <w:tc>
          <w:tcPr/>
          <w:p>
            <w:pPr>
              <w:pStyle w:val="Compact"/>
            </w:pPr>
            <w:r>
              <w:t xml:space="preserve">Disqualified</w:t>
            </w:r>
          </w:p>
        </w:tc>
      </w:tr>
      <w:tr>
        <w:tc>
          <w:tcPr/>
          <w:p>
            <w:pPr>
              <w:pStyle w:val="Compact"/>
            </w:pPr>
            <w:r>
              <w:t xml:space="preserve">Bankrupt / legally incapacitated</w:t>
            </w:r>
          </w:p>
        </w:tc>
        <w:tc>
          <w:tcPr/>
          <w:p>
            <w:pPr>
              <w:pStyle w:val="Compact"/>
            </w:pPr>
            <w:r>
              <w:t xml:space="preserve">Disqualified</w:t>
            </w:r>
          </w:p>
        </w:tc>
      </w:tr>
      <w:tr>
        <w:tc>
          <w:tcPr/>
          <w:p>
            <w:pPr>
              <w:pStyle w:val="Compact"/>
            </w:pPr>
            <w:r>
              <w:t xml:space="preserve">License revoked/suspended by a regulator</w:t>
            </w:r>
          </w:p>
        </w:tc>
        <w:tc>
          <w:tcPr/>
          <w:p>
            <w:pPr>
              <w:pStyle w:val="Compact"/>
            </w:pPr>
            <w:r>
              <w:t xml:space="preserve">Disqualified (for the prescribed period)</w:t>
            </w:r>
          </w:p>
        </w:tc>
      </w:tr>
      <w:tr>
        <w:tc>
          <w:tcPr/>
          <w:p>
            <w:pPr>
              <w:pStyle w:val="Compact"/>
            </w:pPr>
            <w:r>
              <w:t xml:space="preserve">On a sanction list (UN/OFAC/EU)</w:t>
            </w:r>
          </w:p>
        </w:tc>
        <w:tc>
          <w:tcPr/>
          <w:p>
            <w:pPr>
              <w:pStyle w:val="Compact"/>
            </w:pPr>
            <w:r>
              <w:t xml:space="preserve">Disqualified</w:t>
            </w:r>
          </w:p>
        </w:tc>
      </w:tr>
      <w:tr>
        <w:tc>
          <w:tcPr/>
          <w:p>
            <w:pPr>
              <w:pStyle w:val="Compact"/>
            </w:pPr>
            <w:r>
              <w:t xml:space="preserve">Concealment of material information on the fit &amp; proper form</w:t>
            </w:r>
          </w:p>
        </w:tc>
        <w:tc>
          <w:tcPr/>
          <w:p>
            <w:pPr>
              <w:pStyle w:val="Compact"/>
            </w:pPr>
            <w:r>
              <w:t xml:space="preserve">Disqualified + credibility review</w:t>
            </w:r>
          </w:p>
        </w:tc>
      </w:tr>
    </w:tbl>
    <w:p>
      <w:r>
        <w:pict>
          <v:rect style="width:0;height:1.5pt" o:hralign="center" o:hrstd="t" o:hr="t"/>
        </w:pict>
      </w:r>
    </w:p>
    <w:bookmarkEnd w:id="164"/>
    <w:bookmarkEnd w:id="165"/>
    <w:bookmarkStart w:id="169" w:name="fit-and-proper-process-and-lifecycle"/>
    <w:p>
      <w:pPr>
        <w:pStyle w:val="Heading2"/>
      </w:pPr>
      <w:r>
        <w:t xml:space="preserve">6. Fit-and-proper process and lifecycle</w:t>
      </w:r>
    </w:p>
    <w:bookmarkStart w:id="166" w:name="onboarding-steps"/>
    <w:p>
      <w:pPr>
        <w:pStyle w:val="Heading3"/>
      </w:pPr>
      <w:r>
        <w:t xml:space="preserve">6.1 Onboarding steps</w:t>
      </w:r>
    </w:p>
    <w:p>
      <w:pPr>
        <w:pStyle w:val="Compact"/>
        <w:numPr>
          <w:ilvl w:val="0"/>
          <w:numId w:val="1049"/>
        </w:numPr>
      </w:pPr>
      <w:r>
        <w:t xml:space="preserve">Nominee completes the</w:t>
      </w:r>
      <w:r>
        <w:t xml:space="preserve"> </w:t>
      </w:r>
      <w:r>
        <w:rPr>
          <w:b/>
          <w:bCs/>
        </w:rPr>
        <w:t xml:space="preserve">fit &amp; proper questionnaire</w:t>
      </w:r>
      <w:r>
        <w:t xml:space="preserve"> </w:t>
      </w:r>
      <w:r>
        <w:t xml:space="preserve">and grants background-check consent (PDPA consent).</w:t>
      </w:r>
    </w:p>
    <w:p>
      <w:pPr>
        <w:pStyle w:val="Compact"/>
        <w:numPr>
          <w:ilvl w:val="0"/>
          <w:numId w:val="1049"/>
        </w:numPr>
      </w:pPr>
      <w:r>
        <w:rPr>
          <w:b/>
          <w:bCs/>
        </w:rPr>
        <w:t xml:space="preserve">Compliance</w:t>
      </w:r>
      <w:r>
        <w:t xml:space="preserve"> </w:t>
      </w:r>
      <w:r>
        <w:t xml:space="preserve">verifies: sanction/PEP screening, criminal record (police clearance), credit bureau (where relevant), bankruptcy register, regulator databases.</w:t>
      </w:r>
    </w:p>
    <w:p>
      <w:pPr>
        <w:pStyle w:val="Compact"/>
        <w:numPr>
          <w:ilvl w:val="0"/>
          <w:numId w:val="1049"/>
        </w:numPr>
      </w:pPr>
      <w:r>
        <w:t xml:space="preserve">Nomination Committee reviews and recommends to the Board for approval.</w:t>
      </w:r>
    </w:p>
    <w:p>
      <w:pPr>
        <w:pStyle w:val="Compact"/>
        <w:numPr>
          <w:ilvl w:val="0"/>
          <w:numId w:val="1049"/>
        </w:numPr>
      </w:pPr>
      <w:r>
        <w:rPr>
          <w:b/>
          <w:bCs/>
        </w:rPr>
        <w:t xml:space="preserve">Notify/file with the BOT</w:t>
      </w:r>
      <w:r>
        <w:t xml:space="preserve"> </w:t>
      </w:r>
      <w:r>
        <w:t xml:space="preserve">as prescribed before assuming office (for directors/persons with management authority/major shareholders).</w:t>
      </w:r>
    </w:p>
    <w:p>
      <w:pPr>
        <w:pStyle w:val="Compact"/>
        <w:numPr>
          <w:ilvl w:val="0"/>
          <w:numId w:val="1049"/>
        </w:numPr>
      </w:pPr>
      <w:r>
        <w:t xml:space="preserve">Store documents in an access-controlled fit &amp; proper register.</w:t>
      </w:r>
    </w:p>
    <w:bookmarkEnd w:id="166"/>
    <w:bookmarkStart w:id="167" w:name="ongoing-review"/>
    <w:p>
      <w:pPr>
        <w:pStyle w:val="Heading3"/>
      </w:pPr>
      <w:r>
        <w:t xml:space="preserve">6.2 Ongoing review</w:t>
      </w:r>
    </w:p>
    <w:tbl>
      <w:tblPr>
        <w:tblStyle w:val="Table"/>
        <w:tblW w:type="pct" w:w="5000"/>
        <w:tblLayout w:type="fixed"/>
        <w:tblLook w:firstRow="1" w:lastRow="0" w:firstColumn="0" w:lastColumn="0" w:noHBand="0" w:noVBand="0" w:val="0020"/>
      </w:tblPr>
      <w:tblGrid>
        <w:gridCol w:w="2828"/>
        <w:gridCol w:w="3111"/>
        <w:gridCol w:w="198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Owner</w:t>
            </w:r>
          </w:p>
        </w:tc>
      </w:tr>
      <w:tr>
        <w:tc>
          <w:tcPr/>
          <w:p>
            <w:pPr>
              <w:pStyle w:val="Compact"/>
            </w:pPr>
            <w:r>
              <w:t xml:space="preserve">Individual fit &amp; proper review</w:t>
            </w:r>
          </w:p>
        </w:tc>
        <w:tc>
          <w:tcPr/>
          <w:p>
            <w:pPr>
              <w:pStyle w:val="Compact"/>
            </w:pPr>
            <w:r>
              <w:t xml:space="preserve">At least annually</w:t>
            </w:r>
          </w:p>
        </w:tc>
        <w:tc>
          <w:tcPr/>
          <w:p>
            <w:pPr>
              <w:pStyle w:val="Compact"/>
            </w:pPr>
            <w:r>
              <w:t xml:space="preserve">Compliance</w:t>
            </w:r>
          </w:p>
        </w:tc>
      </w:tr>
      <w:tr>
        <w:tc>
          <w:tcPr/>
          <w:p>
            <w:pPr>
              <w:pStyle w:val="Compact"/>
            </w:pPr>
            <w:r>
              <w:t xml:space="preserve">Sanction/PEP re-screening (directors, UBOs, shareholders ≥10%)</w:t>
            </w:r>
          </w:p>
        </w:tc>
        <w:tc>
          <w:tcPr/>
          <w:p>
            <w:pPr>
              <w:pStyle w:val="Compact"/>
            </w:pPr>
            <w:r>
              <w:t xml:space="preserve">At least annually + on list changes</w:t>
            </w:r>
          </w:p>
        </w:tc>
        <w:tc>
          <w:tcPr/>
          <w:p>
            <w:pPr>
              <w:pStyle w:val="Compact"/>
            </w:pPr>
            <w:r>
              <w:t xml:space="preserve">Compliance/AMLCO</w:t>
            </w:r>
          </w:p>
        </w:tc>
      </w:tr>
      <w:tr>
        <w:tc>
          <w:tcPr/>
          <w:p>
            <w:pPr>
              <w:pStyle w:val="Compact"/>
            </w:pPr>
            <w:r>
              <w:t xml:space="preserve">Update shareholder/UBO register</w:t>
            </w:r>
          </w:p>
        </w:tc>
        <w:tc>
          <w:tcPr/>
          <w:p>
            <w:pPr>
              <w:pStyle w:val="Compact"/>
            </w:pPr>
            <w:r>
              <w:t xml:space="preserve">On change (within</w:t>
            </w:r>
            <w:r>
              <w:t xml:space="preserve"> </w:t>
            </w:r>
            <w:r>
              <w:rPr>
                <w:b/>
                <w:bCs/>
              </w:rPr>
              <w:t xml:space="preserve">15 business days</w:t>
            </w:r>
            <w:r>
              <w:t xml:space="preserve">)</w:t>
            </w:r>
          </w:p>
        </w:tc>
        <w:tc>
          <w:tcPr/>
          <w:p>
            <w:pPr>
              <w:pStyle w:val="Compact"/>
            </w:pPr>
            <w:r>
              <w:t xml:space="preserve">Corporate Secretary</w:t>
            </w:r>
          </w:p>
        </w:tc>
      </w:tr>
      <w:tr>
        <w:tc>
          <w:tcPr/>
          <w:p>
            <w:pPr>
              <w:pStyle w:val="Compact"/>
            </w:pPr>
            <w:r>
              <w:t xml:space="preserve">Report director/major-shareholder changes to BOT</w:t>
            </w:r>
          </w:p>
        </w:tc>
        <w:tc>
          <w:tcPr/>
          <w:p>
            <w:pPr>
              <w:pStyle w:val="Compact"/>
            </w:pPr>
            <w:r>
              <w:t xml:space="preserve">As prescribed (typically</w:t>
            </w:r>
            <w:r>
              <w:t xml:space="preserve"> </w:t>
            </w:r>
            <w:r>
              <w:rPr>
                <w:b/>
                <w:bCs/>
              </w:rPr>
              <w:t xml:space="preserve">in advance / immediately on occurrence</w:t>
            </w:r>
            <w:r>
              <w:t xml:space="preserve">)</w:t>
            </w:r>
          </w:p>
        </w:tc>
        <w:tc>
          <w:tcPr/>
          <w:p>
            <w:pPr>
              <w:pStyle w:val="Compact"/>
            </w:pPr>
            <w:r>
              <w:t xml:space="preserve">Compliance</w:t>
            </w:r>
          </w:p>
        </w:tc>
      </w:tr>
      <w:tr>
        <w:tc>
          <w:tcPr/>
          <w:p>
            <w:pPr>
              <w:pStyle w:val="Compact"/>
            </w:pPr>
            <w:r>
              <w:t xml:space="preserve">Review independence of independent directors</w:t>
            </w:r>
          </w:p>
        </w:tc>
        <w:tc>
          <w:tcPr/>
          <w:p>
            <w:pPr>
              <w:pStyle w:val="Compact"/>
            </w:pPr>
            <w:r>
              <w:t xml:space="preserve">Annually</w:t>
            </w:r>
          </w:p>
        </w:tc>
        <w:tc>
          <w:tcPr/>
          <w:p>
            <w:pPr>
              <w:pStyle w:val="Compact"/>
            </w:pPr>
            <w:r>
              <w:t xml:space="preserve">Nomination Committee</w:t>
            </w:r>
          </w:p>
        </w:tc>
      </w:tr>
    </w:tbl>
    <w:bookmarkEnd w:id="167"/>
    <w:bookmarkStart w:id="168" w:name="event-driven-reporting"/>
    <w:p>
      <w:pPr>
        <w:pStyle w:val="Heading3"/>
      </w:pPr>
      <w:r>
        <w:t xml:space="preserve">6.3 Event-driven reporting</w:t>
      </w:r>
    </w:p>
    <w:p>
      <w:pPr>
        <w:pStyle w:val="FirstParagraph"/>
      </w:pPr>
      <w:r>
        <w:t xml:space="preserve">If a person is later found</w:t>
      </w:r>
      <w:r>
        <w:t xml:space="preserve"> </w:t>
      </w:r>
      <w:r>
        <w:rPr>
          <w:b/>
          <w:bCs/>
        </w:rPr>
        <w:t xml:space="preserve">disqualified / to have a prohibited characteristic</w:t>
      </w:r>
      <w:r>
        <w:t xml:space="preserve"> </w:t>
      </w:r>
      <w:r>
        <w:t xml:space="preserve">→ suspend authority, report to the Board and BOT without delay, and appoint a fit-and-proper replacement.</w:t>
      </w:r>
    </w:p>
    <w:p>
      <w:r>
        <w:pict>
          <v:rect style="width:0;height:1.5pt" o:hralign="center" o:hrstd="t" o:hr="t"/>
        </w:pict>
      </w:r>
    </w:p>
    <w:bookmarkEnd w:id="168"/>
    <w:bookmarkEnd w:id="169"/>
    <w:bookmarkStart w:id="170" w:name="X502483588c8445ba61cebb8e1fd73966a6dbcee"/>
    <w:p>
      <w:pPr>
        <w:pStyle w:val="Heading2"/>
      </w:pPr>
      <w:r>
        <w:t xml:space="preserve">7. Personal data protection (PDPA) in this process</w:t>
      </w:r>
    </w:p>
    <w:p>
      <w:pPr>
        <w:pStyle w:val="Compact"/>
        <w:numPr>
          <w:ilvl w:val="0"/>
          <w:numId w:val="1050"/>
        </w:numPr>
      </w:pPr>
      <w:r>
        <w:t xml:space="preserve">Collect director/shareholder/UBO data</w:t>
      </w:r>
      <w:r>
        <w:t xml:space="preserve"> </w:t>
      </w:r>
      <w:r>
        <w:rPr>
          <w:b/>
          <w:bCs/>
        </w:rPr>
        <w:t xml:space="preserve">only as necessary</w:t>
      </w:r>
      <w:r>
        <w:t xml:space="preserve"> </w:t>
      </w:r>
      <w:r>
        <w:t xml:space="preserve">under a lawful basis (legal obligation + consent).</w:t>
      </w:r>
    </w:p>
    <w:p>
      <w:pPr>
        <w:pStyle w:val="Compact"/>
        <w:numPr>
          <w:ilvl w:val="0"/>
          <w:numId w:val="1050"/>
        </w:numPr>
      </w:pPr>
      <w:r>
        <w:t xml:space="preserve">Provide a</w:t>
      </w:r>
      <w:r>
        <w:t xml:space="preserve"> </w:t>
      </w:r>
      <w:r>
        <w:rPr>
          <w:b/>
          <w:bCs/>
        </w:rPr>
        <w:t xml:space="preserve">privacy notice</w:t>
      </w:r>
      <w:r>
        <w:t xml:space="preserve"> </w:t>
      </w:r>
      <w:r>
        <w:t xml:space="preserve">before background checks and obtain consent for sensitive data (e.g., criminal record).</w:t>
      </w:r>
    </w:p>
    <w:p>
      <w:pPr>
        <w:pStyle w:val="Compact"/>
        <w:numPr>
          <w:ilvl w:val="0"/>
          <w:numId w:val="1050"/>
        </w:numPr>
      </w:pPr>
      <w:r>
        <w:t xml:space="preserve">Store encrypted, restrict access (RBAC), and set retention periods per BOT/PDPA requirements.</w:t>
      </w:r>
    </w:p>
    <w:p>
      <w:pPr>
        <w:pStyle w:val="Compact"/>
        <w:numPr>
          <w:ilvl w:val="0"/>
          <w:numId w:val="1050"/>
        </w:numPr>
      </w:pPr>
      <w:r>
        <w:t xml:space="preserve">The</w:t>
      </w:r>
      <w:r>
        <w:t xml:space="preserve"> </w:t>
      </w:r>
      <w:r>
        <w:rPr>
          <w:b/>
          <w:bCs/>
        </w:rPr>
        <w:t xml:space="preserve">DPO</w:t>
      </w:r>
      <w:r>
        <w:t xml:space="preserve"> </w:t>
      </w:r>
      <w:r>
        <w:t xml:space="preserve">oversees this processing and supports data-subject rights under PDPA.</w:t>
      </w:r>
    </w:p>
    <w:p>
      <w:r>
        <w:pict>
          <v:rect style="width:0;height:1.5pt" o:hralign="center" o:hrstd="t" o:hr="t"/>
        </w:pict>
      </w:r>
    </w:p>
    <w:bookmarkEnd w:id="170"/>
    <w:bookmarkStart w:id="171" w:name="application-attachments-checklist"/>
    <w:p>
      <w:pPr>
        <w:pStyle w:val="Heading2"/>
      </w:pPr>
      <w:r>
        <w:t xml:space="preserve">8. Application attachments (checklist)</w:t>
      </w:r>
    </w:p>
    <w:p>
      <w:pPr>
        <w:pStyle w:val="Compact"/>
        <w:numPr>
          <w:ilvl w:val="0"/>
          <w:numId w:val="1051"/>
        </w:numPr>
      </w:pPr>
      <w:r>
        <w:t xml:space="preserve">Latest shareholder register (BorOorJor.5) + company affidavit (objectives covering payment business)</w:t>
      </w:r>
    </w:p>
    <w:p>
      <w:pPr>
        <w:pStyle w:val="Compact"/>
        <w:numPr>
          <w:ilvl w:val="0"/>
          <w:numId w:val="1052"/>
        </w:numPr>
      </w:pPr>
      <w:r>
        <w:t xml:space="preserve">Proof of paid-up capital ≥ THB 50M</w:t>
      </w:r>
      <w:r>
        <w:t xml:space="preserve"> </w:t>
      </w:r>
      <w:r>
        <w:rPr>
          <w:rStyle w:val="VerbatimChar"/>
        </w:rPr>
        <w:t xml:space="preserve">[TODO-CAP]</w:t>
      </w:r>
    </w:p>
    <w:p>
      <w:pPr>
        <w:pStyle w:val="Compact"/>
        <w:numPr>
          <w:ilvl w:val="0"/>
          <w:numId w:val="1053"/>
        </w:numPr>
      </w:pPr>
      <w:r>
        <w:t xml:space="preserve">Shareholder structure diagram and ownership chain to UBO</w:t>
      </w:r>
      <w:r>
        <w:t xml:space="preserve"> </w:t>
      </w:r>
      <w:r>
        <w:rPr>
          <w:rStyle w:val="VerbatimChar"/>
        </w:rPr>
        <w:t xml:space="preserve">[TODO-UBO]</w:t>
      </w:r>
    </w:p>
    <w:p>
      <w:pPr>
        <w:pStyle w:val="Compact"/>
        <w:numPr>
          <w:ilvl w:val="0"/>
          <w:numId w:val="1054"/>
        </w:numPr>
      </w:pPr>
      <w:r>
        <w:t xml:space="preserve">UBO table + sanction/PEP screening results</w:t>
      </w:r>
    </w:p>
    <w:p>
      <w:pPr>
        <w:pStyle w:val="Compact"/>
        <w:numPr>
          <w:ilvl w:val="0"/>
          <w:numId w:val="1055"/>
        </w:numPr>
      </w:pPr>
      <w:r>
        <w:t xml:space="preserve">Board list + CVs + director certificates</w:t>
      </w:r>
      <w:r>
        <w:t xml:space="preserve"> </w:t>
      </w:r>
      <w:r>
        <w:rPr>
          <w:rStyle w:val="VerbatimChar"/>
        </w:rPr>
        <w:t xml:space="preserve">[TODO-BOARD]</w:t>
      </w:r>
    </w:p>
    <w:p>
      <w:pPr>
        <w:pStyle w:val="Compact"/>
        <w:numPr>
          <w:ilvl w:val="0"/>
          <w:numId w:val="1056"/>
        </w:numPr>
      </w:pPr>
      <w:r>
        <w:t xml:space="preserve">Individual fit &amp; proper forms for all persons + background-check documents</w:t>
      </w:r>
    </w:p>
    <w:p>
      <w:pPr>
        <w:pStyle w:val="Compact"/>
        <w:numPr>
          <w:ilvl w:val="0"/>
          <w:numId w:val="1057"/>
        </w:numPr>
      </w:pPr>
      <w:r>
        <w:t xml:space="preserve">Board and subcommittee charters (Audit, Risk)</w:t>
      </w:r>
    </w:p>
    <w:p>
      <w:pPr>
        <w:pStyle w:val="Compact"/>
        <w:numPr>
          <w:ilvl w:val="0"/>
          <w:numId w:val="1058"/>
        </w:numPr>
      </w:pPr>
      <w:r>
        <w:t xml:space="preserve">FBL assessment result (if foreign ownership applies)</w:t>
      </w:r>
      <w:r>
        <w:t xml:space="preserve"> </w:t>
      </w:r>
      <w:r>
        <w:rPr>
          <w:rStyle w:val="VerbatimChar"/>
        </w:rPr>
        <w:t xml:space="preserve">[TODO-FBL]</w:t>
      </w:r>
    </w:p>
    <w:p>
      <w:r>
        <w:br w:type="page"/>
      </w:r>
    </w:p>
    <w:bookmarkEnd w:id="171"/>
    <w:bookmarkEnd w:id="172"/>
    <w:bookmarkStart w:id="185" w:name="ผงองคกรและธรรมาภบาล-ไทย"/>
    <w:p>
      <w:pPr>
        <w:pStyle w:val="Heading1"/>
      </w:pPr>
      <w:r>
        <w:t xml:space="preserve">ผังองค์กรและธรรมาภิบาล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(Acquiring Service)</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ทุนจดทะเบียนชำระแล้ว</w:t>
      </w:r>
      <w:r>
        <w:t xml:space="preserve"> </w:t>
      </w:r>
      <w:r>
        <w:rPr>
          <w:b/>
          <w:bCs/>
        </w:rPr>
        <w:t xml:space="preserve">50 ล้านบาท</w:t>
      </w:r>
      <w:r>
        <w:t xml:space="preserve"> </w:t>
      </w:r>
      <w:r>
        <w:t xml:space="preserve">ควบคู่กับมาตรฐาน</w:t>
      </w:r>
      <w:r>
        <w:t xml:space="preserve"> </w:t>
      </w:r>
      <w:r>
        <w:rPr>
          <w:b/>
          <w:bCs/>
        </w:rPr>
        <w:t xml:space="preserve">PCI-DSS v4.0 Level 1</w:t>
      </w:r>
    </w:p>
    <w:p>
      <w:pPr>
        <w:pStyle w:val="BlockText"/>
      </w:pPr>
      <w:r>
        <w:t xml:space="preserve">รหัสเอกสาร:</w:t>
      </w:r>
      <w:r>
        <w:t xml:space="preserve"> </w:t>
      </w:r>
      <w:r>
        <w:rPr>
          <w:rStyle w:val="VerbatimChar"/>
        </w:rPr>
        <w:t xml:space="preserve">COMP-04</w:t>
      </w:r>
      <w:r>
        <w:t xml:space="preserve"> </w:t>
      </w:r>
      <w:r>
        <w:t xml:space="preserve">· เวอร์ชัน 0.1 · เจ้าของเอกสาร: Chief Compliance Officer (CCO)</w:t>
      </w:r>
      <w:r>
        <w:t xml:space="preserve"> </w:t>
      </w:r>
      <w:r>
        <w:t xml:space="preserve">เอกสารที่เกี่ยวข้อง: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pPr>
        <w:pStyle w:val="BlockText"/>
      </w:pPr>
      <w:r>
        <w:rPr>
          <w:b/>
          <w:bCs/>
        </w:rPr>
        <w:t xml:space="preserve">ข้อจำกัดความรับผิด:</w:t>
      </w:r>
      <w:r>
        <w:t xml:space="preserve"> </w:t>
      </w:r>
      <w:r>
        <w:t xml:space="preserve">เอกสารนี้เป็นข้อมูลอ้างอิงเชิงโครงสร้าง ไม่ใช่คำแนะนำทางกฎหมาย</w:t>
      </w:r>
      <w:r>
        <w:t xml:space="preserve"> </w:t>
      </w:r>
      <w:r>
        <w:t xml:space="preserve">ต้องผ่านการทบทวนโดยที่ปรึกษากฎหมายด้านใบอนุญาต ธปท. ก่อนยื่นจริง</w:t>
      </w:r>
    </w:p>
    <w:p>
      <w:r>
        <w:pict>
          <v:rect style="width:0;height:1.5pt" o:hralign="center" o:hrstd="t" o:hr="t"/>
        </w:pict>
      </w:r>
    </w:p>
    <w:p>
      <w:pPr>
        <w:pStyle w:val="BlockText"/>
      </w:pPr>
      <w:r>
        <w:t xml:space="preserve">[!IMPORTANT]</w:t>
      </w:r>
      <w:r>
        <w:t xml:space="preserve"> </w:t>
      </w:r>
      <w:r>
        <w:rPr>
          <w:b/>
          <w:bCs/>
        </w:rPr>
        <w:t xml:space="preserve">สมมติฐานและรายการที่ยังไม่สรุป (Assumptions / TODO)</w:t>
      </w:r>
      <w:r>
        <w:t xml:space="preserve"> </w:t>
      </w:r>
      <w:r>
        <w:t xml:space="preserve">— ต้องเติมค่าจริงก่อนยื่น ธปท.</w:t>
      </w:r>
    </w:p>
    <w:tbl>
      <w:tblPr>
        <w:tblStyle w:val="Table"/>
        <w:tblW w:type="pct" w:w="5000"/>
        <w:tblLayout w:type="fixed"/>
        <w:tblLook w:firstRow="1" w:lastRow="0" w:firstColumn="0" w:lastColumn="0" w:noHBand="0" w:noVBand="0" w:val="0020"/>
      </w:tblPr>
      <w:tblGrid>
        <w:gridCol w:w="766"/>
        <w:gridCol w:w="2043"/>
        <w:gridCol w:w="1788"/>
        <w:gridCol w:w="3321"/>
      </w:tblGrid>
      <w:tr>
        <w:trPr>
          <w:tblHeader w:val="on"/>
        </w:trPr>
        <w:tc>
          <w:tcPr/>
          <w:p>
            <w:pPr>
              <w:pStyle w:val="Compact"/>
            </w:pPr>
            <w:r>
              <w:t xml:space="preserve">#</w:t>
            </w:r>
          </w:p>
        </w:tc>
        <w:tc>
          <w:tcPr/>
          <w:p>
            <w:pPr>
              <w:pStyle w:val="Compact"/>
            </w:pPr>
            <w:r>
              <w:t xml:space="preserve">รายการ</w:t>
            </w:r>
          </w:p>
        </w:tc>
        <w:tc>
          <w:tcPr/>
          <w:p>
            <w:pPr>
              <w:pStyle w:val="Compact"/>
            </w:pPr>
            <w:r>
              <w:t xml:space="preserve">สถานะ</w:t>
            </w:r>
          </w:p>
        </w:tc>
        <w:tc>
          <w:tcPr/>
          <w:p>
            <w:pPr>
              <w:pStyle w:val="Compact"/>
            </w:pPr>
            <w:r>
              <w:t xml:space="preserve">ผู้รับผิดชอบ</w:t>
            </w:r>
          </w:p>
        </w:tc>
      </w:tr>
      <w:tr>
        <w:tc>
          <w:tcPr/>
          <w:p>
            <w:pPr>
              <w:pStyle w:val="Compact"/>
            </w:pPr>
            <w:r>
              <w:t xml:space="preserve">A1</w:t>
            </w:r>
          </w:p>
        </w:tc>
        <w:tc>
          <w:tcPr/>
          <w:p>
            <w:pPr>
              <w:pStyle w:val="Compact"/>
            </w:pPr>
            <w:r>
              <w:rPr>
                <w:b/>
                <w:bCs/>
              </w:rPr>
              <w:t xml:space="preserve">ชื่อบริษัทจริง</w:t>
            </w:r>
            <w:r>
              <w:t xml:space="preserve"> </w:t>
            </w:r>
            <w:r>
              <w:t xml:space="preserve">— ใช้ placeholder</w:t>
            </w:r>
            <w:r>
              <w:t xml:space="preserve"> </w:t>
            </w:r>
            <w:r>
              <w:rPr>
                <w:rStyle w:val="VerbatimChar"/>
              </w:rPr>
              <w:t xml:space="preserve">[บริษัท / Company]</w:t>
            </w:r>
            <w:r>
              <w:t xml:space="preserve"> </w:t>
            </w:r>
            <w:r>
              <w:t xml:space="preserve">ทั้งเอกสาร</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bank / Acquiring bank</w:t>
            </w:r>
            <w:r>
              <w:t xml:space="preserve"> </w:t>
            </w:r>
            <w:r>
              <w:t xml:space="preserve">— ยังไม่ลงนาม (เส้นทาง B ตาม ROADMAP)</w:t>
            </w:r>
          </w:p>
        </w:tc>
        <w:tc>
          <w:tcPr/>
          <w:p>
            <w:pPr>
              <w:pStyle w:val="Compact"/>
            </w:pPr>
            <w:r>
              <w:t xml:space="preserve">ยังไม่สรุป</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QSA vendor (PCI-DSS v4.0 L1)</w:t>
            </w:r>
            <w:r>
              <w:t xml:space="preserve"> </w:t>
            </w:r>
            <w:r>
              <w:t xml:space="preserve">— ยังไม่คัดเลือก</w:t>
            </w:r>
          </w:p>
        </w:tc>
        <w:tc>
          <w:tcPr/>
          <w:p>
            <w:pPr>
              <w:pStyle w:val="Compact"/>
            </w:pPr>
            <w:r>
              <w:t xml:space="preserve">ยังไม่สรุป</w:t>
            </w:r>
          </w:p>
        </w:tc>
        <w:tc>
          <w:tcPr/>
          <w:p>
            <w:pPr>
              <w:pStyle w:val="Compact"/>
            </w:pPr>
            <w:r>
              <w:t xml:space="preserve">CISO</w:t>
            </w:r>
          </w:p>
        </w:tc>
      </w:tr>
      <w:tr>
        <w:tc>
          <w:tcPr/>
          <w:p>
            <w:pPr>
              <w:pStyle w:val="Compact"/>
            </w:pPr>
            <w:r>
              <w:t xml:space="preserve">A4</w:t>
            </w:r>
          </w:p>
        </w:tc>
        <w:tc>
          <w:tcPr/>
          <w:p>
            <w:pPr>
              <w:pStyle w:val="Compact"/>
            </w:pPr>
            <w:r>
              <w:rPr>
                <w:b/>
                <w:bCs/>
              </w:rPr>
              <w:t xml:space="preserve">จำนวนทุนจดทะเบียนชำระแล้วจริง ณ วันยื่น</w:t>
            </w:r>
            <w:r>
              <w:t xml:space="preserve"> </w:t>
            </w:r>
            <w:r>
              <w:t xml:space="preserve">— ต้อง ≥ 50 ล้านบาท และคงไว้ ≥ 75% ตลอดการดำเนินงาน</w:t>
            </w:r>
          </w:p>
        </w:tc>
        <w:tc>
          <w:tcPr/>
          <w:p>
            <w:pPr>
              <w:pStyle w:val="Compact"/>
            </w:pPr>
            <w:r>
              <w:t xml:space="preserve">TODO</w:t>
            </w:r>
          </w:p>
        </w:tc>
        <w:tc>
          <w:tcPr/>
          <w:p>
            <w:pPr>
              <w:pStyle w:val="Compact"/>
            </w:pPr>
            <w:r>
              <w:t xml:space="preserve">CFO</w:t>
            </w:r>
          </w:p>
        </w:tc>
      </w:tr>
      <w:tr>
        <w:tc>
          <w:tcPr/>
          <w:p>
            <w:pPr>
              <w:pStyle w:val="Compact"/>
            </w:pPr>
            <w:r>
              <w:t xml:space="preserve">A5</w:t>
            </w:r>
          </w:p>
        </w:tc>
        <w:tc>
          <w:tcPr/>
          <w:p>
            <w:pPr>
              <w:pStyle w:val="Compact"/>
            </w:pPr>
            <w:r>
              <w:rPr>
                <w:b/>
                <w:bCs/>
              </w:rPr>
              <w:t xml:space="preserve">รายชื่อกรรมการ/ผู้บริหารจริง + เอกสาร fit &amp; proper</w:t>
            </w:r>
          </w:p>
        </w:tc>
        <w:tc>
          <w:tcPr/>
          <w:p>
            <w:pPr>
              <w:pStyle w:val="Compact"/>
            </w:pPr>
            <w:r>
              <w:t xml:space="preserve">TODO</w:t>
            </w:r>
          </w:p>
        </w:tc>
        <w:tc>
          <w:tcPr/>
          <w:p>
            <w:pPr>
              <w:pStyle w:val="Compact"/>
            </w:pPr>
            <w:r>
              <w:t xml:space="preserve">Corporate Secretary / CCO</w:t>
            </w:r>
          </w:p>
        </w:tc>
      </w:tr>
      <w:tr>
        <w:tc>
          <w:tcPr/>
          <w:p>
            <w:pPr>
              <w:pStyle w:val="Compact"/>
            </w:pPr>
            <w:r>
              <w:t xml:space="preserve">A6</w:t>
            </w:r>
          </w:p>
        </w:tc>
        <w:tc>
          <w:tcPr/>
          <w:p>
            <w:pPr>
              <w:pStyle w:val="Compact"/>
            </w:pPr>
            <w:r>
              <w:rPr>
                <w:b/>
                <w:bCs/>
              </w:rPr>
              <w:t xml:space="preserve">External independent audit firm</w:t>
            </w:r>
            <w:r>
              <w:t xml:space="preserve"> </w:t>
            </w:r>
            <w:r>
              <w:t xml:space="preserve">(co-source internal audit)</w:t>
            </w:r>
          </w:p>
        </w:tc>
        <w:tc>
          <w:tcPr/>
          <w:p>
            <w:pPr>
              <w:pStyle w:val="Compact"/>
            </w:pPr>
            <w:r>
              <w:t xml:space="preserve">ยังไม่สรุป</w:t>
            </w:r>
          </w:p>
        </w:tc>
        <w:tc>
          <w:tcPr/>
          <w:p>
            <w:pPr>
              <w:pStyle w:val="Compact"/>
            </w:pPr>
            <w:r>
              <w:t xml:space="preserve">Audit Committee</w:t>
            </w:r>
          </w:p>
        </w:tc>
      </w:tr>
      <w:tr>
        <w:tc>
          <w:tcPr/>
          <w:p>
            <w:pPr>
              <w:pStyle w:val="Compact"/>
            </w:pPr>
            <w:r>
              <w:t xml:space="preserve">A7</w:t>
            </w:r>
          </w:p>
        </w:tc>
        <w:tc>
          <w:tcPr/>
          <w:p>
            <w:pPr>
              <w:pStyle w:val="Compact"/>
            </w:pPr>
            <w:r>
              <w:rPr>
                <w:b/>
                <w:bCs/>
              </w:rPr>
              <w:t xml:space="preserve">ASV vendor</w:t>
            </w:r>
            <w:r>
              <w:t xml:space="preserve"> </w:t>
            </w:r>
            <w:r>
              <w:t xml:space="preserve">สำหรับ quarterly network scan</w:t>
            </w:r>
          </w:p>
        </w:tc>
        <w:tc>
          <w:tcPr/>
          <w:p>
            <w:pPr>
              <w:pStyle w:val="Compact"/>
            </w:pPr>
            <w:r>
              <w:t xml:space="preserve">ยังไม่สรุป</w:t>
            </w:r>
          </w:p>
        </w:tc>
        <w:tc>
          <w:tcPr/>
          <w:p>
            <w:pPr>
              <w:pStyle w:val="Compact"/>
            </w:pPr>
            <w:r>
              <w:t xml:space="preserve">CISO</w:t>
            </w:r>
          </w:p>
        </w:tc>
      </w:tr>
    </w:tbl>
    <w:p>
      <w:pPr>
        <w:pStyle w:val="BlockText"/>
      </w:pPr>
      <w:r>
        <w:t xml:space="preserve">ห้ามกรอกตัวเลข/ชื่อสมมติในช่องข้างต้นลงในเอกสารที่ยื่นจริง — ต้องเป็นข้อมูลที่ยืนยันได้เท่านั้น</w:t>
      </w:r>
    </w:p>
    <w:p>
      <w:r>
        <w:pict>
          <v:rect style="width:0;height:1.5pt" o:hralign="center" o:hrstd="t" o:hr="t"/>
        </w:pict>
      </w:r>
    </w:p>
    <w:bookmarkStart w:id="173" w:name="หลกธรรมาภบาล-governance-principles"/>
    <w:p>
      <w:pPr>
        <w:pStyle w:val="Heading2"/>
      </w:pPr>
      <w:r>
        <w:t xml:space="preserve">1. หลักธรรมาภิบาล (Governance Principles)</w:t>
      </w:r>
    </w:p>
    <w:p>
      <w:pPr>
        <w:pStyle w:val="FirstParagraph"/>
      </w:pPr>
      <w:r>
        <w:t xml:space="preserve">[บริษัท / Company] ยึดหลักธรรมาภิบาลตามแนวทางประกาศ ธปท. ว่าด้วยการกำกับดูแลกิจการที่ดี</w:t>
      </w:r>
      <w:r>
        <w:t xml:space="preserve"> </w:t>
      </w:r>
      <w:r>
        <w:t xml:space="preserve">การบริหารความเสี่ยงด้านเทคโนโลยีสารสนเทศ (IT Risk) และ Cyber Resilience โดยมีหลักการดังนี้</w:t>
      </w:r>
    </w:p>
    <w:p>
      <w:pPr>
        <w:pStyle w:val="Compact"/>
        <w:numPr>
          <w:ilvl w:val="0"/>
          <w:numId w:val="1059"/>
        </w:numPr>
      </w:pPr>
      <w:r>
        <w:rPr>
          <w:b/>
          <w:bCs/>
        </w:rPr>
        <w:t xml:space="preserve">แบ่งแยกหน้าที่ (Segregation of Duties)</w:t>
      </w:r>
      <w:r>
        <w:t xml:space="preserve"> </w:t>
      </w:r>
      <w:r>
        <w:t xml:space="preserve">— แยกหน่วยงานที่</w:t>
      </w:r>
      <w:r>
        <w:t xml:space="preserve"> </w:t>
      </w:r>
      <w:r>
        <w:t xml:space="preserve">“ทำธุรกิจ (revenue-generating)”</w:t>
      </w:r>
      <w:r>
        <w:t xml:space="preserve"> </w:t>
      </w:r>
      <w:r>
        <w:t xml:space="preserve">ออกจากหน่วยงานที่</w:t>
      </w:r>
      <w:r>
        <w:t xml:space="preserve"> </w:t>
      </w:r>
      <w:r>
        <w:t xml:space="preserve">“ควบคุม (control)”</w:t>
      </w:r>
      <w:r>
        <w:t xml:space="preserve"> </w:t>
      </w:r>
      <w:r>
        <w:t xml:space="preserve">และหน่วยงานที่</w:t>
      </w:r>
      <w:r>
        <w:t xml:space="preserve"> </w:t>
      </w:r>
      <w:r>
        <w:t xml:space="preserve">“ตรวจสอบอิสระ (independent assurance)”</w:t>
      </w:r>
      <w:r>
        <w:t xml:space="preserve"> </w:t>
      </w:r>
      <w:r>
        <w:t xml:space="preserve">อย่างชัดเจน</w:t>
      </w:r>
    </w:p>
    <w:p>
      <w:pPr>
        <w:pStyle w:val="Compact"/>
        <w:numPr>
          <w:ilvl w:val="0"/>
          <w:numId w:val="1059"/>
        </w:numPr>
      </w:pPr>
      <w:r>
        <w:rPr>
          <w:b/>
          <w:bCs/>
        </w:rPr>
        <w:t xml:space="preserve">สามแนวป้องกัน (Three Lines of Defense)</w:t>
      </w:r>
      <w:r>
        <w:t xml:space="preserve"> </w:t>
      </w:r>
      <w:r>
        <w:t xml:space="preserve">— ดูข้อ 4</w:t>
      </w:r>
    </w:p>
    <w:p>
      <w:pPr>
        <w:pStyle w:val="Compact"/>
        <w:numPr>
          <w:ilvl w:val="0"/>
          <w:numId w:val="1059"/>
        </w:numPr>
      </w:pPr>
      <w:r>
        <w:rPr>
          <w:b/>
          <w:bCs/>
        </w:rPr>
        <w:t xml:space="preserve">ความเป็นอิสระของหน่วยตรวจสอบ (Independence)</w:t>
      </w:r>
      <w:r>
        <w:t xml:space="preserve"> </w:t>
      </w:r>
      <w:r>
        <w:t xml:space="preserve">— Internal Audit และ Compliance รายงานตรงต่อคณะกรรมการ ไม่ขึ้นกับฝ่ายปฏิบัติการ</w:t>
      </w:r>
    </w:p>
    <w:p>
      <w:pPr>
        <w:pStyle w:val="Compact"/>
        <w:numPr>
          <w:ilvl w:val="0"/>
          <w:numId w:val="1059"/>
        </w:numPr>
      </w:pPr>
      <w:r>
        <w:rPr>
          <w:b/>
          <w:bCs/>
        </w:rPr>
        <w:t xml:space="preserve">Fit &amp; Proper</w:t>
      </w:r>
      <w:r>
        <w:t xml:space="preserve"> </w:t>
      </w:r>
      <w:r>
        <w:t xml:space="preserve">— กรรมการและผู้บริหารระดับสูง (โดยเฉพาะผู้ดำรงตำแหน่งควบคุม) ต้องมีคุณสมบัติเหมาะสมและไม่มีลักษณะต้องห้ามตามเกณฑ์ ธปท.</w:t>
      </w:r>
    </w:p>
    <w:p>
      <w:pPr>
        <w:pStyle w:val="Compact"/>
        <w:numPr>
          <w:ilvl w:val="0"/>
          <w:numId w:val="1059"/>
        </w:numPr>
      </w:pPr>
      <w:r>
        <w:rPr>
          <w:b/>
          <w:bCs/>
        </w:rPr>
        <w:t xml:space="preserve">Accountability</w:t>
      </w:r>
      <w:r>
        <w:t xml:space="preserve"> </w:t>
      </w:r>
      <w:r>
        <w:t xml:space="preserve">— ทุกความเสี่ยงมี</w:t>
      </w:r>
      <w:r>
        <w:t xml:space="preserve"> </w:t>
      </w:r>
      <w:r>
        <w:t xml:space="preserve">“เจ้าของความเสี่ยง (risk owner)”</w:t>
      </w:r>
      <w:r>
        <w:t xml:space="preserve"> </w:t>
      </w:r>
      <w:r>
        <w:t xml:space="preserve">ที่ระบุตัวได้ ทุก control มีผู้รับผิดชอบ</w:t>
      </w:r>
    </w:p>
    <w:p>
      <w:pPr>
        <w:pStyle w:val="Compact"/>
        <w:numPr>
          <w:ilvl w:val="0"/>
          <w:numId w:val="1059"/>
        </w:numPr>
      </w:pPr>
      <w:r>
        <w:rPr>
          <w:b/>
          <w:bCs/>
        </w:rPr>
        <w:t xml:space="preserve">Escalation &amp; Transparency</w:t>
      </w:r>
      <w:r>
        <w:t xml:space="preserve"> </w:t>
      </w:r>
      <w:r>
        <w:t xml:space="preserve">— มีเส้นทางรายงานเหตุการณ์/ข้อบกพร่องขึ้นสู่คณะกรรมการภายในกรอบเวลาที่กำหนด</w:t>
      </w:r>
    </w:p>
    <w:p>
      <w:r>
        <w:pict>
          <v:rect style="width:0;height:1.5pt" o:hralign="center" o:hrstd="t" o:hr="t"/>
        </w:pict>
      </w:r>
    </w:p>
    <w:bookmarkEnd w:id="173"/>
    <w:bookmarkStart w:id="174" w:name="ผงองคกร-organization-chart"/>
    <w:p>
      <w:pPr>
        <w:pStyle w:val="Heading2"/>
      </w:pPr>
      <w:r>
        <w:t xml:space="preserve">2. ผังองค์กร (Organization Chart)</w:t>
      </w:r>
    </w:p>
    <w:p>
      <w:pPr>
        <w:pStyle w:val="SourceCode"/>
      </w:pPr>
      <w:r>
        <w:rPr>
          <w:rStyle w:val="VerbatimChar"/>
        </w:rPr>
        <w:t xml:space="preserve">                        ┌───────────────────────────────┐</w:t>
      </w:r>
      <w:r>
        <w:br/>
      </w:r>
      <w:r>
        <w:rPr>
          <w:rStyle w:val="VerbatimChar"/>
        </w:rPr>
        <w:t xml:space="preserve">                        │   คณะกรรมการบริษัท (Board)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w:t>
      </w:r>
      <w:r>
        <w:br/>
      </w:r>
      <w:r>
        <w:rPr>
          <w:rStyle w:val="VerbatimChar"/>
        </w:rPr>
        <w:t xml:space="preserve">│ Audit         │  │ Risk         │ │ Nomination│ │ IT Steering /    │ │ AML Committee     │</w:t>
      </w:r>
      <w:r>
        <w:br/>
      </w:r>
      <w:r>
        <w:rPr>
          <w:rStyle w:val="VerbatimChar"/>
        </w:rPr>
        <w:t xml:space="preserve">│ Committee     │  │ Committee    │ │ &amp; Remun.  │ │ Cyber Committee  │ │ (ปปง./AMLO)       │</w:t>
      </w:r>
      <w:r>
        <w:br/>
      </w:r>
      <w:r>
        <w:rPr>
          <w:rStyle w:val="VerbatimChar"/>
        </w:rPr>
        <w:t xml:space="preserve">│ (คณะตรวจสอบ)  │  │ (คณะบริหาร   │ │ Committee │ │                  │ │                   │</w:t>
      </w:r>
      <w:r>
        <w:br/>
      </w:r>
      <w:r>
        <w:rPr>
          <w:rStyle w:val="VerbatimChar"/>
        </w:rPr>
        <w:t xml:space="preserve">│               │  │  ความเสี่ยง)  │ │          │  │                  │ │                   │</w:t>
      </w:r>
      <w:r>
        <w:br/>
      </w:r>
      <w:r>
        <w:rPr>
          <w:rStyle w:val="VerbatimChar"/>
        </w:rPr>
        <w:t xml:space="preserve">└───────┬───────┘  └──────┬───────┘ └──────────┘  └──────────────────┘ └──────────────────┘</w:t>
      </w:r>
      <w:r>
        <w:br/>
      </w:r>
      <w:r>
        <w:rPr>
          <w:rStyle w:val="VerbatimChar"/>
        </w:rPr>
        <w:t xml:space="preserve">        │ (สายรายงานอิสระ)        │</w:t>
      </w:r>
      <w:r>
        <w:br/>
      </w:r>
      <w:r>
        <w:rPr>
          <w:rStyle w:val="VerbatimChar"/>
        </w:rPr>
        <w:t xml:space="preserve">        │                         │</w:t>
      </w:r>
      <w:r>
        <w:br/>
      </w:r>
      <w:r>
        <w:rPr>
          <w:rStyle w:val="VerbatimChar"/>
        </w:rPr>
        <w:t xml:space="preserve">        │                 ┌───────▼─────────────────────────────────────────┐</w:t>
      </w:r>
      <w:r>
        <w:br/>
      </w:r>
      <w:r>
        <w:rPr>
          <w:rStyle w:val="VerbatimChar"/>
        </w:rPr>
        <w:t xml:space="preserve">        │                 │            ประธานเจ้าหน้าที่บริหาร (CEO)          │</w:t>
      </w:r>
      <w:r>
        <w:br/>
      </w:r>
      <w:r>
        <w:rPr>
          <w:rStyle w:val="VerbatimChar"/>
        </w:rPr>
        <w:t xml:space="preserve">        │                 └───────┬─────────────────────────────────────────┘</w:t>
      </w:r>
      <w:r>
        <w:br/>
      </w:r>
      <w:r>
        <w:rPr>
          <w:rStyle w:val="VerbatimChar"/>
        </w:rPr>
        <w:t xml:space="preserve">        │      ┌──────────┬───────┼──────────┬──────────────┬───────────────┐</w:t>
      </w:r>
      <w:r>
        <w:br/>
      </w:r>
      <w:r>
        <w:rPr>
          <w:rStyle w:val="VerbatimChar"/>
        </w:rPr>
        <w:t xml:space="preserve">        │      ▼          ▼       ▼          ▼              ▼               ▼</w:t>
      </w:r>
      <w:r>
        <w:br/>
      </w:r>
      <w:r>
        <w:rPr>
          <w:rStyle w:val="VerbatimChar"/>
        </w:rPr>
        <w:t xml:space="preserve">        │  ┌───────┐ ┌────────┐ ┌──────┐ ┌────────┐  ┌──────────┐  ┌──────────────┐</w:t>
      </w:r>
      <w:r>
        <w:br/>
      </w:r>
      <w:r>
        <w:rPr>
          <w:rStyle w:val="VerbatimChar"/>
        </w:rPr>
        <w:t xml:space="preserve">        │  │ CFO   │ │ CTO /  │ │ CISO │ │ CCO    │  │ CRO      │  │ Head of Ops  │</w:t>
      </w:r>
      <w:r>
        <w:br/>
      </w:r>
      <w:r>
        <w:rPr>
          <w:rStyle w:val="VerbatimChar"/>
        </w:rPr>
        <w:t xml:space="preserve">        │  │       │ │ Head   │ │      │ │(Compl. │  │ (Risk)   │  │ / Settlement │</w:t>
      </w:r>
      <w:r>
        <w:br/>
      </w:r>
      <w:r>
        <w:rPr>
          <w:rStyle w:val="VerbatimChar"/>
        </w:rPr>
        <w:t xml:space="preserve">        │  │       │ │ Eng.   │ │      │ │ +MLRO) │  │          │  │              │</w:t>
      </w:r>
      <w:r>
        <w:br/>
      </w:r>
      <w:r>
        <w:rPr>
          <w:rStyle w:val="VerbatimChar"/>
        </w:rPr>
        <w:t xml:space="preserve">        │  └───────┘ └────────┘ └──┬───┘ └───┬────┘  └────┬─────┘  └──────────────┘</w:t>
      </w:r>
      <w:r>
        <w:br/>
      </w:r>
      <w:r>
        <w:rPr>
          <w:rStyle w:val="VerbatimChar"/>
        </w:rPr>
        <w:t xml:space="preserve">        │                          │         │           │</w:t>
      </w:r>
      <w:r>
        <w:br/>
      </w:r>
      <w:r>
        <w:rPr>
          <w:rStyle w:val="VerbatimChar"/>
        </w:rPr>
        <w:t xml:space="preserve">        │                  แนวป้องกันที่ 2 (2nd Line: Risk, Compliance, Security)</w:t>
      </w:r>
      <w:r>
        <w:br/>
      </w:r>
      <w:r>
        <w:rPr>
          <w:rStyle w:val="VerbatimChar"/>
        </w:rPr>
        <w:t xml:space="preserve">        │</w:t>
      </w:r>
      <w:r>
        <w:br/>
      </w:r>
      <w:r>
        <w:rPr>
          <w:rStyle w:val="VerbatimChar"/>
        </w:rPr>
        <w:t xml:space="preserve">        └──────────▶ Internal Audit (Head of Internal Audit / Chief Audit Executive)</w:t>
      </w:r>
      <w:r>
        <w:br/>
      </w:r>
      <w:r>
        <w:rPr>
          <w:rStyle w:val="VerbatimChar"/>
        </w:rPr>
        <w:t xml:space="preserve">                     แนวป้องกันที่ 3 (3rd Line) — รายงานตรงต่อ Audit Committee</w:t>
      </w:r>
      <w:r>
        <w:br/>
      </w:r>
      <w:r>
        <w:rPr>
          <w:rStyle w:val="VerbatimChar"/>
        </w:rPr>
        <w:t xml:space="preserve">                     (administrative reporting ถึง CEO เท่านั้น)</w:t>
      </w:r>
    </w:p>
    <w:p>
      <w:pPr>
        <w:pStyle w:val="BlockText"/>
      </w:pPr>
      <w:r>
        <w:rPr>
          <w:b/>
          <w:bCs/>
        </w:rPr>
        <w:t xml:space="preserve">สายรายงานสำคัญ:</w:t>
      </w:r>
      <w:r>
        <w:t xml:space="preserve"> </w:t>
      </w:r>
      <w:r>
        <w:t xml:space="preserve">-</w:t>
      </w:r>
      <w:r>
        <w:t xml:space="preserve"> </w:t>
      </w:r>
      <w:r>
        <w:rPr>
          <w:b/>
          <w:bCs/>
        </w:rPr>
        <w:t xml:space="preserve">Chief Audit Executive (CAE)</w:t>
      </w:r>
      <w:r>
        <w:t xml:space="preserve"> </w:t>
      </w:r>
      <w:r>
        <w:t xml:space="preserve">รายงาน functionally ต่อ</w:t>
      </w:r>
      <w:r>
        <w:t xml:space="preserve"> </w:t>
      </w:r>
      <w:r>
        <w:rPr>
          <w:b/>
          <w:bCs/>
        </w:rPr>
        <w:t xml:space="preserve">Audit Committee</w:t>
      </w:r>
      <w:r>
        <w:t xml:space="preserve">, administratively ต่อ CEO</w:t>
      </w:r>
      <w:r>
        <w:t xml:space="preserve"> </w:t>
      </w:r>
      <w:r>
        <w:t xml:space="preserve">-</w:t>
      </w:r>
      <w:r>
        <w:t xml:space="preserve"> </w:t>
      </w:r>
      <w:r>
        <w:rPr>
          <w:b/>
          <w:bCs/>
        </w:rPr>
        <w:t xml:space="preserve">CCO / MLRO</w:t>
      </w:r>
      <w:r>
        <w:t xml:space="preserve"> </w:t>
      </w:r>
      <w:r>
        <w:t xml:space="preserve">รายงาน functionally ต่อ</w:t>
      </w:r>
      <w:r>
        <w:t xml:space="preserve"> </w:t>
      </w:r>
      <w:r>
        <w:rPr>
          <w:b/>
          <w:bCs/>
        </w:rPr>
        <w:t xml:space="preserve">Board / Audit Committee</w:t>
      </w:r>
      <w:r>
        <w:t xml:space="preserve">, administratively ต่อ CEO — มี direct access ถึงประธานคณะกรรมการ</w:t>
      </w:r>
      <w:r>
        <w:t xml:space="preserve"> </w:t>
      </w:r>
      <w:r>
        <w:t xml:space="preserve">-</w:t>
      </w:r>
      <w:r>
        <w:t xml:space="preserve"> </w:t>
      </w:r>
      <w:r>
        <w:rPr>
          <w:b/>
          <w:bCs/>
        </w:rPr>
        <w:t xml:space="preserve">CRO</w:t>
      </w:r>
      <w:r>
        <w:t xml:space="preserve"> </w:t>
      </w:r>
      <w:r>
        <w:t xml:space="preserve">รายงานต่อ</w:t>
      </w:r>
      <w:r>
        <w:t xml:space="preserve"> </w:t>
      </w:r>
      <w:r>
        <w:rPr>
          <w:b/>
          <w:bCs/>
        </w:rPr>
        <w:t xml:space="preserve">Risk Committee</w:t>
      </w:r>
      <w:r>
        <w:t xml:space="preserve"> </w:t>
      </w:r>
      <w:r>
        <w:t xml:space="preserve">และ CEO</w:t>
      </w:r>
      <w:r>
        <w:t xml:space="preserve"> </w:t>
      </w:r>
      <w:r>
        <w:t xml:space="preserve">-</w:t>
      </w:r>
      <w:r>
        <w:t xml:space="preserve"> </w:t>
      </w:r>
      <w:r>
        <w:rPr>
          <w:b/>
          <w:bCs/>
        </w:rPr>
        <w:t xml:space="preserve">CISO</w:t>
      </w:r>
      <w:r>
        <w:t xml:space="preserve"> </w:t>
      </w:r>
      <w:r>
        <w:t xml:space="preserve">รายงานต่อ CEO และรายงานเรื่อง cyber ต่อ</w:t>
      </w:r>
      <w:r>
        <w:t xml:space="preserve"> </w:t>
      </w:r>
      <w:r>
        <w:rPr>
          <w:b/>
          <w:bCs/>
        </w:rPr>
        <w:t xml:space="preserve">IT Steering / Cyber Committee</w:t>
      </w:r>
      <w:r>
        <w:t xml:space="preserve"> </w:t>
      </w:r>
      <w:r>
        <w:t xml:space="preserve">และ Board</w:t>
      </w:r>
    </w:p>
    <w:p>
      <w:r>
        <w:pict>
          <v:rect style="width:0;height:1.5pt" o:hralign="center" o:hrstd="t" o:hr="t"/>
        </w:pict>
      </w:r>
    </w:p>
    <w:bookmarkEnd w:id="174"/>
    <w:bookmarkStart w:id="180" w:name="X33de7b8e9962e67f6ed42a5f427bf0dc6abd1d1"/>
    <w:p>
      <w:pPr>
        <w:pStyle w:val="Heading2"/>
      </w:pPr>
      <w:r>
        <w:t xml:space="preserve">3. บทบาทและความรับผิดชอบของตำแหน่งควบคุมหลัก (Control Function Roles)</w:t>
      </w:r>
    </w:p>
    <w:bookmarkStart w:id="175" w:name="X7f4855246d96a2728f97d21aa93c0f87129b73b"/>
    <w:p>
      <w:pPr>
        <w:pStyle w:val="Heading3"/>
      </w:pPr>
      <w:r>
        <w:t xml:space="preserve">3.1 Chief Compliance Officer (CCO) — ประธานเจ้าหน้าที่กำกับการปฏิบัติงาน</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หัวข้อ</w:t>
            </w:r>
          </w:p>
        </w:tc>
        <w:tc>
          <w:tcPr/>
          <w:p>
            <w:pPr>
              <w:pStyle w:val="Compact"/>
            </w:pPr>
            <w:r>
              <w:t xml:space="preserve">รายละเอียด</w:t>
            </w:r>
          </w:p>
        </w:tc>
      </w:tr>
      <w:tr>
        <w:tc>
          <w:tcPr/>
          <w:p>
            <w:pPr>
              <w:pStyle w:val="Compact"/>
            </w:pPr>
            <w:r>
              <w:t xml:space="preserve">แนวป้องกัน</w:t>
            </w:r>
          </w:p>
        </w:tc>
        <w:tc>
          <w:tcPr/>
          <w:p>
            <w:pPr>
              <w:pStyle w:val="Compact"/>
            </w:pPr>
            <w:r>
              <w:t xml:space="preserve">แนวที่ 2</w:t>
            </w:r>
          </w:p>
        </w:tc>
      </w:tr>
      <w:tr>
        <w:tc>
          <w:tcPr/>
          <w:p>
            <w:pPr>
              <w:pStyle w:val="Compact"/>
            </w:pPr>
            <w:r>
              <w:t xml:space="preserve">สายรายงาน</w:t>
            </w:r>
          </w:p>
        </w:tc>
        <w:tc>
          <w:tcPr/>
          <w:p>
            <w:pPr>
              <w:pStyle w:val="Compact"/>
            </w:pPr>
            <w:r>
              <w:t xml:space="preserve">Functional → Board/Audit Committee; Administrative → CEO</w:t>
            </w:r>
          </w:p>
        </w:tc>
      </w:tr>
      <w:tr>
        <w:tc>
          <w:tcPr/>
          <w:p>
            <w:pPr>
              <w:pStyle w:val="Compact"/>
            </w:pPr>
            <w:r>
              <w:t xml:space="preserve">ความเป็นอิสระ</w:t>
            </w:r>
          </w:p>
        </w:tc>
        <w:tc>
          <w:tcPr/>
          <w:p>
            <w:pPr>
              <w:pStyle w:val="Compact"/>
            </w:pPr>
            <w:r>
              <w:t xml:space="preserve">ไม่รับผิดชอบหน่วยงานที่สร้างรายได้; ไม่มีเป้า KPI ด้านยอดขาย</w:t>
            </w:r>
          </w:p>
        </w:tc>
      </w:tr>
      <w:tr>
        <w:tc>
          <w:tcPr/>
          <w:p>
            <w:pPr>
              <w:pStyle w:val="Compact"/>
            </w:pPr>
            <w:r>
              <w:t xml:space="preserve">หน้าที่หลัก</w:t>
            </w:r>
          </w:p>
        </w:tc>
        <w:tc>
          <w:tcPr/>
          <w:p>
            <w:pPr>
              <w:pStyle w:val="Compact"/>
            </w:pPr>
            <w:r>
              <w:t xml:space="preserve">จัดทำ/ทบทวน</w:t>
            </w:r>
            <w:r>
              <w:t xml:space="preserve"> </w:t>
            </w:r>
            <w:r>
              <w:rPr>
                <w:b/>
                <w:bCs/>
              </w:rPr>
              <w:t xml:space="preserve">compliance framework</w:t>
            </w:r>
            <w:r>
              <w:t xml:space="preserve"> </w:t>
            </w:r>
            <w:r>
              <w:t xml:space="preserve">ให้สอดคล้อง พ.ร.บ. ระบบการชำระเงิน 2560, ประกาศ ธปท., PDPA (พ.ร.บ. คุ้มครองข้อมูลส่วนบุคคล 2562)</w:t>
            </w:r>
          </w:p>
        </w:tc>
      </w:tr>
      <w:tr>
        <w:tc>
          <w:tcPr/>
          <w:p>
            <w:pPr>
              <w:pStyle w:val="Compact"/>
            </w:pPr>
          </w:p>
        </w:tc>
        <w:tc>
          <w:tcPr/>
          <w:p>
            <w:pPr>
              <w:pStyle w:val="Compact"/>
            </w:pPr>
            <w:r>
              <w:t xml:space="preserve">ติดตามการเปลี่ยนแปลงกฎเกณฑ์ (regulatory change management) และประเมินผลกระทบภายใน</w:t>
            </w:r>
            <w:r>
              <w:t xml:space="preserve"> </w:t>
            </w:r>
            <w:r>
              <w:rPr>
                <w:b/>
                <w:bCs/>
              </w:rPr>
              <w:t xml:space="preserve">30 วัน</w:t>
            </w:r>
            <w:r>
              <w:t xml:space="preserve"> </w:t>
            </w:r>
            <w:r>
              <w:t xml:space="preserve">นับจากประกาศมีผล</w:t>
            </w:r>
          </w:p>
        </w:tc>
      </w:tr>
      <w:tr>
        <w:tc>
          <w:tcPr/>
          <w:p>
            <w:pPr>
              <w:pStyle w:val="Compact"/>
            </w:pPr>
          </w:p>
        </w:tc>
        <w:tc>
          <w:tcPr/>
          <w:p>
            <w:pPr>
              <w:pStyle w:val="Compact"/>
            </w:pPr>
            <w:r>
              <w:t xml:space="preserve">บริหารความสัมพันธ์กับ ธปท. เป็นจุดติดต่อหลัก (single point of contact) สำหรับการรายงานเป็นงวดและการตรวจ on-site</w:t>
            </w:r>
          </w:p>
        </w:tc>
      </w:tr>
      <w:tr>
        <w:tc>
          <w:tcPr/>
          <w:p>
            <w:pPr>
              <w:pStyle w:val="Compact"/>
            </w:pPr>
          </w:p>
        </w:tc>
        <w:tc>
          <w:tcPr/>
          <w:p>
            <w:pPr>
              <w:pStyle w:val="Compact"/>
            </w:pPr>
            <w:r>
              <w:t xml:space="preserve">จัดทำ</w:t>
            </w:r>
            <w:r>
              <w:t xml:space="preserve"> </w:t>
            </w:r>
            <w:r>
              <w:rPr>
                <w:b/>
                <w:bCs/>
              </w:rPr>
              <w:t xml:space="preserve">compliance risk assessment</w:t>
            </w:r>
            <w:r>
              <w:t xml:space="preserve"> </w:t>
            </w:r>
            <w:r>
              <w:t xml:space="preserve">ประจำปี และ compliance monitoring plan</w:t>
            </w:r>
          </w:p>
        </w:tc>
      </w:tr>
      <w:tr>
        <w:tc>
          <w:tcPr/>
          <w:p>
            <w:pPr>
              <w:pStyle w:val="Compact"/>
            </w:pPr>
          </w:p>
        </w:tc>
        <w:tc>
          <w:tcPr/>
          <w:p>
            <w:pPr>
              <w:pStyle w:val="Compact"/>
            </w:pPr>
            <w:r>
              <w:t xml:space="preserve">ดูแลการรายงานเหตุการณ์สำคัญต่อ ธปท. ภายในกรอบเวลาตามประกาศ (เช่น incident รุนแรงภายใน</w:t>
            </w:r>
            <w:r>
              <w:t xml:space="preserve"> </w:t>
            </w:r>
            <w:r>
              <w:rPr>
                <w:b/>
                <w:bCs/>
              </w:rPr>
              <w:t xml:space="preserve">24 ชั่วโมง</w:t>
            </w:r>
            <w:r>
              <w:t xml:space="preserve"> </w:t>
            </w:r>
            <w:r>
              <w:t xml:space="preserve">— ดูข้อ 6)</w:t>
            </w:r>
          </w:p>
        </w:tc>
      </w:tr>
      <w:tr>
        <w:tc>
          <w:tcPr/>
          <w:p>
            <w:pPr>
              <w:pStyle w:val="Compact"/>
            </w:pPr>
            <w:r>
              <w:t xml:space="preserve">คุณสมบัติ</w:t>
            </w:r>
          </w:p>
        </w:tc>
        <w:tc>
          <w:tcPr/>
          <w:p>
            <w:pPr>
              <w:pStyle w:val="Compact"/>
            </w:pPr>
            <w:r>
              <w:t xml:space="preserve">ประสบการณ์ด้าน compliance/กฎหมายในสถาบันการเงิน/ผู้ให้บริการชำระเงิน ≥ 5 ปี, ผ่าน fit &amp; proper</w:t>
            </w:r>
          </w:p>
        </w:tc>
      </w:tr>
    </w:tbl>
    <w:bookmarkEnd w:id="175"/>
    <w:bookmarkStart w:id="176" w:name="X3aef23667030044d343ed849b7934099e2ababb"/>
    <w:p>
      <w:pPr>
        <w:pStyle w:val="Heading3"/>
      </w:pPr>
      <w:r>
        <w:t xml:space="preserve">3.2 MLRO — Money Laundering Reporting Officer (ปปง./AMLO)</w:t>
      </w:r>
    </w:p>
    <w:p>
      <w:pPr>
        <w:pStyle w:val="BlockText"/>
      </w:pPr>
      <w:r>
        <w:t xml:space="preserve">ในระยะแรกอาจรวมกับ CCO ได้ แต่ต้องมีทีม AML แยกและมีแผนแยกตำแหน่งเมื่อปริมาณธุรกรรมโต</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หัวข้อ</w:t>
            </w:r>
          </w:p>
        </w:tc>
        <w:tc>
          <w:tcPr/>
          <w:p>
            <w:pPr>
              <w:pStyle w:val="Compact"/>
            </w:pPr>
            <w:r>
              <w:t xml:space="preserve">รายละเอียด</w:t>
            </w:r>
          </w:p>
        </w:tc>
      </w:tr>
      <w:tr>
        <w:tc>
          <w:tcPr/>
          <w:p>
            <w:pPr>
              <w:pStyle w:val="Compact"/>
            </w:pPr>
            <w:r>
              <w:t xml:space="preserve">ฐานกฎหมาย</w:t>
            </w:r>
          </w:p>
        </w:tc>
        <w:tc>
          <w:tcPr/>
          <w:p>
            <w:pPr>
              <w:pStyle w:val="Compact"/>
            </w:pPr>
            <w:r>
              <w:t xml:space="preserve">พ.ร.บ. ป้องกันและปราบปรามการฟอกเงิน + ประกาศสำนักงาน ปปง.</w:t>
            </w:r>
          </w:p>
        </w:tc>
      </w:tr>
      <w:tr>
        <w:tc>
          <w:tcPr/>
          <w:p>
            <w:pPr>
              <w:pStyle w:val="Compact"/>
            </w:pPr>
            <w:r>
              <w:t xml:space="preserve">หน้าที่หลัก</w:t>
            </w:r>
          </w:p>
        </w:tc>
        <w:tc>
          <w:tcPr/>
          <w:p>
            <w:pPr>
              <w:pStyle w:val="Compact"/>
            </w:pPr>
            <w:r>
              <w:t xml:space="preserve">ดูแล</w:t>
            </w:r>
            <w:r>
              <w:t xml:space="preserve"> </w:t>
            </w:r>
            <w:r>
              <w:rPr>
                <w:b/>
                <w:bCs/>
              </w:rPr>
              <w:t xml:space="preserve">KYC/CDD/EDD</w:t>
            </w:r>
            <w:r>
              <w:t xml:space="preserve">, sanction &amp; PEP screening, transaction monitoring</w:t>
            </w:r>
          </w:p>
        </w:tc>
      </w:tr>
      <w:tr>
        <w:tc>
          <w:tcPr/>
          <w:p>
            <w:pPr>
              <w:pStyle w:val="Compact"/>
            </w:pPr>
          </w:p>
        </w:tc>
        <w:tc>
          <w:tcPr/>
          <w:p>
            <w:pPr>
              <w:pStyle w:val="Compact"/>
            </w:pPr>
            <w:r>
              <w:t xml:space="preserve">จัดทำและส่ง</w:t>
            </w:r>
            <w:r>
              <w:t xml:space="preserve"> </w:t>
            </w:r>
            <w:r>
              <w:rPr>
                <w:b/>
                <w:bCs/>
              </w:rPr>
              <w:t xml:space="preserve">STR/SAR</w:t>
            </w:r>
            <w:r>
              <w:t xml:space="preserve"> </w:t>
            </w:r>
            <w:r>
              <w:t xml:space="preserve">(รายงานธุรกรรมที่มีเหตุอันควรสงสัย) และ</w:t>
            </w:r>
            <w:r>
              <w:t xml:space="preserve"> </w:t>
            </w:r>
            <w:r>
              <w:rPr>
                <w:b/>
                <w:bCs/>
              </w:rPr>
              <w:t xml:space="preserve">CTR</w:t>
            </w:r>
            <w:r>
              <w:t xml:space="preserve"> </w:t>
            </w:r>
            <w:r>
              <w:t xml:space="preserve">(ธุรกรรมเงินสด/โอนที่ถึงเกณฑ์) ต่อสำนักงาน ปปง. ตามกรอบเวลาที่กฎหมายกำหนด</w:t>
            </w:r>
          </w:p>
        </w:tc>
      </w:tr>
      <w:tr>
        <w:tc>
          <w:tcPr/>
          <w:p>
            <w:pPr>
              <w:pStyle w:val="Compact"/>
            </w:pPr>
          </w:p>
        </w:tc>
        <w:tc>
          <w:tcPr/>
          <w:p>
            <w:pPr>
              <w:pStyle w:val="Compact"/>
            </w:pPr>
            <w:r>
              <w:t xml:space="preserve">เก็บรักษาบันทึก CDD/ธุรกรรมไม่น้อยกว่า</w:t>
            </w:r>
            <w:r>
              <w:t xml:space="preserve"> </w:t>
            </w:r>
            <w:r>
              <w:rPr>
                <w:b/>
                <w:bCs/>
              </w:rPr>
              <w:t xml:space="preserve">10 ปี</w:t>
            </w:r>
            <w:r>
              <w:t xml:space="preserve"> </w:t>
            </w:r>
            <w:r>
              <w:t xml:space="preserve">ตามที่กฎหมายกำหนด</w:t>
            </w:r>
          </w:p>
        </w:tc>
      </w:tr>
      <w:tr>
        <w:tc>
          <w:tcPr/>
          <w:p>
            <w:pPr>
              <w:pStyle w:val="Compact"/>
            </w:pPr>
          </w:p>
        </w:tc>
        <w:tc>
          <w:tcPr/>
          <w:p>
            <w:pPr>
              <w:pStyle w:val="Compact"/>
            </w:pPr>
            <w:r>
              <w:t xml:space="preserve">ทบทวน risk-based AML program ประจำปี และรายงานต่อ AML Committee/Board</w:t>
            </w:r>
          </w:p>
        </w:tc>
      </w:tr>
    </w:tbl>
    <w:bookmarkEnd w:id="176"/>
    <w:bookmarkStart w:id="177" w:name="ciso-chief-information-security-officer"/>
    <w:p>
      <w:pPr>
        <w:pStyle w:val="Heading3"/>
      </w:pPr>
      <w:r>
        <w:t xml:space="preserve">3.3 CISO — Chief Information Security Officer</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หัวข้อ</w:t>
            </w:r>
          </w:p>
        </w:tc>
        <w:tc>
          <w:tcPr/>
          <w:p>
            <w:pPr>
              <w:pStyle w:val="Compact"/>
            </w:pPr>
            <w:r>
              <w:t xml:space="preserve">รายละเอียด</w:t>
            </w:r>
          </w:p>
        </w:tc>
      </w:tr>
      <w:tr>
        <w:tc>
          <w:tcPr/>
          <w:p>
            <w:pPr>
              <w:pStyle w:val="Compact"/>
            </w:pPr>
            <w:r>
              <w:t xml:space="preserve">แนวป้องกัน</w:t>
            </w:r>
          </w:p>
        </w:tc>
        <w:tc>
          <w:tcPr/>
          <w:p>
            <w:pPr>
              <w:pStyle w:val="Compact"/>
            </w:pPr>
            <w:r>
              <w:t xml:space="preserve">แนวที่ 2 (security governance) — เป็นอิสระจากทีมพัฒนา/ปฏิบัติการ IT (แนวที่ 1)</w:t>
            </w:r>
          </w:p>
        </w:tc>
      </w:tr>
      <w:tr>
        <w:tc>
          <w:tcPr/>
          <w:p>
            <w:pPr>
              <w:pStyle w:val="Compact"/>
            </w:pPr>
            <w:r>
              <w:t xml:space="preserve">สายรายงาน</w:t>
            </w:r>
          </w:p>
        </w:tc>
        <w:tc>
          <w:tcPr/>
          <w:p>
            <w:pPr>
              <w:pStyle w:val="Compact"/>
            </w:pPr>
            <w:r>
              <w:t xml:space="preserve">CEO + Cyber Committee/Board</w:t>
            </w:r>
          </w:p>
        </w:tc>
      </w:tr>
      <w:tr>
        <w:tc>
          <w:tcPr/>
          <w:p>
            <w:pPr>
              <w:pStyle w:val="Compact"/>
            </w:pPr>
            <w:r>
              <w:t xml:space="preserve">หน้าที่หลัก</w:t>
            </w:r>
          </w:p>
        </w:tc>
        <w:tc>
          <w:tcPr/>
          <w:p>
            <w:pPr>
              <w:pStyle w:val="Compact"/>
            </w:pPr>
            <w:r>
              <w:t xml:space="preserve">เป็นเจ้าของ</w:t>
            </w:r>
            <w:r>
              <w:t xml:space="preserve"> </w:t>
            </w:r>
            <w:r>
              <w:rPr>
                <w:b/>
                <w:bCs/>
              </w:rPr>
              <w:t xml:space="preserve">information security policy</w:t>
            </w:r>
            <w:r>
              <w:t xml:space="preserve">,</w:t>
            </w:r>
            <w:r>
              <w:t xml:space="preserve"> </w:t>
            </w:r>
            <w:r>
              <w:rPr>
                <w:b/>
                <w:bCs/>
              </w:rPr>
              <w:t xml:space="preserve">PCI-DSS v4.0 compliance program</w:t>
            </w:r>
            <w:r>
              <w:t xml:space="preserve">, และ cyber resilience ตามประกาศ ธปท.</w:t>
            </w:r>
          </w:p>
        </w:tc>
      </w:tr>
      <w:tr>
        <w:tc>
          <w:tcPr/>
          <w:p>
            <w:pPr>
              <w:pStyle w:val="Compact"/>
            </w:pPr>
          </w:p>
        </w:tc>
        <w:tc>
          <w:tcPr/>
          <w:p>
            <w:pPr>
              <w:pStyle w:val="Compact"/>
            </w:pPr>
            <w:r>
              <w:t xml:space="preserve">บริหาร scope PCI-DSS, network segmentation, tokenization vault, HSM/KMS key management (PCI Req 3), access control &amp; MFA (Req 7-8), logging/SIEM (Req 10)</w:t>
            </w:r>
          </w:p>
        </w:tc>
      </w:tr>
      <w:tr>
        <w:tc>
          <w:tcPr/>
          <w:p>
            <w:pPr>
              <w:pStyle w:val="Compact"/>
            </w:pPr>
          </w:p>
        </w:tc>
        <w:tc>
          <w:tcPr/>
          <w:p>
            <w:pPr>
              <w:pStyle w:val="Compact"/>
            </w:pPr>
            <w:r>
              <w:t xml:space="preserve">ดูแล</w:t>
            </w:r>
            <w:r>
              <w:t xml:space="preserve"> </w:t>
            </w:r>
            <w:r>
              <w:rPr>
                <w:b/>
                <w:bCs/>
              </w:rPr>
              <w:t xml:space="preserve">RoC (Report on Compliance)</w:t>
            </w:r>
            <w:r>
              <w:t xml:space="preserve"> </w:t>
            </w:r>
            <w:r>
              <w:t xml:space="preserve">ประจำปีร่วมกับ</w:t>
            </w:r>
            <w:r>
              <w:t xml:space="preserve"> </w:t>
            </w:r>
            <w:r>
              <w:rPr>
                <w:b/>
                <w:bCs/>
              </w:rPr>
              <w:t xml:space="preserve">QSA</w:t>
            </w:r>
            <w:r>
              <w:t xml:space="preserve"> </w:t>
            </w:r>
            <w:r>
              <w:t xml:space="preserve">(TODO A3) และ</w:t>
            </w:r>
            <w:r>
              <w:t xml:space="preserve"> </w:t>
            </w:r>
            <w:r>
              <w:rPr>
                <w:b/>
                <w:bCs/>
              </w:rPr>
              <w:t xml:space="preserve">quarterly ASV scan</w:t>
            </w:r>
            <w:r>
              <w:t xml:space="preserve"> </w:t>
            </w:r>
            <w:r>
              <w:t xml:space="preserve">(TODO A7) +</w:t>
            </w:r>
            <w:r>
              <w:t xml:space="preserve"> </w:t>
            </w:r>
            <w:r>
              <w:rPr>
                <w:b/>
                <w:bCs/>
              </w:rPr>
              <w:t xml:space="preserve">annual penetration test</w:t>
            </w:r>
          </w:p>
        </w:tc>
      </w:tr>
      <w:tr>
        <w:tc>
          <w:tcPr/>
          <w:p>
            <w:pPr>
              <w:pStyle w:val="Compact"/>
            </w:pPr>
          </w:p>
        </w:tc>
        <w:tc>
          <w:tcPr/>
          <w:p>
            <w:pPr>
              <w:pStyle w:val="Compact"/>
            </w:pPr>
            <w:r>
              <w:t xml:space="preserve">เป็นเจ้าของ</w:t>
            </w:r>
            <w:r>
              <w:t xml:space="preserve"> </w:t>
            </w:r>
            <w:r>
              <w:rPr>
                <w:b/>
                <w:bCs/>
              </w:rPr>
              <w:t xml:space="preserve">Incident Response Plan</w:t>
            </w:r>
            <w:r>
              <w:t xml:space="preserve"> </w:t>
            </w:r>
            <w:r>
              <w:t xml:space="preserve">และเป็น incident commander สำหรับ security/data breach</w:t>
            </w:r>
          </w:p>
        </w:tc>
      </w:tr>
      <w:tr>
        <w:tc>
          <w:tcPr/>
          <w:p>
            <w:pPr>
              <w:pStyle w:val="Compact"/>
            </w:pPr>
          </w:p>
        </w:tc>
        <w:tc>
          <w:tcPr/>
          <w:p>
            <w:pPr>
              <w:pStyle w:val="Compact"/>
            </w:pPr>
            <w:r>
              <w:t xml:space="preserve">ทบทวนสิทธิ์เข้าถึง (access review) ราย</w:t>
            </w:r>
            <w:r>
              <w:t xml:space="preserve"> </w:t>
            </w:r>
            <w:r>
              <w:rPr>
                <w:b/>
                <w:bCs/>
              </w:rPr>
              <w:t xml:space="preserve">ไตรมาส</w:t>
            </w:r>
            <w:r>
              <w:t xml:space="preserve">; ทดสอบ 3DS (EMV 3DS / 3-D Secure 2.x) และการควบคุม fraud</w:t>
            </w:r>
          </w:p>
        </w:tc>
      </w:tr>
      <w:tr>
        <w:tc>
          <w:tcPr/>
          <w:p>
            <w:pPr>
              <w:pStyle w:val="Compact"/>
            </w:pPr>
            <w:r>
              <w:t xml:space="preserve">คุณสมบัติ</w:t>
            </w:r>
          </w:p>
        </w:tc>
        <w:tc>
          <w:tcPr/>
          <w:p>
            <w:pPr>
              <w:pStyle w:val="Compact"/>
            </w:pPr>
            <w:r>
              <w:t xml:space="preserve">ประสบการณ์ security ในระบบชำระเงิน/PCI ≥ 5 ปี, วุฒิ CISSP/CISM หรือเทียบเท่า (แนะนำ)</w:t>
            </w:r>
          </w:p>
        </w:tc>
      </w:tr>
    </w:tbl>
    <w:bookmarkEnd w:id="177"/>
    <w:bookmarkStart w:id="178" w:name="cro-chief-risk-officer-head-of-risk"/>
    <w:p>
      <w:pPr>
        <w:pStyle w:val="Heading3"/>
      </w:pPr>
      <w:r>
        <w:t xml:space="preserve">3.4 CRO — Chief Risk Officer (Head of Risk)</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หัวข้อ</w:t>
            </w:r>
          </w:p>
        </w:tc>
        <w:tc>
          <w:tcPr/>
          <w:p>
            <w:pPr>
              <w:pStyle w:val="Compact"/>
            </w:pPr>
            <w:r>
              <w:t xml:space="preserve">รายละเอียด</w:t>
            </w:r>
          </w:p>
        </w:tc>
      </w:tr>
      <w:tr>
        <w:tc>
          <w:tcPr/>
          <w:p>
            <w:pPr>
              <w:pStyle w:val="Compact"/>
            </w:pPr>
            <w:r>
              <w:t xml:space="preserve">แนวป้องกัน</w:t>
            </w:r>
          </w:p>
        </w:tc>
        <w:tc>
          <w:tcPr/>
          <w:p>
            <w:pPr>
              <w:pStyle w:val="Compact"/>
            </w:pPr>
            <w:r>
              <w:t xml:space="preserve">แนวที่ 2</w:t>
            </w:r>
          </w:p>
        </w:tc>
      </w:tr>
      <w:tr>
        <w:tc>
          <w:tcPr/>
          <w:p>
            <w:pPr>
              <w:pStyle w:val="Compact"/>
            </w:pPr>
            <w:r>
              <w:t xml:space="preserve">สายรายงาน</w:t>
            </w:r>
          </w:p>
        </w:tc>
        <w:tc>
          <w:tcPr/>
          <w:p>
            <w:pPr>
              <w:pStyle w:val="Compact"/>
            </w:pPr>
            <w:r>
              <w:t xml:space="preserve">Risk Committee + CEO</w:t>
            </w:r>
          </w:p>
        </w:tc>
      </w:tr>
      <w:tr>
        <w:tc>
          <w:tcPr/>
          <w:p>
            <w:pPr>
              <w:pStyle w:val="Compact"/>
            </w:pPr>
            <w:r>
              <w:t xml:space="preserve">หน้าที่หลัก</w:t>
            </w:r>
          </w:p>
        </w:tc>
        <w:tc>
          <w:tcPr/>
          <w:p>
            <w:pPr>
              <w:pStyle w:val="Compact"/>
            </w:pPr>
            <w:r>
              <w:t xml:space="preserve">เป็นเจ้าของ</w:t>
            </w:r>
            <w:r>
              <w:t xml:space="preserve"> </w:t>
            </w:r>
            <w:r>
              <w:rPr>
                <w:b/>
                <w:bCs/>
              </w:rPr>
              <w:t xml:space="preserve">Enterprise Risk Management (ERM) framework</w:t>
            </w:r>
            <w:r>
              <w:t xml:space="preserve">: operational, credit/settlement, liquidity, fraud/chargeback, IT &amp; third-party/outsourcing risk</w:t>
            </w:r>
          </w:p>
        </w:tc>
      </w:tr>
      <w:tr>
        <w:tc>
          <w:tcPr/>
          <w:p>
            <w:pPr>
              <w:pStyle w:val="Compact"/>
            </w:pPr>
          </w:p>
        </w:tc>
        <w:tc>
          <w:tcPr/>
          <w:p>
            <w:pPr>
              <w:pStyle w:val="Compact"/>
            </w:pPr>
            <w:r>
              <w:t xml:space="preserve">กำหนดและติดตาม</w:t>
            </w:r>
            <w:r>
              <w:t xml:space="preserve"> </w:t>
            </w:r>
            <w:r>
              <w:rPr>
                <w:b/>
                <w:bCs/>
              </w:rPr>
              <w:t xml:space="preserve">risk appetite</w:t>
            </w:r>
            <w:r>
              <w:t xml:space="preserve"> </w:t>
            </w:r>
            <w:r>
              <w:t xml:space="preserve">และ</w:t>
            </w:r>
            <w:r>
              <w:t xml:space="preserve"> </w:t>
            </w:r>
            <w:r>
              <w:rPr>
                <w:b/>
                <w:bCs/>
              </w:rPr>
              <w:t xml:space="preserve">key risk indicators (KRIs)</w:t>
            </w:r>
            <w:r>
              <w:t xml:space="preserve"> </w:t>
            </w:r>
            <w:r>
              <w:t xml:space="preserve">— ดูข้อ 5</w:t>
            </w:r>
          </w:p>
        </w:tc>
      </w:tr>
      <w:tr>
        <w:tc>
          <w:tcPr/>
          <w:p>
            <w:pPr>
              <w:pStyle w:val="Compact"/>
            </w:pPr>
          </w:p>
        </w:tc>
        <w:tc>
          <w:tcPr/>
          <w:p>
            <w:pPr>
              <w:pStyle w:val="Compact"/>
            </w:pPr>
            <w:r>
              <w:t xml:space="preserve">ดูแล</w:t>
            </w:r>
            <w:r>
              <w:t xml:space="preserve"> </w:t>
            </w:r>
            <w:r>
              <w:rPr>
                <w:b/>
                <w:bCs/>
              </w:rPr>
              <w:t xml:space="preserve">BCP/DR</w:t>
            </w:r>
            <w:r>
              <w:t xml:space="preserve"> </w:t>
            </w:r>
            <w:r>
              <w:t xml:space="preserve">ให้สอดคล้อง RPO ≤ 5 นาที / RTO ≤ 30 นาที (ตาม ARCHITECTURE §8) และจัด DR drill อย่างน้อย</w:t>
            </w:r>
            <w:r>
              <w:t xml:space="preserve"> </w:t>
            </w:r>
            <w:r>
              <w:rPr>
                <w:b/>
                <w:bCs/>
              </w:rPr>
              <w:t xml:space="preserve">ปีละ 1 ครั้ง</w:t>
            </w:r>
          </w:p>
        </w:tc>
      </w:tr>
      <w:tr>
        <w:tc>
          <w:tcPr/>
          <w:p>
            <w:pPr>
              <w:pStyle w:val="Compact"/>
            </w:pPr>
          </w:p>
        </w:tc>
        <w:tc>
          <w:tcPr/>
          <w:p>
            <w:pPr>
              <w:pStyle w:val="Compact"/>
            </w:pPr>
            <w:r>
              <w:t xml:space="preserve">ประเมินความเสี่ยง outsourcing/third-party (รวม sponsor bank, QSA, cloud) ตามประกาศ ธปท. ว่าด้วย outsourcing</w:t>
            </w:r>
          </w:p>
        </w:tc>
      </w:tr>
    </w:tbl>
    <w:bookmarkEnd w:id="178"/>
    <w:bookmarkStart w:id="179" w:name="X987dacebc194c6afa0c6185900d6269c15c2273"/>
    <w:p>
      <w:pPr>
        <w:pStyle w:val="Heading3"/>
      </w:pPr>
      <w:r>
        <w:t xml:space="preserve">3.5 Chief Audit Executive (CAE) / Head of Internal Audit</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หัวข้อ</w:t>
            </w:r>
          </w:p>
        </w:tc>
        <w:tc>
          <w:tcPr/>
          <w:p>
            <w:pPr>
              <w:pStyle w:val="Compact"/>
            </w:pPr>
            <w:r>
              <w:t xml:space="preserve">รายละเอียด</w:t>
            </w:r>
          </w:p>
        </w:tc>
      </w:tr>
      <w:tr>
        <w:tc>
          <w:tcPr/>
          <w:p>
            <w:pPr>
              <w:pStyle w:val="Compact"/>
            </w:pPr>
            <w:r>
              <w:t xml:space="preserve">แนวป้องกัน</w:t>
            </w:r>
          </w:p>
        </w:tc>
        <w:tc>
          <w:tcPr/>
          <w:p>
            <w:pPr>
              <w:pStyle w:val="Compact"/>
            </w:pPr>
            <w:r>
              <w:t xml:space="preserve">แนวที่ 3</w:t>
            </w:r>
          </w:p>
        </w:tc>
      </w:tr>
      <w:tr>
        <w:tc>
          <w:tcPr/>
          <w:p>
            <w:pPr>
              <w:pStyle w:val="Compact"/>
            </w:pPr>
            <w:r>
              <w:t xml:space="preserve">สายรายงาน</w:t>
            </w:r>
          </w:p>
        </w:tc>
        <w:tc>
          <w:tcPr/>
          <w:p>
            <w:pPr>
              <w:pStyle w:val="Compact"/>
            </w:pPr>
            <w:r>
              <w:rPr>
                <w:b/>
                <w:bCs/>
              </w:rPr>
              <w:t xml:space="preserve">Functional → Audit Committee</w:t>
            </w:r>
            <w:r>
              <w:t xml:space="preserve"> </w:t>
            </w:r>
            <w:r>
              <w:t xml:space="preserve">(แต่งตั้ง/ถอดถอน/ประเมิน/อนุมัติงบผ่าน Audit Committee); Administrative → CEO เท่านั้น</w:t>
            </w:r>
          </w:p>
        </w:tc>
      </w:tr>
      <w:tr>
        <w:tc>
          <w:tcPr/>
          <w:p>
            <w:pPr>
              <w:pStyle w:val="Compact"/>
            </w:pPr>
            <w:r>
              <w:t xml:space="preserve">ความเป็นอิสระ</w:t>
            </w:r>
          </w:p>
        </w:tc>
        <w:tc>
          <w:tcPr/>
          <w:p>
            <w:pPr>
              <w:pStyle w:val="Compact"/>
            </w:pPr>
            <w:r>
              <w:rPr>
                <w:b/>
                <w:bCs/>
              </w:rPr>
              <w:t xml:space="preserve">ห้ามมีหน้าที่ปฏิบัติการ (operational duties)</w:t>
            </w:r>
            <w:r>
              <w:t xml:space="preserve"> </w:t>
            </w:r>
            <w:r>
              <w:t xml:space="preserve">ในหน่วยงานที่ตนตรวจ; ไม่ออกแบบ control ที่ตนต้องตรวจ</w:t>
            </w:r>
          </w:p>
        </w:tc>
      </w:tr>
      <w:tr>
        <w:tc>
          <w:tcPr/>
          <w:p>
            <w:pPr>
              <w:pStyle w:val="Compact"/>
            </w:pPr>
            <w:r>
              <w:t xml:space="preserve">หน้าที่หลัก</w:t>
            </w:r>
          </w:p>
        </w:tc>
        <w:tc>
          <w:tcPr/>
          <w:p>
            <w:pPr>
              <w:pStyle w:val="Compact"/>
            </w:pPr>
            <w:r>
              <w:t xml:space="preserve">จัดทำ</w:t>
            </w:r>
            <w:r>
              <w:t xml:space="preserve"> </w:t>
            </w:r>
            <w:r>
              <w:rPr>
                <w:b/>
                <w:bCs/>
              </w:rPr>
              <w:t xml:space="preserve">risk-based annual audit plan</w:t>
            </w:r>
            <w:r>
              <w:t xml:space="preserve"> </w:t>
            </w:r>
            <w:r>
              <w:t xml:space="preserve">อนุมัติโดย Audit Committee</w:t>
            </w:r>
          </w:p>
        </w:tc>
      </w:tr>
      <w:tr>
        <w:tc>
          <w:tcPr/>
          <w:p>
            <w:pPr>
              <w:pStyle w:val="Compact"/>
            </w:pPr>
          </w:p>
        </w:tc>
        <w:tc>
          <w:tcPr/>
          <w:p>
            <w:pPr>
              <w:pStyle w:val="Compact"/>
            </w:pPr>
            <w:r>
              <w:t xml:space="preserve">ตรวจสอบความเพียงพอและประสิทธิผลของ control ในแนวที่ 1 และ 2 (compliance, AML, IT security, PCI, ledger/reconciliation, settlement)</w:t>
            </w:r>
          </w:p>
        </w:tc>
      </w:tr>
      <w:tr>
        <w:tc>
          <w:tcPr/>
          <w:p>
            <w:pPr>
              <w:pStyle w:val="Compact"/>
            </w:pPr>
          </w:p>
        </w:tc>
        <w:tc>
          <w:tcPr/>
          <w:p>
            <w:pPr>
              <w:pStyle w:val="Compact"/>
            </w:pPr>
            <w:r>
              <w:t xml:space="preserve">ติดตามการแก้ไขข้อบกพร่อง (audit findings remediation tracking) และรายงานความคืบหน้าต่อ Audit Committee ทุกไตรมาส</w:t>
            </w:r>
          </w:p>
        </w:tc>
      </w:tr>
      <w:tr>
        <w:tc>
          <w:tcPr/>
          <w:p>
            <w:pPr>
              <w:pStyle w:val="Compact"/>
            </w:pPr>
          </w:p>
        </w:tc>
        <w:tc>
          <w:tcPr/>
          <w:p>
            <w:pPr>
              <w:pStyle w:val="Compact"/>
            </w:pPr>
            <w:r>
              <w:t xml:space="preserve">อาจใช้รูปแบบ</w:t>
            </w:r>
            <w:r>
              <w:t xml:space="preserve"> </w:t>
            </w:r>
            <w:r>
              <w:rPr>
                <w:b/>
                <w:bCs/>
              </w:rPr>
              <w:t xml:space="preserve">co-source</w:t>
            </w:r>
            <w:r>
              <w:t xml:space="preserve"> </w:t>
            </w:r>
            <w:r>
              <w:t xml:space="preserve">กับสำนักงานตรวจสอบภายนอกอิสระ (TODO A6) สำหรับงานเฉพาะทาง (เช่น IT/PCI audit)</w:t>
            </w:r>
          </w:p>
        </w:tc>
      </w:tr>
    </w:tbl>
    <w:p>
      <w:r>
        <w:pict>
          <v:rect style="width:0;height:1.5pt" o:hralign="center" o:hrstd="t" o:hr="t"/>
        </w:pict>
      </w:r>
    </w:p>
    <w:bookmarkEnd w:id="179"/>
    <w:bookmarkEnd w:id="180"/>
    <w:bookmarkStart w:id="181" w:name="สามแนวปองกน-three-lines-of-defense"/>
    <w:p>
      <w:pPr>
        <w:pStyle w:val="Heading2"/>
      </w:pPr>
      <w:r>
        <w:t xml:space="preserve">4. สามแนวป้องกัน (Three Lines of Defense)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แนวที่ 1 (1st Line)</w:t>
            </w:r>
          </w:p>
        </w:tc>
        <w:tc>
          <w:tcPr/>
          <w:p>
            <w:pPr>
              <w:pStyle w:val="Compact"/>
            </w:pPr>
            <w:r>
              <w:rPr>
                <w:b/>
                <w:bCs/>
              </w:rPr>
              <w:t xml:space="preserve">แนวที่ 2 (2nd Line)</w:t>
            </w:r>
          </w:p>
        </w:tc>
        <w:tc>
          <w:tcPr/>
          <w:p>
            <w:pPr>
              <w:pStyle w:val="Compact"/>
            </w:pPr>
            <w:r>
              <w:rPr>
                <w:b/>
                <w:bCs/>
              </w:rPr>
              <w:t xml:space="preserve">แนวที่ 3 (3rd Line)</w:t>
            </w:r>
          </w:p>
        </w:tc>
      </w:tr>
      <w:tr>
        <w:tc>
          <w:tcPr/>
          <w:p>
            <w:pPr>
              <w:pStyle w:val="Compact"/>
            </w:pPr>
            <w:r>
              <w:t xml:space="preserve">บทบาท</w:t>
            </w:r>
          </w:p>
        </w:tc>
        <w:tc>
          <w:tcPr/>
          <w:p>
            <w:pPr>
              <w:pStyle w:val="Compact"/>
            </w:pPr>
            <w:r>
              <w:t xml:space="preserve">เจ้าของและบริหารความเสี่ยง</w:t>
            </w:r>
          </w:p>
        </w:tc>
        <w:tc>
          <w:tcPr/>
          <w:p>
            <w:pPr>
              <w:pStyle w:val="Compact"/>
            </w:pPr>
            <w:r>
              <w:t xml:space="preserve">กำกับดูแลและควบคุมความเสี่ยง</w:t>
            </w:r>
          </w:p>
        </w:tc>
        <w:tc>
          <w:tcPr/>
          <w:p>
            <w:pPr>
              <w:pStyle w:val="Compact"/>
            </w:pPr>
            <w:r>
              <w:t xml:space="preserve">ให้ความเชื่อมั่นอิสระ</w:t>
            </w:r>
          </w:p>
        </w:tc>
      </w:tr>
      <w:tr>
        <w:tc>
          <w:tcPr/>
          <w:p>
            <w:pPr>
              <w:pStyle w:val="Compact"/>
            </w:pPr>
            <w:r>
              <w:t xml:space="preserve">หน่วยงาน</w:t>
            </w:r>
          </w:p>
        </w:tc>
        <w:tc>
          <w:tcPr/>
          <w:p>
            <w:pPr>
              <w:pStyle w:val="Compact"/>
            </w:pPr>
            <w:r>
              <w:t xml:space="preserve">Engineering, Operations, Settlement, Merchant Onboarding, Customer Support</w:t>
            </w:r>
          </w:p>
        </w:tc>
        <w:tc>
          <w:tcPr/>
          <w:p>
            <w:pPr>
              <w:pStyle w:val="Compact"/>
            </w:pPr>
            <w:r>
              <w:t xml:space="preserve">Risk (CRO), Compliance (CCO), AML (MLRO), Information Security (CISO)</w:t>
            </w:r>
          </w:p>
        </w:tc>
        <w:tc>
          <w:tcPr/>
          <w:p>
            <w:pPr>
              <w:pStyle w:val="Compact"/>
            </w:pPr>
            <w:r>
              <w:t xml:space="preserve">Internal Audit (CAE)</w:t>
            </w:r>
          </w:p>
        </w:tc>
      </w:tr>
      <w:tr>
        <w:tc>
          <w:tcPr/>
          <w:p>
            <w:pPr>
              <w:pStyle w:val="Compact"/>
            </w:pPr>
            <w:r>
              <w:t xml:space="preserve">หน้าที่</w:t>
            </w:r>
          </w:p>
        </w:tc>
        <w:tc>
          <w:tcPr/>
          <w:p>
            <w:pPr>
              <w:pStyle w:val="Compact"/>
            </w:pPr>
            <w:r>
              <w:t xml:space="preserve">ปฏิบัติตาม control ในงานประจำ, ทำ self-assessment, บันทึก</w:t>
            </w:r>
            <w:r>
              <w:t xml:space="preserve"> </w:t>
            </w:r>
            <w:r>
              <w:rPr>
                <w:rStyle w:val="VerbatimChar"/>
              </w:rPr>
              <w:t xml:space="preserve">audit_log</w:t>
            </w:r>
            <w:r>
              <w:t xml:space="preserve"> </w:t>
            </w:r>
            <w:r>
              <w:t xml:space="preserve">ทุก state change</w:t>
            </w:r>
          </w:p>
        </w:tc>
        <w:tc>
          <w:tcPr/>
          <w:p>
            <w:pPr>
              <w:pStyle w:val="Compact"/>
            </w:pPr>
            <w:r>
              <w:t xml:space="preserve">ตั้งกรอบนโยบาย/limit, ติดตาม KRI, ท้าทาย (challenge) แนวที่ 1, รายงานความเสี่ยง</w:t>
            </w:r>
          </w:p>
        </w:tc>
        <w:tc>
          <w:tcPr/>
          <w:p>
            <w:pPr>
              <w:pStyle w:val="Compact"/>
            </w:pPr>
            <w:r>
              <w:t xml:space="preserve">ตรวจสอบอิสระว่าแนวที่ 1 และ 2 ทำงานได้ผล</w:t>
            </w:r>
          </w:p>
        </w:tc>
      </w:tr>
      <w:tr>
        <w:tc>
          <w:tcPr/>
          <w:p>
            <w:pPr>
              <w:pStyle w:val="Compact"/>
            </w:pPr>
            <w:r>
              <w:t xml:space="preserve">รายงานถึง</w:t>
            </w:r>
          </w:p>
        </w:tc>
        <w:tc>
          <w:tcPr/>
          <w:p>
            <w:pPr>
              <w:pStyle w:val="Compact"/>
            </w:pPr>
            <w:r>
              <w:t xml:space="preserve">สายบริหาร (CEO ผ่าน CTO/Head of Ops)</w:t>
            </w:r>
          </w:p>
        </w:tc>
        <w:tc>
          <w:tcPr/>
          <w:p>
            <w:pPr>
              <w:pStyle w:val="Compact"/>
            </w:pPr>
            <w:r>
              <w:t xml:space="preserve">คณะกรรมการชุดย่อยที่เกี่ยวข้อง</w:t>
            </w:r>
          </w:p>
        </w:tc>
        <w:tc>
          <w:tcPr/>
          <w:p>
            <w:pPr>
              <w:pStyle w:val="Compact"/>
            </w:pPr>
            <w:r>
              <w:t xml:space="preserve">Audit Committee</w:t>
            </w:r>
          </w:p>
        </w:tc>
      </w:tr>
      <w:tr>
        <w:tc>
          <w:tcPr/>
          <w:p>
            <w:pPr>
              <w:pStyle w:val="Compact"/>
            </w:pPr>
            <w:r>
              <w:t xml:space="preserve">ความเป็นอิสระ</w:t>
            </w:r>
          </w:p>
        </w:tc>
        <w:tc>
          <w:tcPr/>
          <w:p>
            <w:pPr>
              <w:pStyle w:val="Compact"/>
            </w:pPr>
            <w:r>
              <w:t xml:space="preserve">—</w:t>
            </w:r>
          </w:p>
        </w:tc>
        <w:tc>
          <w:tcPr/>
          <w:p>
            <w:pPr>
              <w:pStyle w:val="Compact"/>
            </w:pPr>
            <w:r>
              <w:t xml:space="preserve">อิสระจากหน่วยธุรกิจ</w:t>
            </w:r>
          </w:p>
        </w:tc>
        <w:tc>
          <w:tcPr/>
          <w:p>
            <w:pPr>
              <w:pStyle w:val="Compact"/>
            </w:pPr>
            <w:r>
              <w:t xml:space="preserve">อิสระจากทั้งแนวที่ 1 และ 2</w:t>
            </w:r>
          </w:p>
        </w:tc>
      </w:tr>
    </w:tbl>
    <w:p>
      <w:pPr>
        <w:pStyle w:val="BodyText"/>
      </w:pPr>
      <w:r>
        <w:rPr>
          <w:b/>
          <w:bCs/>
        </w:rPr>
        <w:t xml:space="preserve">ตัวอย่างการทำงานร่วมกัน (ธุรกรรม chargeback):</w:t>
      </w:r>
      <w:r>
        <w:t xml:space="preserve"> </w:t>
      </w:r>
      <w:r>
        <w:t xml:space="preserve">1.</w:t>
      </w:r>
      <w:r>
        <w:t xml:space="preserve"> </w:t>
      </w:r>
      <w:r>
        <w:rPr>
          <w:b/>
          <w:bCs/>
        </w:rPr>
        <w:t xml:space="preserve">แนวที่ 1</w:t>
      </w:r>
      <w:r>
        <w:t xml:space="preserve"> </w:t>
      </w:r>
      <w:r>
        <w:t xml:space="preserve">— ทีม Operations ดำเนินการ dispute workflow และบันทึกลง ledger/audit log</w:t>
      </w:r>
      <w:r>
        <w:t xml:space="preserve"> </w:t>
      </w:r>
      <w:r>
        <w:t xml:space="preserve">2.</w:t>
      </w:r>
      <w:r>
        <w:t xml:space="preserve"> </w:t>
      </w:r>
      <w:r>
        <w:rPr>
          <w:b/>
          <w:bCs/>
        </w:rPr>
        <w:t xml:space="preserve">แนวที่ 2</w:t>
      </w:r>
      <w:r>
        <w:t xml:space="preserve"> </w:t>
      </w:r>
      <w:r>
        <w:t xml:space="preserve">— Risk ติดตาม KRI chargeback ratio เทียบ threshold; Compliance ตรวจว่าตรงเกณฑ์ scheme/ธปท.</w:t>
      </w:r>
      <w:r>
        <w:t xml:space="preserve"> </w:t>
      </w:r>
      <w:r>
        <w:t xml:space="preserve">3.</w:t>
      </w:r>
      <w:r>
        <w:t xml:space="preserve"> </w:t>
      </w:r>
      <w:r>
        <w:rPr>
          <w:b/>
          <w:bCs/>
        </w:rPr>
        <w:t xml:space="preserve">แนวที่ 3</w:t>
      </w:r>
      <w:r>
        <w:t xml:space="preserve"> </w:t>
      </w:r>
      <w:r>
        <w:t xml:space="preserve">— Internal Audit สุ่มตรวจตัวอย่าง dispute ย้อนหลังว่ากระบวนการและ control ทำงานถูกต้อง</w:t>
      </w:r>
    </w:p>
    <w:p>
      <w:r>
        <w:pict>
          <v:rect style="width:0;height:1.5pt" o:hralign="center" o:hrstd="t" o:hr="t"/>
        </w:pict>
      </w:r>
    </w:p>
    <w:bookmarkEnd w:id="181"/>
    <w:bookmarkStart w:id="182" w:name="Xd62dc4ad5a4546d7fc9f0c278c79dfba2eadbc5"/>
    <w:p>
      <w:pPr>
        <w:pStyle w:val="Heading2"/>
      </w:pPr>
      <w:r>
        <w:t xml:space="preserve">5. Risk Appetite และ Key Risk Indicators (ตัวอย่าง threshold)</w:t>
      </w:r>
    </w:p>
    <w:tbl>
      <w:tblPr>
        <w:tblStyle w:val="Table"/>
        <w:tblW w:type="pct" w:w="5000"/>
        <w:tblLayout w:type="fixed"/>
        <w:tblLook w:firstRow="1" w:lastRow="0" w:firstColumn="0" w:lastColumn="0" w:noHBand="0" w:noVBand="0" w:val="0020"/>
      </w:tblPr>
      <w:tblGrid>
        <w:gridCol w:w="600"/>
        <w:gridCol w:w="960"/>
        <w:gridCol w:w="2160"/>
        <w:gridCol w:w="2280"/>
        <w:gridCol w:w="1920"/>
      </w:tblGrid>
      <w:tr>
        <w:trPr>
          <w:tblHeader w:val="on"/>
        </w:trPr>
        <w:tc>
          <w:tcPr/>
          <w:p>
            <w:pPr>
              <w:pStyle w:val="Compact"/>
            </w:pPr>
            <w:r>
              <w:t xml:space="preserve">KRI</w:t>
            </w:r>
          </w:p>
        </w:tc>
        <w:tc>
          <w:tcPr/>
          <w:p>
            <w:pPr>
              <w:pStyle w:val="Compact"/>
            </w:pPr>
            <w:r>
              <w:t xml:space="preserve">เจ้าของ</w:t>
            </w:r>
          </w:p>
        </w:tc>
        <w:tc>
          <w:tcPr/>
          <w:p>
            <w:pPr>
              <w:pStyle w:val="Compact"/>
            </w:pPr>
            <w:r>
              <w:t xml:space="preserve">ระดับปกติ (Green)</w:t>
            </w:r>
          </w:p>
        </w:tc>
        <w:tc>
          <w:tcPr/>
          <w:p>
            <w:pPr>
              <w:pStyle w:val="Compact"/>
            </w:pPr>
            <w:r>
              <w:t xml:space="preserve">เฝ้าระวัง (Amber)</w:t>
            </w:r>
          </w:p>
        </w:tc>
        <w:tc>
          <w:tcPr/>
          <w:p>
            <w:pPr>
              <w:pStyle w:val="Compact"/>
            </w:pPr>
            <w:r>
              <w:t xml:space="preserve">Escalate (Red)</w:t>
            </w:r>
          </w:p>
        </w:tc>
      </w:tr>
      <w:tr>
        <w:tc>
          <w:tcPr/>
          <w:p>
            <w:pPr>
              <w:pStyle w:val="Compact"/>
            </w:pPr>
            <w:r>
              <w:t xml:space="preserve">Chargeback ratio</w:t>
            </w:r>
          </w:p>
        </w:tc>
        <w:tc>
          <w:tcPr/>
          <w:p>
            <w:pPr>
              <w:pStyle w:val="Compact"/>
            </w:pPr>
            <w:r>
              <w:t xml:space="preserve">CRO</w:t>
            </w:r>
          </w:p>
        </w:tc>
        <w:tc>
          <w:tcPr/>
          <w:p>
            <w:pPr>
              <w:pStyle w:val="Compact"/>
            </w:pPr>
            <w:r>
              <w:t xml:space="preserve">&lt; 0.5%</w:t>
            </w:r>
          </w:p>
        </w:tc>
        <w:tc>
          <w:tcPr/>
          <w:p>
            <w:pPr>
              <w:pStyle w:val="Compact"/>
            </w:pPr>
            <w:r>
              <w:t xml:space="preserve">0.5–0.9%</w:t>
            </w:r>
          </w:p>
        </w:tc>
        <w:tc>
          <w:tcPr/>
          <w:p>
            <w:pPr>
              <w:pStyle w:val="Compact"/>
            </w:pPr>
            <w:r>
              <w:t xml:space="preserve">≥ 0.9%</w:t>
            </w:r>
          </w:p>
        </w:tc>
      </w:tr>
      <w:tr>
        <w:tc>
          <w:tcPr/>
          <w:p>
            <w:pPr>
              <w:pStyle w:val="Compact"/>
            </w:pPr>
            <w:r>
              <w:t xml:space="preserve">Fraud rate (auth)</w:t>
            </w:r>
          </w:p>
        </w:tc>
        <w:tc>
          <w:tcPr/>
          <w:p>
            <w:pPr>
              <w:pStyle w:val="Compact"/>
            </w:pPr>
            <w:r>
              <w:t xml:space="preserve">CISO/CRO</w:t>
            </w:r>
          </w:p>
        </w:tc>
        <w:tc>
          <w:tcPr/>
          <w:p>
            <w:pPr>
              <w:pStyle w:val="Compact"/>
            </w:pPr>
            <w:r>
              <w:t xml:space="preserve">&lt; 0.1%</w:t>
            </w:r>
          </w:p>
        </w:tc>
        <w:tc>
          <w:tcPr/>
          <w:p>
            <w:pPr>
              <w:pStyle w:val="Compact"/>
            </w:pPr>
            <w:r>
              <w:t xml:space="preserve">0.1–0.2%</w:t>
            </w:r>
          </w:p>
        </w:tc>
        <w:tc>
          <w:tcPr/>
          <w:p>
            <w:pPr>
              <w:pStyle w:val="Compact"/>
            </w:pPr>
            <w:r>
              <w:t xml:space="preserve">≥ 0.2%</w:t>
            </w:r>
          </w:p>
        </w:tc>
      </w:tr>
      <w:tr>
        <w:tc>
          <w:tcPr/>
          <w:p>
            <w:pPr>
              <w:pStyle w:val="Compact"/>
            </w:pPr>
            <w:r>
              <w:t xml:space="preserve">Authorization success rate</w:t>
            </w:r>
          </w:p>
        </w:tc>
        <w:tc>
          <w:tcPr/>
          <w:p>
            <w:pPr>
              <w:pStyle w:val="Compact"/>
            </w:pPr>
            <w:r>
              <w:t xml:space="preserve">Head of Ops</w:t>
            </w:r>
          </w:p>
        </w:tc>
        <w:tc>
          <w:tcPr/>
          <w:p>
            <w:pPr>
              <w:pStyle w:val="Compact"/>
            </w:pPr>
            <w:r>
              <w:t xml:space="preserve">&gt; 95%</w:t>
            </w:r>
          </w:p>
        </w:tc>
        <w:tc>
          <w:tcPr/>
          <w:p>
            <w:pPr>
              <w:pStyle w:val="Compact"/>
            </w:pPr>
            <w:r>
              <w:t xml:space="preserve">90–95%</w:t>
            </w:r>
          </w:p>
        </w:tc>
        <w:tc>
          <w:tcPr/>
          <w:p>
            <w:pPr>
              <w:pStyle w:val="Compact"/>
            </w:pPr>
            <w:r>
              <w:t xml:space="preserve">&lt; 90%</w:t>
            </w:r>
          </w:p>
        </w:tc>
      </w:tr>
      <w:tr>
        <w:tc>
          <w:tcPr/>
          <w:p>
            <w:pPr>
              <w:pStyle w:val="Compact"/>
            </w:pPr>
            <w:r>
              <w:t xml:space="preserve">Reconciliation break (T+1 unmatched)</w:t>
            </w:r>
          </w:p>
        </w:tc>
        <w:tc>
          <w:tcPr/>
          <w:p>
            <w:pPr>
              <w:pStyle w:val="Compact"/>
            </w:pPr>
            <w:r>
              <w:t xml:space="preserve">CFO/CRO</w:t>
            </w:r>
          </w:p>
        </w:tc>
        <w:tc>
          <w:tcPr/>
          <w:p>
            <w:pPr>
              <w:pStyle w:val="Compact"/>
            </w:pPr>
            <w:r>
              <w:t xml:space="preserve">0 รายการ</w:t>
            </w:r>
          </w:p>
        </w:tc>
        <w:tc>
          <w:tcPr/>
          <w:p>
            <w:pPr>
              <w:pStyle w:val="Compact"/>
            </w:pPr>
            <w:r>
              <w:t xml:space="preserve">1–5 รายการ</w:t>
            </w:r>
          </w:p>
        </w:tc>
        <w:tc>
          <w:tcPr/>
          <w:p>
            <w:pPr>
              <w:pStyle w:val="Compact"/>
            </w:pPr>
            <w:r>
              <w:t xml:space="preserve">&gt; 5 หรือค้าง &gt; 48 ชม.</w:t>
            </w:r>
          </w:p>
        </w:tc>
      </w:tr>
      <w:tr>
        <w:tc>
          <w:tcPr/>
          <w:p>
            <w:pPr>
              <w:pStyle w:val="Compact"/>
            </w:pPr>
            <w:r>
              <w:t xml:space="preserve">Critical security patch SLA</w:t>
            </w:r>
          </w:p>
        </w:tc>
        <w:tc>
          <w:tcPr/>
          <w:p>
            <w:pPr>
              <w:pStyle w:val="Compact"/>
            </w:pPr>
            <w:r>
              <w:t xml:space="preserve">CISO</w:t>
            </w:r>
          </w:p>
        </w:tc>
        <w:tc>
          <w:tcPr/>
          <w:p>
            <w:pPr>
              <w:pStyle w:val="Compact"/>
            </w:pPr>
            <w:r>
              <w:t xml:space="preserve">ภายใน 14 วัน</w:t>
            </w:r>
          </w:p>
        </w:tc>
        <w:tc>
          <w:tcPr/>
          <w:p>
            <w:pPr>
              <w:pStyle w:val="Compact"/>
            </w:pPr>
            <w:r>
              <w:t xml:space="preserve">15–30 วัน</w:t>
            </w:r>
          </w:p>
        </w:tc>
        <w:tc>
          <w:tcPr/>
          <w:p>
            <w:pPr>
              <w:pStyle w:val="Compact"/>
            </w:pPr>
            <w:r>
              <w:t xml:space="preserve">&gt; 30 วัน</w:t>
            </w:r>
          </w:p>
        </w:tc>
      </w:tr>
      <w:tr>
        <w:tc>
          <w:tcPr/>
          <w:p>
            <w:pPr>
              <w:pStyle w:val="Compact"/>
            </w:pPr>
            <w:r>
              <w:t xml:space="preserve">Payment core availability</w:t>
            </w:r>
          </w:p>
        </w:tc>
        <w:tc>
          <w:tcPr/>
          <w:p>
            <w:pPr>
              <w:pStyle w:val="Compact"/>
            </w:pPr>
            <w:r>
              <w:t xml:space="preserve">Head of Ops</w:t>
            </w:r>
          </w:p>
        </w:tc>
        <w:tc>
          <w:tcPr/>
          <w:p>
            <w:pPr>
              <w:pStyle w:val="Compact"/>
            </w:pPr>
            <w:r>
              <w:t xml:space="preserve">≥ 99.95%</w:t>
            </w:r>
          </w:p>
        </w:tc>
        <w:tc>
          <w:tcPr/>
          <w:p>
            <w:pPr>
              <w:pStyle w:val="Compact"/>
            </w:pPr>
            <w:r>
              <w:t xml:space="preserve">99.9–99.95%</w:t>
            </w:r>
          </w:p>
        </w:tc>
        <w:tc>
          <w:tcPr/>
          <w:p>
            <w:pPr>
              <w:pStyle w:val="Compact"/>
            </w:pPr>
            <w:r>
              <w:t xml:space="preserve">&lt; 99.9%</w:t>
            </w:r>
          </w:p>
        </w:tc>
      </w:tr>
      <w:tr>
        <w:tc>
          <w:tcPr/>
          <w:p>
            <w:pPr>
              <w:pStyle w:val="Compact"/>
            </w:pPr>
            <w:r>
              <w:t xml:space="preserve">ทุนที่คงไว้ (% ของทุนชำระแล้ว)</w:t>
            </w:r>
          </w:p>
        </w:tc>
        <w:tc>
          <w:tcPr/>
          <w:p>
            <w:pPr>
              <w:pStyle w:val="Compact"/>
            </w:pPr>
            <w:r>
              <w:t xml:space="preserve">CFO</w:t>
            </w:r>
          </w:p>
        </w:tc>
        <w:tc>
          <w:tcPr/>
          <w:p>
            <w:pPr>
              <w:pStyle w:val="Compact"/>
            </w:pPr>
            <w:r>
              <w:t xml:space="preserve">≥ 90%</w:t>
            </w:r>
          </w:p>
        </w:tc>
        <w:tc>
          <w:tcPr/>
          <w:p>
            <w:pPr>
              <w:pStyle w:val="Compact"/>
            </w:pPr>
            <w:r>
              <w:t xml:space="preserve">75–90%</w:t>
            </w:r>
          </w:p>
        </w:tc>
        <w:tc>
          <w:tcPr/>
          <w:p>
            <w:pPr>
              <w:pStyle w:val="Compact"/>
            </w:pPr>
            <w:r>
              <w:t xml:space="preserve">&lt; 75% (ผิดเกณฑ์ ธปท.)</w:t>
            </w:r>
          </w:p>
        </w:tc>
      </w:tr>
    </w:tbl>
    <w:p>
      <w:pPr>
        <w:pStyle w:val="BlockText"/>
      </w:pPr>
      <w:r>
        <w:t xml:space="preserve">เกิน Amber → รายงานต่อ Risk Committee ในการประชุมถัดไป; แตะ Red → escalate ทันทีต่อ CEO และประธานคณะกรรมการชุดที่เกี่ยวข้อง</w:t>
      </w:r>
    </w:p>
    <w:p>
      <w:r>
        <w:pict>
          <v:rect style="width:0;height:1.5pt" o:hralign="center" o:hrstd="t" o:hr="t"/>
        </w:pict>
      </w:r>
    </w:p>
    <w:bookmarkEnd w:id="182"/>
    <w:bookmarkStart w:id="183" w:name="X6c9ef30bf169020592df6d0d6cb995619b665b9"/>
    <w:p>
      <w:pPr>
        <w:pStyle w:val="Heading2"/>
      </w:pPr>
      <w:r>
        <w:t xml:space="preserve">6. การรายงานเหตุการณ์และเส้นทาง Escalation (Incident &amp; Escalation)</w:t>
      </w:r>
    </w:p>
    <w:tbl>
      <w:tblPr>
        <w:tblStyle w:val="Table"/>
        <w:tblW w:type="pct" w:w="5000"/>
        <w:tblLayout w:type="fixed"/>
        <w:tblLook w:firstRow="1" w:lastRow="0" w:firstColumn="0" w:lastColumn="0" w:noHBand="0" w:noVBand="0" w:val="0020"/>
      </w:tblPr>
      <w:tblGrid>
        <w:gridCol w:w="2244"/>
        <w:gridCol w:w="1716"/>
        <w:gridCol w:w="2112"/>
        <w:gridCol w:w="1848"/>
      </w:tblGrid>
      <w:tr>
        <w:trPr>
          <w:tblHeader w:val="on"/>
        </w:trPr>
        <w:tc>
          <w:tcPr/>
          <w:p>
            <w:pPr>
              <w:pStyle w:val="Compact"/>
            </w:pPr>
            <w:r>
              <w:t xml:space="preserve">ประเภทเหตุการณ์</w:t>
            </w:r>
          </w:p>
        </w:tc>
        <w:tc>
          <w:tcPr/>
          <w:p>
            <w:pPr>
              <w:pStyle w:val="Compact"/>
            </w:pPr>
            <w:r>
              <w:t xml:space="preserve">ผู้รับผิดชอบ</w:t>
            </w:r>
          </w:p>
        </w:tc>
        <w:tc>
          <w:tcPr/>
          <w:p>
            <w:pPr>
              <w:pStyle w:val="Compact"/>
            </w:pPr>
            <w:r>
              <w:t xml:space="preserve">Escalate ภายใน</w:t>
            </w:r>
          </w:p>
        </w:tc>
        <w:tc>
          <w:tcPr/>
          <w:p>
            <w:pPr>
              <w:pStyle w:val="Compact"/>
            </w:pPr>
            <w:r>
              <w:t xml:space="preserve">รายงานภายนอก</w:t>
            </w:r>
          </w:p>
        </w:tc>
      </w:tr>
      <w:tr>
        <w:tc>
          <w:tcPr/>
          <w:p>
            <w:pPr>
              <w:pStyle w:val="Compact"/>
            </w:pPr>
            <w:r>
              <w:t xml:space="preserve">Security/data breach (ข้อมูลบัตร/ส่วนบุคคล)</w:t>
            </w:r>
          </w:p>
        </w:tc>
        <w:tc>
          <w:tcPr/>
          <w:p>
            <w:pPr>
              <w:pStyle w:val="Compact"/>
            </w:pPr>
            <w:r>
              <w:t xml:space="preserve">CISO → CEO/Board</w:t>
            </w:r>
          </w:p>
        </w:tc>
        <w:tc>
          <w:tcPr/>
          <w:p>
            <w:pPr>
              <w:pStyle w:val="Compact"/>
            </w:pPr>
            <w:r>
              <w:t xml:space="preserve">ภายใน 1 ชม. (ภายใน)</w:t>
            </w:r>
          </w:p>
        </w:tc>
        <w:tc>
          <w:tcPr/>
          <w:p>
            <w:pPr>
              <w:pStyle w:val="Compact"/>
            </w:pPr>
            <w:r>
              <w:t xml:space="preserve">ธปท. ตามประกาศ cyber; PDPC ภายใน</w:t>
            </w:r>
            <w:r>
              <w:t xml:space="preserve"> </w:t>
            </w:r>
            <w:r>
              <w:rPr>
                <w:b/>
                <w:bCs/>
              </w:rPr>
              <w:t xml:space="preserve">72 ชม.</w:t>
            </w:r>
            <w:r>
              <w:t xml:space="preserve"> </w:t>
            </w:r>
            <w:r>
              <w:t xml:space="preserve">(PDPA); card scheme ตาม PFI process</w:t>
            </w:r>
          </w:p>
        </w:tc>
      </w:tr>
      <w:tr>
        <w:tc>
          <w:tcPr/>
          <w:p>
            <w:pPr>
              <w:pStyle w:val="Compact"/>
            </w:pPr>
            <w:r>
              <w:t xml:space="preserve">ระบบล่มกระทบบริการ (major outage)</w:t>
            </w:r>
          </w:p>
        </w:tc>
        <w:tc>
          <w:tcPr/>
          <w:p>
            <w:pPr>
              <w:pStyle w:val="Compact"/>
            </w:pPr>
            <w:r>
              <w:t xml:space="preserve">Head of Ops → CRO/CEO</w:t>
            </w:r>
          </w:p>
        </w:tc>
        <w:tc>
          <w:tcPr/>
          <w:p>
            <w:pPr>
              <w:pStyle w:val="Compact"/>
            </w:pPr>
            <w:r>
              <w:t xml:space="preserve">ภายใน 1 ชม.</w:t>
            </w:r>
          </w:p>
        </w:tc>
        <w:tc>
          <w:tcPr/>
          <w:p>
            <w:pPr>
              <w:pStyle w:val="Compact"/>
            </w:pPr>
            <w:r>
              <w:t xml:space="preserve">ธปท. ตามเกณฑ์การรายงานเหตุการณ์สำคัญ</w:t>
            </w:r>
          </w:p>
        </w:tc>
      </w:tr>
      <w:tr>
        <w:tc>
          <w:tcPr/>
          <w:p>
            <w:pPr>
              <w:pStyle w:val="Compact"/>
            </w:pPr>
            <w:r>
              <w:t xml:space="preserve">ธุรกรรมน่าสงสัย (AML)</w:t>
            </w:r>
          </w:p>
        </w:tc>
        <w:tc>
          <w:tcPr/>
          <w:p>
            <w:pPr>
              <w:pStyle w:val="Compact"/>
            </w:pPr>
            <w:r>
              <w:t xml:space="preserve">MLRO</w:t>
            </w:r>
          </w:p>
        </w:tc>
        <w:tc>
          <w:tcPr/>
          <w:p>
            <w:pPr>
              <w:pStyle w:val="Compact"/>
            </w:pPr>
            <w:r>
              <w:t xml:space="preserve">ทันทีที่พบ</w:t>
            </w:r>
          </w:p>
        </w:tc>
        <w:tc>
          <w:tcPr/>
          <w:p>
            <w:pPr>
              <w:pStyle w:val="Compact"/>
            </w:pPr>
            <w:r>
              <w:t xml:space="preserve">ปปง. (STR/SAR) ตามกรอบเวลากฎหมาย</w:t>
            </w:r>
          </w:p>
        </w:tc>
      </w:tr>
      <w:tr>
        <w:tc>
          <w:tcPr/>
          <w:p>
            <w:pPr>
              <w:pStyle w:val="Compact"/>
            </w:pPr>
            <w:r>
              <w:t xml:space="preserve">ข้อบกพร่องจาก audit ระดับสูง</w:t>
            </w:r>
          </w:p>
        </w:tc>
        <w:tc>
          <w:tcPr/>
          <w:p>
            <w:pPr>
              <w:pStyle w:val="Compact"/>
            </w:pPr>
            <w:r>
              <w:t xml:space="preserve">CAE → Audit Committee</w:t>
            </w:r>
          </w:p>
        </w:tc>
        <w:tc>
          <w:tcPr/>
          <w:p>
            <w:pPr>
              <w:pStyle w:val="Compact"/>
            </w:pPr>
            <w:r>
              <w:t xml:space="preserve">การประชุมถัดไป / ทันทีถ้า critical</w:t>
            </w:r>
          </w:p>
        </w:tc>
        <w:tc>
          <w:tcPr/>
          <w:p>
            <w:pPr>
              <w:pStyle w:val="Compact"/>
            </w:pPr>
            <w:r>
              <w:t xml:space="preserve">—</w:t>
            </w:r>
          </w:p>
        </w:tc>
      </w:tr>
    </w:tbl>
    <w:p>
      <w:r>
        <w:pict>
          <v:rect style="width:0;height:1.5pt" o:hralign="center" o:hrstd="t" o:hr="t"/>
        </w:pict>
      </w:r>
    </w:p>
    <w:bookmarkEnd w:id="183"/>
    <w:bookmarkStart w:id="184" w:name="Xa547f68ad73e0907ac99a920d3a0c987996fe7a"/>
    <w:p>
      <w:pPr>
        <w:pStyle w:val="Heading2"/>
      </w:pPr>
      <w:r>
        <w:t xml:space="preserve">7. รอบการประชุมและการรายงานเชิงธรรมาภิบาล (Governance Cadence)</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องค์คณะ</w:t>
            </w:r>
          </w:p>
        </w:tc>
        <w:tc>
          <w:tcPr/>
          <w:p>
            <w:pPr>
              <w:pStyle w:val="Compact"/>
            </w:pPr>
            <w:r>
              <w:t xml:space="preserve">ความถี่</w:t>
            </w:r>
          </w:p>
        </w:tc>
        <w:tc>
          <w:tcPr/>
          <w:p>
            <w:pPr>
              <w:pStyle w:val="Compact"/>
            </w:pPr>
            <w:r>
              <w:t xml:space="preserve">สาระหลัก</w:t>
            </w:r>
          </w:p>
        </w:tc>
      </w:tr>
      <w:tr>
        <w:tc>
          <w:tcPr/>
          <w:p>
            <w:pPr>
              <w:pStyle w:val="Compact"/>
            </w:pPr>
            <w:r>
              <w:t xml:space="preserve">คณะกรรมการบริษัท (Board)</w:t>
            </w:r>
          </w:p>
        </w:tc>
        <w:tc>
          <w:tcPr/>
          <w:p>
            <w:pPr>
              <w:pStyle w:val="Compact"/>
            </w:pPr>
            <w:r>
              <w:t xml:space="preserve">ไตรมาสละครั้ง (อย่างน้อย)</w:t>
            </w:r>
          </w:p>
        </w:tc>
        <w:tc>
          <w:tcPr/>
          <w:p>
            <w:pPr>
              <w:pStyle w:val="Compact"/>
            </w:pPr>
            <w:r>
              <w:t xml:space="preserve">อนุมัตินโยบาย, รับรายงานความเสี่ยง/compliance/audit</w:t>
            </w:r>
          </w:p>
        </w:tc>
      </w:tr>
      <w:tr>
        <w:tc>
          <w:tcPr/>
          <w:p>
            <w:pPr>
              <w:pStyle w:val="Compact"/>
            </w:pPr>
            <w:r>
              <w:t xml:space="preserve">Audit Committee</w:t>
            </w:r>
          </w:p>
        </w:tc>
        <w:tc>
          <w:tcPr/>
          <w:p>
            <w:pPr>
              <w:pStyle w:val="Compact"/>
            </w:pPr>
            <w:r>
              <w:t xml:space="preserve">ไตรมาสละครั้ง</w:t>
            </w:r>
          </w:p>
        </w:tc>
        <w:tc>
          <w:tcPr/>
          <w:p>
            <w:pPr>
              <w:pStyle w:val="Compact"/>
            </w:pPr>
            <w:r>
              <w:t xml:space="preserve">audit findings, remediation, งบตรวจสอบ</w:t>
            </w:r>
          </w:p>
        </w:tc>
      </w:tr>
      <w:tr>
        <w:tc>
          <w:tcPr/>
          <w:p>
            <w:pPr>
              <w:pStyle w:val="Compact"/>
            </w:pPr>
            <w:r>
              <w:t xml:space="preserve">Risk Committee</w:t>
            </w:r>
          </w:p>
        </w:tc>
        <w:tc>
          <w:tcPr/>
          <w:p>
            <w:pPr>
              <w:pStyle w:val="Compact"/>
            </w:pPr>
            <w:r>
              <w:t xml:space="preserve">รายเดือน</w:t>
            </w:r>
          </w:p>
        </w:tc>
        <w:tc>
          <w:tcPr/>
          <w:p>
            <w:pPr>
              <w:pStyle w:val="Compact"/>
            </w:pPr>
            <w:r>
              <w:t xml:space="preserve">KRI dashboard, risk appetite, incident</w:t>
            </w:r>
          </w:p>
        </w:tc>
      </w:tr>
      <w:tr>
        <w:tc>
          <w:tcPr/>
          <w:p>
            <w:pPr>
              <w:pStyle w:val="Compact"/>
            </w:pPr>
            <w:r>
              <w:t xml:space="preserve">Cyber/IT Steering Committee</w:t>
            </w:r>
          </w:p>
        </w:tc>
        <w:tc>
          <w:tcPr/>
          <w:p>
            <w:pPr>
              <w:pStyle w:val="Compact"/>
            </w:pPr>
            <w:r>
              <w:t xml:space="preserve">รายเดือน</w:t>
            </w:r>
          </w:p>
        </w:tc>
        <w:tc>
          <w:tcPr/>
          <w:p>
            <w:pPr>
              <w:pStyle w:val="Compact"/>
            </w:pPr>
            <w:r>
              <w:t xml:space="preserve">PCI status, security posture, patch/vuln</w:t>
            </w:r>
          </w:p>
        </w:tc>
      </w:tr>
      <w:tr>
        <w:tc>
          <w:tcPr/>
          <w:p>
            <w:pPr>
              <w:pStyle w:val="Compact"/>
            </w:pPr>
            <w:r>
              <w:t xml:space="preserve">AML Committee</w:t>
            </w:r>
          </w:p>
        </w:tc>
        <w:tc>
          <w:tcPr/>
          <w:p>
            <w:pPr>
              <w:pStyle w:val="Compact"/>
            </w:pPr>
            <w:r>
              <w:t xml:space="preserve">ไตรมาสละครั้ง</w:t>
            </w:r>
          </w:p>
        </w:tc>
        <w:tc>
          <w:tcPr/>
          <w:p>
            <w:pPr>
              <w:pStyle w:val="Compact"/>
            </w:pPr>
            <w:r>
              <w:t xml:space="preserve">STR/CTR trend, screening effectiveness</w:t>
            </w:r>
          </w:p>
        </w:tc>
      </w:tr>
      <w:tr>
        <w:tc>
          <w:tcPr/>
          <w:p>
            <w:pPr>
              <w:pStyle w:val="Compact"/>
            </w:pPr>
            <w:r>
              <w:t xml:space="preserve">Management Risk &amp; Control Forum</w:t>
            </w:r>
          </w:p>
        </w:tc>
        <w:tc>
          <w:tcPr/>
          <w:p>
            <w:pPr>
              <w:pStyle w:val="Compact"/>
            </w:pPr>
            <w:r>
              <w:t xml:space="preserve">รายสัปดาห์</w:t>
            </w:r>
          </w:p>
        </w:tc>
        <w:tc>
          <w:tcPr/>
          <w:p>
            <w:pPr>
              <w:pStyle w:val="Compact"/>
            </w:pPr>
            <w:r>
              <w:t xml:space="preserve">operational incident, KRI ที่ Amber/Red</w:t>
            </w:r>
          </w:p>
        </w:tc>
      </w:tr>
    </w:tbl>
    <w:bookmarkEnd w:id="184"/>
    <w:bookmarkEnd w:id="185"/>
    <w:bookmarkStart w:id="199" w:name="X3df8b6d96e57f4971b14c0566d14e5ace231c44"/>
    <w:p>
      <w:pPr>
        <w:pStyle w:val="Heading1"/>
      </w:pPr>
      <w:r>
        <w:t xml:space="preserve">Organization chart + governance: roles for compliance officer, CISO, internal audit, risk, three-lines-of-defense (English)</w:t>
      </w:r>
    </w:p>
    <w:p>
      <w:pPr>
        <w:pStyle w:val="BlockText"/>
      </w:pPr>
      <w:r>
        <w:t xml:space="preserve">Supporting document for the</w:t>
      </w:r>
      <w:r>
        <w:t xml:space="preserve"> </w:t>
      </w:r>
      <w:r>
        <w:rPr>
          <w:b/>
          <w:bCs/>
        </w:rPr>
        <w:t xml:space="preserve">Acquiring Service</w:t>
      </w:r>
      <w:r>
        <w:t xml:space="preserve"> </w:t>
      </w:r>
      <w:r>
        <w:t xml:space="preserve">license application under the</w:t>
      </w:r>
      <w:r>
        <w:t xml:space="preserve"> </w:t>
      </w:r>
      <w:r>
        <w:rPr>
          <w:b/>
          <w:bCs/>
        </w:rPr>
        <w:t xml:space="preserve">Payment Systems Act B.E. 2560 (2017)</w:t>
      </w:r>
      <w:r>
        <w:t xml:space="preserve">, regulated by the</w:t>
      </w:r>
      <w:r>
        <w:t xml:space="preserve"> </w:t>
      </w:r>
      <w:r>
        <w:rPr>
          <w:b/>
          <w:bCs/>
        </w:rPr>
        <w:t xml:space="preserve">Bank of Thailand (BOT)</w:t>
      </w:r>
      <w:r>
        <w:t xml:space="preserve">, with a paid-up</w:t>
      </w:r>
      <w:r>
        <w:t xml:space="preserve"> </w:t>
      </w:r>
      <w:r>
        <w:t xml:space="preserve">registered capital of</w:t>
      </w:r>
      <w:r>
        <w:t xml:space="preserve"> </w:t>
      </w:r>
      <w:r>
        <w:rPr>
          <w:b/>
          <w:bCs/>
        </w:rPr>
        <w:t xml:space="preserve">THB 50 million</w:t>
      </w:r>
      <w:r>
        <w:t xml:space="preserve">, alongside</w:t>
      </w:r>
      <w:r>
        <w:t xml:space="preserve"> </w:t>
      </w:r>
      <w:r>
        <w:rPr>
          <w:b/>
          <w:bCs/>
        </w:rPr>
        <w:t xml:space="preserve">PCI-DSS v4.0 Level 1</w:t>
      </w:r>
      <w:r>
        <w:t xml:space="preserve">.</w:t>
      </w:r>
    </w:p>
    <w:p>
      <w:pPr>
        <w:pStyle w:val="BlockText"/>
      </w:pPr>
      <w:r>
        <w:t xml:space="preserve">Document ID:</w:t>
      </w:r>
      <w:r>
        <w:t xml:space="preserve"> </w:t>
      </w:r>
      <w:r>
        <w:rPr>
          <w:rStyle w:val="VerbatimChar"/>
        </w:rPr>
        <w:t xml:space="preserve">COMP-04</w:t>
      </w:r>
      <w:r>
        <w:t xml:space="preserve"> </w:t>
      </w:r>
      <w:r>
        <w:t xml:space="preserve">· Version 0.1 · Owner: Chief Compliance Officer (CCO)</w:t>
      </w:r>
      <w:r>
        <w:t xml:space="preserve"> </w:t>
      </w:r>
      <w:r>
        <w:t xml:space="preserve">Related documents: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pPr>
        <w:pStyle w:val="BlockText"/>
      </w:pPr>
      <w:r>
        <w:rPr>
          <w:b/>
          <w:bCs/>
        </w:rPr>
        <w:t xml:space="preserve">Disclaimer:</w:t>
      </w:r>
      <w:r>
        <w:t xml:space="preserve"> </w:t>
      </w:r>
      <w:r>
        <w:t xml:space="preserve">This document is a structural reference, not legal advice. It must be reviewed by</w:t>
      </w:r>
      <w:r>
        <w:t xml:space="preserve"> </w:t>
      </w:r>
      <w:r>
        <w:t xml:space="preserve">qualified BOT-licensing counsel before submission.</w:t>
      </w:r>
    </w:p>
    <w:p>
      <w:r>
        <w:pict>
          <v:rect style="width:0;height:1.5pt" o:hralign="center" o:hrstd="t" o:hr="t"/>
        </w:pict>
      </w:r>
    </w:p>
    <w:p>
      <w:pPr>
        <w:pStyle w:val="BlockText"/>
      </w:pPr>
      <w:r>
        <w:t xml:space="preserve">[!IMPORTANT]</w:t>
      </w:r>
      <w:r>
        <w:t xml:space="preserve"> </w:t>
      </w:r>
      <w:r>
        <w:rPr>
          <w:b/>
          <w:bCs/>
        </w:rPr>
        <w:t xml:space="preserve">Assumptions / TODO</w:t>
      </w:r>
      <w:r>
        <w:t xml:space="preserve"> </w:t>
      </w:r>
      <w:r>
        <w:t xml:space="preserve">— real values must be filled in before BOT submission.</w:t>
      </w:r>
    </w:p>
    <w:tbl>
      <w:tblPr>
        <w:tblStyle w:val="Table"/>
        <w:tblW w:type="pct" w:w="5000"/>
        <w:tblLayout w:type="fixed"/>
        <w:tblLook w:firstRow="1" w:lastRow="0" w:firstColumn="0" w:lastColumn="0" w:noHBand="0" w:noVBand="0" w:val="0020"/>
      </w:tblPr>
      <w:tblGrid>
        <w:gridCol w:w="990"/>
        <w:gridCol w:w="1980"/>
        <w:gridCol w:w="2640"/>
        <w:gridCol w:w="2310"/>
      </w:tblGrid>
      <w:tr>
        <w:trPr>
          <w:tblHeader w:val="on"/>
        </w:trPr>
        <w:tc>
          <w:tcPr/>
          <w:p>
            <w:pPr>
              <w:pStyle w:val="Compact"/>
            </w:pPr>
            <w:r>
              <w:t xml:space="preserve">#</w:t>
            </w:r>
          </w:p>
        </w:tc>
        <w:tc>
          <w:tcPr/>
          <w:p>
            <w:pPr>
              <w:pStyle w:val="Compact"/>
            </w:pPr>
            <w:r>
              <w:t xml:space="preserve">Item</w:t>
            </w:r>
          </w:p>
        </w:tc>
        <w:tc>
          <w:tcPr/>
          <w:p>
            <w:pPr>
              <w:pStyle w:val="Compact"/>
            </w:pPr>
            <w:r>
              <w:t xml:space="preserve">Status</w:t>
            </w:r>
          </w:p>
        </w:tc>
        <w:tc>
          <w:tcPr/>
          <w:p>
            <w:pPr>
              <w:pStyle w:val="Compact"/>
            </w:pPr>
            <w:r>
              <w:t xml:space="preserve">Owner</w:t>
            </w:r>
          </w:p>
        </w:tc>
      </w:tr>
      <w:tr>
        <w:tc>
          <w:tcPr/>
          <w:p>
            <w:pPr>
              <w:pStyle w:val="Compact"/>
            </w:pPr>
            <w:r>
              <w:t xml:space="preserve">A1</w:t>
            </w:r>
          </w:p>
        </w:tc>
        <w:tc>
          <w:tcPr/>
          <w:p>
            <w:pPr>
              <w:pStyle w:val="Compact"/>
            </w:pPr>
            <w:r>
              <w:rPr>
                <w:b/>
                <w:bCs/>
              </w:rPr>
              <w:t xml:space="preserve">Legal company name</w:t>
            </w:r>
            <w:r>
              <w:t xml:space="preserve"> </w:t>
            </w:r>
            <w:r>
              <w:t xml:space="preserve">— placeholder</w:t>
            </w:r>
            <w:r>
              <w:t xml:space="preserve"> </w:t>
            </w:r>
            <w:r>
              <w:rPr>
                <w:rStyle w:val="VerbatimChar"/>
              </w:rPr>
              <w:t xml:space="preserve">[บริษัท / Company]</w:t>
            </w:r>
            <w:r>
              <w:t xml:space="preserve"> </w:t>
            </w:r>
            <w:r>
              <w:t xml:space="preserve">used throughout</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 acquiring bank</w:t>
            </w:r>
            <w:r>
              <w:t xml:space="preserve"> </w:t>
            </w:r>
            <w:r>
              <w:t xml:space="preserve">— not yet signed (Track B per ROADMAP)</w:t>
            </w:r>
          </w:p>
        </w:tc>
        <w:tc>
          <w:tcPr/>
          <w:p>
            <w:pPr>
              <w:pStyle w:val="Compact"/>
            </w:pPr>
            <w:r>
              <w:t xml:space="preserve">Unresolved</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QSA vendor (PCI-DSS v4.0 L1)</w:t>
            </w:r>
            <w:r>
              <w:t xml:space="preserve"> </w:t>
            </w:r>
            <w:r>
              <w:t xml:space="preserve">— not yet selected</w:t>
            </w:r>
          </w:p>
        </w:tc>
        <w:tc>
          <w:tcPr/>
          <w:p>
            <w:pPr>
              <w:pStyle w:val="Compact"/>
            </w:pPr>
            <w:r>
              <w:t xml:space="preserve">Unresolved</w:t>
            </w:r>
          </w:p>
        </w:tc>
        <w:tc>
          <w:tcPr/>
          <w:p>
            <w:pPr>
              <w:pStyle w:val="Compact"/>
            </w:pPr>
            <w:r>
              <w:t xml:space="preserve">CISO</w:t>
            </w:r>
          </w:p>
        </w:tc>
      </w:tr>
      <w:tr>
        <w:tc>
          <w:tcPr/>
          <w:p>
            <w:pPr>
              <w:pStyle w:val="Compact"/>
            </w:pPr>
            <w:r>
              <w:t xml:space="preserve">A4</w:t>
            </w:r>
          </w:p>
        </w:tc>
        <w:tc>
          <w:tcPr/>
          <w:p>
            <w:pPr>
              <w:pStyle w:val="Compact"/>
            </w:pPr>
            <w:r>
              <w:rPr>
                <w:b/>
                <w:bCs/>
              </w:rPr>
              <w:t xml:space="preserve">Actual paid-up capital at submission</w:t>
            </w:r>
            <w:r>
              <w:t xml:space="preserve"> </w:t>
            </w:r>
            <w:r>
              <w:t xml:space="preserve">— must be ≥ THB 50M and maintained ≥ 75% at all times</w:t>
            </w:r>
          </w:p>
        </w:tc>
        <w:tc>
          <w:tcPr/>
          <w:p>
            <w:pPr>
              <w:pStyle w:val="Compact"/>
            </w:pPr>
            <w:r>
              <w:t xml:space="preserve">TODO</w:t>
            </w:r>
          </w:p>
        </w:tc>
        <w:tc>
          <w:tcPr/>
          <w:p>
            <w:pPr>
              <w:pStyle w:val="Compact"/>
            </w:pPr>
            <w:r>
              <w:t xml:space="preserve">CFO</w:t>
            </w:r>
          </w:p>
        </w:tc>
      </w:tr>
      <w:tr>
        <w:tc>
          <w:tcPr/>
          <w:p>
            <w:pPr>
              <w:pStyle w:val="Compact"/>
            </w:pPr>
            <w:r>
              <w:t xml:space="preserve">A5</w:t>
            </w:r>
          </w:p>
        </w:tc>
        <w:tc>
          <w:tcPr/>
          <w:p>
            <w:pPr>
              <w:pStyle w:val="Compact"/>
            </w:pPr>
            <w:r>
              <w:rPr>
                <w:b/>
                <w:bCs/>
              </w:rPr>
              <w:t xml:space="preserve">Actual directors/executives + fit &amp; proper documentation</w:t>
            </w:r>
          </w:p>
        </w:tc>
        <w:tc>
          <w:tcPr/>
          <w:p>
            <w:pPr>
              <w:pStyle w:val="Compact"/>
            </w:pPr>
            <w:r>
              <w:t xml:space="preserve">TODO</w:t>
            </w:r>
          </w:p>
        </w:tc>
        <w:tc>
          <w:tcPr/>
          <w:p>
            <w:pPr>
              <w:pStyle w:val="Compact"/>
            </w:pPr>
            <w:r>
              <w:t xml:space="preserve">Corporate Secretary / CCO</w:t>
            </w:r>
          </w:p>
        </w:tc>
      </w:tr>
      <w:tr>
        <w:tc>
          <w:tcPr/>
          <w:p>
            <w:pPr>
              <w:pStyle w:val="Compact"/>
            </w:pPr>
            <w:r>
              <w:t xml:space="preserve">A6</w:t>
            </w:r>
          </w:p>
        </w:tc>
        <w:tc>
          <w:tcPr/>
          <w:p>
            <w:pPr>
              <w:pStyle w:val="Compact"/>
            </w:pPr>
            <w:r>
              <w:rPr>
                <w:b/>
                <w:bCs/>
              </w:rPr>
              <w:t xml:space="preserve">External independent audit firm</w:t>
            </w:r>
            <w:r>
              <w:t xml:space="preserve"> </w:t>
            </w:r>
            <w:r>
              <w:t xml:space="preserve">(co-source internal audit)</w:t>
            </w:r>
          </w:p>
        </w:tc>
        <w:tc>
          <w:tcPr/>
          <w:p>
            <w:pPr>
              <w:pStyle w:val="Compact"/>
            </w:pPr>
            <w:r>
              <w:t xml:space="preserve">Unresolved</w:t>
            </w:r>
          </w:p>
        </w:tc>
        <w:tc>
          <w:tcPr/>
          <w:p>
            <w:pPr>
              <w:pStyle w:val="Compact"/>
            </w:pPr>
            <w:r>
              <w:t xml:space="preserve">Audit Committee</w:t>
            </w:r>
          </w:p>
        </w:tc>
      </w:tr>
      <w:tr>
        <w:tc>
          <w:tcPr/>
          <w:p>
            <w:pPr>
              <w:pStyle w:val="Compact"/>
            </w:pPr>
            <w:r>
              <w:t xml:space="preserve">A7</w:t>
            </w:r>
          </w:p>
        </w:tc>
        <w:tc>
          <w:tcPr/>
          <w:p>
            <w:pPr>
              <w:pStyle w:val="Compact"/>
            </w:pPr>
            <w:r>
              <w:rPr>
                <w:b/>
                <w:bCs/>
              </w:rPr>
              <w:t xml:space="preserve">ASV vendor</w:t>
            </w:r>
            <w:r>
              <w:t xml:space="preserve"> </w:t>
            </w:r>
            <w:r>
              <w:t xml:space="preserve">for quarterly network scans</w:t>
            </w:r>
          </w:p>
        </w:tc>
        <w:tc>
          <w:tcPr/>
          <w:p>
            <w:pPr>
              <w:pStyle w:val="Compact"/>
            </w:pPr>
            <w:r>
              <w:t xml:space="preserve">Unresolved</w:t>
            </w:r>
          </w:p>
        </w:tc>
        <w:tc>
          <w:tcPr/>
          <w:p>
            <w:pPr>
              <w:pStyle w:val="Compact"/>
            </w:pPr>
            <w:r>
              <w:t xml:space="preserve">CISO</w:t>
            </w:r>
          </w:p>
        </w:tc>
      </w:tr>
    </w:tbl>
    <w:p>
      <w:pPr>
        <w:pStyle w:val="BlockText"/>
      </w:pPr>
      <w:r>
        <w:t xml:space="preserve">Do NOT populate the fields above with fictitious names/numbers in the actual submission — only verifiable data.</w:t>
      </w:r>
    </w:p>
    <w:p>
      <w:r>
        <w:pict>
          <v:rect style="width:0;height:1.5pt" o:hralign="center" o:hrstd="t" o:hr="t"/>
        </w:pict>
      </w:r>
    </w:p>
    <w:bookmarkStart w:id="186" w:name="governance-principles-1"/>
    <w:p>
      <w:pPr>
        <w:pStyle w:val="Heading2"/>
      </w:pPr>
      <w:r>
        <w:t xml:space="preserve">1. Governance Principles</w:t>
      </w:r>
    </w:p>
    <w:p>
      <w:pPr>
        <w:pStyle w:val="FirstParagraph"/>
      </w:pPr>
      <w:r>
        <w:t xml:space="preserve">[บริษัท / Company] adopts governance aligned with BOT notifications on good corporate governance, IT</w:t>
      </w:r>
      <w:r>
        <w:t xml:space="preserve"> </w:t>
      </w:r>
      <w:r>
        <w:t xml:space="preserve">risk management, and cyber resilience, based on the following principles:</w:t>
      </w:r>
    </w:p>
    <w:p>
      <w:pPr>
        <w:pStyle w:val="Compact"/>
        <w:numPr>
          <w:ilvl w:val="0"/>
          <w:numId w:val="1060"/>
        </w:numPr>
      </w:pPr>
      <w:r>
        <w:rPr>
          <w:b/>
          <w:bCs/>
        </w:rPr>
        <w:t xml:space="preserve">Segregation of Duties</w:t>
      </w:r>
      <w:r>
        <w:t xml:space="preserve"> </w:t>
      </w:r>
      <w:r>
        <w:t xml:space="preserve">— clear separation between revenue-generating (business) functions, control functions, and independent assurance.</w:t>
      </w:r>
    </w:p>
    <w:p>
      <w:pPr>
        <w:pStyle w:val="Compact"/>
        <w:numPr>
          <w:ilvl w:val="0"/>
          <w:numId w:val="1060"/>
        </w:numPr>
      </w:pPr>
      <w:r>
        <w:rPr>
          <w:b/>
          <w:bCs/>
        </w:rPr>
        <w:t xml:space="preserve">Three Lines of Defense</w:t>
      </w:r>
      <w:r>
        <w:t xml:space="preserve"> </w:t>
      </w:r>
      <w:r>
        <w:t xml:space="preserve">— see §4.</w:t>
      </w:r>
    </w:p>
    <w:p>
      <w:pPr>
        <w:pStyle w:val="Compact"/>
        <w:numPr>
          <w:ilvl w:val="0"/>
          <w:numId w:val="1060"/>
        </w:numPr>
      </w:pPr>
      <w:r>
        <w:rPr>
          <w:b/>
          <w:bCs/>
        </w:rPr>
        <w:t xml:space="preserve">Independence of assurance</w:t>
      </w:r>
      <w:r>
        <w:t xml:space="preserve"> </w:t>
      </w:r>
      <w:r>
        <w:t xml:space="preserve">— Internal Audit and Compliance report functionally to the Board, not to operations.</w:t>
      </w:r>
    </w:p>
    <w:p>
      <w:pPr>
        <w:pStyle w:val="Compact"/>
        <w:numPr>
          <w:ilvl w:val="0"/>
          <w:numId w:val="1060"/>
        </w:numPr>
      </w:pPr>
      <w:r>
        <w:rPr>
          <w:b/>
          <w:bCs/>
        </w:rPr>
        <w:t xml:space="preserve">Fit &amp; Proper</w:t>
      </w:r>
      <w:r>
        <w:t xml:space="preserve"> </w:t>
      </w:r>
      <w:r>
        <w:t xml:space="preserve">— directors and senior control-function executives must meet BOT fit-and-proper criteria and carry no disqualifying attributes.</w:t>
      </w:r>
    </w:p>
    <w:p>
      <w:pPr>
        <w:pStyle w:val="Compact"/>
        <w:numPr>
          <w:ilvl w:val="0"/>
          <w:numId w:val="1060"/>
        </w:numPr>
      </w:pPr>
      <w:r>
        <w:rPr>
          <w:b/>
          <w:bCs/>
        </w:rPr>
        <w:t xml:space="preserve">Accountability</w:t>
      </w:r>
      <w:r>
        <w:t xml:space="preserve"> </w:t>
      </w:r>
      <w:r>
        <w:t xml:space="preserve">— every risk has a named risk owner; every control has a named responsible party.</w:t>
      </w:r>
    </w:p>
    <w:p>
      <w:pPr>
        <w:pStyle w:val="Compact"/>
        <w:numPr>
          <w:ilvl w:val="0"/>
          <w:numId w:val="1060"/>
        </w:numPr>
      </w:pPr>
      <w:r>
        <w:rPr>
          <w:b/>
          <w:bCs/>
        </w:rPr>
        <w:t xml:space="preserve">Escalation &amp; Transparency</w:t>
      </w:r>
      <w:r>
        <w:t xml:space="preserve"> </w:t>
      </w:r>
      <w:r>
        <w:t xml:space="preserve">— defined escalation paths carry incidents and control deficiencies to the Board within set timeframes.</w:t>
      </w:r>
    </w:p>
    <w:p>
      <w:r>
        <w:pict>
          <v:rect style="width:0;height:1.5pt" o:hralign="center" o:hrstd="t" o:hr="t"/>
        </w:pict>
      </w:r>
    </w:p>
    <w:bookmarkEnd w:id="186"/>
    <w:bookmarkStart w:id="187" w:name="organization-chart"/>
    <w:p>
      <w:pPr>
        <w:pStyle w:val="Heading2"/>
      </w:pPr>
      <w:r>
        <w:t xml:space="preserve">2. Organization Chart</w:t>
      </w:r>
    </w:p>
    <w:p>
      <w:pPr>
        <w:pStyle w:val="SourceCode"/>
      </w:pPr>
      <w:r>
        <w:rPr>
          <w:rStyle w:val="VerbatimChar"/>
        </w:rPr>
        <w:t xml:space="preserve">                        ┌───────────────────────────────┐</w:t>
      </w:r>
      <w:r>
        <w:br/>
      </w:r>
      <w:r>
        <w:rPr>
          <w:rStyle w:val="VerbatimChar"/>
        </w:rPr>
        <w:t xml:space="preserve">                        │        Board of Directors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w:t>
      </w:r>
      <w:r>
        <w:br/>
      </w:r>
      <w:r>
        <w:rPr>
          <w:rStyle w:val="VerbatimChar"/>
        </w:rPr>
        <w:t xml:space="preserve">│ Audit         │  │ Risk         │ │ Nomination│ │ IT Steering /    │ │ AML Committee     │</w:t>
      </w:r>
      <w:r>
        <w:br/>
      </w:r>
      <w:r>
        <w:rPr>
          <w:rStyle w:val="VerbatimChar"/>
        </w:rPr>
        <w:t xml:space="preserve">│ Committee     │  │ Committee    │ │ &amp; Remun.  │ │ Cyber Committee  │ │ (AMLO)            │</w:t>
      </w:r>
      <w:r>
        <w:br/>
      </w:r>
      <w:r>
        <w:rPr>
          <w:rStyle w:val="VerbatimChar"/>
        </w:rPr>
        <w:t xml:space="preserve">└───────┬───────┘  └──────┬───────┘ └──────────┘  └──────────────────┘ └──────────────────┘</w:t>
      </w:r>
      <w:r>
        <w:br/>
      </w:r>
      <w:r>
        <w:rPr>
          <w:rStyle w:val="VerbatimChar"/>
        </w:rPr>
        <w:t xml:space="preserve">        │ (independent reporting line)   │</w:t>
      </w:r>
      <w:r>
        <w:br/>
      </w:r>
      <w:r>
        <w:rPr>
          <w:rStyle w:val="VerbatimChar"/>
        </w:rPr>
        <w:t xml:space="preserve">        │                        ┌───────▼──────────────────────────────────────┐</w:t>
      </w:r>
      <w:r>
        <w:br/>
      </w:r>
      <w:r>
        <w:rPr>
          <w:rStyle w:val="VerbatimChar"/>
        </w:rPr>
        <w:t xml:space="preserve">        │                        │       Chief Executive Officer (CEO)          │</w:t>
      </w:r>
      <w:r>
        <w:br/>
      </w:r>
      <w:r>
        <w:rPr>
          <w:rStyle w:val="VerbatimChar"/>
        </w:rPr>
        <w:t xml:space="preserve">        │                        └───────┬──────────────────────────────────────┘</w:t>
      </w:r>
      <w:r>
        <w:br/>
      </w:r>
      <w:r>
        <w:rPr>
          <w:rStyle w:val="VerbatimChar"/>
        </w:rPr>
        <w:t xml:space="preserve">        │      ┌──────────┬───────┼──────────┬──────────────┬───────────────┐</w:t>
      </w:r>
      <w:r>
        <w:br/>
      </w:r>
      <w:r>
        <w:rPr>
          <w:rStyle w:val="VerbatimChar"/>
        </w:rPr>
        <w:t xml:space="preserve">        │      ▼          ▼       ▼          ▼              ▼               ▼</w:t>
      </w:r>
      <w:r>
        <w:br/>
      </w:r>
      <w:r>
        <w:rPr>
          <w:rStyle w:val="VerbatimChar"/>
        </w:rPr>
        <w:t xml:space="preserve">        │  ┌───────┐ ┌────────┐ ┌──────┐ ┌────────┐  ┌──────────┐  ┌──────────────┐</w:t>
      </w:r>
      <w:r>
        <w:br/>
      </w:r>
      <w:r>
        <w:rPr>
          <w:rStyle w:val="VerbatimChar"/>
        </w:rPr>
        <w:t xml:space="preserve">        │  │ CFO   │ │ CTO /  │ │ CISO │ │ CCO    │  │ CRO      │  │ Head of Ops  │</w:t>
      </w:r>
      <w:r>
        <w:br/>
      </w:r>
      <w:r>
        <w:rPr>
          <w:rStyle w:val="VerbatimChar"/>
        </w:rPr>
        <w:t xml:space="preserve">        │  │       │ │ Head   │ │      │ │(Compl. │  │ (Risk)   │  │ / Settlement │</w:t>
      </w:r>
      <w:r>
        <w:br/>
      </w:r>
      <w:r>
        <w:rPr>
          <w:rStyle w:val="VerbatimChar"/>
        </w:rPr>
        <w:t xml:space="preserve">        │  │       │ │ Eng.   │ │      │ │ +MLRO) │  │          │  │              │</w:t>
      </w:r>
      <w:r>
        <w:br/>
      </w:r>
      <w:r>
        <w:rPr>
          <w:rStyle w:val="VerbatimChar"/>
        </w:rPr>
        <w:t xml:space="preserve">        │  └───────┘ └────────┘ └──┬───┘ └───┬────┘  └────┬─────┘  └──────────────┘</w:t>
      </w:r>
      <w:r>
        <w:br/>
      </w:r>
      <w:r>
        <w:rPr>
          <w:rStyle w:val="VerbatimChar"/>
        </w:rPr>
        <w:t xml:space="preserve">        │                          │         │           │</w:t>
      </w:r>
      <w:r>
        <w:br/>
      </w:r>
      <w:r>
        <w:rPr>
          <w:rStyle w:val="VerbatimChar"/>
        </w:rPr>
        <w:t xml:space="preserve">        │                  2nd Line (Risk, Compliance, Security)</w:t>
      </w:r>
      <w:r>
        <w:br/>
      </w:r>
      <w:r>
        <w:rPr>
          <w:rStyle w:val="VerbatimChar"/>
        </w:rPr>
        <w:t xml:space="preserve">        │</w:t>
      </w:r>
      <w:r>
        <w:br/>
      </w:r>
      <w:r>
        <w:rPr>
          <w:rStyle w:val="VerbatimChar"/>
        </w:rPr>
        <w:t xml:space="preserve">        └──────────▶ Internal Audit (Chief Audit Executive)</w:t>
      </w:r>
      <w:r>
        <w:br/>
      </w:r>
      <w:r>
        <w:rPr>
          <w:rStyle w:val="VerbatimChar"/>
        </w:rPr>
        <w:t xml:space="preserve">                     3rd Line — functional reporting to Audit Committee</w:t>
      </w:r>
      <w:r>
        <w:br/>
      </w:r>
      <w:r>
        <w:rPr>
          <w:rStyle w:val="VerbatimChar"/>
        </w:rPr>
        <w:t xml:space="preserve">                     (administrative reporting to CEO only)</w:t>
      </w:r>
    </w:p>
    <w:p>
      <w:pPr>
        <w:pStyle w:val="BlockText"/>
      </w:pPr>
      <w:r>
        <w:rPr>
          <w:b/>
          <w:bCs/>
        </w:rPr>
        <w:t xml:space="preserve">Key reporting lines:</w:t>
      </w:r>
      <w:r>
        <w:t xml:space="preserve"> </w:t>
      </w:r>
      <w:r>
        <w:t xml:space="preserve">-</w:t>
      </w:r>
      <w:r>
        <w:t xml:space="preserve"> </w:t>
      </w:r>
      <w:r>
        <w:rPr>
          <w:b/>
          <w:bCs/>
        </w:rPr>
        <w:t xml:space="preserve">Chief Audit Executive (CAE)</w:t>
      </w:r>
      <w:r>
        <w:t xml:space="preserve"> </w:t>
      </w:r>
      <w:r>
        <w:t xml:space="preserve">— functional to the</w:t>
      </w:r>
      <w:r>
        <w:t xml:space="preserve"> </w:t>
      </w:r>
      <w:r>
        <w:rPr>
          <w:b/>
          <w:bCs/>
        </w:rPr>
        <w:t xml:space="preserve">Audit Committee</w:t>
      </w:r>
      <w:r>
        <w:t xml:space="preserve">, administrative to the CEO.</w:t>
      </w:r>
      <w:r>
        <w:t xml:space="preserve"> </w:t>
      </w:r>
      <w:r>
        <w:t xml:space="preserve">-</w:t>
      </w:r>
      <w:r>
        <w:t xml:space="preserve"> </w:t>
      </w:r>
      <w:r>
        <w:rPr>
          <w:b/>
          <w:bCs/>
        </w:rPr>
        <w:t xml:space="preserve">CCO / MLRO</w:t>
      </w:r>
      <w:r>
        <w:t xml:space="preserve"> </w:t>
      </w:r>
      <w:r>
        <w:t xml:space="preserve">— functional to the</w:t>
      </w:r>
      <w:r>
        <w:t xml:space="preserve"> </w:t>
      </w:r>
      <w:r>
        <w:rPr>
          <w:b/>
          <w:bCs/>
        </w:rPr>
        <w:t xml:space="preserve">Board / Audit Committee</w:t>
      </w:r>
      <w:r>
        <w:t xml:space="preserve">, administrative to the CEO, with direct access to the Board Chair.</w:t>
      </w:r>
      <w:r>
        <w:t xml:space="preserve"> </w:t>
      </w:r>
      <w:r>
        <w:t xml:space="preserve">-</w:t>
      </w:r>
      <w:r>
        <w:t xml:space="preserve"> </w:t>
      </w:r>
      <w:r>
        <w:rPr>
          <w:b/>
          <w:bCs/>
        </w:rPr>
        <w:t xml:space="preserve">CRO</w:t>
      </w:r>
      <w:r>
        <w:t xml:space="preserve"> </w:t>
      </w:r>
      <w:r>
        <w:t xml:space="preserve">— reports to the</w:t>
      </w:r>
      <w:r>
        <w:t xml:space="preserve"> </w:t>
      </w:r>
      <w:r>
        <w:rPr>
          <w:b/>
          <w:bCs/>
        </w:rPr>
        <w:t xml:space="preserve">Risk Committee</w:t>
      </w:r>
      <w:r>
        <w:t xml:space="preserve"> </w:t>
      </w:r>
      <w:r>
        <w:t xml:space="preserve">and CEO.</w:t>
      </w:r>
      <w:r>
        <w:t xml:space="preserve"> </w:t>
      </w:r>
      <w:r>
        <w:t xml:space="preserve">-</w:t>
      </w:r>
      <w:r>
        <w:t xml:space="preserve"> </w:t>
      </w:r>
      <w:r>
        <w:rPr>
          <w:b/>
          <w:bCs/>
        </w:rPr>
        <w:t xml:space="preserve">CISO</w:t>
      </w:r>
      <w:r>
        <w:t xml:space="preserve"> </w:t>
      </w:r>
      <w:r>
        <w:t xml:space="preserve">— reports to the CEO and, on cyber matters, to the</w:t>
      </w:r>
      <w:r>
        <w:t xml:space="preserve"> </w:t>
      </w:r>
      <w:r>
        <w:rPr>
          <w:b/>
          <w:bCs/>
        </w:rPr>
        <w:t xml:space="preserve">IT Steering / Cyber Committee</w:t>
      </w:r>
      <w:r>
        <w:t xml:space="preserve"> </w:t>
      </w:r>
      <w:r>
        <w:t xml:space="preserve">and the Board.</w:t>
      </w:r>
    </w:p>
    <w:p>
      <w:r>
        <w:pict>
          <v:rect style="width:0;height:1.5pt" o:hralign="center" o:hrstd="t" o:hr="t"/>
        </w:pict>
      </w:r>
    </w:p>
    <w:bookmarkEnd w:id="187"/>
    <w:bookmarkStart w:id="193" w:name="control-function-roles-responsibilities"/>
    <w:p>
      <w:pPr>
        <w:pStyle w:val="Heading2"/>
      </w:pPr>
      <w:r>
        <w:t xml:space="preserve">3. Control Function Roles &amp; Responsibilities</w:t>
      </w:r>
    </w:p>
    <w:bookmarkStart w:id="188" w:name="chief-compliance-officer-cco"/>
    <w:p>
      <w:pPr>
        <w:pStyle w:val="Heading3"/>
      </w:pPr>
      <w:r>
        <w:t xml:space="preserve">3.1 Chief Compliance Officer (CCO)</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Line of defense</w:t>
            </w:r>
          </w:p>
        </w:tc>
        <w:tc>
          <w:tcPr/>
          <w:p>
            <w:pPr>
              <w:pStyle w:val="Compact"/>
            </w:pPr>
            <w:r>
              <w:t xml:space="preserve">2nd</w:t>
            </w:r>
          </w:p>
        </w:tc>
      </w:tr>
      <w:tr>
        <w:tc>
          <w:tcPr/>
          <w:p>
            <w:pPr>
              <w:pStyle w:val="Compact"/>
            </w:pPr>
            <w:r>
              <w:t xml:space="preserve">Reporting</w:t>
            </w:r>
          </w:p>
        </w:tc>
        <w:tc>
          <w:tcPr/>
          <w:p>
            <w:pPr>
              <w:pStyle w:val="Compact"/>
            </w:pPr>
            <w:r>
              <w:t xml:space="preserve">Functional → Board/Audit Committee; Administrative → CEO</w:t>
            </w:r>
          </w:p>
        </w:tc>
      </w:tr>
      <w:tr>
        <w:tc>
          <w:tcPr/>
          <w:p>
            <w:pPr>
              <w:pStyle w:val="Compact"/>
            </w:pPr>
            <w:r>
              <w:t xml:space="preserve">Independence</w:t>
            </w:r>
          </w:p>
        </w:tc>
        <w:tc>
          <w:tcPr/>
          <w:p>
            <w:pPr>
              <w:pStyle w:val="Compact"/>
            </w:pPr>
            <w:r>
              <w:t xml:space="preserve">No responsibility for revenue-generating units; no sales-based KPIs</w:t>
            </w:r>
          </w:p>
        </w:tc>
      </w:tr>
      <w:tr>
        <w:tc>
          <w:tcPr/>
          <w:p>
            <w:pPr>
              <w:pStyle w:val="Compact"/>
            </w:pPr>
            <w:r>
              <w:t xml:space="preserve">Core duties</w:t>
            </w:r>
          </w:p>
        </w:tc>
        <w:tc>
          <w:tcPr/>
          <w:p>
            <w:pPr>
              <w:pStyle w:val="Compact"/>
            </w:pPr>
            <w:r>
              <w:t xml:space="preserve">Own and maintain the</w:t>
            </w:r>
            <w:r>
              <w:t xml:space="preserve"> </w:t>
            </w:r>
            <w:r>
              <w:rPr>
                <w:b/>
                <w:bCs/>
              </w:rPr>
              <w:t xml:space="preserve">compliance framework</w:t>
            </w:r>
            <w:r>
              <w:t xml:space="preserve"> </w:t>
            </w:r>
            <w:r>
              <w:t xml:space="preserve">aligned with the Payment Systems Act B.E. 2560, BOT notifications, and PDPA (B.E. 2562)</w:t>
            </w:r>
          </w:p>
        </w:tc>
      </w:tr>
      <w:tr>
        <w:tc>
          <w:tcPr/>
          <w:p>
            <w:pPr>
              <w:pStyle w:val="Compact"/>
            </w:pPr>
          </w:p>
        </w:tc>
        <w:tc>
          <w:tcPr/>
          <w:p>
            <w:pPr>
              <w:pStyle w:val="Compact"/>
            </w:pPr>
            <w:r>
              <w:t xml:space="preserve">Regulatory change management — assess impact within</w:t>
            </w:r>
            <w:r>
              <w:t xml:space="preserve"> </w:t>
            </w:r>
            <w:r>
              <w:rPr>
                <w:b/>
                <w:bCs/>
              </w:rPr>
              <w:t xml:space="preserve">30 days</w:t>
            </w:r>
            <w:r>
              <w:t xml:space="preserve"> </w:t>
            </w:r>
            <w:r>
              <w:t xml:space="preserve">of a notification taking effect</w:t>
            </w:r>
          </w:p>
        </w:tc>
      </w:tr>
      <w:tr>
        <w:tc>
          <w:tcPr/>
          <w:p>
            <w:pPr>
              <w:pStyle w:val="Compact"/>
            </w:pPr>
          </w:p>
        </w:tc>
        <w:tc>
          <w:tcPr/>
          <w:p>
            <w:pPr>
              <w:pStyle w:val="Compact"/>
            </w:pPr>
            <w:r>
              <w:t xml:space="preserve">Act as the</w:t>
            </w:r>
            <w:r>
              <w:t xml:space="preserve"> </w:t>
            </w:r>
            <w:r>
              <w:rPr>
                <w:b/>
                <w:bCs/>
              </w:rPr>
              <w:t xml:space="preserve">single point of contact</w:t>
            </w:r>
            <w:r>
              <w:t xml:space="preserve"> </w:t>
            </w:r>
            <w:r>
              <w:t xml:space="preserve">with BOT for periodic reporting and on-site inspections</w:t>
            </w:r>
          </w:p>
        </w:tc>
      </w:tr>
      <w:tr>
        <w:tc>
          <w:tcPr/>
          <w:p>
            <w:pPr>
              <w:pStyle w:val="Compact"/>
            </w:pPr>
          </w:p>
        </w:tc>
        <w:tc>
          <w:tcPr/>
          <w:p>
            <w:pPr>
              <w:pStyle w:val="Compact"/>
            </w:pPr>
            <w:r>
              <w:t xml:space="preserve">Produce the annual</w:t>
            </w:r>
            <w:r>
              <w:t xml:space="preserve"> </w:t>
            </w:r>
            <w:r>
              <w:rPr>
                <w:b/>
                <w:bCs/>
              </w:rPr>
              <w:t xml:space="preserve">compliance risk assessment</w:t>
            </w:r>
            <w:r>
              <w:t xml:space="preserve"> </w:t>
            </w:r>
            <w:r>
              <w:t xml:space="preserve">and monitoring plan</w:t>
            </w:r>
          </w:p>
        </w:tc>
      </w:tr>
      <w:tr>
        <w:tc>
          <w:tcPr/>
          <w:p>
            <w:pPr>
              <w:pStyle w:val="Compact"/>
            </w:pPr>
          </w:p>
        </w:tc>
        <w:tc>
          <w:tcPr/>
          <w:p>
            <w:pPr>
              <w:pStyle w:val="Compact"/>
            </w:pPr>
            <w:r>
              <w:t xml:space="preserve">Oversee mandatory external incident reporting to BOT within regulatory timeframes (e.g. severe incident within</w:t>
            </w:r>
            <w:r>
              <w:t xml:space="preserve"> </w:t>
            </w:r>
            <w:r>
              <w:rPr>
                <w:b/>
                <w:bCs/>
              </w:rPr>
              <w:t xml:space="preserve">24 hours</w:t>
            </w:r>
            <w:r>
              <w:t xml:space="preserve"> </w:t>
            </w:r>
            <w:r>
              <w:t xml:space="preserve">— see §6)</w:t>
            </w:r>
          </w:p>
        </w:tc>
      </w:tr>
      <w:tr>
        <w:tc>
          <w:tcPr/>
          <w:p>
            <w:pPr>
              <w:pStyle w:val="Compact"/>
            </w:pPr>
            <w:r>
              <w:t xml:space="preserve">Qualifications</w:t>
            </w:r>
          </w:p>
        </w:tc>
        <w:tc>
          <w:tcPr/>
          <w:p>
            <w:pPr>
              <w:pStyle w:val="Compact"/>
            </w:pPr>
            <w:r>
              <w:t xml:space="preserve">≥ 5 years compliance/legal experience in FIs/payment providers; passes fit &amp; proper</w:t>
            </w:r>
          </w:p>
        </w:tc>
      </w:tr>
    </w:tbl>
    <w:bookmarkEnd w:id="188"/>
    <w:bookmarkStart w:id="189" w:name="X6de249f563cc7f2aba503c025184b1dfb6a4bc6"/>
    <w:p>
      <w:pPr>
        <w:pStyle w:val="Heading3"/>
      </w:pPr>
      <w:r>
        <w:t xml:space="preserve">3.2 MLRO — Money Laundering Reporting Officer (AMLO)</w:t>
      </w:r>
    </w:p>
    <w:p>
      <w:pPr>
        <w:pStyle w:val="BlockText"/>
      </w:pPr>
      <w:r>
        <w:t xml:space="preserve">In the early stage the MLRO may be combined with the CCO, but a dedicated AML team is required, with a plan to split the role as volumes grow.</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Legal basis</w:t>
            </w:r>
          </w:p>
        </w:tc>
        <w:tc>
          <w:tcPr/>
          <w:p>
            <w:pPr>
              <w:pStyle w:val="Compact"/>
            </w:pPr>
            <w:r>
              <w:t xml:space="preserve">Anti-Money Laundering Act + AMLO Office notifications</w:t>
            </w:r>
          </w:p>
        </w:tc>
      </w:tr>
      <w:tr>
        <w:tc>
          <w:tcPr/>
          <w:p>
            <w:pPr>
              <w:pStyle w:val="Compact"/>
            </w:pPr>
            <w:r>
              <w:t xml:space="preserve">Core duties</w:t>
            </w:r>
          </w:p>
        </w:tc>
        <w:tc>
          <w:tcPr/>
          <w:p>
            <w:pPr>
              <w:pStyle w:val="Compact"/>
            </w:pPr>
            <w:r>
              <w:t xml:space="preserve">Own</w:t>
            </w:r>
            <w:r>
              <w:t xml:space="preserve"> </w:t>
            </w:r>
            <w:r>
              <w:rPr>
                <w:b/>
                <w:bCs/>
              </w:rPr>
              <w:t xml:space="preserve">KYC/CDD/EDD</w:t>
            </w:r>
            <w:r>
              <w:t xml:space="preserve">, sanction &amp; PEP screening, transaction monitoring</w:t>
            </w:r>
          </w:p>
        </w:tc>
      </w:tr>
      <w:tr>
        <w:tc>
          <w:tcPr/>
          <w:p>
            <w:pPr>
              <w:pStyle w:val="Compact"/>
            </w:pPr>
          </w:p>
        </w:tc>
        <w:tc>
          <w:tcPr/>
          <w:p>
            <w:pPr>
              <w:pStyle w:val="Compact"/>
            </w:pPr>
            <w:r>
              <w:t xml:space="preserve">Prepare and file</w:t>
            </w:r>
            <w:r>
              <w:t xml:space="preserve"> </w:t>
            </w:r>
            <w:r>
              <w:rPr>
                <w:b/>
                <w:bCs/>
              </w:rPr>
              <w:t xml:space="preserve">STR/SAR</w:t>
            </w:r>
            <w:r>
              <w:t xml:space="preserve"> </w:t>
            </w:r>
            <w:r>
              <w:t xml:space="preserve">and</w:t>
            </w:r>
            <w:r>
              <w:t xml:space="preserve"> </w:t>
            </w:r>
            <w:r>
              <w:rPr>
                <w:b/>
                <w:bCs/>
              </w:rPr>
              <w:t xml:space="preserve">CTR</w:t>
            </w:r>
            <w:r>
              <w:t xml:space="preserve"> </w:t>
            </w:r>
            <w:r>
              <w:t xml:space="preserve">to the AMLO Office within statutory timeframes</w:t>
            </w:r>
          </w:p>
        </w:tc>
      </w:tr>
      <w:tr>
        <w:tc>
          <w:tcPr/>
          <w:p>
            <w:pPr>
              <w:pStyle w:val="Compact"/>
            </w:pPr>
          </w:p>
        </w:tc>
        <w:tc>
          <w:tcPr/>
          <w:p>
            <w:pPr>
              <w:pStyle w:val="Compact"/>
            </w:pPr>
            <w:r>
              <w:t xml:space="preserve">Retain CDD/transaction records for at least</w:t>
            </w:r>
            <w:r>
              <w:t xml:space="preserve"> </w:t>
            </w:r>
            <w:r>
              <w:rPr>
                <w:b/>
                <w:bCs/>
              </w:rPr>
              <w:t xml:space="preserve">10 years</w:t>
            </w:r>
            <w:r>
              <w:t xml:space="preserve"> </w:t>
            </w:r>
            <w:r>
              <w:t xml:space="preserve">as required by law</w:t>
            </w:r>
          </w:p>
        </w:tc>
      </w:tr>
      <w:tr>
        <w:tc>
          <w:tcPr/>
          <w:p>
            <w:pPr>
              <w:pStyle w:val="Compact"/>
            </w:pPr>
          </w:p>
        </w:tc>
        <w:tc>
          <w:tcPr/>
          <w:p>
            <w:pPr>
              <w:pStyle w:val="Compact"/>
            </w:pPr>
            <w:r>
              <w:t xml:space="preserve">Review the risk-based AML program annually; report to the AML Committee/Board</w:t>
            </w:r>
          </w:p>
        </w:tc>
      </w:tr>
    </w:tbl>
    <w:bookmarkEnd w:id="189"/>
    <w:bookmarkStart w:id="190" w:name="X7e1430b59186c940a8e4ace3a5b8ab32a3d3eab"/>
    <w:p>
      <w:pPr>
        <w:pStyle w:val="Heading3"/>
      </w:pPr>
      <w:r>
        <w:t xml:space="preserve">3.3 CISO — Chief Information Security Officer</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Line of defense</w:t>
            </w:r>
          </w:p>
        </w:tc>
        <w:tc>
          <w:tcPr/>
          <w:p>
            <w:pPr>
              <w:pStyle w:val="Compact"/>
            </w:pPr>
            <w:r>
              <w:t xml:space="preserve">2nd (security governance) — independent from IT engineering/operations (1st line)</w:t>
            </w:r>
          </w:p>
        </w:tc>
      </w:tr>
      <w:tr>
        <w:tc>
          <w:tcPr/>
          <w:p>
            <w:pPr>
              <w:pStyle w:val="Compact"/>
            </w:pPr>
            <w:r>
              <w:t xml:space="preserve">Reporting</w:t>
            </w:r>
          </w:p>
        </w:tc>
        <w:tc>
          <w:tcPr/>
          <w:p>
            <w:pPr>
              <w:pStyle w:val="Compact"/>
            </w:pPr>
            <w:r>
              <w:t xml:space="preserve">CEO + Cyber Committee/Board</w:t>
            </w:r>
          </w:p>
        </w:tc>
      </w:tr>
      <w:tr>
        <w:tc>
          <w:tcPr/>
          <w:p>
            <w:pPr>
              <w:pStyle w:val="Compact"/>
            </w:pPr>
            <w:r>
              <w:t xml:space="preserve">Core duties</w:t>
            </w:r>
          </w:p>
        </w:tc>
        <w:tc>
          <w:tcPr/>
          <w:p>
            <w:pPr>
              <w:pStyle w:val="Compact"/>
            </w:pPr>
            <w:r>
              <w:t xml:space="preserve">Own the</w:t>
            </w:r>
            <w:r>
              <w:t xml:space="preserve"> </w:t>
            </w:r>
            <w:r>
              <w:rPr>
                <w:b/>
                <w:bCs/>
              </w:rPr>
              <w:t xml:space="preserve">information security policy</w:t>
            </w:r>
            <w:r>
              <w:t xml:space="preserve">,</w:t>
            </w:r>
            <w:r>
              <w:t xml:space="preserve"> </w:t>
            </w:r>
            <w:r>
              <w:rPr>
                <w:b/>
                <w:bCs/>
              </w:rPr>
              <w:t xml:space="preserve">PCI-DSS v4.0 program</w:t>
            </w:r>
            <w:r>
              <w:t xml:space="preserve">, and cyber resilience per BOT notifications</w:t>
            </w:r>
          </w:p>
        </w:tc>
      </w:tr>
      <w:tr>
        <w:tc>
          <w:tcPr/>
          <w:p>
            <w:pPr>
              <w:pStyle w:val="Compact"/>
            </w:pPr>
          </w:p>
        </w:tc>
        <w:tc>
          <w:tcPr/>
          <w:p>
            <w:pPr>
              <w:pStyle w:val="Compact"/>
            </w:pPr>
            <w:r>
              <w:t xml:space="preserve">Manage PCI scope, network segmentation, tokenization vault, HSM/KMS key management (PCI Req 3), access control &amp; MFA (Req 7-8), logging/SIEM (Req 10)</w:t>
            </w:r>
          </w:p>
        </w:tc>
      </w:tr>
      <w:tr>
        <w:tc>
          <w:tcPr/>
          <w:p>
            <w:pPr>
              <w:pStyle w:val="Compact"/>
            </w:pPr>
          </w:p>
        </w:tc>
        <w:tc>
          <w:tcPr/>
          <w:p>
            <w:pPr>
              <w:pStyle w:val="Compact"/>
            </w:pPr>
            <w:r>
              <w:t xml:space="preserve">Own the annual</w:t>
            </w:r>
            <w:r>
              <w:t xml:space="preserve"> </w:t>
            </w:r>
            <w:r>
              <w:rPr>
                <w:b/>
                <w:bCs/>
              </w:rPr>
              <w:t xml:space="preserve">RoC (Report on Compliance)</w:t>
            </w:r>
            <w:r>
              <w:t xml:space="preserve"> </w:t>
            </w:r>
            <w:r>
              <w:t xml:space="preserve">with the</w:t>
            </w:r>
            <w:r>
              <w:t xml:space="preserve"> </w:t>
            </w:r>
            <w:r>
              <w:rPr>
                <w:b/>
                <w:bCs/>
              </w:rPr>
              <w:t xml:space="preserve">QSA</w:t>
            </w:r>
            <w:r>
              <w:t xml:space="preserve"> </w:t>
            </w:r>
            <w:r>
              <w:t xml:space="preserve">(TODO A3),</w:t>
            </w:r>
            <w:r>
              <w:t xml:space="preserve"> </w:t>
            </w:r>
            <w:r>
              <w:rPr>
                <w:b/>
                <w:bCs/>
              </w:rPr>
              <w:t xml:space="preserve">quarterly ASV scans</w:t>
            </w:r>
            <w:r>
              <w:t xml:space="preserve"> </w:t>
            </w:r>
            <w:r>
              <w:t xml:space="preserve">(TODO A7), and</w:t>
            </w:r>
            <w:r>
              <w:t xml:space="preserve"> </w:t>
            </w:r>
            <w:r>
              <w:rPr>
                <w:b/>
                <w:bCs/>
              </w:rPr>
              <w:t xml:space="preserve">annual penetration test</w:t>
            </w:r>
          </w:p>
        </w:tc>
      </w:tr>
      <w:tr>
        <w:tc>
          <w:tcPr/>
          <w:p>
            <w:pPr>
              <w:pStyle w:val="Compact"/>
            </w:pPr>
          </w:p>
        </w:tc>
        <w:tc>
          <w:tcPr/>
          <w:p>
            <w:pPr>
              <w:pStyle w:val="Compact"/>
            </w:pPr>
            <w:r>
              <w:t xml:space="preserve">Own the</w:t>
            </w:r>
            <w:r>
              <w:t xml:space="preserve"> </w:t>
            </w:r>
            <w:r>
              <w:rPr>
                <w:b/>
                <w:bCs/>
              </w:rPr>
              <w:t xml:space="preserve">Incident Response Plan</w:t>
            </w:r>
            <w:r>
              <w:t xml:space="preserve"> </w:t>
            </w:r>
            <w:r>
              <w:t xml:space="preserve">and act as incident commander for security/data breaches</w:t>
            </w:r>
          </w:p>
        </w:tc>
      </w:tr>
      <w:tr>
        <w:tc>
          <w:tcPr/>
          <w:p>
            <w:pPr>
              <w:pStyle w:val="Compact"/>
            </w:pPr>
          </w:p>
        </w:tc>
        <w:tc>
          <w:tcPr/>
          <w:p>
            <w:pPr>
              <w:pStyle w:val="Compact"/>
            </w:pPr>
            <w:r>
              <w:t xml:space="preserve">Perform</w:t>
            </w:r>
            <w:r>
              <w:t xml:space="preserve"> </w:t>
            </w:r>
            <w:r>
              <w:rPr>
                <w:b/>
                <w:bCs/>
              </w:rPr>
              <w:t xml:space="preserve">quarterly</w:t>
            </w:r>
            <w:r>
              <w:t xml:space="preserve"> </w:t>
            </w:r>
            <w:r>
              <w:t xml:space="preserve">access reviews; test EMV 3DS (3-D Secure 2.x) and fraud controls</w:t>
            </w:r>
          </w:p>
        </w:tc>
      </w:tr>
      <w:tr>
        <w:tc>
          <w:tcPr/>
          <w:p>
            <w:pPr>
              <w:pStyle w:val="Compact"/>
            </w:pPr>
            <w:r>
              <w:t xml:space="preserve">Qualifications</w:t>
            </w:r>
          </w:p>
        </w:tc>
        <w:tc>
          <w:tcPr/>
          <w:p>
            <w:pPr>
              <w:pStyle w:val="Compact"/>
            </w:pPr>
            <w:r>
              <w:t xml:space="preserve">≥ 5 years security experience in payments/PCI; CISSP/CISM or equivalent (recommended)</w:t>
            </w:r>
          </w:p>
        </w:tc>
      </w:tr>
    </w:tbl>
    <w:bookmarkEnd w:id="190"/>
    <w:bookmarkStart w:id="191" w:name="cro-chief-risk-officer"/>
    <w:p>
      <w:pPr>
        <w:pStyle w:val="Heading3"/>
      </w:pPr>
      <w:r>
        <w:t xml:space="preserve">3.4 CRO — Chief Risk Officer</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Line of defense</w:t>
            </w:r>
          </w:p>
        </w:tc>
        <w:tc>
          <w:tcPr/>
          <w:p>
            <w:pPr>
              <w:pStyle w:val="Compact"/>
            </w:pPr>
            <w:r>
              <w:t xml:space="preserve">2nd</w:t>
            </w:r>
          </w:p>
        </w:tc>
      </w:tr>
      <w:tr>
        <w:tc>
          <w:tcPr/>
          <w:p>
            <w:pPr>
              <w:pStyle w:val="Compact"/>
            </w:pPr>
            <w:r>
              <w:t xml:space="preserve">Reporting</w:t>
            </w:r>
          </w:p>
        </w:tc>
        <w:tc>
          <w:tcPr/>
          <w:p>
            <w:pPr>
              <w:pStyle w:val="Compact"/>
            </w:pPr>
            <w:r>
              <w:t xml:space="preserve">Risk Committee + CEO</w:t>
            </w:r>
          </w:p>
        </w:tc>
      </w:tr>
      <w:tr>
        <w:tc>
          <w:tcPr/>
          <w:p>
            <w:pPr>
              <w:pStyle w:val="Compact"/>
            </w:pPr>
            <w:r>
              <w:t xml:space="preserve">Core duties</w:t>
            </w:r>
          </w:p>
        </w:tc>
        <w:tc>
          <w:tcPr/>
          <w:p>
            <w:pPr>
              <w:pStyle w:val="Compact"/>
            </w:pPr>
            <w:r>
              <w:t xml:space="preserve">Own the</w:t>
            </w:r>
            <w:r>
              <w:t xml:space="preserve"> </w:t>
            </w:r>
            <w:r>
              <w:rPr>
                <w:b/>
                <w:bCs/>
              </w:rPr>
              <w:t xml:space="preserve">Enterprise Risk Management (ERM) framework</w:t>
            </w:r>
            <w:r>
              <w:t xml:space="preserve">: operational, credit/settlement, liquidity, fraud/chargeback, IT and third-party/outsourcing risk</w:t>
            </w:r>
          </w:p>
        </w:tc>
      </w:tr>
      <w:tr>
        <w:tc>
          <w:tcPr/>
          <w:p>
            <w:pPr>
              <w:pStyle w:val="Compact"/>
            </w:pPr>
          </w:p>
        </w:tc>
        <w:tc>
          <w:tcPr/>
          <w:p>
            <w:pPr>
              <w:pStyle w:val="Compact"/>
            </w:pPr>
            <w:r>
              <w:t xml:space="preserve">Define and monitor</w:t>
            </w:r>
            <w:r>
              <w:t xml:space="preserve"> </w:t>
            </w:r>
            <w:r>
              <w:rPr>
                <w:b/>
                <w:bCs/>
              </w:rPr>
              <w:t xml:space="preserve">risk appetite</w:t>
            </w:r>
            <w:r>
              <w:t xml:space="preserve"> </w:t>
            </w:r>
            <w:r>
              <w:t xml:space="preserve">and</w:t>
            </w:r>
            <w:r>
              <w:t xml:space="preserve"> </w:t>
            </w:r>
            <w:r>
              <w:rPr>
                <w:b/>
                <w:bCs/>
              </w:rPr>
              <w:t xml:space="preserve">key risk indicators (KRIs)</w:t>
            </w:r>
            <w:r>
              <w:t xml:space="preserve"> </w:t>
            </w:r>
            <w:r>
              <w:t xml:space="preserve">— see §5</w:t>
            </w:r>
          </w:p>
        </w:tc>
      </w:tr>
      <w:tr>
        <w:tc>
          <w:tcPr/>
          <w:p>
            <w:pPr>
              <w:pStyle w:val="Compact"/>
            </w:pPr>
          </w:p>
        </w:tc>
        <w:tc>
          <w:tcPr/>
          <w:p>
            <w:pPr>
              <w:pStyle w:val="Compact"/>
            </w:pPr>
            <w:r>
              <w:t xml:space="preserve">Own</w:t>
            </w:r>
            <w:r>
              <w:t xml:space="preserve"> </w:t>
            </w:r>
            <w:r>
              <w:rPr>
                <w:b/>
                <w:bCs/>
              </w:rPr>
              <w:t xml:space="preserve">BCP/DR</w:t>
            </w:r>
            <w:r>
              <w:t xml:space="preserve"> </w:t>
            </w:r>
            <w:r>
              <w:t xml:space="preserve">aligned to RPO ≤ 5 min / RTO ≤ 30 min (per ARCHITECTURE §8); run a DR drill at least</w:t>
            </w:r>
            <w:r>
              <w:t xml:space="preserve"> </w:t>
            </w:r>
            <w:r>
              <w:rPr>
                <w:b/>
                <w:bCs/>
              </w:rPr>
              <w:t xml:space="preserve">annually</w:t>
            </w:r>
          </w:p>
        </w:tc>
      </w:tr>
      <w:tr>
        <w:tc>
          <w:tcPr/>
          <w:p>
            <w:pPr>
              <w:pStyle w:val="Compact"/>
            </w:pPr>
          </w:p>
        </w:tc>
        <w:tc>
          <w:tcPr/>
          <w:p>
            <w:pPr>
              <w:pStyle w:val="Compact"/>
            </w:pPr>
            <w:r>
              <w:t xml:space="preserve">Assess outsourcing/third-party risk (sponsor bank, QSA, cloud) per BOT outsourcing notifications</w:t>
            </w:r>
          </w:p>
        </w:tc>
      </w:tr>
    </w:tbl>
    <w:bookmarkEnd w:id="191"/>
    <w:bookmarkStart w:id="192" w:name="X5966e00eda505b64daeee278d21cb619416e0cd"/>
    <w:p>
      <w:pPr>
        <w:pStyle w:val="Heading3"/>
      </w:pPr>
      <w:r>
        <w:t xml:space="preserve">3.5 Chief Audit Executive (CAE) / Head of Internal Audit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Line of defense</w:t>
            </w:r>
          </w:p>
        </w:tc>
        <w:tc>
          <w:tcPr/>
          <w:p>
            <w:pPr>
              <w:pStyle w:val="Compact"/>
            </w:pPr>
            <w:r>
              <w:t xml:space="preserve">3rd</w:t>
            </w:r>
          </w:p>
        </w:tc>
      </w:tr>
      <w:tr>
        <w:tc>
          <w:tcPr/>
          <w:p>
            <w:pPr>
              <w:pStyle w:val="Compact"/>
            </w:pPr>
            <w:r>
              <w:t xml:space="preserve">Reporting</w:t>
            </w:r>
          </w:p>
        </w:tc>
        <w:tc>
          <w:tcPr/>
          <w:p>
            <w:pPr>
              <w:pStyle w:val="Compact"/>
            </w:pPr>
            <w:r>
              <w:rPr>
                <w:b/>
                <w:bCs/>
              </w:rPr>
              <w:t xml:space="preserve">Functional → Audit Committee</w:t>
            </w:r>
            <w:r>
              <w:t xml:space="preserve"> </w:t>
            </w:r>
            <w:r>
              <w:t xml:space="preserve">(appointment/removal/evaluation/budget approval); Administrative → CEO only</w:t>
            </w:r>
          </w:p>
        </w:tc>
      </w:tr>
      <w:tr>
        <w:tc>
          <w:tcPr/>
          <w:p>
            <w:pPr>
              <w:pStyle w:val="Compact"/>
            </w:pPr>
            <w:r>
              <w:t xml:space="preserve">Independence</w:t>
            </w:r>
          </w:p>
        </w:tc>
        <w:tc>
          <w:tcPr/>
          <w:p>
            <w:pPr>
              <w:pStyle w:val="Compact"/>
            </w:pPr>
            <w:r>
              <w:rPr>
                <w:b/>
                <w:bCs/>
              </w:rPr>
              <w:t xml:space="preserve">No operational duties</w:t>
            </w:r>
            <w:r>
              <w:t xml:space="preserve"> </w:t>
            </w:r>
            <w:r>
              <w:t xml:space="preserve">in areas audited; does not design controls it must audit</w:t>
            </w:r>
          </w:p>
        </w:tc>
      </w:tr>
      <w:tr>
        <w:tc>
          <w:tcPr/>
          <w:p>
            <w:pPr>
              <w:pStyle w:val="Compact"/>
            </w:pPr>
            <w:r>
              <w:t xml:space="preserve">Core duties</w:t>
            </w:r>
          </w:p>
        </w:tc>
        <w:tc>
          <w:tcPr/>
          <w:p>
            <w:pPr>
              <w:pStyle w:val="Compact"/>
            </w:pPr>
            <w:r>
              <w:t xml:space="preserve">Produce the</w:t>
            </w:r>
            <w:r>
              <w:t xml:space="preserve"> </w:t>
            </w:r>
            <w:r>
              <w:rPr>
                <w:b/>
                <w:bCs/>
              </w:rPr>
              <w:t xml:space="preserve">risk-based annual audit plan</w:t>
            </w:r>
            <w:r>
              <w:t xml:space="preserve"> </w:t>
            </w:r>
            <w:r>
              <w:t xml:space="preserve">approved by the Audit Committee</w:t>
            </w:r>
          </w:p>
        </w:tc>
      </w:tr>
      <w:tr>
        <w:tc>
          <w:tcPr/>
          <w:p>
            <w:pPr>
              <w:pStyle w:val="Compact"/>
            </w:pPr>
          </w:p>
        </w:tc>
        <w:tc>
          <w:tcPr/>
          <w:p>
            <w:pPr>
              <w:pStyle w:val="Compact"/>
            </w:pPr>
            <w:r>
              <w:t xml:space="preserve">Test adequacy and effectiveness of 1st- and 2nd-line controls (compliance, AML, IT security, PCI, ledger/reconciliation, settlement)</w:t>
            </w:r>
          </w:p>
        </w:tc>
      </w:tr>
      <w:tr>
        <w:tc>
          <w:tcPr/>
          <w:p>
            <w:pPr>
              <w:pStyle w:val="Compact"/>
            </w:pPr>
          </w:p>
        </w:tc>
        <w:tc>
          <w:tcPr/>
          <w:p>
            <w:pPr>
              <w:pStyle w:val="Compact"/>
            </w:pPr>
            <w:r>
              <w:t xml:space="preserve">Track remediation of findings and report progress to the Audit Committee quarterly</w:t>
            </w:r>
          </w:p>
        </w:tc>
      </w:tr>
      <w:tr>
        <w:tc>
          <w:tcPr/>
          <w:p>
            <w:pPr>
              <w:pStyle w:val="Compact"/>
            </w:pPr>
          </w:p>
        </w:tc>
        <w:tc>
          <w:tcPr/>
          <w:p>
            <w:pPr>
              <w:pStyle w:val="Compact"/>
            </w:pPr>
            <w:r>
              <w:t xml:space="preserve">May</w:t>
            </w:r>
            <w:r>
              <w:t xml:space="preserve"> </w:t>
            </w:r>
            <w:r>
              <w:rPr>
                <w:b/>
                <w:bCs/>
              </w:rPr>
              <w:t xml:space="preserve">co-source</w:t>
            </w:r>
            <w:r>
              <w:t xml:space="preserve"> </w:t>
            </w:r>
            <w:r>
              <w:t xml:space="preserve">with an external independent audit firm (TODO A6) for specialist work (e.g. IT/PCI audit)</w:t>
            </w:r>
          </w:p>
        </w:tc>
      </w:tr>
    </w:tbl>
    <w:p>
      <w:r>
        <w:pict>
          <v:rect style="width:0;height:1.5pt" o:hralign="center" o:hrstd="t" o:hr="t"/>
        </w:pict>
      </w:r>
    </w:p>
    <w:bookmarkEnd w:id="192"/>
    <w:bookmarkEnd w:id="193"/>
    <w:bookmarkStart w:id="194" w:name="three-lines-of-defense"/>
    <w:p>
      <w:pPr>
        <w:pStyle w:val="Heading2"/>
      </w:pPr>
      <w:r>
        <w:t xml:space="preserve">4. Three Lines of Defense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1st Line</w:t>
            </w:r>
          </w:p>
        </w:tc>
        <w:tc>
          <w:tcPr/>
          <w:p>
            <w:pPr>
              <w:pStyle w:val="Compact"/>
            </w:pPr>
            <w:r>
              <w:rPr>
                <w:b/>
                <w:bCs/>
              </w:rPr>
              <w:t xml:space="preserve">2nd Line</w:t>
            </w:r>
          </w:p>
        </w:tc>
        <w:tc>
          <w:tcPr/>
          <w:p>
            <w:pPr>
              <w:pStyle w:val="Compact"/>
            </w:pPr>
            <w:r>
              <w:rPr>
                <w:b/>
                <w:bCs/>
              </w:rPr>
              <w:t xml:space="preserve">3rd Line</w:t>
            </w:r>
          </w:p>
        </w:tc>
      </w:tr>
      <w:tr>
        <w:tc>
          <w:tcPr/>
          <w:p>
            <w:pPr>
              <w:pStyle w:val="Compact"/>
            </w:pPr>
            <w:r>
              <w:t xml:space="preserve">Role</w:t>
            </w:r>
          </w:p>
        </w:tc>
        <w:tc>
          <w:tcPr/>
          <w:p>
            <w:pPr>
              <w:pStyle w:val="Compact"/>
            </w:pPr>
            <w:r>
              <w:t xml:space="preserve">Own and manage risk</w:t>
            </w:r>
          </w:p>
        </w:tc>
        <w:tc>
          <w:tcPr/>
          <w:p>
            <w:pPr>
              <w:pStyle w:val="Compact"/>
            </w:pPr>
            <w:r>
              <w:t xml:space="preserve">Oversee and control risk</w:t>
            </w:r>
          </w:p>
        </w:tc>
        <w:tc>
          <w:tcPr/>
          <w:p>
            <w:pPr>
              <w:pStyle w:val="Compact"/>
            </w:pPr>
            <w:r>
              <w:t xml:space="preserve">Independent assurance</w:t>
            </w:r>
          </w:p>
        </w:tc>
      </w:tr>
      <w:tr>
        <w:tc>
          <w:tcPr/>
          <w:p>
            <w:pPr>
              <w:pStyle w:val="Compact"/>
            </w:pPr>
            <w:r>
              <w:t xml:space="preserve">Functions</w:t>
            </w:r>
          </w:p>
        </w:tc>
        <w:tc>
          <w:tcPr/>
          <w:p>
            <w:pPr>
              <w:pStyle w:val="Compact"/>
            </w:pPr>
            <w:r>
              <w:t xml:space="preserve">Engineering, Operations, Settlement, Merchant Onboarding, Support</w:t>
            </w:r>
          </w:p>
        </w:tc>
        <w:tc>
          <w:tcPr/>
          <w:p>
            <w:pPr>
              <w:pStyle w:val="Compact"/>
            </w:pPr>
            <w:r>
              <w:t xml:space="preserve">Risk (CRO), Compliance (CCO), AML (MLRO), Security (CISO)</w:t>
            </w:r>
          </w:p>
        </w:tc>
        <w:tc>
          <w:tcPr/>
          <w:p>
            <w:pPr>
              <w:pStyle w:val="Compact"/>
            </w:pPr>
            <w:r>
              <w:t xml:space="preserve">Internal Audit (CAE)</w:t>
            </w:r>
          </w:p>
        </w:tc>
      </w:tr>
      <w:tr>
        <w:tc>
          <w:tcPr/>
          <w:p>
            <w:pPr>
              <w:pStyle w:val="Compact"/>
            </w:pPr>
            <w:r>
              <w:t xml:space="preserve">Duties</w:t>
            </w:r>
          </w:p>
        </w:tc>
        <w:tc>
          <w:tcPr/>
          <w:p>
            <w:pPr>
              <w:pStyle w:val="Compact"/>
            </w:pPr>
            <w:r>
              <w:t xml:space="preserve">Apply controls in daily work, self-assessment, write</w:t>
            </w:r>
            <w:r>
              <w:t xml:space="preserve"> </w:t>
            </w:r>
            <w:r>
              <w:rPr>
                <w:rStyle w:val="VerbatimChar"/>
              </w:rPr>
              <w:t xml:space="preserve">audit_log</w:t>
            </w:r>
            <w:r>
              <w:t xml:space="preserve"> </w:t>
            </w:r>
            <w:r>
              <w:t xml:space="preserve">on every state change</w:t>
            </w:r>
          </w:p>
        </w:tc>
        <w:tc>
          <w:tcPr/>
          <w:p>
            <w:pPr>
              <w:pStyle w:val="Compact"/>
            </w:pPr>
            <w:r>
              <w:t xml:space="preserve">Set policy/limits, monitor KRIs, challenge the 1st line, report risk</w:t>
            </w:r>
          </w:p>
        </w:tc>
        <w:tc>
          <w:tcPr/>
          <w:p>
            <w:pPr>
              <w:pStyle w:val="Compact"/>
            </w:pPr>
            <w:r>
              <w:t xml:space="preserve">Independently assure that 1st and 2nd lines work</w:t>
            </w:r>
          </w:p>
        </w:tc>
      </w:tr>
      <w:tr>
        <w:tc>
          <w:tcPr/>
          <w:p>
            <w:pPr>
              <w:pStyle w:val="Compact"/>
            </w:pPr>
            <w:r>
              <w:t xml:space="preserve">Reports to</w:t>
            </w:r>
          </w:p>
        </w:tc>
        <w:tc>
          <w:tcPr/>
          <w:p>
            <w:pPr>
              <w:pStyle w:val="Compact"/>
            </w:pPr>
            <w:r>
              <w:t xml:space="preserve">Management (CEO via CTO/Head of Ops)</w:t>
            </w:r>
          </w:p>
        </w:tc>
        <w:tc>
          <w:tcPr/>
          <w:p>
            <w:pPr>
              <w:pStyle w:val="Compact"/>
            </w:pPr>
            <w:r>
              <w:t xml:space="preserve">Relevant board sub-committees</w:t>
            </w:r>
          </w:p>
        </w:tc>
        <w:tc>
          <w:tcPr/>
          <w:p>
            <w:pPr>
              <w:pStyle w:val="Compact"/>
            </w:pPr>
            <w:r>
              <w:t xml:space="preserve">Audit Committee</w:t>
            </w:r>
          </w:p>
        </w:tc>
      </w:tr>
      <w:tr>
        <w:tc>
          <w:tcPr/>
          <w:p>
            <w:pPr>
              <w:pStyle w:val="Compact"/>
            </w:pPr>
            <w:r>
              <w:t xml:space="preserve">Independence</w:t>
            </w:r>
          </w:p>
        </w:tc>
        <w:tc>
          <w:tcPr/>
          <w:p>
            <w:pPr>
              <w:pStyle w:val="Compact"/>
            </w:pPr>
            <w:r>
              <w:t xml:space="preserve">—</w:t>
            </w:r>
          </w:p>
        </w:tc>
        <w:tc>
          <w:tcPr/>
          <w:p>
            <w:pPr>
              <w:pStyle w:val="Compact"/>
            </w:pPr>
            <w:r>
              <w:t xml:space="preserve">Independent of business units</w:t>
            </w:r>
          </w:p>
        </w:tc>
        <w:tc>
          <w:tcPr/>
          <w:p>
            <w:pPr>
              <w:pStyle w:val="Compact"/>
            </w:pPr>
            <w:r>
              <w:t xml:space="preserve">Independent of both 1st and 2nd lines</w:t>
            </w:r>
          </w:p>
        </w:tc>
      </w:tr>
    </w:tbl>
    <w:p>
      <w:pPr>
        <w:pStyle w:val="BodyText"/>
      </w:pPr>
      <w:r>
        <w:rPr>
          <w:b/>
          <w:bCs/>
        </w:rPr>
        <w:t xml:space="preserve">Worked example (chargeback):</w:t>
      </w:r>
      <w:r>
        <w:t xml:space="preserve"> </w:t>
      </w:r>
      <w:r>
        <w:t xml:space="preserve">1.</w:t>
      </w:r>
      <w:r>
        <w:t xml:space="preserve"> </w:t>
      </w:r>
      <w:r>
        <w:rPr>
          <w:b/>
          <w:bCs/>
        </w:rPr>
        <w:t xml:space="preserve">1st line</w:t>
      </w:r>
      <w:r>
        <w:t xml:space="preserve"> </w:t>
      </w:r>
      <w:r>
        <w:t xml:space="preserve">— Operations runs the dispute workflow and records to ledger/audit log.</w:t>
      </w:r>
      <w:r>
        <w:t xml:space="preserve"> </w:t>
      </w:r>
      <w:r>
        <w:t xml:space="preserve">2.</w:t>
      </w:r>
      <w:r>
        <w:t xml:space="preserve"> </w:t>
      </w:r>
      <w:r>
        <w:rPr>
          <w:b/>
          <w:bCs/>
        </w:rPr>
        <w:t xml:space="preserve">2nd line</w:t>
      </w:r>
      <w:r>
        <w:t xml:space="preserve"> </w:t>
      </w:r>
      <w:r>
        <w:t xml:space="preserve">— Risk monitors the chargeback-ratio KRI against threshold; Compliance checks scheme/BOT alignment.</w:t>
      </w:r>
      <w:r>
        <w:t xml:space="preserve"> </w:t>
      </w:r>
      <w:r>
        <w:t xml:space="preserve">3.</w:t>
      </w:r>
      <w:r>
        <w:t xml:space="preserve"> </w:t>
      </w:r>
      <w:r>
        <w:rPr>
          <w:b/>
          <w:bCs/>
        </w:rPr>
        <w:t xml:space="preserve">3rd line</w:t>
      </w:r>
      <w:r>
        <w:t xml:space="preserve"> </w:t>
      </w:r>
      <w:r>
        <w:t xml:space="preserve">— Internal Audit samples historical disputes to confirm the process and controls operated correctly.</w:t>
      </w:r>
    </w:p>
    <w:p>
      <w:r>
        <w:pict>
          <v:rect style="width:0;height:1.5pt" o:hralign="center" o:hrstd="t" o:hr="t"/>
        </w:pict>
      </w:r>
    </w:p>
    <w:bookmarkEnd w:id="194"/>
    <w:bookmarkStart w:id="195" w:name="X0a93924d27cc00f926527fbbd51029cac8f7141"/>
    <w:p>
      <w:pPr>
        <w:pStyle w:val="Heading2"/>
      </w:pPr>
      <w:r>
        <w:t xml:space="preserve">5. Risk Appetite &amp; Key Risk Indicators (example thresholds)</w:t>
      </w:r>
    </w:p>
    <w:tbl>
      <w:tblPr>
        <w:tblStyle w:val="Table"/>
        <w:tblW w:type="pct" w:w="5000"/>
        <w:tblLayout w:type="fixed"/>
        <w:tblLook w:firstRow="1" w:lastRow="0" w:firstColumn="0" w:lastColumn="0" w:noHBand="0" w:noVBand="0" w:val="0020"/>
      </w:tblPr>
      <w:tblGrid>
        <w:gridCol w:w="942"/>
        <w:gridCol w:w="1320"/>
        <w:gridCol w:w="1320"/>
        <w:gridCol w:w="1320"/>
        <w:gridCol w:w="3017"/>
      </w:tblGrid>
      <w:tr>
        <w:trPr>
          <w:tblHeader w:val="on"/>
        </w:trPr>
        <w:tc>
          <w:tcPr/>
          <w:p>
            <w:pPr>
              <w:pStyle w:val="Compact"/>
            </w:pPr>
            <w:r>
              <w:t xml:space="preserve">KRI</w:t>
            </w:r>
          </w:p>
        </w:tc>
        <w:tc>
          <w:tcPr/>
          <w:p>
            <w:pPr>
              <w:pStyle w:val="Compact"/>
            </w:pPr>
            <w:r>
              <w:t xml:space="preserve">Owner</w:t>
            </w:r>
          </w:p>
        </w:tc>
        <w:tc>
          <w:tcPr/>
          <w:p>
            <w:pPr>
              <w:pStyle w:val="Compact"/>
            </w:pPr>
            <w:r>
              <w:t xml:space="preserve">Green</w:t>
            </w:r>
          </w:p>
        </w:tc>
        <w:tc>
          <w:tcPr/>
          <w:p>
            <w:pPr>
              <w:pStyle w:val="Compact"/>
            </w:pPr>
            <w:r>
              <w:t xml:space="preserve">Amber</w:t>
            </w:r>
          </w:p>
        </w:tc>
        <w:tc>
          <w:tcPr/>
          <w:p>
            <w:pPr>
              <w:pStyle w:val="Compact"/>
            </w:pPr>
            <w:r>
              <w:t xml:space="preserve">Red (escalate)</w:t>
            </w:r>
          </w:p>
        </w:tc>
      </w:tr>
      <w:tr>
        <w:tc>
          <w:tcPr/>
          <w:p>
            <w:pPr>
              <w:pStyle w:val="Compact"/>
            </w:pPr>
            <w:r>
              <w:t xml:space="preserve">Chargeback ratio</w:t>
            </w:r>
          </w:p>
        </w:tc>
        <w:tc>
          <w:tcPr/>
          <w:p>
            <w:pPr>
              <w:pStyle w:val="Compact"/>
            </w:pPr>
            <w:r>
              <w:t xml:space="preserve">CRO</w:t>
            </w:r>
          </w:p>
        </w:tc>
        <w:tc>
          <w:tcPr/>
          <w:p>
            <w:pPr>
              <w:pStyle w:val="Compact"/>
            </w:pPr>
            <w:r>
              <w:t xml:space="preserve">&lt; 0.5%</w:t>
            </w:r>
          </w:p>
        </w:tc>
        <w:tc>
          <w:tcPr/>
          <w:p>
            <w:pPr>
              <w:pStyle w:val="Compact"/>
            </w:pPr>
            <w:r>
              <w:t xml:space="preserve">0.5–0.9%</w:t>
            </w:r>
          </w:p>
        </w:tc>
        <w:tc>
          <w:tcPr/>
          <w:p>
            <w:pPr>
              <w:pStyle w:val="Compact"/>
            </w:pPr>
            <w:r>
              <w:t xml:space="preserve">≥ 0.9%</w:t>
            </w:r>
          </w:p>
        </w:tc>
      </w:tr>
      <w:tr>
        <w:tc>
          <w:tcPr/>
          <w:p>
            <w:pPr>
              <w:pStyle w:val="Compact"/>
            </w:pPr>
            <w:r>
              <w:t xml:space="preserve">Fraud rate (auth)</w:t>
            </w:r>
          </w:p>
        </w:tc>
        <w:tc>
          <w:tcPr/>
          <w:p>
            <w:pPr>
              <w:pStyle w:val="Compact"/>
            </w:pPr>
            <w:r>
              <w:t xml:space="preserve">CISO/CRO</w:t>
            </w:r>
          </w:p>
        </w:tc>
        <w:tc>
          <w:tcPr/>
          <w:p>
            <w:pPr>
              <w:pStyle w:val="Compact"/>
            </w:pPr>
            <w:r>
              <w:t xml:space="preserve">&lt; 0.1%</w:t>
            </w:r>
          </w:p>
        </w:tc>
        <w:tc>
          <w:tcPr/>
          <w:p>
            <w:pPr>
              <w:pStyle w:val="Compact"/>
            </w:pPr>
            <w:r>
              <w:t xml:space="preserve">0.1–0.2%</w:t>
            </w:r>
          </w:p>
        </w:tc>
        <w:tc>
          <w:tcPr/>
          <w:p>
            <w:pPr>
              <w:pStyle w:val="Compact"/>
            </w:pPr>
            <w:r>
              <w:t xml:space="preserve">≥ 0.2%</w:t>
            </w:r>
          </w:p>
        </w:tc>
      </w:tr>
      <w:tr>
        <w:tc>
          <w:tcPr/>
          <w:p>
            <w:pPr>
              <w:pStyle w:val="Compact"/>
            </w:pPr>
            <w:r>
              <w:t xml:space="preserve">Authorization success rate</w:t>
            </w:r>
          </w:p>
        </w:tc>
        <w:tc>
          <w:tcPr/>
          <w:p>
            <w:pPr>
              <w:pStyle w:val="Compact"/>
            </w:pPr>
            <w:r>
              <w:t xml:space="preserve">Head of Ops</w:t>
            </w:r>
          </w:p>
        </w:tc>
        <w:tc>
          <w:tcPr/>
          <w:p>
            <w:pPr>
              <w:pStyle w:val="Compact"/>
            </w:pPr>
            <w:r>
              <w:t xml:space="preserve">&gt; 95%</w:t>
            </w:r>
          </w:p>
        </w:tc>
        <w:tc>
          <w:tcPr/>
          <w:p>
            <w:pPr>
              <w:pStyle w:val="Compact"/>
            </w:pPr>
            <w:r>
              <w:t xml:space="preserve">90–95%</w:t>
            </w:r>
          </w:p>
        </w:tc>
        <w:tc>
          <w:tcPr/>
          <w:p>
            <w:pPr>
              <w:pStyle w:val="Compact"/>
            </w:pPr>
            <w:r>
              <w:t xml:space="preserve">&lt; 90%</w:t>
            </w:r>
          </w:p>
        </w:tc>
      </w:tr>
      <w:tr>
        <w:tc>
          <w:tcPr/>
          <w:p>
            <w:pPr>
              <w:pStyle w:val="Compact"/>
            </w:pPr>
            <w:r>
              <w:t xml:space="preserve">Reconciliation breaks (T+1 unmatched)</w:t>
            </w:r>
          </w:p>
        </w:tc>
        <w:tc>
          <w:tcPr/>
          <w:p>
            <w:pPr>
              <w:pStyle w:val="Compact"/>
            </w:pPr>
            <w:r>
              <w:t xml:space="preserve">CFO/CRO</w:t>
            </w:r>
          </w:p>
        </w:tc>
        <w:tc>
          <w:tcPr/>
          <w:p>
            <w:pPr>
              <w:pStyle w:val="Compact"/>
            </w:pPr>
            <w:r>
              <w:t xml:space="preserve">0 items</w:t>
            </w:r>
          </w:p>
        </w:tc>
        <w:tc>
          <w:tcPr/>
          <w:p>
            <w:pPr>
              <w:pStyle w:val="Compact"/>
            </w:pPr>
            <w:r>
              <w:t xml:space="preserve">1–5 items</w:t>
            </w:r>
          </w:p>
        </w:tc>
        <w:tc>
          <w:tcPr/>
          <w:p>
            <w:pPr>
              <w:pStyle w:val="Compact"/>
            </w:pPr>
            <w:r>
              <w:t xml:space="preserve">&gt; 5 or aging &gt; 48h</w:t>
            </w:r>
          </w:p>
        </w:tc>
      </w:tr>
      <w:tr>
        <w:tc>
          <w:tcPr/>
          <w:p>
            <w:pPr>
              <w:pStyle w:val="Compact"/>
            </w:pPr>
            <w:r>
              <w:t xml:space="preserve">Critical security patch SLA</w:t>
            </w:r>
          </w:p>
        </w:tc>
        <w:tc>
          <w:tcPr/>
          <w:p>
            <w:pPr>
              <w:pStyle w:val="Compact"/>
            </w:pPr>
            <w:r>
              <w:t xml:space="preserve">CISO</w:t>
            </w:r>
          </w:p>
        </w:tc>
        <w:tc>
          <w:tcPr/>
          <w:p>
            <w:pPr>
              <w:pStyle w:val="Compact"/>
            </w:pPr>
            <w:r>
              <w:t xml:space="preserve">within 14 days</w:t>
            </w:r>
          </w:p>
        </w:tc>
        <w:tc>
          <w:tcPr/>
          <w:p>
            <w:pPr>
              <w:pStyle w:val="Compact"/>
            </w:pPr>
            <w:r>
              <w:t xml:space="preserve">15–30 days</w:t>
            </w:r>
          </w:p>
        </w:tc>
        <w:tc>
          <w:tcPr/>
          <w:p>
            <w:pPr>
              <w:pStyle w:val="Compact"/>
            </w:pPr>
            <w:r>
              <w:t xml:space="preserve">&gt; 30 days</w:t>
            </w:r>
          </w:p>
        </w:tc>
      </w:tr>
      <w:tr>
        <w:tc>
          <w:tcPr/>
          <w:p>
            <w:pPr>
              <w:pStyle w:val="Compact"/>
            </w:pPr>
            <w:r>
              <w:t xml:space="preserve">Payment core availability</w:t>
            </w:r>
          </w:p>
        </w:tc>
        <w:tc>
          <w:tcPr/>
          <w:p>
            <w:pPr>
              <w:pStyle w:val="Compact"/>
            </w:pPr>
            <w:r>
              <w:t xml:space="preserve">Head of Ops</w:t>
            </w:r>
          </w:p>
        </w:tc>
        <w:tc>
          <w:tcPr/>
          <w:p>
            <w:pPr>
              <w:pStyle w:val="Compact"/>
            </w:pPr>
            <w:r>
              <w:t xml:space="preserve">≥ 99.95%</w:t>
            </w:r>
          </w:p>
        </w:tc>
        <w:tc>
          <w:tcPr/>
          <w:p>
            <w:pPr>
              <w:pStyle w:val="Compact"/>
            </w:pPr>
            <w:r>
              <w:t xml:space="preserve">99.9–99.95%</w:t>
            </w:r>
          </w:p>
        </w:tc>
        <w:tc>
          <w:tcPr/>
          <w:p>
            <w:pPr>
              <w:pStyle w:val="Compact"/>
            </w:pPr>
            <w:r>
              <w:t xml:space="preserve">&lt; 99.9%</w:t>
            </w:r>
          </w:p>
        </w:tc>
      </w:tr>
      <w:tr>
        <w:tc>
          <w:tcPr/>
          <w:p>
            <w:pPr>
              <w:pStyle w:val="Compact"/>
            </w:pPr>
            <w:r>
              <w:t xml:space="preserve">Capital maintained (% of paid-up)</w:t>
            </w:r>
          </w:p>
        </w:tc>
        <w:tc>
          <w:tcPr/>
          <w:p>
            <w:pPr>
              <w:pStyle w:val="Compact"/>
            </w:pPr>
            <w:r>
              <w:t xml:space="preserve">CFO</w:t>
            </w:r>
          </w:p>
        </w:tc>
        <w:tc>
          <w:tcPr/>
          <w:p>
            <w:pPr>
              <w:pStyle w:val="Compact"/>
            </w:pPr>
            <w:r>
              <w:t xml:space="preserve">≥ 90%</w:t>
            </w:r>
          </w:p>
        </w:tc>
        <w:tc>
          <w:tcPr/>
          <w:p>
            <w:pPr>
              <w:pStyle w:val="Compact"/>
            </w:pPr>
            <w:r>
              <w:t xml:space="preserve">75–90%</w:t>
            </w:r>
          </w:p>
        </w:tc>
        <w:tc>
          <w:tcPr/>
          <w:p>
            <w:pPr>
              <w:pStyle w:val="Compact"/>
            </w:pPr>
            <w:r>
              <w:t xml:space="preserve">&lt; 75% (BOT breach)</w:t>
            </w:r>
          </w:p>
        </w:tc>
      </w:tr>
    </w:tbl>
    <w:p>
      <w:pPr>
        <w:pStyle w:val="BlockText"/>
      </w:pPr>
      <w:r>
        <w:t xml:space="preserve">Amber → report to the Risk Committee at the next meeting; Red → escalate immediately to the CEO and the relevant board sub-committee chair.</w:t>
      </w:r>
    </w:p>
    <w:p>
      <w:r>
        <w:pict>
          <v:rect style="width:0;height:1.5pt" o:hralign="center" o:hrstd="t" o:hr="t"/>
        </w:pict>
      </w:r>
    </w:p>
    <w:bookmarkEnd w:id="195"/>
    <w:bookmarkStart w:id="196" w:name="incident-reporting-escalation"/>
    <w:p>
      <w:pPr>
        <w:pStyle w:val="Heading2"/>
      </w:pPr>
      <w:r>
        <w:t xml:space="preserve">6. Incident Reporting &amp; Escalation</w:t>
      </w:r>
    </w:p>
    <w:tbl>
      <w:tblPr>
        <w:tblStyle w:val="Table"/>
        <w:tblW w:type="pct" w:w="5000"/>
        <w:tblLayout w:type="fixed"/>
        <w:tblLook w:firstRow="1" w:lastRow="0" w:firstColumn="0" w:lastColumn="0" w:noHBand="0" w:noVBand="0" w:val="0020"/>
      </w:tblPr>
      <w:tblGrid>
        <w:gridCol w:w="1885"/>
        <w:gridCol w:w="880"/>
        <w:gridCol w:w="2640"/>
        <w:gridCol w:w="2514"/>
      </w:tblGrid>
      <w:tr>
        <w:trPr>
          <w:tblHeader w:val="on"/>
        </w:trPr>
        <w:tc>
          <w:tcPr/>
          <w:p>
            <w:pPr>
              <w:pStyle w:val="Compact"/>
            </w:pPr>
            <w:r>
              <w:t xml:space="preserve">Incident type</w:t>
            </w:r>
          </w:p>
        </w:tc>
        <w:tc>
          <w:tcPr/>
          <w:p>
            <w:pPr>
              <w:pStyle w:val="Compact"/>
            </w:pPr>
            <w:r>
              <w:t xml:space="preserve">Owner</w:t>
            </w:r>
          </w:p>
        </w:tc>
        <w:tc>
          <w:tcPr/>
          <w:p>
            <w:pPr>
              <w:pStyle w:val="Compact"/>
            </w:pPr>
            <w:r>
              <w:t xml:space="preserve">Internal escalation</w:t>
            </w:r>
          </w:p>
        </w:tc>
        <w:tc>
          <w:tcPr/>
          <w:p>
            <w:pPr>
              <w:pStyle w:val="Compact"/>
            </w:pPr>
            <w:r>
              <w:t xml:space="preserve">External reporting</w:t>
            </w:r>
          </w:p>
        </w:tc>
      </w:tr>
      <w:tr>
        <w:tc>
          <w:tcPr/>
          <w:p>
            <w:pPr>
              <w:pStyle w:val="Compact"/>
            </w:pPr>
            <w:r>
              <w:t xml:space="preserve">Security/data breach (cardholder/personal data)</w:t>
            </w:r>
          </w:p>
        </w:tc>
        <w:tc>
          <w:tcPr/>
          <w:p>
            <w:pPr>
              <w:pStyle w:val="Compact"/>
            </w:pPr>
            <w:r>
              <w:t xml:space="preserve">CISO → CEO/Board</w:t>
            </w:r>
          </w:p>
        </w:tc>
        <w:tc>
          <w:tcPr/>
          <w:p>
            <w:pPr>
              <w:pStyle w:val="Compact"/>
            </w:pPr>
            <w:r>
              <w:t xml:space="preserve">within 1h (internal)</w:t>
            </w:r>
          </w:p>
        </w:tc>
        <w:tc>
          <w:tcPr/>
          <w:p>
            <w:pPr>
              <w:pStyle w:val="Compact"/>
            </w:pPr>
            <w:r>
              <w:t xml:space="preserve">BOT per cyber notification; PDPC within</w:t>
            </w:r>
            <w:r>
              <w:t xml:space="preserve"> </w:t>
            </w:r>
            <w:r>
              <w:rPr>
                <w:b/>
                <w:bCs/>
              </w:rPr>
              <w:t xml:space="preserve">72h</w:t>
            </w:r>
            <w:r>
              <w:t xml:space="preserve"> </w:t>
            </w:r>
            <w:r>
              <w:t xml:space="preserve">(PDPA); card scheme per PFI process</w:t>
            </w:r>
          </w:p>
        </w:tc>
      </w:tr>
      <w:tr>
        <w:tc>
          <w:tcPr/>
          <w:p>
            <w:pPr>
              <w:pStyle w:val="Compact"/>
            </w:pPr>
            <w:r>
              <w:t xml:space="preserve">Major service outage</w:t>
            </w:r>
          </w:p>
        </w:tc>
        <w:tc>
          <w:tcPr/>
          <w:p>
            <w:pPr>
              <w:pStyle w:val="Compact"/>
            </w:pPr>
            <w:r>
              <w:t xml:space="preserve">Head of Ops → CRO/CEO</w:t>
            </w:r>
          </w:p>
        </w:tc>
        <w:tc>
          <w:tcPr/>
          <w:p>
            <w:pPr>
              <w:pStyle w:val="Compact"/>
            </w:pPr>
            <w:r>
              <w:t xml:space="preserve">within 1h</w:t>
            </w:r>
          </w:p>
        </w:tc>
        <w:tc>
          <w:tcPr/>
          <w:p>
            <w:pPr>
              <w:pStyle w:val="Compact"/>
            </w:pPr>
            <w:r>
              <w:t xml:space="preserve">BOT per significant-incident reporting criteria</w:t>
            </w:r>
          </w:p>
        </w:tc>
      </w:tr>
      <w:tr>
        <w:tc>
          <w:tcPr/>
          <w:p>
            <w:pPr>
              <w:pStyle w:val="Compact"/>
            </w:pPr>
            <w:r>
              <w:t xml:space="preserve">Suspicious transaction (AML)</w:t>
            </w:r>
          </w:p>
        </w:tc>
        <w:tc>
          <w:tcPr/>
          <w:p>
            <w:pPr>
              <w:pStyle w:val="Compact"/>
            </w:pPr>
            <w:r>
              <w:t xml:space="preserve">MLRO</w:t>
            </w:r>
          </w:p>
        </w:tc>
        <w:tc>
          <w:tcPr/>
          <w:p>
            <w:pPr>
              <w:pStyle w:val="Compact"/>
            </w:pPr>
            <w:r>
              <w:t xml:space="preserve">immediately on detection</w:t>
            </w:r>
          </w:p>
        </w:tc>
        <w:tc>
          <w:tcPr/>
          <w:p>
            <w:pPr>
              <w:pStyle w:val="Compact"/>
            </w:pPr>
            <w:r>
              <w:t xml:space="preserve">AMLO (STR/SAR) within statutory timeframe</w:t>
            </w:r>
          </w:p>
        </w:tc>
      </w:tr>
      <w:tr>
        <w:tc>
          <w:tcPr/>
          <w:p>
            <w:pPr>
              <w:pStyle w:val="Compact"/>
            </w:pPr>
            <w:r>
              <w:t xml:space="preserve">High-severity audit finding</w:t>
            </w:r>
          </w:p>
        </w:tc>
        <w:tc>
          <w:tcPr/>
          <w:p>
            <w:pPr>
              <w:pStyle w:val="Compact"/>
            </w:pPr>
            <w:r>
              <w:t xml:space="preserve">CAE → Audit Committee</w:t>
            </w:r>
          </w:p>
        </w:tc>
        <w:tc>
          <w:tcPr/>
          <w:p>
            <w:pPr>
              <w:pStyle w:val="Compact"/>
            </w:pPr>
            <w:r>
              <w:t xml:space="preserve">next meeting / immediately if critical</w:t>
            </w:r>
          </w:p>
        </w:tc>
        <w:tc>
          <w:tcPr/>
          <w:p>
            <w:pPr>
              <w:pStyle w:val="Compact"/>
            </w:pPr>
            <w:r>
              <w:t xml:space="preserve">—</w:t>
            </w:r>
          </w:p>
        </w:tc>
      </w:tr>
    </w:tbl>
    <w:p>
      <w:r>
        <w:pict>
          <v:rect style="width:0;height:1.5pt" o:hralign="center" o:hrstd="t" o:hr="t"/>
        </w:pict>
      </w:r>
    </w:p>
    <w:bookmarkEnd w:id="196"/>
    <w:bookmarkStart w:id="197" w:name="governance-cadence"/>
    <w:p>
      <w:pPr>
        <w:pStyle w:val="Heading2"/>
      </w:pPr>
      <w:r>
        <w:t xml:space="preserve">7. Governance Cadence</w:t>
      </w:r>
    </w:p>
    <w:tbl>
      <w:tblPr>
        <w:tblStyle w:val="Table"/>
        <w:tblW w:type="pct" w:w="5000"/>
        <w:tblLayout w:type="fixed"/>
        <w:tblLook w:firstRow="1" w:lastRow="0" w:firstColumn="0" w:lastColumn="0" w:noHBand="0" w:noVBand="0" w:val="0020"/>
      </w:tblPr>
      <w:tblGrid>
        <w:gridCol w:w="1980"/>
        <w:gridCol w:w="3630"/>
        <w:gridCol w:w="2310"/>
      </w:tblGrid>
      <w:tr>
        <w:trPr>
          <w:tblHeader w:val="on"/>
        </w:trPr>
        <w:tc>
          <w:tcPr/>
          <w:p>
            <w:pPr>
              <w:pStyle w:val="Compact"/>
            </w:pPr>
            <w:r>
              <w:t xml:space="preserve">Body</w:t>
            </w:r>
          </w:p>
        </w:tc>
        <w:tc>
          <w:tcPr/>
          <w:p>
            <w:pPr>
              <w:pStyle w:val="Compact"/>
            </w:pPr>
            <w:r>
              <w:t xml:space="preserve">Frequency</w:t>
            </w:r>
          </w:p>
        </w:tc>
        <w:tc>
          <w:tcPr/>
          <w:p>
            <w:pPr>
              <w:pStyle w:val="Compact"/>
            </w:pPr>
            <w:r>
              <w:t xml:space="preserve">Focus</w:t>
            </w:r>
          </w:p>
        </w:tc>
      </w:tr>
      <w:tr>
        <w:tc>
          <w:tcPr/>
          <w:p>
            <w:pPr>
              <w:pStyle w:val="Compact"/>
            </w:pPr>
            <w:r>
              <w:t xml:space="preserve">Board of Directors</w:t>
            </w:r>
          </w:p>
        </w:tc>
        <w:tc>
          <w:tcPr/>
          <w:p>
            <w:pPr>
              <w:pStyle w:val="Compact"/>
            </w:pPr>
            <w:r>
              <w:t xml:space="preserve">at least quarterly</w:t>
            </w:r>
          </w:p>
        </w:tc>
        <w:tc>
          <w:tcPr/>
          <w:p>
            <w:pPr>
              <w:pStyle w:val="Compact"/>
            </w:pPr>
            <w:r>
              <w:t xml:space="preserve">Approve policy; receive risk/compliance/audit reports</w:t>
            </w:r>
          </w:p>
        </w:tc>
      </w:tr>
      <w:tr>
        <w:tc>
          <w:tcPr/>
          <w:p>
            <w:pPr>
              <w:pStyle w:val="Compact"/>
            </w:pPr>
            <w:r>
              <w:t xml:space="preserve">Audit Committee</w:t>
            </w:r>
          </w:p>
        </w:tc>
        <w:tc>
          <w:tcPr/>
          <w:p>
            <w:pPr>
              <w:pStyle w:val="Compact"/>
            </w:pPr>
            <w:r>
              <w:t xml:space="preserve">quarterly</w:t>
            </w:r>
          </w:p>
        </w:tc>
        <w:tc>
          <w:tcPr/>
          <w:p>
            <w:pPr>
              <w:pStyle w:val="Compact"/>
            </w:pPr>
            <w:r>
              <w:t xml:space="preserve">Audit findings, remediation, audit budget</w:t>
            </w:r>
          </w:p>
        </w:tc>
      </w:tr>
      <w:tr>
        <w:tc>
          <w:tcPr/>
          <w:p>
            <w:pPr>
              <w:pStyle w:val="Compact"/>
            </w:pPr>
            <w:r>
              <w:t xml:space="preserve">Risk Committee</w:t>
            </w:r>
          </w:p>
        </w:tc>
        <w:tc>
          <w:tcPr/>
          <w:p>
            <w:pPr>
              <w:pStyle w:val="Compact"/>
            </w:pPr>
            <w:r>
              <w:t xml:space="preserve">monthly</w:t>
            </w:r>
          </w:p>
        </w:tc>
        <w:tc>
          <w:tcPr/>
          <w:p>
            <w:pPr>
              <w:pStyle w:val="Compact"/>
            </w:pPr>
            <w:r>
              <w:t xml:space="preserve">KRI dashboard, risk appetite, incidents</w:t>
            </w:r>
          </w:p>
        </w:tc>
      </w:tr>
      <w:tr>
        <w:tc>
          <w:tcPr/>
          <w:p>
            <w:pPr>
              <w:pStyle w:val="Compact"/>
            </w:pPr>
            <w:r>
              <w:t xml:space="preserve">Cyber/IT Steering Committee</w:t>
            </w:r>
          </w:p>
        </w:tc>
        <w:tc>
          <w:tcPr/>
          <w:p>
            <w:pPr>
              <w:pStyle w:val="Compact"/>
            </w:pPr>
            <w:r>
              <w:t xml:space="preserve">monthly</w:t>
            </w:r>
          </w:p>
        </w:tc>
        <w:tc>
          <w:tcPr/>
          <w:p>
            <w:pPr>
              <w:pStyle w:val="Compact"/>
            </w:pPr>
            <w:r>
              <w:t xml:space="preserve">PCI status, security posture, patch/vuln</w:t>
            </w:r>
          </w:p>
        </w:tc>
      </w:tr>
      <w:tr>
        <w:tc>
          <w:tcPr/>
          <w:p>
            <w:pPr>
              <w:pStyle w:val="Compact"/>
            </w:pPr>
            <w:r>
              <w:t xml:space="preserve">AML Committee</w:t>
            </w:r>
          </w:p>
        </w:tc>
        <w:tc>
          <w:tcPr/>
          <w:p>
            <w:pPr>
              <w:pStyle w:val="Compact"/>
            </w:pPr>
            <w:r>
              <w:t xml:space="preserve">quarterly</w:t>
            </w:r>
          </w:p>
        </w:tc>
        <w:tc>
          <w:tcPr/>
          <w:p>
            <w:pPr>
              <w:pStyle w:val="Compact"/>
            </w:pPr>
            <w:r>
              <w:t xml:space="preserve">STR/CTR trends, screening effectiveness</w:t>
            </w:r>
          </w:p>
        </w:tc>
      </w:tr>
      <w:tr>
        <w:tc>
          <w:tcPr/>
          <w:p>
            <w:pPr>
              <w:pStyle w:val="Compact"/>
            </w:pPr>
            <w:r>
              <w:t xml:space="preserve">Management Risk &amp; Control Forum</w:t>
            </w:r>
          </w:p>
        </w:tc>
        <w:tc>
          <w:tcPr/>
          <w:p>
            <w:pPr>
              <w:pStyle w:val="Compact"/>
            </w:pPr>
            <w:r>
              <w:t xml:space="preserve">weekly</w:t>
            </w:r>
          </w:p>
        </w:tc>
        <w:tc>
          <w:tcPr/>
          <w:p>
            <w:pPr>
              <w:pStyle w:val="Compact"/>
            </w:pPr>
            <w:r>
              <w:t xml:space="preserve">Operational incidents, Amber/Red KRIs</w:t>
            </w:r>
          </w:p>
        </w:tc>
      </w:tr>
    </w:tbl>
    <w:p>
      <w:r>
        <w:pict>
          <v:rect style="width:0;height:1.5pt" o:hralign="center" o:hrstd="t" o:hr="t"/>
        </w:pict>
      </w:r>
    </w:p>
    <w:bookmarkEnd w:id="197"/>
    <w:bookmarkStart w:id="198" w:name="cross-reference"/>
    <w:p>
      <w:pPr>
        <w:pStyle w:val="Heading2"/>
      </w:pPr>
      <w:r>
        <w:t xml:space="preserve">8. Cross-reference</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Topic</w:t>
            </w:r>
          </w:p>
        </w:tc>
        <w:tc>
          <w:tcPr/>
          <w:p>
            <w:pPr>
              <w:pStyle w:val="Compact"/>
            </w:pPr>
            <w:r>
              <w:t xml:space="preserve">Document</w:t>
            </w:r>
          </w:p>
        </w:tc>
      </w:tr>
      <w:tr>
        <w:tc>
          <w:tcPr/>
          <w:p>
            <w:pPr>
              <w:pStyle w:val="Compact"/>
            </w:pPr>
            <w:r>
              <w:t xml:space="preserve">License categories, capital, application steps</w:t>
            </w:r>
          </w:p>
        </w:tc>
        <w:tc>
          <w:tcPr/>
          <w:p>
            <w:pPr>
              <w:pStyle w:val="Compact"/>
            </w:pPr>
            <w:r>
              <w:rPr>
                <w:rStyle w:val="VerbatimChar"/>
              </w:rPr>
              <w:t xml:space="preserve">../COMPLIANCE-TH.md</w:t>
            </w:r>
          </w:p>
        </w:tc>
      </w:tr>
      <w:tr>
        <w:tc>
          <w:tcPr/>
          <w:p>
            <w:pPr>
              <w:pStyle w:val="Compact"/>
            </w:pPr>
            <w:r>
              <w:t xml:space="preserve">System architecture, PCI scope, NFR (RPO/RTO/availability)</w:t>
            </w:r>
          </w:p>
        </w:tc>
        <w:tc>
          <w:tcPr/>
          <w:p>
            <w:pPr>
              <w:pStyle w:val="Compact"/>
            </w:pPr>
            <w:r>
              <w:rPr>
                <w:rStyle w:val="VerbatimChar"/>
              </w:rPr>
              <w:t xml:space="preserve">../ARCHITECTURE.md</w:t>
            </w:r>
          </w:p>
        </w:tc>
      </w:tr>
      <w:tr>
        <w:tc>
          <w:tcPr/>
          <w:p>
            <w:pPr>
              <w:pStyle w:val="Compact"/>
            </w:pPr>
            <w:r>
              <w:t xml:space="preserve">Phases, timeline, team, cost</w:t>
            </w:r>
          </w:p>
        </w:tc>
        <w:tc>
          <w:tcPr/>
          <w:p>
            <w:pPr>
              <w:pStyle w:val="Compact"/>
            </w:pPr>
            <w:r>
              <w:rPr>
                <w:rStyle w:val="VerbatimChar"/>
              </w:rPr>
              <w:t xml:space="preserve">../ROADMAP.md</w:t>
            </w:r>
          </w:p>
        </w:tc>
      </w:tr>
    </w:tbl>
    <w:p>
      <w:r>
        <w:br w:type="page"/>
      </w:r>
    </w:p>
    <w:bookmarkEnd w:id="198"/>
    <w:bookmarkEnd w:id="199"/>
    <w:bookmarkStart w:id="218" w:name="นโยบาย-amlkyccdd-ไทย"/>
    <w:p>
      <w:pPr>
        <w:pStyle w:val="Heading1"/>
      </w:pPr>
      <w:r>
        <w:t xml:space="preserve">นโยบาย AML/KYC/CDD (ไทย)</w:t>
      </w:r>
    </w:p>
    <w:p>
      <w:pPr>
        <w:pStyle w:val="BlockText"/>
      </w:pPr>
      <w:r>
        <w:t xml:space="preserve">เอกสารเลขที่</w:t>
      </w:r>
      <w:r>
        <w:t xml:space="preserve"> </w:t>
      </w:r>
      <w:r>
        <w:rPr>
          <w:b/>
          <w:bCs/>
        </w:rPr>
        <w:t xml:space="preserve">05</w:t>
      </w:r>
      <w:r>
        <w:t xml:space="preserve"> </w:t>
      </w:r>
      <w:r>
        <w:t xml:space="preserve">ในชุดเอกสาร Compliance สำหรับการยื่นขอใบอนุญาต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และคู่ขนานกับ</w:t>
      </w:r>
      <w:r>
        <w:t xml:space="preserve"> </w:t>
      </w:r>
      <w:r>
        <w:rPr>
          <w:b/>
          <w:bCs/>
        </w:rPr>
        <w:t xml:space="preserve">PCI-DSS Level 1</w:t>
      </w:r>
    </w:p>
    <w:p>
      <w:pPr>
        <w:pStyle w:val="BlockText"/>
      </w:pPr>
      <w:r>
        <w:rPr>
          <w:b/>
          <w:bCs/>
        </w:rPr>
        <w:t xml:space="preserve">สถานะเอกสาร:</w:t>
      </w:r>
      <w:r>
        <w:t xml:space="preserve"> </w:t>
      </w:r>
      <w:r>
        <w:t xml:space="preserve">ฉบับร่างเพื่อยื่นขออนุมัติ (submission draft) · เวอร์ชัน 0.1 · วันที่ปรับปรุง 2026-07-22</w:t>
      </w:r>
      <w:r>
        <w:t xml:space="preserve"> </w:t>
      </w:r>
      <w:r>
        <w:rPr>
          <w:b/>
          <w:bCs/>
        </w:rPr>
        <w:t xml:space="preserve">เจ้าของเอกสาร:</w:t>
      </w:r>
      <w:r>
        <w:t xml:space="preserve"> </w:t>
      </w:r>
      <w:r>
        <w:t xml:space="preserve">เจ้าหน้าที่กำกับดูแลการปฏิบัติงานและป้องกันการฟอกเงิน (Compliance &amp; MLRO) ของ</w:t>
      </w:r>
      <w:r>
        <w:t xml:space="preserve"> </w:t>
      </w:r>
      <w:r>
        <w:rPr>
          <w:b/>
          <w:bCs/>
        </w:rPr>
        <w:t xml:space="preserve">[บริษัท / Company]</w:t>
      </w:r>
    </w:p>
    <w:p>
      <w:pPr>
        <w:pStyle w:val="BlockText"/>
      </w:pPr>
      <w:r>
        <w:t xml:space="preserve">เอกสารนี้เป็นนโยบายภายในและเอกสารประกอบคำขอใบอนุญาต</w:t>
      </w:r>
      <w:r>
        <w:t xml:space="preserve"> </w:t>
      </w:r>
      <w:r>
        <w:rPr>
          <w:b/>
          <w:bCs/>
        </w:rPr>
        <w:t xml:space="preserve">มิใช่คำแนะนำทางกฎหมาย</w:t>
      </w:r>
      <w:r>
        <w:t xml:space="preserve"> </w:t>
      </w:r>
      <w:r>
        <w:t xml:space="preserve">— ต้องผ่านการตรวจทานโดยที่ปรึกษากฎหมายและ MLRO ก่อนบังคับใช้จริง เนื่องจากประกาศ/หลักเกณฑ์ของ ปปง. และ ธปท. อาจปรับปรุงได้</w:t>
      </w:r>
    </w:p>
    <w:p>
      <w:r>
        <w:pict>
          <v:rect style="width:0;height:1.5pt" o:hralign="center" o:hrstd="t" o:hr="t"/>
        </w:pict>
      </w:r>
    </w:p>
    <w:bookmarkStart w:id="200" w:name="บทสรปสำหรบผบรหาร-executive-summary"/>
    <w:p>
      <w:pPr>
        <w:pStyle w:val="Heading2"/>
      </w:pPr>
      <w:r>
        <w:t xml:space="preserve">บทสรุปสำหรับผู้บริหาร (Executive Summary)</w:t>
      </w:r>
    </w:p>
    <w:p>
      <w:pPr>
        <w:pStyle w:val="FirstParagraph"/>
      </w:pPr>
      <w:r>
        <w:t xml:space="preserve">[บริษัท / Company] ในฐานะผู้ให้บริการรับชำระเงินด้วยบัตร (acquiring payment gateway) มีหน้าที่ตามกฎหมายในฐานะ</w:t>
      </w:r>
      <w:r>
        <w:t xml:space="preserve"> </w:t>
      </w:r>
      <w:r>
        <w:rPr>
          <w:b/>
          <w:bCs/>
        </w:rPr>
        <w:t xml:space="preserve">“สถาบันการเงิน”</w:t>
      </w:r>
      <w:r>
        <w:rPr>
          <w:b/>
          <w:bCs/>
        </w:rPr>
        <w:t xml:space="preserve"> </w:t>
      </w:r>
      <w:r>
        <w:rPr>
          <w:b/>
          <w:bCs/>
        </w:rPr>
        <w:t xml:space="preserve">ตาม พ.ร.บ. ป้องกันและปราบปรามการฟอกเงิน พ.ศ. 2542 และที่แก้ไขเพิ่มเติม</w:t>
      </w:r>
      <w:r>
        <w:t xml:space="preserve"> </w:t>
      </w:r>
      <w:r>
        <w:t xml:space="preserve">และในฐานะ</w:t>
      </w:r>
      <w:r>
        <w:t xml:space="preserve"> </w:t>
      </w:r>
      <w:r>
        <w:rPr>
          <w:b/>
          <w:bCs/>
        </w:rPr>
        <w:t xml:space="preserve">ผู้ได้รับใบอนุญาตประกอบธุรกิจบริการการชำระเงินภายใต้การกำกับของ ธปท.</w:t>
      </w:r>
      <w:r>
        <w:t xml:space="preserve"> </w:t>
      </w:r>
      <w:r>
        <w:t xml:space="preserve">นโยบายฉบับนี้กำหนดกรอบการบริหารความเสี่ยงด้านการฟอกเงิน (ML) และการสนับสนุนทางการเงินแก่การก่อการร้ายและการแพร่ขยายอาวุธที่มีอานุภาพทำลายล้างสูง (TF/PF) ครอบคลุม:</w:t>
      </w:r>
    </w:p>
    <w:p>
      <w:pPr>
        <w:pStyle w:val="Compact"/>
        <w:numPr>
          <w:ilvl w:val="0"/>
          <w:numId w:val="1061"/>
        </w:numPr>
      </w:pPr>
      <w:r>
        <w:t xml:space="preserve">การรู้จักลูกค้า (KYC) และการตรวจสอบเพื่อทราบข้อเท็จจริงเกี่ยวกับลูกค้า (CDD) ในการรับผู้ค้า (merchant onboarding)</w:t>
      </w:r>
    </w:p>
    <w:p>
      <w:pPr>
        <w:pStyle w:val="Compact"/>
        <w:numPr>
          <w:ilvl w:val="0"/>
          <w:numId w:val="1061"/>
        </w:numPr>
      </w:pPr>
      <w:r>
        <w:t xml:space="preserve">การตรวจสอบเข้มข้น (EDD) สำหรับลูกค้า/ธุรกรรมความเสี่ยงสูง</w:t>
      </w:r>
    </w:p>
    <w:p>
      <w:pPr>
        <w:pStyle w:val="Compact"/>
        <w:numPr>
          <w:ilvl w:val="0"/>
          <w:numId w:val="1061"/>
        </w:numPr>
      </w:pPr>
      <w:r>
        <w:t xml:space="preserve">การเฝ้าระวังธุรกรรมต่อเนื่อง (ongoing monitoring) และการรายงานธุรกรรมต่อ ปปง.</w:t>
      </w:r>
    </w:p>
    <w:p>
      <w:pPr>
        <w:pStyle w:val="Compact"/>
        <w:numPr>
          <w:ilvl w:val="0"/>
          <w:numId w:val="1061"/>
        </w:numPr>
      </w:pPr>
      <w:r>
        <w:t xml:space="preserve">การเก็บรักษาบันทึกและเอกสาร (record keeping)</w:t>
      </w:r>
    </w:p>
    <w:p>
      <w:pPr>
        <w:pStyle w:val="Compact"/>
        <w:numPr>
          <w:ilvl w:val="0"/>
          <w:numId w:val="1061"/>
        </w:numPr>
      </w:pPr>
      <w:r>
        <w:t xml:space="preserve">บทบาทหน้าที่ กำกับดูแล และการฝึกอบรม</w:t>
      </w:r>
    </w:p>
    <w:p>
      <w:pPr>
        <w:pStyle w:val="BlockText"/>
      </w:pPr>
      <w:r>
        <w:rPr>
          <w:b/>
          <w:bCs/>
        </w:rPr>
        <w:t xml:space="preserve">ขอบเขตลูกค้า:</w:t>
      </w:r>
      <w:r>
        <w:t xml:space="preserve"> </w:t>
      </w:r>
      <w:r>
        <w:t xml:space="preserve">ลูกค้าหลักของ [บริษัท / Company] คือ</w:t>
      </w:r>
      <w:r>
        <w:t xml:space="preserve"> </w:t>
      </w:r>
      <w:r>
        <w:rPr>
          <w:b/>
          <w:bCs/>
        </w:rPr>
        <w:t xml:space="preserve">ผู้ค้า (merchants)</w:t>
      </w:r>
      <w:r>
        <w:t xml:space="preserve"> </w:t>
      </w:r>
      <w:r>
        <w:t xml:space="preserve">ที่รับชำระเงินผ่านเรา ไม่ใช่ผู้ถือบัตรปลายทาง (cardholder) โดยตรง อย่างไรก็ดี เรามีหน้าที่เฝ้าระวังพฤติกรรมธุรกรรมของผู้ถือบัตรที่ไหลผ่านผู้ค้า (transaction laundering / merchant-based money laundering) ด้วย</w:t>
      </w:r>
    </w:p>
    <w:p>
      <w:r>
        <w:pict>
          <v:rect style="width:0;height:1.5pt" o:hralign="center" o:hrstd="t" o:hr="t"/>
        </w:pict>
      </w:r>
    </w:p>
    <w:bookmarkEnd w:id="200"/>
    <w:bookmarkStart w:id="201" w:name="ฐานกฎหมายและมาตรฐานอางอง"/>
    <w:p>
      <w:pPr>
        <w:pStyle w:val="Heading2"/>
      </w:pPr>
      <w:r>
        <w:t xml:space="preserve">1. ฐานกฎหมายและมาตรฐานอ้างอิง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กฎหมาย / มาตรฐาน</w:t>
            </w:r>
          </w:p>
        </w:tc>
        <w:tc>
          <w:tcPr/>
          <w:p>
            <w:pPr>
              <w:pStyle w:val="Compact"/>
            </w:pPr>
            <w:r>
              <w:t xml:space="preserve">สาระสำคัญที่เกี่ยวข้องกับนโยบายนี้</w:t>
            </w:r>
          </w:p>
        </w:tc>
      </w:tr>
      <w:tr>
        <w:tc>
          <w:tcPr/>
          <w:p>
            <w:pPr>
              <w:pStyle w:val="Compact"/>
            </w:pPr>
            <w:r>
              <w:rPr>
                <w:b/>
                <w:bCs/>
              </w:rPr>
              <w:t xml:space="preserve">พ.ร.บ. ป้องกันและปราบปรามการฟอกเงิน พ.ศ. 2542</w:t>
            </w:r>
            <w:r>
              <w:t xml:space="preserve"> </w:t>
            </w:r>
            <w:r>
              <w:t xml:space="preserve">(และที่แก้ไขเพิ่มเติม)</w:t>
            </w:r>
          </w:p>
        </w:tc>
        <w:tc>
          <w:tcPr/>
          <w:p>
            <w:pPr>
              <w:pStyle w:val="Compact"/>
            </w:pPr>
            <w:r>
              <w:t xml:space="preserve">หน้าที่ CDD, การรายงานธุรกรรม, การเก็บรักษาข้อมูล, กำกับโดย</w:t>
            </w:r>
            <w:r>
              <w:t xml:space="preserve"> </w:t>
            </w:r>
            <w:r>
              <w:rPr>
                <w:b/>
                <w:bCs/>
              </w:rPr>
              <w:t xml:space="preserve">สำนักงาน ปปง. (AMLO)</w:t>
            </w:r>
          </w:p>
        </w:tc>
      </w:tr>
      <w:tr>
        <w:tc>
          <w:tcPr/>
          <w:p>
            <w:pPr>
              <w:pStyle w:val="Compact"/>
            </w:pPr>
            <w:r>
              <w:rPr>
                <w:b/>
                <w:bCs/>
              </w:rPr>
              <w:t xml:space="preserve">พ.ร.บ. ป้องกันและปราบปรามการสนับสนุนทางการเงินแก่การก่อการร้ายและการแพร่ขยายอาวุธฯ พ.ศ. 2559 (CTPF Act)</w:t>
            </w:r>
          </w:p>
        </w:tc>
        <w:tc>
          <w:tcPr/>
          <w:p>
            <w:pPr>
              <w:pStyle w:val="Compact"/>
            </w:pPr>
            <w:r>
              <w:t xml:space="preserve">การตรวจรายชื่อบุคคลที่ถูกกำหนด (designated persons) และการระงับการดำเนินการกับทรัพย์สินทันที</w:t>
            </w:r>
          </w:p>
        </w:tc>
      </w:tr>
      <w:tr>
        <w:tc>
          <w:tcPr/>
          <w:p>
            <w:pPr>
              <w:pStyle w:val="Compact"/>
            </w:pPr>
            <w:r>
              <w:rPr>
                <w:b/>
                <w:bCs/>
              </w:rPr>
              <w:t xml:space="preserve">กฎกระทรวงว่าด้วยการตรวจสอบเพื่อทราบข้อเท็จจริงเกี่ยวกับลูกค้า พ.ศ. 2563</w:t>
            </w:r>
          </w:p>
        </w:tc>
        <w:tc>
          <w:tcPr/>
          <w:p>
            <w:pPr>
              <w:pStyle w:val="Compact"/>
            </w:pPr>
            <w:r>
              <w:t xml:space="preserve">หลักเกณฑ์ CDD/EDD, การจัดระดับความเสี่ยง, ผู้รับผลประโยชน์ที่แท้จริง (Beneficial Owner)</w:t>
            </w:r>
          </w:p>
        </w:tc>
      </w:tr>
      <w:tr>
        <w:tc>
          <w:tcPr/>
          <w:p>
            <w:pPr>
              <w:pStyle w:val="Compact"/>
            </w:pPr>
            <w:r>
              <w:rPr>
                <w:b/>
                <w:bCs/>
              </w:rPr>
              <w:t xml:space="preserve">พ.ร.บ. ระบบการชำระเงิน พ.ศ. 2560</w:t>
            </w:r>
          </w:p>
        </w:tc>
        <w:tc>
          <w:tcPr/>
          <w:p>
            <w:pPr>
              <w:pStyle w:val="Compact"/>
            </w:pPr>
            <w:r>
              <w:t xml:space="preserve">เงื่อนไขการประกอบธุรกิจภายใต้ ธปท. รวมถึงการมีระบบ AML/KYC ที่ได้มาตรฐานเป็นเงื่อนไขใบอนุญาต</w:t>
            </w:r>
          </w:p>
        </w:tc>
      </w:tr>
      <w:tr>
        <w:tc>
          <w:tcPr/>
          <w:p>
            <w:pPr>
              <w:pStyle w:val="Compact"/>
            </w:pPr>
            <w:r>
              <w:rPr>
                <w:b/>
                <w:bCs/>
              </w:rPr>
              <w:t xml:space="preserve">ประกาศ ธปท. ด้านการบริหารความเสี่ยงและ IT/Cyber</w:t>
            </w:r>
          </w:p>
        </w:tc>
        <w:tc>
          <w:tcPr/>
          <w:p>
            <w:pPr>
              <w:pStyle w:val="Compact"/>
            </w:pPr>
            <w:r>
              <w:t xml:space="preserve">การควบคุมภายใน การกำกับดูแล และความมั่นคงปลอดภัยของระบบที่รองรับกระบวนการ AML</w:t>
            </w:r>
          </w:p>
        </w:tc>
      </w:tr>
      <w:tr>
        <w:tc>
          <w:tcPr/>
          <w:p>
            <w:pPr>
              <w:pStyle w:val="Compact"/>
            </w:pPr>
            <w:r>
              <w:rPr>
                <w:b/>
                <w:bCs/>
              </w:rPr>
              <w:t xml:space="preserve">พ.ร.บ. คุ้มครองข้อมูลส่วนบุคคล พ.ศ. 2562 (PDPA)</w:t>
            </w:r>
            <w:r>
              <w:t xml:space="preserve"> </w:t>
            </w:r>
            <w:r>
              <w:t xml:space="preserve">— กำกับโดย</w:t>
            </w:r>
            <w:r>
              <w:t xml:space="preserve"> </w:t>
            </w:r>
            <w:r>
              <w:rPr>
                <w:b/>
                <w:bCs/>
              </w:rPr>
              <w:t xml:space="preserve">คณะกรรมการคุ้มครองข้อมูลส่วนบุคคล (PDPC)</w:t>
            </w:r>
          </w:p>
        </w:tc>
        <w:tc>
          <w:tcPr/>
          <w:p>
            <w:pPr>
              <w:pStyle w:val="Compact"/>
            </w:pPr>
            <w:r>
              <w:t xml:space="preserve">การเก็บ ใช้ เปิดเผยข้อมูล KYC ต้องมีฐานทางกฎหมายและมาตรการคุ้มครองข้อมูล</w:t>
            </w:r>
          </w:p>
        </w:tc>
      </w:tr>
      <w:tr>
        <w:tc>
          <w:tcPr/>
          <w:p>
            <w:pPr>
              <w:pStyle w:val="Compact"/>
            </w:pPr>
            <w:r>
              <w:rPr>
                <w:b/>
                <w:bCs/>
              </w:rPr>
              <w:t xml:space="preserve">PCI-DSS v4.0</w:t>
            </w:r>
          </w:p>
        </w:tc>
        <w:tc>
          <w:tcPr/>
          <w:p>
            <w:pPr>
              <w:pStyle w:val="Compact"/>
            </w:pPr>
            <w:r>
              <w:t xml:space="preserve">การคุ้มครองข้อมูลบัตร (CHD/SAD) ที่ใช้ประกอบการเฝ้าระวังธุรกรรม โดยไม่จัดเก็บเกินความจำเป็น</w:t>
            </w:r>
          </w:p>
        </w:tc>
      </w:tr>
      <w:tr>
        <w:tc>
          <w:tcPr/>
          <w:p>
            <w:pPr>
              <w:pStyle w:val="Compact"/>
            </w:pPr>
            <w:r>
              <w:rPr>
                <w:b/>
                <w:bCs/>
              </w:rPr>
              <w:t xml:space="preserve">มาตรฐาน FATF 40 Recommendations</w:t>
            </w:r>
          </w:p>
        </w:tc>
        <w:tc>
          <w:tcPr/>
          <w:p>
            <w:pPr>
              <w:pStyle w:val="Compact"/>
            </w:pPr>
            <w:r>
              <w:t xml:space="preserve">หลักการ Risk-Based Approach, Travel Rule, sanctions screening (ใช้เป็นแนวปฏิบัติสากล)</w:t>
            </w:r>
          </w:p>
        </w:tc>
      </w:tr>
      <w:tr>
        <w:tc>
          <w:tcPr/>
          <w:p>
            <w:pPr>
              <w:pStyle w:val="Compact"/>
            </w:pPr>
            <w:r>
              <w:rPr>
                <w:b/>
                <w:bCs/>
              </w:rPr>
              <w:t xml:space="preserve">EMV 3-D Secure (3DS) 2.x</w:t>
            </w:r>
          </w:p>
        </w:tc>
        <w:tc>
          <w:tcPr/>
          <w:p>
            <w:pPr>
              <w:pStyle w:val="Compact"/>
            </w:pPr>
            <w:r>
              <w:t xml:space="preserve">ข้อมูลยืนยันตัวตนผู้ถือบัตรที่ใช้เสริมการประเมินความเสี่ยงธุรกรรม</w:t>
            </w:r>
          </w:p>
        </w:tc>
      </w:tr>
    </w:tbl>
    <w:p>
      <w:pPr>
        <w:pStyle w:val="BlockText"/>
      </w:pPr>
      <w:r>
        <w:rPr>
          <w:b/>
          <w:bCs/>
        </w:rPr>
        <w:t xml:space="preserve">[TODO/ข้อสมมติ]</w:t>
      </w:r>
      <w:r>
        <w:t xml:space="preserve"> </w:t>
      </w:r>
      <w:r>
        <w:t xml:space="preserve">ต้องยืนยันกับที่ปรึกษากฎหมายว่าประกาศ/แนวปฏิบัติฉบับล่าสุดของ ปปง. และ ธปท. ณ วันยื่นคำขอ มีการแก้ไขเลขที่/ปีใดบ้าง และปรับอ้างอิงให้ตรง</w:t>
      </w:r>
    </w:p>
    <w:p>
      <w:r>
        <w:pict>
          <v:rect style="width:0;height:1.5pt" o:hralign="center" o:hrstd="t" o:hr="t"/>
        </w:pict>
      </w:r>
    </w:p>
    <w:bookmarkEnd w:id="201"/>
    <w:bookmarkStart w:id="203" w:name="X1ee8ad73b87e2289c4b9d375243a79eac840357"/>
    <w:p>
      <w:pPr>
        <w:pStyle w:val="Heading2"/>
      </w:pPr>
      <w:r>
        <w:t xml:space="preserve">2. หลักการบริหารความเสี่ยงตามระดับความเสี่ยง (Risk-Based Approach)</w:t>
      </w:r>
    </w:p>
    <w:p>
      <w:pPr>
        <w:pStyle w:val="FirstParagraph"/>
      </w:pPr>
      <w:r>
        <w:t xml:space="preserve">[บริษัท / Company] ใช้แนวทาง</w:t>
      </w:r>
      <w:r>
        <w:t xml:space="preserve"> </w:t>
      </w:r>
      <w:r>
        <w:rPr>
          <w:b/>
          <w:bCs/>
        </w:rPr>
        <w:t xml:space="preserve">Risk-Based Approach (RBA)</w:t>
      </w:r>
      <w:r>
        <w:t xml:space="preserve"> </w:t>
      </w:r>
      <w:r>
        <w:t xml:space="preserve">จัดสรรทรัพยากรตามระดับความเสี่ยง โดยประเมินตามปัจจัย 4 กลุ่ม: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ปัจจัยความเสี่ยง</w:t>
            </w:r>
          </w:p>
        </w:tc>
        <w:tc>
          <w:tcPr/>
          <w:p>
            <w:pPr>
              <w:pStyle w:val="Compact"/>
            </w:pPr>
            <w:r>
              <w:t xml:space="preserve">ตัวอย่างตัวชี้วัด</w:t>
            </w:r>
          </w:p>
        </w:tc>
      </w:tr>
      <w:tr>
        <w:tc>
          <w:tcPr/>
          <w:p>
            <w:pPr>
              <w:pStyle w:val="Compact"/>
            </w:pPr>
            <w:r>
              <w:rPr>
                <w:b/>
                <w:bCs/>
              </w:rPr>
              <w:t xml:space="preserve">ความเสี่ยงด้านลูกค้า (Customer)</w:t>
            </w:r>
          </w:p>
        </w:tc>
        <w:tc>
          <w:tcPr/>
          <w:p>
            <w:pPr>
              <w:pStyle w:val="Compact"/>
            </w:pPr>
            <w:r>
              <w:t xml:space="preserve">ประเภทนิติบุคคล/บุคคลธรรมดา, PEP, โครงสร้างการถือหุ้นซับซ้อน, ผู้ถือหุ้นต่างชาติ</w:t>
            </w:r>
          </w:p>
        </w:tc>
      </w:tr>
      <w:tr>
        <w:tc>
          <w:tcPr/>
          <w:p>
            <w:pPr>
              <w:pStyle w:val="Compact"/>
            </w:pPr>
            <w:r>
              <w:rPr>
                <w:b/>
                <w:bCs/>
              </w:rPr>
              <w:t xml:space="preserve">ความเสี่ยงด้านผลิตภัณฑ์/ช่องทาง (Product/Channel)</w:t>
            </w:r>
          </w:p>
        </w:tc>
        <w:tc>
          <w:tcPr/>
          <w:p>
            <w:pPr>
              <w:pStyle w:val="Compact"/>
            </w:pPr>
            <w:r>
              <w:t xml:space="preserve">card-not-present, cross-border, high-ticket, e-commerce ที่ไม่พบหน้า</w:t>
            </w:r>
          </w:p>
        </w:tc>
      </w:tr>
      <w:tr>
        <w:tc>
          <w:tcPr/>
          <w:p>
            <w:pPr>
              <w:pStyle w:val="Compact"/>
            </w:pPr>
            <w:r>
              <w:rPr>
                <w:b/>
                <w:bCs/>
              </w:rPr>
              <w:t xml:space="preserve">ความเสี่ยงด้านภูมิศาสตร์ (Geographic)</w:t>
            </w:r>
          </w:p>
        </w:tc>
        <w:tc>
          <w:tcPr/>
          <w:p>
            <w:pPr>
              <w:pStyle w:val="Compact"/>
            </w:pPr>
            <w:r>
              <w:t xml:space="preserve">ประเทศใน FATF grey/black list, ประเทศที่มีมาตรการคว่ำบาตร</w:t>
            </w:r>
          </w:p>
        </w:tc>
      </w:tr>
      <w:tr>
        <w:tc>
          <w:tcPr/>
          <w:p>
            <w:pPr>
              <w:pStyle w:val="Compact"/>
            </w:pPr>
            <w:r>
              <w:rPr>
                <w:b/>
                <w:bCs/>
              </w:rPr>
              <w:t xml:space="preserve">ความเสี่ยงด้านประเภทธุรกิจ (MCC/Industry)</w:t>
            </w:r>
          </w:p>
        </w:tc>
        <w:tc>
          <w:tcPr/>
          <w:p>
            <w:pPr>
              <w:pStyle w:val="Compact"/>
            </w:pPr>
            <w:r>
              <w:t xml:space="preserve">crypto, gambling, forex, adult, nutraceutical, marketplace</w:t>
            </w:r>
          </w:p>
        </w:tc>
      </w:tr>
    </w:tbl>
    <w:bookmarkStart w:id="202" w:name="X51ec0830bbe94dbb4e8114167f60307fb2304cd"/>
    <w:p>
      <w:pPr>
        <w:pStyle w:val="Heading3"/>
      </w:pPr>
      <w:r>
        <w:t xml:space="preserve">2.1 การจัดระดับความเสี่ยงลูกค้า (Merchant Risk Rating)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ระดับ</w:t>
            </w:r>
          </w:p>
        </w:tc>
        <w:tc>
          <w:tcPr/>
          <w:p>
            <w:pPr>
              <w:pStyle w:val="Compact"/>
            </w:pPr>
            <w:r>
              <w:t xml:space="preserve">เกณฑ์ (ตัวอย่าง)</w:t>
            </w:r>
          </w:p>
        </w:tc>
        <w:tc>
          <w:tcPr/>
          <w:p>
            <w:pPr>
              <w:pStyle w:val="Compact"/>
            </w:pPr>
            <w:r>
              <w:t xml:space="preserve">มาตรการ CDD</w:t>
            </w:r>
          </w:p>
        </w:tc>
        <w:tc>
          <w:tcPr/>
          <w:p>
            <w:pPr>
              <w:pStyle w:val="Compact"/>
            </w:pPr>
            <w:r>
              <w:t xml:space="preserve">รอบทบทวน</w:t>
            </w:r>
          </w:p>
        </w:tc>
      </w:tr>
      <w:tr>
        <w:tc>
          <w:tcPr/>
          <w:p>
            <w:pPr>
              <w:pStyle w:val="Compact"/>
            </w:pPr>
            <w:r>
              <w:rPr>
                <w:b/>
                <w:bCs/>
              </w:rPr>
              <w:t xml:space="preserve">ต่ำ (Low)</w:t>
            </w:r>
          </w:p>
        </w:tc>
        <w:tc>
          <w:tcPr/>
          <w:p>
            <w:pPr>
              <w:pStyle w:val="Compact"/>
            </w:pPr>
            <w:r>
              <w:t xml:space="preserve">ธุรกิจในไทย, MCC ความเสี่ยงต่ำ, เจ้าของ/BO ชัดเจน, ปริมาณคาดการณ์ต่ำ</w:t>
            </w:r>
          </w:p>
        </w:tc>
        <w:tc>
          <w:tcPr/>
          <w:p>
            <w:pPr>
              <w:pStyle w:val="Compact"/>
            </w:pPr>
            <w:r>
              <w:t xml:space="preserve">Standard CDD</w:t>
            </w:r>
          </w:p>
        </w:tc>
        <w:tc>
          <w:tcPr/>
          <w:p>
            <w:pPr>
              <w:pStyle w:val="Compact"/>
            </w:pPr>
            <w:r>
              <w:t xml:space="preserve">ทุก 36 เดือน</w:t>
            </w:r>
          </w:p>
        </w:tc>
      </w:tr>
      <w:tr>
        <w:tc>
          <w:tcPr/>
          <w:p>
            <w:pPr>
              <w:pStyle w:val="Compact"/>
            </w:pPr>
            <w:r>
              <w:rPr>
                <w:b/>
                <w:bCs/>
              </w:rPr>
              <w:t xml:space="preserve">ปานกลาง (Medium)</w:t>
            </w:r>
          </w:p>
        </w:tc>
        <w:tc>
          <w:tcPr/>
          <w:p>
            <w:pPr>
              <w:pStyle w:val="Compact"/>
            </w:pPr>
            <w:r>
              <w:t xml:space="preserve">ปริมาณปานกลาง, ขายออนไลน์ทั่วไป, มีปัจจัยเสี่ยงเดี่ยว</w:t>
            </w:r>
          </w:p>
        </w:tc>
        <w:tc>
          <w:tcPr/>
          <w:p>
            <w:pPr>
              <w:pStyle w:val="Compact"/>
            </w:pPr>
            <w:r>
              <w:t xml:space="preserve">Standard CDD + monitoring เข้มขึ้น</w:t>
            </w:r>
          </w:p>
        </w:tc>
        <w:tc>
          <w:tcPr/>
          <w:p>
            <w:pPr>
              <w:pStyle w:val="Compact"/>
            </w:pPr>
            <w:r>
              <w:t xml:space="preserve">ทุก 24 เดือน</w:t>
            </w:r>
          </w:p>
        </w:tc>
      </w:tr>
      <w:tr>
        <w:tc>
          <w:tcPr/>
          <w:p>
            <w:pPr>
              <w:pStyle w:val="Compact"/>
            </w:pPr>
            <w:r>
              <w:rPr>
                <w:b/>
                <w:bCs/>
              </w:rPr>
              <w:t xml:space="preserve">สูง (High)</w:t>
            </w:r>
          </w:p>
        </w:tc>
        <w:tc>
          <w:tcPr/>
          <w:p>
            <w:pPr>
              <w:pStyle w:val="Compact"/>
            </w:pPr>
            <w:r>
              <w:t xml:space="preserve">MCC ความเสี่ยงสูง, cross-border, PEP เกี่ยวข้อง, marketplace/PayFac ย่อย</w:t>
            </w:r>
          </w:p>
        </w:tc>
        <w:tc>
          <w:tcPr/>
          <w:p>
            <w:pPr>
              <w:pStyle w:val="Compact"/>
            </w:pPr>
            <w:r>
              <w:rPr>
                <w:b/>
                <w:bCs/>
              </w:rPr>
              <w:t xml:space="preserve">EDD</w:t>
            </w:r>
            <w:r>
              <w:t xml:space="preserve"> </w:t>
            </w:r>
            <w:r>
              <w:t xml:space="preserve">+ อนุมัติโดย MLRO</w:t>
            </w:r>
          </w:p>
        </w:tc>
        <w:tc>
          <w:tcPr/>
          <w:p>
            <w:pPr>
              <w:pStyle w:val="Compact"/>
            </w:pPr>
            <w:r>
              <w:t xml:space="preserve">ทุก 12 เดือน</w:t>
            </w:r>
          </w:p>
        </w:tc>
      </w:tr>
      <w:tr>
        <w:tc>
          <w:tcPr/>
          <w:p>
            <w:pPr>
              <w:pStyle w:val="Compact"/>
            </w:pPr>
            <w:r>
              <w:rPr>
                <w:b/>
                <w:bCs/>
              </w:rPr>
              <w:t xml:space="preserve">ห้ามรับ (Prohibited)</w:t>
            </w:r>
          </w:p>
        </w:tc>
        <w:tc>
          <w:tcPr/>
          <w:p>
            <w:pPr>
              <w:pStyle w:val="Compact"/>
            </w:pPr>
            <w:r>
              <w:t xml:space="preserve">ธุรกิจผิดกฎหมาย, อยู่ในบัญชีคว่ำบาตร, ปฏิเสธการเปิดเผย BO</w:t>
            </w:r>
          </w:p>
        </w:tc>
        <w:tc>
          <w:tcPr/>
          <w:p>
            <w:pPr>
              <w:pStyle w:val="Compact"/>
            </w:pPr>
            <w:r>
              <w:rPr>
                <w:b/>
                <w:bCs/>
              </w:rPr>
              <w:t xml:space="preserve">ไม่รับ / เลิกความสัมพันธ์</w:t>
            </w:r>
          </w:p>
        </w:tc>
        <w:tc>
          <w:tcPr/>
          <w:p>
            <w:pPr>
              <w:pStyle w:val="Compact"/>
            </w:pPr>
            <w:r>
              <w:t xml:space="preserve">—</w:t>
            </w:r>
          </w:p>
        </w:tc>
      </w:tr>
    </w:tbl>
    <w:p>
      <w:pPr>
        <w:pStyle w:val="BlockText"/>
      </w:pPr>
      <w:r>
        <w:t xml:space="preserve">รายการธุรกิจต้องห้าม (prohibited list) และรายการเฝ้าระวัง (restricted/high-risk MCC list) ให้อ้างอิงภาคผนวก A ซึ่งทบทวนอย่างน้อยปีละครั้งและเมื่อ card scheme/sponsor bank ปรับปรุงเงื่อนไข</w:t>
      </w:r>
    </w:p>
    <w:p>
      <w:r>
        <w:pict>
          <v:rect style="width:0;height:1.5pt" o:hralign="center" o:hrstd="t" o:hr="t"/>
        </w:pict>
      </w:r>
    </w:p>
    <w:bookmarkEnd w:id="202"/>
    <w:bookmarkEnd w:id="203"/>
    <w:bookmarkStart w:id="207" w:name="การรบลกคา-onboarding-kyc-cdd"/>
    <w:p>
      <w:pPr>
        <w:pStyle w:val="Heading2"/>
      </w:pPr>
      <w:r>
        <w:t xml:space="preserve">3. การรับลูกค้า / Onboarding (KYC &amp; CDD)</w:t>
      </w:r>
    </w:p>
    <w:bookmarkStart w:id="204" w:name="เอกสารและขอมลทตองเกบ-merchant-นตบคคล"/>
    <w:p>
      <w:pPr>
        <w:pStyle w:val="Heading3"/>
      </w:pPr>
      <w:r>
        <w:t xml:space="preserve">3.1 เอกสารและข้อมูลที่ต้องเก็บ (Merchant นิติบุคคล)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รายการ</w:t>
            </w:r>
          </w:p>
        </w:tc>
        <w:tc>
          <w:tcPr/>
          <w:p>
            <w:pPr>
              <w:pStyle w:val="Compact"/>
            </w:pPr>
            <w:r>
              <w:t xml:space="preserve">รายละเอียด</w:t>
            </w:r>
          </w:p>
        </w:tc>
      </w:tr>
      <w:tr>
        <w:tc>
          <w:tcPr/>
          <w:p>
            <w:pPr>
              <w:pStyle w:val="Compact"/>
            </w:pPr>
            <w:r>
              <w:t xml:space="preserve">หนังสือรับรองบริษัท (ไม่เกิน 3 เดือน)</w:t>
            </w:r>
          </w:p>
        </w:tc>
        <w:tc>
          <w:tcPr/>
          <w:p>
            <w:pPr>
              <w:pStyle w:val="Compact"/>
            </w:pPr>
            <w:r>
              <w:t xml:space="preserve">เลขทะเบียนนิติบุคคล, กรรมการผู้มีอำนาจ, วัตถุประสงค์</w:t>
            </w:r>
          </w:p>
        </w:tc>
      </w:tr>
      <w:tr>
        <w:tc>
          <w:tcPr/>
          <w:p>
            <w:pPr>
              <w:pStyle w:val="Compact"/>
            </w:pPr>
            <w:r>
              <w:t xml:space="preserve">บัญชีรายชื่อผู้ถือหุ้น (บอจ.5)</w:t>
            </w:r>
          </w:p>
        </w:tc>
        <w:tc>
          <w:tcPr/>
          <w:p>
            <w:pPr>
              <w:pStyle w:val="Compact"/>
            </w:pPr>
            <w:r>
              <w:t xml:space="preserve">ระบุสัดส่วนการถือหุ้น</w:t>
            </w:r>
          </w:p>
        </w:tc>
      </w:tr>
      <w:tr>
        <w:tc>
          <w:tcPr/>
          <w:p>
            <w:pPr>
              <w:pStyle w:val="Compact"/>
            </w:pPr>
            <w:r>
              <w:t xml:space="preserve">บัตรประชาชน/หนังสือเดินทางของกรรมการผู้มีอำนาจและ</w:t>
            </w:r>
            <w:r>
              <w:t xml:space="preserve"> </w:t>
            </w:r>
            <w:r>
              <w:rPr>
                <w:b/>
                <w:bCs/>
              </w:rPr>
              <w:t xml:space="preserve">ผู้รับผลประโยชน์ที่แท้จริง (BO)</w:t>
            </w:r>
          </w:p>
        </w:tc>
        <w:tc>
          <w:tcPr/>
          <w:p>
            <w:pPr>
              <w:pStyle w:val="Compact"/>
            </w:pPr>
            <w:r>
              <w:t xml:space="preserve">BO = ผู้ถือหุ้น/ควบคุมตั้งแต่</w:t>
            </w:r>
            <w:r>
              <w:t xml:space="preserve"> </w:t>
            </w:r>
            <w:r>
              <w:rPr>
                <w:b/>
                <w:bCs/>
              </w:rPr>
              <w:t xml:space="preserve">25%</w:t>
            </w:r>
            <w:r>
              <w:t xml:space="preserve"> </w:t>
            </w:r>
            <w:r>
              <w:t xml:space="preserve">ขึ้นไป หรือผู้มีอำนาจควบคุมที่แท้จริง</w:t>
            </w:r>
          </w:p>
        </w:tc>
      </w:tr>
      <w:tr>
        <w:tc>
          <w:tcPr/>
          <w:p>
            <w:pPr>
              <w:pStyle w:val="Compact"/>
            </w:pPr>
            <w:r>
              <w:t xml:space="preserve">เอกสารที่อยู่สถานประกอบการ</w:t>
            </w:r>
          </w:p>
        </w:tc>
        <w:tc>
          <w:tcPr/>
          <w:p>
            <w:pPr>
              <w:pStyle w:val="Compact"/>
            </w:pPr>
            <w:r>
              <w:t xml:space="preserve">สัญญาเช่า/ทะเบียนบ้าน/บิลสาธารณูปโภค</w:t>
            </w:r>
          </w:p>
        </w:tc>
      </w:tr>
      <w:tr>
        <w:tc>
          <w:tcPr/>
          <w:p>
            <w:pPr>
              <w:pStyle w:val="Compact"/>
            </w:pPr>
            <w:r>
              <w:t xml:space="preserve">ข้อมูลบัญชีธนาคารเพื่อ settlement</w:t>
            </w:r>
          </w:p>
        </w:tc>
        <w:tc>
          <w:tcPr/>
          <w:p>
            <w:pPr>
              <w:pStyle w:val="Compact"/>
            </w:pPr>
            <w:r>
              <w:t xml:space="preserve">ต้องเป็นบัญชีในชื่อนิติบุคคลเดียวกัน</w:t>
            </w:r>
          </w:p>
        </w:tc>
      </w:tr>
      <w:tr>
        <w:tc>
          <w:tcPr/>
          <w:p>
            <w:pPr>
              <w:pStyle w:val="Compact"/>
            </w:pPr>
            <w:r>
              <w:t xml:space="preserve">เว็บไซต์/URL, ตัวอย่างสินค้า, นโยบายคืนเงิน</w:t>
            </w:r>
          </w:p>
        </w:tc>
        <w:tc>
          <w:tcPr/>
          <w:p>
            <w:pPr>
              <w:pStyle w:val="Compact"/>
            </w:pPr>
            <w:r>
              <w:t xml:space="preserve">เพื่อประเมิน MCC และความเสี่ยง transaction laundering</w:t>
            </w:r>
          </w:p>
        </w:tc>
      </w:tr>
      <w:tr>
        <w:tc>
          <w:tcPr/>
          <w:p>
            <w:pPr>
              <w:pStyle w:val="Compact"/>
            </w:pPr>
            <w:r>
              <w:t xml:space="preserve">ประมาณการปริมาณธุรกรรม (expected volume/ticket size)</w:t>
            </w:r>
          </w:p>
        </w:tc>
        <w:tc>
          <w:tcPr/>
          <w:p>
            <w:pPr>
              <w:pStyle w:val="Compact"/>
            </w:pPr>
            <w:r>
              <w:t xml:space="preserve">ใช้ตั้ง baseline สำหรับ ongoing monitoring</w:t>
            </w:r>
          </w:p>
        </w:tc>
      </w:tr>
    </w:tbl>
    <w:p>
      <w:pPr>
        <w:pStyle w:val="BodyText"/>
      </w:pPr>
      <w:r>
        <w:rPr>
          <w:b/>
          <w:bCs/>
        </w:rPr>
        <w:t xml:space="preserve">บุคคลธรรมดา (sole proprietor):</w:t>
      </w:r>
      <w:r>
        <w:t xml:space="preserve"> </w:t>
      </w:r>
      <w:r>
        <w:t xml:space="preserve">บัตรประชาชน, การพิสูจน์ตัวตน (identity verification), ทะเบียนพาณิชย์ (ถ้ามี), ข้อมูลบัญชี settlement</w:t>
      </w:r>
    </w:p>
    <w:bookmarkEnd w:id="204"/>
    <w:bookmarkStart w:id="205" w:name="กระบวนการพสจนและยนยนตวตน"/>
    <w:p>
      <w:pPr>
        <w:pStyle w:val="Heading3"/>
      </w:pPr>
      <w:r>
        <w:t xml:space="preserve">3.2 กระบวนการพิสูจน์และยืนยันตัวตน</w:t>
      </w:r>
    </w:p>
    <w:p>
      <w:pPr>
        <w:pStyle w:val="Compact"/>
        <w:numPr>
          <w:ilvl w:val="0"/>
          <w:numId w:val="1062"/>
        </w:numPr>
      </w:pPr>
      <w:r>
        <w:rPr>
          <w:b/>
          <w:bCs/>
        </w:rPr>
        <w:t xml:space="preserve">Identification</w:t>
      </w:r>
      <w:r>
        <w:t xml:space="preserve"> </w:t>
      </w:r>
      <w:r>
        <w:t xml:space="preserve">— เก็บข้อมูลระบุตัวตนตามข้อ 3.1</w:t>
      </w:r>
    </w:p>
    <w:p>
      <w:pPr>
        <w:pStyle w:val="Compact"/>
        <w:numPr>
          <w:ilvl w:val="0"/>
          <w:numId w:val="1062"/>
        </w:numPr>
      </w:pPr>
      <w:r>
        <w:rPr>
          <w:b/>
          <w:bCs/>
        </w:rPr>
        <w:t xml:space="preserve">Verification</w:t>
      </w:r>
      <w:r>
        <w:t xml:space="preserve"> </w:t>
      </w:r>
      <w:r>
        <w:t xml:space="preserve">— ตรวจสอบกับแหล่งข้อมูลที่น่าเชื่อถือ (กรมพัฒนาธุรกิจการค้า/DBD, ระบบ e-KYC, การตรวจสอบเอกสาร, liveness check สำหรับบุคคล)</w:t>
      </w:r>
    </w:p>
    <w:p>
      <w:pPr>
        <w:pStyle w:val="Compact"/>
        <w:numPr>
          <w:ilvl w:val="0"/>
          <w:numId w:val="1062"/>
        </w:numPr>
      </w:pPr>
      <w:r>
        <w:rPr>
          <w:b/>
          <w:bCs/>
        </w:rPr>
        <w:t xml:space="preserve">Beneficial Owner</w:t>
      </w:r>
      <w:r>
        <w:t xml:space="preserve"> </w:t>
      </w:r>
      <w:r>
        <w:t xml:space="preserve">— ระบุและตรวจสอบ BO ทุกรายที่ถือ/ควบคุม ≥ 25% หรือมีอำนาจควบคุมที่แท้จริง จนถึงบุคคลธรรมดา</w:t>
      </w:r>
    </w:p>
    <w:p>
      <w:pPr>
        <w:pStyle w:val="Compact"/>
        <w:numPr>
          <w:ilvl w:val="0"/>
          <w:numId w:val="1062"/>
        </w:numPr>
      </w:pPr>
      <w:r>
        <w:rPr>
          <w:b/>
          <w:bCs/>
        </w:rPr>
        <w:t xml:space="preserve">Sanctions &amp; PEP screening</w:t>
      </w:r>
      <w:r>
        <w:t xml:space="preserve"> </w:t>
      </w:r>
      <w:r>
        <w:t xml:space="preserve">— คัดกรองชื่อกับบัญชีรายชื่อ (ดูข้อ 4)</w:t>
      </w:r>
    </w:p>
    <w:p>
      <w:pPr>
        <w:pStyle w:val="Compact"/>
        <w:numPr>
          <w:ilvl w:val="0"/>
          <w:numId w:val="1062"/>
        </w:numPr>
      </w:pPr>
      <w:r>
        <w:rPr>
          <w:b/>
          <w:bCs/>
        </w:rPr>
        <w:t xml:space="preserve">Risk rating</w:t>
      </w:r>
      <w:r>
        <w:t xml:space="preserve"> </w:t>
      </w:r>
      <w:r>
        <w:t xml:space="preserve">— ให้คะแนนและจัดระดับตามข้อ 2.1</w:t>
      </w:r>
    </w:p>
    <w:p>
      <w:pPr>
        <w:pStyle w:val="Compact"/>
        <w:numPr>
          <w:ilvl w:val="0"/>
          <w:numId w:val="1062"/>
        </w:numPr>
      </w:pPr>
      <w:r>
        <w:rPr>
          <w:b/>
          <w:bCs/>
        </w:rPr>
        <w:t xml:space="preserve">Approval</w:t>
      </w:r>
      <w:r>
        <w:t xml:space="preserve"> </w:t>
      </w:r>
      <w:r>
        <w:t xml:space="preserve">— ระดับต่ำ/ปานกลางอนุมัติโดยทีม Onboarding; ระดับสูงต้องอนุมัติโดย</w:t>
      </w:r>
      <w:r>
        <w:t xml:space="preserve"> </w:t>
      </w:r>
      <w:r>
        <w:rPr>
          <w:b/>
          <w:bCs/>
        </w:rPr>
        <w:t xml:space="preserve">MLRO/Compliance Committee</w:t>
      </w:r>
    </w:p>
    <w:p>
      <w:pPr>
        <w:pStyle w:val="BlockText"/>
      </w:pPr>
      <w:r>
        <w:rPr>
          <w:b/>
          <w:bCs/>
        </w:rPr>
        <w:t xml:space="preserve">หลักการ:</w:t>
      </w:r>
      <w:r>
        <w:t xml:space="preserve"> </w:t>
      </w:r>
      <w:r>
        <w:t xml:space="preserve">ห้ามเปิดใช้งานรับชำระเงินจริง (go-live) ก่อน CDD และ screening ผ่านครบถ้วน (no onboarding without completed CDD)</w:t>
      </w:r>
    </w:p>
    <w:bookmarkEnd w:id="205"/>
    <w:bookmarkStart w:id="206" w:name="กรอบเวลา-sla-การ-onboarding"/>
    <w:p>
      <w:pPr>
        <w:pStyle w:val="Heading3"/>
      </w:pPr>
      <w:r>
        <w:t xml:space="preserve">3.3 กรอบเวลา (SLA) การ Onboarding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ระดับความเสี่ยง</w:t>
            </w:r>
          </w:p>
        </w:tc>
        <w:tc>
          <w:tcPr/>
          <w:p>
            <w:pPr>
              <w:pStyle w:val="Compact"/>
            </w:pPr>
            <w:r>
              <w:t xml:space="preserve">SLA เป้าหมายสำหรับ CDD</w:t>
            </w:r>
          </w:p>
        </w:tc>
        <w:tc>
          <w:tcPr/>
          <w:p>
            <w:pPr>
              <w:pStyle w:val="Compact"/>
            </w:pPr>
            <w:r>
              <w:t xml:space="preserve">ผู้อนุมัติ</w:t>
            </w:r>
          </w:p>
        </w:tc>
      </w:tr>
      <w:tr>
        <w:tc>
          <w:tcPr/>
          <w:p>
            <w:pPr>
              <w:pStyle w:val="Compact"/>
            </w:pPr>
            <w:r>
              <w:t xml:space="preserve">ต่ำ</w:t>
            </w:r>
          </w:p>
        </w:tc>
        <w:tc>
          <w:tcPr/>
          <w:p>
            <w:pPr>
              <w:pStyle w:val="Compact"/>
            </w:pPr>
            <w:r>
              <w:t xml:space="preserve">1-2 วันทำการ</w:t>
            </w:r>
          </w:p>
        </w:tc>
        <w:tc>
          <w:tcPr/>
          <w:p>
            <w:pPr>
              <w:pStyle w:val="Compact"/>
            </w:pPr>
            <w:r>
              <w:t xml:space="preserve">Onboarding Officer</w:t>
            </w:r>
          </w:p>
        </w:tc>
      </w:tr>
      <w:tr>
        <w:tc>
          <w:tcPr/>
          <w:p>
            <w:pPr>
              <w:pStyle w:val="Compact"/>
            </w:pPr>
            <w:r>
              <w:t xml:space="preserve">ปานกลาง</w:t>
            </w:r>
          </w:p>
        </w:tc>
        <w:tc>
          <w:tcPr/>
          <w:p>
            <w:pPr>
              <w:pStyle w:val="Compact"/>
            </w:pPr>
            <w:r>
              <w:t xml:space="preserve">3-5 วันทำการ</w:t>
            </w:r>
          </w:p>
        </w:tc>
        <w:tc>
          <w:tcPr/>
          <w:p>
            <w:pPr>
              <w:pStyle w:val="Compact"/>
            </w:pPr>
            <w:r>
              <w:t xml:space="preserve">Onboarding Lead</w:t>
            </w:r>
          </w:p>
        </w:tc>
      </w:tr>
      <w:tr>
        <w:tc>
          <w:tcPr/>
          <w:p>
            <w:pPr>
              <w:pStyle w:val="Compact"/>
            </w:pPr>
            <w:r>
              <w:t xml:space="preserve">สูง (EDD)</w:t>
            </w:r>
          </w:p>
        </w:tc>
        <w:tc>
          <w:tcPr/>
          <w:p>
            <w:pPr>
              <w:pStyle w:val="Compact"/>
            </w:pPr>
            <w:r>
              <w:t xml:space="preserve">7-15 วันทำการ</w:t>
            </w:r>
          </w:p>
        </w:tc>
        <w:tc>
          <w:tcPr/>
          <w:p>
            <w:pPr>
              <w:pStyle w:val="Compact"/>
            </w:pPr>
            <w:r>
              <w:t xml:space="preserve">MLRO</w:t>
            </w:r>
          </w:p>
        </w:tc>
      </w:tr>
    </w:tbl>
    <w:p>
      <w:r>
        <w:pict>
          <v:rect style="width:0;height:1.5pt" o:hralign="center" o:hrstd="t" o:hr="t"/>
        </w:pict>
      </w:r>
    </w:p>
    <w:bookmarkEnd w:id="206"/>
    <w:bookmarkEnd w:id="207"/>
    <w:bookmarkStart w:id="208" w:name="Xc46120cb9c9704b6545959fb0ef6a4ff183d494"/>
    <w:p>
      <w:pPr>
        <w:pStyle w:val="Heading2"/>
      </w:pPr>
      <w:r>
        <w:t xml:space="preserve">4. การคัดกรองบัญชีรายชื่อ (Sanctions, PEP, Watchlist Screening)</w:t>
      </w:r>
    </w:p>
    <w:p>
      <w:pPr>
        <w:pStyle w:val="Compact"/>
        <w:numPr>
          <w:ilvl w:val="0"/>
          <w:numId w:val="1063"/>
        </w:numPr>
      </w:pPr>
      <w:r>
        <w:t xml:space="preserve">คัดกรองลูกค้า, กรรมการ, BO และผู้เกี่ยวข้อง กับบัญชีรายชื่อต่อไปนี้</w:t>
      </w:r>
      <w:r>
        <w:t xml:space="preserve"> </w:t>
      </w:r>
      <w:r>
        <w:rPr>
          <w:b/>
          <w:bCs/>
        </w:rPr>
        <w:t xml:space="preserve">ณ ตอนรับลูกค้า และแบบต่อเนื่อง (rescreening)</w:t>
      </w:r>
      <w:r>
        <w:t xml:space="preserve">:</w:t>
      </w:r>
    </w:p>
    <w:p>
      <w:pPr>
        <w:pStyle w:val="Compact"/>
        <w:numPr>
          <w:ilvl w:val="1"/>
          <w:numId w:val="1064"/>
        </w:numPr>
      </w:pPr>
      <w:r>
        <w:rPr>
          <w:b/>
          <w:bCs/>
        </w:rPr>
        <w:t xml:space="preserve">บัญชีรายชื่อบุคคลที่ถูกกำหนด (Designated Persons List)</w:t>
      </w:r>
      <w:r>
        <w:t xml:space="preserve"> </w:t>
      </w:r>
      <w:r>
        <w:t xml:space="preserve">ตาม CTPF Act ที่เผยแพร่โดย ปปง.</w:t>
      </w:r>
    </w:p>
    <w:p>
      <w:pPr>
        <w:pStyle w:val="Compact"/>
        <w:numPr>
          <w:ilvl w:val="1"/>
          <w:numId w:val="1064"/>
        </w:numPr>
      </w:pPr>
      <w:r>
        <w:rPr>
          <w:b/>
          <w:bCs/>
        </w:rPr>
        <w:t xml:space="preserve">UN Security Council Consolidated List</w:t>
      </w:r>
    </w:p>
    <w:p>
      <w:pPr>
        <w:pStyle w:val="Compact"/>
        <w:numPr>
          <w:ilvl w:val="1"/>
          <w:numId w:val="1064"/>
        </w:numPr>
      </w:pPr>
      <w:r>
        <w:rPr>
          <w:b/>
          <w:bCs/>
        </w:rPr>
        <w:t xml:space="preserve">OFAC (SDN), EU, UK (OFSI/HMT)</w:t>
      </w:r>
      <w:r>
        <w:t xml:space="preserve"> </w:t>
      </w:r>
      <w:r>
        <w:t xml:space="preserve">และ sanctions lists สากลอื่นที่เกี่ยวข้อง</w:t>
      </w:r>
    </w:p>
    <w:p>
      <w:pPr>
        <w:pStyle w:val="Compact"/>
        <w:numPr>
          <w:ilvl w:val="1"/>
          <w:numId w:val="1064"/>
        </w:numPr>
      </w:pPr>
      <w:r>
        <w:t xml:space="preserve">บัญชี</w:t>
      </w:r>
      <w:r>
        <w:t xml:space="preserve"> </w:t>
      </w:r>
      <w:r>
        <w:rPr>
          <w:b/>
          <w:bCs/>
        </w:rPr>
        <w:t xml:space="preserve">PEP</w:t>
      </w:r>
      <w:r>
        <w:t xml:space="preserve"> </w:t>
      </w:r>
      <w:r>
        <w:t xml:space="preserve">(ผู้ดำรงตำแหน่งทางการเมือง) ทั้งในและต่างประเทศ</w:t>
      </w:r>
    </w:p>
    <w:p>
      <w:pPr>
        <w:pStyle w:val="Compact"/>
        <w:numPr>
          <w:ilvl w:val="0"/>
          <w:numId w:val="1063"/>
        </w:numPr>
      </w:pPr>
      <w:r>
        <w:rPr>
          <w:b/>
          <w:bCs/>
        </w:rPr>
        <w:t xml:space="preserve">ความถี่:</w:t>
      </w:r>
      <w:r>
        <w:t xml:space="preserve"> </w:t>
      </w:r>
      <w:r>
        <w:t xml:space="preserve">ทันทีที่รับลูกค้า และ</w:t>
      </w:r>
      <w:r>
        <w:t xml:space="preserve"> </w:t>
      </w:r>
      <w:r>
        <w:rPr>
          <w:b/>
          <w:bCs/>
        </w:rPr>
        <w:t xml:space="preserve">rescreen อย่างน้อยทุก 24 ชั่วโมง</w:t>
      </w:r>
      <w:r>
        <w:t xml:space="preserve"> </w:t>
      </w:r>
      <w:r>
        <w:t xml:space="preserve">เมื่อบัญชีรายชื่อมีการปรับปรุง (delta screening)</w:t>
      </w:r>
    </w:p>
    <w:p>
      <w:pPr>
        <w:pStyle w:val="Compact"/>
        <w:numPr>
          <w:ilvl w:val="0"/>
          <w:numId w:val="1063"/>
        </w:numPr>
      </w:pPr>
      <w:r>
        <w:rPr>
          <w:b/>
          <w:bCs/>
        </w:rPr>
        <w:t xml:space="preserve">การจับคู่ (match handling):</w:t>
      </w:r>
      <w:r>
        <w:t xml:space="preserve"> </w:t>
      </w:r>
      <w:r>
        <w:t xml:space="preserve">ทุก potential match ต้องเข้าสู่</w:t>
      </w:r>
      <w:r>
        <w:t xml:space="preserve"> </w:t>
      </w:r>
      <w:r>
        <w:rPr>
          <w:b/>
          <w:bCs/>
        </w:rPr>
        <w:t xml:space="preserve">case review</w:t>
      </w:r>
      <w:r>
        <w:t xml:space="preserve"> </w:t>
      </w:r>
      <w:r>
        <w:t xml:space="preserve">โดย analyst → ตัดสิน false/true positive → บันทึกเหตุผล</w:t>
      </w:r>
    </w:p>
    <w:p>
      <w:pPr>
        <w:pStyle w:val="Compact"/>
        <w:numPr>
          <w:ilvl w:val="0"/>
          <w:numId w:val="1063"/>
        </w:numPr>
      </w:pPr>
      <w:r>
        <w:rPr>
          <w:b/>
          <w:bCs/>
        </w:rPr>
        <w:t xml:space="preserve">True match ตาม CTPF Act:</w:t>
      </w:r>
      <w:r>
        <w:t xml:space="preserve"> </w:t>
      </w:r>
      <w:r>
        <w:t xml:space="preserve">ต้อง</w:t>
      </w:r>
      <w:r>
        <w:t xml:space="preserve"> </w:t>
      </w:r>
      <w:r>
        <w:rPr>
          <w:b/>
          <w:bCs/>
        </w:rPr>
        <w:t xml:space="preserve">ระงับการดำเนินการกับทรัพย์สินทันที (asset freezing)</w:t>
      </w:r>
      <w:r>
        <w:t xml:space="preserve"> </w:t>
      </w:r>
      <w:r>
        <w:t xml:space="preserve">และรายงานต่อ ปปง. โดยไม่ชักช้า และห้ามแจ้งลูกค้า (no tipping-off)</w:t>
      </w:r>
    </w:p>
    <w:p>
      <w:pPr>
        <w:pStyle w:val="BlockText"/>
      </w:pPr>
      <w:r>
        <w:rPr>
          <w:b/>
          <w:bCs/>
        </w:rPr>
        <w:t xml:space="preserve">[TODO/ข้อสมมติ — ผู้ให้บริการภายนอก]</w:t>
      </w:r>
      <w:r>
        <w:t xml:space="preserve"> </w:t>
      </w:r>
      <w:r>
        <w:t xml:space="preserve">ยังไม่ได้เลือกผู้ให้บริการ screening (เช่น ระบบ sanctions/PEP/adverse media ของ vendor รายใด) — ต้องระบุชื่อ vendor, ข้อตกลงระดับบริการ (SLA) และความถี่การปรับปรุงฐานข้อมูลก่อนยื่นจริง</w:t>
      </w:r>
    </w:p>
    <w:p>
      <w:r>
        <w:pict>
          <v:rect style="width:0;height:1.5pt" o:hralign="center" o:hrstd="t" o:hr="t"/>
        </w:pict>
      </w:r>
    </w:p>
    <w:bookmarkEnd w:id="208"/>
    <w:bookmarkStart w:id="209" w:name="Xf5ceb642d0a29f35cd9a884b15b5841d1a15dd1"/>
    <w:p>
      <w:pPr>
        <w:pStyle w:val="Heading2"/>
      </w:pPr>
      <w:r>
        <w:t xml:space="preserve">5. การตรวจสอบเข้มข้น (Enhanced Due Diligence — EDD)</w:t>
      </w:r>
    </w:p>
    <w:p>
      <w:pPr>
        <w:pStyle w:val="FirstParagraph"/>
      </w:pPr>
      <w:r>
        <w:t xml:space="preserve">ใช้ EDD กับลูกค้า/ธุรกรรมที่จัดอยู่ในระดับ</w:t>
      </w:r>
      <w:r>
        <w:t xml:space="preserve"> </w:t>
      </w:r>
      <w:r>
        <w:rPr>
          <w:b/>
          <w:bCs/>
        </w:rPr>
        <w:t xml:space="preserve">สูง</w:t>
      </w:r>
      <w:r>
        <w:t xml:space="preserve"> </w:t>
      </w:r>
      <w:r>
        <w:t xml:space="preserve">หรือเข้าเงื่อนไขต่อไปนี้:</w:t>
      </w:r>
    </w:p>
    <w:p>
      <w:pPr>
        <w:pStyle w:val="Compact"/>
        <w:numPr>
          <w:ilvl w:val="0"/>
          <w:numId w:val="1065"/>
        </w:numPr>
      </w:pPr>
      <w:r>
        <w:t xml:space="preserve">เกี่ยวข้องกับ</w:t>
      </w:r>
      <w:r>
        <w:t xml:space="preserve"> </w:t>
      </w:r>
      <w:r>
        <w:rPr>
          <w:b/>
          <w:bCs/>
        </w:rPr>
        <w:t xml:space="preserve">PEP</w:t>
      </w:r>
      <w:r>
        <w:t xml:space="preserve"> </w:t>
      </w:r>
      <w:r>
        <w:t xml:space="preserve">หรือครอบครัว/ผู้ใกล้ชิดของ PEP</w:t>
      </w:r>
    </w:p>
    <w:p>
      <w:pPr>
        <w:pStyle w:val="Compact"/>
        <w:numPr>
          <w:ilvl w:val="0"/>
          <w:numId w:val="1065"/>
        </w:numPr>
      </w:pPr>
      <w:r>
        <w:t xml:space="preserve">ธุรกิจใน</w:t>
      </w:r>
      <w:r>
        <w:t xml:space="preserve"> </w:t>
      </w:r>
      <w:r>
        <w:rPr>
          <w:b/>
          <w:bCs/>
        </w:rPr>
        <w:t xml:space="preserve">high-risk MCC</w:t>
      </w:r>
      <w:r>
        <w:t xml:space="preserve"> </w:t>
      </w:r>
      <w:r>
        <w:t xml:space="preserve">(crypto, gambling, forex/CFD, adult, marketplace ที่มีผู้ขายย่อย)</w:t>
      </w:r>
    </w:p>
    <w:p>
      <w:pPr>
        <w:pStyle w:val="Compact"/>
        <w:numPr>
          <w:ilvl w:val="0"/>
          <w:numId w:val="1065"/>
        </w:numPr>
      </w:pPr>
      <w:r>
        <w:t xml:space="preserve">ธุรกรรม</w:t>
      </w:r>
      <w:r>
        <w:t xml:space="preserve"> </w:t>
      </w:r>
      <w:r>
        <w:rPr>
          <w:b/>
          <w:bCs/>
        </w:rPr>
        <w:t xml:space="preserve">cross-border</w:t>
      </w:r>
      <w:r>
        <w:t xml:space="preserve"> </w:t>
      </w:r>
      <w:r>
        <w:t xml:space="preserve">หรือเกี่ยวข้องกับประเทศความเสี่ยงสูง (FATF grey/black list)</w:t>
      </w:r>
    </w:p>
    <w:p>
      <w:pPr>
        <w:pStyle w:val="Compact"/>
        <w:numPr>
          <w:ilvl w:val="0"/>
          <w:numId w:val="1065"/>
        </w:numPr>
      </w:pPr>
      <w:r>
        <w:t xml:space="preserve">โครงสร้างการถือหุ้นซับซ้อน/ไม่โปร่งใส หรือปฏิเสธการเปิดเผย BO</w:t>
      </w:r>
    </w:p>
    <w:p>
      <w:pPr>
        <w:pStyle w:val="Compact"/>
        <w:numPr>
          <w:ilvl w:val="0"/>
          <w:numId w:val="1065"/>
        </w:numPr>
      </w:pPr>
      <w:r>
        <w:t xml:space="preserve">ปริมาณธุรกรรมจริงเบี่ยงเบนจาก baseline อย่างมีนัยสำคัญ</w:t>
      </w:r>
    </w:p>
    <w:p>
      <w:pPr>
        <w:pStyle w:val="FirstParagraph"/>
      </w:pPr>
      <w:r>
        <w:rPr>
          <w:b/>
          <w:bCs/>
        </w:rPr>
        <w:t xml:space="preserve">มาตรการ EDD เพิ่มเติม:</w:t>
      </w:r>
    </w:p>
    <w:p>
      <w:pPr>
        <w:pStyle w:val="Compact"/>
        <w:numPr>
          <w:ilvl w:val="0"/>
          <w:numId w:val="1066"/>
        </w:numPr>
      </w:pPr>
      <w:r>
        <w:t xml:space="preserve">ขอเอกสารพิสูจน์แหล่งที่มาของเงินทุน/รายได้ (Source of Funds / Source of Wealth)</w:t>
      </w:r>
    </w:p>
    <w:p>
      <w:pPr>
        <w:pStyle w:val="Compact"/>
        <w:numPr>
          <w:ilvl w:val="0"/>
          <w:numId w:val="1066"/>
        </w:numPr>
      </w:pPr>
      <w:r>
        <w:t xml:space="preserve">ตรวจ</w:t>
      </w:r>
      <w:r>
        <w:t xml:space="preserve"> </w:t>
      </w:r>
      <w:r>
        <w:rPr>
          <w:b/>
          <w:bCs/>
        </w:rPr>
        <w:t xml:space="preserve">adverse media / negative news</w:t>
      </w:r>
      <w:r>
        <w:t xml:space="preserve"> </w:t>
      </w:r>
      <w:r>
        <w:t xml:space="preserve">ของลูกค้าและ BO</w:t>
      </w:r>
    </w:p>
    <w:p>
      <w:pPr>
        <w:pStyle w:val="Compact"/>
        <w:numPr>
          <w:ilvl w:val="0"/>
          <w:numId w:val="1066"/>
        </w:numPr>
      </w:pPr>
      <w:r>
        <w:t xml:space="preserve">เยี่ยมสถานประกอบการ (site visit) หรือ virtual verification สำหรับ high-risk</w:t>
      </w:r>
    </w:p>
    <w:p>
      <w:pPr>
        <w:pStyle w:val="Compact"/>
        <w:numPr>
          <w:ilvl w:val="0"/>
          <w:numId w:val="1066"/>
        </w:numPr>
      </w:pPr>
      <w:r>
        <w:t xml:space="preserve">อนุมัติโดย</w:t>
      </w:r>
      <w:r>
        <w:t xml:space="preserve"> </w:t>
      </w:r>
      <w:r>
        <w:rPr>
          <w:b/>
          <w:bCs/>
        </w:rPr>
        <w:t xml:space="preserve">MLRO หรือคณะกรรมการกำกับการปฏิบัติงาน</w:t>
      </w:r>
      <w:r>
        <w:t xml:space="preserve"> </w:t>
      </w:r>
      <w:r>
        <w:t xml:space="preserve">ก่อน go-live</w:t>
      </w:r>
    </w:p>
    <w:p>
      <w:pPr>
        <w:pStyle w:val="Compact"/>
        <w:numPr>
          <w:ilvl w:val="0"/>
          <w:numId w:val="1066"/>
        </w:numPr>
      </w:pPr>
      <w:r>
        <w:t xml:space="preserve">เพิ่มความถี่การเฝ้าระวังและลด threshold การแจ้งเตือน</w:t>
      </w:r>
    </w:p>
    <w:p>
      <w:pPr>
        <w:pStyle w:val="Compact"/>
        <w:numPr>
          <w:ilvl w:val="0"/>
          <w:numId w:val="1066"/>
        </w:numPr>
      </w:pPr>
      <w:r>
        <w:t xml:space="preserve">ทบทวนความสัมพันธ์ทุก 12 เดือน (หรือถี่กว่าเมื่อความเสี่ยงเปลี่ยน)</w:t>
      </w:r>
    </w:p>
    <w:p>
      <w:r>
        <w:pict>
          <v:rect style="width:0;height:1.5pt" o:hralign="center" o:hrstd="t" o:hr="t"/>
        </w:pict>
      </w:r>
    </w:p>
    <w:bookmarkEnd w:id="209"/>
    <w:bookmarkStart w:id="213" w:name="X6f2e1c35838217381695ca18c26bec597cb0b5c"/>
    <w:p>
      <w:pPr>
        <w:pStyle w:val="Heading2"/>
      </w:pPr>
      <w:r>
        <w:t xml:space="preserve">6. การเฝ้าระวังธุรกรรมต่อเนื่อง (Ongoing Monitoring) และการรายงาน</w:t>
      </w:r>
    </w:p>
    <w:bookmarkStart w:id="210" w:name="การเฝาระวงธรกรรม"/>
    <w:p>
      <w:pPr>
        <w:pStyle w:val="Heading3"/>
      </w:pPr>
      <w:r>
        <w:t xml:space="preserve">6.1 การเฝ้าระวังธุรกรรม</w:t>
      </w:r>
    </w:p>
    <w:p>
      <w:pPr>
        <w:pStyle w:val="Compact"/>
        <w:numPr>
          <w:ilvl w:val="0"/>
          <w:numId w:val="1067"/>
        </w:numPr>
      </w:pPr>
      <w:r>
        <w:t xml:space="preserve">ระบบเฝ้าระวังธุรกรรมทำงานแบบ</w:t>
      </w:r>
      <w:r>
        <w:t xml:space="preserve"> </w:t>
      </w:r>
      <w:r>
        <w:rPr>
          <w:b/>
          <w:bCs/>
        </w:rPr>
        <w:t xml:space="preserve">near-real-time</w:t>
      </w:r>
      <w:r>
        <w:t xml:space="preserve"> </w:t>
      </w:r>
      <w:r>
        <w:t xml:space="preserve">+</w:t>
      </w:r>
      <w:r>
        <w:t xml:space="preserve"> </w:t>
      </w:r>
      <w:r>
        <w:rPr>
          <w:b/>
          <w:bCs/>
        </w:rPr>
        <w:t xml:space="preserve">batch</w:t>
      </w:r>
      <w:r>
        <w:t xml:space="preserve"> </w:t>
      </w:r>
      <w:r>
        <w:t xml:space="preserve">ตรวจจับรูปแบบผิดปกติเทียบกับ baseline ของลูกค้าแต่ละราย</w:t>
      </w:r>
    </w:p>
    <w:p>
      <w:pPr>
        <w:pStyle w:val="Compact"/>
        <w:numPr>
          <w:ilvl w:val="0"/>
          <w:numId w:val="1067"/>
        </w:numPr>
      </w:pPr>
      <w:r>
        <w:t xml:space="preserve">ตัวอย่างสถานการณ์แจ้งเตือน (monitoring scenarios):</w:t>
      </w:r>
    </w:p>
    <w:p>
      <w:pPr>
        <w:pStyle w:val="Compact"/>
        <w:numPr>
          <w:ilvl w:val="1"/>
          <w:numId w:val="1068"/>
        </w:numPr>
      </w:pPr>
      <w:r>
        <w:t xml:space="preserve">ปริมาณ/มูลค่าธุรกรรมพุ่งสูงผิดปกติเทียบ baseline (volume spike)</w:t>
      </w:r>
    </w:p>
    <w:p>
      <w:pPr>
        <w:pStyle w:val="Compact"/>
        <w:numPr>
          <w:ilvl w:val="1"/>
          <w:numId w:val="1068"/>
        </w:numPr>
      </w:pPr>
      <w:r>
        <w:t xml:space="preserve">อัตรา chargeback/refund สูงผิดปกติ (บ่งชี้ fraud/transaction laundering)</w:t>
      </w:r>
    </w:p>
    <w:p>
      <w:pPr>
        <w:pStyle w:val="Compact"/>
        <w:numPr>
          <w:ilvl w:val="1"/>
          <w:numId w:val="1068"/>
        </w:numPr>
      </w:pPr>
      <w:r>
        <w:t xml:space="preserve">ธุรกรรมกระจายเป็นก้อนย่อยเพื่อเลี่ยง threshold (structuring / smurfing)</w:t>
      </w:r>
    </w:p>
    <w:p>
      <w:pPr>
        <w:pStyle w:val="Compact"/>
        <w:numPr>
          <w:ilvl w:val="1"/>
          <w:numId w:val="1068"/>
        </w:numPr>
      </w:pPr>
      <w:r>
        <w:t xml:space="preserve">ธุรกรรม card testing (BIN attack) — ยอดเล็กจำนวนมากในเวลาสั้น</w:t>
      </w:r>
    </w:p>
    <w:p>
      <w:pPr>
        <w:pStyle w:val="Compact"/>
        <w:numPr>
          <w:ilvl w:val="1"/>
          <w:numId w:val="1068"/>
        </w:numPr>
      </w:pPr>
      <w:r>
        <w:t xml:space="preserve">ธุรกรรมจากประเทศความเสี่ยงสูง หรือ IP/geolocation ไม่สอดคล้อง</w:t>
      </w:r>
    </w:p>
    <w:p>
      <w:pPr>
        <w:pStyle w:val="Compact"/>
        <w:numPr>
          <w:ilvl w:val="1"/>
          <w:numId w:val="1068"/>
        </w:numPr>
      </w:pPr>
      <w:r>
        <w:t xml:space="preserve">ธุรกรรม round-amount ซ้ำ ๆ, การใช้บัตรจำนวนมากผิดปกติต่อผู้ค้า</w:t>
      </w:r>
    </w:p>
    <w:p>
      <w:pPr>
        <w:pStyle w:val="Compact"/>
        <w:numPr>
          <w:ilvl w:val="0"/>
          <w:numId w:val="1067"/>
        </w:numPr>
      </w:pPr>
      <w:r>
        <w:t xml:space="preserve">สัญญาณจาก</w:t>
      </w:r>
      <w:r>
        <w:t xml:space="preserve"> </w:t>
      </w:r>
      <w:r>
        <w:rPr>
          <w:b/>
          <w:bCs/>
        </w:rPr>
        <w:t xml:space="preserve">3DS 2.x</w:t>
      </w:r>
      <w:r>
        <w:t xml:space="preserve"> </w:t>
      </w:r>
      <w:r>
        <w:t xml:space="preserve">และ risk scoring ที่ authorization ใช้เสริมการประเมิน</w:t>
      </w:r>
    </w:p>
    <w:bookmarkEnd w:id="210"/>
    <w:bookmarkStart w:id="211" w:name="หนาทการรายงานตอ-ปปง.-amlo-reporting"/>
    <w:p>
      <w:pPr>
        <w:pStyle w:val="Heading3"/>
      </w:pPr>
      <w:r>
        <w:t xml:space="preserve">6.2 หน้าที่การรายงานต่อ ปปง. (AMLO Reporting)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ประเภทรายงาน</w:t>
            </w:r>
          </w:p>
        </w:tc>
        <w:tc>
          <w:tcPr/>
          <w:p>
            <w:pPr>
              <w:pStyle w:val="Compact"/>
            </w:pPr>
            <w:r>
              <w:t xml:space="preserve">เกณฑ์ (ตามกฎหมายไทย)</w:t>
            </w:r>
          </w:p>
        </w:tc>
        <w:tc>
          <w:tcPr/>
          <w:p>
            <w:pPr>
              <w:pStyle w:val="Compact"/>
            </w:pPr>
            <w:r>
              <w:t xml:space="preserve">กรอบเวลา</w:t>
            </w:r>
          </w:p>
        </w:tc>
      </w:tr>
      <w:tr>
        <w:tc>
          <w:tcPr/>
          <w:p>
            <w:pPr>
              <w:pStyle w:val="Compact"/>
            </w:pPr>
            <w:r>
              <w:rPr>
                <w:b/>
                <w:bCs/>
              </w:rPr>
              <w:t xml:space="preserve">ธุรกรรมเงินสด (Cash Transaction Report)</w:t>
            </w:r>
          </w:p>
        </w:tc>
        <w:tc>
          <w:tcPr/>
          <w:p>
            <w:pPr>
              <w:pStyle w:val="Compact"/>
            </w:pPr>
            <w:r>
              <w:t xml:space="preserve">ตั้งแต่</w:t>
            </w:r>
            <w:r>
              <w:t xml:space="preserve"> </w:t>
            </w:r>
            <w:r>
              <w:rPr>
                <w:b/>
                <w:bCs/>
              </w:rPr>
              <w:t xml:space="preserve">2,000,000 บาท</w:t>
            </w:r>
            <w:r>
              <w:t xml:space="preserve"> </w:t>
            </w:r>
            <w:r>
              <w:t xml:space="preserve">ขึ้นไป</w:t>
            </w:r>
          </w:p>
        </w:tc>
        <w:tc>
          <w:tcPr/>
          <w:p>
            <w:pPr>
              <w:pStyle w:val="Compact"/>
            </w:pPr>
            <w:r>
              <w:t xml:space="preserve">ตามกำหนดของ ปปง.</w:t>
            </w:r>
          </w:p>
        </w:tc>
      </w:tr>
      <w:tr>
        <w:tc>
          <w:tcPr/>
          <w:p>
            <w:pPr>
              <w:pStyle w:val="Compact"/>
            </w:pPr>
            <w:r>
              <w:rPr>
                <w:b/>
                <w:bCs/>
              </w:rPr>
              <w:t xml:space="preserve">ธุรกรรมเกี่ยวกับทรัพย์สิน</w:t>
            </w:r>
          </w:p>
        </w:tc>
        <w:tc>
          <w:tcPr/>
          <w:p>
            <w:pPr>
              <w:pStyle w:val="Compact"/>
            </w:pPr>
            <w:r>
              <w:t xml:space="preserve">ตั้งแต่</w:t>
            </w:r>
            <w:r>
              <w:t xml:space="preserve"> </w:t>
            </w:r>
            <w:r>
              <w:rPr>
                <w:b/>
                <w:bCs/>
              </w:rPr>
              <w:t xml:space="preserve">5,000,000 บาท</w:t>
            </w:r>
            <w:r>
              <w:t xml:space="preserve"> </w:t>
            </w:r>
            <w:r>
              <w:t xml:space="preserve">ขึ้นไป</w:t>
            </w:r>
          </w:p>
        </w:tc>
        <w:tc>
          <w:tcPr/>
          <w:p>
            <w:pPr>
              <w:pStyle w:val="Compact"/>
            </w:pPr>
            <w:r>
              <w:t xml:space="preserve">ตามกำหนดของ ปปง.</w:t>
            </w:r>
          </w:p>
        </w:tc>
      </w:tr>
      <w:tr>
        <w:tc>
          <w:tcPr/>
          <w:p>
            <w:pPr>
              <w:pStyle w:val="Compact"/>
            </w:pPr>
            <w:r>
              <w:rPr>
                <w:b/>
                <w:bCs/>
              </w:rPr>
              <w:t xml:space="preserve">ธุรกรรมที่มีเหตุอันควรสงสัย (Suspicious Transaction Report — STR)</w:t>
            </w:r>
          </w:p>
        </w:tc>
        <w:tc>
          <w:tcPr/>
          <w:p>
            <w:pPr>
              <w:pStyle w:val="Compact"/>
            </w:pPr>
            <w:r>
              <w:t xml:space="preserve">เมื่อมีเหตุอันควรสงสัย ไม่มีขั้นต่ำจำนวนเงิน</w:t>
            </w:r>
          </w:p>
        </w:tc>
        <w:tc>
          <w:tcPr/>
          <w:p>
            <w:pPr>
              <w:pStyle w:val="Compact"/>
            </w:pPr>
            <w:r>
              <w:rPr>
                <w:b/>
                <w:bCs/>
              </w:rPr>
              <w:t xml:space="preserve">โดยไม่ชักช้า</w:t>
            </w:r>
            <w:r>
              <w:t xml:space="preserve"> </w:t>
            </w:r>
            <w:r>
              <w:t xml:space="preserve">หลังพบเหตุ</w:t>
            </w:r>
          </w:p>
        </w:tc>
      </w:tr>
    </w:tbl>
    <w:p>
      <w:pPr>
        <w:pStyle w:val="BlockText"/>
      </w:pPr>
      <w:r>
        <w:rPr>
          <w:b/>
          <w:bCs/>
        </w:rPr>
        <w:t xml:space="preserve">หมายเหตุ:</w:t>
      </w:r>
      <w:r>
        <w:t xml:space="preserve"> </w:t>
      </w:r>
      <w:r>
        <w:t xml:space="preserve">โมเดลธุรกิจ acquiring เป็นธุรกรรมทางอิเล็กทรอนิกส์ (ไม่ใช่เงินสด) เป็นหลัก จึงเน้นที่</w:t>
      </w:r>
      <w:r>
        <w:t xml:space="preserve"> </w:t>
      </w:r>
      <w:r>
        <w:rPr>
          <w:b/>
          <w:bCs/>
        </w:rPr>
        <w:t xml:space="preserve">STR</w:t>
      </w:r>
      <w:r>
        <w:t xml:space="preserve"> </w:t>
      </w:r>
      <w:r>
        <w:t xml:space="preserve">และเกณฑ์ธุรกรรมทรัพย์สินเป็นสำคัญ — ต้องยืนยันเกณฑ์/แบบฟอร์มที่ใช้จริงกับ ปปง.</w:t>
      </w:r>
    </w:p>
    <w:p>
      <w:pPr>
        <w:pStyle w:val="BlockText"/>
      </w:pPr>
      <w:r>
        <w:rPr>
          <w:b/>
          <w:bCs/>
        </w:rPr>
        <w:t xml:space="preserve">[TODO/ข้อสมมติ]</w:t>
      </w:r>
      <w:r>
        <w:t xml:space="preserve"> </w:t>
      </w:r>
      <w:r>
        <w:t xml:space="preserve">ยืนยันเกณฑ์มูลค่าและช่องทางรายงานอิเล็กทรอนิกส์ (AERS ของ ปปง.) รวมถึงกำหนดเวลารายงานที่บังคับใช้ ณ วันยื่นคำขอ กับที่ปรึกษากฎหมาย/MLRO</w:t>
      </w:r>
    </w:p>
    <w:bookmarkEnd w:id="211"/>
    <w:bookmarkStart w:id="212" w:name="กระบวนการจดการ-alert-และ-str"/>
    <w:p>
      <w:pPr>
        <w:pStyle w:val="Heading3"/>
      </w:pPr>
      <w:r>
        <w:t xml:space="preserve">6.3 กระบวนการจัดการ Alert และ STR</w:t>
      </w:r>
    </w:p>
    <w:p>
      <w:pPr>
        <w:pStyle w:val="Compact"/>
        <w:numPr>
          <w:ilvl w:val="0"/>
          <w:numId w:val="1069"/>
        </w:numPr>
      </w:pPr>
      <w:r>
        <w:t xml:space="preserve">ระบบสร้าง alert → เข้า</w:t>
      </w:r>
      <w:r>
        <w:t xml:space="preserve"> </w:t>
      </w:r>
      <w:r>
        <w:rPr>
          <w:b/>
          <w:bCs/>
        </w:rPr>
        <w:t xml:space="preserve">case management queue</w:t>
      </w:r>
    </w:p>
    <w:p>
      <w:pPr>
        <w:pStyle w:val="Compact"/>
        <w:numPr>
          <w:ilvl w:val="0"/>
          <w:numId w:val="1069"/>
        </w:numPr>
      </w:pPr>
      <w:r>
        <w:t xml:space="preserve">Analyst สืบสวน รวบรวมหลักฐาน บันทึกเหตุผลการตัดสิน</w:t>
      </w:r>
    </w:p>
    <w:p>
      <w:pPr>
        <w:pStyle w:val="Compact"/>
        <w:numPr>
          <w:ilvl w:val="0"/>
          <w:numId w:val="1069"/>
        </w:numPr>
      </w:pPr>
      <w:r>
        <w:t xml:space="preserve">หากเข้าข่ายสงสัย → ยกระดับให้</w:t>
      </w:r>
      <w:r>
        <w:t xml:space="preserve"> </w:t>
      </w:r>
      <w:r>
        <w:rPr>
          <w:b/>
          <w:bCs/>
        </w:rPr>
        <w:t xml:space="preserve">MLRO</w:t>
      </w:r>
    </w:p>
    <w:p>
      <w:pPr>
        <w:pStyle w:val="Compact"/>
        <w:numPr>
          <w:ilvl w:val="0"/>
          <w:numId w:val="1069"/>
        </w:numPr>
      </w:pPr>
      <w:r>
        <w:t xml:space="preserve">MLRO ตัดสินยื่น</w:t>
      </w:r>
      <w:r>
        <w:t xml:space="preserve"> </w:t>
      </w:r>
      <w:r>
        <w:rPr>
          <w:b/>
          <w:bCs/>
        </w:rPr>
        <w:t xml:space="preserve">STR</w:t>
      </w:r>
      <w:r>
        <w:t xml:space="preserve"> </w:t>
      </w:r>
      <w:r>
        <w:t xml:space="preserve">ต่อ ปปง. และพิจารณา</w:t>
      </w:r>
      <w:r>
        <w:t xml:space="preserve"> </w:t>
      </w:r>
      <w:r>
        <w:rPr>
          <w:b/>
          <w:bCs/>
        </w:rPr>
        <w:t xml:space="preserve">freeze / offboard</w:t>
      </w:r>
    </w:p>
    <w:p>
      <w:pPr>
        <w:pStyle w:val="Compact"/>
        <w:numPr>
          <w:ilvl w:val="0"/>
          <w:numId w:val="1069"/>
        </w:numPr>
      </w:pPr>
      <w:r>
        <w:t xml:space="preserve">ห้าม tipping-off ลูกค้า</w:t>
      </w:r>
    </w:p>
    <w:p>
      <w:pPr>
        <w:pStyle w:val="Compact"/>
        <w:numPr>
          <w:ilvl w:val="0"/>
          <w:numId w:val="1069"/>
        </w:numPr>
      </w:pPr>
      <w:r>
        <w:t xml:space="preserve">เก็บ audit trail ทุกขั้นตอนแบบ append-only</w:t>
      </w:r>
    </w:p>
    <w:p>
      <w:r>
        <w:pict>
          <v:rect style="width:0;height:1.5pt" o:hralign="center" o:hrstd="t" o:hr="t"/>
        </w:pict>
      </w:r>
    </w:p>
    <w:bookmarkEnd w:id="212"/>
    <w:bookmarkEnd w:id="213"/>
    <w:bookmarkStart w:id="214" w:name="การเกบรกษาบนทกและเอกสาร-record-keeping"/>
    <w:p>
      <w:pPr>
        <w:pStyle w:val="Heading2"/>
      </w:pPr>
      <w:r>
        <w:t xml:space="preserve">7. การเก็บรักษาบันทึกและเอกสาร (Record Keeping)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ประเภทข้อมูล</w:t>
            </w:r>
          </w:p>
        </w:tc>
        <w:tc>
          <w:tcPr/>
          <w:p>
            <w:pPr>
              <w:pStyle w:val="Compact"/>
            </w:pPr>
            <w:r>
              <w:t xml:space="preserve">ระยะเวลาเก็บขั้นต่ำ</w:t>
            </w:r>
          </w:p>
        </w:tc>
        <w:tc>
          <w:tcPr/>
          <w:p>
            <w:pPr>
              <w:pStyle w:val="Compact"/>
            </w:pPr>
            <w:r>
              <w:t xml:space="preserve">หมายเหตุ</w:t>
            </w:r>
          </w:p>
        </w:tc>
      </w:tr>
      <w:tr>
        <w:tc>
          <w:tcPr/>
          <w:p>
            <w:pPr>
              <w:pStyle w:val="Compact"/>
            </w:pPr>
            <w:r>
              <w:t xml:space="preserve">เอกสาร CDD/KYC และเอกสารระบุตัวตน</w:t>
            </w:r>
          </w:p>
        </w:tc>
        <w:tc>
          <w:tcPr/>
          <w:p>
            <w:pPr>
              <w:pStyle w:val="Compact"/>
            </w:pPr>
            <w:r>
              <w:rPr>
                <w:b/>
                <w:bCs/>
              </w:rPr>
              <w:t xml:space="preserve">≥ 10 ปี</w:t>
            </w:r>
            <w:r>
              <w:t xml:space="preserve"> </w:t>
            </w:r>
            <w:r>
              <w:t xml:space="preserve">นับแต่วันสิ้นสุดความสัมพันธ์</w:t>
            </w:r>
          </w:p>
        </w:tc>
        <w:tc>
          <w:tcPr/>
          <w:p>
            <w:pPr>
              <w:pStyle w:val="Compact"/>
            </w:pPr>
            <w:r>
              <w:t xml:space="preserve">ตาม พ.ร.บ. ปปง.</w:t>
            </w:r>
          </w:p>
        </w:tc>
      </w:tr>
      <w:tr>
        <w:tc>
          <w:tcPr/>
          <w:p>
            <w:pPr>
              <w:pStyle w:val="Compact"/>
            </w:pPr>
            <w:r>
              <w:t xml:space="preserve">บันทึกธุรกรรมและ ledger</w:t>
            </w:r>
          </w:p>
        </w:tc>
        <w:tc>
          <w:tcPr/>
          <w:p>
            <w:pPr>
              <w:pStyle w:val="Compact"/>
            </w:pPr>
            <w:r>
              <w:rPr>
                <w:b/>
                <w:bCs/>
              </w:rPr>
              <w:t xml:space="preserve">≥ 10 ปี</w:t>
            </w:r>
            <w:r>
              <w:t xml:space="preserve"> </w:t>
            </w:r>
            <w:r>
              <w:t xml:space="preserve">นับแต่วันทำธุรกรรม</w:t>
            </w:r>
          </w:p>
        </w:tc>
        <w:tc>
          <w:tcPr/>
          <w:p>
            <w:pPr>
              <w:pStyle w:val="Compact"/>
            </w:pPr>
            <w:r>
              <w:t xml:space="preserve">สอดคล้องกับ append-only ledger ในสถาปัตยกรรม</w:t>
            </w:r>
          </w:p>
        </w:tc>
      </w:tr>
      <w:tr>
        <w:tc>
          <w:tcPr/>
          <w:p>
            <w:pPr>
              <w:pStyle w:val="Compact"/>
            </w:pPr>
            <w:r>
              <w:t xml:space="preserve">เอกสารการรายงาน (STR/CTR) และหลักฐานประกอบ</w:t>
            </w:r>
          </w:p>
        </w:tc>
        <w:tc>
          <w:tcPr/>
          <w:p>
            <w:pPr>
              <w:pStyle w:val="Compact"/>
            </w:pPr>
            <w:r>
              <w:rPr>
                <w:b/>
                <w:bCs/>
              </w:rPr>
              <w:t xml:space="preserve">≥ 10 ปี</w:t>
            </w:r>
          </w:p>
        </w:tc>
        <w:tc>
          <w:tcPr/>
          <w:p>
            <w:pPr>
              <w:pStyle w:val="Compact"/>
            </w:pPr>
            <w:r>
              <w:t xml:space="preserve">เก็บแยกและเข้าถึงจำกัด</w:t>
            </w:r>
          </w:p>
        </w:tc>
      </w:tr>
      <w:tr>
        <w:tc>
          <w:tcPr/>
          <w:p>
            <w:pPr>
              <w:pStyle w:val="Compact"/>
            </w:pPr>
            <w:r>
              <w:t xml:space="preserve">Audit log ของกระบวนการ AML</w:t>
            </w:r>
          </w:p>
        </w:tc>
        <w:tc>
          <w:tcPr/>
          <w:p>
            <w:pPr>
              <w:pStyle w:val="Compact"/>
            </w:pPr>
            <w:r>
              <w:rPr>
                <w:b/>
                <w:bCs/>
              </w:rPr>
              <w:t xml:space="preserve">≥ 10 ปี</w:t>
            </w:r>
            <w:r>
              <w:t xml:space="preserve"> </w:t>
            </w:r>
            <w:r>
              <w:t xml:space="preserve">(สอดคล้อง PCI ขั้นต่ำ 12 เดือน online)</w:t>
            </w:r>
          </w:p>
        </w:tc>
        <w:tc>
          <w:tcPr/>
          <w:p>
            <w:pPr>
              <w:pStyle w:val="Compact"/>
            </w:pPr>
            <w:r>
              <w:t xml:space="preserve">append-only</w:t>
            </w:r>
            <w:r>
              <w:t xml:space="preserve"> </w:t>
            </w:r>
            <w:r>
              <w:rPr>
                <w:rStyle w:val="VerbatimChar"/>
              </w:rPr>
              <w:t xml:space="preserve">audit_log</w:t>
            </w:r>
          </w:p>
        </w:tc>
      </w:tr>
    </w:tbl>
    <w:p>
      <w:pPr>
        <w:pStyle w:val="BodyText"/>
      </w:pPr>
      <w:r>
        <w:rPr>
          <w:b/>
          <w:bCs/>
        </w:rPr>
        <w:t xml:space="preserve">หลักการเก็บรักษา:</w:t>
      </w:r>
    </w:p>
    <w:p>
      <w:pPr>
        <w:pStyle w:val="Compact"/>
        <w:numPr>
          <w:ilvl w:val="0"/>
          <w:numId w:val="1070"/>
        </w:numPr>
      </w:pPr>
      <w:r>
        <w:t xml:space="preserve">เก็บในรูปแบบที่ค้นคืนได้และส่งมอบต่อ ปปง./ธปท. ได้ภายในกรอบเวลาที่กำหนด</w:t>
      </w:r>
    </w:p>
    <w:p>
      <w:pPr>
        <w:pStyle w:val="Compact"/>
        <w:numPr>
          <w:ilvl w:val="0"/>
          <w:numId w:val="1070"/>
        </w:numPr>
      </w:pPr>
      <w:r>
        <w:rPr>
          <w:b/>
          <w:bCs/>
        </w:rPr>
        <w:t xml:space="preserve">Data residency:</w:t>
      </w:r>
      <w:r>
        <w:t xml:space="preserve"> </w:t>
      </w:r>
      <w:r>
        <w:t xml:space="preserve">เก็บข้อมูลในไทยตามข้อกำหนด ธปท./PDPA</w:t>
      </w:r>
    </w:p>
    <w:p>
      <w:pPr>
        <w:pStyle w:val="Compact"/>
        <w:numPr>
          <w:ilvl w:val="0"/>
          <w:numId w:val="1070"/>
        </w:numPr>
      </w:pPr>
      <w:r>
        <w:t xml:space="preserve">ข้อมูลบัตร (PAN/CVV/track)</w:t>
      </w:r>
      <w:r>
        <w:t xml:space="preserve"> </w:t>
      </w:r>
      <w:r>
        <w:rPr>
          <w:b/>
          <w:bCs/>
        </w:rPr>
        <w:t xml:space="preserve">ไม่จัดเก็บเกินความจำเป็น</w:t>
      </w:r>
      <w:r>
        <w:t xml:space="preserve"> </w:t>
      </w:r>
      <w:r>
        <w:t xml:space="preserve">และปฏิบัติตาม</w:t>
      </w:r>
      <w:r>
        <w:t xml:space="preserve"> </w:t>
      </w:r>
      <w:r>
        <w:rPr>
          <w:b/>
          <w:bCs/>
        </w:rPr>
        <w:t xml:space="preserve">PCI-DSS v4.0</w:t>
      </w:r>
      <w:r>
        <w:t xml:space="preserve"> </w:t>
      </w:r>
      <w:r>
        <w:t xml:space="preserve">— ระบบหลักเห็นเพียง token +</w:t>
      </w:r>
      <w:r>
        <w:t xml:space="preserve"> </w:t>
      </w:r>
      <w:r>
        <w:rPr>
          <w:rStyle w:val="VerbatimChar"/>
        </w:rPr>
        <w:t xml:space="preserve">card_last4</w:t>
      </w:r>
      <w:r>
        <w:t xml:space="preserve"> </w:t>
      </w:r>
      <w:r>
        <w:t xml:space="preserve">(สอดคล้องกับ ARCHITECTURE.md)</w:t>
      </w:r>
    </w:p>
    <w:p>
      <w:pPr>
        <w:pStyle w:val="Compact"/>
        <w:numPr>
          <w:ilvl w:val="0"/>
          <w:numId w:val="1070"/>
        </w:numPr>
      </w:pPr>
      <w:r>
        <w:t xml:space="preserve">การเข้าถึงข้อมูล KYC ต้องมีฐานทางกฎหมายและมาตรการคุ้มครองตาม</w:t>
      </w:r>
      <w:r>
        <w:t xml:space="preserve"> </w:t>
      </w:r>
      <w:r>
        <w:rPr>
          <w:b/>
          <w:bCs/>
        </w:rPr>
        <w:t xml:space="preserve">PDPA (กำกับโดย PDPC)</w:t>
      </w:r>
      <w:r>
        <w:t xml:space="preserve"> </w:t>
      </w:r>
      <w:r>
        <w:t xml:space="preserve">พร้อม RBAC, encryption at rest และ access log</w:t>
      </w:r>
    </w:p>
    <w:p>
      <w:r>
        <w:pict>
          <v:rect style="width:0;height:1.5pt" o:hralign="center" o:hrstd="t" o:hr="t"/>
        </w:pict>
      </w:r>
    </w:p>
    <w:bookmarkEnd w:id="214"/>
    <w:bookmarkStart w:id="215" w:name="บทบาทหนาทและการกำกบดแล-roles-governance"/>
    <w:p>
      <w:pPr>
        <w:pStyle w:val="Heading2"/>
      </w:pPr>
      <w:r>
        <w:t xml:space="preserve">8. บทบาทหน้าที่และการกำกับดูแล (Roles &amp; Governance)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บทบาท</w:t>
            </w:r>
          </w:p>
        </w:tc>
        <w:tc>
          <w:tcPr/>
          <w:p>
            <w:pPr>
              <w:pStyle w:val="Compact"/>
            </w:pPr>
            <w:r>
              <w:t xml:space="preserve">หน้าที่หลัก</w:t>
            </w:r>
          </w:p>
        </w:tc>
      </w:tr>
      <w:tr>
        <w:tc>
          <w:tcPr/>
          <w:p>
            <w:pPr>
              <w:pStyle w:val="Compact"/>
            </w:pPr>
            <w:r>
              <w:rPr>
                <w:b/>
                <w:bCs/>
              </w:rPr>
              <w:t xml:space="preserve">คณะกรรมการบริษัท (Board)</w:t>
            </w:r>
          </w:p>
        </w:tc>
        <w:tc>
          <w:tcPr/>
          <w:p>
            <w:pPr>
              <w:pStyle w:val="Compact"/>
            </w:pPr>
            <w:r>
              <w:t xml:space="preserve">อนุมัตินโยบาย AML, กำกับดูแลระดับสูง, จัดสรรทรัพยากร</w:t>
            </w:r>
          </w:p>
        </w:tc>
      </w:tr>
      <w:tr>
        <w:tc>
          <w:tcPr/>
          <w:p>
            <w:pPr>
              <w:pStyle w:val="Compact"/>
            </w:pPr>
            <w:r>
              <w:rPr>
                <w:b/>
                <w:bCs/>
              </w:rPr>
              <w:t xml:space="preserve">MLRO (Money Laundering Reporting Officer)</w:t>
            </w:r>
          </w:p>
        </w:tc>
        <w:tc>
          <w:tcPr/>
          <w:p>
            <w:pPr>
              <w:pStyle w:val="Compact"/>
            </w:pPr>
            <w:r>
              <w:t xml:space="preserve">เจ้าหน้าที่รับผิดชอบสูงสุดด้าน AML, ตัดสินยื่น STR, เป็นจุดติดต่อ ปปง.</w:t>
            </w:r>
          </w:p>
        </w:tc>
      </w:tr>
      <w:tr>
        <w:tc>
          <w:tcPr/>
          <w:p>
            <w:pPr>
              <w:pStyle w:val="Compact"/>
            </w:pPr>
            <w:r>
              <w:rPr>
                <w:b/>
                <w:bCs/>
              </w:rPr>
              <w:t xml:space="preserve">Compliance Officer / ทีม Compliance</w:t>
            </w:r>
          </w:p>
        </w:tc>
        <w:tc>
          <w:tcPr/>
          <w:p>
            <w:pPr>
              <w:pStyle w:val="Compact"/>
            </w:pPr>
            <w:r>
              <w:t xml:space="preserve">ดูแลนโยบาย, การฝึกอบรม, การทดสอบการปฏิบัติตาม</w:t>
            </w:r>
          </w:p>
        </w:tc>
      </w:tr>
      <w:tr>
        <w:tc>
          <w:tcPr/>
          <w:p>
            <w:pPr>
              <w:pStyle w:val="Compact"/>
            </w:pPr>
            <w:r>
              <w:rPr>
                <w:b/>
                <w:bCs/>
              </w:rPr>
              <w:t xml:space="preserve">Onboarding / KYC Team</w:t>
            </w:r>
          </w:p>
        </w:tc>
        <w:tc>
          <w:tcPr/>
          <w:p>
            <w:pPr>
              <w:pStyle w:val="Compact"/>
            </w:pPr>
            <w:r>
              <w:t xml:space="preserve">ทำ CDD/EDD, จัดระดับความเสี่ยง</w:t>
            </w:r>
          </w:p>
        </w:tc>
      </w:tr>
      <w:tr>
        <w:tc>
          <w:tcPr/>
          <w:p>
            <w:pPr>
              <w:pStyle w:val="Compact"/>
            </w:pPr>
            <w:r>
              <w:rPr>
                <w:b/>
                <w:bCs/>
              </w:rPr>
              <w:t xml:space="preserve">Transaction Monitoring Analysts</w:t>
            </w:r>
          </w:p>
        </w:tc>
        <w:tc>
          <w:tcPr/>
          <w:p>
            <w:pPr>
              <w:pStyle w:val="Compact"/>
            </w:pPr>
            <w:r>
              <w:t xml:space="preserve">สืบสวน alert, จัดทำ case</w:t>
            </w:r>
          </w:p>
        </w:tc>
      </w:tr>
      <w:tr>
        <w:tc>
          <w:tcPr/>
          <w:p>
            <w:pPr>
              <w:pStyle w:val="Compact"/>
            </w:pPr>
            <w:r>
              <w:rPr>
                <w:b/>
                <w:bCs/>
              </w:rPr>
              <w:t xml:space="preserve">Internal Audit</w:t>
            </w:r>
          </w:p>
        </w:tc>
        <w:tc>
          <w:tcPr/>
          <w:p>
            <w:pPr>
              <w:pStyle w:val="Compact"/>
            </w:pPr>
            <w:r>
              <w:t xml:space="preserve">ตรวจสอบอิสระ (independent audit) ประจำปี</w:t>
            </w:r>
          </w:p>
        </w:tc>
      </w:tr>
      <w:tr>
        <w:tc>
          <w:tcPr/>
          <w:p>
            <w:pPr>
              <w:pStyle w:val="Compact"/>
            </w:pPr>
            <w:r>
              <w:rPr>
                <w:b/>
                <w:bCs/>
              </w:rPr>
              <w:t xml:space="preserve">DPO (Data Protection Officer)</w:t>
            </w:r>
          </w:p>
        </w:tc>
        <w:tc>
          <w:tcPr/>
          <w:p>
            <w:pPr>
              <w:pStyle w:val="Compact"/>
            </w:pPr>
            <w:r>
              <w:t xml:space="preserve">กำกับการปฏิบัติตาม PDPA สำหรับข้อมูล KYC</w:t>
            </w:r>
          </w:p>
        </w:tc>
      </w:tr>
    </w:tbl>
    <w:p>
      <w:pPr>
        <w:pStyle w:val="Compact"/>
        <w:numPr>
          <w:ilvl w:val="0"/>
          <w:numId w:val="1071"/>
        </w:numPr>
      </w:pPr>
      <w:r>
        <w:rPr>
          <w:b/>
          <w:bCs/>
        </w:rPr>
        <w:t xml:space="preserve">ความเป็นอิสระ:</w:t>
      </w:r>
      <w:r>
        <w:t xml:space="preserve"> </w:t>
      </w:r>
      <w:r>
        <w:t xml:space="preserve">MLRO รายงานตรงต่อ Board/คณะกรรมการตรวจสอบ ไม่ขึ้นกับฝ่ายขาย</w:t>
      </w:r>
    </w:p>
    <w:p>
      <w:pPr>
        <w:pStyle w:val="Compact"/>
        <w:numPr>
          <w:ilvl w:val="0"/>
          <w:numId w:val="1071"/>
        </w:numPr>
      </w:pPr>
      <w:r>
        <w:rPr>
          <w:b/>
          <w:bCs/>
        </w:rPr>
        <w:t xml:space="preserve">การฝึกอบรม:</w:t>
      </w:r>
      <w:r>
        <w:t xml:space="preserve"> </w:t>
      </w:r>
      <w:r>
        <w:t xml:space="preserve">พนักงานทุกคนที่เกี่ยวข้องต้องอบรม AML แรกเข้าและ</w:t>
      </w:r>
      <w:r>
        <w:t xml:space="preserve"> </w:t>
      </w:r>
      <w:r>
        <w:rPr>
          <w:b/>
          <w:bCs/>
        </w:rPr>
        <w:t xml:space="preserve">ทบทวนอย่างน้อยปีละครั้ง</w:t>
      </w:r>
      <w:r>
        <w:t xml:space="preserve"> </w:t>
      </w:r>
      <w:r>
        <w:t xml:space="preserve">เก็บหลักฐานการอบรม</w:t>
      </w:r>
    </w:p>
    <w:p>
      <w:pPr>
        <w:pStyle w:val="Compact"/>
        <w:numPr>
          <w:ilvl w:val="0"/>
          <w:numId w:val="1071"/>
        </w:numPr>
      </w:pPr>
      <w:r>
        <w:rPr>
          <w:b/>
          <w:bCs/>
        </w:rPr>
        <w:t xml:space="preserve">การทดสอบอิสระ:</w:t>
      </w:r>
      <w:r>
        <w:t xml:space="preserve"> </w:t>
      </w:r>
      <w:r>
        <w:t xml:space="preserve">Internal Audit และ/หรือผู้ตรวจภายนอกประเมินประสิทธิผลของโปรแกรม AML อย่างน้อยปีละครั้ง</w:t>
      </w:r>
    </w:p>
    <w:p>
      <w:pPr>
        <w:pStyle w:val="BlockText"/>
      </w:pPr>
      <w:r>
        <w:rPr>
          <w:b/>
          <w:bCs/>
        </w:rPr>
        <w:t xml:space="preserve">[TODO/ข้อสมมติ]</w:t>
      </w:r>
      <w:r>
        <w:t xml:space="preserve"> </w:t>
      </w:r>
      <w:r>
        <w:t xml:space="preserve">ยังต้องแต่งตั้ง MLRO และ DPO อย่างเป็นทางการ พร้อมเอกสาร fit &amp; proper สำหรับยื่น ธปท. — ระบุชื่อ/คุณสมบัติก่อนยื่นจริง</w:t>
      </w:r>
    </w:p>
    <w:p>
      <w:r>
        <w:pict>
          <v:rect style="width:0;height:1.5pt" o:hralign="center" o:hrstd="t" o:hr="t"/>
        </w:pict>
      </w:r>
    </w:p>
    <w:bookmarkEnd w:id="215"/>
    <w:bookmarkStart w:id="216" w:name="การเลกความสมพนธ-offboarding-de-risking"/>
    <w:p>
      <w:pPr>
        <w:pStyle w:val="Heading2"/>
      </w:pPr>
      <w:r>
        <w:t xml:space="preserve">9. การเลิกความสัมพันธ์ (Offboarding / De-risking)</w:t>
      </w:r>
    </w:p>
    <w:p>
      <w:pPr>
        <w:pStyle w:val="Compact"/>
        <w:numPr>
          <w:ilvl w:val="0"/>
          <w:numId w:val="1072"/>
        </w:numPr>
      </w:pPr>
      <w:r>
        <w:t xml:space="preserve">เลิกความสัมพันธ์เมื่อ: พบว่าลูกค้าอยู่ในบัญชีคว่ำบาตร, ให้ข้อมูลเท็จ, ปฏิเสธ CDD, มีพฤติกรรมฟอกเงิน/ฉ้อโกงชัดเจน</w:t>
      </w:r>
    </w:p>
    <w:p>
      <w:pPr>
        <w:pStyle w:val="Compact"/>
        <w:numPr>
          <w:ilvl w:val="0"/>
          <w:numId w:val="1072"/>
        </w:numPr>
      </w:pPr>
      <w:r>
        <w:t xml:space="preserve">กระบวนการต้องบันทึกเหตุผล, ได้รับอนุมัติจาก MLRO, พิจารณายื่น STR ควบคู่ และปฏิบัติตาม no tipping-off</w:t>
      </w:r>
    </w:p>
    <w:p>
      <w:pPr>
        <w:pStyle w:val="Compact"/>
        <w:numPr>
          <w:ilvl w:val="0"/>
          <w:numId w:val="1072"/>
        </w:numPr>
      </w:pPr>
      <w:r>
        <w:t xml:space="preserve">คงการเก็บรักษาเอกสารตามข้อ 7 แม้เลิกความสัมพันธ์แล้ว</w:t>
      </w:r>
    </w:p>
    <w:p>
      <w:r>
        <w:pict>
          <v:rect style="width:0;height:1.5pt" o:hralign="center" o:hrstd="t" o:hr="t"/>
        </w:pict>
      </w:r>
    </w:p>
    <w:bookmarkEnd w:id="216"/>
    <w:bookmarkStart w:id="217" w:name="สรปขอสมมตและ-todo-ทตองปดกอนยน-open-items"/>
    <w:p>
      <w:pPr>
        <w:pStyle w:val="Heading2"/>
      </w:pPr>
      <w:r>
        <w:t xml:space="preserve">10. สรุปข้อสมมติและ TODO ที่ต้องปิดก่อนยื่น (Open Items)</w:t>
      </w:r>
    </w:p>
    <w:p>
      <w:pPr>
        <w:pStyle w:val="BlockText"/>
      </w:pPr>
      <w:r>
        <w:rPr>
          <w:b/>
          <w:bCs/>
        </w:rPr>
        <w:t xml:space="preserve">กรอบข้อสมมติ (ต้องยืนยันข้อเท็จจริงจริงก่อนยื่น ธปท./ปปง.):</w:t>
      </w:r>
    </w:p>
    <w:p>
      <w:pPr>
        <w:pStyle w:val="Compact"/>
        <w:numPr>
          <w:ilvl w:val="0"/>
          <w:numId w:val="1073"/>
        </w:numPr>
      </w:pPr>
      <w:r>
        <w:rPr>
          <w:b/>
          <w:bCs/>
        </w:rPr>
        <w:t xml:space="preserve">Sponsor bank / card scheme:</w:t>
      </w:r>
      <w:r>
        <w:t xml:space="preserve"> </w:t>
      </w:r>
      <w:r>
        <w:t xml:space="preserve">ยังไม่ลงนาม — เงื่อนไข AML ที่ scheme/sponsor กำหนดเพิ่มเติมอาจกระทบ prohibited list และ EDD</w:t>
      </w:r>
    </w:p>
    <w:p>
      <w:pPr>
        <w:pStyle w:val="Compact"/>
        <w:numPr>
          <w:ilvl w:val="0"/>
          <w:numId w:val="1073"/>
        </w:numPr>
      </w:pPr>
      <w:r>
        <w:rPr>
          <w:b/>
          <w:bCs/>
        </w:rPr>
        <w:t xml:space="preserve">QSA vendor (PCI-DSS L1):</w:t>
      </w:r>
      <w:r>
        <w:t xml:space="preserve"> </w:t>
      </w:r>
      <w:r>
        <w:t xml:space="preserve">ยังไม่เลือก — การควบคุมข้อมูลบัตรที่ใช้ประกอบ monitoring ต้องสอดคล้อง RoC</w:t>
      </w:r>
    </w:p>
    <w:p>
      <w:pPr>
        <w:pStyle w:val="Compact"/>
        <w:numPr>
          <w:ilvl w:val="0"/>
          <w:numId w:val="1073"/>
        </w:numPr>
      </w:pPr>
      <w:r>
        <w:rPr>
          <w:b/>
          <w:bCs/>
        </w:rPr>
        <w:t xml:space="preserve">ผู้ให้บริการ screening / transaction monitoring:</w:t>
      </w:r>
      <w:r>
        <w:t xml:space="preserve"> </w:t>
      </w:r>
      <w:r>
        <w:t xml:space="preserve">ยังไม่เลือก vendor (ข้อ 4)</w:t>
      </w:r>
    </w:p>
    <w:p>
      <w:pPr>
        <w:pStyle w:val="Compact"/>
        <w:numPr>
          <w:ilvl w:val="0"/>
          <w:numId w:val="1073"/>
        </w:numPr>
      </w:pPr>
      <w:r>
        <w:rPr>
          <w:b/>
          <w:bCs/>
        </w:rPr>
        <w:t xml:space="preserve">ทุนจดทะเบียนชำระแล้ว 50 ล้านบาท:</w:t>
      </w:r>
      <w:r>
        <w:t xml:space="preserve"> </w:t>
      </w:r>
      <w:r>
        <w:t xml:space="preserve">ต้องยืนยันการชำระจริงและคงไว้ ≥ 75% ตลอดการดำเนินงาน (ตาม COMPLIANCE-TH.md)</w:t>
      </w:r>
    </w:p>
    <w:p>
      <w:pPr>
        <w:pStyle w:val="Compact"/>
        <w:numPr>
          <w:ilvl w:val="0"/>
          <w:numId w:val="1073"/>
        </w:numPr>
      </w:pPr>
      <w:r>
        <w:rPr>
          <w:b/>
          <w:bCs/>
        </w:rPr>
        <w:t xml:space="preserve">การแต่งตั้ง MLRO/DPO:</w:t>
      </w:r>
      <w:r>
        <w:t xml:space="preserve"> </w:t>
      </w:r>
      <w:r>
        <w:t xml:space="preserve">ต้องมีเอกสาร fit &amp; proper</w:t>
      </w:r>
    </w:p>
    <w:p>
      <w:pPr>
        <w:pStyle w:val="Compact"/>
        <w:numPr>
          <w:ilvl w:val="0"/>
          <w:numId w:val="1073"/>
        </w:numPr>
      </w:pPr>
      <w:r>
        <w:rPr>
          <w:b/>
          <w:bCs/>
        </w:rPr>
        <w:t xml:space="preserve">เกณฑ์/แบบฟอร์มรายงาน ปปง. ล่าสุด:</w:t>
      </w:r>
      <w:r>
        <w:t xml:space="preserve"> </w:t>
      </w:r>
      <w:r>
        <w:t xml:space="preserve">ยืนยันเลขที่ประกาศและช่องทาง (AERS) ณ วันยื่น</w:t>
      </w:r>
    </w:p>
    <w:bookmarkEnd w:id="217"/>
    <w:bookmarkEnd w:id="218"/>
    <w:bookmarkStart w:id="237" w:name="X4717b039f7fdb07cbe57416458516da69de63ab"/>
    <w:p>
      <w:pPr>
        <w:pStyle w:val="Heading1"/>
      </w:pPr>
      <w:r>
        <w:t xml:space="preserve">AML/KYC/CDD policy aligned to AMLO + BOT: onboarding, EDD, ongoing monitoring, record keeping (English)</w:t>
      </w:r>
    </w:p>
    <w:p>
      <w:pPr>
        <w:pStyle w:val="BlockText"/>
      </w:pPr>
      <w:r>
        <w:t xml:space="preserve">Document</w:t>
      </w:r>
      <w:r>
        <w:t xml:space="preserve"> </w:t>
      </w:r>
      <w:r>
        <w:rPr>
          <w:b/>
          <w:bCs/>
        </w:rPr>
        <w:t xml:space="preserve">05</w:t>
      </w:r>
      <w:r>
        <w:t xml:space="preserve"> </w:t>
      </w:r>
      <w:r>
        <w:t xml:space="preserve">in the Compliance set supporting the license application for</w:t>
      </w:r>
      <w:r>
        <w:t xml:space="preserve"> </w:t>
      </w:r>
      <w:r>
        <w:rPr>
          <w:b/>
          <w:bCs/>
        </w:rPr>
        <w:t xml:space="preserve">Electronic Payment Acceptance (Full Acquiring)</w:t>
      </w:r>
      <w:r>
        <w:t xml:space="preserve"> </w:t>
      </w:r>
      <w:r>
        <w:t xml:space="preserve">service under the</w:t>
      </w:r>
      <w:r>
        <w:t xml:space="preserve"> </w:t>
      </w:r>
      <w:r>
        <w:rPr>
          <w:b/>
          <w:bCs/>
        </w:rPr>
        <w:t xml:space="preserve">Payment Systems Act B.E. 2560 (2017)</w:t>
      </w:r>
      <w:r>
        <w:t xml:space="preserve">, supervised by the</w:t>
      </w:r>
      <w:r>
        <w:t xml:space="preserve"> </w:t>
      </w:r>
      <w:r>
        <w:rPr>
          <w:b/>
          <w:bCs/>
        </w:rPr>
        <w:t xml:space="preserve">Bank of Thailand (BOT / ธปท.)</w:t>
      </w:r>
      <w:r>
        <w:t xml:space="preserve">, in parallel with</w:t>
      </w:r>
      <w:r>
        <w:t xml:space="preserve"> </w:t>
      </w:r>
      <w:r>
        <w:rPr>
          <w:b/>
          <w:bCs/>
        </w:rPr>
        <w:t xml:space="preserve">PCI-DSS Level 1</w:t>
      </w:r>
      <w:r>
        <w:t xml:space="preserve">.</w:t>
      </w:r>
    </w:p>
    <w:p>
      <w:pPr>
        <w:pStyle w:val="BlockText"/>
      </w:pPr>
      <w:r>
        <w:rPr>
          <w:b/>
          <w:bCs/>
        </w:rPr>
        <w:t xml:space="preserve">Status:</w:t>
      </w:r>
      <w:r>
        <w:t xml:space="preserve"> </w:t>
      </w:r>
      <w:r>
        <w:t xml:space="preserve">Submission draft · Version 0.1 · Updated 2026-07-22</w:t>
      </w:r>
      <w:r>
        <w:t xml:space="preserve"> </w:t>
      </w:r>
      <w:r>
        <w:rPr>
          <w:b/>
          <w:bCs/>
        </w:rPr>
        <w:t xml:space="preserve">Owner:</w:t>
      </w:r>
      <w:r>
        <w:t xml:space="preserve"> </w:t>
      </w:r>
      <w:r>
        <w:t xml:space="preserve">Compliance &amp; MLRO function of</w:t>
      </w:r>
      <w:r>
        <w:t xml:space="preserve"> </w:t>
      </w:r>
      <w:r>
        <w:rPr>
          <w:b/>
          <w:bCs/>
        </w:rPr>
        <w:t xml:space="preserve">[บริษัท / Company]</w:t>
      </w:r>
    </w:p>
    <w:p>
      <w:pPr>
        <w:pStyle w:val="BlockText"/>
      </w:pPr>
      <w:r>
        <w:t xml:space="preserve">This is an internal policy and license-application supporting document —</w:t>
      </w:r>
      <w:r>
        <w:t xml:space="preserve"> </w:t>
      </w:r>
      <w:r>
        <w:rPr>
          <w:b/>
          <w:bCs/>
        </w:rPr>
        <w:t xml:space="preserve">not legal advice</w:t>
      </w:r>
      <w:r>
        <w:t xml:space="preserve">. It must be reviewed by legal counsel and the MLRO before it takes effect, as AMLO and BOT notifications may change.</w:t>
      </w:r>
    </w:p>
    <w:p>
      <w:r>
        <w:pict>
          <v:rect style="width:0;height:1.5pt" o:hralign="center" o:hrstd="t" o:hr="t"/>
        </w:pict>
      </w:r>
    </w:p>
    <w:bookmarkStart w:id="219" w:name="executive-summary-2"/>
    <w:p>
      <w:pPr>
        <w:pStyle w:val="Heading2"/>
      </w:pPr>
      <w:r>
        <w:t xml:space="preserve">Executive Summary</w:t>
      </w:r>
    </w:p>
    <w:p>
      <w:pPr>
        <w:pStyle w:val="FirstParagraph"/>
      </w:pPr>
      <w:r>
        <w:t xml:space="preserve">As a card</w:t>
      </w:r>
      <w:r>
        <w:t xml:space="preserve"> </w:t>
      </w:r>
      <w:r>
        <w:rPr>
          <w:b/>
          <w:bCs/>
        </w:rPr>
        <w:t xml:space="preserve">acquiring payment gateway</w:t>
      </w:r>
      <w:r>
        <w:t xml:space="preserve">, [บริษัท / Company] is a</w:t>
      </w:r>
      <w:r>
        <w:t xml:space="preserve"> </w:t>
      </w:r>
      <w:r>
        <w:rPr>
          <w:b/>
          <w:bCs/>
        </w:rPr>
        <w:t xml:space="preserve">“financial institution”</w:t>
      </w:r>
      <w:r>
        <w:rPr>
          <w:b/>
          <w:bCs/>
        </w:rPr>
        <w:t xml:space="preserve"> </w:t>
      </w:r>
      <w:r>
        <w:rPr>
          <w:b/>
          <w:bCs/>
        </w:rPr>
        <w:t xml:space="preserve">under the Anti-Money Laundering Act B.E. 2542 (as amended)</w:t>
      </w:r>
      <w:r>
        <w:t xml:space="preserve"> </w:t>
      </w:r>
      <w:r>
        <w:t xml:space="preserve">and a</w:t>
      </w:r>
      <w:r>
        <w:t xml:space="preserve"> </w:t>
      </w:r>
      <w:r>
        <w:rPr>
          <w:b/>
          <w:bCs/>
        </w:rPr>
        <w:t xml:space="preserve">BOT-licensed designated payment service provider</w:t>
      </w:r>
      <w:r>
        <w:t xml:space="preserve">. This policy sets the framework for managing money-laundering (ML) and terrorism/proliferation-financing (TF/PF) risk, covering:</w:t>
      </w:r>
    </w:p>
    <w:p>
      <w:pPr>
        <w:pStyle w:val="Compact"/>
        <w:numPr>
          <w:ilvl w:val="0"/>
          <w:numId w:val="1074"/>
        </w:numPr>
      </w:pPr>
      <w:r>
        <w:t xml:space="preserve">Know-Your-Customer (KYC) and Customer Due Diligence (CDD) at merchant onboarding</w:t>
      </w:r>
    </w:p>
    <w:p>
      <w:pPr>
        <w:pStyle w:val="Compact"/>
        <w:numPr>
          <w:ilvl w:val="0"/>
          <w:numId w:val="1074"/>
        </w:numPr>
      </w:pPr>
      <w:r>
        <w:t xml:space="preserve">Enhanced Due Diligence (EDD) for high-risk customers/transactions</w:t>
      </w:r>
    </w:p>
    <w:p>
      <w:pPr>
        <w:pStyle w:val="Compact"/>
        <w:numPr>
          <w:ilvl w:val="0"/>
          <w:numId w:val="1074"/>
        </w:numPr>
      </w:pPr>
      <w:r>
        <w:t xml:space="preserve">Ongoing transaction monitoring and reporting to AMLO</w:t>
      </w:r>
    </w:p>
    <w:p>
      <w:pPr>
        <w:pStyle w:val="Compact"/>
        <w:numPr>
          <w:ilvl w:val="0"/>
          <w:numId w:val="1074"/>
        </w:numPr>
      </w:pPr>
      <w:r>
        <w:t xml:space="preserve">Record keeping</w:t>
      </w:r>
    </w:p>
    <w:p>
      <w:pPr>
        <w:pStyle w:val="Compact"/>
        <w:numPr>
          <w:ilvl w:val="0"/>
          <w:numId w:val="1074"/>
        </w:numPr>
      </w:pPr>
      <w:r>
        <w:t xml:space="preserve">Roles, governance, and training</w:t>
      </w:r>
    </w:p>
    <w:p>
      <w:pPr>
        <w:pStyle w:val="BlockText"/>
      </w:pPr>
      <w:r>
        <w:rPr>
          <w:b/>
          <w:bCs/>
        </w:rPr>
        <w:t xml:space="preserve">Customer scope:</w:t>
      </w:r>
      <w:r>
        <w:t xml:space="preserve"> </w:t>
      </w:r>
      <w:r>
        <w:t xml:space="preserve">Our direct customers are</w:t>
      </w:r>
      <w:r>
        <w:t xml:space="preserve"> </w:t>
      </w:r>
      <w:r>
        <w:rPr>
          <w:b/>
          <w:bCs/>
        </w:rPr>
        <w:t xml:space="preserve">merchants</w:t>
      </w:r>
      <w:r>
        <w:t xml:space="preserve">, not end cardholders. We nonetheless monitor cardholder transaction behavior flowing through merchants (transaction laundering / merchant-based money laundering).</w:t>
      </w:r>
    </w:p>
    <w:p>
      <w:r>
        <w:pict>
          <v:rect style="width:0;height:1.5pt" o:hralign="center" o:hrstd="t" o:hr="t"/>
        </w:pict>
      </w:r>
    </w:p>
    <w:bookmarkEnd w:id="219"/>
    <w:bookmarkStart w:id="220" w:name="legal-basis-and-reference-standards"/>
    <w:p>
      <w:pPr>
        <w:pStyle w:val="Heading2"/>
      </w:pPr>
      <w:r>
        <w:t xml:space="preserve">1. Legal Basis and Reference Standards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Law / Standard</w:t>
            </w:r>
          </w:p>
        </w:tc>
        <w:tc>
          <w:tcPr/>
          <w:p>
            <w:pPr>
              <w:pStyle w:val="Compact"/>
            </w:pPr>
            <w:r>
              <w:t xml:space="preserve">Relevance to this policy</w:t>
            </w:r>
          </w:p>
        </w:tc>
      </w:tr>
      <w:tr>
        <w:tc>
          <w:tcPr/>
          <w:p>
            <w:pPr>
              <w:pStyle w:val="Compact"/>
            </w:pPr>
            <w:r>
              <w:rPr>
                <w:b/>
                <w:bCs/>
              </w:rPr>
              <w:t xml:space="preserve">Anti-Money Laundering Act B.E. 2542</w:t>
            </w:r>
            <w:r>
              <w:t xml:space="preserve"> </w:t>
            </w:r>
            <w:r>
              <w:t xml:space="preserve">(as amended)</w:t>
            </w:r>
          </w:p>
        </w:tc>
        <w:tc>
          <w:tcPr/>
          <w:p>
            <w:pPr>
              <w:pStyle w:val="Compact"/>
            </w:pPr>
            <w:r>
              <w:t xml:space="preserve">CDD duties, transaction reporting, record keeping; supervised by the</w:t>
            </w:r>
            <w:r>
              <w:t xml:space="preserve"> </w:t>
            </w:r>
            <w:r>
              <w:rPr>
                <w:b/>
                <w:bCs/>
              </w:rPr>
              <w:t xml:space="preserve">Anti-Money Laundering Office (AMLO / ปปง.)</w:t>
            </w:r>
          </w:p>
        </w:tc>
      </w:tr>
      <w:tr>
        <w:tc>
          <w:tcPr/>
          <w:p>
            <w:pPr>
              <w:pStyle w:val="Compact"/>
            </w:pPr>
            <w:r>
              <w:rPr>
                <w:b/>
                <w:bCs/>
              </w:rPr>
              <w:t xml:space="preserve">Counter-Terrorism and Proliferation of Weapons Financing Act B.E. 2559 (CTPF Act)</w:t>
            </w:r>
          </w:p>
        </w:tc>
        <w:tc>
          <w:tcPr/>
          <w:p>
            <w:pPr>
              <w:pStyle w:val="Compact"/>
            </w:pPr>
            <w:r>
              <w:t xml:space="preserve">Designated-persons screening and immediate asset-freezing obligations</w:t>
            </w:r>
          </w:p>
        </w:tc>
      </w:tr>
      <w:tr>
        <w:tc>
          <w:tcPr/>
          <w:p>
            <w:pPr>
              <w:pStyle w:val="Compact"/>
            </w:pPr>
            <w:r>
              <w:rPr>
                <w:b/>
                <w:bCs/>
              </w:rPr>
              <w:t xml:space="preserve">Ministerial Regulation on CDD B.E. 2563 (2020)</w:t>
            </w:r>
          </w:p>
        </w:tc>
        <w:tc>
          <w:tcPr/>
          <w:p>
            <w:pPr>
              <w:pStyle w:val="Compact"/>
            </w:pPr>
            <w:r>
              <w:t xml:space="preserve">CDD/EDD rules, risk rating, Beneficial Owner identification</w:t>
            </w:r>
          </w:p>
        </w:tc>
      </w:tr>
      <w:tr>
        <w:tc>
          <w:tcPr/>
          <w:p>
            <w:pPr>
              <w:pStyle w:val="Compact"/>
            </w:pPr>
            <w:r>
              <w:rPr>
                <w:b/>
                <w:bCs/>
              </w:rPr>
              <w:t xml:space="preserve">Payment Systems Act B.E. 2560</w:t>
            </w:r>
          </w:p>
        </w:tc>
        <w:tc>
          <w:tcPr/>
          <w:p>
            <w:pPr>
              <w:pStyle w:val="Compact"/>
            </w:pPr>
            <w:r>
              <w:t xml:space="preserve">Licensing conditions under BOT, including a compliant AML/KYC system as a license prerequisite</w:t>
            </w:r>
          </w:p>
        </w:tc>
      </w:tr>
      <w:tr>
        <w:tc>
          <w:tcPr/>
          <w:p>
            <w:pPr>
              <w:pStyle w:val="Compact"/>
            </w:pPr>
            <w:r>
              <w:rPr>
                <w:b/>
                <w:bCs/>
              </w:rPr>
              <w:t xml:space="preserve">BOT notifications on risk management and IT/Cyber</w:t>
            </w:r>
          </w:p>
        </w:tc>
        <w:tc>
          <w:tcPr/>
          <w:p>
            <w:pPr>
              <w:pStyle w:val="Compact"/>
            </w:pPr>
            <w:r>
              <w:t xml:space="preserve">Internal control, governance, and security of systems supporting AML</w:t>
            </w:r>
          </w:p>
        </w:tc>
      </w:tr>
      <w:tr>
        <w:tc>
          <w:tcPr/>
          <w:p>
            <w:pPr>
              <w:pStyle w:val="Compact"/>
            </w:pPr>
            <w:r>
              <w:rPr>
                <w:b/>
                <w:bCs/>
              </w:rPr>
              <w:t xml:space="preserve">Personal Data Protection Act B.E. 2562 (PDPA)</w:t>
            </w:r>
            <w:r>
              <w:t xml:space="preserve"> </w:t>
            </w:r>
            <w:r>
              <w:t xml:space="preserve">— regulated by the</w:t>
            </w:r>
            <w:r>
              <w:t xml:space="preserve"> </w:t>
            </w:r>
            <w:r>
              <w:rPr>
                <w:b/>
                <w:bCs/>
              </w:rPr>
              <w:t xml:space="preserve">PDPC</w:t>
            </w:r>
          </w:p>
        </w:tc>
        <w:tc>
          <w:tcPr/>
          <w:p>
            <w:pPr>
              <w:pStyle w:val="Compact"/>
            </w:pPr>
            <w:r>
              <w:t xml:space="preserve">Lawful basis and safeguards for KYC data processing</w:t>
            </w:r>
          </w:p>
        </w:tc>
      </w:tr>
      <w:tr>
        <w:tc>
          <w:tcPr/>
          <w:p>
            <w:pPr>
              <w:pStyle w:val="Compact"/>
            </w:pPr>
            <w:r>
              <w:rPr>
                <w:b/>
                <w:bCs/>
              </w:rPr>
              <w:t xml:space="preserve">PCI-DSS v4.0</w:t>
            </w:r>
          </w:p>
        </w:tc>
        <w:tc>
          <w:tcPr/>
          <w:p>
            <w:pPr>
              <w:pStyle w:val="Compact"/>
            </w:pPr>
            <w:r>
              <w:t xml:space="preserve">Protection of card data (CHD/SAD) used in monitoring, without over-retention</w:t>
            </w:r>
          </w:p>
        </w:tc>
      </w:tr>
      <w:tr>
        <w:tc>
          <w:tcPr/>
          <w:p>
            <w:pPr>
              <w:pStyle w:val="Compact"/>
            </w:pPr>
            <w:r>
              <w:rPr>
                <w:b/>
                <w:bCs/>
              </w:rPr>
              <w:t xml:space="preserve">FATF 40 Recommendations</w:t>
            </w:r>
          </w:p>
        </w:tc>
        <w:tc>
          <w:tcPr/>
          <w:p>
            <w:pPr>
              <w:pStyle w:val="Compact"/>
            </w:pPr>
            <w:r>
              <w:t xml:space="preserve">Risk-Based Approach, Travel Rule, sanctions screening (international guidance)</w:t>
            </w:r>
          </w:p>
        </w:tc>
      </w:tr>
      <w:tr>
        <w:tc>
          <w:tcPr/>
          <w:p>
            <w:pPr>
              <w:pStyle w:val="Compact"/>
            </w:pPr>
            <w:r>
              <w:rPr>
                <w:b/>
                <w:bCs/>
              </w:rPr>
              <w:t xml:space="preserve">EMV 3-D Secure (3DS) 2.x</w:t>
            </w:r>
          </w:p>
        </w:tc>
        <w:tc>
          <w:tcPr/>
          <w:p>
            <w:pPr>
              <w:pStyle w:val="Compact"/>
            </w:pPr>
            <w:r>
              <w:t xml:space="preserve">Cardholder authentication signals enriching transaction risk assessment</w:t>
            </w:r>
          </w:p>
        </w:tc>
      </w:tr>
    </w:tbl>
    <w:p>
      <w:pPr>
        <w:pStyle w:val="BlockText"/>
      </w:pPr>
      <w:r>
        <w:rPr>
          <w:b/>
          <w:bCs/>
        </w:rPr>
        <w:t xml:space="preserve">[TODO/Assumption]</w:t>
      </w:r>
      <w:r>
        <w:t xml:space="preserve"> </w:t>
      </w:r>
      <w:r>
        <w:t xml:space="preserve">Confirm with legal counsel the exact numbers/years of the latest AMLO and BOT notifications in force at the filing date and align citations.</w:t>
      </w:r>
    </w:p>
    <w:p>
      <w:r>
        <w:pict>
          <v:rect style="width:0;height:1.5pt" o:hralign="center" o:hrstd="t" o:hr="t"/>
        </w:pict>
      </w:r>
    </w:p>
    <w:bookmarkEnd w:id="220"/>
    <w:bookmarkStart w:id="222" w:name="risk-based-approach-rba"/>
    <w:p>
      <w:pPr>
        <w:pStyle w:val="Heading2"/>
      </w:pPr>
      <w:r>
        <w:t xml:space="preserve">2. Risk-Based Approach (RBA)</w:t>
      </w:r>
    </w:p>
    <w:p>
      <w:pPr>
        <w:pStyle w:val="FirstParagraph"/>
      </w:pPr>
      <w:r>
        <w:t xml:space="preserve">[บริษัท / Company] applies an</w:t>
      </w:r>
      <w:r>
        <w:t xml:space="preserve"> </w:t>
      </w:r>
      <w:r>
        <w:rPr>
          <w:b/>
          <w:bCs/>
        </w:rPr>
        <w:t xml:space="preserve">RBA</w:t>
      </w:r>
      <w:r>
        <w:t xml:space="preserve">, allocating resources by risk across four factor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 factor</w:t>
            </w:r>
          </w:p>
        </w:tc>
        <w:tc>
          <w:tcPr/>
          <w:p>
            <w:pPr>
              <w:pStyle w:val="Compact"/>
            </w:pPr>
            <w:r>
              <w:t xml:space="preserve">Example indicators</w:t>
            </w:r>
          </w:p>
        </w:tc>
      </w:tr>
      <w:tr>
        <w:tc>
          <w:tcPr/>
          <w:p>
            <w:pPr>
              <w:pStyle w:val="Compact"/>
            </w:pPr>
            <w:r>
              <w:rPr>
                <w:b/>
                <w:bCs/>
              </w:rPr>
              <w:t xml:space="preserve">Customer</w:t>
            </w:r>
          </w:p>
        </w:tc>
        <w:tc>
          <w:tcPr/>
          <w:p>
            <w:pPr>
              <w:pStyle w:val="Compact"/>
            </w:pPr>
            <w:r>
              <w:t xml:space="preserve">entity vs. individual, PEP, complex ownership, foreign shareholders</w:t>
            </w:r>
          </w:p>
        </w:tc>
      </w:tr>
      <w:tr>
        <w:tc>
          <w:tcPr/>
          <w:p>
            <w:pPr>
              <w:pStyle w:val="Compact"/>
            </w:pPr>
            <w:r>
              <w:rPr>
                <w:b/>
                <w:bCs/>
              </w:rPr>
              <w:t xml:space="preserve">Product/Channel</w:t>
            </w:r>
          </w:p>
        </w:tc>
        <w:tc>
          <w:tcPr/>
          <w:p>
            <w:pPr>
              <w:pStyle w:val="Compact"/>
            </w:pPr>
            <w:r>
              <w:t xml:space="preserve">card-not-present, cross-border, high-ticket, unattended e-commerce</w:t>
            </w:r>
          </w:p>
        </w:tc>
      </w:tr>
      <w:tr>
        <w:tc>
          <w:tcPr/>
          <w:p>
            <w:pPr>
              <w:pStyle w:val="Compact"/>
            </w:pPr>
            <w:r>
              <w:rPr>
                <w:b/>
                <w:bCs/>
              </w:rPr>
              <w:t xml:space="preserve">Geographic</w:t>
            </w:r>
          </w:p>
        </w:tc>
        <w:tc>
          <w:tcPr/>
          <w:p>
            <w:pPr>
              <w:pStyle w:val="Compact"/>
            </w:pPr>
            <w:r>
              <w:t xml:space="preserve">FATF grey/black-list jurisdictions, sanctioned countries</w:t>
            </w:r>
          </w:p>
        </w:tc>
      </w:tr>
      <w:tr>
        <w:tc>
          <w:tcPr/>
          <w:p>
            <w:pPr>
              <w:pStyle w:val="Compact"/>
            </w:pPr>
            <w:r>
              <w:rPr>
                <w:b/>
                <w:bCs/>
              </w:rPr>
              <w:t xml:space="preserve">Business type (MCC/Industry)</w:t>
            </w:r>
          </w:p>
        </w:tc>
        <w:tc>
          <w:tcPr/>
          <w:p>
            <w:pPr>
              <w:pStyle w:val="Compact"/>
            </w:pPr>
            <w:r>
              <w:t xml:space="preserve">crypto, gambling, forex, adult, nutraceutical, marketplace</w:t>
            </w:r>
          </w:p>
        </w:tc>
      </w:tr>
    </w:tbl>
    <w:bookmarkStart w:id="221" w:name="merchant-risk-rating"/>
    <w:p>
      <w:pPr>
        <w:pStyle w:val="Heading3"/>
      </w:pPr>
      <w:r>
        <w:t xml:space="preserve">2.1 Merchant Risk Rating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Criteria (example)</w:t>
            </w:r>
          </w:p>
        </w:tc>
        <w:tc>
          <w:tcPr/>
          <w:p>
            <w:pPr>
              <w:pStyle w:val="Compact"/>
            </w:pPr>
            <w:r>
              <w:t xml:space="preserve">CDD measures</w:t>
            </w:r>
          </w:p>
        </w:tc>
        <w:tc>
          <w:tcPr/>
          <w:p>
            <w:pPr>
              <w:pStyle w:val="Compact"/>
            </w:pPr>
            <w:r>
              <w:t xml:space="preserve">Review cycle</w:t>
            </w:r>
          </w:p>
        </w:tc>
      </w:tr>
      <w:tr>
        <w:tc>
          <w:tcPr/>
          <w:p>
            <w:pPr>
              <w:pStyle w:val="Compact"/>
            </w:pPr>
            <w:r>
              <w:rPr>
                <w:b/>
                <w:bCs/>
              </w:rPr>
              <w:t xml:space="preserve">Low</w:t>
            </w:r>
          </w:p>
        </w:tc>
        <w:tc>
          <w:tcPr/>
          <w:p>
            <w:pPr>
              <w:pStyle w:val="Compact"/>
            </w:pPr>
            <w:r>
              <w:t xml:space="preserve">Thai business, low-risk MCC, clear BO, low projected volume</w:t>
            </w:r>
          </w:p>
        </w:tc>
        <w:tc>
          <w:tcPr/>
          <w:p>
            <w:pPr>
              <w:pStyle w:val="Compact"/>
            </w:pPr>
            <w:r>
              <w:t xml:space="preserve">Standard CDD</w:t>
            </w:r>
          </w:p>
        </w:tc>
        <w:tc>
          <w:tcPr/>
          <w:p>
            <w:pPr>
              <w:pStyle w:val="Compact"/>
            </w:pPr>
            <w:r>
              <w:t xml:space="preserve">Every 36 months</w:t>
            </w:r>
          </w:p>
        </w:tc>
      </w:tr>
      <w:tr>
        <w:tc>
          <w:tcPr/>
          <w:p>
            <w:pPr>
              <w:pStyle w:val="Compact"/>
            </w:pPr>
            <w:r>
              <w:rPr>
                <w:b/>
                <w:bCs/>
              </w:rPr>
              <w:t xml:space="preserve">Medium</w:t>
            </w:r>
          </w:p>
        </w:tc>
        <w:tc>
          <w:tcPr/>
          <w:p>
            <w:pPr>
              <w:pStyle w:val="Compact"/>
            </w:pPr>
            <w:r>
              <w:t xml:space="preserve">Moderate volume, general e-commerce, single risk factor</w:t>
            </w:r>
          </w:p>
        </w:tc>
        <w:tc>
          <w:tcPr/>
          <w:p>
            <w:pPr>
              <w:pStyle w:val="Compact"/>
            </w:pPr>
            <w:r>
              <w:t xml:space="preserve">Standard CDD + tighter monitoring</w:t>
            </w:r>
          </w:p>
        </w:tc>
        <w:tc>
          <w:tcPr/>
          <w:p>
            <w:pPr>
              <w:pStyle w:val="Compact"/>
            </w:pPr>
            <w:r>
              <w:t xml:space="preserve">Every 24 months</w:t>
            </w:r>
          </w:p>
        </w:tc>
      </w:tr>
      <w:tr>
        <w:tc>
          <w:tcPr/>
          <w:p>
            <w:pPr>
              <w:pStyle w:val="Compact"/>
            </w:pPr>
            <w:r>
              <w:rPr>
                <w:b/>
                <w:bCs/>
              </w:rPr>
              <w:t xml:space="preserve">High</w:t>
            </w:r>
          </w:p>
        </w:tc>
        <w:tc>
          <w:tcPr/>
          <w:p>
            <w:pPr>
              <w:pStyle w:val="Compact"/>
            </w:pPr>
            <w:r>
              <w:t xml:space="preserve">High-risk MCC, cross-border, PEP nexus, sub-merchant marketplace/PayFac</w:t>
            </w:r>
          </w:p>
        </w:tc>
        <w:tc>
          <w:tcPr/>
          <w:p>
            <w:pPr>
              <w:pStyle w:val="Compact"/>
            </w:pPr>
            <w:r>
              <w:rPr>
                <w:b/>
                <w:bCs/>
              </w:rPr>
              <w:t xml:space="preserve">EDD</w:t>
            </w:r>
            <w:r>
              <w:t xml:space="preserve"> </w:t>
            </w:r>
            <w:r>
              <w:t xml:space="preserve">+ MLRO approval</w:t>
            </w:r>
          </w:p>
        </w:tc>
        <w:tc>
          <w:tcPr/>
          <w:p>
            <w:pPr>
              <w:pStyle w:val="Compact"/>
            </w:pPr>
            <w:r>
              <w:t xml:space="preserve">Every 12 months</w:t>
            </w:r>
          </w:p>
        </w:tc>
      </w:tr>
      <w:tr>
        <w:tc>
          <w:tcPr/>
          <w:p>
            <w:pPr>
              <w:pStyle w:val="Compact"/>
            </w:pPr>
            <w:r>
              <w:rPr>
                <w:b/>
                <w:bCs/>
              </w:rPr>
              <w:t xml:space="preserve">Prohibited</w:t>
            </w:r>
          </w:p>
        </w:tc>
        <w:tc>
          <w:tcPr/>
          <w:p>
            <w:pPr>
              <w:pStyle w:val="Compact"/>
            </w:pPr>
            <w:r>
              <w:t xml:space="preserve">Illegal business, sanctioned, refuses BO disclosure</w:t>
            </w:r>
          </w:p>
        </w:tc>
        <w:tc>
          <w:tcPr/>
          <w:p>
            <w:pPr>
              <w:pStyle w:val="Compact"/>
            </w:pPr>
            <w:r>
              <w:rPr>
                <w:b/>
                <w:bCs/>
              </w:rPr>
              <w:t xml:space="preserve">Reject / terminate</w:t>
            </w:r>
          </w:p>
        </w:tc>
        <w:tc>
          <w:tcPr/>
          <w:p>
            <w:pPr>
              <w:pStyle w:val="Compact"/>
            </w:pPr>
            <w:r>
              <w:t xml:space="preserve">—</w:t>
            </w:r>
          </w:p>
        </w:tc>
      </w:tr>
    </w:tbl>
    <w:p>
      <w:pPr>
        <w:pStyle w:val="BlockText"/>
      </w:pPr>
      <w:r>
        <w:t xml:space="preserve">The prohibited list and restricted/high-risk MCC list are maintained in Appendix A, reviewed at least annually and whenever the card scheme/sponsor bank updates conditions.</w:t>
      </w:r>
    </w:p>
    <w:p>
      <w:r>
        <w:pict>
          <v:rect style="width:0;height:1.5pt" o:hralign="center" o:hrstd="t" o:hr="t"/>
        </w:pict>
      </w:r>
    </w:p>
    <w:bookmarkEnd w:id="221"/>
    <w:bookmarkEnd w:id="222"/>
    <w:bookmarkStart w:id="226" w:name="onboarding-kyc-cdd"/>
    <w:p>
      <w:pPr>
        <w:pStyle w:val="Heading2"/>
      </w:pPr>
      <w:r>
        <w:t xml:space="preserve">3. Onboarding (KYC &amp; CDD)</w:t>
      </w:r>
    </w:p>
    <w:bookmarkStart w:id="223" w:name="X886c6ac816092432ffc0977f931905d9e0b2f3a"/>
    <w:p>
      <w:pPr>
        <w:pStyle w:val="Heading3"/>
      </w:pPr>
      <w:r>
        <w:t xml:space="preserve">3.1 Required documents/information (corporate merchant)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Company affidavit (≤ 3 months old)</w:t>
            </w:r>
          </w:p>
        </w:tc>
        <w:tc>
          <w:tcPr/>
          <w:p>
            <w:pPr>
              <w:pStyle w:val="Compact"/>
            </w:pPr>
            <w:r>
              <w:t xml:space="preserve">Registration number, authorized directors, objectives</w:t>
            </w:r>
          </w:p>
        </w:tc>
      </w:tr>
      <w:tr>
        <w:tc>
          <w:tcPr/>
          <w:p>
            <w:pPr>
              <w:pStyle w:val="Compact"/>
            </w:pPr>
            <w:r>
              <w:t xml:space="preserve">Shareholder list (Bor.Or.Jor.5)</w:t>
            </w:r>
          </w:p>
        </w:tc>
        <w:tc>
          <w:tcPr/>
          <w:p>
            <w:pPr>
              <w:pStyle w:val="Compact"/>
            </w:pPr>
            <w:r>
              <w:t xml:space="preserve">Ownership percentages</w:t>
            </w:r>
          </w:p>
        </w:tc>
      </w:tr>
      <w:tr>
        <w:tc>
          <w:tcPr/>
          <w:p>
            <w:pPr>
              <w:pStyle w:val="Compact"/>
            </w:pPr>
            <w:r>
              <w:t xml:space="preserve">ID/passport of authorized directors and</w:t>
            </w:r>
            <w:r>
              <w:t xml:space="preserve"> </w:t>
            </w:r>
            <w:r>
              <w:rPr>
                <w:b/>
                <w:bCs/>
              </w:rPr>
              <w:t xml:space="preserve">Beneficial Owners (BO)</w:t>
            </w:r>
          </w:p>
        </w:tc>
        <w:tc>
          <w:tcPr/>
          <w:p>
            <w:pPr>
              <w:pStyle w:val="Compact"/>
            </w:pPr>
            <w:r>
              <w:t xml:space="preserve">BO = holds/controls</w:t>
            </w:r>
            <w:r>
              <w:t xml:space="preserve"> </w:t>
            </w:r>
            <w:r>
              <w:rPr>
                <w:b/>
                <w:bCs/>
              </w:rPr>
              <w:t xml:space="preserve">≥ 25%</w:t>
            </w:r>
            <w:r>
              <w:t xml:space="preserve"> </w:t>
            </w:r>
            <w:r>
              <w:t xml:space="preserve">or exercises effective control</w:t>
            </w:r>
          </w:p>
        </w:tc>
      </w:tr>
      <w:tr>
        <w:tc>
          <w:tcPr/>
          <w:p>
            <w:pPr>
              <w:pStyle w:val="Compact"/>
            </w:pPr>
            <w:r>
              <w:t xml:space="preserve">Proof of business address</w:t>
            </w:r>
          </w:p>
        </w:tc>
        <w:tc>
          <w:tcPr/>
          <w:p>
            <w:pPr>
              <w:pStyle w:val="Compact"/>
            </w:pPr>
            <w:r>
              <w:t xml:space="preserve">Lease/house registration/utility bill</w:t>
            </w:r>
          </w:p>
        </w:tc>
      </w:tr>
      <w:tr>
        <w:tc>
          <w:tcPr/>
          <w:p>
            <w:pPr>
              <w:pStyle w:val="Compact"/>
            </w:pPr>
            <w:r>
              <w:t xml:space="preserve">Settlement bank account details</w:t>
            </w:r>
          </w:p>
        </w:tc>
        <w:tc>
          <w:tcPr/>
          <w:p>
            <w:pPr>
              <w:pStyle w:val="Compact"/>
            </w:pPr>
            <w:r>
              <w:t xml:space="preserve">Must be in the same legal entity’s name</w:t>
            </w:r>
          </w:p>
        </w:tc>
      </w:tr>
      <w:tr>
        <w:tc>
          <w:tcPr/>
          <w:p>
            <w:pPr>
              <w:pStyle w:val="Compact"/>
            </w:pPr>
            <w:r>
              <w:t xml:space="preserve">Website/URL, product samples, refund policy</w:t>
            </w:r>
          </w:p>
        </w:tc>
        <w:tc>
          <w:tcPr/>
          <w:p>
            <w:pPr>
              <w:pStyle w:val="Compact"/>
            </w:pPr>
            <w:r>
              <w:t xml:space="preserve">To assess MCC and transaction-laundering risk</w:t>
            </w:r>
          </w:p>
        </w:tc>
      </w:tr>
      <w:tr>
        <w:tc>
          <w:tcPr/>
          <w:p>
            <w:pPr>
              <w:pStyle w:val="Compact"/>
            </w:pPr>
            <w:r>
              <w:t xml:space="preserve">Expected volume/ticket size</w:t>
            </w:r>
          </w:p>
        </w:tc>
        <w:tc>
          <w:tcPr/>
          <w:p>
            <w:pPr>
              <w:pStyle w:val="Compact"/>
            </w:pPr>
            <w:r>
              <w:t xml:space="preserve">Baseline for ongoing monitoring</w:t>
            </w:r>
          </w:p>
        </w:tc>
      </w:tr>
    </w:tbl>
    <w:p>
      <w:pPr>
        <w:pStyle w:val="BodyText"/>
      </w:pPr>
      <w:r>
        <w:rPr>
          <w:b/>
          <w:bCs/>
        </w:rPr>
        <w:t xml:space="preserve">Sole proprietor:</w:t>
      </w:r>
      <w:r>
        <w:t xml:space="preserve"> </w:t>
      </w:r>
      <w:r>
        <w:t xml:space="preserve">national ID, identity verification, commercial registration (if any), settlement account details.</w:t>
      </w:r>
    </w:p>
    <w:bookmarkEnd w:id="223"/>
    <w:bookmarkStart w:id="224" w:name="identification-verification-process"/>
    <w:p>
      <w:pPr>
        <w:pStyle w:val="Heading3"/>
      </w:pPr>
      <w:r>
        <w:t xml:space="preserve">3.2 Identification &amp; verification process</w:t>
      </w:r>
    </w:p>
    <w:p>
      <w:pPr>
        <w:pStyle w:val="Compact"/>
        <w:numPr>
          <w:ilvl w:val="0"/>
          <w:numId w:val="1075"/>
        </w:numPr>
      </w:pPr>
      <w:r>
        <w:rPr>
          <w:b/>
          <w:bCs/>
        </w:rPr>
        <w:t xml:space="preserve">Identification</w:t>
      </w:r>
      <w:r>
        <w:t xml:space="preserve"> </w:t>
      </w:r>
      <w:r>
        <w:t xml:space="preserve">— collect data per 3.1</w:t>
      </w:r>
    </w:p>
    <w:p>
      <w:pPr>
        <w:pStyle w:val="Compact"/>
        <w:numPr>
          <w:ilvl w:val="0"/>
          <w:numId w:val="1075"/>
        </w:numPr>
      </w:pPr>
      <w:r>
        <w:rPr>
          <w:b/>
          <w:bCs/>
        </w:rPr>
        <w:t xml:space="preserve">Verification</w:t>
      </w:r>
      <w:r>
        <w:t xml:space="preserve"> </w:t>
      </w:r>
      <w:r>
        <w:t xml:space="preserve">— validate against reliable sources (DBD registry, e-KYC, document checks, liveness for individuals)</w:t>
      </w:r>
    </w:p>
    <w:p>
      <w:pPr>
        <w:pStyle w:val="Compact"/>
        <w:numPr>
          <w:ilvl w:val="0"/>
          <w:numId w:val="1075"/>
        </w:numPr>
      </w:pPr>
      <w:r>
        <w:rPr>
          <w:b/>
          <w:bCs/>
        </w:rPr>
        <w:t xml:space="preserve">Beneficial Owner</w:t>
      </w:r>
      <w:r>
        <w:t xml:space="preserve"> </w:t>
      </w:r>
      <w:r>
        <w:t xml:space="preserve">— identify/verify every BO holding or controlling ≥ 25% or exercising effective control, down to natural persons</w:t>
      </w:r>
    </w:p>
    <w:p>
      <w:pPr>
        <w:pStyle w:val="Compact"/>
        <w:numPr>
          <w:ilvl w:val="0"/>
          <w:numId w:val="1075"/>
        </w:numPr>
      </w:pPr>
      <w:r>
        <w:rPr>
          <w:b/>
          <w:bCs/>
        </w:rPr>
        <w:t xml:space="preserve">Sanctions &amp; PEP screening</w:t>
      </w:r>
      <w:r>
        <w:t xml:space="preserve"> </w:t>
      </w:r>
      <w:r>
        <w:t xml:space="preserve">— see Section 4</w:t>
      </w:r>
    </w:p>
    <w:p>
      <w:pPr>
        <w:pStyle w:val="Compact"/>
        <w:numPr>
          <w:ilvl w:val="0"/>
          <w:numId w:val="1075"/>
        </w:numPr>
      </w:pPr>
      <w:r>
        <w:rPr>
          <w:b/>
          <w:bCs/>
        </w:rPr>
        <w:t xml:space="preserve">Risk rating</w:t>
      </w:r>
      <w:r>
        <w:t xml:space="preserve"> </w:t>
      </w:r>
      <w:r>
        <w:t xml:space="preserve">— score and classify per 2.1</w:t>
      </w:r>
    </w:p>
    <w:p>
      <w:pPr>
        <w:pStyle w:val="Compact"/>
        <w:numPr>
          <w:ilvl w:val="0"/>
          <w:numId w:val="1075"/>
        </w:numPr>
      </w:pPr>
      <w:r>
        <w:rPr>
          <w:b/>
          <w:bCs/>
        </w:rPr>
        <w:t xml:space="preserve">Approval</w:t>
      </w:r>
      <w:r>
        <w:t xml:space="preserve"> </w:t>
      </w:r>
      <w:r>
        <w:t xml:space="preserve">— Low/Medium approved by Onboarding; High requires</w:t>
      </w:r>
      <w:r>
        <w:t xml:space="preserve"> </w:t>
      </w:r>
      <w:r>
        <w:rPr>
          <w:b/>
          <w:bCs/>
        </w:rPr>
        <w:t xml:space="preserve">MLRO/Compliance Committee</w:t>
      </w:r>
      <w:r>
        <w:t xml:space="preserve"> </w:t>
      </w:r>
      <w:r>
        <w:t xml:space="preserve">approval</w:t>
      </w:r>
    </w:p>
    <w:p>
      <w:pPr>
        <w:pStyle w:val="BlockText"/>
      </w:pPr>
      <w:r>
        <w:rPr>
          <w:b/>
          <w:bCs/>
        </w:rPr>
        <w:t xml:space="preserve">Principle:</w:t>
      </w:r>
      <w:r>
        <w:t xml:space="preserve"> </w:t>
      </w:r>
      <w:r>
        <w:t xml:space="preserve">No live payment acceptance (go-live) before CDD and screening are fully completed.</w:t>
      </w:r>
    </w:p>
    <w:bookmarkEnd w:id="224"/>
    <w:bookmarkStart w:id="225" w:name="onboarding-slas"/>
    <w:p>
      <w:pPr>
        <w:pStyle w:val="Heading3"/>
      </w:pPr>
      <w:r>
        <w:t xml:space="preserve">3.3 Onboarding SLAs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Target CDD SLA</w:t>
            </w:r>
          </w:p>
        </w:tc>
        <w:tc>
          <w:tcPr/>
          <w:p>
            <w:pPr>
              <w:pStyle w:val="Compact"/>
            </w:pPr>
            <w:r>
              <w:t xml:space="preserve">Approver</w:t>
            </w:r>
          </w:p>
        </w:tc>
      </w:tr>
      <w:tr>
        <w:tc>
          <w:tcPr/>
          <w:p>
            <w:pPr>
              <w:pStyle w:val="Compact"/>
            </w:pPr>
            <w:r>
              <w:t xml:space="preserve">Low</w:t>
            </w:r>
          </w:p>
        </w:tc>
        <w:tc>
          <w:tcPr/>
          <w:p>
            <w:pPr>
              <w:pStyle w:val="Compact"/>
            </w:pPr>
            <w:r>
              <w:t xml:space="preserve">1-2 business days</w:t>
            </w:r>
          </w:p>
        </w:tc>
        <w:tc>
          <w:tcPr/>
          <w:p>
            <w:pPr>
              <w:pStyle w:val="Compact"/>
            </w:pPr>
            <w:r>
              <w:t xml:space="preserve">Onboarding Officer</w:t>
            </w:r>
          </w:p>
        </w:tc>
      </w:tr>
      <w:tr>
        <w:tc>
          <w:tcPr/>
          <w:p>
            <w:pPr>
              <w:pStyle w:val="Compact"/>
            </w:pPr>
            <w:r>
              <w:t xml:space="preserve">Medium</w:t>
            </w:r>
          </w:p>
        </w:tc>
        <w:tc>
          <w:tcPr/>
          <w:p>
            <w:pPr>
              <w:pStyle w:val="Compact"/>
            </w:pPr>
            <w:r>
              <w:t xml:space="preserve">3-5 business days</w:t>
            </w:r>
          </w:p>
        </w:tc>
        <w:tc>
          <w:tcPr/>
          <w:p>
            <w:pPr>
              <w:pStyle w:val="Compact"/>
            </w:pPr>
            <w:r>
              <w:t xml:space="preserve">Onboarding Lead</w:t>
            </w:r>
          </w:p>
        </w:tc>
      </w:tr>
      <w:tr>
        <w:tc>
          <w:tcPr/>
          <w:p>
            <w:pPr>
              <w:pStyle w:val="Compact"/>
            </w:pPr>
            <w:r>
              <w:t xml:space="preserve">High (EDD)</w:t>
            </w:r>
          </w:p>
        </w:tc>
        <w:tc>
          <w:tcPr/>
          <w:p>
            <w:pPr>
              <w:pStyle w:val="Compact"/>
            </w:pPr>
            <w:r>
              <w:t xml:space="preserve">7-15 business days</w:t>
            </w:r>
          </w:p>
        </w:tc>
        <w:tc>
          <w:tcPr/>
          <w:p>
            <w:pPr>
              <w:pStyle w:val="Compact"/>
            </w:pPr>
            <w:r>
              <w:t xml:space="preserve">MLRO</w:t>
            </w:r>
          </w:p>
        </w:tc>
      </w:tr>
    </w:tbl>
    <w:p>
      <w:r>
        <w:pict>
          <v:rect style="width:0;height:1.5pt" o:hralign="center" o:hrstd="t" o:hr="t"/>
        </w:pict>
      </w:r>
    </w:p>
    <w:bookmarkEnd w:id="225"/>
    <w:bookmarkEnd w:id="226"/>
    <w:bookmarkStart w:id="227" w:name="sanctions-pep-and-watchlist-screening"/>
    <w:p>
      <w:pPr>
        <w:pStyle w:val="Heading2"/>
      </w:pPr>
      <w:r>
        <w:t xml:space="preserve">4. Sanctions, PEP, and Watchlist Screening</w:t>
      </w:r>
    </w:p>
    <w:p>
      <w:pPr>
        <w:pStyle w:val="Compact"/>
        <w:numPr>
          <w:ilvl w:val="0"/>
          <w:numId w:val="1076"/>
        </w:numPr>
      </w:pPr>
      <w:r>
        <w:t xml:space="preserve">Screen customers, directors, BOs and related parties against the following lists</w:t>
      </w:r>
      <w:r>
        <w:t xml:space="preserve"> </w:t>
      </w:r>
      <w:r>
        <w:rPr>
          <w:b/>
          <w:bCs/>
        </w:rPr>
        <w:t xml:space="preserve">at onboarding and continuously (rescreening)</w:t>
      </w:r>
      <w:r>
        <w:t xml:space="preserve">:</w:t>
      </w:r>
    </w:p>
    <w:p>
      <w:pPr>
        <w:pStyle w:val="Compact"/>
        <w:numPr>
          <w:ilvl w:val="1"/>
          <w:numId w:val="1077"/>
        </w:numPr>
      </w:pPr>
      <w:r>
        <w:rPr>
          <w:b/>
          <w:bCs/>
        </w:rPr>
        <w:t xml:space="preserve">Designated Persons List</w:t>
      </w:r>
      <w:r>
        <w:t xml:space="preserve"> </w:t>
      </w:r>
      <w:r>
        <w:t xml:space="preserve">under the CTPF Act, published by AMLO</w:t>
      </w:r>
    </w:p>
    <w:p>
      <w:pPr>
        <w:pStyle w:val="Compact"/>
        <w:numPr>
          <w:ilvl w:val="1"/>
          <w:numId w:val="1077"/>
        </w:numPr>
      </w:pPr>
      <w:r>
        <w:rPr>
          <w:b/>
          <w:bCs/>
        </w:rPr>
        <w:t xml:space="preserve">UN Security Council Consolidated List</w:t>
      </w:r>
    </w:p>
    <w:p>
      <w:pPr>
        <w:pStyle w:val="Compact"/>
        <w:numPr>
          <w:ilvl w:val="1"/>
          <w:numId w:val="1077"/>
        </w:numPr>
      </w:pPr>
      <w:r>
        <w:rPr>
          <w:b/>
          <w:bCs/>
        </w:rPr>
        <w:t xml:space="preserve">OFAC (SDN), EU, UK (OFSI/HMT)</w:t>
      </w:r>
      <w:r>
        <w:t xml:space="preserve"> </w:t>
      </w:r>
      <w:r>
        <w:t xml:space="preserve">and other relevant international sanctions lists</w:t>
      </w:r>
    </w:p>
    <w:p>
      <w:pPr>
        <w:pStyle w:val="Compact"/>
        <w:numPr>
          <w:ilvl w:val="1"/>
          <w:numId w:val="1077"/>
        </w:numPr>
      </w:pPr>
      <w:r>
        <w:rPr>
          <w:b/>
          <w:bCs/>
        </w:rPr>
        <w:t xml:space="preserve">PEP</w:t>
      </w:r>
      <w:r>
        <w:t xml:space="preserve"> </w:t>
      </w:r>
      <w:r>
        <w:t xml:space="preserve">lists (domestic and foreign)</w:t>
      </w:r>
    </w:p>
    <w:p>
      <w:pPr>
        <w:pStyle w:val="Compact"/>
        <w:numPr>
          <w:ilvl w:val="0"/>
          <w:numId w:val="1076"/>
        </w:numPr>
      </w:pPr>
      <w:r>
        <w:rPr>
          <w:b/>
          <w:bCs/>
        </w:rPr>
        <w:t xml:space="preserve">Frequency:</w:t>
      </w:r>
      <w:r>
        <w:t xml:space="preserve"> </w:t>
      </w:r>
      <w:r>
        <w:t xml:space="preserve">immediately at onboarding, and</w:t>
      </w:r>
      <w:r>
        <w:t xml:space="preserve"> </w:t>
      </w:r>
      <w:r>
        <w:rPr>
          <w:b/>
          <w:bCs/>
        </w:rPr>
        <w:t xml:space="preserve">rescreen at least every 24 hours</w:t>
      </w:r>
      <w:r>
        <w:t xml:space="preserve"> </w:t>
      </w:r>
      <w:r>
        <w:t xml:space="preserve">on list updates (delta screening)</w:t>
      </w:r>
    </w:p>
    <w:p>
      <w:pPr>
        <w:pStyle w:val="Compact"/>
        <w:numPr>
          <w:ilvl w:val="0"/>
          <w:numId w:val="1076"/>
        </w:numPr>
      </w:pPr>
      <w:r>
        <w:rPr>
          <w:b/>
          <w:bCs/>
        </w:rPr>
        <w:t xml:space="preserve">Match handling:</w:t>
      </w:r>
      <w:r>
        <w:t xml:space="preserve"> </w:t>
      </w:r>
      <w:r>
        <w:t xml:space="preserve">every potential match enters</w:t>
      </w:r>
      <w:r>
        <w:t xml:space="preserve"> </w:t>
      </w:r>
      <w:r>
        <w:rPr>
          <w:b/>
          <w:bCs/>
        </w:rPr>
        <w:t xml:space="preserve">case review</w:t>
      </w:r>
      <w:r>
        <w:t xml:space="preserve"> </w:t>
      </w:r>
      <w:r>
        <w:t xml:space="preserve">by an analyst → decide false/true positive → record rationale</w:t>
      </w:r>
    </w:p>
    <w:p>
      <w:pPr>
        <w:pStyle w:val="Compact"/>
        <w:numPr>
          <w:ilvl w:val="0"/>
          <w:numId w:val="1076"/>
        </w:numPr>
      </w:pPr>
      <w:r>
        <w:rPr>
          <w:b/>
          <w:bCs/>
        </w:rPr>
        <w:t xml:space="preserve">True match under the CTPF Act:</w:t>
      </w:r>
      <w:r>
        <w:t xml:space="preserve"> </w:t>
      </w:r>
      <w:r>
        <w:rPr>
          <w:b/>
          <w:bCs/>
        </w:rPr>
        <w:t xml:space="preserve">freeze assets immediately</w:t>
      </w:r>
      <w:r>
        <w:t xml:space="preserve">, report to AMLO without delay, and</w:t>
      </w:r>
      <w:r>
        <w:t xml:space="preserve"> </w:t>
      </w:r>
      <w:r>
        <w:rPr>
          <w:b/>
          <w:bCs/>
        </w:rPr>
        <w:t xml:space="preserve">do not tip off</w:t>
      </w:r>
      <w:r>
        <w:t xml:space="preserve"> </w:t>
      </w:r>
      <w:r>
        <w:t xml:space="preserve">the customer</w:t>
      </w:r>
    </w:p>
    <w:p>
      <w:pPr>
        <w:pStyle w:val="BlockText"/>
      </w:pPr>
      <w:r>
        <w:rPr>
          <w:b/>
          <w:bCs/>
        </w:rPr>
        <w:t xml:space="preserve">[TODO/Assumption — vendor]</w:t>
      </w:r>
      <w:r>
        <w:t xml:space="preserve"> </w:t>
      </w:r>
      <w:r>
        <w:t xml:space="preserve">Screening provider (sanctions/PEP/adverse-media vendor) not yet selected — specify vendor, SLA, and list-refresh frequency before filing.</w:t>
      </w:r>
    </w:p>
    <w:p>
      <w:r>
        <w:pict>
          <v:rect style="width:0;height:1.5pt" o:hralign="center" o:hrstd="t" o:hr="t"/>
        </w:pict>
      </w:r>
    </w:p>
    <w:bookmarkEnd w:id="227"/>
    <w:bookmarkStart w:id="228" w:name="enhanced-due-diligence-edd"/>
    <w:p>
      <w:pPr>
        <w:pStyle w:val="Heading2"/>
      </w:pPr>
      <w:r>
        <w:t xml:space="preserve">5. Enhanced Due Diligence (EDD)</w:t>
      </w:r>
    </w:p>
    <w:p>
      <w:pPr>
        <w:pStyle w:val="FirstParagraph"/>
      </w:pPr>
      <w:r>
        <w:t xml:space="preserve">Apply EDD to</w:t>
      </w:r>
      <w:r>
        <w:t xml:space="preserve"> </w:t>
      </w:r>
      <w:r>
        <w:rPr>
          <w:b/>
          <w:bCs/>
        </w:rPr>
        <w:t xml:space="preserve">High</w:t>
      </w:r>
      <w:r>
        <w:t xml:space="preserve">-rated customers/transactions or where:</w:t>
      </w:r>
    </w:p>
    <w:p>
      <w:pPr>
        <w:pStyle w:val="Compact"/>
        <w:numPr>
          <w:ilvl w:val="0"/>
          <w:numId w:val="1078"/>
        </w:numPr>
      </w:pPr>
      <w:r>
        <w:t xml:space="preserve">A</w:t>
      </w:r>
      <w:r>
        <w:t xml:space="preserve"> </w:t>
      </w:r>
      <w:r>
        <w:rPr>
          <w:b/>
          <w:bCs/>
        </w:rPr>
        <w:t xml:space="preserve">PEP</w:t>
      </w:r>
      <w:r>
        <w:t xml:space="preserve"> </w:t>
      </w:r>
      <w:r>
        <w:t xml:space="preserve">(or family/close associate) is involved</w:t>
      </w:r>
    </w:p>
    <w:p>
      <w:pPr>
        <w:pStyle w:val="Compact"/>
        <w:numPr>
          <w:ilvl w:val="0"/>
          <w:numId w:val="1078"/>
        </w:numPr>
      </w:pPr>
      <w:r>
        <w:t xml:space="preserve">The business is a</w:t>
      </w:r>
      <w:r>
        <w:t xml:space="preserve"> </w:t>
      </w:r>
      <w:r>
        <w:rPr>
          <w:b/>
          <w:bCs/>
        </w:rPr>
        <w:t xml:space="preserve">high-risk MCC</w:t>
      </w:r>
      <w:r>
        <w:t xml:space="preserve"> </w:t>
      </w:r>
      <w:r>
        <w:t xml:space="preserve">(crypto, gambling, forex/CFD, adult, sub-merchant marketplaces)</w:t>
      </w:r>
    </w:p>
    <w:p>
      <w:pPr>
        <w:pStyle w:val="Compact"/>
        <w:numPr>
          <w:ilvl w:val="0"/>
          <w:numId w:val="1078"/>
        </w:numPr>
      </w:pPr>
      <w:r>
        <w:t xml:space="preserve">Transactions are</w:t>
      </w:r>
      <w:r>
        <w:t xml:space="preserve"> </w:t>
      </w:r>
      <w:r>
        <w:rPr>
          <w:b/>
          <w:bCs/>
        </w:rPr>
        <w:t xml:space="preserve">cross-border</w:t>
      </w:r>
      <w:r>
        <w:t xml:space="preserve"> </w:t>
      </w:r>
      <w:r>
        <w:t xml:space="preserve">or involve high-risk jurisdictions (FATF grey/black list)</w:t>
      </w:r>
    </w:p>
    <w:p>
      <w:pPr>
        <w:pStyle w:val="Compact"/>
        <w:numPr>
          <w:ilvl w:val="0"/>
          <w:numId w:val="1078"/>
        </w:numPr>
      </w:pPr>
      <w:r>
        <w:t xml:space="preserve">Ownership is complex/opaque or BO disclosure is refused</w:t>
      </w:r>
    </w:p>
    <w:p>
      <w:pPr>
        <w:pStyle w:val="Compact"/>
        <w:numPr>
          <w:ilvl w:val="0"/>
          <w:numId w:val="1078"/>
        </w:numPr>
      </w:pPr>
      <w:r>
        <w:t xml:space="preserve">Actual volume deviates materially from baseline</w:t>
      </w:r>
    </w:p>
    <w:p>
      <w:pPr>
        <w:pStyle w:val="FirstParagraph"/>
      </w:pPr>
      <w:r>
        <w:rPr>
          <w:b/>
          <w:bCs/>
        </w:rPr>
        <w:t xml:space="preserve">Additional EDD measures:</w:t>
      </w:r>
    </w:p>
    <w:p>
      <w:pPr>
        <w:pStyle w:val="Compact"/>
        <w:numPr>
          <w:ilvl w:val="0"/>
          <w:numId w:val="1079"/>
        </w:numPr>
      </w:pPr>
      <w:r>
        <w:t xml:space="preserve">Obtain Source of Funds / Source of Wealth evidence</w:t>
      </w:r>
    </w:p>
    <w:p>
      <w:pPr>
        <w:pStyle w:val="Compact"/>
        <w:numPr>
          <w:ilvl w:val="0"/>
          <w:numId w:val="1079"/>
        </w:numPr>
      </w:pPr>
      <w:r>
        <w:t xml:space="preserve">Conduct</w:t>
      </w:r>
      <w:r>
        <w:t xml:space="preserve"> </w:t>
      </w:r>
      <w:r>
        <w:rPr>
          <w:b/>
          <w:bCs/>
        </w:rPr>
        <w:t xml:space="preserve">adverse media / negative news</w:t>
      </w:r>
      <w:r>
        <w:t xml:space="preserve"> </w:t>
      </w:r>
      <w:r>
        <w:t xml:space="preserve">checks on customer and BOs</w:t>
      </w:r>
    </w:p>
    <w:p>
      <w:pPr>
        <w:pStyle w:val="Compact"/>
        <w:numPr>
          <w:ilvl w:val="0"/>
          <w:numId w:val="1079"/>
        </w:numPr>
      </w:pPr>
      <w:r>
        <w:t xml:space="preserve">Site visit (or virtual verification) for high-risk cases</w:t>
      </w:r>
    </w:p>
    <w:p>
      <w:pPr>
        <w:pStyle w:val="Compact"/>
        <w:numPr>
          <w:ilvl w:val="0"/>
          <w:numId w:val="1079"/>
        </w:numPr>
      </w:pPr>
      <w:r>
        <w:t xml:space="preserve">Approval by</w:t>
      </w:r>
      <w:r>
        <w:t xml:space="preserve"> </w:t>
      </w:r>
      <w:r>
        <w:rPr>
          <w:b/>
          <w:bCs/>
        </w:rPr>
        <w:t xml:space="preserve">MLRO or the Compliance Committee</w:t>
      </w:r>
      <w:r>
        <w:t xml:space="preserve"> </w:t>
      </w:r>
      <w:r>
        <w:t xml:space="preserve">before go-live</w:t>
      </w:r>
    </w:p>
    <w:p>
      <w:pPr>
        <w:pStyle w:val="Compact"/>
        <w:numPr>
          <w:ilvl w:val="0"/>
          <w:numId w:val="1079"/>
        </w:numPr>
      </w:pPr>
      <w:r>
        <w:t xml:space="preserve">Increase monitoring frequency and lower alert thresholds</w:t>
      </w:r>
    </w:p>
    <w:p>
      <w:pPr>
        <w:pStyle w:val="Compact"/>
        <w:numPr>
          <w:ilvl w:val="0"/>
          <w:numId w:val="1079"/>
        </w:numPr>
      </w:pPr>
      <w:r>
        <w:t xml:space="preserve">Review the relationship every 12 months (or sooner if risk changes)</w:t>
      </w:r>
    </w:p>
    <w:p>
      <w:r>
        <w:pict>
          <v:rect style="width:0;height:1.5pt" o:hralign="center" o:hrstd="t" o:hr="t"/>
        </w:pict>
      </w:r>
    </w:p>
    <w:bookmarkEnd w:id="228"/>
    <w:bookmarkStart w:id="232" w:name="ongoing-monitoring-and-reporting"/>
    <w:p>
      <w:pPr>
        <w:pStyle w:val="Heading2"/>
      </w:pPr>
      <w:r>
        <w:t xml:space="preserve">6. Ongoing Monitoring and Reporting</w:t>
      </w:r>
    </w:p>
    <w:bookmarkStart w:id="229" w:name="transaction-monitoring"/>
    <w:p>
      <w:pPr>
        <w:pStyle w:val="Heading3"/>
      </w:pPr>
      <w:r>
        <w:t xml:space="preserve">6.1 Transaction monitoring</w:t>
      </w:r>
    </w:p>
    <w:p>
      <w:pPr>
        <w:pStyle w:val="Compact"/>
        <w:numPr>
          <w:ilvl w:val="0"/>
          <w:numId w:val="1080"/>
        </w:numPr>
      </w:pPr>
      <w:r>
        <w:t xml:space="preserve">Monitoring runs</w:t>
      </w:r>
      <w:r>
        <w:t xml:space="preserve"> </w:t>
      </w:r>
      <w:r>
        <w:rPr>
          <w:b/>
          <w:bCs/>
        </w:rPr>
        <w:t xml:space="preserve">near-real-time</w:t>
      </w:r>
      <w:r>
        <w:t xml:space="preserve"> </w:t>
      </w:r>
      <w:r>
        <w:t xml:space="preserve">+</w:t>
      </w:r>
      <w:r>
        <w:t xml:space="preserve"> </w:t>
      </w:r>
      <w:r>
        <w:rPr>
          <w:b/>
          <w:bCs/>
        </w:rPr>
        <w:t xml:space="preserve">batch</w:t>
      </w:r>
      <w:r>
        <w:t xml:space="preserve">, detecting anomalies against each customer’s baseline.</w:t>
      </w:r>
    </w:p>
    <w:p>
      <w:pPr>
        <w:pStyle w:val="Compact"/>
        <w:numPr>
          <w:ilvl w:val="0"/>
          <w:numId w:val="1080"/>
        </w:numPr>
      </w:pPr>
      <w:r>
        <w:t xml:space="preserve">Example scenarios:</w:t>
      </w:r>
    </w:p>
    <w:p>
      <w:pPr>
        <w:pStyle w:val="Compact"/>
        <w:numPr>
          <w:ilvl w:val="1"/>
          <w:numId w:val="1081"/>
        </w:numPr>
      </w:pPr>
      <w:r>
        <w:t xml:space="preserve">Abnormal volume/value spikes vs. baseline</w:t>
      </w:r>
    </w:p>
    <w:p>
      <w:pPr>
        <w:pStyle w:val="Compact"/>
        <w:numPr>
          <w:ilvl w:val="1"/>
          <w:numId w:val="1081"/>
        </w:numPr>
      </w:pPr>
      <w:r>
        <w:t xml:space="preserve">Abnormally high chargeback/refund rates (fraud / transaction laundering)</w:t>
      </w:r>
    </w:p>
    <w:p>
      <w:pPr>
        <w:pStyle w:val="Compact"/>
        <w:numPr>
          <w:ilvl w:val="1"/>
          <w:numId w:val="1081"/>
        </w:numPr>
      </w:pPr>
      <w:r>
        <w:t xml:space="preserve">Structuring / smurfing to evade thresholds</w:t>
      </w:r>
    </w:p>
    <w:p>
      <w:pPr>
        <w:pStyle w:val="Compact"/>
        <w:numPr>
          <w:ilvl w:val="1"/>
          <w:numId w:val="1081"/>
        </w:numPr>
      </w:pPr>
      <w:r>
        <w:t xml:space="preserve">Card testing (BIN attack) — many small transactions in a short window</w:t>
      </w:r>
    </w:p>
    <w:p>
      <w:pPr>
        <w:pStyle w:val="Compact"/>
        <w:numPr>
          <w:ilvl w:val="1"/>
          <w:numId w:val="1081"/>
        </w:numPr>
      </w:pPr>
      <w:r>
        <w:t xml:space="preserve">Transactions from high-risk countries or mismatched IP/geolocation</w:t>
      </w:r>
    </w:p>
    <w:p>
      <w:pPr>
        <w:pStyle w:val="Compact"/>
        <w:numPr>
          <w:ilvl w:val="1"/>
          <w:numId w:val="1081"/>
        </w:numPr>
      </w:pPr>
      <w:r>
        <w:t xml:space="preserve">Repeated round-amount transactions; abnormal card count per merchant</w:t>
      </w:r>
    </w:p>
    <w:p>
      <w:pPr>
        <w:pStyle w:val="Compact"/>
        <w:numPr>
          <w:ilvl w:val="0"/>
          <w:numId w:val="1080"/>
        </w:numPr>
      </w:pPr>
      <w:r>
        <w:t xml:space="preserve">Signals from</w:t>
      </w:r>
      <w:r>
        <w:t xml:space="preserve"> </w:t>
      </w:r>
      <w:r>
        <w:rPr>
          <w:b/>
          <w:bCs/>
        </w:rPr>
        <w:t xml:space="preserve">3DS 2.x</w:t>
      </w:r>
      <w:r>
        <w:t xml:space="preserve"> </w:t>
      </w:r>
      <w:r>
        <w:t xml:space="preserve">and authorization-time risk scoring enrich the assessment.</w:t>
      </w:r>
    </w:p>
    <w:bookmarkEnd w:id="229"/>
    <w:bookmarkStart w:id="230" w:name="amlo-reporting-obligations"/>
    <w:p>
      <w:pPr>
        <w:pStyle w:val="Heading3"/>
      </w:pPr>
      <w:r>
        <w:t xml:space="preserve">6.2 AMLO reporting obligations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Report type</w:t>
            </w:r>
          </w:p>
        </w:tc>
        <w:tc>
          <w:tcPr/>
          <w:p>
            <w:pPr>
              <w:pStyle w:val="Compact"/>
            </w:pPr>
            <w:r>
              <w:t xml:space="preserve">Threshold (Thai law)</w:t>
            </w:r>
          </w:p>
        </w:tc>
        <w:tc>
          <w:tcPr/>
          <w:p>
            <w:pPr>
              <w:pStyle w:val="Compact"/>
            </w:pPr>
            <w:r>
              <w:t xml:space="preserve">Timing</w:t>
            </w:r>
          </w:p>
        </w:tc>
      </w:tr>
      <w:tr>
        <w:tc>
          <w:tcPr/>
          <w:p>
            <w:pPr>
              <w:pStyle w:val="Compact"/>
            </w:pPr>
            <w:r>
              <w:rPr>
                <w:b/>
                <w:bCs/>
              </w:rPr>
              <w:t xml:space="preserve">Cash Transaction Report</w:t>
            </w:r>
          </w:p>
        </w:tc>
        <w:tc>
          <w:tcPr/>
          <w:p>
            <w:pPr>
              <w:pStyle w:val="Compact"/>
            </w:pPr>
            <w:r>
              <w:t xml:space="preserve">From</w:t>
            </w:r>
            <w:r>
              <w:t xml:space="preserve"> </w:t>
            </w:r>
            <w:r>
              <w:rPr>
                <w:b/>
                <w:bCs/>
              </w:rPr>
              <w:t xml:space="preserve">THB 2,000,000</w:t>
            </w:r>
          </w:p>
        </w:tc>
        <w:tc>
          <w:tcPr/>
          <w:p>
            <w:pPr>
              <w:pStyle w:val="Compact"/>
            </w:pPr>
            <w:r>
              <w:t xml:space="preserve">Per AMLO schedule</w:t>
            </w:r>
          </w:p>
        </w:tc>
      </w:tr>
      <w:tr>
        <w:tc>
          <w:tcPr/>
          <w:p>
            <w:pPr>
              <w:pStyle w:val="Compact"/>
            </w:pPr>
            <w:r>
              <w:rPr>
                <w:b/>
                <w:bCs/>
              </w:rPr>
              <w:t xml:space="preserve">Property/asset transaction report</w:t>
            </w:r>
          </w:p>
        </w:tc>
        <w:tc>
          <w:tcPr/>
          <w:p>
            <w:pPr>
              <w:pStyle w:val="Compact"/>
            </w:pPr>
            <w:r>
              <w:t xml:space="preserve">From</w:t>
            </w:r>
            <w:r>
              <w:t xml:space="preserve"> </w:t>
            </w:r>
            <w:r>
              <w:rPr>
                <w:b/>
                <w:bCs/>
              </w:rPr>
              <w:t xml:space="preserve">THB 5,000,000</w:t>
            </w:r>
          </w:p>
        </w:tc>
        <w:tc>
          <w:tcPr/>
          <w:p>
            <w:pPr>
              <w:pStyle w:val="Compact"/>
            </w:pPr>
            <w:r>
              <w:t xml:space="preserve">Per AMLO schedule</w:t>
            </w:r>
          </w:p>
        </w:tc>
      </w:tr>
      <w:tr>
        <w:tc>
          <w:tcPr/>
          <w:p>
            <w:pPr>
              <w:pStyle w:val="Compact"/>
            </w:pPr>
            <w:r>
              <w:rPr>
                <w:b/>
                <w:bCs/>
              </w:rPr>
              <w:t xml:space="preserve">Suspicious Transaction Report (STR)</w:t>
            </w:r>
          </w:p>
        </w:tc>
        <w:tc>
          <w:tcPr/>
          <w:p>
            <w:pPr>
              <w:pStyle w:val="Compact"/>
            </w:pPr>
            <w:r>
              <w:t xml:space="preserve">On reasonable grounds; no minimum amount</w:t>
            </w:r>
          </w:p>
        </w:tc>
        <w:tc>
          <w:tcPr/>
          <w:p>
            <w:pPr>
              <w:pStyle w:val="Compact"/>
            </w:pPr>
            <w:r>
              <w:rPr>
                <w:b/>
                <w:bCs/>
              </w:rPr>
              <w:t xml:space="preserve">Without delay</w:t>
            </w:r>
            <w:r>
              <w:t xml:space="preserve"> </w:t>
            </w:r>
            <w:r>
              <w:t xml:space="preserve">after detection</w:t>
            </w:r>
          </w:p>
        </w:tc>
      </w:tr>
    </w:tbl>
    <w:p>
      <w:pPr>
        <w:pStyle w:val="BlockText"/>
      </w:pPr>
      <w:r>
        <w:rPr>
          <w:b/>
          <w:bCs/>
        </w:rPr>
        <w:t xml:space="preserve">Note:</w:t>
      </w:r>
      <w:r>
        <w:t xml:space="preserve"> </w:t>
      </w:r>
      <w:r>
        <w:t xml:space="preserve">The acquiring model is predominantly electronic (non-cash), so the emphasis is on</w:t>
      </w:r>
      <w:r>
        <w:t xml:space="preserve"> </w:t>
      </w:r>
      <w:r>
        <w:rPr>
          <w:b/>
          <w:bCs/>
        </w:rPr>
        <w:t xml:space="preserve">STR</w:t>
      </w:r>
      <w:r>
        <w:t xml:space="preserve"> </w:t>
      </w:r>
      <w:r>
        <w:t xml:space="preserve">and the property-transaction threshold. Confirm applicable thresholds/forms with AMLO.</w:t>
      </w:r>
    </w:p>
    <w:p>
      <w:pPr>
        <w:pStyle w:val="BlockText"/>
      </w:pPr>
      <w:r>
        <w:rPr>
          <w:b/>
          <w:bCs/>
        </w:rPr>
        <w:t xml:space="preserve">[TODO/Assumption]</w:t>
      </w:r>
      <w:r>
        <w:t xml:space="preserve"> </w:t>
      </w:r>
      <w:r>
        <w:t xml:space="preserve">Confirm reporting thresholds and the electronic filing channel (AMLO’s AERS), plus statutory reporting deadlines in force at the filing date, with counsel/MLRO.</w:t>
      </w:r>
    </w:p>
    <w:bookmarkEnd w:id="230"/>
    <w:bookmarkStart w:id="231" w:name="alert-and-str-handling"/>
    <w:p>
      <w:pPr>
        <w:pStyle w:val="Heading3"/>
      </w:pPr>
      <w:r>
        <w:t xml:space="preserve">6.3 Alert and STR handling</w:t>
      </w:r>
    </w:p>
    <w:p>
      <w:pPr>
        <w:pStyle w:val="Compact"/>
        <w:numPr>
          <w:ilvl w:val="0"/>
          <w:numId w:val="1082"/>
        </w:numPr>
      </w:pPr>
      <w:r>
        <w:t xml:space="preserve">System raises an alert → enters the</w:t>
      </w:r>
      <w:r>
        <w:t xml:space="preserve"> </w:t>
      </w:r>
      <w:r>
        <w:rPr>
          <w:b/>
          <w:bCs/>
        </w:rPr>
        <w:t xml:space="preserve">case-management queue</w:t>
      </w:r>
    </w:p>
    <w:p>
      <w:pPr>
        <w:pStyle w:val="Compact"/>
        <w:numPr>
          <w:ilvl w:val="0"/>
          <w:numId w:val="1082"/>
        </w:numPr>
      </w:pPr>
      <w:r>
        <w:t xml:space="preserve">Analyst investigates, gathers evidence, records the decision rationale</w:t>
      </w:r>
    </w:p>
    <w:p>
      <w:pPr>
        <w:pStyle w:val="Compact"/>
        <w:numPr>
          <w:ilvl w:val="0"/>
          <w:numId w:val="1082"/>
        </w:numPr>
      </w:pPr>
      <w:r>
        <w:t xml:space="preserve">If suspicious → escalate to the</w:t>
      </w:r>
      <w:r>
        <w:t xml:space="preserve"> </w:t>
      </w:r>
      <w:r>
        <w:rPr>
          <w:b/>
          <w:bCs/>
        </w:rPr>
        <w:t xml:space="preserve">MLRO</w:t>
      </w:r>
    </w:p>
    <w:p>
      <w:pPr>
        <w:pStyle w:val="Compact"/>
        <w:numPr>
          <w:ilvl w:val="0"/>
          <w:numId w:val="1082"/>
        </w:numPr>
      </w:pPr>
      <w:r>
        <w:t xml:space="preserve">MLRO decides to file an</w:t>
      </w:r>
      <w:r>
        <w:t xml:space="preserve"> </w:t>
      </w:r>
      <w:r>
        <w:rPr>
          <w:b/>
          <w:bCs/>
        </w:rPr>
        <w:t xml:space="preserve">STR</w:t>
      </w:r>
      <w:r>
        <w:t xml:space="preserve"> </w:t>
      </w:r>
      <w:r>
        <w:t xml:space="preserve">with AMLO and considers</w:t>
      </w:r>
      <w:r>
        <w:t xml:space="preserve"> </w:t>
      </w:r>
      <w:r>
        <w:rPr>
          <w:b/>
          <w:bCs/>
        </w:rPr>
        <w:t xml:space="preserve">freeze / offboard</w:t>
      </w:r>
    </w:p>
    <w:p>
      <w:pPr>
        <w:pStyle w:val="Compact"/>
        <w:numPr>
          <w:ilvl w:val="0"/>
          <w:numId w:val="1082"/>
        </w:numPr>
      </w:pPr>
      <w:r>
        <w:t xml:space="preserve">No tipping-off</w:t>
      </w:r>
    </w:p>
    <w:p>
      <w:pPr>
        <w:pStyle w:val="Compact"/>
        <w:numPr>
          <w:ilvl w:val="0"/>
          <w:numId w:val="1082"/>
        </w:numPr>
      </w:pPr>
      <w:r>
        <w:t xml:space="preserve">Full append-only audit trail at every step</w:t>
      </w:r>
    </w:p>
    <w:p>
      <w:r>
        <w:pict>
          <v:rect style="width:0;height:1.5pt" o:hralign="center" o:hrstd="t" o:hr="t"/>
        </w:pict>
      </w:r>
    </w:p>
    <w:bookmarkEnd w:id="231"/>
    <w:bookmarkEnd w:id="232"/>
    <w:bookmarkStart w:id="233" w:name="record-keeping"/>
    <w:p>
      <w:pPr>
        <w:pStyle w:val="Heading2"/>
      </w:pPr>
      <w:r>
        <w:t xml:space="preserve">7. Record Keeping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Minimum retention</w:t>
            </w:r>
          </w:p>
        </w:tc>
        <w:tc>
          <w:tcPr/>
          <w:p>
            <w:pPr>
              <w:pStyle w:val="Compact"/>
            </w:pPr>
            <w:r>
              <w:t xml:space="preserve">Notes</w:t>
            </w:r>
          </w:p>
        </w:tc>
      </w:tr>
      <w:tr>
        <w:tc>
          <w:tcPr/>
          <w:p>
            <w:pPr>
              <w:pStyle w:val="Compact"/>
            </w:pPr>
            <w:r>
              <w:t xml:space="preserve">CDD/KYC and identity documents</w:t>
            </w:r>
          </w:p>
        </w:tc>
        <w:tc>
          <w:tcPr/>
          <w:p>
            <w:pPr>
              <w:pStyle w:val="Compact"/>
            </w:pPr>
            <w:r>
              <w:rPr>
                <w:b/>
                <w:bCs/>
              </w:rPr>
              <w:t xml:space="preserve">≥ 10 years</w:t>
            </w:r>
            <w:r>
              <w:t xml:space="preserve"> </w:t>
            </w:r>
            <w:r>
              <w:t xml:space="preserve">after end of relationship</w:t>
            </w:r>
          </w:p>
        </w:tc>
        <w:tc>
          <w:tcPr/>
          <w:p>
            <w:pPr>
              <w:pStyle w:val="Compact"/>
            </w:pPr>
            <w:r>
              <w:t xml:space="preserve">Per AML Act</w:t>
            </w:r>
          </w:p>
        </w:tc>
      </w:tr>
      <w:tr>
        <w:tc>
          <w:tcPr/>
          <w:p>
            <w:pPr>
              <w:pStyle w:val="Compact"/>
            </w:pPr>
            <w:r>
              <w:t xml:space="preserve">Transaction records and ledger</w:t>
            </w:r>
          </w:p>
        </w:tc>
        <w:tc>
          <w:tcPr/>
          <w:p>
            <w:pPr>
              <w:pStyle w:val="Compact"/>
            </w:pPr>
            <w:r>
              <w:rPr>
                <w:b/>
                <w:bCs/>
              </w:rPr>
              <w:t xml:space="preserve">≥ 10 years</w:t>
            </w:r>
            <w:r>
              <w:t xml:space="preserve"> </w:t>
            </w:r>
            <w:r>
              <w:t xml:space="preserve">from transaction date</w:t>
            </w:r>
          </w:p>
        </w:tc>
        <w:tc>
          <w:tcPr/>
          <w:p>
            <w:pPr>
              <w:pStyle w:val="Compact"/>
            </w:pPr>
            <w:r>
              <w:t xml:space="preserve">Aligns with the append-only ledger in the architecture</w:t>
            </w:r>
          </w:p>
        </w:tc>
      </w:tr>
      <w:tr>
        <w:tc>
          <w:tcPr/>
          <w:p>
            <w:pPr>
              <w:pStyle w:val="Compact"/>
            </w:pPr>
            <w:r>
              <w:t xml:space="preserve">Reporting records (STR/CTR) and supporting evidence</w:t>
            </w:r>
          </w:p>
        </w:tc>
        <w:tc>
          <w:tcPr/>
          <w:p>
            <w:pPr>
              <w:pStyle w:val="Compact"/>
            </w:pPr>
            <w:r>
              <w:rPr>
                <w:b/>
                <w:bCs/>
              </w:rPr>
              <w:t xml:space="preserve">≥ 10 years</w:t>
            </w:r>
          </w:p>
        </w:tc>
        <w:tc>
          <w:tcPr/>
          <w:p>
            <w:pPr>
              <w:pStyle w:val="Compact"/>
            </w:pPr>
            <w:r>
              <w:t xml:space="preserve">Stored separately, access-restricted</w:t>
            </w:r>
          </w:p>
        </w:tc>
      </w:tr>
      <w:tr>
        <w:tc>
          <w:tcPr/>
          <w:p>
            <w:pPr>
              <w:pStyle w:val="Compact"/>
            </w:pPr>
            <w:r>
              <w:t xml:space="preserve">AML process audit logs</w:t>
            </w:r>
          </w:p>
        </w:tc>
        <w:tc>
          <w:tcPr/>
          <w:p>
            <w:pPr>
              <w:pStyle w:val="Compact"/>
            </w:pPr>
            <w:r>
              <w:rPr>
                <w:b/>
                <w:bCs/>
              </w:rPr>
              <w:t xml:space="preserve">≥ 10 years</w:t>
            </w:r>
            <w:r>
              <w:t xml:space="preserve"> </w:t>
            </w:r>
            <w:r>
              <w:t xml:space="preserve">(PCI minimum 12 months online)</w:t>
            </w:r>
          </w:p>
        </w:tc>
        <w:tc>
          <w:tcPr/>
          <w:p>
            <w:pPr>
              <w:pStyle w:val="Compact"/>
            </w:pPr>
            <w:r>
              <w:t xml:space="preserve">Append-only</w:t>
            </w:r>
            <w:r>
              <w:t xml:space="preserve"> </w:t>
            </w:r>
            <w:r>
              <w:rPr>
                <w:rStyle w:val="VerbatimChar"/>
              </w:rPr>
              <w:t xml:space="preserve">audit_log</w:t>
            </w:r>
          </w:p>
        </w:tc>
      </w:tr>
    </w:tbl>
    <w:p>
      <w:pPr>
        <w:pStyle w:val="BodyText"/>
      </w:pPr>
      <w:r>
        <w:rPr>
          <w:b/>
          <w:bCs/>
        </w:rPr>
        <w:t xml:space="preserve">Principles:</w:t>
      </w:r>
    </w:p>
    <w:p>
      <w:pPr>
        <w:pStyle w:val="Compact"/>
        <w:numPr>
          <w:ilvl w:val="0"/>
          <w:numId w:val="1083"/>
        </w:numPr>
      </w:pPr>
      <w:r>
        <w:t xml:space="preserve">Retain in a retrievable form deliverable to AMLO/BOT within required timeframes</w:t>
      </w:r>
    </w:p>
    <w:p>
      <w:pPr>
        <w:pStyle w:val="Compact"/>
        <w:numPr>
          <w:ilvl w:val="0"/>
          <w:numId w:val="1083"/>
        </w:numPr>
      </w:pPr>
      <w:r>
        <w:rPr>
          <w:b/>
          <w:bCs/>
        </w:rPr>
        <w:t xml:space="preserve">Data residency:</w:t>
      </w:r>
      <w:r>
        <w:t xml:space="preserve"> </w:t>
      </w:r>
      <w:r>
        <w:t xml:space="preserve">keep data in Thailand per BOT/PDPA requirements</w:t>
      </w:r>
    </w:p>
    <w:p>
      <w:pPr>
        <w:pStyle w:val="Compact"/>
        <w:numPr>
          <w:ilvl w:val="0"/>
          <w:numId w:val="1083"/>
        </w:numPr>
      </w:pPr>
      <w:r>
        <w:t xml:space="preserve">Card data (PAN/CVV/track) is</w:t>
      </w:r>
      <w:r>
        <w:t xml:space="preserve"> </w:t>
      </w:r>
      <w:r>
        <w:rPr>
          <w:b/>
          <w:bCs/>
        </w:rPr>
        <w:t xml:space="preserve">not over-retained</w:t>
      </w:r>
      <w:r>
        <w:t xml:space="preserve"> </w:t>
      </w:r>
      <w:r>
        <w:t xml:space="preserve">and follows</w:t>
      </w:r>
      <w:r>
        <w:t xml:space="preserve"> </w:t>
      </w:r>
      <w:r>
        <w:rPr>
          <w:b/>
          <w:bCs/>
        </w:rPr>
        <w:t xml:space="preserve">PCI-DSS v4.0</w:t>
      </w:r>
      <w:r>
        <w:t xml:space="preserve"> </w:t>
      </w:r>
      <w:r>
        <w:t xml:space="preserve">— the core system sees only token +</w:t>
      </w:r>
      <w:r>
        <w:t xml:space="preserve"> </w:t>
      </w:r>
      <w:r>
        <w:rPr>
          <w:rStyle w:val="VerbatimChar"/>
        </w:rPr>
        <w:t xml:space="preserve">card_last4</w:t>
      </w:r>
      <w:r>
        <w:t xml:space="preserve"> </w:t>
      </w:r>
      <w:r>
        <w:t xml:space="preserve">(consistent with ARCHITECTURE.md)</w:t>
      </w:r>
    </w:p>
    <w:p>
      <w:pPr>
        <w:pStyle w:val="Compact"/>
        <w:numPr>
          <w:ilvl w:val="0"/>
          <w:numId w:val="1083"/>
        </w:numPr>
      </w:pPr>
      <w:r>
        <w:t xml:space="preserve">KYC-data access requires a lawful basis and safeguards under</w:t>
      </w:r>
      <w:r>
        <w:t xml:space="preserve"> </w:t>
      </w:r>
      <w:r>
        <w:rPr>
          <w:b/>
          <w:bCs/>
        </w:rPr>
        <w:t xml:space="preserve">PDPA (regulated by the PDPC)</w:t>
      </w:r>
      <w:r>
        <w:t xml:space="preserve">, with RBAC, encryption at rest, and access logging</w:t>
      </w:r>
    </w:p>
    <w:p>
      <w:r>
        <w:pict>
          <v:rect style="width:0;height:1.5pt" o:hralign="center" o:hrstd="t" o:hr="t"/>
        </w:pict>
      </w:r>
    </w:p>
    <w:bookmarkEnd w:id="233"/>
    <w:bookmarkStart w:id="234" w:name="roles-governance-1"/>
    <w:p>
      <w:pPr>
        <w:pStyle w:val="Heading2"/>
      </w:pPr>
      <w:r>
        <w:t xml:space="preserve">8. Roles &amp; Governance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Primary responsibilities</w:t>
            </w:r>
          </w:p>
        </w:tc>
      </w:tr>
      <w:tr>
        <w:tc>
          <w:tcPr/>
          <w:p>
            <w:pPr>
              <w:pStyle w:val="Compact"/>
            </w:pPr>
            <w:r>
              <w:rPr>
                <w:b/>
                <w:bCs/>
              </w:rPr>
              <w:t xml:space="preserve">Board of Directors</w:t>
            </w:r>
          </w:p>
        </w:tc>
        <w:tc>
          <w:tcPr/>
          <w:p>
            <w:pPr>
              <w:pStyle w:val="Compact"/>
            </w:pPr>
            <w:r>
              <w:t xml:space="preserve">Approve the AML policy, high-level oversight, resource allocation</w:t>
            </w:r>
          </w:p>
        </w:tc>
      </w:tr>
      <w:tr>
        <w:tc>
          <w:tcPr/>
          <w:p>
            <w:pPr>
              <w:pStyle w:val="Compact"/>
            </w:pPr>
            <w:r>
              <w:rPr>
                <w:b/>
                <w:bCs/>
              </w:rPr>
              <w:t xml:space="preserve">MLRO (Money Laundering Reporting Officer)</w:t>
            </w:r>
          </w:p>
        </w:tc>
        <w:tc>
          <w:tcPr/>
          <w:p>
            <w:pPr>
              <w:pStyle w:val="Compact"/>
            </w:pPr>
            <w:r>
              <w:t xml:space="preserve">Ultimate AML accountability, decides STR filings, AMLO point of contact</w:t>
            </w:r>
          </w:p>
        </w:tc>
      </w:tr>
      <w:tr>
        <w:tc>
          <w:tcPr/>
          <w:p>
            <w:pPr>
              <w:pStyle w:val="Compact"/>
            </w:pPr>
            <w:r>
              <w:rPr>
                <w:b/>
                <w:bCs/>
              </w:rPr>
              <w:t xml:space="preserve">Compliance Officer / team</w:t>
            </w:r>
          </w:p>
        </w:tc>
        <w:tc>
          <w:tcPr/>
          <w:p>
            <w:pPr>
              <w:pStyle w:val="Compact"/>
            </w:pPr>
            <w:r>
              <w:t xml:space="preserve">Policy, training, compliance testing</w:t>
            </w:r>
          </w:p>
        </w:tc>
      </w:tr>
      <w:tr>
        <w:tc>
          <w:tcPr/>
          <w:p>
            <w:pPr>
              <w:pStyle w:val="Compact"/>
            </w:pPr>
            <w:r>
              <w:rPr>
                <w:b/>
                <w:bCs/>
              </w:rPr>
              <w:t xml:space="preserve">Onboarding / KYC Team</w:t>
            </w:r>
          </w:p>
        </w:tc>
        <w:tc>
          <w:tcPr/>
          <w:p>
            <w:pPr>
              <w:pStyle w:val="Compact"/>
            </w:pPr>
            <w:r>
              <w:t xml:space="preserve">Perform CDD/EDD, risk rating</w:t>
            </w:r>
          </w:p>
        </w:tc>
      </w:tr>
      <w:tr>
        <w:tc>
          <w:tcPr/>
          <w:p>
            <w:pPr>
              <w:pStyle w:val="Compact"/>
            </w:pPr>
            <w:r>
              <w:rPr>
                <w:b/>
                <w:bCs/>
              </w:rPr>
              <w:t xml:space="preserve">Transaction Monitoring Analysts</w:t>
            </w:r>
          </w:p>
        </w:tc>
        <w:tc>
          <w:tcPr/>
          <w:p>
            <w:pPr>
              <w:pStyle w:val="Compact"/>
            </w:pPr>
            <w:r>
              <w:t xml:space="preserve">Investigate alerts, build cases</w:t>
            </w:r>
          </w:p>
        </w:tc>
      </w:tr>
      <w:tr>
        <w:tc>
          <w:tcPr/>
          <w:p>
            <w:pPr>
              <w:pStyle w:val="Compact"/>
            </w:pPr>
            <w:r>
              <w:rPr>
                <w:b/>
                <w:bCs/>
              </w:rPr>
              <w:t xml:space="preserve">Internal Audit</w:t>
            </w:r>
          </w:p>
        </w:tc>
        <w:tc>
          <w:tcPr/>
          <w:p>
            <w:pPr>
              <w:pStyle w:val="Compact"/>
            </w:pPr>
            <w:r>
              <w:t xml:space="preserve">Independent annual audit</w:t>
            </w:r>
          </w:p>
        </w:tc>
      </w:tr>
      <w:tr>
        <w:tc>
          <w:tcPr/>
          <w:p>
            <w:pPr>
              <w:pStyle w:val="Compact"/>
            </w:pPr>
            <w:r>
              <w:rPr>
                <w:b/>
                <w:bCs/>
              </w:rPr>
              <w:t xml:space="preserve">DPO (Data Protection Officer)</w:t>
            </w:r>
          </w:p>
        </w:tc>
        <w:tc>
          <w:tcPr/>
          <w:p>
            <w:pPr>
              <w:pStyle w:val="Compact"/>
            </w:pPr>
            <w:r>
              <w:t xml:space="preserve">PDPA compliance for KYC data</w:t>
            </w:r>
          </w:p>
        </w:tc>
      </w:tr>
    </w:tbl>
    <w:p>
      <w:pPr>
        <w:pStyle w:val="Compact"/>
        <w:numPr>
          <w:ilvl w:val="0"/>
          <w:numId w:val="1084"/>
        </w:numPr>
      </w:pPr>
      <w:r>
        <w:rPr>
          <w:b/>
          <w:bCs/>
        </w:rPr>
        <w:t xml:space="preserve">Independence:</w:t>
      </w:r>
      <w:r>
        <w:t xml:space="preserve"> </w:t>
      </w:r>
      <w:r>
        <w:t xml:space="preserve">the MLRO reports directly to the Board/Audit Committee, independent of sales</w:t>
      </w:r>
    </w:p>
    <w:p>
      <w:pPr>
        <w:pStyle w:val="Compact"/>
        <w:numPr>
          <w:ilvl w:val="0"/>
          <w:numId w:val="1084"/>
        </w:numPr>
      </w:pPr>
      <w:r>
        <w:rPr>
          <w:b/>
          <w:bCs/>
        </w:rPr>
        <w:t xml:space="preserve">Training:</w:t>
      </w:r>
      <w:r>
        <w:t xml:space="preserve"> </w:t>
      </w:r>
      <w:r>
        <w:t xml:space="preserve">all relevant staff complete AML training at onboarding and</w:t>
      </w:r>
      <w:r>
        <w:t xml:space="preserve"> </w:t>
      </w:r>
      <w:r>
        <w:rPr>
          <w:b/>
          <w:bCs/>
        </w:rPr>
        <w:t xml:space="preserve">at least annually</w:t>
      </w:r>
      <w:r>
        <w:t xml:space="preserve">, with evidence retained</w:t>
      </w:r>
    </w:p>
    <w:p>
      <w:pPr>
        <w:pStyle w:val="Compact"/>
        <w:numPr>
          <w:ilvl w:val="0"/>
          <w:numId w:val="1084"/>
        </w:numPr>
      </w:pPr>
      <w:r>
        <w:rPr>
          <w:b/>
          <w:bCs/>
        </w:rPr>
        <w:t xml:space="preserve">Independent testing:</w:t>
      </w:r>
      <w:r>
        <w:t xml:space="preserve"> </w:t>
      </w:r>
      <w:r>
        <w:t xml:space="preserve">Internal Audit and/or external assessors evaluate AML program effectiveness at least annually</w:t>
      </w:r>
    </w:p>
    <w:p>
      <w:pPr>
        <w:pStyle w:val="BlockText"/>
      </w:pPr>
      <w:r>
        <w:rPr>
          <w:b/>
          <w:bCs/>
        </w:rPr>
        <w:t xml:space="preserve">[TODO/Assumption]</w:t>
      </w:r>
      <w:r>
        <w:t xml:space="preserve"> </w:t>
      </w:r>
      <w:r>
        <w:t xml:space="preserve">MLRO and DPO must be formally appointed with fit &amp; proper documentation for the BOT filing — name/qualify before filing.</w:t>
      </w:r>
    </w:p>
    <w:p>
      <w:r>
        <w:pict>
          <v:rect style="width:0;height:1.5pt" o:hralign="center" o:hrstd="t" o:hr="t"/>
        </w:pict>
      </w:r>
    </w:p>
    <w:bookmarkEnd w:id="234"/>
    <w:bookmarkStart w:id="235" w:name="offboarding-de-risking"/>
    <w:p>
      <w:pPr>
        <w:pStyle w:val="Heading2"/>
      </w:pPr>
      <w:r>
        <w:t xml:space="preserve">9. Offboarding / De-risking</w:t>
      </w:r>
    </w:p>
    <w:p>
      <w:pPr>
        <w:pStyle w:val="Compact"/>
        <w:numPr>
          <w:ilvl w:val="0"/>
          <w:numId w:val="1085"/>
        </w:numPr>
      </w:pPr>
      <w:r>
        <w:t xml:space="preserve">Terminate when a customer is sanctioned, provided false information, refuses CDD, or shows clear ML/fraud behavior</w:t>
      </w:r>
    </w:p>
    <w:p>
      <w:pPr>
        <w:pStyle w:val="Compact"/>
        <w:numPr>
          <w:ilvl w:val="0"/>
          <w:numId w:val="1085"/>
        </w:numPr>
      </w:pPr>
      <w:r>
        <w:t xml:space="preserve">Document the rationale, obtain MLRO approval, consider filing an STR in parallel, and observe no tipping-off</w:t>
      </w:r>
    </w:p>
    <w:p>
      <w:pPr>
        <w:pStyle w:val="Compact"/>
        <w:numPr>
          <w:ilvl w:val="0"/>
          <w:numId w:val="1085"/>
        </w:numPr>
      </w:pPr>
      <w:r>
        <w:t xml:space="preserve">Retain records per Section 7 even after termination</w:t>
      </w:r>
    </w:p>
    <w:p>
      <w:r>
        <w:pict>
          <v:rect style="width:0;height:1.5pt" o:hralign="center" o:hrstd="t" o:hr="t"/>
        </w:pict>
      </w:r>
    </w:p>
    <w:bookmarkEnd w:id="235"/>
    <w:bookmarkStart w:id="236" w:name="X854537d76960c7a745274995e11ccb146142d3c"/>
    <w:p>
      <w:pPr>
        <w:pStyle w:val="Heading2"/>
      </w:pPr>
      <w:r>
        <w:t xml:space="preserve">10. Open Items — Assumptions &amp; TODOs to Close Before Filing</w:t>
      </w:r>
    </w:p>
    <w:p>
      <w:pPr>
        <w:pStyle w:val="BlockText"/>
      </w:pPr>
      <w:r>
        <w:rPr>
          <w:b/>
          <w:bCs/>
        </w:rPr>
        <w:t xml:space="preserve">Assumptions (confirm real facts before filing to BOT/AMLO):</w:t>
      </w:r>
    </w:p>
    <w:p>
      <w:pPr>
        <w:pStyle w:val="Compact"/>
        <w:numPr>
          <w:ilvl w:val="0"/>
          <w:numId w:val="1086"/>
        </w:numPr>
      </w:pPr>
      <w:r>
        <w:rPr>
          <w:b/>
          <w:bCs/>
        </w:rPr>
        <w:t xml:space="preserve">Sponsor bank / card scheme:</w:t>
      </w:r>
      <w:r>
        <w:t xml:space="preserve"> </w:t>
      </w:r>
      <w:r>
        <w:t xml:space="preserve">not yet signed — additional scheme/sponsor AML conditions may affect the prohibited list and EDD</w:t>
      </w:r>
    </w:p>
    <w:p>
      <w:pPr>
        <w:pStyle w:val="Compact"/>
        <w:numPr>
          <w:ilvl w:val="0"/>
          <w:numId w:val="1086"/>
        </w:numPr>
      </w:pPr>
      <w:r>
        <w:rPr>
          <w:b/>
          <w:bCs/>
        </w:rPr>
        <w:t xml:space="preserve">QSA vendor (PCI-DSS L1):</w:t>
      </w:r>
      <w:r>
        <w:t xml:space="preserve"> </w:t>
      </w:r>
      <w:r>
        <w:t xml:space="preserve">not yet selected — card-data controls used in monitoring must align with the RoC</w:t>
      </w:r>
    </w:p>
    <w:p>
      <w:pPr>
        <w:pStyle w:val="Compact"/>
        <w:numPr>
          <w:ilvl w:val="0"/>
          <w:numId w:val="1086"/>
        </w:numPr>
      </w:pPr>
      <w:r>
        <w:rPr>
          <w:b/>
          <w:bCs/>
        </w:rPr>
        <w:t xml:space="preserve">Screening / transaction-monitoring vendor:</w:t>
      </w:r>
      <w:r>
        <w:t xml:space="preserve"> </w:t>
      </w:r>
      <w:r>
        <w:t xml:space="preserve">not yet selected (Section 4)</w:t>
      </w:r>
    </w:p>
    <w:p>
      <w:pPr>
        <w:pStyle w:val="Compact"/>
        <w:numPr>
          <w:ilvl w:val="0"/>
          <w:numId w:val="1086"/>
        </w:numPr>
      </w:pPr>
      <w:r>
        <w:rPr>
          <w:b/>
          <w:bCs/>
        </w:rPr>
        <w:t xml:space="preserve">Paid-up capital THB 50,000,000:</w:t>
      </w:r>
      <w:r>
        <w:t xml:space="preserve"> </w:t>
      </w:r>
      <w:r>
        <w:t xml:space="preserve">confirm actual payment and maintenance at ≥ 75% throughout operations (per COMPLIANCE-TH.md)</w:t>
      </w:r>
    </w:p>
    <w:p>
      <w:pPr>
        <w:pStyle w:val="Compact"/>
        <w:numPr>
          <w:ilvl w:val="0"/>
          <w:numId w:val="1086"/>
        </w:numPr>
      </w:pPr>
      <w:r>
        <w:rPr>
          <w:b/>
          <w:bCs/>
        </w:rPr>
        <w:t xml:space="preserve">MLRO/DPO appointment:</w:t>
      </w:r>
      <w:r>
        <w:t xml:space="preserve"> </w:t>
      </w:r>
      <w:r>
        <w:t xml:space="preserve">fit &amp; proper documentation required</w:t>
      </w:r>
    </w:p>
    <w:p>
      <w:pPr>
        <w:pStyle w:val="Compact"/>
        <w:numPr>
          <w:ilvl w:val="0"/>
          <w:numId w:val="1086"/>
        </w:numPr>
      </w:pPr>
      <w:r>
        <w:rPr>
          <w:b/>
          <w:bCs/>
        </w:rPr>
        <w:t xml:space="preserve">Latest AMLO reporting thresholds/forms:</w:t>
      </w:r>
      <w:r>
        <w:t xml:space="preserve"> </w:t>
      </w:r>
      <w:r>
        <w:t xml:space="preserve">confirm notification numbers and the AERS channel at filing date</w:t>
      </w:r>
    </w:p>
    <w:p>
      <w:r>
        <w:br w:type="page"/>
      </w:r>
    </w:p>
    <w:bookmarkEnd w:id="236"/>
    <w:bookmarkEnd w:id="237"/>
    <w:bookmarkStart w:id="246" w:name="ขนตอนการคดกรองรายชอตองหาม-sanctions-ไทย"/>
    <w:p>
      <w:pPr>
        <w:pStyle w:val="Heading1"/>
      </w:pPr>
      <w:r>
        <w:t xml:space="preserve">ขั้นตอนการคัดกรองรายชื่อต้องห้าม (Sanctions) (ไทย)</w:t>
      </w:r>
    </w:p>
    <w:p>
      <w:pPr>
        <w:pStyle w:val="BlockText"/>
      </w:pPr>
      <w:r>
        <w:t xml:space="preserve">เอกสารประกอบการยื่นขอใบอนุญาต</w:t>
      </w:r>
      <w:r>
        <w:t xml:space="preserve"> </w:t>
      </w:r>
      <w:r>
        <w:rPr>
          <w:b/>
          <w:bCs/>
        </w:rPr>
        <w:t xml:space="preserve">Acquiring Service</w:t>
      </w:r>
      <w:r>
        <w:t xml:space="preserve"> </w:t>
      </w:r>
      <w:r>
        <w:t xml:space="preserve">ภายใต้ พ.ร.บ. ระบบการชำระเงิน พ.ศ. 2560</w:t>
      </w:r>
      <w:r>
        <w:t xml:space="preserve"> </w:t>
      </w:r>
      <w:r>
        <w:t xml:space="preserve">(ทุนจดทะเบียนชำระแล้ว 50 ล้านบาท) และมาตรฐาน</w:t>
      </w:r>
      <w:r>
        <w:t xml:space="preserve"> </w:t>
      </w:r>
      <w:r>
        <w:rPr>
          <w:b/>
          <w:bCs/>
        </w:rPr>
        <w:t xml:space="preserve">PCI-DSS v4.0 Level 1</w:t>
      </w:r>
      <w:r>
        <w:t xml:space="preserve"> </w:t>
      </w:r>
      <w:r>
        <w:t xml:space="preserve">เอกสารในชุด:</w:t>
      </w:r>
      <w:r>
        <w:t xml:space="preserve"> </w:t>
      </w:r>
      <w:r>
        <w:rPr>
          <w:rStyle w:val="VerbatimChar"/>
        </w:rPr>
        <w:t xml:space="preserve">docs/compliance/06-sanctions-screening.md</w:t>
      </w:r>
      <w:r>
        <w:t xml:space="preserve"> </w:t>
      </w:r>
      <w:r>
        <w:t xml:space="preserve">· เวอร์ชัน 0.1</w:t>
      </w:r>
      <w:r>
        <w:t xml:space="preserve"> </w:t>
      </w:r>
      <w:r>
        <w:rPr>
          <w:b/>
          <w:bCs/>
        </w:rPr>
        <w:t xml:space="preserve">หมายเหตุ:</w:t>
      </w:r>
      <w:r>
        <w:t xml:space="preserve"> </w:t>
      </w:r>
      <w:r>
        <w:t xml:space="preserve">เอกสารนี้เป็นนโยบายและขั้นตอนปฏิบัติภายในของ</w:t>
      </w:r>
      <w:r>
        <w:t xml:space="preserve"> </w:t>
      </w:r>
      <w:r>
        <w:rPr>
          <w:b/>
          <w:bCs/>
        </w:rPr>
        <w:t xml:space="preserve">[บริษัท / Company]</w:t>
      </w:r>
      <w:r>
        <w:t xml:space="preserve"> </w:t>
      </w:r>
      <w:r>
        <w:t xml:space="preserve">ไม่ใช่คำแนะนำ</w:t>
      </w:r>
      <w:r>
        <w:t xml:space="preserve"> </w:t>
      </w:r>
      <w:r>
        <w:t xml:space="preserve">ทางกฎหมาย ควรให้ที่ปรึกษากฎหมาย/ผู้เชี่ยวชาญด้าน AML และสำนักงาน ปปง. (AMLO) ตรวจทานก่อนยื่นจริง</w:t>
      </w:r>
    </w:p>
    <w:p>
      <w:r>
        <w:pict>
          <v:rect style="width:0;height:1.5pt" o:hralign="center" o:hrstd="t" o:hr="t"/>
        </w:pict>
      </w:r>
    </w:p>
    <w:bookmarkStart w:id="238" w:name="วตถประสงคและขอบเขต-1"/>
    <w:p>
      <w:pPr>
        <w:pStyle w:val="Heading2"/>
      </w:pPr>
      <w:r>
        <w:t xml:space="preserve">1. วัตถุประสงค์และขอบเขต</w:t>
      </w:r>
    </w:p>
    <w:p>
      <w:pPr>
        <w:pStyle w:val="FirstParagraph"/>
      </w:pPr>
      <w:r>
        <w:t xml:space="preserve">เอกสารนี้กำหนดขั้นตอนการคัดกรองรายชื่อบุคคล/นิติบุคคลที่ถูกกำหนด (sanctions / designated persons)</w:t>
      </w:r>
      <w:r>
        <w:t xml:space="preserve"> </w:t>
      </w:r>
      <w:r>
        <w:t xml:space="preserve">สำหรับ</w:t>
      </w:r>
      <w:r>
        <w:t xml:space="preserve"> </w:t>
      </w:r>
      <w:r>
        <w:rPr>
          <w:b/>
          <w:bCs/>
        </w:rPr>
        <w:t xml:space="preserve">[บริษัท / Company]</w:t>
      </w:r>
      <w:r>
        <w:t xml:space="preserve"> </w:t>
      </w:r>
      <w:r>
        <w:t xml:space="preserve">ในฐานะผู้ให้บริการรับชำระเงินด้วยวิธีการทางอิเล็กทรอนิกส์ (Acquiring)</w:t>
      </w:r>
      <w:r>
        <w:t xml:space="preserve"> </w:t>
      </w:r>
      <w:r>
        <w:t xml:space="preserve">เพื่อ:</w:t>
      </w:r>
    </w:p>
    <w:p>
      <w:pPr>
        <w:pStyle w:val="Compact"/>
        <w:numPr>
          <w:ilvl w:val="0"/>
          <w:numId w:val="1087"/>
        </w:numPr>
      </w:pPr>
      <w:r>
        <w:t xml:space="preserve">ป้องกันมิให้บริษัทถูกใช้เป็นช่องทางสนับสนุนการก่อการร้าย การแพร่ขยายอาวุธที่มีอานุภาพทำลายล้างสูง</w:t>
      </w:r>
      <w:r>
        <w:t xml:space="preserve"> </w:t>
      </w:r>
      <w:r>
        <w:t xml:space="preserve">(Proliferation Financing) และการฟอกเงิน ตาม</w:t>
      </w:r>
      <w:r>
        <w:t xml:space="preserve"> </w:t>
      </w:r>
      <w:r>
        <w:rPr>
          <w:b/>
          <w:bCs/>
        </w:rPr>
        <w:t xml:space="preserve">พ.ร.บ. ป้องกันและปราบปรามการฟอกเงิน พ.ศ. 2542</w:t>
      </w:r>
      <w:r>
        <w:t xml:space="preserve"> </w:t>
      </w:r>
      <w:r>
        <w:t xml:space="preserve">และ</w:t>
      </w:r>
      <w:r>
        <w:t xml:space="preserve"> </w:t>
      </w:r>
      <w:r>
        <w:rPr>
          <w:b/>
          <w:bCs/>
        </w:rPr>
        <w:t xml:space="preserve">พ.ร.บ. ป้องกันและปราบปรามการสนับสนุนทางการเงินแก่การก่อการร้ายและการแพร่ขยายอาวุธที่มี</w:t>
      </w:r>
      <w:r>
        <w:rPr>
          <w:b/>
          <w:bCs/>
        </w:rPr>
        <w:t xml:space="preserve"> </w:t>
      </w:r>
      <w:r>
        <w:rPr>
          <w:b/>
          <w:bCs/>
        </w:rPr>
        <w:t xml:space="preserve">อานุภาพทำลายล้างสูง พ.ศ. 2559 (CTPF Act)</w:t>
      </w:r>
    </w:p>
    <w:p>
      <w:pPr>
        <w:pStyle w:val="Compact"/>
        <w:numPr>
          <w:ilvl w:val="0"/>
          <w:numId w:val="1087"/>
        </w:numPr>
      </w:pPr>
      <w:r>
        <w:t xml:space="preserve">ปฏิบัติตามหลักเกณฑ์ของ</w:t>
      </w:r>
      <w:r>
        <w:t xml:space="preserve"> </w:t>
      </w:r>
      <w:r>
        <w:rPr>
          <w:b/>
          <w:bCs/>
        </w:rPr>
        <w:t xml:space="preserve">ธนาคารแห่งประเทศไทย (ธปท.)</w:t>
      </w:r>
      <w:r>
        <w:t xml:space="preserve"> </w:t>
      </w:r>
      <w:r>
        <w:t xml:space="preserve">ด้าน AML/CFT และการบริหารความเสี่ยง</w:t>
      </w:r>
    </w:p>
    <w:p>
      <w:pPr>
        <w:pStyle w:val="Compact"/>
        <w:numPr>
          <w:ilvl w:val="0"/>
          <w:numId w:val="1087"/>
        </w:numPr>
      </w:pPr>
      <w:r>
        <w:t xml:space="preserve">ปฏิบัติตามพันธะของ card scheme (Visa/Mastercard) และ sponsor bank</w:t>
      </w:r>
    </w:p>
    <w:p>
      <w:pPr>
        <w:pStyle w:val="FirstParagraph"/>
      </w:pPr>
      <w:r>
        <w:rPr>
          <w:b/>
          <w:bCs/>
        </w:rPr>
        <w:t xml:space="preserve">ขอบเขต (Scope) ครอบคลุม:</w:t>
      </w:r>
    </w:p>
    <w:tbl>
      <w:tblPr>
        <w:tblStyle w:val="Table"/>
        <w:tblW w:type="pct" w:w="5000"/>
        <w:tblLayout w:type="fixed"/>
        <w:tblLook w:firstRow="1" w:lastRow="0" w:firstColumn="0" w:lastColumn="0" w:noHBand="0" w:noVBand="0" w:val="0020"/>
      </w:tblPr>
      <w:tblGrid>
        <w:gridCol w:w="5365"/>
        <w:gridCol w:w="2554"/>
      </w:tblGrid>
      <w:tr>
        <w:trPr>
          <w:tblHeader w:val="on"/>
        </w:trPr>
        <w:tc>
          <w:tcPr/>
          <w:p>
            <w:pPr>
              <w:pStyle w:val="Compact"/>
            </w:pPr>
            <w:r>
              <w:t xml:space="preserve">กลุ่มที่ต้องคัดกรอง</w:t>
            </w:r>
          </w:p>
        </w:tc>
        <w:tc>
          <w:tcPr/>
          <w:p>
            <w:pPr>
              <w:pStyle w:val="Compact"/>
            </w:pPr>
            <w:r>
              <w:t xml:space="preserve">ตัวอย่าง</w:t>
            </w:r>
          </w:p>
        </w:tc>
      </w:tr>
      <w:tr>
        <w:tc>
          <w:tcPr/>
          <w:p>
            <w:pPr>
              <w:pStyle w:val="Compact"/>
            </w:pPr>
            <w:r>
              <w:t xml:space="preserve">ผู้ค้า (Merchant) และผู้มีอำนาจควบคุม (UBO ≥ 25%, กรรมการ, ผู้มีอำนาจลงนาม)</w:t>
            </w:r>
          </w:p>
        </w:tc>
        <w:tc>
          <w:tcPr/>
          <w:p>
            <w:pPr>
              <w:pStyle w:val="Compact"/>
            </w:pPr>
            <w:r>
              <w:t xml:space="preserve">ตอน onboarding และตลอดความสัมพันธ์</w:t>
            </w:r>
          </w:p>
        </w:tc>
      </w:tr>
      <w:tr>
        <w:tc>
          <w:tcPr/>
          <w:p>
            <w:pPr>
              <w:pStyle w:val="Compact"/>
            </w:pPr>
            <w:r>
              <w:t xml:space="preserve">ผู้ถือบัตร / ผู้ชำระเงิน (Cardholder / Payer)</w:t>
            </w:r>
          </w:p>
        </w:tc>
        <w:tc>
          <w:tcPr/>
          <w:p>
            <w:pPr>
              <w:pStyle w:val="Compact"/>
            </w:pPr>
            <w:r>
              <w:t xml:space="preserve">ในธุรกรรมที่ทราบชื่อ (เช่น payout, refund ไปบัญชีปลายทาง)</w:t>
            </w:r>
          </w:p>
        </w:tc>
      </w:tr>
      <w:tr>
        <w:tc>
          <w:tcPr/>
          <w:p>
            <w:pPr>
              <w:pStyle w:val="Compact"/>
            </w:pPr>
            <w:r>
              <w:t xml:space="preserve">ผู้รับโอนเงิน / บัญชีรับ settlement / payout</w:t>
            </w:r>
          </w:p>
        </w:tc>
        <w:tc>
          <w:tcPr/>
          <w:p>
            <w:pPr>
              <w:pStyle w:val="Compact"/>
            </w:pPr>
            <w:r>
              <w:t xml:space="preserve">ก่อนจ่ายเงินออก</w:t>
            </w:r>
          </w:p>
        </w:tc>
      </w:tr>
      <w:tr>
        <w:tc>
          <w:tcPr/>
          <w:p>
            <w:pPr>
              <w:pStyle w:val="Compact"/>
            </w:pPr>
            <w:r>
              <w:t xml:space="preserve">พนักงาน คู่ค้า และผู้ให้บริการภายนอก (outsourcing)</w:t>
            </w:r>
          </w:p>
        </w:tc>
        <w:tc>
          <w:tcPr/>
          <w:p>
            <w:pPr>
              <w:pStyle w:val="Compact"/>
            </w:pPr>
            <w:r>
              <w:t xml:space="preserve">ก่อนทำสัญญา</w:t>
            </w:r>
          </w:p>
        </w:tc>
      </w:tr>
    </w:tbl>
    <w:p>
      <w:pPr>
        <w:pStyle w:val="BlockText"/>
      </w:pPr>
      <w:r>
        <w:rPr>
          <w:b/>
          <w:bCs/>
        </w:rPr>
        <w:t xml:space="preserve">หลักการ:</w:t>
      </w:r>
      <w:r>
        <w:t xml:space="preserve"> </w:t>
      </w:r>
      <w:r>
        <w:t xml:space="preserve">ระบบหลัก (payment core) เห็นข้อมูลบัตรเป็น token +</w:t>
      </w:r>
      <w:r>
        <w:t xml:space="preserve"> </w:t>
      </w:r>
      <w:r>
        <w:rPr>
          <w:rStyle w:val="VerbatimChar"/>
        </w:rPr>
        <w:t xml:space="preserve">card_last4</w:t>
      </w:r>
      <w:r>
        <w:t xml:space="preserve"> </w:t>
      </w:r>
      <w:r>
        <w:t xml:space="preserve">เท่านั้น (ดู</w:t>
      </w:r>
      <w:r>
        <w:t xml:space="preserve"> </w:t>
      </w:r>
      <w:r>
        <w:rPr>
          <w:rStyle w:val="VerbatimChar"/>
        </w:rPr>
        <w:t xml:space="preserve">ARCHITECTURE.md</w:t>
      </w:r>
      <w:r>
        <w:t xml:space="preserve"> </w:t>
      </w:r>
      <w:r>
        <w:t xml:space="preserve">ข้อ 6) การคัดกรองผู้ถือบัตรจึงใช้ข้อมูลระบุตัวตนที่ได้จาก 3DS/KYC ไม่ใช่ PAN เต็ม</w:t>
      </w:r>
    </w:p>
    <w:p>
      <w:r>
        <w:pict>
          <v:rect style="width:0;height:1.5pt" o:hralign="center" o:hrstd="t" o:hr="t"/>
        </w:pict>
      </w:r>
    </w:p>
    <w:bookmarkEnd w:id="238"/>
    <w:bookmarkStart w:id="239" w:name="รายการตองหามทใช-sanctions-lists"/>
    <w:p>
      <w:pPr>
        <w:pStyle w:val="Heading2"/>
      </w:pPr>
      <w:r>
        <w:t xml:space="preserve">2. รายการต้องห้ามที่ใช้ (Sanctions Lists)</w:t>
      </w:r>
    </w:p>
    <w:tbl>
      <w:tblPr>
        <w:tblStyle w:val="Table"/>
        <w:tblW w:type="pct" w:w="5000"/>
        <w:tblLayout w:type="fixed"/>
        <w:tblLook w:firstRow="1" w:lastRow="0" w:firstColumn="0" w:lastColumn="0" w:noHBand="0" w:noVBand="0" w:val="0020"/>
      </w:tblPr>
      <w:tblGrid>
        <w:gridCol w:w="742"/>
        <w:gridCol w:w="1980"/>
        <w:gridCol w:w="1732"/>
        <w:gridCol w:w="3465"/>
      </w:tblGrid>
      <w:tr>
        <w:trPr>
          <w:tblHeader w:val="on"/>
        </w:trPr>
        <w:tc>
          <w:tcPr/>
          <w:p>
            <w:pPr>
              <w:pStyle w:val="Compact"/>
            </w:pPr>
            <w:r>
              <w:t xml:space="preserve">#</w:t>
            </w:r>
          </w:p>
        </w:tc>
        <w:tc>
          <w:tcPr/>
          <w:p>
            <w:pPr>
              <w:pStyle w:val="Compact"/>
            </w:pPr>
            <w:r>
              <w:t xml:space="preserve">รายการ</w:t>
            </w:r>
          </w:p>
        </w:tc>
        <w:tc>
          <w:tcPr/>
          <w:p>
            <w:pPr>
              <w:pStyle w:val="Compact"/>
            </w:pPr>
            <w:r>
              <w:t xml:space="preserve">แหล่ง</w:t>
            </w:r>
          </w:p>
        </w:tc>
        <w:tc>
          <w:tcPr/>
          <w:p>
            <w:pPr>
              <w:pStyle w:val="Compact"/>
            </w:pPr>
            <w:r>
              <w:t xml:space="preserve">ลักษณะบังคับ</w:t>
            </w:r>
          </w:p>
        </w:tc>
      </w:tr>
      <w:tr>
        <w:tc>
          <w:tcPr/>
          <w:p>
            <w:pPr>
              <w:pStyle w:val="Compact"/>
            </w:pPr>
            <w:r>
              <w:t xml:space="preserve">1</w:t>
            </w:r>
          </w:p>
        </w:tc>
        <w:tc>
          <w:tcPr/>
          <w:p>
            <w:pPr>
              <w:pStyle w:val="Compact"/>
            </w:pPr>
            <w:r>
              <w:rPr>
                <w:b/>
                <w:bCs/>
              </w:rPr>
              <w:t xml:space="preserve">UN Consolidated Sanctions List</w:t>
            </w:r>
          </w:p>
        </w:tc>
        <w:tc>
          <w:tcPr/>
          <w:p>
            <w:pPr>
              <w:pStyle w:val="Compact"/>
            </w:pPr>
            <w:r>
              <w:t xml:space="preserve">คณะมนตรีความมั่นคงแห่งสหประชาชาติ (UNSC 1267/1988/1718/2231)</w:t>
            </w:r>
          </w:p>
        </w:tc>
        <w:tc>
          <w:tcPr/>
          <w:p>
            <w:pPr>
              <w:pStyle w:val="Compact"/>
            </w:pPr>
            <w:r>
              <w:t xml:space="preserve">ผูกพันไทยผ่าน CTPF Act</w:t>
            </w:r>
          </w:p>
        </w:tc>
      </w:tr>
      <w:tr>
        <w:tc>
          <w:tcPr/>
          <w:p>
            <w:pPr>
              <w:pStyle w:val="Compact"/>
            </w:pPr>
            <w:r>
              <w:t xml:space="preserve">2</w:t>
            </w:r>
          </w:p>
        </w:tc>
        <w:tc>
          <w:tcPr/>
          <w:p>
            <w:pPr>
              <w:pStyle w:val="Compact"/>
            </w:pPr>
            <w:r>
              <w:rPr>
                <w:b/>
                <w:bCs/>
              </w:rPr>
              <w:t xml:space="preserve">รายชื่อบุคคลที่ถูกกำหนด (Designated Persons List) ของไทย</w:t>
            </w:r>
          </w:p>
        </w:tc>
        <w:tc>
          <w:tcPr/>
          <w:p>
            <w:pPr>
              <w:pStyle w:val="Compact"/>
            </w:pPr>
            <w:r>
              <w:t xml:space="preserve">สำนักงาน ปปง. (AMLO) ประกาศตาม CTPF Act มาตรา 5/6/7</w:t>
            </w:r>
          </w:p>
        </w:tc>
        <w:tc>
          <w:tcPr/>
          <w:p>
            <w:pPr>
              <w:pStyle w:val="Compact"/>
            </w:pPr>
            <w:r>
              <w:t xml:space="preserve">บังคับตามกฎหมายไทย</w:t>
            </w:r>
          </w:p>
        </w:tc>
      </w:tr>
      <w:tr>
        <w:tc>
          <w:tcPr/>
          <w:p>
            <w:pPr>
              <w:pStyle w:val="Compact"/>
            </w:pPr>
            <w:r>
              <w:t xml:space="preserve">3</w:t>
            </w:r>
          </w:p>
        </w:tc>
        <w:tc>
          <w:tcPr/>
          <w:p>
            <w:pPr>
              <w:pStyle w:val="Compact"/>
            </w:pPr>
            <w:r>
              <w:rPr>
                <w:b/>
                <w:bCs/>
              </w:rPr>
              <w:t xml:space="preserve">OFAC SDN List + Consolidated (Non-SDN)</w:t>
            </w:r>
          </w:p>
        </w:tc>
        <w:tc>
          <w:tcPr/>
          <w:p>
            <w:pPr>
              <w:pStyle w:val="Compact"/>
            </w:pPr>
            <w:r>
              <w:t xml:space="preserve">U.S. Department of the Treasury (OFAC)</w:t>
            </w:r>
          </w:p>
        </w:tc>
        <w:tc>
          <w:tcPr/>
          <w:p>
            <w:pPr>
              <w:pStyle w:val="Compact"/>
            </w:pPr>
            <w:r>
              <w:t xml:space="preserve">ผูกพันผ่าน card scheme / USD correspondent / สัญญา sponsor bank</w:t>
            </w:r>
          </w:p>
        </w:tc>
      </w:tr>
      <w:tr>
        <w:tc>
          <w:tcPr/>
          <w:p>
            <w:pPr>
              <w:pStyle w:val="Compact"/>
            </w:pPr>
            <w:r>
              <w:t xml:space="preserve">4</w:t>
            </w:r>
          </w:p>
        </w:tc>
        <w:tc>
          <w:tcPr/>
          <w:p>
            <w:pPr>
              <w:pStyle w:val="Compact"/>
            </w:pPr>
            <w:r>
              <w:rPr>
                <w:b/>
                <w:bCs/>
              </w:rPr>
              <w:t xml:space="preserve">UK OFSI / EU Consolidated List</w:t>
            </w:r>
          </w:p>
        </w:tc>
        <w:tc>
          <w:tcPr/>
          <w:p>
            <w:pPr>
              <w:pStyle w:val="Compact"/>
            </w:pPr>
            <w:r>
              <w:t xml:space="preserve">HM Treasury / EU</w:t>
            </w:r>
          </w:p>
        </w:tc>
        <w:tc>
          <w:tcPr/>
          <w:p>
            <w:pPr>
              <w:pStyle w:val="Compact"/>
            </w:pPr>
            <w:r>
              <w:t xml:space="preserve">ใช้ตามความเสี่ยงและข้อกำหนดของคู่ค้า</w:t>
            </w:r>
          </w:p>
        </w:tc>
      </w:tr>
      <w:tr>
        <w:tc>
          <w:tcPr/>
          <w:p>
            <w:pPr>
              <w:pStyle w:val="Compact"/>
            </w:pPr>
            <w:r>
              <w:t xml:space="preserve">5</w:t>
            </w:r>
          </w:p>
        </w:tc>
        <w:tc>
          <w:tcPr/>
          <w:p>
            <w:pPr>
              <w:pStyle w:val="Compact"/>
            </w:pPr>
            <w:r>
              <w:rPr>
                <w:b/>
                <w:bCs/>
              </w:rPr>
              <w:t xml:space="preserve">Internal watchlist / blacklist ของบริษัท</w:t>
            </w:r>
          </w:p>
        </w:tc>
        <w:tc>
          <w:tcPr/>
          <w:p>
            <w:pPr>
              <w:pStyle w:val="Compact"/>
            </w:pPr>
            <w:r>
              <w:t xml:space="preserve">รวบรวมภายใน (เช่น merchant ที่เคยฉ้อโกง, chargeback สูง)</w:t>
            </w:r>
          </w:p>
        </w:tc>
        <w:tc>
          <w:tcPr/>
          <w:p>
            <w:pPr>
              <w:pStyle w:val="Compact"/>
            </w:pPr>
            <w:r>
              <w:t xml:space="preserve">นโยบายภายใน</w:t>
            </w:r>
          </w:p>
        </w:tc>
      </w:tr>
      <w:tr>
        <w:tc>
          <w:tcPr/>
          <w:p>
            <w:pPr>
              <w:pStyle w:val="Compact"/>
            </w:pPr>
            <w:r>
              <w:t xml:space="preserve">6</w:t>
            </w:r>
          </w:p>
        </w:tc>
        <w:tc>
          <w:tcPr/>
          <w:p>
            <w:pPr>
              <w:pStyle w:val="Compact"/>
            </w:pPr>
            <w:r>
              <w:rPr>
                <w:b/>
                <w:bCs/>
              </w:rPr>
              <w:t xml:space="preserve">PEP list</w:t>
            </w:r>
            <w:r>
              <w:t xml:space="preserve"> </w:t>
            </w:r>
            <w:r>
              <w:t xml:space="preserve">(Politically Exposed Persons)</w:t>
            </w:r>
          </w:p>
        </w:tc>
        <w:tc>
          <w:tcPr/>
          <w:p>
            <w:pPr>
              <w:pStyle w:val="Compact"/>
            </w:pPr>
            <w:r>
              <w:t xml:space="preserve">ผู้ให้บริการข้อมูลเชิงพาณิชย์</w:t>
            </w:r>
          </w:p>
        </w:tc>
        <w:tc>
          <w:tcPr/>
          <w:p>
            <w:pPr>
              <w:pStyle w:val="Compact"/>
            </w:pPr>
            <w:r>
              <w:t xml:space="preserve">Enhanced Due Diligence (EDD) ไม่ใช่การบล็อกอัตโนมัติ</w:t>
            </w:r>
          </w:p>
        </w:tc>
      </w:tr>
    </w:tbl>
    <w:p>
      <w:pPr>
        <w:pStyle w:val="BlockText"/>
      </w:pPr>
      <w:r>
        <w:rPr>
          <w:b/>
          <w:bCs/>
        </w:rPr>
        <w:t xml:space="preserve">การจัดการเวอร์ชันรายการ:</w:t>
      </w:r>
      <w:r>
        <w:t xml:space="preserve"> </w:t>
      </w:r>
      <w:r>
        <w:t xml:space="preserve">ทุกครั้งที่รับ list เข้าระบบ ต้องบันทึก</w:t>
      </w:r>
      <w:r>
        <w:t xml:space="preserve"> </w:t>
      </w:r>
      <w:r>
        <w:rPr>
          <w:rStyle w:val="VerbatimChar"/>
        </w:rPr>
        <w:t xml:space="preserve">list_source</w:t>
      </w:r>
      <w:r>
        <w:t xml:space="preserve">,</w:t>
      </w:r>
      <w:r>
        <w:t xml:space="preserve"> </w:t>
      </w:r>
      <w:r>
        <w:rPr>
          <w:rStyle w:val="VerbatimChar"/>
        </w:rPr>
        <w:t xml:space="preserve">list_version</w:t>
      </w:r>
      <w:r>
        <w:t xml:space="preserve">,</w:t>
      </w:r>
      <w:r>
        <w:t xml:space="preserve"> </w:t>
      </w:r>
      <w:r>
        <w:rPr>
          <w:rStyle w:val="VerbatimChar"/>
        </w:rPr>
        <w:t xml:space="preserve">published_date</w:t>
      </w:r>
      <w:r>
        <w:t xml:space="preserve">,</w:t>
      </w:r>
      <w:r>
        <w:t xml:space="preserve"> </w:t>
      </w:r>
      <w:r>
        <w:rPr>
          <w:rStyle w:val="VerbatimChar"/>
        </w:rPr>
        <w:t xml:space="preserve">ingested_at</w:t>
      </w:r>
      <w:r>
        <w:t xml:space="preserve">, และ checksum เพื่อให้ตรวจสอบย้อนหลังได้ว่าคัดกรองด้วยรายการเวอร์ชันใด</w:t>
      </w:r>
      <w:r>
        <w:t xml:space="preserve"> </w:t>
      </w:r>
      <w:r>
        <w:t xml:space="preserve">(audit trail ตาม PCI-DSS Req 10 และหลักเกณฑ์ ธปท.)</w:t>
      </w:r>
    </w:p>
    <w:p>
      <w:pPr>
        <w:pStyle w:val="BlockText"/>
      </w:pPr>
      <w:r>
        <w:t xml:space="preserve">[!WARNING]</w:t>
      </w:r>
      <w:r>
        <w:t xml:space="preserve"> </w:t>
      </w:r>
      <w:r>
        <w:rPr>
          <w:b/>
          <w:bCs/>
        </w:rPr>
        <w:t xml:space="preserve">สมมติฐาน / TODO ที่ยังไม่ยุติ (ต้องยืนยันก่อนยื่น)</w:t>
      </w:r>
      <w:r>
        <w:t xml:space="preserve"> </w:t>
      </w:r>
      <w:r>
        <w:t xml:space="preserve">-</w:t>
      </w:r>
      <w:r>
        <w:t xml:space="preserve"> </w:t>
      </w:r>
      <w:r>
        <w:rPr>
          <w:b/>
          <w:bCs/>
        </w:rPr>
        <w:t xml:space="preserve">ผู้ให้บริการข้อมูล sanctions/PEP (screening data vendor):</w:t>
      </w:r>
      <w:r>
        <w:t xml:space="preserve"> </w:t>
      </w:r>
      <w:r>
        <w:t xml:space="preserve">ยังไม่เลือก (ตัวเลือก เช่น</w:t>
      </w:r>
      <w:r>
        <w:t xml:space="preserve"> </w:t>
      </w:r>
      <w:r>
        <w:t xml:space="preserve">Dow Jones, LexisNexis, ComplyAdvantage, Refinitiv World-Check) — SLA การอัปเดต, fuzzy-match engine</w:t>
      </w:r>
      <w:r>
        <w:t xml:space="preserve"> </w:t>
      </w:r>
      <w:r>
        <w:t xml:space="preserve">และราคายังไม่สรุป</w:t>
      </w:r>
      <w:r>
        <w:t xml:space="preserve"> </w:t>
      </w:r>
      <w:r>
        <w:t xml:space="preserve">-</w:t>
      </w:r>
      <w:r>
        <w:t xml:space="preserve"> </w:t>
      </w:r>
      <w:r>
        <w:rPr>
          <w:b/>
          <w:bCs/>
        </w:rPr>
        <w:t xml:space="preserve">Sponsor bank / acquirer:</w:t>
      </w:r>
      <w:r>
        <w:t xml:space="preserve"> </w:t>
      </w:r>
      <w:r>
        <w:t xml:space="preserve">ยังไม่ลงนาม — ข้อกำหนด sanctions เพิ่มเติมของ sponsor (เช่น OFAC 50% Rule,</w:t>
      </w:r>
      <w:r>
        <w:t xml:space="preserve"> </w:t>
      </w:r>
      <w:r>
        <w:t xml:space="preserve">list เพิ่มเติม) จะ override เกณฑ์ขั้นต่ำในเอกสารนี้เมื่อทราบ</w:t>
      </w:r>
      <w:r>
        <w:t xml:space="preserve"> </w:t>
      </w:r>
      <w:r>
        <w:t xml:space="preserve">-</w:t>
      </w:r>
      <w:r>
        <w:t xml:space="preserve"> </w:t>
      </w:r>
      <w:r>
        <w:rPr>
          <w:b/>
          <w:bCs/>
        </w:rPr>
        <w:t xml:space="preserve">QSA vendor (PCI-DSS L1):</w:t>
      </w:r>
      <w:r>
        <w:t xml:space="preserve"> </w:t>
      </w:r>
      <w:r>
        <w:t xml:space="preserve">ยังไม่เลือก — ขอบเขต logging/audit ของกระบวนการนี้อาจปรับตาม RoC</w:t>
      </w:r>
      <w:r>
        <w:t xml:space="preserve"> </w:t>
      </w:r>
      <w:r>
        <w:t xml:space="preserve">-</w:t>
      </w:r>
      <w:r>
        <w:t xml:space="preserve"> </w:t>
      </w:r>
      <w:r>
        <w:rPr>
          <w:b/>
          <w:bCs/>
        </w:rPr>
        <w:t xml:space="preserve">ทุนจดทะเบียนชำระแล้วจริง:</w:t>
      </w:r>
      <w:r>
        <w:t xml:space="preserve"> </w:t>
      </w:r>
      <w:r>
        <w:t xml:space="preserve">ต้องยืนยันคงไว้ ≥ 50 ล้านบาท (≥ 75% ตลอดการดำเนินงาน)</w:t>
      </w:r>
    </w:p>
    <w:p>
      <w:r>
        <w:pict>
          <v:rect style="width:0;height:1.5pt" o:hralign="center" o:hrstd="t" o:hr="t"/>
        </w:pict>
      </w:r>
    </w:p>
    <w:bookmarkEnd w:id="239"/>
    <w:bookmarkStart w:id="240" w:name="X60afa121f49ee1a59e3220af77ec5d6f031cb4d"/>
    <w:p>
      <w:pPr>
        <w:pStyle w:val="Heading2"/>
      </w:pPr>
      <w:r>
        <w:t xml:space="preserve">3. เวลาและความถี่ในการคัดกรอง (Screening Frequency)</w:t>
      </w:r>
    </w:p>
    <w:tbl>
      <w:tblPr>
        <w:tblStyle w:val="Table"/>
        <w:tblW w:type="pct" w:w="5000"/>
        <w:tblLayout w:type="fixed"/>
        <w:tblLook w:firstRow="1" w:lastRow="0" w:firstColumn="0" w:lastColumn="0" w:noHBand="0" w:noVBand="0" w:val="0020"/>
      </w:tblPr>
      <w:tblGrid>
        <w:gridCol w:w="3867"/>
        <w:gridCol w:w="2946"/>
        <w:gridCol w:w="1105"/>
      </w:tblGrid>
      <w:tr>
        <w:trPr>
          <w:tblHeader w:val="on"/>
        </w:trPr>
        <w:tc>
          <w:tcPr/>
          <w:p>
            <w:pPr>
              <w:pStyle w:val="Compact"/>
            </w:pPr>
            <w:r>
              <w:t xml:space="preserve">เหตุการณ์ (Trigger)</w:t>
            </w:r>
          </w:p>
        </w:tc>
        <w:tc>
          <w:tcPr/>
          <w:p>
            <w:pPr>
              <w:pStyle w:val="Compact"/>
            </w:pPr>
            <w:r>
              <w:t xml:space="preserve">สิ่งที่คัดกรอง</w:t>
            </w:r>
          </w:p>
        </w:tc>
        <w:tc>
          <w:tcPr/>
          <w:p>
            <w:pPr>
              <w:pStyle w:val="Compact"/>
            </w:pPr>
            <w:r>
              <w:t xml:space="preserve">เวลา</w:t>
            </w:r>
          </w:p>
        </w:tc>
      </w:tr>
      <w:tr>
        <w:tc>
          <w:tcPr/>
          <w:p>
            <w:pPr>
              <w:pStyle w:val="Compact"/>
            </w:pPr>
            <w:r>
              <w:rPr>
                <w:b/>
                <w:bCs/>
              </w:rPr>
              <w:t xml:space="preserve">Onboarding merchant</w:t>
            </w:r>
          </w:p>
        </w:tc>
        <w:tc>
          <w:tcPr/>
          <w:p>
            <w:pPr>
              <w:pStyle w:val="Compact"/>
            </w:pPr>
            <w:r>
              <w:t xml:space="preserve">merchant + UBO + กรรมการ + ผู้ลงนาม</w:t>
            </w:r>
          </w:p>
        </w:tc>
        <w:tc>
          <w:tcPr/>
          <w:p>
            <w:pPr>
              <w:pStyle w:val="Compact"/>
            </w:pPr>
            <w:r>
              <w:t xml:space="preserve">ก่อนเปิดใช้งาน (blocking) — ต้องผ่านก่อน activate</w:t>
            </w:r>
          </w:p>
        </w:tc>
      </w:tr>
      <w:tr>
        <w:tc>
          <w:tcPr/>
          <w:p>
            <w:pPr>
              <w:pStyle w:val="Compact"/>
            </w:pPr>
            <w:r>
              <w:rPr>
                <w:b/>
                <w:bCs/>
              </w:rPr>
              <w:t xml:space="preserve">Real-time ก่อนอนุมัติธุรกรรม</w:t>
            </w:r>
          </w:p>
        </w:tc>
        <w:tc>
          <w:tcPr/>
          <w:p>
            <w:pPr>
              <w:pStyle w:val="Compact"/>
            </w:pPr>
            <w:r>
              <w:t xml:space="preserve">payer/beneficiary ที่ทราบชื่อ</w:t>
            </w:r>
          </w:p>
        </w:tc>
        <w:tc>
          <w:tcPr/>
          <w:p>
            <w:pPr>
              <w:pStyle w:val="Compact"/>
            </w:pPr>
            <w:r>
              <w:t xml:space="preserve">Inline ใน authorization flow, งบเวลา &lt; 300 ms (ส่วนหนึ่งของ p99 &lt; 800 ms)</w:t>
            </w:r>
          </w:p>
        </w:tc>
      </w:tr>
      <w:tr>
        <w:tc>
          <w:tcPr/>
          <w:p>
            <w:pPr>
              <w:pStyle w:val="Compact"/>
            </w:pPr>
            <w:r>
              <w:rPr>
                <w:b/>
                <w:bCs/>
              </w:rPr>
              <w:t xml:space="preserve">ก่อน payout / settlement ออก</w:t>
            </w:r>
          </w:p>
        </w:tc>
        <w:tc>
          <w:tcPr/>
          <w:p>
            <w:pPr>
              <w:pStyle w:val="Compact"/>
            </w:pPr>
            <w:r>
              <w:t xml:space="preserve">บัญชี/ผู้รับปลายทาง</w:t>
            </w:r>
          </w:p>
        </w:tc>
        <w:tc>
          <w:tcPr/>
          <w:p>
            <w:pPr>
              <w:pStyle w:val="Compact"/>
            </w:pPr>
            <w:r>
              <w:t xml:space="preserve">Blocking ก่อนปล่อยเงิน</w:t>
            </w:r>
          </w:p>
        </w:tc>
      </w:tr>
      <w:tr>
        <w:tc>
          <w:tcPr/>
          <w:p>
            <w:pPr>
              <w:pStyle w:val="Compact"/>
            </w:pPr>
            <w:r>
              <w:rPr>
                <w:b/>
                <w:bCs/>
              </w:rPr>
              <w:t xml:space="preserve">Batch re-screening ทั้งฐานข้อมูล</w:t>
            </w:r>
          </w:p>
        </w:tc>
        <w:tc>
          <w:tcPr/>
          <w:p>
            <w:pPr>
              <w:pStyle w:val="Compact"/>
            </w:pPr>
            <w:r>
              <w:t xml:space="preserve">merchant + UBO ที่ active ทั้งหมด</w:t>
            </w:r>
          </w:p>
        </w:tc>
        <w:tc>
          <w:tcPr/>
          <w:p>
            <w:pPr>
              <w:pStyle w:val="Compact"/>
            </w:pPr>
            <w:r>
              <w:rPr>
                <w:b/>
                <w:bCs/>
              </w:rPr>
              <w:t xml:space="preserve">ทุกวัน (daily)</w:t>
            </w:r>
            <w:r>
              <w:t xml:space="preserve"> </w:t>
            </w:r>
            <w:r>
              <w:t xml:space="preserve">เทียบกับ list เวอร์ชันล่าสุด</w:t>
            </w:r>
          </w:p>
        </w:tc>
      </w:tr>
      <w:tr>
        <w:tc>
          <w:tcPr/>
          <w:p>
            <w:pPr>
              <w:pStyle w:val="Compact"/>
            </w:pPr>
            <w:r>
              <w:rPr>
                <w:b/>
                <w:bCs/>
              </w:rPr>
              <w:t xml:space="preserve">Delta re-screening เมื่อ list เปลี่ยน</w:t>
            </w:r>
          </w:p>
        </w:tc>
        <w:tc>
          <w:tcPr/>
          <w:p>
            <w:pPr>
              <w:pStyle w:val="Compact"/>
            </w:pPr>
            <w:r>
              <w:t xml:space="preserve">เฉพาะรายการที่เพิ่ม/แก้ในลิสต์ เทียบทั้งฐาน</w:t>
            </w:r>
          </w:p>
        </w:tc>
        <w:tc>
          <w:tcPr/>
          <w:p>
            <w:pPr>
              <w:pStyle w:val="Compact"/>
            </w:pPr>
            <w:r>
              <w:rPr>
                <w:b/>
                <w:bCs/>
              </w:rPr>
              <w:t xml:space="preserve">ภายใน 24 ชม.</w:t>
            </w:r>
            <w:r>
              <w:t xml:space="preserve"> </w:t>
            </w:r>
            <w:r>
              <w:t xml:space="preserve">หลัง list ใหม่เผยแพร่ (เป้าหมาย: ทันทีสำหรับ UN/AMLO)</w:t>
            </w:r>
          </w:p>
        </w:tc>
      </w:tr>
      <w:tr>
        <w:tc>
          <w:tcPr/>
          <w:p>
            <w:pPr>
              <w:pStyle w:val="Compact"/>
            </w:pPr>
            <w:r>
              <w:rPr>
                <w:b/>
                <w:bCs/>
              </w:rPr>
              <w:t xml:space="preserve">เมื่อข้อมูลลูกค้าเปลี่ยน</w:t>
            </w:r>
            <w:r>
              <w:t xml:space="preserve"> </w:t>
            </w:r>
            <w:r>
              <w:t xml:space="preserve">(ชื่อ, UBO, ที่อยู่)</w:t>
            </w:r>
          </w:p>
        </w:tc>
        <w:tc>
          <w:tcPr/>
          <w:p>
            <w:pPr>
              <w:pStyle w:val="Compact"/>
            </w:pPr>
            <w:r>
              <w:t xml:space="preserve">รายการที่เปลี่ยน</w:t>
            </w:r>
          </w:p>
        </w:tc>
        <w:tc>
          <w:tcPr/>
          <w:p>
            <w:pPr>
              <w:pStyle w:val="Compact"/>
            </w:pPr>
            <w:r>
              <w:t xml:space="preserve">ทันทีที่บันทึกการเปลี่ยนแปลง</w:t>
            </w:r>
          </w:p>
        </w:tc>
      </w:tr>
      <w:tr>
        <w:tc>
          <w:tcPr/>
          <w:p>
            <w:pPr>
              <w:pStyle w:val="Compact"/>
            </w:pPr>
            <w:r>
              <w:rPr>
                <w:b/>
                <w:bCs/>
              </w:rPr>
              <w:t xml:space="preserve">Periodic KYC refresh</w:t>
            </w:r>
          </w:p>
        </w:tc>
        <w:tc>
          <w:tcPr/>
          <w:p>
            <w:pPr>
              <w:pStyle w:val="Compact"/>
            </w:pPr>
            <w:r>
              <w:t xml:space="preserve">ตามระดับความเสี่ยงลูกค้า</w:t>
            </w:r>
          </w:p>
        </w:tc>
        <w:tc>
          <w:tcPr/>
          <w:p>
            <w:pPr>
              <w:pStyle w:val="Compact"/>
            </w:pPr>
            <w:r>
              <w:t xml:space="preserve">ความเสี่ยงสูง: ทุก 12 เดือน · กลาง: 24 เดือน · ต่ำ: 36 เดือน</w:t>
            </w:r>
          </w:p>
        </w:tc>
      </w:tr>
    </w:tbl>
    <w:p>
      <w:pPr>
        <w:pStyle w:val="BodyText"/>
      </w:pPr>
      <w:r>
        <w:rPr>
          <w:b/>
          <w:bCs/>
        </w:rPr>
        <w:t xml:space="preserve">การอัปเดต list:</w:t>
      </w:r>
    </w:p>
    <w:p>
      <w:pPr>
        <w:pStyle w:val="Compact"/>
        <w:numPr>
          <w:ilvl w:val="0"/>
          <w:numId w:val="1088"/>
        </w:numPr>
      </w:pPr>
      <w:r>
        <w:rPr>
          <w:b/>
          <w:bCs/>
        </w:rPr>
        <w:t xml:space="preserve">UN &amp; AMLO Designated Persons:</w:t>
      </w:r>
      <w:r>
        <w:t xml:space="preserve"> </w:t>
      </w:r>
      <w:r>
        <w:t xml:space="preserve">ดึง/ตรวจสอบ</w:t>
      </w:r>
      <w:r>
        <w:t xml:space="preserve"> </w:t>
      </w:r>
      <w:r>
        <w:rPr>
          <w:b/>
          <w:bCs/>
        </w:rPr>
        <w:t xml:space="preserve">ทุกวันทำการ</w:t>
      </w:r>
      <w:r>
        <w:t xml:space="preserve"> </w:t>
      </w:r>
      <w:r>
        <w:t xml:space="preserve">และทุกครั้งที่มีประกาศใหม่ (บริษัท</w:t>
      </w:r>
      <w:r>
        <w:t xml:space="preserve"> </w:t>
      </w:r>
      <w:r>
        <w:t xml:space="preserve">ตั้ง subscription/monitor ประกาศ ปปง.) — ถือเป็นลำดับความสำคัญสูงสุด (ผูกพันตามกฎหมายไทย)</w:t>
      </w:r>
    </w:p>
    <w:p>
      <w:pPr>
        <w:pStyle w:val="Compact"/>
        <w:numPr>
          <w:ilvl w:val="0"/>
          <w:numId w:val="1088"/>
        </w:numPr>
      </w:pPr>
      <w:r>
        <w:rPr>
          <w:b/>
          <w:bCs/>
        </w:rPr>
        <w:t xml:space="preserve">OFAC/OFSI/EU:</w:t>
      </w:r>
      <w:r>
        <w:t xml:space="preserve"> </w:t>
      </w:r>
      <w:r>
        <w:t xml:space="preserve">ดึงอัตโนมัติ</w:t>
      </w:r>
      <w:r>
        <w:t xml:space="preserve"> </w:t>
      </w:r>
      <w:r>
        <w:rPr>
          <w:b/>
          <w:bCs/>
        </w:rPr>
        <w:t xml:space="preserve">ทุกวัน</w:t>
      </w:r>
      <w:r>
        <w:t xml:space="preserve"> </w:t>
      </w:r>
      <w:r>
        <w:t xml:space="preserve">ผ่าน vendor feed</w:t>
      </w:r>
    </w:p>
    <w:p>
      <w:pPr>
        <w:pStyle w:val="Compact"/>
        <w:numPr>
          <w:ilvl w:val="0"/>
          <w:numId w:val="1088"/>
        </w:numPr>
      </w:pPr>
      <w:r>
        <w:t xml:space="preserve">ทุก feed ต้องผ่าน integrity check (checksum + record count) ก่อนใช้งานจริง หาก feed ล้มเหลว → alert</w:t>
      </w:r>
      <w:r>
        <w:t xml:space="preserve"> </w:t>
      </w:r>
      <w:r>
        <w:t xml:space="preserve">ทีม Compliance ภายใน 1 ชม. และใช้</w:t>
      </w:r>
      <w:r>
        <w:t xml:space="preserve"> </w:t>
      </w:r>
      <w:r>
        <w:rPr>
          <w:b/>
          <w:bCs/>
        </w:rPr>
        <w:t xml:space="preserve">fail-closed</w:t>
      </w:r>
      <w:r>
        <w:t xml:space="preserve"> </w:t>
      </w:r>
      <w:r>
        <w:t xml:space="preserve">(ดูข้อ 7)</w:t>
      </w:r>
    </w:p>
    <w:p>
      <w:r>
        <w:pict>
          <v:rect style="width:0;height:1.5pt" o:hralign="center" o:hrstd="t" o:hr="t"/>
        </w:pict>
      </w:r>
    </w:p>
    <w:bookmarkEnd w:id="240"/>
    <w:bookmarkStart w:id="241" w:name="วธการจบค-matching-methodology"/>
    <w:p>
      <w:pPr>
        <w:pStyle w:val="Heading2"/>
      </w:pPr>
      <w:r>
        <w:t xml:space="preserve">4. วิธีการจับคู่ (Matching Methodology)</w:t>
      </w:r>
    </w:p>
    <w:p>
      <w:pPr>
        <w:pStyle w:val="Compact"/>
        <w:numPr>
          <w:ilvl w:val="0"/>
          <w:numId w:val="1089"/>
        </w:numPr>
      </w:pPr>
      <w:r>
        <w:rPr>
          <w:b/>
          <w:bCs/>
        </w:rPr>
        <w:t xml:space="preserve">Fuzzy / phonetic matching</w:t>
      </w:r>
      <w:r>
        <w:t xml:space="preserve"> </w:t>
      </w:r>
      <w:r>
        <w:t xml:space="preserve">รองรับการสะกดต่างและการทับศัพท์ไทย↔อังกฤษ (เช่น Jaro-Winkler,</w:t>
      </w:r>
      <w:r>
        <w:t xml:space="preserve"> </w:t>
      </w:r>
      <w:r>
        <w:t xml:space="preserve">Levenshtein, Soundex/Metaphone, การถอดอักษรไทย-โรมัน)</w:t>
      </w:r>
    </w:p>
    <w:p>
      <w:pPr>
        <w:pStyle w:val="Compact"/>
        <w:numPr>
          <w:ilvl w:val="0"/>
          <w:numId w:val="1089"/>
        </w:numPr>
      </w:pPr>
      <w:r>
        <w:rPr>
          <w:b/>
          <w:bCs/>
        </w:rPr>
        <w:t xml:space="preserve">Match score threshold</w:t>
      </w:r>
      <w:r>
        <w:t xml:space="preserve"> </w:t>
      </w:r>
      <w:r>
        <w:t xml:space="preserve">เริ่มต้น:</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Score</w:t>
            </w:r>
          </w:p>
        </w:tc>
        <w:tc>
          <w:tcPr/>
          <w:p>
            <w:pPr>
              <w:pStyle w:val="Compact"/>
            </w:pPr>
            <w:r>
              <w:t xml:space="preserve">การจัดประเภท</w:t>
            </w:r>
          </w:p>
        </w:tc>
        <w:tc>
          <w:tcPr/>
          <w:p>
            <w:pPr>
              <w:pStyle w:val="Compact"/>
            </w:pPr>
            <w:r>
              <w:t xml:space="preserve">การดำเนินการ</w:t>
            </w:r>
          </w:p>
        </w:tc>
      </w:tr>
      <w:tr>
        <w:tc>
          <w:tcPr/>
          <w:p>
            <w:pPr>
              <w:pStyle w:val="Compact"/>
            </w:pPr>
            <w:r>
              <w:t xml:space="preserve">≥ 95%</w:t>
            </w:r>
          </w:p>
        </w:tc>
        <w:tc>
          <w:tcPr/>
          <w:p>
            <w:pPr>
              <w:pStyle w:val="Compact"/>
            </w:pPr>
            <w:r>
              <w:t xml:space="preserve">Strong / near-exact</w:t>
            </w:r>
          </w:p>
        </w:tc>
        <w:tc>
          <w:tcPr/>
          <w:p>
            <w:pPr>
              <w:pStyle w:val="Compact"/>
            </w:pPr>
            <w:r>
              <w:t xml:space="preserve">บล็อกทันที → Confirmed pending review (L1)</w:t>
            </w:r>
          </w:p>
        </w:tc>
      </w:tr>
      <w:tr>
        <w:tc>
          <w:tcPr/>
          <w:p>
            <w:pPr>
              <w:pStyle w:val="Compact"/>
            </w:pPr>
            <w:r>
              <w:t xml:space="preserve">85–94%</w:t>
            </w:r>
          </w:p>
        </w:tc>
        <w:tc>
          <w:tcPr/>
          <w:p>
            <w:pPr>
              <w:pStyle w:val="Compact"/>
            </w:pPr>
            <w:r>
              <w:t xml:space="preserve">Probable</w:t>
            </w:r>
          </w:p>
        </w:tc>
        <w:tc>
          <w:tcPr/>
          <w:p>
            <w:pPr>
              <w:pStyle w:val="Compact"/>
            </w:pPr>
            <w:r>
              <w:t xml:space="preserve">Hold → คัดกรองโดยเจ้าหน้าที่ (L1) ภายใน SLA</w:t>
            </w:r>
          </w:p>
        </w:tc>
      </w:tr>
      <w:tr>
        <w:tc>
          <w:tcPr/>
          <w:p>
            <w:pPr>
              <w:pStyle w:val="Compact"/>
            </w:pPr>
            <w:r>
              <w:t xml:space="preserve">70–84%</w:t>
            </w:r>
          </w:p>
        </w:tc>
        <w:tc>
          <w:tcPr/>
          <w:p>
            <w:pPr>
              <w:pStyle w:val="Compact"/>
            </w:pPr>
            <w:r>
              <w:t xml:space="preserve">Possible</w:t>
            </w:r>
          </w:p>
        </w:tc>
        <w:tc>
          <w:tcPr/>
          <w:p>
            <w:pPr>
              <w:pStyle w:val="Compact"/>
            </w:pPr>
            <w:r>
              <w:t xml:space="preserve">Hold แบบ soft → review (L1)</w:t>
            </w:r>
          </w:p>
        </w:tc>
      </w:tr>
      <w:tr>
        <w:tc>
          <w:tcPr/>
          <w:p>
            <w:pPr>
              <w:pStyle w:val="Compact"/>
            </w:pPr>
            <w:r>
              <w:t xml:space="preserve">&lt; 70%</w:t>
            </w:r>
          </w:p>
        </w:tc>
        <w:tc>
          <w:tcPr/>
          <w:p>
            <w:pPr>
              <w:pStyle w:val="Compact"/>
            </w:pPr>
            <w:r>
              <w:t xml:space="preserve">ต่ำกว่าเกณฑ์</w:t>
            </w:r>
          </w:p>
        </w:tc>
        <w:tc>
          <w:tcPr/>
          <w:p>
            <w:pPr>
              <w:pStyle w:val="Compact"/>
            </w:pPr>
            <w:r>
              <w:t xml:space="preserve">ไม่แจ้งเตือน แต่บันทึก log</w:t>
            </w:r>
          </w:p>
        </w:tc>
      </w:tr>
      <w:tr>
        <w:tc>
          <w:tcPr/>
          <w:p>
            <w:pPr>
              <w:pStyle w:val="Compact"/>
            </w:pPr>
            <w:r>
              <w:t xml:space="preserve">Exact ใน list UN/AMLO</w:t>
            </w:r>
          </w:p>
        </w:tc>
        <w:tc>
          <w:tcPr/>
          <w:p>
            <w:pPr>
              <w:pStyle w:val="Compact"/>
            </w:pPr>
            <w:r>
              <w:t xml:space="preserve">Legal hit</w:t>
            </w:r>
          </w:p>
        </w:tc>
        <w:tc>
          <w:tcPr/>
          <w:p>
            <w:pPr>
              <w:pStyle w:val="Compact"/>
            </w:pPr>
            <w:r>
              <w:t xml:space="preserve">บล็อก + freeze + รายงาน ปปง. (ดูข้อ 6)</w:t>
            </w:r>
          </w:p>
        </w:tc>
      </w:tr>
    </w:tbl>
    <w:p>
      <w:pPr>
        <w:pStyle w:val="Compact"/>
        <w:numPr>
          <w:ilvl w:val="0"/>
          <w:numId w:val="1090"/>
        </w:numPr>
      </w:pPr>
      <w:r>
        <w:t xml:space="preserve">ปัจจัยประกอบการจับคู่: ชื่อ + วันเดือนปีเกิด + สัญชาติ + เลขประจำตัว/เลขนิติบุคคล + ที่อยู่</w:t>
      </w:r>
      <w:r>
        <w:t xml:space="preserve"> </w:t>
      </w:r>
      <w:r>
        <w:t xml:space="preserve">เพื่อลด false positive</w:t>
      </w:r>
    </w:p>
    <w:p>
      <w:pPr>
        <w:pStyle w:val="Compact"/>
        <w:numPr>
          <w:ilvl w:val="0"/>
          <w:numId w:val="1090"/>
        </w:numPr>
      </w:pPr>
      <w:r>
        <w:rPr>
          <w:b/>
          <w:bCs/>
        </w:rPr>
        <w:t xml:space="preserve">การปรับ threshold</w:t>
      </w:r>
      <w:r>
        <w:t xml:space="preserve"> </w:t>
      </w:r>
      <w:r>
        <w:t xml:space="preserve">ต้องผ่านการอนุมัติจาก MLRO และบันทึกเหตุผล (change log) — ห้ามปรับเพื่อ</w:t>
      </w:r>
      <w:r>
        <w:t xml:space="preserve"> </w:t>
      </w:r>
      <w:r>
        <w:t xml:space="preserve">หลบเลี่ยงการแจ้งเตือน</w:t>
      </w:r>
    </w:p>
    <w:p>
      <w:pPr>
        <w:pStyle w:val="Compact"/>
        <w:numPr>
          <w:ilvl w:val="0"/>
          <w:numId w:val="1090"/>
        </w:numPr>
      </w:pPr>
      <w:r>
        <w:rPr>
          <w:b/>
          <w:bCs/>
        </w:rPr>
        <w:t xml:space="preserve">OFAC 50% Rule / UN ownership:</w:t>
      </w:r>
      <w:r>
        <w:t xml:space="preserve"> </w:t>
      </w:r>
      <w:r>
        <w:t xml:space="preserve">นิติบุคคลที่ถูกถือหุ้นรวม ≥ 50% โดยบุคคลที่ถูกกำหนด ให้ถือเป็น</w:t>
      </w:r>
      <w:r>
        <w:t xml:space="preserve"> </w:t>
      </w:r>
      <w:r>
        <w:t xml:space="preserve">รายการต้องห้ามด้วย</w:t>
      </w:r>
    </w:p>
    <w:p>
      <w:r>
        <w:pict>
          <v:rect style="width:0;height:1.5pt" o:hralign="center" o:hrstd="t" o:hr="t"/>
        </w:pict>
      </w:r>
    </w:p>
    <w:bookmarkEnd w:id="241"/>
    <w:bookmarkStart w:id="242" w:name="การจดการเมอพบรายการตรงกน-match-handling"/>
    <w:p>
      <w:pPr>
        <w:pStyle w:val="Heading2"/>
      </w:pPr>
      <w:r>
        <w:t xml:space="preserve">5. การจัดการเมื่อพบรายการตรงกัน (Match Handling)</w:t>
      </w:r>
    </w:p>
    <w:p>
      <w:pPr>
        <w:pStyle w:val="SourceCode"/>
      </w:pPr>
      <w:r>
        <w:rPr>
          <w:rStyle w:val="VerbatimChar"/>
        </w:rPr>
        <w:t xml:space="preserve">เกิด alert (real-time / batch / delta)</w:t>
      </w:r>
      <w:r>
        <w:br/>
      </w:r>
      <w:r>
        <w:rPr>
          <w:rStyle w:val="VerbatimChar"/>
        </w:rPr>
        <w:t xml:space="preserve">        │</w:t>
      </w:r>
      <w:r>
        <w:br/>
      </w:r>
      <w:r>
        <w:rPr>
          <w:rStyle w:val="VerbatimChar"/>
        </w:rPr>
        <w:t xml:space="preserve">        ▼</w:t>
      </w:r>
      <w:r>
        <w:br/>
      </w:r>
      <w:r>
        <w:rPr>
          <w:rStyle w:val="VerbatimChar"/>
        </w:rPr>
        <w:t xml:space="preserve">  Auto-hold ธุรกรรม/บัญชี (fail-closed) — ยังไม่ปล่อยเงิน/ยังไม่ activate</w:t>
      </w:r>
      <w:r>
        <w:br/>
      </w:r>
      <w:r>
        <w:rPr>
          <w:rStyle w:val="VerbatimChar"/>
        </w:rPr>
        <w:t xml:space="preserve">        │</w:t>
      </w:r>
      <w:r>
        <w:br/>
      </w:r>
      <w:r>
        <w:rPr>
          <w:rStyle w:val="VerbatimChar"/>
        </w:rPr>
        <w:t xml:space="preserve">        ▼</w:t>
      </w:r>
      <w:r>
        <w:br/>
      </w:r>
      <w:r>
        <w:rPr>
          <w:rStyle w:val="VerbatimChar"/>
        </w:rPr>
        <w:t xml:space="preserve">  L1 Analyst คัดกรองภายใน SLA ──► False positive? ──► ปิด alert + บันทึกเหตุผล + ปล่อย hold</w:t>
      </w:r>
      <w:r>
        <w:br/>
      </w:r>
      <w:r>
        <w:rPr>
          <w:rStyle w:val="VerbatimChar"/>
        </w:rPr>
        <w:t xml:space="preserve">        │                                              (whitelist มี TTL, ทบทวนเป็นงวด)</w:t>
      </w:r>
      <w:r>
        <w:br/>
      </w:r>
      <w:r>
        <w:rPr>
          <w:rStyle w:val="VerbatimChar"/>
        </w:rPr>
        <w:t xml:space="preserve">        │ True / ไม่ชัดเจน</w:t>
      </w:r>
      <w:r>
        <w:br/>
      </w:r>
      <w:r>
        <w:rPr>
          <w:rStyle w:val="VerbatimChar"/>
        </w:rPr>
        <w:t xml:space="preserve">        ▼</w:t>
      </w:r>
      <w:r>
        <w:br/>
      </w:r>
      <w:r>
        <w:rPr>
          <w:rStyle w:val="VerbatimChar"/>
        </w:rPr>
        <w:t xml:space="preserve">  ยกระดับ L2 (Compliance/MLRO) ──► ยืนยัน hit?</w:t>
      </w:r>
      <w:r>
        <w:br/>
      </w:r>
      <w:r>
        <w:rPr>
          <w:rStyle w:val="VerbatimChar"/>
        </w:rPr>
        <w:t xml:space="preserve">        │                              │ ใช่ (โดยเฉพาะ UN/AMLO)</w:t>
      </w:r>
      <w:r>
        <w:br/>
      </w:r>
      <w:r>
        <w:rPr>
          <w:rStyle w:val="VerbatimChar"/>
        </w:rPr>
        <w:t xml:space="preserve">        │ ไม่ใช่                       ▼</w:t>
      </w:r>
      <w:r>
        <w:br/>
      </w:r>
      <w:r>
        <w:rPr>
          <w:rStyle w:val="VerbatimChar"/>
        </w:rPr>
        <w:t xml:space="preserve">        └─► ปลด hold           Freeze ทรัพย์สิน/ระงับความสัมพันธ์</w:t>
      </w:r>
      <w:r>
        <w:br/>
      </w:r>
      <w:r>
        <w:rPr>
          <w:rStyle w:val="VerbatimChar"/>
        </w:rPr>
        <w:t xml:space="preserve">                                + รายงาน ปปง. + แจ้ง ธปท./sponsor bank</w:t>
      </w:r>
    </w:p>
    <w:p>
      <w:pPr>
        <w:pStyle w:val="FirstParagraph"/>
      </w:pPr>
      <w:r>
        <w:rPr>
          <w:b/>
          <w:bCs/>
        </w:rPr>
        <w:t xml:space="preserve">หลักการสำคัญ:</w:t>
      </w:r>
    </w:p>
    <w:p>
      <w:pPr>
        <w:pStyle w:val="Compact"/>
        <w:numPr>
          <w:ilvl w:val="0"/>
          <w:numId w:val="1091"/>
        </w:numPr>
      </w:pPr>
      <w:r>
        <w:rPr>
          <w:b/>
          <w:bCs/>
        </w:rPr>
        <w:t xml:space="preserve">ห้ามแจ้งเบาะแส (No tipping-off):</w:t>
      </w:r>
      <w:r>
        <w:t xml:space="preserve"> </w:t>
      </w:r>
      <w:r>
        <w:t xml:space="preserve">ตาม พ.ร.บ. ฟอกเงิน ห้ามแจ้งลูกค้าว่ากำลังถูกคัดกรอง/รายงาน</w:t>
      </w:r>
      <w:r>
        <w:t xml:space="preserve"> </w:t>
      </w:r>
      <w:r>
        <w:t xml:space="preserve">ปปง. — สื่อสารกับลูกค้าตามสคริปต์ที่ฝ่ายกฎหมายอนุมัติเท่านั้น</w:t>
      </w:r>
    </w:p>
    <w:p>
      <w:pPr>
        <w:pStyle w:val="Compact"/>
        <w:numPr>
          <w:ilvl w:val="0"/>
          <w:numId w:val="1091"/>
        </w:numPr>
      </w:pPr>
      <w:r>
        <w:rPr>
          <w:b/>
          <w:bCs/>
        </w:rPr>
        <w:t xml:space="preserve">Fail-closed:</w:t>
      </w:r>
      <w:r>
        <w:t xml:space="preserve"> </w:t>
      </w:r>
      <w:r>
        <w:t xml:space="preserve">ระหว่างรอผล ธุรกรรมค้างสถานะ hold/</w:t>
      </w:r>
      <w:r>
        <w:rPr>
          <w:rStyle w:val="VerbatimChar"/>
        </w:rPr>
        <w:t xml:space="preserve">requires_action</w:t>
      </w:r>
      <w:r>
        <w:t xml:space="preserve"> </w:t>
      </w:r>
      <w:r>
        <w:t xml:space="preserve">และไม่มีการปล่อยเงินออก</w:t>
      </w:r>
    </w:p>
    <w:p>
      <w:pPr>
        <w:pStyle w:val="Compact"/>
        <w:numPr>
          <w:ilvl w:val="0"/>
          <w:numId w:val="1091"/>
        </w:numPr>
      </w:pPr>
      <w:r>
        <w:rPr>
          <w:b/>
          <w:bCs/>
        </w:rPr>
        <w:t xml:space="preserve">หลักฐานครบ:</w:t>
      </w:r>
      <w:r>
        <w:t xml:space="preserve"> </w:t>
      </w:r>
      <w:r>
        <w:t xml:space="preserve">ทุก alert เก็บ snapshot ของ list version, match score, ผู้ตัดสิน, เหตุผล และ</w:t>
      </w:r>
      <w:r>
        <w:t xml:space="preserve"> </w:t>
      </w:r>
      <w:r>
        <w:t xml:space="preserve">timestamp (audit trail, immutable, retention ≥ 10 ปีตามข้อกำหนด AML ไทย)</w:t>
      </w:r>
    </w:p>
    <w:p>
      <w:pPr>
        <w:pStyle w:val="Compact"/>
        <w:numPr>
          <w:ilvl w:val="0"/>
          <w:numId w:val="1091"/>
        </w:numPr>
      </w:pPr>
      <w:r>
        <w:rPr>
          <w:b/>
          <w:bCs/>
        </w:rPr>
        <w:t xml:space="preserve">True match กับ UN/AMLO list = ต้อง freeze ทันทีและรายงานโดยไม่ชักช้า</w:t>
      </w:r>
      <w:r>
        <w:t xml:space="preserve"> </w:t>
      </w:r>
      <w:r>
        <w:t xml:space="preserve">(ไม่มีดุลพินิจให้ผ่าน)</w:t>
      </w:r>
    </w:p>
    <w:p>
      <w:r>
        <w:pict>
          <v:rect style="width:0;height:1.5pt" o:hralign="center" o:hrstd="t" o:hr="t"/>
        </w:pict>
      </w:r>
    </w:p>
    <w:bookmarkEnd w:id="242"/>
    <w:bookmarkStart w:id="243" w:name="X30d2483264997d198ab02402bb1d4f97f72d3fa"/>
    <w:p>
      <w:pPr>
        <w:pStyle w:val="Heading2"/>
      </w:pPr>
      <w:r>
        <w:t xml:space="preserve">6. การยกระดับและการรายงาน (Escalation &amp; Reporting)</w:t>
      </w:r>
    </w:p>
    <w:tbl>
      <w:tblPr>
        <w:tblStyle w:val="Table"/>
        <w:tblW w:type="pct" w:w="5000"/>
        <w:tblLayout w:type="fixed"/>
        <w:tblLook w:firstRow="1" w:lastRow="0" w:firstColumn="0" w:lastColumn="0" w:noHBand="0" w:noVBand="0" w:val="0020"/>
      </w:tblPr>
      <w:tblGrid>
        <w:gridCol w:w="1630"/>
        <w:gridCol w:w="3028"/>
        <w:gridCol w:w="2096"/>
        <w:gridCol w:w="1164"/>
      </w:tblGrid>
      <w:tr>
        <w:trPr>
          <w:tblHeader w:val="on"/>
        </w:trPr>
        <w:tc>
          <w:tcPr/>
          <w:p>
            <w:pPr>
              <w:pStyle w:val="Compact"/>
            </w:pPr>
            <w:r>
              <w:t xml:space="preserve">ระดับ</w:t>
            </w:r>
          </w:p>
        </w:tc>
        <w:tc>
          <w:tcPr/>
          <w:p>
            <w:pPr>
              <w:pStyle w:val="Compact"/>
            </w:pPr>
            <w:r>
              <w:t xml:space="preserve">ผู้รับผิดชอบ</w:t>
            </w:r>
          </w:p>
        </w:tc>
        <w:tc>
          <w:tcPr/>
          <w:p>
            <w:pPr>
              <w:pStyle w:val="Compact"/>
            </w:pPr>
            <w:r>
              <w:t xml:space="preserve">หน้าที่</w:t>
            </w:r>
          </w:p>
        </w:tc>
        <w:tc>
          <w:tcPr/>
          <w:p>
            <w:pPr>
              <w:pStyle w:val="Compact"/>
            </w:pPr>
            <w:r>
              <w:t xml:space="preserve">SLA</w:t>
            </w:r>
          </w:p>
        </w:tc>
      </w:tr>
      <w:tr>
        <w:tc>
          <w:tcPr/>
          <w:p>
            <w:pPr>
              <w:pStyle w:val="Compact"/>
            </w:pPr>
            <w:r>
              <w:rPr>
                <w:b/>
                <w:bCs/>
              </w:rPr>
              <w:t xml:space="preserve">L1</w:t>
            </w:r>
          </w:p>
        </w:tc>
        <w:tc>
          <w:tcPr/>
          <w:p>
            <w:pPr>
              <w:pStyle w:val="Compact"/>
            </w:pPr>
            <w:r>
              <w:t xml:space="preserve">Sanctions/AML Analyst (ทีม Compliance Operations)</w:t>
            </w:r>
          </w:p>
        </w:tc>
        <w:tc>
          <w:tcPr/>
          <w:p>
            <w:pPr>
              <w:pStyle w:val="Compact"/>
            </w:pPr>
            <w:r>
              <w:t xml:space="preserve">คัดกรอง alert เบื้องต้น, ปิด false positive, ยกระดับ</w:t>
            </w:r>
          </w:p>
        </w:tc>
        <w:tc>
          <w:tcPr/>
          <w:p>
            <w:pPr>
              <w:pStyle w:val="Compact"/>
            </w:pPr>
            <w:r>
              <w:t xml:space="preserve">เริ่มพิจารณาภายใน</w:t>
            </w:r>
            <w:r>
              <w:t xml:space="preserve"> </w:t>
            </w:r>
            <w:r>
              <w:rPr>
                <w:b/>
                <w:bCs/>
              </w:rPr>
              <w:t xml:space="preserve">4 ชม.ทำการ</w:t>
            </w:r>
            <w:r>
              <w:t xml:space="preserve">; real-time hit ภายใน</w:t>
            </w:r>
            <w:r>
              <w:t xml:space="preserve"> </w:t>
            </w:r>
            <w:r>
              <w:rPr>
                <w:b/>
                <w:bCs/>
              </w:rPr>
              <w:t xml:space="preserve">1 ชม.</w:t>
            </w:r>
          </w:p>
        </w:tc>
      </w:tr>
      <w:tr>
        <w:tc>
          <w:tcPr/>
          <w:p>
            <w:pPr>
              <w:pStyle w:val="Compact"/>
            </w:pPr>
            <w:r>
              <w:rPr>
                <w:b/>
                <w:bCs/>
              </w:rPr>
              <w:t xml:space="preserve">L2</w:t>
            </w:r>
          </w:p>
        </w:tc>
        <w:tc>
          <w:tcPr/>
          <w:p>
            <w:pPr>
              <w:pStyle w:val="Compact"/>
            </w:pPr>
            <w:r>
              <w:t xml:space="preserve">Compliance Manager / MLRO (Money Laundering Reporting Officer)</w:t>
            </w:r>
          </w:p>
        </w:tc>
        <w:tc>
          <w:tcPr/>
          <w:p>
            <w:pPr>
              <w:pStyle w:val="Compact"/>
            </w:pPr>
            <w:r>
              <w:t xml:space="preserve">ยืนยัน true match, สั่ง freeze, อนุมัติปลด hold</w:t>
            </w:r>
          </w:p>
        </w:tc>
        <w:tc>
          <w:tcPr/>
          <w:p>
            <w:pPr>
              <w:pStyle w:val="Compact"/>
            </w:pPr>
            <w:r>
              <w:t xml:space="preserve">ภายใน</w:t>
            </w:r>
            <w:r>
              <w:t xml:space="preserve"> </w:t>
            </w:r>
            <w:r>
              <w:rPr>
                <w:b/>
                <w:bCs/>
              </w:rPr>
              <w:t xml:space="preserve">24 ชม.</w:t>
            </w:r>
            <w:r>
              <w:t xml:space="preserve"> </w:t>
            </w:r>
            <w:r>
              <w:t xml:space="preserve">หลังรับเรื่อง</w:t>
            </w:r>
          </w:p>
        </w:tc>
      </w:tr>
      <w:tr>
        <w:tc>
          <w:tcPr/>
          <w:p>
            <w:pPr>
              <w:pStyle w:val="Compact"/>
            </w:pPr>
            <w:r>
              <w:rPr>
                <w:b/>
                <w:bCs/>
              </w:rPr>
              <w:t xml:space="preserve">L3</w:t>
            </w:r>
          </w:p>
        </w:tc>
        <w:tc>
          <w:tcPr/>
          <w:p>
            <w:pPr>
              <w:pStyle w:val="Compact"/>
            </w:pPr>
            <w:r>
              <w:t xml:space="preserve">Chief Compliance Officer + ที่ปรึกษากฎหมาย + กรรมการผู้จัดการ</w:t>
            </w:r>
          </w:p>
        </w:tc>
        <w:tc>
          <w:tcPr/>
          <w:p>
            <w:pPr>
              <w:pStyle w:val="Compact"/>
            </w:pPr>
            <w:r>
              <w:t xml:space="preserve">ตัดสินใจกรณีซับซ้อน, การรายงานทางการ, การสื่อสารกับ ธปท./ปปง.</w:t>
            </w:r>
          </w:p>
        </w:tc>
        <w:tc>
          <w:tcPr/>
          <w:p>
            <w:pPr>
              <w:pStyle w:val="Compact"/>
            </w:pPr>
            <w:r>
              <w:t xml:space="preserve">ตามกรอบกฎหมาย</w:t>
            </w:r>
          </w:p>
        </w:tc>
      </w:tr>
    </w:tbl>
    <w:p>
      <w:pPr>
        <w:pStyle w:val="BodyText"/>
      </w:pPr>
      <w:r>
        <w:rPr>
          <w:b/>
          <w:bCs/>
        </w:rPr>
        <w:t xml:space="preserve">การรายงานทางการ:</w:t>
      </w:r>
    </w:p>
    <w:p>
      <w:pPr>
        <w:pStyle w:val="Compact"/>
        <w:numPr>
          <w:ilvl w:val="0"/>
          <w:numId w:val="1092"/>
        </w:numPr>
      </w:pPr>
      <w:r>
        <w:rPr>
          <w:b/>
          <w:bCs/>
        </w:rPr>
        <w:t xml:space="preserve">True match (UN/AMLO/CTPF):</w:t>
      </w:r>
      <w:r>
        <w:t xml:space="preserve"> </w:t>
      </w:r>
      <w:r>
        <w:t xml:space="preserve">MLRO</w:t>
      </w:r>
      <w:r>
        <w:t xml:space="preserve"> </w:t>
      </w:r>
      <w:r>
        <w:rPr>
          <w:b/>
          <w:bCs/>
        </w:rPr>
        <w:t xml:space="preserve">ระงับทรัพย์สิน (freeze) ทันที</w:t>
      </w:r>
      <w:r>
        <w:t xml:space="preserve"> </w:t>
      </w:r>
      <w:r>
        <w:t xml:space="preserve">และรายงานต่อสำนักงาน ปปง.</w:t>
      </w:r>
      <w:r>
        <w:t xml:space="preserve"> </w:t>
      </w:r>
      <w:r>
        <w:t xml:space="preserve">ตามแบบและกำหนดเวลาที่กฎหมายกำหนด</w:t>
      </w:r>
      <w:r>
        <w:t xml:space="preserve"> </w:t>
      </w:r>
      <w:r>
        <w:rPr>
          <w:b/>
          <w:bCs/>
        </w:rPr>
        <w:t xml:space="preserve">โดยไม่ชักช้า</w:t>
      </w:r>
      <w:r>
        <w:t xml:space="preserve"> </w:t>
      </w:r>
      <w:r>
        <w:t xml:space="preserve">— พร้อมส่ง</w:t>
      </w:r>
      <w:r>
        <w:t xml:space="preserve"> </w:t>
      </w:r>
      <w:r>
        <w:rPr>
          <w:b/>
          <w:bCs/>
        </w:rPr>
        <w:t xml:space="preserve">STR (Suspicious Transaction</w:t>
      </w:r>
      <w:r>
        <w:rPr>
          <w:b/>
          <w:bCs/>
        </w:rPr>
        <w:t xml:space="preserve"> </w:t>
      </w:r>
      <w:r>
        <w:rPr>
          <w:b/>
          <w:bCs/>
        </w:rPr>
        <w:t xml:space="preserve">Report)</w:t>
      </w:r>
      <w:r>
        <w:t xml:space="preserve"> </w:t>
      </w:r>
      <w:r>
        <w:t xml:space="preserve">เมื่อเข้าเงื่อนไข</w:t>
      </w:r>
    </w:p>
    <w:p>
      <w:pPr>
        <w:pStyle w:val="Compact"/>
        <w:numPr>
          <w:ilvl w:val="0"/>
          <w:numId w:val="1092"/>
        </w:numPr>
      </w:pPr>
      <w:r>
        <w:rPr>
          <w:b/>
          <w:bCs/>
        </w:rPr>
        <w:t xml:space="preserve">แจ้ง ธปท.</w:t>
      </w:r>
      <w:r>
        <w:t xml:space="preserve"> </w:t>
      </w:r>
      <w:r>
        <w:t xml:space="preserve">ตามหลักเกณฑ์การรายงานเหตุการณ์สำคัญ (material incident) หากกระทบต่อการดำเนินงาน/</w:t>
      </w:r>
      <w:r>
        <w:t xml:space="preserve"> </w:t>
      </w:r>
      <w:r>
        <w:t xml:space="preserve">ชื่อเสียง หรือเข้าข่ายต้องแจ้ง</w:t>
      </w:r>
    </w:p>
    <w:p>
      <w:pPr>
        <w:pStyle w:val="Compact"/>
        <w:numPr>
          <w:ilvl w:val="0"/>
          <w:numId w:val="1092"/>
        </w:numPr>
      </w:pPr>
      <w:r>
        <w:rPr>
          <w:b/>
          <w:bCs/>
        </w:rPr>
        <w:t xml:space="preserve">แจ้ง sponsor bank / card scheme</w:t>
      </w:r>
      <w:r>
        <w:t xml:space="preserve"> </w:t>
      </w:r>
      <w:r>
        <w:t xml:space="preserve">ตามสัญญา (เมื่อลงนามแล้ว)</w:t>
      </w:r>
    </w:p>
    <w:p>
      <w:pPr>
        <w:pStyle w:val="Compact"/>
        <w:numPr>
          <w:ilvl w:val="0"/>
          <w:numId w:val="1092"/>
        </w:numPr>
      </w:pPr>
      <w:r>
        <w:rPr>
          <w:b/>
          <w:bCs/>
        </w:rPr>
        <w:t xml:space="preserve">PDPA / PDPC:</w:t>
      </w:r>
      <w:r>
        <w:t xml:space="preserve"> </w:t>
      </w:r>
      <w:r>
        <w:t xml:space="preserve">การประมวลผลข้อมูลส่วนบุคคลเพื่อการคัดกรองอาศัยฐาน</w:t>
      </w:r>
      <w:r>
        <w:t xml:space="preserve"> </w:t>
      </w:r>
      <w:r>
        <w:t xml:space="preserve">“หน้าที่ตามกฎหมาย”</w:t>
      </w:r>
      <w:r>
        <w:t xml:space="preserve"> </w:t>
      </w:r>
      <w:r>
        <w:t xml:space="preserve">— เก็บ</w:t>
      </w:r>
      <w:r>
        <w:t xml:space="preserve"> </w:t>
      </w:r>
      <w:r>
        <w:t xml:space="preserve">เท่าที่จำเป็น, จำกัดการเข้าถึงตาม RBAC, และไม่เปิดเผยผลการคัดกรอง/การรายงานให้เจ้าของข้อมูล</w:t>
      </w:r>
      <w:r>
        <w:t xml:space="preserve"> </w:t>
      </w:r>
      <w:r>
        <w:t xml:space="preserve">(ข้อยกเว้นตามกฎหมาย AML เหนือกว่าสิทธิการเข้าถึงของเจ้าของข้อมูล)</w:t>
      </w:r>
    </w:p>
    <w:p>
      <w:r>
        <w:pict>
          <v:rect style="width:0;height:1.5pt" o:hralign="center" o:hrstd="t" o:hr="t"/>
        </w:pict>
      </w:r>
    </w:p>
    <w:bookmarkEnd w:id="243"/>
    <w:bookmarkStart w:id="244" w:name="การควบคมทางเทคนคและ-fail-closed"/>
    <w:p>
      <w:pPr>
        <w:pStyle w:val="Heading2"/>
      </w:pPr>
      <w:r>
        <w:t xml:space="preserve">7. การควบคุมทางเทคนิคและ Fail-Closed</w:t>
      </w:r>
    </w:p>
    <w:p>
      <w:pPr>
        <w:pStyle w:val="Compact"/>
        <w:numPr>
          <w:ilvl w:val="0"/>
          <w:numId w:val="1093"/>
        </w:numPr>
      </w:pPr>
      <w:r>
        <w:t xml:space="preserve">คัดกรองเป็น service แยก (</w:t>
      </w:r>
      <w:r>
        <w:rPr>
          <w:rStyle w:val="VerbatimChar"/>
        </w:rPr>
        <w:t xml:space="preserve">sanctions-screening</w:t>
      </w:r>
      <w:r>
        <w:t xml:space="preserve">) เรียกผ่าน interface — สลับ vendor ได้ตาม Clean</w:t>
      </w:r>
      <w:r>
        <w:t xml:space="preserve"> </w:t>
      </w:r>
      <w:r>
        <w:t xml:space="preserve">Architecture (สอดคล้อง</w:t>
      </w:r>
      <w:r>
        <w:t xml:space="preserve"> </w:t>
      </w:r>
      <w:r>
        <w:rPr>
          <w:rStyle w:val="VerbatimChar"/>
        </w:rPr>
        <w:t xml:space="preserve">ARCHITECTURE.md</w:t>
      </w:r>
      <w:r>
        <w:t xml:space="preserve"> </w:t>
      </w:r>
      <w:r>
        <w:t xml:space="preserve">ข้อ 4)</w:t>
      </w:r>
    </w:p>
    <w:p>
      <w:pPr>
        <w:pStyle w:val="Compact"/>
        <w:numPr>
          <w:ilvl w:val="0"/>
          <w:numId w:val="1093"/>
        </w:numPr>
      </w:pPr>
      <w:r>
        <w:rPr>
          <w:b/>
          <w:bCs/>
        </w:rPr>
        <w:t xml:space="preserve">Fail-closed:</w:t>
      </w:r>
      <w:r>
        <w:t xml:space="preserve"> </w:t>
      </w:r>
      <w:r>
        <w:t xml:space="preserve">หาก screening service/feed ไม่พร้อม → real-time ธุรกรรมที่ต้องคัดกรองจะถูก hold</w:t>
      </w:r>
      <w:r>
        <w:t xml:space="preserve"> </w:t>
      </w:r>
      <w:r>
        <w:t xml:space="preserve">ไม่ auto-approve; batch/payout หยุดรอ พร้อม alert ทีม Compliance ภายใน 1 ชม.</w:t>
      </w:r>
    </w:p>
    <w:p>
      <w:pPr>
        <w:pStyle w:val="Compact"/>
        <w:numPr>
          <w:ilvl w:val="0"/>
          <w:numId w:val="1093"/>
        </w:numPr>
      </w:pPr>
      <w:r>
        <w:rPr>
          <w:b/>
          <w:bCs/>
        </w:rPr>
        <w:t xml:space="preserve">Audit:</w:t>
      </w:r>
      <w:r>
        <w:t xml:space="preserve"> </w:t>
      </w:r>
      <w:r>
        <w:t xml:space="preserve">ทุกการตัดสินใจลง</w:t>
      </w:r>
      <w:r>
        <w:t xml:space="preserve"> </w:t>
      </w:r>
      <w:r>
        <w:rPr>
          <w:rStyle w:val="VerbatimChar"/>
        </w:rPr>
        <w:t xml:space="preserve">audit_log</w:t>
      </w:r>
      <w:r>
        <w:t xml:space="preserve"> </w:t>
      </w:r>
      <w:r>
        <w:t xml:space="preserve">(append-only), ไม่มีข้อมูลบัตร (PCI Req 10); เข้าถึงผลด้วย</w:t>
      </w:r>
      <w:r>
        <w:t xml:space="preserve"> </w:t>
      </w:r>
      <w:r>
        <w:t xml:space="preserve">least-privilege + MFA (PCI Req 7–8)</w:t>
      </w:r>
    </w:p>
    <w:p>
      <w:pPr>
        <w:pStyle w:val="Compact"/>
        <w:numPr>
          <w:ilvl w:val="0"/>
          <w:numId w:val="1093"/>
        </w:numPr>
      </w:pPr>
      <w:r>
        <w:rPr>
          <w:b/>
          <w:bCs/>
        </w:rPr>
        <w:t xml:space="preserve">Data residency:</w:t>
      </w:r>
      <w:r>
        <w:t xml:space="preserve"> </w:t>
      </w:r>
      <w:r>
        <w:t xml:space="preserve">ข้อมูลลูกค้า/ผลการคัดกรองเก็บในไทยตามข้อกำหนด ธปท./PDPA</w:t>
      </w:r>
    </w:p>
    <w:p>
      <w:pPr>
        <w:pStyle w:val="Compact"/>
        <w:numPr>
          <w:ilvl w:val="0"/>
          <w:numId w:val="1093"/>
        </w:numPr>
      </w:pPr>
      <w:r>
        <w:rPr>
          <w:b/>
          <w:bCs/>
        </w:rPr>
        <w:t xml:space="preserve">การเข้ารหัส:</w:t>
      </w:r>
      <w:r>
        <w:t xml:space="preserve"> </w:t>
      </w:r>
      <w:r>
        <w:t xml:space="preserve">ข้อมูลระบุตัวตนเข้ารหัส at-rest (KMS/HSM) และ in-transit (TLS 1.2+/mTLS)</w:t>
      </w:r>
    </w:p>
    <w:p>
      <w:r>
        <w:pict>
          <v:rect style="width:0;height:1.5pt" o:hralign="center" o:hrstd="t" o:hr="t"/>
        </w:pict>
      </w:r>
    </w:p>
    <w:bookmarkEnd w:id="244"/>
    <w:bookmarkStart w:id="245" w:name="X83da4cd1b6f27fe9b71cfd4d470150c046ae0d5"/>
    <w:p>
      <w:pPr>
        <w:pStyle w:val="Heading2"/>
      </w:pPr>
      <w:r>
        <w:t xml:space="preserve">8. การกำกับ ทดสอบ และทบทวน (Governance &amp; Assurance)</w:t>
      </w:r>
    </w:p>
    <w:tbl>
      <w:tblPr>
        <w:tblStyle w:val="Table"/>
        <w:tblW w:type="pct" w:w="5000"/>
        <w:tblLayout w:type="fixed"/>
        <w:tblLook w:firstRow="1" w:lastRow="0" w:firstColumn="0" w:lastColumn="0" w:noHBand="0" w:noVBand="0" w:val="0020"/>
      </w:tblPr>
      <w:tblGrid>
        <w:gridCol w:w="2227"/>
        <w:gridCol w:w="2227"/>
        <w:gridCol w:w="3465"/>
      </w:tblGrid>
      <w:tr>
        <w:trPr>
          <w:tblHeader w:val="on"/>
        </w:trPr>
        <w:tc>
          <w:tcPr/>
          <w:p>
            <w:pPr>
              <w:pStyle w:val="Compact"/>
            </w:pPr>
            <w:r>
              <w:t xml:space="preserve">กิจกรรม</w:t>
            </w:r>
          </w:p>
        </w:tc>
        <w:tc>
          <w:tcPr/>
          <w:p>
            <w:pPr>
              <w:pStyle w:val="Compact"/>
            </w:pPr>
            <w:r>
              <w:t xml:space="preserve">ความถี่</w:t>
            </w:r>
          </w:p>
        </w:tc>
        <w:tc>
          <w:tcPr/>
          <w:p>
            <w:pPr>
              <w:pStyle w:val="Compact"/>
            </w:pPr>
            <w:r>
              <w:t xml:space="preserve">ผู้รับผิดชอบ</w:t>
            </w:r>
          </w:p>
        </w:tc>
      </w:tr>
      <w:tr>
        <w:tc>
          <w:tcPr/>
          <w:p>
            <w:pPr>
              <w:pStyle w:val="Compact"/>
            </w:pPr>
            <w:r>
              <w:t xml:space="preserve">ทบทวนนโยบายฉบับนี้</w:t>
            </w:r>
          </w:p>
        </w:tc>
        <w:tc>
          <w:tcPr/>
          <w:p>
            <w:pPr>
              <w:pStyle w:val="Compact"/>
            </w:pPr>
            <w:r>
              <w:t xml:space="preserve">อย่างน้อยปีละ 1 ครั้ง หรือเมื่อกฎหมายเปลี่ยน</w:t>
            </w:r>
          </w:p>
        </w:tc>
        <w:tc>
          <w:tcPr/>
          <w:p>
            <w:pPr>
              <w:pStyle w:val="Compact"/>
            </w:pPr>
            <w:r>
              <w:t xml:space="preserve">MLRO / CCO</w:t>
            </w:r>
          </w:p>
        </w:tc>
      </w:tr>
      <w:tr>
        <w:tc>
          <w:tcPr/>
          <w:p>
            <w:pPr>
              <w:pStyle w:val="Compact"/>
            </w:pPr>
            <w:r>
              <w:t xml:space="preserve">Model/threshold tuning &amp; false-positive review</w:t>
            </w:r>
          </w:p>
        </w:tc>
        <w:tc>
          <w:tcPr/>
          <w:p>
            <w:pPr>
              <w:pStyle w:val="Compact"/>
            </w:pPr>
            <w:r>
              <w:t xml:space="preserve">ทุกไตรมาส</w:t>
            </w:r>
          </w:p>
        </w:tc>
        <w:tc>
          <w:tcPr/>
          <w:p>
            <w:pPr>
              <w:pStyle w:val="Compact"/>
            </w:pPr>
            <w:r>
              <w:t xml:space="preserve">Compliance Analytics</w:t>
            </w:r>
          </w:p>
        </w:tc>
      </w:tr>
      <w:tr>
        <w:tc>
          <w:tcPr/>
          <w:p>
            <w:pPr>
              <w:pStyle w:val="Compact"/>
            </w:pPr>
            <w:r>
              <w:t xml:space="preserve">ทดสอบระบบด้วยรายชื่อจำลอง (positive/negative test cases)</w:t>
            </w:r>
          </w:p>
        </w:tc>
        <w:tc>
          <w:tcPr/>
          <w:p>
            <w:pPr>
              <w:pStyle w:val="Compact"/>
            </w:pPr>
            <w:r>
              <w:t xml:space="preserve">ทุกไตรมาส + หลังเปลี่ยน vendor/logic</w:t>
            </w:r>
          </w:p>
        </w:tc>
        <w:tc>
          <w:tcPr/>
          <w:p>
            <w:pPr>
              <w:pStyle w:val="Compact"/>
            </w:pPr>
            <w:r>
              <w:t xml:space="preserve">QA + Compliance</w:t>
            </w:r>
          </w:p>
        </w:tc>
      </w:tr>
      <w:tr>
        <w:tc>
          <w:tcPr/>
          <w:p>
            <w:pPr>
              <w:pStyle w:val="Compact"/>
            </w:pPr>
            <w:r>
              <w:t xml:space="preserve">Independent audit (internal/external)</w:t>
            </w:r>
          </w:p>
        </w:tc>
        <w:tc>
          <w:tcPr/>
          <w:p>
            <w:pPr>
              <w:pStyle w:val="Compact"/>
            </w:pPr>
            <w:r>
              <w:t xml:space="preserve">ปีละ 1 ครั้ง</w:t>
            </w:r>
          </w:p>
        </w:tc>
        <w:tc>
          <w:tcPr/>
          <w:p>
            <w:pPr>
              <w:pStyle w:val="Compact"/>
            </w:pPr>
            <w:r>
              <w:t xml:space="preserve">Internal Audit / QSA (ส่วนที่เกี่ยว PCI)</w:t>
            </w:r>
          </w:p>
        </w:tc>
      </w:tr>
      <w:tr>
        <w:tc>
          <w:tcPr/>
          <w:p>
            <w:pPr>
              <w:pStyle w:val="Compact"/>
            </w:pPr>
            <w:r>
              <w:t xml:space="preserve">อบรมพนักงาน AML/Sanctions</w:t>
            </w:r>
          </w:p>
        </w:tc>
        <w:tc>
          <w:tcPr/>
          <w:p>
            <w:pPr>
              <w:pStyle w:val="Compact"/>
            </w:pPr>
            <w:r>
              <w:t xml:space="preserve">แรกเข้า + ทบทวนปีละ 1 ครั้ง</w:t>
            </w:r>
          </w:p>
        </w:tc>
        <w:tc>
          <w:tcPr/>
          <w:p>
            <w:pPr>
              <w:pStyle w:val="Compact"/>
            </w:pPr>
            <w:r>
              <w:t xml:space="preserve">Compliance</w:t>
            </w:r>
          </w:p>
        </w:tc>
      </w:tr>
    </w:tbl>
    <w:p>
      <w:r>
        <w:pict>
          <v:rect style="width:0;height:1.5pt" o:hralign="center" o:hrstd="t" o:hr="t"/>
        </w:pict>
      </w:r>
    </w:p>
    <w:bookmarkEnd w:id="245"/>
    <w:bookmarkEnd w:id="246"/>
    <w:bookmarkStart w:id="256" w:name="X04a54b368358a12686eb63e9f60fc67dcb77ed4"/>
    <w:p>
      <w:pPr>
        <w:pStyle w:val="Heading1"/>
      </w:pPr>
      <w:r>
        <w:t xml:space="preserve">Sanctions screening procedure: UN/OFAC/Thai lists, screening frequency, match handling, escalation (English)</w:t>
      </w:r>
    </w:p>
    <w:p>
      <w:pPr>
        <w:pStyle w:val="BlockText"/>
      </w:pPr>
      <w:r>
        <w:t xml:space="preserve">Supporting document for the</w:t>
      </w:r>
      <w:r>
        <w:t xml:space="preserve"> </w:t>
      </w:r>
      <w:r>
        <w:rPr>
          <w:b/>
          <w:bCs/>
        </w:rPr>
        <w:t xml:space="preserve">Acquiring Service</w:t>
      </w:r>
      <w:r>
        <w:t xml:space="preserve"> </w:t>
      </w:r>
      <w:r>
        <w:t xml:space="preserve">license application under the Payment Systems</w:t>
      </w:r>
      <w:r>
        <w:t xml:space="preserve"> </w:t>
      </w:r>
      <w:r>
        <w:t xml:space="preserve">Act B.E. 2560 (registered paid-up capital THB 50M) and</w:t>
      </w:r>
      <w:r>
        <w:t xml:space="preserve"> </w:t>
      </w:r>
      <w:r>
        <w:rPr>
          <w:b/>
          <w:bCs/>
        </w:rPr>
        <w:t xml:space="preserve">PCI-DSS v4.0 Level 1</w:t>
      </w:r>
      <w:r>
        <w:t xml:space="preserve">.</w:t>
      </w:r>
      <w:r>
        <w:t xml:space="preserve"> </w:t>
      </w:r>
      <w:r>
        <w:t xml:space="preserve">Document set:</w:t>
      </w:r>
      <w:r>
        <w:t xml:space="preserve"> </w:t>
      </w:r>
      <w:r>
        <w:rPr>
          <w:rStyle w:val="VerbatimChar"/>
        </w:rPr>
        <w:t xml:space="preserve">docs/compliance/06-sanctions-screening.md</w:t>
      </w:r>
      <w:r>
        <w:t xml:space="preserve"> </w:t>
      </w:r>
      <w:r>
        <w:t xml:space="preserve">· Version 0.1</w:t>
      </w:r>
      <w:r>
        <w:t xml:space="preserve"> </w:t>
      </w:r>
      <w:r>
        <w:rPr>
          <w:b/>
          <w:bCs/>
        </w:rPr>
        <w:t xml:space="preserve">Note:</w:t>
      </w:r>
      <w:r>
        <w:t xml:space="preserve"> </w:t>
      </w:r>
      <w:r>
        <w:t xml:space="preserve">This is an internal policy/procedure of</w:t>
      </w:r>
      <w:r>
        <w:t xml:space="preserve"> </w:t>
      </w:r>
      <w:r>
        <w:rPr>
          <w:b/>
          <w:bCs/>
        </w:rPr>
        <w:t xml:space="preserve">[บริษัท / Company]</w:t>
      </w:r>
      <w:r>
        <w:t xml:space="preserve">, not legal advice. Have it</w:t>
      </w:r>
      <w:r>
        <w:t xml:space="preserve"> </w:t>
      </w:r>
      <w:r>
        <w:t xml:space="preserve">reviewed by AML counsel and validated against AMLO (ปปง.) requirements before submission.</w:t>
      </w:r>
    </w:p>
    <w:p>
      <w:r>
        <w:pict>
          <v:rect style="width:0;height:1.5pt" o:hralign="center" o:hrstd="t" o:hr="t"/>
        </w:pict>
      </w:r>
    </w:p>
    <w:bookmarkStart w:id="247" w:name="purpose-scope"/>
    <w:p>
      <w:pPr>
        <w:pStyle w:val="Heading2"/>
      </w:pPr>
      <w:r>
        <w:t xml:space="preserve">1. Purpose &amp; Scope</w:t>
      </w:r>
    </w:p>
    <w:p>
      <w:pPr>
        <w:pStyle w:val="FirstParagraph"/>
      </w:pPr>
      <w:r>
        <w:t xml:space="preserve">This document defines the procedure by which</w:t>
      </w:r>
      <w:r>
        <w:t xml:space="preserve"> </w:t>
      </w:r>
      <w:r>
        <w:rPr>
          <w:b/>
          <w:bCs/>
        </w:rPr>
        <w:t xml:space="preserve">[บริษัท / Company]</w:t>
      </w:r>
      <w:r>
        <w:t xml:space="preserve">, as a licensed Acquiring payment</w:t>
      </w:r>
      <w:r>
        <w:t xml:space="preserve"> </w:t>
      </w:r>
      <w:r>
        <w:t xml:space="preserve">service provider, screens persons and entities against sanctions / designated-persons lists in order</w:t>
      </w:r>
      <w:r>
        <w:t xml:space="preserve"> </w:t>
      </w:r>
      <w:r>
        <w:t xml:space="preserve">to:</w:t>
      </w:r>
    </w:p>
    <w:p>
      <w:pPr>
        <w:pStyle w:val="Compact"/>
        <w:numPr>
          <w:ilvl w:val="0"/>
          <w:numId w:val="1094"/>
        </w:numPr>
      </w:pPr>
      <w:r>
        <w:t xml:space="preserve">Prevent the company from being used to finance terrorism, proliferation of weapons of mass</w:t>
      </w:r>
      <w:r>
        <w:t xml:space="preserve"> </w:t>
      </w:r>
      <w:r>
        <w:t xml:space="preserve">destruction (Proliferation Financing), or launder money, under the</w:t>
      </w:r>
      <w:r>
        <w:t xml:space="preserve"> </w:t>
      </w:r>
      <w:r>
        <w:rPr>
          <w:b/>
          <w:bCs/>
        </w:rPr>
        <w:t xml:space="preserve">Anti-Money Laundering Act</w:t>
      </w:r>
      <w:r>
        <w:rPr>
          <w:b/>
          <w:bCs/>
        </w:rPr>
        <w:t xml:space="preserve"> </w:t>
      </w:r>
      <w:r>
        <w:rPr>
          <w:b/>
          <w:bCs/>
        </w:rPr>
        <w:t xml:space="preserve">B.E. 2542</w:t>
      </w:r>
      <w:r>
        <w:t xml:space="preserve"> </w:t>
      </w:r>
      <w:r>
        <w:t xml:space="preserve">and the</w:t>
      </w:r>
      <w:r>
        <w:t xml:space="preserve"> </w:t>
      </w:r>
      <w:r>
        <w:rPr>
          <w:b/>
          <w:bCs/>
        </w:rPr>
        <w:t xml:space="preserve">Counter-Terrorism and Proliferation of Weapon of Mass Destruction Financing</w:t>
      </w:r>
      <w:r>
        <w:rPr>
          <w:b/>
          <w:bCs/>
        </w:rPr>
        <w:t xml:space="preserve"> </w:t>
      </w:r>
      <w:r>
        <w:rPr>
          <w:b/>
          <w:bCs/>
        </w:rPr>
        <w:t xml:space="preserve">Act B.E. 2559 (CTPF Act)</w:t>
      </w:r>
      <w:r>
        <w:t xml:space="preserve">.</w:t>
      </w:r>
    </w:p>
    <w:p>
      <w:pPr>
        <w:pStyle w:val="Compact"/>
        <w:numPr>
          <w:ilvl w:val="0"/>
          <w:numId w:val="1094"/>
        </w:numPr>
      </w:pPr>
      <w:r>
        <w:t xml:space="preserve">Comply with</w:t>
      </w:r>
      <w:r>
        <w:t xml:space="preserve"> </w:t>
      </w:r>
      <w:r>
        <w:rPr>
          <w:b/>
          <w:bCs/>
        </w:rPr>
        <w:t xml:space="preserve">Bank of Thailand (ธปท.)</w:t>
      </w:r>
      <w:r>
        <w:t xml:space="preserve"> </w:t>
      </w:r>
      <w:r>
        <w:t xml:space="preserve">AML/CFT and risk-management requirements.</w:t>
      </w:r>
    </w:p>
    <w:p>
      <w:pPr>
        <w:pStyle w:val="Compact"/>
        <w:numPr>
          <w:ilvl w:val="0"/>
          <w:numId w:val="1094"/>
        </w:numPr>
      </w:pPr>
      <w:r>
        <w:t xml:space="preserve">Meet card-scheme (Visa/Mastercard) and sponsor-bank obligations.</w:t>
      </w:r>
    </w:p>
    <w:p>
      <w:pPr>
        <w:pStyle w:val="FirstParagraph"/>
      </w:pPr>
      <w:r>
        <w:rPr>
          <w:b/>
          <w:bCs/>
        </w:rPr>
        <w:t xml:space="preserve">Scope covers:</w:t>
      </w:r>
    </w:p>
    <w:tbl>
      <w:tblPr>
        <w:tblStyle w:val="Table"/>
        <w:tblW w:type="pct" w:w="5000"/>
        <w:tblLayout w:type="fixed"/>
        <w:tblLook w:firstRow="1" w:lastRow="0" w:firstColumn="0" w:lastColumn="0" w:noHBand="0" w:noVBand="0" w:val="0020"/>
      </w:tblPr>
      <w:tblGrid>
        <w:gridCol w:w="5365"/>
        <w:gridCol w:w="2554"/>
      </w:tblGrid>
      <w:tr>
        <w:trPr>
          <w:tblHeader w:val="on"/>
        </w:trPr>
        <w:tc>
          <w:tcPr/>
          <w:p>
            <w:pPr>
              <w:pStyle w:val="Compact"/>
            </w:pPr>
            <w:r>
              <w:t xml:space="preserve">Population screened</w:t>
            </w:r>
          </w:p>
        </w:tc>
        <w:tc>
          <w:tcPr/>
          <w:p>
            <w:pPr>
              <w:pStyle w:val="Compact"/>
            </w:pPr>
            <w:r>
              <w:t xml:space="preserve">Examples</w:t>
            </w:r>
          </w:p>
        </w:tc>
      </w:tr>
      <w:tr>
        <w:tc>
          <w:tcPr/>
          <w:p>
            <w:pPr>
              <w:pStyle w:val="Compact"/>
            </w:pPr>
            <w:r>
              <w:t xml:space="preserve">Merchants and controllers (UBO ≥ 25%, directors, authorized signatories)</w:t>
            </w:r>
          </w:p>
        </w:tc>
        <w:tc>
          <w:tcPr/>
          <w:p>
            <w:pPr>
              <w:pStyle w:val="Compact"/>
            </w:pPr>
            <w:r>
              <w:t xml:space="preserve">At onboarding and throughout the relationship</w:t>
            </w:r>
          </w:p>
        </w:tc>
      </w:tr>
      <w:tr>
        <w:tc>
          <w:tcPr/>
          <w:p>
            <w:pPr>
              <w:pStyle w:val="Compact"/>
            </w:pPr>
            <w:r>
              <w:t xml:space="preserve">Cardholders / payers</w:t>
            </w:r>
          </w:p>
        </w:tc>
        <w:tc>
          <w:tcPr/>
          <w:p>
            <w:pPr>
              <w:pStyle w:val="Compact"/>
            </w:pPr>
            <w:r>
              <w:t xml:space="preserve">Where identity is known (e.g., payouts, refunds to a destination account)</w:t>
            </w:r>
          </w:p>
        </w:tc>
      </w:tr>
      <w:tr>
        <w:tc>
          <w:tcPr/>
          <w:p>
            <w:pPr>
              <w:pStyle w:val="Compact"/>
            </w:pPr>
            <w:r>
              <w:t xml:space="preserve">Payout / settlement beneficiaries</w:t>
            </w:r>
          </w:p>
        </w:tc>
        <w:tc>
          <w:tcPr/>
          <w:p>
            <w:pPr>
              <w:pStyle w:val="Compact"/>
            </w:pPr>
            <w:r>
              <w:t xml:space="preserve">Before releasing funds</w:t>
            </w:r>
          </w:p>
        </w:tc>
      </w:tr>
      <w:tr>
        <w:tc>
          <w:tcPr/>
          <w:p>
            <w:pPr>
              <w:pStyle w:val="Compact"/>
            </w:pPr>
            <w:r>
              <w:t xml:space="preserve">Employees, partners, outsourced service providers</w:t>
            </w:r>
          </w:p>
        </w:tc>
        <w:tc>
          <w:tcPr/>
          <w:p>
            <w:pPr>
              <w:pStyle w:val="Compact"/>
            </w:pPr>
            <w:r>
              <w:t xml:space="preserve">Before contracting</w:t>
            </w:r>
          </w:p>
        </w:tc>
      </w:tr>
    </w:tbl>
    <w:p>
      <w:pPr>
        <w:pStyle w:val="BlockText"/>
      </w:pPr>
      <w:r>
        <w:rPr>
          <w:b/>
          <w:bCs/>
        </w:rPr>
        <w:t xml:space="preserve">Principle:</w:t>
      </w:r>
      <w:r>
        <w:t xml:space="preserve"> </w:t>
      </w:r>
      <w:r>
        <w:t xml:space="preserve">The payment core sees card data only as a token +</w:t>
      </w:r>
      <w:r>
        <w:t xml:space="preserve"> </w:t>
      </w:r>
      <w:r>
        <w:rPr>
          <w:rStyle w:val="VerbatimChar"/>
        </w:rPr>
        <w:t xml:space="preserve">card_last4</w:t>
      </w:r>
      <w:r>
        <w:t xml:space="preserve"> </w:t>
      </w:r>
      <w:r>
        <w:t xml:space="preserve">(see</w:t>
      </w:r>
      <w:r>
        <w:t xml:space="preserve"> </w:t>
      </w:r>
      <w:r>
        <w:rPr>
          <w:rStyle w:val="VerbatimChar"/>
        </w:rPr>
        <w:t xml:space="preserve">ARCHITECTURE.md</w:t>
      </w:r>
      <w:r>
        <w:t xml:space="preserve"> </w:t>
      </w:r>
      <w:r>
        <w:t xml:space="preserve">§6). Cardholder screening therefore uses identity attributes obtained from 3DS/KYC, never the full PAN.</w:t>
      </w:r>
    </w:p>
    <w:p>
      <w:r>
        <w:pict>
          <v:rect style="width:0;height:1.5pt" o:hralign="center" o:hrstd="t" o:hr="t"/>
        </w:pict>
      </w:r>
    </w:p>
    <w:bookmarkEnd w:id="247"/>
    <w:bookmarkStart w:id="248" w:name="sanctions-lists-used"/>
    <w:p>
      <w:pPr>
        <w:pStyle w:val="Heading2"/>
      </w:pPr>
      <w:r>
        <w:t xml:space="preserve">2. Sanctions Lists Used</w:t>
      </w:r>
    </w:p>
    <w:tbl>
      <w:tblPr>
        <w:tblStyle w:val="Table"/>
        <w:tblW w:type="pct" w:w="5000"/>
        <w:tblLayout w:type="fixed"/>
        <w:tblLook w:firstRow="1" w:lastRow="0" w:firstColumn="0" w:lastColumn="0" w:noHBand="0" w:noVBand="0" w:val="0020"/>
      </w:tblPr>
      <w:tblGrid>
        <w:gridCol w:w="742"/>
        <w:gridCol w:w="1485"/>
        <w:gridCol w:w="1980"/>
        <w:gridCol w:w="3712"/>
      </w:tblGrid>
      <w:tr>
        <w:trPr>
          <w:tblHeader w:val="on"/>
        </w:trPr>
        <w:tc>
          <w:tcPr/>
          <w:p>
            <w:pPr>
              <w:pStyle w:val="Compact"/>
            </w:pPr>
            <w:r>
              <w:t xml:space="preserve">#</w:t>
            </w:r>
          </w:p>
        </w:tc>
        <w:tc>
          <w:tcPr/>
          <w:p>
            <w:pPr>
              <w:pStyle w:val="Compact"/>
            </w:pPr>
            <w:r>
              <w:t xml:space="preserve">List</w:t>
            </w:r>
          </w:p>
        </w:tc>
        <w:tc>
          <w:tcPr/>
          <w:p>
            <w:pPr>
              <w:pStyle w:val="Compact"/>
            </w:pPr>
            <w:r>
              <w:t xml:space="preserve">Source</w:t>
            </w:r>
          </w:p>
        </w:tc>
        <w:tc>
          <w:tcPr/>
          <w:p>
            <w:pPr>
              <w:pStyle w:val="Compact"/>
            </w:pPr>
            <w:r>
              <w:t xml:space="preserve">Binding basis</w:t>
            </w:r>
          </w:p>
        </w:tc>
      </w:tr>
      <w:tr>
        <w:tc>
          <w:tcPr/>
          <w:p>
            <w:pPr>
              <w:pStyle w:val="Compact"/>
            </w:pPr>
            <w:r>
              <w:t xml:space="preserve">1</w:t>
            </w:r>
          </w:p>
        </w:tc>
        <w:tc>
          <w:tcPr/>
          <w:p>
            <w:pPr>
              <w:pStyle w:val="Compact"/>
            </w:pPr>
            <w:r>
              <w:rPr>
                <w:b/>
                <w:bCs/>
              </w:rPr>
              <w:t xml:space="preserve">UN Consolidated Sanctions List</w:t>
            </w:r>
          </w:p>
        </w:tc>
        <w:tc>
          <w:tcPr/>
          <w:p>
            <w:pPr>
              <w:pStyle w:val="Compact"/>
            </w:pPr>
            <w:r>
              <w:t xml:space="preserve">UN Security Council (1267/1988/1718/2231)</w:t>
            </w:r>
          </w:p>
        </w:tc>
        <w:tc>
          <w:tcPr/>
          <w:p>
            <w:pPr>
              <w:pStyle w:val="Compact"/>
            </w:pPr>
            <w:r>
              <w:t xml:space="preserve">Binding on Thailand via the CTPF Act</w:t>
            </w:r>
          </w:p>
        </w:tc>
      </w:tr>
      <w:tr>
        <w:tc>
          <w:tcPr/>
          <w:p>
            <w:pPr>
              <w:pStyle w:val="Compact"/>
            </w:pPr>
            <w:r>
              <w:t xml:space="preserve">2</w:t>
            </w:r>
          </w:p>
        </w:tc>
        <w:tc>
          <w:tcPr/>
          <w:p>
            <w:pPr>
              <w:pStyle w:val="Compact"/>
            </w:pPr>
            <w:r>
              <w:rPr>
                <w:b/>
                <w:bCs/>
              </w:rPr>
              <w:t xml:space="preserve">Thai Designated Persons List</w:t>
            </w:r>
          </w:p>
        </w:tc>
        <w:tc>
          <w:tcPr/>
          <w:p>
            <w:pPr>
              <w:pStyle w:val="Compact"/>
            </w:pPr>
            <w:r>
              <w:t xml:space="preserve">AMLO (ปปง.), issued under CTPF Act §5/6/7</w:t>
            </w:r>
          </w:p>
        </w:tc>
        <w:tc>
          <w:tcPr/>
          <w:p>
            <w:pPr>
              <w:pStyle w:val="Compact"/>
            </w:pPr>
            <w:r>
              <w:t xml:space="preserve">Binding under Thai law</w:t>
            </w:r>
          </w:p>
        </w:tc>
      </w:tr>
      <w:tr>
        <w:tc>
          <w:tcPr/>
          <w:p>
            <w:pPr>
              <w:pStyle w:val="Compact"/>
            </w:pPr>
            <w:r>
              <w:t xml:space="preserve">3</w:t>
            </w:r>
          </w:p>
        </w:tc>
        <w:tc>
          <w:tcPr/>
          <w:p>
            <w:pPr>
              <w:pStyle w:val="Compact"/>
            </w:pPr>
            <w:r>
              <w:rPr>
                <w:b/>
                <w:bCs/>
              </w:rPr>
              <w:t xml:space="preserve">OFAC SDN + Consolidated (Non-SDN)</w:t>
            </w:r>
          </w:p>
        </w:tc>
        <w:tc>
          <w:tcPr/>
          <w:p>
            <w:pPr>
              <w:pStyle w:val="Compact"/>
            </w:pPr>
            <w:r>
              <w:t xml:space="preserve">U.S. Treasury (OFAC)</w:t>
            </w:r>
          </w:p>
        </w:tc>
        <w:tc>
          <w:tcPr/>
          <w:p>
            <w:pPr>
              <w:pStyle w:val="Compact"/>
            </w:pPr>
            <w:r>
              <w:t xml:space="preserve">Via card scheme / USD correspondent / sponsor-bank contract</w:t>
            </w:r>
          </w:p>
        </w:tc>
      </w:tr>
      <w:tr>
        <w:tc>
          <w:tcPr/>
          <w:p>
            <w:pPr>
              <w:pStyle w:val="Compact"/>
            </w:pPr>
            <w:r>
              <w:t xml:space="preserve">4</w:t>
            </w:r>
          </w:p>
        </w:tc>
        <w:tc>
          <w:tcPr/>
          <w:p>
            <w:pPr>
              <w:pStyle w:val="Compact"/>
            </w:pPr>
            <w:r>
              <w:rPr>
                <w:b/>
                <w:bCs/>
              </w:rPr>
              <w:t xml:space="preserve">UK OFSI / EU Consolidated List</w:t>
            </w:r>
          </w:p>
        </w:tc>
        <w:tc>
          <w:tcPr/>
          <w:p>
            <w:pPr>
              <w:pStyle w:val="Compact"/>
            </w:pPr>
            <w:r>
              <w:t xml:space="preserve">HM Treasury / EU</w:t>
            </w:r>
          </w:p>
        </w:tc>
        <w:tc>
          <w:tcPr/>
          <w:p>
            <w:pPr>
              <w:pStyle w:val="Compact"/>
            </w:pPr>
            <w:r>
              <w:t xml:space="preserve">Risk-based and per counterparty requirements</w:t>
            </w:r>
          </w:p>
        </w:tc>
      </w:tr>
      <w:tr>
        <w:tc>
          <w:tcPr/>
          <w:p>
            <w:pPr>
              <w:pStyle w:val="Compact"/>
            </w:pPr>
            <w:r>
              <w:t xml:space="preserve">5</w:t>
            </w:r>
          </w:p>
        </w:tc>
        <w:tc>
          <w:tcPr/>
          <w:p>
            <w:pPr>
              <w:pStyle w:val="Compact"/>
            </w:pPr>
            <w:r>
              <w:rPr>
                <w:b/>
                <w:bCs/>
              </w:rPr>
              <w:t xml:space="preserve">Internal watchlist / blacklist</w:t>
            </w:r>
          </w:p>
        </w:tc>
        <w:tc>
          <w:tcPr/>
          <w:p>
            <w:pPr>
              <w:pStyle w:val="Compact"/>
            </w:pPr>
            <w:r>
              <w:t xml:space="preserve">Compiled internally (fraud, excessive chargebacks)</w:t>
            </w:r>
          </w:p>
        </w:tc>
        <w:tc>
          <w:tcPr/>
          <w:p>
            <w:pPr>
              <w:pStyle w:val="Compact"/>
            </w:pPr>
            <w:r>
              <w:t xml:space="preserve">Internal policy</w:t>
            </w:r>
          </w:p>
        </w:tc>
      </w:tr>
      <w:tr>
        <w:tc>
          <w:tcPr/>
          <w:p>
            <w:pPr>
              <w:pStyle w:val="Compact"/>
            </w:pPr>
            <w:r>
              <w:t xml:space="preserve">6</w:t>
            </w:r>
          </w:p>
        </w:tc>
        <w:tc>
          <w:tcPr/>
          <w:p>
            <w:pPr>
              <w:pStyle w:val="Compact"/>
            </w:pPr>
            <w:r>
              <w:rPr>
                <w:b/>
                <w:bCs/>
              </w:rPr>
              <w:t xml:space="preserve">PEP list</w:t>
            </w:r>
          </w:p>
        </w:tc>
        <w:tc>
          <w:tcPr/>
          <w:p>
            <w:pPr>
              <w:pStyle w:val="Compact"/>
            </w:pPr>
            <w:r>
              <w:t xml:space="preserve">Commercial data vendor</w:t>
            </w:r>
          </w:p>
        </w:tc>
        <w:tc>
          <w:tcPr/>
          <w:p>
            <w:pPr>
              <w:pStyle w:val="Compact"/>
            </w:pPr>
            <w:r>
              <w:t xml:space="preserve">Triggers Enhanced Due Diligence (EDD), not an automatic block</w:t>
            </w:r>
          </w:p>
        </w:tc>
      </w:tr>
    </w:tbl>
    <w:p>
      <w:pPr>
        <w:pStyle w:val="BlockText"/>
      </w:pPr>
      <w:r>
        <w:rPr>
          <w:b/>
          <w:bCs/>
        </w:rPr>
        <w:t xml:space="preserve">List versioning:</w:t>
      </w:r>
      <w:r>
        <w:t xml:space="preserve"> </w:t>
      </w:r>
      <w:r>
        <w:t xml:space="preserve">Every ingested list records</w:t>
      </w:r>
      <w:r>
        <w:t xml:space="preserve"> </w:t>
      </w:r>
      <w:r>
        <w:rPr>
          <w:rStyle w:val="VerbatimChar"/>
        </w:rPr>
        <w:t xml:space="preserve">list_source</w:t>
      </w:r>
      <w:r>
        <w:t xml:space="preserve">,</w:t>
      </w:r>
      <w:r>
        <w:t xml:space="preserve"> </w:t>
      </w:r>
      <w:r>
        <w:rPr>
          <w:rStyle w:val="VerbatimChar"/>
        </w:rPr>
        <w:t xml:space="preserve">list_version</w:t>
      </w:r>
      <w:r>
        <w:t xml:space="preserve">,</w:t>
      </w:r>
      <w:r>
        <w:t xml:space="preserve"> </w:t>
      </w:r>
      <w:r>
        <w:rPr>
          <w:rStyle w:val="VerbatimChar"/>
        </w:rPr>
        <w:t xml:space="preserve">published_date</w:t>
      </w:r>
      <w:r>
        <w:t xml:space="preserve">,</w:t>
      </w:r>
      <w:r>
        <w:t xml:space="preserve"> </w:t>
      </w:r>
      <w:r>
        <w:rPr>
          <w:rStyle w:val="VerbatimChar"/>
        </w:rPr>
        <w:t xml:space="preserve">ingested_at</w:t>
      </w:r>
      <w:r>
        <w:t xml:space="preserve">, and a checksum so it is provable which list version screened a given record</w:t>
      </w:r>
      <w:r>
        <w:t xml:space="preserve"> </w:t>
      </w:r>
      <w:r>
        <w:t xml:space="preserve">(audit trail per PCI-DSS Req 10 and ธปท. requirements).</w:t>
      </w:r>
    </w:p>
    <w:p>
      <w:pPr>
        <w:pStyle w:val="BlockText"/>
      </w:pPr>
      <w:r>
        <w:t xml:space="preserve">[!WARNING]</w:t>
      </w:r>
      <w:r>
        <w:t xml:space="preserve"> </w:t>
      </w:r>
      <w:r>
        <w:rPr>
          <w:b/>
          <w:bCs/>
        </w:rPr>
        <w:t xml:space="preserve">Open assumptions / TODO (confirm before submission)</w:t>
      </w:r>
      <w:r>
        <w:t xml:space="preserve"> </w:t>
      </w:r>
      <w:r>
        <w:t xml:space="preserve">-</w:t>
      </w:r>
      <w:r>
        <w:t xml:space="preserve"> </w:t>
      </w:r>
      <w:r>
        <w:rPr>
          <w:b/>
          <w:bCs/>
        </w:rPr>
        <w:t xml:space="preserve">Sanctions/PEP data vendor:</w:t>
      </w:r>
      <w:r>
        <w:t xml:space="preserve"> </w:t>
      </w:r>
      <w:r>
        <w:t xml:space="preserve">not yet selected (candidates: Dow Jones, LexisNexis,</w:t>
      </w:r>
      <w:r>
        <w:t xml:space="preserve"> </w:t>
      </w:r>
      <w:r>
        <w:t xml:space="preserve">ComplyAdvantage, Refinitiv World-Check). Update SLA, fuzzy-match engine, and pricing pending.</w:t>
      </w:r>
      <w:r>
        <w:t xml:space="preserve"> </w:t>
      </w:r>
      <w:r>
        <w:t xml:space="preserve">-</w:t>
      </w:r>
      <w:r>
        <w:t xml:space="preserve"> </w:t>
      </w:r>
      <w:r>
        <w:rPr>
          <w:b/>
          <w:bCs/>
        </w:rPr>
        <w:t xml:space="preserve">Sponsor bank / acquirer:</w:t>
      </w:r>
      <w:r>
        <w:t xml:space="preserve"> </w:t>
      </w:r>
      <w:r>
        <w:t xml:space="preserve">not yet signed — additional sponsor sanctions requirements (e.g.,</w:t>
      </w:r>
      <w:r>
        <w:t xml:space="preserve"> </w:t>
      </w:r>
      <w:r>
        <w:t xml:space="preserve">OFAC 50% Rule, extra lists) will override the minimums here once known.</w:t>
      </w:r>
      <w:r>
        <w:t xml:space="preserve"> </w:t>
      </w:r>
      <w:r>
        <w:t xml:space="preserve">-</w:t>
      </w:r>
      <w:r>
        <w:t xml:space="preserve"> </w:t>
      </w:r>
      <w:r>
        <w:rPr>
          <w:b/>
          <w:bCs/>
        </w:rPr>
        <w:t xml:space="preserve">QSA vendor (PCI-DSS L1):</w:t>
      </w:r>
      <w:r>
        <w:t xml:space="preserve"> </w:t>
      </w:r>
      <w:r>
        <w:t xml:space="preserve">not yet selected — logging/audit scope for this process may adjust per RoC.</w:t>
      </w:r>
      <w:r>
        <w:t xml:space="preserve"> </w:t>
      </w:r>
      <w:r>
        <w:t xml:space="preserve">-</w:t>
      </w:r>
      <w:r>
        <w:t xml:space="preserve"> </w:t>
      </w:r>
      <w:r>
        <w:rPr>
          <w:b/>
          <w:bCs/>
        </w:rPr>
        <w:t xml:space="preserve">Actual paid-up capital:</w:t>
      </w:r>
      <w:r>
        <w:t xml:space="preserve"> </w:t>
      </w:r>
      <w:r>
        <w:t xml:space="preserve">must confirm and maintain ≥ THB 50M (≥ 75% throughout operations).</w:t>
      </w:r>
    </w:p>
    <w:p>
      <w:r>
        <w:pict>
          <v:rect style="width:0;height:1.5pt" o:hralign="center" o:hrstd="t" o:hr="t"/>
        </w:pict>
      </w:r>
    </w:p>
    <w:bookmarkEnd w:id="248"/>
    <w:bookmarkStart w:id="249" w:name="screening-frequency"/>
    <w:p>
      <w:pPr>
        <w:pStyle w:val="Heading2"/>
      </w:pPr>
      <w:r>
        <w:t xml:space="preserve">3. Screening Frequency</w:t>
      </w:r>
    </w:p>
    <w:tbl>
      <w:tblPr>
        <w:tblStyle w:val="Table"/>
        <w:tblW w:type="pct" w:w="5000"/>
        <w:tblLayout w:type="fixed"/>
        <w:tblLook w:firstRow="1" w:lastRow="0" w:firstColumn="0" w:lastColumn="0" w:noHBand="0" w:noVBand="0" w:val="0020"/>
      </w:tblPr>
      <w:tblGrid>
        <w:gridCol w:w="2036"/>
        <w:gridCol w:w="4073"/>
        <w:gridCol w:w="1810"/>
      </w:tblGrid>
      <w:tr>
        <w:trPr>
          <w:tblHeader w:val="on"/>
        </w:trPr>
        <w:tc>
          <w:tcPr/>
          <w:p>
            <w:pPr>
              <w:pStyle w:val="Compact"/>
            </w:pPr>
            <w:r>
              <w:t xml:space="preserve">Trigger</w:t>
            </w:r>
          </w:p>
        </w:tc>
        <w:tc>
          <w:tcPr/>
          <w:p>
            <w:pPr>
              <w:pStyle w:val="Compact"/>
            </w:pPr>
            <w:r>
              <w:t xml:space="preserve">What is screened</w:t>
            </w:r>
          </w:p>
        </w:tc>
        <w:tc>
          <w:tcPr/>
          <w:p>
            <w:pPr>
              <w:pStyle w:val="Compact"/>
            </w:pPr>
            <w:r>
              <w:t xml:space="preserve">Timing</w:t>
            </w:r>
          </w:p>
        </w:tc>
      </w:tr>
      <w:tr>
        <w:tc>
          <w:tcPr/>
          <w:p>
            <w:pPr>
              <w:pStyle w:val="Compact"/>
            </w:pPr>
            <w:r>
              <w:rPr>
                <w:b/>
                <w:bCs/>
              </w:rPr>
              <w:t xml:space="preserve">Merchant onboarding</w:t>
            </w:r>
          </w:p>
        </w:tc>
        <w:tc>
          <w:tcPr/>
          <w:p>
            <w:pPr>
              <w:pStyle w:val="Compact"/>
            </w:pPr>
            <w:r>
              <w:t xml:space="preserve">Merchant + UBO + directors + signatories</w:t>
            </w:r>
          </w:p>
        </w:tc>
        <w:tc>
          <w:tcPr/>
          <w:p>
            <w:pPr>
              <w:pStyle w:val="Compact"/>
            </w:pPr>
            <w:r>
              <w:t xml:space="preserve">Before activation (blocking) — must clear first</w:t>
            </w:r>
          </w:p>
        </w:tc>
      </w:tr>
      <w:tr>
        <w:tc>
          <w:tcPr/>
          <w:p>
            <w:pPr>
              <w:pStyle w:val="Compact"/>
            </w:pPr>
            <w:r>
              <w:rPr>
                <w:b/>
                <w:bCs/>
              </w:rPr>
              <w:t xml:space="preserve">Real-time pre-authorization</w:t>
            </w:r>
          </w:p>
        </w:tc>
        <w:tc>
          <w:tcPr/>
          <w:p>
            <w:pPr>
              <w:pStyle w:val="Compact"/>
            </w:pPr>
            <w:r>
              <w:t xml:space="preserve">Named payer/beneficiary</w:t>
            </w:r>
          </w:p>
        </w:tc>
        <w:tc>
          <w:tcPr/>
          <w:p>
            <w:pPr>
              <w:pStyle w:val="Compact"/>
            </w:pPr>
            <w:r>
              <w:t xml:space="preserve">Inline in the authorization flow, budget &lt; 300 ms (part of p99 &lt; 800 ms)</w:t>
            </w:r>
          </w:p>
        </w:tc>
      </w:tr>
      <w:tr>
        <w:tc>
          <w:tcPr/>
          <w:p>
            <w:pPr>
              <w:pStyle w:val="Compact"/>
            </w:pPr>
            <w:r>
              <w:rPr>
                <w:b/>
                <w:bCs/>
              </w:rPr>
              <w:t xml:space="preserve">Before payout / settlement</w:t>
            </w:r>
          </w:p>
        </w:tc>
        <w:tc>
          <w:tcPr/>
          <w:p>
            <w:pPr>
              <w:pStyle w:val="Compact"/>
            </w:pPr>
            <w:r>
              <w:t xml:space="preserve">Destination account / beneficiary</w:t>
            </w:r>
          </w:p>
        </w:tc>
        <w:tc>
          <w:tcPr/>
          <w:p>
            <w:pPr>
              <w:pStyle w:val="Compact"/>
            </w:pPr>
            <w:r>
              <w:t xml:space="preserve">Blocking before funds release</w:t>
            </w:r>
          </w:p>
        </w:tc>
      </w:tr>
      <w:tr>
        <w:tc>
          <w:tcPr/>
          <w:p>
            <w:pPr>
              <w:pStyle w:val="Compact"/>
            </w:pPr>
            <w:r>
              <w:rPr>
                <w:b/>
                <w:bCs/>
              </w:rPr>
              <w:t xml:space="preserve">Full batch re-screening</w:t>
            </w:r>
          </w:p>
        </w:tc>
        <w:tc>
          <w:tcPr/>
          <w:p>
            <w:pPr>
              <w:pStyle w:val="Compact"/>
            </w:pPr>
            <w:r>
              <w:t xml:space="preserve">All active merchants + UBOs</w:t>
            </w:r>
          </w:p>
        </w:tc>
        <w:tc>
          <w:tcPr/>
          <w:p>
            <w:pPr>
              <w:pStyle w:val="Compact"/>
            </w:pPr>
            <w:r>
              <w:rPr>
                <w:b/>
                <w:bCs/>
              </w:rPr>
              <w:t xml:space="preserve">Daily</w:t>
            </w:r>
            <w:r>
              <w:t xml:space="preserve">, against the latest list version</w:t>
            </w:r>
          </w:p>
        </w:tc>
      </w:tr>
      <w:tr>
        <w:tc>
          <w:tcPr/>
          <w:p>
            <w:pPr>
              <w:pStyle w:val="Compact"/>
            </w:pPr>
            <w:r>
              <w:rPr>
                <w:b/>
                <w:bCs/>
              </w:rPr>
              <w:t xml:space="preserve">Delta re-screening on list change</w:t>
            </w:r>
          </w:p>
        </w:tc>
        <w:tc>
          <w:tcPr/>
          <w:p>
            <w:pPr>
              <w:pStyle w:val="Compact"/>
            </w:pPr>
            <w:r>
              <w:t xml:space="preserve">Added/changed list entries vs. the whole base</w:t>
            </w:r>
          </w:p>
        </w:tc>
        <w:tc>
          <w:tcPr/>
          <w:p>
            <w:pPr>
              <w:pStyle w:val="Compact"/>
            </w:pPr>
            <w:r>
              <w:rPr>
                <w:b/>
                <w:bCs/>
              </w:rPr>
              <w:t xml:space="preserve">Within 24 h</w:t>
            </w:r>
            <w:r>
              <w:t xml:space="preserve"> </w:t>
            </w:r>
            <w:r>
              <w:t xml:space="preserve">of list publication (target: immediate for UN/AMLO)</w:t>
            </w:r>
          </w:p>
        </w:tc>
      </w:tr>
      <w:tr>
        <w:tc>
          <w:tcPr/>
          <w:p>
            <w:pPr>
              <w:pStyle w:val="Compact"/>
            </w:pPr>
            <w:r>
              <w:rPr>
                <w:b/>
                <w:bCs/>
              </w:rPr>
              <w:t xml:space="preserve">On customer data change</w:t>
            </w:r>
            <w:r>
              <w:t xml:space="preserve"> </w:t>
            </w:r>
            <w:r>
              <w:t xml:space="preserve">(name, UBO, address)</w:t>
            </w:r>
          </w:p>
        </w:tc>
        <w:tc>
          <w:tcPr/>
          <w:p>
            <w:pPr>
              <w:pStyle w:val="Compact"/>
            </w:pPr>
            <w:r>
              <w:t xml:space="preserve">The changed record</w:t>
            </w:r>
          </w:p>
        </w:tc>
        <w:tc>
          <w:tcPr/>
          <w:p>
            <w:pPr>
              <w:pStyle w:val="Compact"/>
            </w:pPr>
            <w:r>
              <w:t xml:space="preserve">Immediately on save</w:t>
            </w:r>
          </w:p>
        </w:tc>
      </w:tr>
      <w:tr>
        <w:tc>
          <w:tcPr/>
          <w:p>
            <w:pPr>
              <w:pStyle w:val="Compact"/>
            </w:pPr>
            <w:r>
              <w:rPr>
                <w:b/>
                <w:bCs/>
              </w:rPr>
              <w:t xml:space="preserve">Periodic KYC refresh</w:t>
            </w:r>
          </w:p>
        </w:tc>
        <w:tc>
          <w:tcPr/>
          <w:p>
            <w:pPr>
              <w:pStyle w:val="Compact"/>
            </w:pPr>
            <w:r>
              <w:t xml:space="preserve">Per customer risk rating</w:t>
            </w:r>
          </w:p>
        </w:tc>
        <w:tc>
          <w:tcPr/>
          <w:p>
            <w:pPr>
              <w:pStyle w:val="Compact"/>
            </w:pPr>
            <w:r>
              <w:t xml:space="preserve">High: 12 mo · Medium: 24 mo · Low: 36 mo</w:t>
            </w:r>
          </w:p>
        </w:tc>
      </w:tr>
    </w:tbl>
    <w:p>
      <w:pPr>
        <w:pStyle w:val="BodyText"/>
      </w:pPr>
      <w:r>
        <w:rPr>
          <w:b/>
          <w:bCs/>
        </w:rPr>
        <w:t xml:space="preserve">List updates:</w:t>
      </w:r>
    </w:p>
    <w:p>
      <w:pPr>
        <w:pStyle w:val="Compact"/>
        <w:numPr>
          <w:ilvl w:val="0"/>
          <w:numId w:val="1095"/>
        </w:numPr>
      </w:pPr>
      <w:r>
        <w:rPr>
          <w:b/>
          <w:bCs/>
        </w:rPr>
        <w:t xml:space="preserve">UN &amp; AMLO Designated Persons:</w:t>
      </w:r>
      <w:r>
        <w:t xml:space="preserve"> </w:t>
      </w:r>
      <w:r>
        <w:t xml:space="preserve">pulled/verified</w:t>
      </w:r>
      <w:r>
        <w:t xml:space="preserve"> </w:t>
      </w:r>
      <w:r>
        <w:rPr>
          <w:b/>
          <w:bCs/>
        </w:rPr>
        <w:t xml:space="preserve">every business day</w:t>
      </w:r>
      <w:r>
        <w:t xml:space="preserve"> </w:t>
      </w:r>
      <w:r>
        <w:t xml:space="preserve">and on every new</w:t>
      </w:r>
      <w:r>
        <w:t xml:space="preserve"> </w:t>
      </w:r>
      <w:r>
        <w:t xml:space="preserve">publication (the company subscribes to / monitors AMLO announcements) — highest priority (binding</w:t>
      </w:r>
      <w:r>
        <w:t xml:space="preserve"> </w:t>
      </w:r>
      <w:r>
        <w:t xml:space="preserve">under Thai law).</w:t>
      </w:r>
    </w:p>
    <w:p>
      <w:pPr>
        <w:pStyle w:val="Compact"/>
        <w:numPr>
          <w:ilvl w:val="0"/>
          <w:numId w:val="1095"/>
        </w:numPr>
      </w:pPr>
      <w:r>
        <w:rPr>
          <w:b/>
          <w:bCs/>
        </w:rPr>
        <w:t xml:space="preserve">OFAC/OFSI/EU:</w:t>
      </w:r>
      <w:r>
        <w:t xml:space="preserve"> </w:t>
      </w:r>
      <w:r>
        <w:t xml:space="preserve">auto-pulled</w:t>
      </w:r>
      <w:r>
        <w:t xml:space="preserve"> </w:t>
      </w:r>
      <w:r>
        <w:rPr>
          <w:b/>
          <w:bCs/>
        </w:rPr>
        <w:t xml:space="preserve">daily</w:t>
      </w:r>
      <w:r>
        <w:t xml:space="preserve"> </w:t>
      </w:r>
      <w:r>
        <w:t xml:space="preserve">via vendor feed.</w:t>
      </w:r>
    </w:p>
    <w:p>
      <w:pPr>
        <w:pStyle w:val="Compact"/>
        <w:numPr>
          <w:ilvl w:val="0"/>
          <w:numId w:val="1095"/>
        </w:numPr>
      </w:pPr>
      <w:r>
        <w:t xml:space="preserve">Every feed passes an integrity check (checksum + record count) before use. If a feed fails →</w:t>
      </w:r>
      <w:r>
        <w:t xml:space="preserve"> </w:t>
      </w:r>
      <w:r>
        <w:t xml:space="preserve">alert Compliance within 1 h and</w:t>
      </w:r>
      <w:r>
        <w:t xml:space="preserve"> </w:t>
      </w:r>
      <w:r>
        <w:rPr>
          <w:b/>
          <w:bCs/>
        </w:rPr>
        <w:t xml:space="preserve">fail-closed</w:t>
      </w:r>
      <w:r>
        <w:t xml:space="preserve"> </w:t>
      </w:r>
      <w:r>
        <w:t xml:space="preserve">(see §7).</w:t>
      </w:r>
    </w:p>
    <w:p>
      <w:r>
        <w:pict>
          <v:rect style="width:0;height:1.5pt" o:hralign="center" o:hrstd="t" o:hr="t"/>
        </w:pict>
      </w:r>
    </w:p>
    <w:bookmarkEnd w:id="249"/>
    <w:bookmarkStart w:id="250" w:name="matching-methodology"/>
    <w:p>
      <w:pPr>
        <w:pStyle w:val="Heading2"/>
      </w:pPr>
      <w:r>
        <w:t xml:space="preserve">4. Matching Methodology</w:t>
      </w:r>
    </w:p>
    <w:p>
      <w:pPr>
        <w:pStyle w:val="Compact"/>
        <w:numPr>
          <w:ilvl w:val="0"/>
          <w:numId w:val="1096"/>
        </w:numPr>
      </w:pPr>
      <w:r>
        <w:rPr>
          <w:b/>
          <w:bCs/>
        </w:rPr>
        <w:t xml:space="preserve">Fuzzy / phonetic matching</w:t>
      </w:r>
      <w:r>
        <w:t xml:space="preserve"> </w:t>
      </w:r>
      <w:r>
        <w:t xml:space="preserve">handles spelling variants and Thai↔English transliteration</w:t>
      </w:r>
      <w:r>
        <w:t xml:space="preserve"> </w:t>
      </w:r>
      <w:r>
        <w:t xml:space="preserve">(Jaro-Winkler, Levenshtein, Soundex/Metaphone, Thai-to-Roman transliteration).</w:t>
      </w:r>
    </w:p>
    <w:p>
      <w:pPr>
        <w:pStyle w:val="Compact"/>
        <w:numPr>
          <w:ilvl w:val="0"/>
          <w:numId w:val="1096"/>
        </w:numPr>
      </w:pPr>
      <w:r>
        <w:t xml:space="preserve">Initial</w:t>
      </w:r>
      <w:r>
        <w:t xml:space="preserve"> </w:t>
      </w:r>
      <w:r>
        <w:rPr>
          <w:b/>
          <w:bCs/>
        </w:rPr>
        <w:t xml:space="preserve">match-score thresholds:</w:t>
      </w:r>
    </w:p>
    <w:tbl>
      <w:tblPr>
        <w:tblStyle w:val="Table"/>
        <w:tblW w:type="pct" w:w="5000"/>
        <w:tblLayout w:type="fixed"/>
        <w:tblLook w:firstRow="1" w:lastRow="0" w:firstColumn="0" w:lastColumn="0" w:noHBand="0" w:noVBand="0" w:val="0020"/>
      </w:tblPr>
      <w:tblGrid>
        <w:gridCol w:w="1788"/>
        <w:gridCol w:w="4087"/>
        <w:gridCol w:w="2043"/>
      </w:tblGrid>
      <w:tr>
        <w:trPr>
          <w:tblHeader w:val="on"/>
        </w:trPr>
        <w:tc>
          <w:tcPr/>
          <w:p>
            <w:pPr>
              <w:pStyle w:val="Compact"/>
            </w:pPr>
            <w:r>
              <w:t xml:space="preserve">Score</w:t>
            </w:r>
          </w:p>
        </w:tc>
        <w:tc>
          <w:tcPr/>
          <w:p>
            <w:pPr>
              <w:pStyle w:val="Compact"/>
            </w:pPr>
            <w:r>
              <w:t xml:space="preserve">Classification</w:t>
            </w:r>
          </w:p>
        </w:tc>
        <w:tc>
          <w:tcPr/>
          <w:p>
            <w:pPr>
              <w:pStyle w:val="Compact"/>
            </w:pPr>
            <w:r>
              <w:t xml:space="preserve">Action</w:t>
            </w:r>
          </w:p>
        </w:tc>
      </w:tr>
      <w:tr>
        <w:tc>
          <w:tcPr/>
          <w:p>
            <w:pPr>
              <w:pStyle w:val="Compact"/>
            </w:pPr>
            <w:r>
              <w:t xml:space="preserve">≥ 95%</w:t>
            </w:r>
          </w:p>
        </w:tc>
        <w:tc>
          <w:tcPr/>
          <w:p>
            <w:pPr>
              <w:pStyle w:val="Compact"/>
            </w:pPr>
            <w:r>
              <w:t xml:space="preserve">Strong / near-exact</w:t>
            </w:r>
          </w:p>
        </w:tc>
        <w:tc>
          <w:tcPr/>
          <w:p>
            <w:pPr>
              <w:pStyle w:val="Compact"/>
            </w:pPr>
            <w:r>
              <w:t xml:space="preserve">Immediate block → Confirmed, pending review (L1)</w:t>
            </w:r>
          </w:p>
        </w:tc>
      </w:tr>
      <w:tr>
        <w:tc>
          <w:tcPr/>
          <w:p>
            <w:pPr>
              <w:pStyle w:val="Compact"/>
            </w:pPr>
            <w:r>
              <w:t xml:space="preserve">85–94%</w:t>
            </w:r>
          </w:p>
        </w:tc>
        <w:tc>
          <w:tcPr/>
          <w:p>
            <w:pPr>
              <w:pStyle w:val="Compact"/>
            </w:pPr>
            <w:r>
              <w:t xml:space="preserve">Probable</w:t>
            </w:r>
          </w:p>
        </w:tc>
        <w:tc>
          <w:tcPr/>
          <w:p>
            <w:pPr>
              <w:pStyle w:val="Compact"/>
            </w:pPr>
            <w:r>
              <w:t xml:space="preserve">Hold → analyst review (L1) within SLA</w:t>
            </w:r>
          </w:p>
        </w:tc>
      </w:tr>
      <w:tr>
        <w:tc>
          <w:tcPr/>
          <w:p>
            <w:pPr>
              <w:pStyle w:val="Compact"/>
            </w:pPr>
            <w:r>
              <w:t xml:space="preserve">70–84%</w:t>
            </w:r>
          </w:p>
        </w:tc>
        <w:tc>
          <w:tcPr/>
          <w:p>
            <w:pPr>
              <w:pStyle w:val="Compact"/>
            </w:pPr>
            <w:r>
              <w:t xml:space="preserve">Possible</w:t>
            </w:r>
          </w:p>
        </w:tc>
        <w:tc>
          <w:tcPr/>
          <w:p>
            <w:pPr>
              <w:pStyle w:val="Compact"/>
            </w:pPr>
            <w:r>
              <w:t xml:space="preserve">Soft hold → review (L1)</w:t>
            </w:r>
          </w:p>
        </w:tc>
      </w:tr>
      <w:tr>
        <w:tc>
          <w:tcPr/>
          <w:p>
            <w:pPr>
              <w:pStyle w:val="Compact"/>
            </w:pPr>
            <w:r>
              <w:t xml:space="preserve">&lt; 70%</w:t>
            </w:r>
          </w:p>
        </w:tc>
        <w:tc>
          <w:tcPr/>
          <w:p>
            <w:pPr>
              <w:pStyle w:val="Compact"/>
            </w:pPr>
            <w:r>
              <w:t xml:space="preserve">Below threshold</w:t>
            </w:r>
          </w:p>
        </w:tc>
        <w:tc>
          <w:tcPr/>
          <w:p>
            <w:pPr>
              <w:pStyle w:val="Compact"/>
            </w:pPr>
            <w:r>
              <w:t xml:space="preserve">No alert, but logged</w:t>
            </w:r>
          </w:p>
        </w:tc>
      </w:tr>
      <w:tr>
        <w:tc>
          <w:tcPr/>
          <w:p>
            <w:pPr>
              <w:pStyle w:val="Compact"/>
            </w:pPr>
            <w:r>
              <w:t xml:space="preserve">Exact on UN/AMLO list</w:t>
            </w:r>
          </w:p>
        </w:tc>
        <w:tc>
          <w:tcPr/>
          <w:p>
            <w:pPr>
              <w:pStyle w:val="Compact"/>
            </w:pPr>
            <w:r>
              <w:t xml:space="preserve">Legal hit</w:t>
            </w:r>
          </w:p>
        </w:tc>
        <w:tc>
          <w:tcPr/>
          <w:p>
            <w:pPr>
              <w:pStyle w:val="Compact"/>
            </w:pPr>
            <w:r>
              <w:t xml:space="preserve">Block + freeze + report to AMLO (see §6)</w:t>
            </w:r>
          </w:p>
        </w:tc>
      </w:tr>
    </w:tbl>
    <w:p>
      <w:pPr>
        <w:pStyle w:val="Compact"/>
        <w:numPr>
          <w:ilvl w:val="0"/>
          <w:numId w:val="1097"/>
        </w:numPr>
      </w:pPr>
      <w:r>
        <w:t xml:space="preserve">Corroborating attributes: name + DOB + nationality + ID/registration number + address, to reduce</w:t>
      </w:r>
      <w:r>
        <w:t xml:space="preserve"> </w:t>
      </w:r>
      <w:r>
        <w:t xml:space="preserve">false positives.</w:t>
      </w:r>
    </w:p>
    <w:p>
      <w:pPr>
        <w:pStyle w:val="Compact"/>
        <w:numPr>
          <w:ilvl w:val="0"/>
          <w:numId w:val="1097"/>
        </w:numPr>
      </w:pPr>
      <w:r>
        <w:rPr>
          <w:b/>
          <w:bCs/>
        </w:rPr>
        <w:t xml:space="preserve">Threshold changes</w:t>
      </w:r>
      <w:r>
        <w:t xml:space="preserve"> </w:t>
      </w:r>
      <w:r>
        <w:t xml:space="preserve">require MLRO approval and a documented rationale (change log) — thresholds</w:t>
      </w:r>
      <w:r>
        <w:t xml:space="preserve"> </w:t>
      </w:r>
      <w:r>
        <w:t xml:space="preserve">must never be tuned to suppress legitimate alerts.</w:t>
      </w:r>
    </w:p>
    <w:p>
      <w:pPr>
        <w:pStyle w:val="Compact"/>
        <w:numPr>
          <w:ilvl w:val="0"/>
          <w:numId w:val="1097"/>
        </w:numPr>
      </w:pPr>
      <w:r>
        <w:rPr>
          <w:b/>
          <w:bCs/>
        </w:rPr>
        <w:t xml:space="preserve">OFAC 50% Rule / UN ownership:</w:t>
      </w:r>
      <w:r>
        <w:t xml:space="preserve"> </w:t>
      </w:r>
      <w:r>
        <w:t xml:space="preserve">entities owned ≥ 50% in aggregate by designated persons are</w:t>
      </w:r>
      <w:r>
        <w:t xml:space="preserve"> </w:t>
      </w:r>
      <w:r>
        <w:t xml:space="preserve">treated as designated as well.</w:t>
      </w:r>
    </w:p>
    <w:p>
      <w:r>
        <w:pict>
          <v:rect style="width:0;height:1.5pt" o:hralign="center" o:hrstd="t" o:hr="t"/>
        </w:pict>
      </w:r>
    </w:p>
    <w:bookmarkEnd w:id="250"/>
    <w:bookmarkStart w:id="251" w:name="match-handling"/>
    <w:p>
      <w:pPr>
        <w:pStyle w:val="Heading2"/>
      </w:pPr>
      <w:r>
        <w:t xml:space="preserve">5. Match Handling</w:t>
      </w:r>
    </w:p>
    <w:p>
      <w:pPr>
        <w:pStyle w:val="SourceCode"/>
      </w:pPr>
      <w:r>
        <w:rPr>
          <w:rStyle w:val="VerbatimChar"/>
        </w:rPr>
        <w:t xml:space="preserve">Alert raised (real-time / batch / delta)</w:t>
      </w:r>
      <w:r>
        <w:br/>
      </w:r>
      <w:r>
        <w:rPr>
          <w:rStyle w:val="VerbatimChar"/>
        </w:rPr>
        <w:t xml:space="preserve">        │</w:t>
      </w:r>
      <w:r>
        <w:br/>
      </w:r>
      <w:r>
        <w:rPr>
          <w:rStyle w:val="VerbatimChar"/>
        </w:rPr>
        <w:t xml:space="preserve">        ▼</w:t>
      </w:r>
      <w:r>
        <w:br/>
      </w:r>
      <w:r>
        <w:rPr>
          <w:rStyle w:val="VerbatimChar"/>
        </w:rPr>
        <w:t xml:space="preserve">  Auto-hold transaction/account (fail-closed) — no funds released / no activation</w:t>
      </w:r>
      <w:r>
        <w:br/>
      </w:r>
      <w:r>
        <w:rPr>
          <w:rStyle w:val="VerbatimChar"/>
        </w:rPr>
        <w:t xml:space="preserve">        │</w:t>
      </w:r>
      <w:r>
        <w:br/>
      </w:r>
      <w:r>
        <w:rPr>
          <w:rStyle w:val="VerbatimChar"/>
        </w:rPr>
        <w:t xml:space="preserve">        ▼</w:t>
      </w:r>
      <w:r>
        <w:br/>
      </w:r>
      <w:r>
        <w:rPr>
          <w:rStyle w:val="VerbatimChar"/>
        </w:rPr>
        <w:t xml:space="preserve">  L1 Analyst reviews within SLA ──► False positive? ──► Close alert + record rationale + release hold</w:t>
      </w:r>
      <w:r>
        <w:br/>
      </w:r>
      <w:r>
        <w:rPr>
          <w:rStyle w:val="VerbatimChar"/>
        </w:rPr>
        <w:t xml:space="preserve">        │                                                (whitelist has TTL, reviewed periodically)</w:t>
      </w:r>
      <w:r>
        <w:br/>
      </w:r>
      <w:r>
        <w:rPr>
          <w:rStyle w:val="VerbatimChar"/>
        </w:rPr>
        <w:t xml:space="preserve">        │ True / unclear</w:t>
      </w:r>
      <w:r>
        <w:br/>
      </w:r>
      <w:r>
        <w:rPr>
          <w:rStyle w:val="VerbatimChar"/>
        </w:rPr>
        <w:t xml:space="preserve">        ▼</w:t>
      </w:r>
      <w:r>
        <w:br/>
      </w:r>
      <w:r>
        <w:rPr>
          <w:rStyle w:val="VerbatimChar"/>
        </w:rPr>
        <w:t xml:space="preserve">  Escalate to L2 (Compliance/MLRO) ──► Confirmed hit?</w:t>
      </w:r>
      <w:r>
        <w:br/>
      </w:r>
      <w:r>
        <w:rPr>
          <w:rStyle w:val="VerbatimChar"/>
        </w:rPr>
        <w:t xml:space="preserve">        │                                    │ Yes (esp. UN/AMLO)</w:t>
      </w:r>
      <w:r>
        <w:br/>
      </w:r>
      <w:r>
        <w:rPr>
          <w:rStyle w:val="VerbatimChar"/>
        </w:rPr>
        <w:t xml:space="preserve">        │ No                                 ▼</w:t>
      </w:r>
      <w:r>
        <w:br/>
      </w:r>
      <w:r>
        <w:rPr>
          <w:rStyle w:val="VerbatimChar"/>
        </w:rPr>
        <w:t xml:space="preserve">        └─► Release hold             Freeze assets / terminate relationship</w:t>
      </w:r>
      <w:r>
        <w:br/>
      </w:r>
      <w:r>
        <w:rPr>
          <w:rStyle w:val="VerbatimChar"/>
        </w:rPr>
        <w:t xml:space="preserve">                                     + report to AMLO + notify ธปท./sponsor bank</w:t>
      </w:r>
    </w:p>
    <w:p>
      <w:pPr>
        <w:pStyle w:val="FirstParagraph"/>
      </w:pPr>
      <w:r>
        <w:rPr>
          <w:b/>
          <w:bCs/>
        </w:rPr>
        <w:t xml:space="preserve">Key principles:</w:t>
      </w:r>
    </w:p>
    <w:p>
      <w:pPr>
        <w:pStyle w:val="Compact"/>
        <w:numPr>
          <w:ilvl w:val="0"/>
          <w:numId w:val="1098"/>
        </w:numPr>
      </w:pPr>
      <w:r>
        <w:rPr>
          <w:b/>
          <w:bCs/>
        </w:rPr>
        <w:t xml:space="preserve">No tipping-off:</w:t>
      </w:r>
      <w:r>
        <w:t xml:space="preserve"> </w:t>
      </w:r>
      <w:r>
        <w:t xml:space="preserve">Under the AML Act, the customer must not be told they are being screened /</w:t>
      </w:r>
      <w:r>
        <w:t xml:space="preserve"> </w:t>
      </w:r>
      <w:r>
        <w:t xml:space="preserve">reported to AMLO. Communicate only via legally approved scripts.</w:t>
      </w:r>
    </w:p>
    <w:p>
      <w:pPr>
        <w:pStyle w:val="Compact"/>
        <w:numPr>
          <w:ilvl w:val="0"/>
          <w:numId w:val="1098"/>
        </w:numPr>
      </w:pPr>
      <w:r>
        <w:rPr>
          <w:b/>
          <w:bCs/>
        </w:rPr>
        <w:t xml:space="preserve">Fail-closed:</w:t>
      </w:r>
      <w:r>
        <w:t xml:space="preserve"> </w:t>
      </w:r>
      <w:r>
        <w:t xml:space="preserve">While pending, transactions stay in hold/</w:t>
      </w:r>
      <w:r>
        <w:rPr>
          <w:rStyle w:val="VerbatimChar"/>
        </w:rPr>
        <w:t xml:space="preserve">requires_action</w:t>
      </w:r>
      <w:r>
        <w:t xml:space="preserve">; no funds leave.</w:t>
      </w:r>
    </w:p>
    <w:p>
      <w:pPr>
        <w:pStyle w:val="Compact"/>
        <w:numPr>
          <w:ilvl w:val="0"/>
          <w:numId w:val="1098"/>
        </w:numPr>
      </w:pPr>
      <w:r>
        <w:rPr>
          <w:b/>
          <w:bCs/>
        </w:rPr>
        <w:t xml:space="preserve">Full evidence:</w:t>
      </w:r>
      <w:r>
        <w:t xml:space="preserve"> </w:t>
      </w:r>
      <w:r>
        <w:t xml:space="preserve">Every alert stores a snapshot of list version, match score, decision-maker,</w:t>
      </w:r>
      <w:r>
        <w:t xml:space="preserve"> </w:t>
      </w:r>
      <w:r>
        <w:t xml:space="preserve">rationale, and timestamp (immutable audit trail, retention ≥ 10 years per Thai AML requirements).</w:t>
      </w:r>
    </w:p>
    <w:p>
      <w:pPr>
        <w:pStyle w:val="Compact"/>
        <w:numPr>
          <w:ilvl w:val="0"/>
          <w:numId w:val="1098"/>
        </w:numPr>
      </w:pPr>
      <w:r>
        <w:rPr>
          <w:b/>
          <w:bCs/>
        </w:rPr>
        <w:t xml:space="preserve">A true match against UN/AMLO = immediate freeze and prompt reporting</w:t>
      </w:r>
      <w:r>
        <w:t xml:space="preserve"> </w:t>
      </w:r>
      <w:r>
        <w:t xml:space="preserve">(no discretion to pass).</w:t>
      </w:r>
    </w:p>
    <w:p>
      <w:r>
        <w:pict>
          <v:rect style="width:0;height:1.5pt" o:hralign="center" o:hrstd="t" o:hr="t"/>
        </w:pict>
      </w:r>
    </w:p>
    <w:bookmarkEnd w:id="251"/>
    <w:bookmarkStart w:id="252" w:name="escalation-reporting"/>
    <w:p>
      <w:pPr>
        <w:pStyle w:val="Heading2"/>
      </w:pPr>
      <w:r>
        <w:t xml:space="preserve">6. Escalation &amp; Reporting</w:t>
      </w:r>
    </w:p>
    <w:tbl>
      <w:tblPr>
        <w:tblStyle w:val="Table"/>
        <w:tblW w:type="pct" w:w="5000"/>
        <w:tblLayout w:type="fixed"/>
        <w:tblLook w:firstRow="1" w:lastRow="0" w:firstColumn="0" w:lastColumn="0" w:noHBand="0" w:noVBand="0" w:val="0020"/>
      </w:tblPr>
      <w:tblGrid>
        <w:gridCol w:w="1397"/>
        <w:gridCol w:w="1630"/>
        <w:gridCol w:w="3727"/>
        <w:gridCol w:w="1164"/>
      </w:tblGrid>
      <w:tr>
        <w:trPr>
          <w:tblHeader w:val="on"/>
        </w:trPr>
        <w:tc>
          <w:tcPr/>
          <w:p>
            <w:pPr>
              <w:pStyle w:val="Compact"/>
            </w:pPr>
            <w:r>
              <w:t xml:space="preserve">Tier</w:t>
            </w:r>
          </w:p>
        </w:tc>
        <w:tc>
          <w:tcPr/>
          <w:p>
            <w:pPr>
              <w:pStyle w:val="Compact"/>
            </w:pPr>
            <w:r>
              <w:t xml:space="preserve">Owner</w:t>
            </w:r>
          </w:p>
        </w:tc>
        <w:tc>
          <w:tcPr/>
          <w:p>
            <w:pPr>
              <w:pStyle w:val="Compact"/>
            </w:pPr>
            <w:r>
              <w:t xml:space="preserve">Responsibility</w:t>
            </w:r>
          </w:p>
        </w:tc>
        <w:tc>
          <w:tcPr/>
          <w:p>
            <w:pPr>
              <w:pStyle w:val="Compact"/>
            </w:pPr>
            <w:r>
              <w:t xml:space="preserve">SLA</w:t>
            </w:r>
          </w:p>
        </w:tc>
      </w:tr>
      <w:tr>
        <w:tc>
          <w:tcPr/>
          <w:p>
            <w:pPr>
              <w:pStyle w:val="Compact"/>
            </w:pPr>
            <w:r>
              <w:rPr>
                <w:b/>
                <w:bCs/>
              </w:rPr>
              <w:t xml:space="preserve">L1</w:t>
            </w:r>
          </w:p>
        </w:tc>
        <w:tc>
          <w:tcPr/>
          <w:p>
            <w:pPr>
              <w:pStyle w:val="Compact"/>
            </w:pPr>
            <w:r>
              <w:t xml:space="preserve">Sanctions/AML Analyst (Compliance Operations)</w:t>
            </w:r>
          </w:p>
        </w:tc>
        <w:tc>
          <w:tcPr/>
          <w:p>
            <w:pPr>
              <w:pStyle w:val="Compact"/>
            </w:pPr>
            <w:r>
              <w:t xml:space="preserve">Triage alerts, close false positives, escalate</w:t>
            </w:r>
          </w:p>
        </w:tc>
        <w:tc>
          <w:tcPr/>
          <w:p>
            <w:pPr>
              <w:pStyle w:val="Compact"/>
            </w:pPr>
            <w:r>
              <w:t xml:space="preserve">Begin review within</w:t>
            </w:r>
            <w:r>
              <w:t xml:space="preserve"> </w:t>
            </w:r>
            <w:r>
              <w:rPr>
                <w:b/>
                <w:bCs/>
              </w:rPr>
              <w:t xml:space="preserve">4 business hours</w:t>
            </w:r>
            <w:r>
              <w:t xml:space="preserve">; real-time hits within</w:t>
            </w:r>
            <w:r>
              <w:t xml:space="preserve"> </w:t>
            </w:r>
            <w:r>
              <w:rPr>
                <w:b/>
                <w:bCs/>
              </w:rPr>
              <w:t xml:space="preserve">1 hour</w:t>
            </w:r>
          </w:p>
        </w:tc>
      </w:tr>
      <w:tr>
        <w:tc>
          <w:tcPr/>
          <w:p>
            <w:pPr>
              <w:pStyle w:val="Compact"/>
            </w:pPr>
            <w:r>
              <w:rPr>
                <w:b/>
                <w:bCs/>
              </w:rPr>
              <w:t xml:space="preserve">L2</w:t>
            </w:r>
          </w:p>
        </w:tc>
        <w:tc>
          <w:tcPr/>
          <w:p>
            <w:pPr>
              <w:pStyle w:val="Compact"/>
            </w:pPr>
            <w:r>
              <w:t xml:space="preserve">Compliance Manager / MLRO</w:t>
            </w:r>
          </w:p>
        </w:tc>
        <w:tc>
          <w:tcPr/>
          <w:p>
            <w:pPr>
              <w:pStyle w:val="Compact"/>
            </w:pPr>
            <w:r>
              <w:t xml:space="preserve">Confirm true match, order freeze, approve hold release</w:t>
            </w:r>
          </w:p>
        </w:tc>
        <w:tc>
          <w:tcPr/>
          <w:p>
            <w:pPr>
              <w:pStyle w:val="Compact"/>
            </w:pPr>
            <w:r>
              <w:t xml:space="preserve">Within</w:t>
            </w:r>
            <w:r>
              <w:t xml:space="preserve"> </w:t>
            </w:r>
            <w:r>
              <w:rPr>
                <w:b/>
                <w:bCs/>
              </w:rPr>
              <w:t xml:space="preserve">24 hours</w:t>
            </w:r>
            <w:r>
              <w:t xml:space="preserve"> </w:t>
            </w:r>
            <w:r>
              <w:t xml:space="preserve">of receipt</w:t>
            </w:r>
          </w:p>
        </w:tc>
      </w:tr>
      <w:tr>
        <w:tc>
          <w:tcPr/>
          <w:p>
            <w:pPr>
              <w:pStyle w:val="Compact"/>
            </w:pPr>
            <w:r>
              <w:rPr>
                <w:b/>
                <w:bCs/>
              </w:rPr>
              <w:t xml:space="preserve">L3</w:t>
            </w:r>
          </w:p>
        </w:tc>
        <w:tc>
          <w:tcPr/>
          <w:p>
            <w:pPr>
              <w:pStyle w:val="Compact"/>
            </w:pPr>
            <w:r>
              <w:t xml:space="preserve">Chief Compliance Officer + legal counsel + Managing Director</w:t>
            </w:r>
          </w:p>
        </w:tc>
        <w:tc>
          <w:tcPr/>
          <w:p>
            <w:pPr>
              <w:pStyle w:val="Compact"/>
            </w:pPr>
            <w:r>
              <w:t xml:space="preserve">Complex cases, official reporting, ธปท./AMLO liaison</w:t>
            </w:r>
          </w:p>
        </w:tc>
        <w:tc>
          <w:tcPr/>
          <w:p>
            <w:pPr>
              <w:pStyle w:val="Compact"/>
            </w:pPr>
            <w:r>
              <w:t xml:space="preserve">Per statutory deadlines</w:t>
            </w:r>
          </w:p>
        </w:tc>
      </w:tr>
    </w:tbl>
    <w:p>
      <w:pPr>
        <w:pStyle w:val="BodyText"/>
      </w:pPr>
      <w:r>
        <w:rPr>
          <w:b/>
          <w:bCs/>
        </w:rPr>
        <w:t xml:space="preserve">Official reporting:</w:t>
      </w:r>
    </w:p>
    <w:p>
      <w:pPr>
        <w:pStyle w:val="Compact"/>
        <w:numPr>
          <w:ilvl w:val="0"/>
          <w:numId w:val="1099"/>
        </w:numPr>
      </w:pPr>
      <w:r>
        <w:rPr>
          <w:b/>
          <w:bCs/>
        </w:rPr>
        <w:t xml:space="preserve">True match (UN/AMLO/CTPF):</w:t>
      </w:r>
      <w:r>
        <w:t xml:space="preserve"> </w:t>
      </w:r>
      <w:r>
        <w:t xml:space="preserve">the MLRO</w:t>
      </w:r>
      <w:r>
        <w:t xml:space="preserve"> </w:t>
      </w:r>
      <w:r>
        <w:rPr>
          <w:b/>
          <w:bCs/>
        </w:rPr>
        <w:t xml:space="preserve">freezes assets immediately</w:t>
      </w:r>
      <w:r>
        <w:t xml:space="preserve"> </w:t>
      </w:r>
      <w:r>
        <w:t xml:space="preserve">and reports to AMLO in the</w:t>
      </w:r>
      <w:r>
        <w:t xml:space="preserve"> </w:t>
      </w:r>
      <w:r>
        <w:t xml:space="preserve">prescribed form and timeframe</w:t>
      </w:r>
      <w:r>
        <w:t xml:space="preserve"> </w:t>
      </w:r>
      <w:r>
        <w:rPr>
          <w:b/>
          <w:bCs/>
        </w:rPr>
        <w:t xml:space="preserve">without delay</w:t>
      </w:r>
      <w:r>
        <w:t xml:space="preserve">, plus files an</w:t>
      </w:r>
      <w:r>
        <w:t xml:space="preserve"> </w:t>
      </w:r>
      <w:r>
        <w:rPr>
          <w:b/>
          <w:bCs/>
        </w:rPr>
        <w:t xml:space="preserve">STR (Suspicious Transaction</w:t>
      </w:r>
      <w:r>
        <w:rPr>
          <w:b/>
          <w:bCs/>
        </w:rPr>
        <w:t xml:space="preserve"> </w:t>
      </w:r>
      <w:r>
        <w:rPr>
          <w:b/>
          <w:bCs/>
        </w:rPr>
        <w:t xml:space="preserve">Report)</w:t>
      </w:r>
      <w:r>
        <w:t xml:space="preserve"> </w:t>
      </w:r>
      <w:r>
        <w:t xml:space="preserve">where applicable.</w:t>
      </w:r>
    </w:p>
    <w:p>
      <w:pPr>
        <w:pStyle w:val="Compact"/>
        <w:numPr>
          <w:ilvl w:val="0"/>
          <w:numId w:val="1099"/>
        </w:numPr>
      </w:pPr>
      <w:r>
        <w:rPr>
          <w:b/>
          <w:bCs/>
        </w:rPr>
        <w:t xml:space="preserve">Notify ธปท.</w:t>
      </w:r>
      <w:r>
        <w:t xml:space="preserve"> </w:t>
      </w:r>
      <w:r>
        <w:t xml:space="preserve">under material-incident reporting rules where operations/reputation are affected</w:t>
      </w:r>
      <w:r>
        <w:t xml:space="preserve"> </w:t>
      </w:r>
      <w:r>
        <w:t xml:space="preserve">or reporting is otherwise required.</w:t>
      </w:r>
    </w:p>
    <w:p>
      <w:pPr>
        <w:pStyle w:val="Compact"/>
        <w:numPr>
          <w:ilvl w:val="0"/>
          <w:numId w:val="1099"/>
        </w:numPr>
      </w:pPr>
      <w:r>
        <w:rPr>
          <w:b/>
          <w:bCs/>
        </w:rPr>
        <w:t xml:space="preserve">Notify sponsor bank / card scheme</w:t>
      </w:r>
      <w:r>
        <w:t xml:space="preserve"> </w:t>
      </w:r>
      <w:r>
        <w:t xml:space="preserve">per contract (once signed).</w:t>
      </w:r>
    </w:p>
    <w:p>
      <w:pPr>
        <w:pStyle w:val="Compact"/>
        <w:numPr>
          <w:ilvl w:val="0"/>
          <w:numId w:val="1099"/>
        </w:numPr>
      </w:pPr>
      <w:r>
        <w:rPr>
          <w:b/>
          <w:bCs/>
        </w:rPr>
        <w:t xml:space="preserve">PDPA / PDPC:</w:t>
      </w:r>
      <w:r>
        <w:t xml:space="preserve"> </w:t>
      </w:r>
      <w:r>
        <w:t xml:space="preserve">personal-data processing for screening relies on the</w:t>
      </w:r>
      <w:r>
        <w:t xml:space="preserve"> </w:t>
      </w:r>
      <w:r>
        <w:t xml:space="preserve">“legal obligation”</w:t>
      </w:r>
      <w:r>
        <w:t xml:space="preserve"> </w:t>
      </w:r>
      <w:r>
        <w:t xml:space="preserve">lawful</w:t>
      </w:r>
      <w:r>
        <w:t xml:space="preserve"> </w:t>
      </w:r>
      <w:r>
        <w:t xml:space="preserve">basis — collect only what is necessary, restrict access via RBAC, and do not disclose screening/</w:t>
      </w:r>
      <w:r>
        <w:t xml:space="preserve"> </w:t>
      </w:r>
      <w:r>
        <w:t xml:space="preserve">reporting outcomes to the data subject (AML legal exemptions override data-subject access rights).</w:t>
      </w:r>
    </w:p>
    <w:p>
      <w:r>
        <w:pict>
          <v:rect style="width:0;height:1.5pt" o:hralign="center" o:hrstd="t" o:hr="t"/>
        </w:pict>
      </w:r>
    </w:p>
    <w:bookmarkEnd w:id="252"/>
    <w:bookmarkStart w:id="253" w:name="technical-controls-fail-closed"/>
    <w:p>
      <w:pPr>
        <w:pStyle w:val="Heading2"/>
      </w:pPr>
      <w:r>
        <w:t xml:space="preserve">7. Technical Controls &amp; Fail-Closed</w:t>
      </w:r>
    </w:p>
    <w:p>
      <w:pPr>
        <w:pStyle w:val="Compact"/>
        <w:numPr>
          <w:ilvl w:val="0"/>
          <w:numId w:val="1100"/>
        </w:numPr>
      </w:pPr>
      <w:r>
        <w:t xml:space="preserve">Screening runs as a dedicated service (</w:t>
      </w:r>
      <w:r>
        <w:rPr>
          <w:rStyle w:val="VerbatimChar"/>
        </w:rPr>
        <w:t xml:space="preserve">sanctions-screening</w:t>
      </w:r>
      <w:r>
        <w:t xml:space="preserve">) behind an interface — vendor-swappable</w:t>
      </w:r>
      <w:r>
        <w:t xml:space="preserve"> </w:t>
      </w:r>
      <w:r>
        <w:t xml:space="preserve">per Clean Architecture (consistent with</w:t>
      </w:r>
      <w:r>
        <w:t xml:space="preserve"> </w:t>
      </w:r>
      <w:r>
        <w:rPr>
          <w:rStyle w:val="VerbatimChar"/>
        </w:rPr>
        <w:t xml:space="preserve">ARCHITECTURE.md</w:t>
      </w:r>
      <w:r>
        <w:t xml:space="preserve"> </w:t>
      </w:r>
      <w:r>
        <w:t xml:space="preserve">§4).</w:t>
      </w:r>
    </w:p>
    <w:p>
      <w:pPr>
        <w:pStyle w:val="Compact"/>
        <w:numPr>
          <w:ilvl w:val="0"/>
          <w:numId w:val="1100"/>
        </w:numPr>
      </w:pPr>
      <w:r>
        <w:rPr>
          <w:b/>
          <w:bCs/>
        </w:rPr>
        <w:t xml:space="preserve">Fail-closed:</w:t>
      </w:r>
      <w:r>
        <w:t xml:space="preserve"> </w:t>
      </w:r>
      <w:r>
        <w:t xml:space="preserve">if the screening service/feed is unavailable, real-time transactions requiring</w:t>
      </w:r>
      <w:r>
        <w:t xml:space="preserve"> </w:t>
      </w:r>
      <w:r>
        <w:t xml:space="preserve">screening are held (never auto-approved); batch/payout pauses, with a Compliance alert within 1 h.</w:t>
      </w:r>
    </w:p>
    <w:p>
      <w:pPr>
        <w:pStyle w:val="Compact"/>
        <w:numPr>
          <w:ilvl w:val="0"/>
          <w:numId w:val="1100"/>
        </w:numPr>
      </w:pPr>
      <w:r>
        <w:rPr>
          <w:b/>
          <w:bCs/>
        </w:rPr>
        <w:t xml:space="preserve">Audit:</w:t>
      </w:r>
      <w:r>
        <w:t xml:space="preserve"> </w:t>
      </w:r>
      <w:r>
        <w:t xml:space="preserve">every decision is written to</w:t>
      </w:r>
      <w:r>
        <w:t xml:space="preserve"> </w:t>
      </w:r>
      <w:r>
        <w:rPr>
          <w:rStyle w:val="VerbatimChar"/>
        </w:rPr>
        <w:t xml:space="preserve">audit_log</w:t>
      </w:r>
      <w:r>
        <w:t xml:space="preserve"> </w:t>
      </w:r>
      <w:r>
        <w:t xml:space="preserve">(append-only), with no card data (PCI Req 10);</w:t>
      </w:r>
      <w:r>
        <w:t xml:space="preserve"> </w:t>
      </w:r>
      <w:r>
        <w:t xml:space="preserve">results accessed under least-privilege + MFA (PCI Req 7–8).</w:t>
      </w:r>
    </w:p>
    <w:p>
      <w:pPr>
        <w:pStyle w:val="Compact"/>
        <w:numPr>
          <w:ilvl w:val="0"/>
          <w:numId w:val="1100"/>
        </w:numPr>
      </w:pPr>
      <w:r>
        <w:rPr>
          <w:b/>
          <w:bCs/>
        </w:rPr>
        <w:t xml:space="preserve">Data residency:</w:t>
      </w:r>
      <w:r>
        <w:t xml:space="preserve"> </w:t>
      </w:r>
      <w:r>
        <w:t xml:space="preserve">customer/screening data stored in Thailand per ธปท./PDPA.</w:t>
      </w:r>
    </w:p>
    <w:p>
      <w:pPr>
        <w:pStyle w:val="Compact"/>
        <w:numPr>
          <w:ilvl w:val="0"/>
          <w:numId w:val="1100"/>
        </w:numPr>
      </w:pPr>
      <w:r>
        <w:rPr>
          <w:b/>
          <w:bCs/>
        </w:rPr>
        <w:t xml:space="preserve">Encryption:</w:t>
      </w:r>
      <w:r>
        <w:t xml:space="preserve"> </w:t>
      </w:r>
      <w:r>
        <w:t xml:space="preserve">identity data encrypted at rest (KMS/HSM) and in transit (TLS 1.2+/mTLS).</w:t>
      </w:r>
    </w:p>
    <w:p>
      <w:r>
        <w:pict>
          <v:rect style="width:0;height:1.5pt" o:hralign="center" o:hrstd="t" o:hr="t"/>
        </w:pict>
      </w:r>
    </w:p>
    <w:bookmarkEnd w:id="253"/>
    <w:bookmarkStart w:id="254" w:name="governance-assurance"/>
    <w:p>
      <w:pPr>
        <w:pStyle w:val="Heading2"/>
      </w:pPr>
      <w:r>
        <w:t xml:space="preserve">8. Governance &amp; Assurance</w:t>
      </w:r>
    </w:p>
    <w:tbl>
      <w:tblPr>
        <w:tblStyle w:val="Table"/>
        <w:tblW w:type="pct" w:w="5000"/>
        <w:tblLayout w:type="fixed"/>
        <w:tblLook w:firstRow="1" w:lastRow="0" w:firstColumn="0" w:lastColumn="0" w:noHBand="0" w:noVBand="0" w:val="0020"/>
      </w:tblPr>
      <w:tblGrid>
        <w:gridCol w:w="2828"/>
        <w:gridCol w:w="3111"/>
        <w:gridCol w:w="198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Owner</w:t>
            </w:r>
          </w:p>
        </w:tc>
      </w:tr>
      <w:tr>
        <w:tc>
          <w:tcPr/>
          <w:p>
            <w:pPr>
              <w:pStyle w:val="Compact"/>
            </w:pPr>
            <w:r>
              <w:t xml:space="preserve">Review this policy</w:t>
            </w:r>
          </w:p>
        </w:tc>
        <w:tc>
          <w:tcPr/>
          <w:p>
            <w:pPr>
              <w:pStyle w:val="Compact"/>
            </w:pPr>
            <w:r>
              <w:t xml:space="preserve">At least annually, or on legal change</w:t>
            </w:r>
          </w:p>
        </w:tc>
        <w:tc>
          <w:tcPr/>
          <w:p>
            <w:pPr>
              <w:pStyle w:val="Compact"/>
            </w:pPr>
            <w:r>
              <w:t xml:space="preserve">MLRO / CCO</w:t>
            </w:r>
          </w:p>
        </w:tc>
      </w:tr>
      <w:tr>
        <w:tc>
          <w:tcPr/>
          <w:p>
            <w:pPr>
              <w:pStyle w:val="Compact"/>
            </w:pPr>
            <w:r>
              <w:t xml:space="preserve">Model/threshold tuning &amp; false-positive review</w:t>
            </w:r>
          </w:p>
        </w:tc>
        <w:tc>
          <w:tcPr/>
          <w:p>
            <w:pPr>
              <w:pStyle w:val="Compact"/>
            </w:pPr>
            <w:r>
              <w:t xml:space="preserve">Quarterly</w:t>
            </w:r>
          </w:p>
        </w:tc>
        <w:tc>
          <w:tcPr/>
          <w:p>
            <w:pPr>
              <w:pStyle w:val="Compact"/>
            </w:pPr>
            <w:r>
              <w:t xml:space="preserve">Compliance Analytics</w:t>
            </w:r>
          </w:p>
        </w:tc>
      </w:tr>
      <w:tr>
        <w:tc>
          <w:tcPr/>
          <w:p>
            <w:pPr>
              <w:pStyle w:val="Compact"/>
            </w:pPr>
            <w:r>
              <w:t xml:space="preserve">System testing with synthetic names (positive/negative cases)</w:t>
            </w:r>
          </w:p>
        </w:tc>
        <w:tc>
          <w:tcPr/>
          <w:p>
            <w:pPr>
              <w:pStyle w:val="Compact"/>
            </w:pPr>
            <w:r>
              <w:t xml:space="preserve">Quarterly + after vendor/logic change</w:t>
            </w:r>
          </w:p>
        </w:tc>
        <w:tc>
          <w:tcPr/>
          <w:p>
            <w:pPr>
              <w:pStyle w:val="Compact"/>
            </w:pPr>
            <w:r>
              <w:t xml:space="preserve">QA + Compliance</w:t>
            </w:r>
          </w:p>
        </w:tc>
      </w:tr>
      <w:tr>
        <w:tc>
          <w:tcPr/>
          <w:p>
            <w:pPr>
              <w:pStyle w:val="Compact"/>
            </w:pPr>
            <w:r>
              <w:t xml:space="preserve">Independent audit (internal/external)</w:t>
            </w:r>
          </w:p>
        </w:tc>
        <w:tc>
          <w:tcPr/>
          <w:p>
            <w:pPr>
              <w:pStyle w:val="Compact"/>
            </w:pPr>
            <w:r>
              <w:t xml:space="preserve">Annually</w:t>
            </w:r>
          </w:p>
        </w:tc>
        <w:tc>
          <w:tcPr/>
          <w:p>
            <w:pPr>
              <w:pStyle w:val="Compact"/>
            </w:pPr>
            <w:r>
              <w:t xml:space="preserve">Internal Audit / QSA (PCI-relevant parts)</w:t>
            </w:r>
          </w:p>
        </w:tc>
      </w:tr>
      <w:tr>
        <w:tc>
          <w:tcPr/>
          <w:p>
            <w:pPr>
              <w:pStyle w:val="Compact"/>
            </w:pPr>
            <w:r>
              <w:t xml:space="preserve">AML/Sanctions staff training</w:t>
            </w:r>
          </w:p>
        </w:tc>
        <w:tc>
          <w:tcPr/>
          <w:p>
            <w:pPr>
              <w:pStyle w:val="Compact"/>
            </w:pPr>
            <w:r>
              <w:t xml:space="preserve">On hire + annual refresher</w:t>
            </w:r>
          </w:p>
        </w:tc>
        <w:tc>
          <w:tcPr/>
          <w:p>
            <w:pPr>
              <w:pStyle w:val="Compact"/>
            </w:pPr>
            <w:r>
              <w:t xml:space="preserve">Compliance</w:t>
            </w:r>
          </w:p>
        </w:tc>
      </w:tr>
    </w:tbl>
    <w:p>
      <w:r>
        <w:pict>
          <v:rect style="width:0;height:1.5pt" o:hralign="center" o:hrstd="t" o:hr="t"/>
        </w:pict>
      </w:r>
    </w:p>
    <w:bookmarkEnd w:id="254"/>
    <w:bookmarkStart w:id="255" w:name="related-documents"/>
    <w:p>
      <w:pPr>
        <w:pStyle w:val="Heading2"/>
      </w:pPr>
      <w:r>
        <w:t xml:space="preserve">Related documents</w:t>
      </w:r>
    </w:p>
    <w:p>
      <w:pPr>
        <w:pStyle w:val="Compact"/>
        <w:numPr>
          <w:ilvl w:val="0"/>
          <w:numId w:val="1101"/>
        </w:numPr>
      </w:pPr>
      <w:r>
        <w:rPr>
          <w:rStyle w:val="VerbatimChar"/>
        </w:rPr>
        <w:t xml:space="preserve">COMPLIANCE-TH.md</w:t>
      </w:r>
      <w:r>
        <w:t xml:space="preserve"> </w:t>
      </w:r>
      <w:r>
        <w:t xml:space="preserve">— Thai law, license categories, application process</w:t>
      </w:r>
    </w:p>
    <w:p>
      <w:pPr>
        <w:pStyle w:val="Compact"/>
        <w:numPr>
          <w:ilvl w:val="0"/>
          <w:numId w:val="1101"/>
        </w:numPr>
      </w:pPr>
      <w:r>
        <w:rPr>
          <w:rStyle w:val="VerbatimChar"/>
        </w:rPr>
        <w:t xml:space="preserve">ARCHITECTURE.md</w:t>
      </w:r>
      <w:r>
        <w:t xml:space="preserve"> </w:t>
      </w:r>
      <w:r>
        <w:t xml:space="preserve">— system architecture, PCI scope, data model</w:t>
      </w:r>
    </w:p>
    <w:p>
      <w:pPr>
        <w:pStyle w:val="Compact"/>
        <w:numPr>
          <w:ilvl w:val="0"/>
          <w:numId w:val="1101"/>
        </w:numPr>
      </w:pPr>
      <w:r>
        <w:rPr>
          <w:rStyle w:val="VerbatimChar"/>
        </w:rPr>
        <w:t xml:space="preserve">ROADMAP.md</w:t>
      </w:r>
      <w:r>
        <w:t xml:space="preserve"> </w:t>
      </w:r>
      <w:r>
        <w:t xml:space="preserve">— phases, timeline, cost estimates</w:t>
      </w:r>
    </w:p>
    <w:p>
      <w:r>
        <w:br w:type="page"/>
      </w:r>
    </w:p>
    <w:bookmarkEnd w:id="255"/>
    <w:bookmarkEnd w:id="256"/>
    <w:bookmarkStart w:id="265" w:name="ขนตอนการรายงานธรกรรมทนาสงสย-sarstr-ไทย"/>
    <w:p>
      <w:pPr>
        <w:pStyle w:val="Heading1"/>
      </w:pPr>
      <w:r>
        <w:t xml:space="preserve">ขั้นตอนการรายงานธุรกรรมที่น่าสงสัย (SAR/STR)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(Acquiring Service)</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ทุนจดทะเบียนชำระแล้ว</w:t>
      </w:r>
      <w:r>
        <w:t xml:space="preserve"> </w:t>
      </w:r>
      <w:r>
        <w:rPr>
          <w:b/>
          <w:bCs/>
        </w:rPr>
        <w:t xml:space="preserve">50 ล้านบาท</w:t>
      </w:r>
      <w:r>
        <w:t xml:space="preserve"> </w:t>
      </w:r>
      <w:r>
        <w:t xml:space="preserve">ควบคู่กับมาตรฐาน</w:t>
      </w:r>
      <w:r>
        <w:t xml:space="preserve"> </w:t>
      </w:r>
      <w:r>
        <w:rPr>
          <w:b/>
          <w:bCs/>
        </w:rPr>
        <w:t xml:space="preserve">PCI-DSS v4.0 Level 1</w:t>
      </w:r>
      <w:r>
        <w:t xml:space="preserve"> </w:t>
      </w:r>
      <w:r>
        <w:t xml:space="preserve">และภาระหน้าที่ตาม</w:t>
      </w:r>
      <w:r>
        <w:t xml:space="preserve"> </w:t>
      </w:r>
      <w:r>
        <w:rPr>
          <w:b/>
          <w:bCs/>
        </w:rPr>
        <w:t xml:space="preserve">พ.ร.บ. ป้องกันและปราบปรามการฟอกเงิน พ.ศ. 2542</w:t>
      </w:r>
      <w:r>
        <w:t xml:space="preserve"> </w:t>
      </w:r>
      <w:r>
        <w:t xml:space="preserve">(และที่แก้ไขเพิ่มเติม) กำกับโดย</w:t>
      </w:r>
      <w:r>
        <w:t xml:space="preserve"> </w:t>
      </w:r>
      <w:r>
        <w:rPr>
          <w:b/>
          <w:bCs/>
        </w:rPr>
        <w:t xml:space="preserve">สำนักงาน ปปง. (AMLO / Thai FIU)</w:t>
      </w:r>
    </w:p>
    <w:p>
      <w:pPr>
        <w:pStyle w:val="BlockText"/>
      </w:pPr>
      <w:r>
        <w:t xml:space="preserve">รหัสเอกสาร:</w:t>
      </w:r>
      <w:r>
        <w:t xml:space="preserve"> </w:t>
      </w:r>
      <w:r>
        <w:rPr>
          <w:rStyle w:val="VerbatimChar"/>
        </w:rPr>
        <w:t xml:space="preserve">COMP-07</w:t>
      </w:r>
      <w:r>
        <w:t xml:space="preserve"> </w:t>
      </w:r>
      <w:r>
        <w:t xml:space="preserve">· เวอร์ชัน 0.1 · เจ้าของเอกสาร: Money Laundering Reporting Officer (MLRO) / Chief Compliance Officer (CCO)</w:t>
      </w:r>
      <w:r>
        <w:t xml:space="preserve"> </w:t>
      </w:r>
      <w:r>
        <w:t xml:space="preserve">เอกสารที่เกี่ยวข้อง: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./04-org-chart-governance.md</w:t>
      </w:r>
    </w:p>
    <w:p>
      <w:pPr>
        <w:pStyle w:val="BlockText"/>
      </w:pPr>
      <w:r>
        <w:rPr>
          <w:b/>
          <w:bCs/>
        </w:rPr>
        <w:t xml:space="preserve">ข้อจำกัดความรับผิด:</w:t>
      </w:r>
      <w:r>
        <w:t xml:space="preserve"> </w:t>
      </w:r>
      <w:r>
        <w:t xml:space="preserve">เอกสารนี้เป็นข้อมูลอ้างอิงเชิงโครงสร้าง ไม่ใช่คำแนะนำทางกฎหมาย</w:t>
      </w:r>
      <w:r>
        <w:t xml:space="preserve"> </w:t>
      </w:r>
      <w:r>
        <w:t xml:space="preserve">ต้องผ่านการทบทวนโดยที่ปรึกษากฎหมายด้าน AML และด้านใบอนุญาต ธปท. ก่อนยื่นจริง</w:t>
      </w:r>
    </w:p>
    <w:p>
      <w:r>
        <w:pict>
          <v:rect style="width:0;height:1.5pt" o:hralign="center" o:hrstd="t" o:hr="t"/>
        </w:pict>
      </w:r>
    </w:p>
    <w:p>
      <w:pPr>
        <w:pStyle w:val="BlockText"/>
      </w:pPr>
      <w:r>
        <w:t xml:space="preserve">[!IMPORTANT]</w:t>
      </w:r>
      <w:r>
        <w:t xml:space="preserve"> </w:t>
      </w:r>
      <w:r>
        <w:rPr>
          <w:b/>
          <w:bCs/>
        </w:rPr>
        <w:t xml:space="preserve">สมมติฐานและรายการที่ยังไม่สรุป (Assumptions / TODO)</w:t>
      </w:r>
      <w:r>
        <w:t xml:space="preserve"> </w:t>
      </w:r>
      <w:r>
        <w:t xml:space="preserve">— ต้องเติมค่าจริงก่อนยื่น ธปท./ปปง.</w:t>
      </w:r>
    </w:p>
    <w:tbl>
      <w:tblPr>
        <w:tblStyle w:val="Table"/>
        <w:tblW w:type="pct" w:w="5000"/>
        <w:tblLayout w:type="fixed"/>
        <w:tblLook w:firstRow="1" w:lastRow="0" w:firstColumn="0" w:lastColumn="0" w:noHBand="0" w:noVBand="0" w:val="0020"/>
      </w:tblPr>
      <w:tblGrid>
        <w:gridCol w:w="766"/>
        <w:gridCol w:w="2043"/>
        <w:gridCol w:w="1788"/>
        <w:gridCol w:w="3321"/>
      </w:tblGrid>
      <w:tr>
        <w:trPr>
          <w:tblHeader w:val="on"/>
        </w:trPr>
        <w:tc>
          <w:tcPr/>
          <w:p>
            <w:pPr>
              <w:pStyle w:val="Compact"/>
            </w:pPr>
            <w:r>
              <w:t xml:space="preserve">#</w:t>
            </w:r>
          </w:p>
        </w:tc>
        <w:tc>
          <w:tcPr/>
          <w:p>
            <w:pPr>
              <w:pStyle w:val="Compact"/>
            </w:pPr>
            <w:r>
              <w:t xml:space="preserve">รายการ</w:t>
            </w:r>
          </w:p>
        </w:tc>
        <w:tc>
          <w:tcPr/>
          <w:p>
            <w:pPr>
              <w:pStyle w:val="Compact"/>
            </w:pPr>
            <w:r>
              <w:t xml:space="preserve">สถานะ</w:t>
            </w:r>
          </w:p>
        </w:tc>
        <w:tc>
          <w:tcPr/>
          <w:p>
            <w:pPr>
              <w:pStyle w:val="Compact"/>
            </w:pPr>
            <w:r>
              <w:t xml:space="preserve">ผู้รับผิดชอบ</w:t>
            </w:r>
          </w:p>
        </w:tc>
      </w:tr>
      <w:tr>
        <w:tc>
          <w:tcPr/>
          <w:p>
            <w:pPr>
              <w:pStyle w:val="Compact"/>
            </w:pPr>
            <w:r>
              <w:t xml:space="preserve">A1</w:t>
            </w:r>
          </w:p>
        </w:tc>
        <w:tc>
          <w:tcPr/>
          <w:p>
            <w:pPr>
              <w:pStyle w:val="Compact"/>
            </w:pPr>
            <w:r>
              <w:rPr>
                <w:b/>
                <w:bCs/>
              </w:rPr>
              <w:t xml:space="preserve">ชื่อบริษัทจริง</w:t>
            </w:r>
            <w:r>
              <w:t xml:space="preserve"> </w:t>
            </w:r>
            <w:r>
              <w:t xml:space="preserve">— ใช้ placeholder</w:t>
            </w:r>
            <w:r>
              <w:t xml:space="preserve"> </w:t>
            </w:r>
            <w:r>
              <w:rPr>
                <w:rStyle w:val="VerbatimChar"/>
              </w:rPr>
              <w:t xml:space="preserve">[บริษัท / Company]</w:t>
            </w:r>
            <w:r>
              <w:t xml:space="preserve"> </w:t>
            </w:r>
            <w:r>
              <w:t xml:space="preserve">ทั้งเอกสาร</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เลขทะเบียนผู้มีหน้าที่รายงานต่อ ปปง.</w:t>
            </w:r>
            <w:r>
              <w:t xml:space="preserve"> </w:t>
            </w:r>
            <w:r>
              <w:t xml:space="preserve">และการลงทะเบียนระบบ</w:t>
            </w:r>
            <w:r>
              <w:t xml:space="preserve"> </w:t>
            </w:r>
            <w:r>
              <w:rPr>
                <w:b/>
                <w:bCs/>
              </w:rPr>
              <w:t xml:space="preserve">AERB / e-Filing</w:t>
            </w:r>
            <w:r>
              <w:t xml:space="preserve"> </w:t>
            </w:r>
            <w:r>
              <w:t xml:space="preserve">ของ ปปง.</w:t>
            </w:r>
          </w:p>
        </w:tc>
        <w:tc>
          <w:tcPr/>
          <w:p>
            <w:pPr>
              <w:pStyle w:val="Compact"/>
            </w:pPr>
            <w:r>
              <w:t xml:space="preserve">ยังไม่สรุป</w:t>
            </w:r>
          </w:p>
        </w:tc>
        <w:tc>
          <w:tcPr/>
          <w:p>
            <w:pPr>
              <w:pStyle w:val="Compact"/>
            </w:pPr>
            <w:r>
              <w:t xml:space="preserve">MLRO</w:t>
            </w:r>
          </w:p>
        </w:tc>
      </w:tr>
      <w:tr>
        <w:tc>
          <w:tcPr/>
          <w:p>
            <w:pPr>
              <w:pStyle w:val="Compact"/>
            </w:pPr>
            <w:r>
              <w:t xml:space="preserve">A3</w:t>
            </w:r>
          </w:p>
        </w:tc>
        <w:tc>
          <w:tcPr/>
          <w:p>
            <w:pPr>
              <w:pStyle w:val="Compact"/>
            </w:pPr>
            <w:r>
              <w:rPr>
                <w:b/>
                <w:bCs/>
              </w:rPr>
              <w:t xml:space="preserve">รายชื่อ + คำสั่งแต่งตั้ง MLRO และ Deputy MLRO อย่างเป็นทางการ</w:t>
            </w:r>
            <w:r>
              <w:t xml:space="preserve"> </w:t>
            </w:r>
            <w:r>
              <w:t xml:space="preserve">(แจ้งชื่อต่อ ปปง.)</w:t>
            </w:r>
          </w:p>
        </w:tc>
        <w:tc>
          <w:tcPr/>
          <w:p>
            <w:pPr>
              <w:pStyle w:val="Compact"/>
            </w:pPr>
            <w:r>
              <w:t xml:space="preserve">TODO</w:t>
            </w:r>
          </w:p>
        </w:tc>
        <w:tc>
          <w:tcPr/>
          <w:p>
            <w:pPr>
              <w:pStyle w:val="Compact"/>
            </w:pPr>
            <w:r>
              <w:t xml:space="preserve">CCO / Board</w:t>
            </w:r>
          </w:p>
        </w:tc>
      </w:tr>
      <w:tr>
        <w:tc>
          <w:tcPr/>
          <w:p>
            <w:pPr>
              <w:pStyle w:val="Compact"/>
            </w:pPr>
            <w:r>
              <w:t xml:space="preserve">A4</w:t>
            </w:r>
          </w:p>
        </w:tc>
        <w:tc>
          <w:tcPr/>
          <w:p>
            <w:pPr>
              <w:pStyle w:val="Compact"/>
            </w:pPr>
            <w:r>
              <w:rPr>
                <w:b/>
                <w:bCs/>
              </w:rPr>
              <w:t xml:space="preserve">Sponsor bank / Acquiring bank</w:t>
            </w:r>
            <w:r>
              <w:t xml:space="preserve"> </w:t>
            </w:r>
            <w:r>
              <w:t xml:space="preserve">— ยังไม่ลงนาม (เส้นทาง B ตาม ROADMAP) มีผลต่อ layered reporting และ information sharing</w:t>
            </w:r>
          </w:p>
        </w:tc>
        <w:tc>
          <w:tcPr/>
          <w:p>
            <w:pPr>
              <w:pStyle w:val="Compact"/>
            </w:pPr>
            <w:r>
              <w:t xml:space="preserve">ยังไม่สรุป</w:t>
            </w:r>
          </w:p>
        </w:tc>
        <w:tc>
          <w:tcPr/>
          <w:p>
            <w:pPr>
              <w:pStyle w:val="Compact"/>
            </w:pPr>
            <w:r>
              <w:t xml:space="preserve">CEO / Head of Partnerships</w:t>
            </w:r>
          </w:p>
        </w:tc>
      </w:tr>
      <w:tr>
        <w:tc>
          <w:tcPr/>
          <w:p>
            <w:pPr>
              <w:pStyle w:val="Compact"/>
            </w:pPr>
            <w:r>
              <w:t xml:space="preserve">A5</w:t>
            </w:r>
          </w:p>
        </w:tc>
        <w:tc>
          <w:tcPr/>
          <w:p>
            <w:pPr>
              <w:pStyle w:val="Compact"/>
            </w:pPr>
            <w:r>
              <w:rPr>
                <w:b/>
                <w:bCs/>
              </w:rPr>
              <w:t xml:space="preserve">ผู้ให้บริการ Sanction/PEP/Adverse-media screening</w:t>
            </w:r>
            <w:r>
              <w:t xml:space="preserve"> </w:t>
            </w:r>
            <w:r>
              <w:t xml:space="preserve">(เช่น Dow Jones, LexisNexis, ComplyAdvantage) — ยังไม่คัดเลือก</w:t>
            </w:r>
          </w:p>
        </w:tc>
        <w:tc>
          <w:tcPr/>
          <w:p>
            <w:pPr>
              <w:pStyle w:val="Compact"/>
            </w:pPr>
            <w:r>
              <w:t xml:space="preserve">ยังไม่สรุป</w:t>
            </w:r>
          </w:p>
        </w:tc>
        <w:tc>
          <w:tcPr/>
          <w:p>
            <w:pPr>
              <w:pStyle w:val="Compact"/>
            </w:pPr>
            <w:r>
              <w:t xml:space="preserve">MLRO / CISO</w:t>
            </w:r>
          </w:p>
        </w:tc>
      </w:tr>
      <w:tr>
        <w:tc>
          <w:tcPr/>
          <w:p>
            <w:pPr>
              <w:pStyle w:val="Compact"/>
            </w:pPr>
            <w:r>
              <w:t xml:space="preserve">A6</w:t>
            </w:r>
          </w:p>
        </w:tc>
        <w:tc>
          <w:tcPr/>
          <w:p>
            <w:pPr>
              <w:pStyle w:val="Compact"/>
            </w:pPr>
            <w:r>
              <w:rPr>
                <w:b/>
                <w:bCs/>
              </w:rPr>
              <w:t xml:space="preserve">เกณฑ์มูลค่าธุรกรรมเงินสด/โอน ตามกฎกระทรวง</w:t>
            </w:r>
            <w:r>
              <w:t xml:space="preserve"> </w:t>
            </w:r>
            <w:r>
              <w:t xml:space="preserve">— ต้องยืนยันตัวเลขล่าสุด ณ วันยื่น (ดูข้อ 3)</w:t>
            </w:r>
          </w:p>
        </w:tc>
        <w:tc>
          <w:tcPr/>
          <w:p>
            <w:pPr>
              <w:pStyle w:val="Compact"/>
            </w:pPr>
            <w:r>
              <w:t xml:space="preserve">TODO</w:t>
            </w:r>
          </w:p>
        </w:tc>
        <w:tc>
          <w:tcPr/>
          <w:p>
            <w:pPr>
              <w:pStyle w:val="Compact"/>
            </w:pPr>
            <w:r>
              <w:t xml:space="preserve">MLRO / ที่ปรึกษากฎหมาย AML</w:t>
            </w:r>
          </w:p>
        </w:tc>
      </w:tr>
      <w:tr>
        <w:tc>
          <w:tcPr/>
          <w:p>
            <w:pPr>
              <w:pStyle w:val="Compact"/>
            </w:pPr>
            <w:r>
              <w:t xml:space="preserve">A7</w:t>
            </w:r>
          </w:p>
        </w:tc>
        <w:tc>
          <w:tcPr/>
          <w:p>
            <w:pPr>
              <w:pStyle w:val="Compact"/>
            </w:pPr>
            <w:r>
              <w:rPr>
                <w:b/>
                <w:bCs/>
              </w:rPr>
              <w:t xml:space="preserve">แบบรายงานทางการของ ปปง.</w:t>
            </w:r>
            <w:r>
              <w:t xml:space="preserve"> </w:t>
            </w:r>
            <w:r>
              <w:t xml:space="preserve">(ปปง. 1-01 / 1-02 / 1-03 หรือฉบับล่าสุด) — ยืนยันเวอร์ชันแบบฟอร์มปัจจุบัน</w:t>
            </w:r>
          </w:p>
        </w:tc>
        <w:tc>
          <w:tcPr/>
          <w:p>
            <w:pPr>
              <w:pStyle w:val="Compact"/>
            </w:pPr>
            <w:r>
              <w:t xml:space="preserve">TODO</w:t>
            </w:r>
          </w:p>
        </w:tc>
        <w:tc>
          <w:tcPr/>
          <w:p>
            <w:pPr>
              <w:pStyle w:val="Compact"/>
            </w:pPr>
            <w:r>
              <w:t xml:space="preserve">MLRO</w:t>
            </w:r>
          </w:p>
        </w:tc>
      </w:tr>
      <w:tr>
        <w:tc>
          <w:tcPr/>
          <w:p>
            <w:pPr>
              <w:pStyle w:val="Compact"/>
            </w:pPr>
            <w:r>
              <w:t xml:space="preserve">A8</w:t>
            </w:r>
          </w:p>
        </w:tc>
        <w:tc>
          <w:tcPr/>
          <w:p>
            <w:pPr>
              <w:pStyle w:val="Compact"/>
            </w:pPr>
            <w:r>
              <w:rPr>
                <w:b/>
                <w:bCs/>
              </w:rPr>
              <w:t xml:space="preserve">ช่องทางยื่นจริง</w:t>
            </w:r>
            <w:r>
              <w:t xml:space="preserve"> </w:t>
            </w:r>
            <w:r>
              <w:t xml:space="preserve">(ระบบอิเล็กทรอนิกส์ ปปง. vs. เอกสารกระดาษ) และใบรับรองดิจิทัลที่ใช้</w:t>
            </w:r>
          </w:p>
        </w:tc>
        <w:tc>
          <w:tcPr/>
          <w:p>
            <w:pPr>
              <w:pStyle w:val="Compact"/>
            </w:pPr>
            <w:r>
              <w:t xml:space="preserve">ยังไม่สรุป</w:t>
            </w:r>
          </w:p>
        </w:tc>
        <w:tc>
          <w:tcPr/>
          <w:p>
            <w:pPr>
              <w:pStyle w:val="Compact"/>
            </w:pPr>
            <w:r>
              <w:t xml:space="preserve">MLRO / IT</w:t>
            </w:r>
          </w:p>
        </w:tc>
      </w:tr>
    </w:tbl>
    <w:p>
      <w:pPr>
        <w:pStyle w:val="BlockText"/>
      </w:pPr>
      <w:r>
        <w:t xml:space="preserve">ห้ามกรอกตัวเลข/ชื่อ/เลขทะเบียนสมมติในช่องข้างต้นลงในเอกสารที่ยื่นจริง — ต้องเป็นข้อมูลที่ยืนยันได้เท่านั้น</w:t>
      </w:r>
      <w:r>
        <w:t xml:space="preserve"> </w:t>
      </w:r>
      <w:r>
        <w:t xml:space="preserve">ตัวเลขเกณฑ์ (threshold) ในเอกสารนี้อ้างอิงกฎหมายที่บังคับใช้ทั่วไป</w:t>
      </w:r>
      <w:r>
        <w:t xml:space="preserve"> </w:t>
      </w:r>
      <w:r>
        <w:rPr>
          <w:b/>
          <w:bCs/>
        </w:rPr>
        <w:t xml:space="preserve">ต้องตรวจสอบกับกฎกระทรวงฉบับล่าสุดก่อนยื่น</w:t>
      </w:r>
    </w:p>
    <w:p>
      <w:r>
        <w:pict>
          <v:rect style="width:0;height:1.5pt" o:hralign="center" o:hrstd="t" o:hr="t"/>
        </w:pict>
      </w:r>
    </w:p>
    <w:bookmarkStart w:id="257" w:name="วตถประสงคและขอบเขต-purpose-scope"/>
    <w:p>
      <w:pPr>
        <w:pStyle w:val="Heading2"/>
      </w:pPr>
      <w:r>
        <w:t xml:space="preserve">1. วัตถุประสงค์และขอบเขต (Purpose &amp; Scope)</w:t>
      </w:r>
    </w:p>
    <w:p>
      <w:pPr>
        <w:pStyle w:val="FirstParagraph"/>
      </w:pPr>
      <w:r>
        <w:t xml:space="preserve">เอกสารนี้กำหนด</w:t>
      </w:r>
      <w:r>
        <w:t xml:space="preserve"> </w:t>
      </w:r>
      <w:r>
        <w:rPr>
          <w:b/>
          <w:bCs/>
        </w:rPr>
        <w:t xml:space="preserve">นโยบายและขั้นตอนปฏิบัติงาน (policy &amp; SOP)</w:t>
      </w:r>
      <w:r>
        <w:t xml:space="preserve"> </w:t>
      </w:r>
      <w:r>
        <w:t xml:space="preserve">สำหรับการตรวจจับ วิเคราะห์ ยกระดับ และรายงาน</w:t>
      </w:r>
      <w:r>
        <w:t xml:space="preserve"> </w:t>
      </w:r>
      <w:r>
        <w:rPr>
          <w:b/>
          <w:bCs/>
        </w:rPr>
        <w:t xml:space="preserve">ธุรกรรมที่มีเหตุอันควรสงสัย (Suspicious Transaction Report — STR)</w:t>
      </w:r>
      <w:r>
        <w:t xml:space="preserve"> </w:t>
      </w:r>
      <w:r>
        <w:t xml:space="preserve">และ</w:t>
      </w:r>
      <w:r>
        <w:t xml:space="preserve"> </w:t>
      </w:r>
      <w:r>
        <w:rPr>
          <w:b/>
          <w:bCs/>
        </w:rPr>
        <w:t xml:space="preserve">ธุรกรรมที่มีมูลค่าตามเกณฑ์ (Cash/Threshold Transaction Report — CTR/TTR)</w:t>
      </w:r>
      <w:r>
        <w:t xml:space="preserve"> </w:t>
      </w:r>
      <w:r>
        <w:t xml:space="preserve">ต่อ</w:t>
      </w:r>
      <w:r>
        <w:t xml:space="preserve"> </w:t>
      </w:r>
      <w:r>
        <w:rPr>
          <w:b/>
          <w:bCs/>
        </w:rPr>
        <w:t xml:space="preserve">สำนักงาน ปปง. (AMLO)</w:t>
      </w:r>
      <w:r>
        <w:t xml:space="preserve"> </w:t>
      </w:r>
      <w:r>
        <w:t xml:space="preserve">ซึ่งทำหน้าที่เป็น</w:t>
      </w:r>
      <w:r>
        <w:t xml:space="preserve"> </w:t>
      </w:r>
      <w:r>
        <w:rPr>
          <w:b/>
          <w:bCs/>
        </w:rPr>
        <w:t xml:space="preserve">หน่วยข่าวกรองทางการเงินของประเทศไทย (Thai Financial Intelligence Unit — FIU)</w:t>
      </w:r>
    </w:p>
    <w:p>
      <w:pPr>
        <w:pStyle w:val="BodyText"/>
      </w:pPr>
      <w:r>
        <w:rPr>
          <w:b/>
          <w:bCs/>
        </w:rPr>
        <w:t xml:space="preserve">ขอบเขตการบังคับใช้:</w:t>
      </w:r>
      <w:r>
        <w:t xml:space="preserve"> </w:t>
      </w:r>
      <w:r>
        <w:t xml:space="preserve">ใช้กับทุกหน่วยงานของ [บริษัท / Company] ที่เกี่ยวข้องกับการรับสมัครร้านค้า (merchant onboarding), การประมวลผลธุรกรรมบัตร/QR, การกระทบยอดและ settlement, การจ่ายเงินให้ร้านค้า (payout) และการจัดการข้อพิพาท/chargeback รวมถึงพนักงาน ผู้บริหาร กรรมการ และผู้ให้บริการภายนอก (outsourced) ที่เข้าถึงข้อมูลธุรกรรม</w:t>
      </w:r>
    </w:p>
    <w:p>
      <w:pPr>
        <w:pStyle w:val="BodyText"/>
      </w:pPr>
      <w:r>
        <w:rPr>
          <w:b/>
          <w:bCs/>
        </w:rPr>
        <w:t xml:space="preserve">ความสัมพันธ์กับสถาปัตยกรรมระบบ:</w:t>
      </w:r>
      <w:r>
        <w:t xml:space="preserve"> </w:t>
      </w:r>
      <w:r>
        <w:t xml:space="preserve">สัญญาณตรวจจับดึงจากตาราง</w:t>
      </w:r>
      <w:r>
        <w:t xml:space="preserve"> </w:t>
      </w:r>
      <w:r>
        <w:rPr>
          <w:rStyle w:val="VerbatimChar"/>
        </w:rPr>
        <w:t xml:space="preserve">payments</w:t>
      </w:r>
      <w:r>
        <w:t xml:space="preserve">,</w:t>
      </w:r>
      <w:r>
        <w:t xml:space="preserve"> </w:t>
      </w:r>
      <w:r>
        <w:rPr>
          <w:rStyle w:val="VerbatimChar"/>
        </w:rPr>
        <w:t xml:space="preserve">ledger_entries</w:t>
      </w:r>
      <w:r>
        <w:t xml:space="preserve">,</w:t>
      </w:r>
      <w:r>
        <w:t xml:space="preserve"> </w:t>
      </w:r>
      <w:r>
        <w:rPr>
          <w:rStyle w:val="VerbatimChar"/>
        </w:rPr>
        <w:t xml:space="preserve">refunds</w:t>
      </w:r>
      <w:r>
        <w:t xml:space="preserve">,</w:t>
      </w:r>
      <w:r>
        <w:t xml:space="preserve"> </w:t>
      </w:r>
      <w:r>
        <w:rPr>
          <w:rStyle w:val="VerbatimChar"/>
        </w:rPr>
        <w:t xml:space="preserve">webhook_events</w:t>
      </w:r>
      <w:r>
        <w:t xml:space="preserve">,</w:t>
      </w:r>
      <w:r>
        <w:t xml:space="preserve"> </w:t>
      </w:r>
      <w:r>
        <w:rPr>
          <w:rStyle w:val="VerbatimChar"/>
        </w:rPr>
        <w:t xml:space="preserve">merchants</w:t>
      </w:r>
      <w:r>
        <w:t xml:space="preserve"> </w:t>
      </w:r>
      <w:r>
        <w:t xml:space="preserve">และ</w:t>
      </w:r>
      <w:r>
        <w:t xml:space="preserve"> </w:t>
      </w:r>
      <w:r>
        <w:rPr>
          <w:rStyle w:val="VerbatimChar"/>
        </w:rPr>
        <w:t xml:space="preserve">audit_log</w:t>
      </w:r>
      <w:r>
        <w:t xml:space="preserve"> </w:t>
      </w:r>
      <w:r>
        <w:t xml:space="preserve">ตาม</w:t>
      </w:r>
      <w:r>
        <w:t xml:space="preserve"> </w:t>
      </w:r>
      <w:r>
        <w:rPr>
          <w:rStyle w:val="VerbatimChar"/>
        </w:rPr>
        <w:t xml:space="preserve">ARCHITECTURE.md</w:t>
      </w:r>
      <w:r>
        <w:t xml:space="preserve"> </w:t>
      </w:r>
      <w:r>
        <w:t xml:space="preserve">โดยเครื่องมือ Risk/Fraud Engine ทำ velocity/anomaly scoring เป็นชั้นแรก ทั้งนี้</w:t>
      </w:r>
      <w:r>
        <w:t xml:space="preserve"> </w:t>
      </w:r>
      <w:r>
        <w:rPr>
          <w:b/>
          <w:bCs/>
        </w:rPr>
        <w:t xml:space="preserve">ห้าม</w:t>
      </w:r>
      <w:r>
        <w:t xml:space="preserve"> </w:t>
      </w:r>
      <w:r>
        <w:t xml:space="preserve">ระบบ AML เข้าถึงหรือจัดเก็บ PAN/CVV/PIN โดยเด็ดขาด — ใช้ได้เพียง</w:t>
      </w:r>
      <w:r>
        <w:t xml:space="preserve"> </w:t>
      </w:r>
      <w:r>
        <w:rPr>
          <w:rStyle w:val="VerbatimChar"/>
        </w:rPr>
        <w:t xml:space="preserve">card_brand</w:t>
      </w:r>
      <w:r>
        <w:t xml:space="preserve">,</w:t>
      </w:r>
      <w:r>
        <w:t xml:space="preserve"> </w:t>
      </w:r>
      <w:r>
        <w:rPr>
          <w:rStyle w:val="VerbatimChar"/>
        </w:rPr>
        <w:t xml:space="preserve">card_last4</w:t>
      </w:r>
      <w:r>
        <w:t xml:space="preserve">, token และข้อมูล KYC ของร้านค้า</w:t>
      </w:r>
    </w:p>
    <w:p>
      <w:r>
        <w:pict>
          <v:rect style="width:0;height:1.5pt" o:hralign="center" o:hrstd="t" o:hr="t"/>
        </w:pict>
      </w:r>
    </w:p>
    <w:bookmarkEnd w:id="257"/>
    <w:bookmarkStart w:id="258" w:name="Xa8308bcd47f1575a4fe71f122bdef05eb611bdf"/>
    <w:p>
      <w:pPr>
        <w:pStyle w:val="Heading2"/>
      </w:pPr>
      <w:r>
        <w:t xml:space="preserve">2. บทบาทและความรับผิดชอบ (Roles &amp; Responsibilities)</w:t>
      </w:r>
    </w:p>
    <w:tbl>
      <w:tblPr>
        <w:tblStyle w:val="Table"/>
        <w:tblW w:type="pct" w:w="5000"/>
        <w:tblLayout w:type="fixed"/>
        <w:tblLook w:firstRow="1" w:lastRow="0" w:firstColumn="0" w:lastColumn="0" w:noHBand="0" w:noVBand="0" w:val="0020"/>
      </w:tblPr>
      <w:tblGrid>
        <w:gridCol w:w="1788"/>
        <w:gridCol w:w="6131"/>
      </w:tblGrid>
      <w:tr>
        <w:trPr>
          <w:tblHeader w:val="on"/>
        </w:trPr>
        <w:tc>
          <w:tcPr/>
          <w:p>
            <w:pPr>
              <w:pStyle w:val="Compact"/>
            </w:pPr>
            <w:r>
              <w:t xml:space="preserve">บทบาท</w:t>
            </w:r>
          </w:p>
        </w:tc>
        <w:tc>
          <w:tcPr/>
          <w:p>
            <w:pPr>
              <w:pStyle w:val="Compact"/>
            </w:pPr>
            <w:r>
              <w:t xml:space="preserve">หน้าที่หลักด้าน AML/STR</w:t>
            </w:r>
          </w:p>
        </w:tc>
      </w:tr>
      <w:tr>
        <w:tc>
          <w:tcPr/>
          <w:p>
            <w:pPr>
              <w:pStyle w:val="Compact"/>
            </w:pPr>
            <w:r>
              <w:rPr>
                <w:b/>
                <w:bCs/>
              </w:rPr>
              <w:t xml:space="preserve">คณะกรรมการบริษัท (Board)</w:t>
            </w:r>
          </w:p>
        </w:tc>
        <w:tc>
          <w:tcPr/>
          <w:p>
            <w:pPr>
              <w:pStyle w:val="Compact"/>
            </w:pPr>
            <w:r>
              <w:t xml:space="preserve">อนุมัตินโยบาย AML/CFT, รับทราบรายงานสรุปเชิงสถิติ (ไม่รวมรายละเอียดที่เป็นความลับของ STR), จัดสรรทรัพยากร</w:t>
            </w:r>
          </w:p>
        </w:tc>
      </w:tr>
      <w:tr>
        <w:tc>
          <w:tcPr/>
          <w:p>
            <w:pPr>
              <w:pStyle w:val="Compact"/>
            </w:pPr>
            <w:r>
              <w:rPr>
                <w:b/>
                <w:bCs/>
              </w:rPr>
              <w:t xml:space="preserve">AML Committee</w:t>
            </w:r>
          </w:p>
        </w:tc>
        <w:tc>
          <w:tcPr/>
          <w:p>
            <w:pPr>
              <w:pStyle w:val="Compact"/>
            </w:pPr>
            <w:r>
              <w:t xml:space="preserve">กำกับดูแลระบบ AML ในระดับปฏิบัติการ, ทบทวนเกณฑ์ (rules/thresholds), อนุมัติ case ที่มีความเสี่ยงสูง</w:t>
            </w:r>
          </w:p>
        </w:tc>
      </w:tr>
      <w:tr>
        <w:tc>
          <w:tcPr/>
          <w:p>
            <w:pPr>
              <w:pStyle w:val="Compact"/>
            </w:pPr>
            <w:r>
              <w:rPr>
                <w:b/>
                <w:bCs/>
              </w:rPr>
              <w:t xml:space="preserve">MLRO (Money Laundering Reporting Officer)</w:t>
            </w:r>
          </w:p>
        </w:tc>
        <w:tc>
          <w:tcPr/>
          <w:p>
            <w:pPr>
              <w:pStyle w:val="Compact"/>
            </w:pPr>
            <w:r>
              <w:rPr>
                <w:b/>
                <w:bCs/>
              </w:rPr>
              <w:t xml:space="preserve">ผู้มีอำนาจตัดสินใจสูงสุดในการยื่น/ไม่ยื่น STR ต่อ ปปง.</w:t>
            </w:r>
            <w:r>
              <w:t xml:space="preserve">, ลงนามรายงาน, เป็นจุดติดต่อทางการกับ ปปง., ดูแลการรักษาความลับ (tipping-off)</w:t>
            </w:r>
          </w:p>
        </w:tc>
      </w:tr>
      <w:tr>
        <w:tc>
          <w:tcPr/>
          <w:p>
            <w:pPr>
              <w:pStyle w:val="Compact"/>
            </w:pPr>
            <w:r>
              <w:rPr>
                <w:b/>
                <w:bCs/>
              </w:rPr>
              <w:t xml:space="preserve">Deputy MLRO</w:t>
            </w:r>
          </w:p>
        </w:tc>
        <w:tc>
          <w:tcPr/>
          <w:p>
            <w:pPr>
              <w:pStyle w:val="Compact"/>
            </w:pPr>
            <w:r>
              <w:t xml:space="preserve">ปฏิบัติหน้าที่แทน MLRO เมื่อไม่อยู่/มีผลประโยชน์ทับซ้อน, ทบทวน case ชั้นที่สอง</w:t>
            </w:r>
          </w:p>
        </w:tc>
      </w:tr>
      <w:tr>
        <w:tc>
          <w:tcPr/>
          <w:p>
            <w:pPr>
              <w:pStyle w:val="Compact"/>
            </w:pPr>
            <w:r>
              <w:rPr>
                <w:b/>
                <w:bCs/>
              </w:rPr>
              <w:t xml:space="preserve">AML Analyst / Compliance Ops (1st review)</w:t>
            </w:r>
          </w:p>
        </w:tc>
        <w:tc>
          <w:tcPr/>
          <w:p>
            <w:pPr>
              <w:pStyle w:val="Compact"/>
            </w:pPr>
            <w:r>
              <w:t xml:space="preserve">รับ alert, สืบค้นข้อมูล, จัดทำ case file, เสนอความเห็นเบื้องต้น</w:t>
            </w:r>
          </w:p>
        </w:tc>
      </w:tr>
      <w:tr>
        <w:tc>
          <w:tcPr/>
          <w:p>
            <w:pPr>
              <w:pStyle w:val="Compact"/>
            </w:pPr>
            <w:r>
              <w:rPr>
                <w:b/>
                <w:bCs/>
              </w:rPr>
              <w:t xml:space="preserve">Frontline (Merchant Onboarding / Ops)</w:t>
            </w:r>
          </w:p>
        </w:tc>
        <w:tc>
          <w:tcPr/>
          <w:p>
            <w:pPr>
              <w:pStyle w:val="Compact"/>
            </w:pPr>
            <w:r>
              <w:t xml:space="preserve">ยื่น</w:t>
            </w:r>
            <w:r>
              <w:t xml:space="preserve"> </w:t>
            </w:r>
            <w:r>
              <w:rPr>
                <w:b/>
                <w:bCs/>
              </w:rPr>
              <w:t xml:space="preserve">Internal Suspicious Activity Report (iSAR)</w:t>
            </w:r>
            <w:r>
              <w:t xml:space="preserve"> </w:t>
            </w:r>
            <w:r>
              <w:t xml:space="preserve">เมื่อพบพฤติกรรมผิดปกติ, ทำ KYC/CDD/EDD</w:t>
            </w:r>
          </w:p>
        </w:tc>
      </w:tr>
      <w:tr>
        <w:tc>
          <w:tcPr/>
          <w:p>
            <w:pPr>
              <w:pStyle w:val="Compact"/>
            </w:pPr>
            <w:r>
              <w:rPr>
                <w:b/>
                <w:bCs/>
              </w:rPr>
              <w:t xml:space="preserve">CISO / IT</w:t>
            </w:r>
          </w:p>
        </w:tc>
        <w:tc>
          <w:tcPr/>
          <w:p>
            <w:pPr>
              <w:pStyle w:val="Compact"/>
            </w:pPr>
            <w:r>
              <w:t xml:space="preserve">ดูแลระบบ screening, log integrity, ความมั่นคงปลอดภัยของ case file, การส่งข้อมูลแบบเข้ารหัส</w:t>
            </w:r>
          </w:p>
        </w:tc>
      </w:tr>
      <w:tr>
        <w:tc>
          <w:tcPr/>
          <w:p>
            <w:pPr>
              <w:pStyle w:val="Compact"/>
            </w:pPr>
            <w:r>
              <w:rPr>
                <w:b/>
                <w:bCs/>
              </w:rPr>
              <w:t xml:space="preserve">Internal Audit (3rd line)</w:t>
            </w:r>
          </w:p>
        </w:tc>
        <w:tc>
          <w:tcPr/>
          <w:p>
            <w:pPr>
              <w:pStyle w:val="Compact"/>
            </w:pPr>
            <w:r>
              <w:t xml:space="preserve">ตรวจสอบอิสระประสิทธิผลของกระบวนการ STR อย่างน้อยปีละครั้ง</w:t>
            </w:r>
          </w:p>
        </w:tc>
      </w:tr>
      <w:tr>
        <w:tc>
          <w:tcPr/>
          <w:p>
            <w:pPr>
              <w:pStyle w:val="Compact"/>
            </w:pPr>
            <w:r>
              <w:rPr>
                <w:b/>
                <w:bCs/>
              </w:rPr>
              <w:t xml:space="preserve">DPO (Data Protection Officer)</w:t>
            </w:r>
          </w:p>
        </w:tc>
        <w:tc>
          <w:tcPr/>
          <w:p>
            <w:pPr>
              <w:pStyle w:val="Compact"/>
            </w:pPr>
            <w:r>
              <w:t xml:space="preserve">ดูแลความสอดคล้อง PDPA โดยเฉพาะข้อยกเว้นเพื่อการปฏิบัติตามกฎหมาย AML</w:t>
            </w:r>
          </w:p>
        </w:tc>
      </w:tr>
    </w:tbl>
    <w:p>
      <w:pPr>
        <w:pStyle w:val="BlockText"/>
      </w:pPr>
      <w:r>
        <w:rPr>
          <w:b/>
          <w:bCs/>
        </w:rPr>
        <w:t xml:space="preserve">หลักสำคัญ:</w:t>
      </w:r>
      <w:r>
        <w:t xml:space="preserve"> </w:t>
      </w:r>
      <w:r>
        <w:t xml:space="preserve">พนักงานทุกคนมี</w:t>
      </w:r>
      <w:r>
        <w:t xml:space="preserve"> </w:t>
      </w:r>
      <w:r>
        <w:t xml:space="preserve">“หน้าที่รายงานภายใน (duty to report internally)”</w:t>
      </w:r>
      <w:r>
        <w:t xml:space="preserve"> </w:t>
      </w:r>
      <w:r>
        <w:t xml:space="preserve">แต่</w:t>
      </w:r>
      <w:r>
        <w:t xml:space="preserve"> </w:t>
      </w:r>
      <w:r>
        <w:rPr>
          <w:b/>
          <w:bCs/>
        </w:rPr>
        <w:t xml:space="preserve">มีเพียง MLRO/Deputy MLRO เท่านั้น</w:t>
      </w:r>
      <w:r>
        <w:t xml:space="preserve"> </w:t>
      </w:r>
      <w:r>
        <w:t xml:space="preserve">ที่มีอำนาจยื่นรายงานออกไปยัง ปปง. เพื่อคุมความลับและความสอดคล้อง</w:t>
      </w:r>
    </w:p>
    <w:p>
      <w:r>
        <w:pict>
          <v:rect style="width:0;height:1.5pt" o:hralign="center" o:hrstd="t" o:hr="t"/>
        </w:pict>
      </w:r>
    </w:p>
    <w:bookmarkEnd w:id="258"/>
    <w:bookmarkStart w:id="260" w:name="X75b6aface86edaaefa84ef1d3b6d226b8b9a8ca"/>
    <w:p>
      <w:pPr>
        <w:pStyle w:val="Heading2"/>
      </w:pPr>
      <w:r>
        <w:t xml:space="preserve">3. ประเภทรายงานและเกณฑ์มูลค่า (Report Types &amp; Thresholds)</w:t>
      </w:r>
    </w:p>
    <w:p>
      <w:pPr>
        <w:pStyle w:val="BlockText"/>
      </w:pPr>
      <w:r>
        <w:t xml:space="preserve">[!WARNING]</w:t>
      </w:r>
      <w:r>
        <w:t xml:space="preserve"> </w:t>
      </w:r>
      <w:r>
        <w:t xml:space="preserve">ตัวเลขเกณฑ์ด้านล่างเป็นค่าอ้างอิงตามกฎกระทรวงที่ใช้บังคับโดยทั่วไป</w:t>
      </w:r>
      <w:r>
        <w:t xml:space="preserve"> </w:t>
      </w:r>
      <w:r>
        <w:rPr>
          <w:b/>
          <w:bCs/>
        </w:rPr>
        <w:t xml:space="preserve">ต้องยืนยันกับกฎกระทรวง/ประกาศ ปปง. ฉบับล่าสุด</w:t>
      </w:r>
      <w:r>
        <w:t xml:space="preserve"> </w:t>
      </w:r>
      <w:r>
        <w:t xml:space="preserve">(รายการ A6) ก่อนนำไปตั้งค่าในระบบจริง</w:t>
      </w:r>
    </w:p>
    <w:tbl>
      <w:tblPr>
        <w:tblStyle w:val="Table"/>
        <w:tblW w:type="pct" w:w="5000"/>
        <w:tblLayout w:type="fixed"/>
        <w:tblLook w:firstRow="1" w:lastRow="0" w:firstColumn="0" w:lastColumn="0" w:noHBand="0" w:noVBand="0" w:val="0020"/>
      </w:tblPr>
      <w:tblGrid>
        <w:gridCol w:w="892"/>
        <w:gridCol w:w="2119"/>
        <w:gridCol w:w="2454"/>
        <w:gridCol w:w="2454"/>
      </w:tblGrid>
      <w:tr>
        <w:trPr>
          <w:tblHeader w:val="on"/>
        </w:trPr>
        <w:tc>
          <w:tcPr/>
          <w:p>
            <w:pPr>
              <w:pStyle w:val="Compact"/>
            </w:pPr>
            <w:r>
              <w:t xml:space="preserve">ประเภท</w:t>
            </w:r>
          </w:p>
        </w:tc>
        <w:tc>
          <w:tcPr/>
          <w:p>
            <w:pPr>
              <w:pStyle w:val="Compact"/>
            </w:pPr>
            <w:r>
              <w:t xml:space="preserve">เกณฑ์ (Threshold)</w:t>
            </w:r>
          </w:p>
        </w:tc>
        <w:tc>
          <w:tcPr/>
          <w:p>
            <w:pPr>
              <w:pStyle w:val="Compact"/>
            </w:pPr>
            <w:r>
              <w:t xml:space="preserve">กรอบเวลายื่นต่อ ปปง.</w:t>
            </w:r>
          </w:p>
        </w:tc>
        <w:tc>
          <w:tcPr/>
          <w:p>
            <w:pPr>
              <w:pStyle w:val="Compact"/>
            </w:pPr>
            <w:r>
              <w:t xml:space="preserve">แบบรายงาน (อ้างอิง)</w:t>
            </w:r>
          </w:p>
        </w:tc>
      </w:tr>
      <w:tr>
        <w:tc>
          <w:tcPr/>
          <w:p>
            <w:pPr>
              <w:pStyle w:val="Compact"/>
            </w:pPr>
            <w:r>
              <w:rPr>
                <w:b/>
                <w:bCs/>
              </w:rPr>
              <w:t xml:space="preserve">STR — ธุรกรรมที่มีเหตุอันควรสงสัย</w:t>
            </w:r>
          </w:p>
        </w:tc>
        <w:tc>
          <w:tcPr/>
          <w:p>
            <w:pPr>
              <w:pStyle w:val="Compact"/>
            </w:pPr>
            <w:r>
              <w:rPr>
                <w:b/>
                <w:bCs/>
              </w:rPr>
              <w:t xml:space="preserve">ไม่มีเกณฑ์มูลค่าขั้นต่ำ</w:t>
            </w:r>
            <w:r>
              <w:t xml:space="preserve"> </w:t>
            </w:r>
            <w:r>
              <w:t xml:space="preserve">— ยื่นเมื่อมี</w:t>
            </w:r>
            <w:r>
              <w:t xml:space="preserve"> </w:t>
            </w:r>
            <w:r>
              <w:t xml:space="preserve">“เหตุอันควรสงสัย”</w:t>
            </w:r>
            <w:r>
              <w:t xml:space="preserve"> </w:t>
            </w:r>
            <w:r>
              <w:t xml:space="preserve">ไม่ว่าจำนวนเงินเท่าใด แม้ธุรกรรมยังไม่สำเร็จ</w:t>
            </w:r>
          </w:p>
        </w:tc>
        <w:tc>
          <w:tcPr/>
          <w:p>
            <w:pPr>
              <w:pStyle w:val="Compact"/>
            </w:pPr>
            <w:r>
              <w:t xml:space="preserve">ยื่น</w:t>
            </w:r>
            <w:r>
              <w:t xml:space="preserve"> </w:t>
            </w:r>
            <w:r>
              <w:rPr>
                <w:b/>
                <w:bCs/>
              </w:rPr>
              <w:t xml:space="preserve">ภายในกำหนดที่กฎหมายกำหนด</w:t>
            </w:r>
            <w:r>
              <w:t xml:space="preserve"> </w:t>
            </w:r>
            <w:r>
              <w:t xml:space="preserve">นับแต่วันที่มีเหตุอันควรสงสัย (โดยทั่วไปภายใน 7 วันทำการ — ยืนยัน A6)</w:t>
            </w:r>
          </w:p>
        </w:tc>
        <w:tc>
          <w:tcPr/>
          <w:p>
            <w:pPr>
              <w:pStyle w:val="Compact"/>
            </w:pPr>
            <w:r>
              <w:t xml:space="preserve">ปปง. 1-03 (STR) หรือฉบับล่าสุด (A7)</w:t>
            </w:r>
          </w:p>
        </w:tc>
      </w:tr>
      <w:tr>
        <w:tc>
          <w:tcPr/>
          <w:p>
            <w:pPr>
              <w:pStyle w:val="Compact"/>
            </w:pPr>
            <w:r>
              <w:rPr>
                <w:b/>
                <w:bCs/>
              </w:rPr>
              <w:t xml:space="preserve">CTR — ธุรกรรมเงินสด</w:t>
            </w:r>
          </w:p>
        </w:tc>
        <w:tc>
          <w:tcPr/>
          <w:p>
            <w:pPr>
              <w:pStyle w:val="Compact"/>
            </w:pPr>
            <w:r>
              <w:t xml:space="preserve">ตั้งแต่</w:t>
            </w:r>
            <w:r>
              <w:t xml:space="preserve"> </w:t>
            </w:r>
            <w:r>
              <w:rPr>
                <w:b/>
                <w:bCs/>
              </w:rPr>
              <w:t xml:space="preserve">2,000,000 บาท</w:t>
            </w:r>
            <w:r>
              <w:t xml:space="preserve"> </w:t>
            </w:r>
            <w:r>
              <w:t xml:space="preserve">ขึ้นไป (เงินสด)</w:t>
            </w:r>
          </w:p>
        </w:tc>
        <w:tc>
          <w:tcPr/>
          <w:p>
            <w:pPr>
              <w:pStyle w:val="Compact"/>
            </w:pPr>
            <w:r>
              <w:t xml:space="preserve">ตามกำหนดของ ปปง. (โดยทั่วไปภายใน 15 วันของเดือนถัดไป — ยืนยัน A6)</w:t>
            </w:r>
          </w:p>
        </w:tc>
        <w:tc>
          <w:tcPr/>
          <w:p>
            <w:pPr>
              <w:pStyle w:val="Compact"/>
            </w:pPr>
            <w:r>
              <w:t xml:space="preserve">ปปง. 1-01 หรือฉบับล่าสุด</w:t>
            </w:r>
          </w:p>
        </w:tc>
      </w:tr>
      <w:tr>
        <w:tc>
          <w:tcPr/>
          <w:p>
            <w:pPr>
              <w:pStyle w:val="Compact"/>
            </w:pPr>
            <w:r>
              <w:rPr>
                <w:b/>
                <w:bCs/>
              </w:rPr>
              <w:t xml:space="preserve">TTR — ธุรกรรมที่เกี่ยวกับทรัพย์สิน</w:t>
            </w:r>
          </w:p>
        </w:tc>
        <w:tc>
          <w:tcPr/>
          <w:p>
            <w:pPr>
              <w:pStyle w:val="Compact"/>
            </w:pPr>
            <w:r>
              <w:t xml:space="preserve">ตั้งแต่</w:t>
            </w:r>
            <w:r>
              <w:t xml:space="preserve"> </w:t>
            </w:r>
            <w:r>
              <w:rPr>
                <w:b/>
                <w:bCs/>
              </w:rPr>
              <w:t xml:space="preserve">5,000,000 บาท</w:t>
            </w:r>
            <w:r>
              <w:t xml:space="preserve"> </w:t>
            </w:r>
            <w:r>
              <w:t xml:space="preserve">ขึ้นไป</w:t>
            </w:r>
          </w:p>
        </w:tc>
        <w:tc>
          <w:tcPr/>
          <w:p>
            <w:pPr>
              <w:pStyle w:val="Compact"/>
            </w:pPr>
            <w:r>
              <w:t xml:space="preserve">ตามกำหนดของ ปปง.</w:t>
            </w:r>
          </w:p>
        </w:tc>
        <w:tc>
          <w:tcPr/>
          <w:p>
            <w:pPr>
              <w:pStyle w:val="Compact"/>
            </w:pPr>
            <w:r>
              <w:t xml:space="preserve">ปปง. 1-02 หรือฉบับล่าสุด</w:t>
            </w:r>
          </w:p>
        </w:tc>
      </w:tr>
      <w:tr>
        <w:tc>
          <w:tcPr/>
          <w:p>
            <w:pPr>
              <w:pStyle w:val="Compact"/>
            </w:pPr>
            <w:r>
              <w:rPr>
                <w:b/>
                <w:bCs/>
              </w:rPr>
              <w:t xml:space="preserve">Asset-freeze / Designated persons (CFT/PF)</w:t>
            </w:r>
          </w:p>
        </w:tc>
        <w:tc>
          <w:tcPr/>
          <w:p>
            <w:pPr>
              <w:pStyle w:val="Compact"/>
            </w:pPr>
            <w:r>
              <w:t xml:space="preserve">รายชื่อตามประกาศ (UNSCR / กฎหมายไทย) —</w:t>
            </w:r>
            <w:r>
              <w:t xml:space="preserve"> </w:t>
            </w:r>
            <w:r>
              <w:rPr>
                <w:b/>
                <w:bCs/>
              </w:rPr>
              <w:t xml:space="preserve">ไม่มีเกณฑ์มูลค่า</w:t>
            </w:r>
          </w:p>
        </w:tc>
        <w:tc>
          <w:tcPr/>
          <w:p>
            <w:pPr>
              <w:pStyle w:val="Compact"/>
            </w:pPr>
            <w:r>
              <w:rPr>
                <w:b/>
                <w:bCs/>
              </w:rPr>
              <w:t xml:space="preserve">ทันที (immediate)</w:t>
            </w:r>
            <w:r>
              <w:t xml:space="preserve"> </w:t>
            </w:r>
            <w:r>
              <w:t xml:space="preserve">เมื่อพบว่าตรงรายชื่อ — ระงับและรายงาน ปปง. โดยไม่ชักช้า</w:t>
            </w:r>
          </w:p>
        </w:tc>
        <w:tc>
          <w:tcPr/>
          <w:p>
            <w:pPr>
              <w:pStyle w:val="Compact"/>
            </w:pPr>
            <w:r>
              <w:t xml:space="preserve">ตามแนวทาง ปปง. ด้าน CFT/PF</w:t>
            </w:r>
          </w:p>
        </w:tc>
      </w:tr>
    </w:tbl>
    <w:p>
      <w:pPr>
        <w:pStyle w:val="BodyText"/>
      </w:pPr>
      <w:r>
        <w:rPr>
          <w:b/>
          <w:bCs/>
        </w:rPr>
        <w:t xml:space="preserve">บริบทของ Acquiring Gateway:</w:t>
      </w:r>
      <w:r>
        <w:t xml:space="preserve"> </w:t>
      </w:r>
      <w:r>
        <w:t xml:space="preserve">โดยธุรกิจแล้วเราประมวลผล</w:t>
      </w:r>
      <w:r>
        <w:t xml:space="preserve"> </w:t>
      </w:r>
      <w:r>
        <w:rPr>
          <w:b/>
          <w:bCs/>
        </w:rPr>
        <w:t xml:space="preserve">การชำระด้วยบัตร/อิเล็กทรอนิกส์เป็นหลัก ไม่ใช่เงินสด</w:t>
      </w:r>
      <w:r>
        <w:t xml:space="preserve"> </w:t>
      </w:r>
      <w:r>
        <w:t xml:space="preserve">ดังนั้น</w:t>
      </w:r>
      <w:r>
        <w:t xml:space="preserve"> </w:t>
      </w:r>
      <w:r>
        <w:rPr>
          <w:b/>
          <w:bCs/>
        </w:rPr>
        <w:t xml:space="preserve">STR คือช่องทางรายงานหลัก</w:t>
      </w:r>
      <w:r>
        <w:t xml:space="preserve"> </w:t>
      </w:r>
      <w:r>
        <w:t xml:space="preserve">ส่วน CTR/TTR จะเกี่ยวข้องเมื่อมี cash-based flow หรือ payout ขนาดใหญ่เข้าเงื่อนไข ทั้งนี้ต้อง aggregate ธุรกรรมที่ดูเหมือนถูกแบ่งย่อย (structuring/smurfing) เพื่อเลี่ยงเกณฑ์ด้วย</w:t>
      </w:r>
    </w:p>
    <w:bookmarkStart w:id="259" w:name="X473bdd561ad3bf5b39cac1a3cd8fccacf1fb115"/>
    <w:p>
      <w:pPr>
        <w:pStyle w:val="Heading3"/>
      </w:pPr>
      <w:r>
        <w:t xml:space="preserve">ตัวอย่างสัญญาณเตือน (Red Flags) เฉพาะธุรกิจ Acquiring</w:t>
      </w:r>
    </w:p>
    <w:p>
      <w:pPr>
        <w:pStyle w:val="Compact"/>
        <w:numPr>
          <w:ilvl w:val="0"/>
          <w:numId w:val="1102"/>
        </w:numPr>
      </w:pPr>
      <w:r>
        <w:rPr>
          <w:b/>
          <w:bCs/>
        </w:rPr>
        <w:t xml:space="preserve">Transaction laundering / factoring</w:t>
      </w:r>
      <w:r>
        <w:t xml:space="preserve"> </w:t>
      </w:r>
      <w:r>
        <w:t xml:space="preserve">— ร้านค้ารูด/รับชำระแทนธุรกิจอื่นที่ไม่ได้ลงทะเบียน (undisclosed MCC mismatch)</w:t>
      </w:r>
    </w:p>
    <w:p>
      <w:pPr>
        <w:pStyle w:val="Compact"/>
        <w:numPr>
          <w:ilvl w:val="0"/>
          <w:numId w:val="1102"/>
        </w:numPr>
      </w:pPr>
      <w:r>
        <w:rPr>
          <w:b/>
          <w:bCs/>
        </w:rPr>
        <w:t xml:space="preserve">Structuring</w:t>
      </w:r>
      <w:r>
        <w:t xml:space="preserve"> </w:t>
      </w:r>
      <w:r>
        <w:t xml:space="preserve">— แบ่งยอดหลายรายการต่ำกว่าเกณฑ์ หรือต่ำกว่า limit ของ velocity rule อย่างจงใจ</w:t>
      </w:r>
    </w:p>
    <w:p>
      <w:pPr>
        <w:pStyle w:val="Compact"/>
        <w:numPr>
          <w:ilvl w:val="0"/>
          <w:numId w:val="1102"/>
        </w:numPr>
      </w:pPr>
      <w:r>
        <w:rPr>
          <w:b/>
          <w:bCs/>
        </w:rPr>
        <w:t xml:space="preserve">Bust-out fraud</w:t>
      </w:r>
      <w:r>
        <w:t xml:space="preserve"> </w:t>
      </w:r>
      <w:r>
        <w:t xml:space="preserve">— ยอดพุ่งผิดปกติหลัง onboarding แล้วขอ payout เร่งด่วนแล้วเงียบหาย</w:t>
      </w:r>
    </w:p>
    <w:p>
      <w:pPr>
        <w:pStyle w:val="Compact"/>
        <w:numPr>
          <w:ilvl w:val="0"/>
          <w:numId w:val="1102"/>
        </w:numPr>
      </w:pPr>
      <w:r>
        <w:rPr>
          <w:b/>
          <w:bCs/>
        </w:rPr>
        <w:t xml:space="preserve">Refund/chargeback abuse</w:t>
      </w:r>
      <w:r>
        <w:t xml:space="preserve"> </w:t>
      </w:r>
      <w:r>
        <w:t xml:space="preserve">— refund ไปยังบัตร/บัญชีที่ไม่ใช่ต้นทาง, refund สูงผิดสัดส่วนกับ capture</w:t>
      </w:r>
    </w:p>
    <w:p>
      <w:pPr>
        <w:pStyle w:val="Compact"/>
        <w:numPr>
          <w:ilvl w:val="0"/>
          <w:numId w:val="1102"/>
        </w:numPr>
      </w:pPr>
      <w:r>
        <w:rPr>
          <w:b/>
          <w:bCs/>
        </w:rPr>
        <w:t xml:space="preserve">High-risk MCC / จำหน่ายสินค้าต้องห้าม</w:t>
      </w:r>
      <w:r>
        <w:t xml:space="preserve"> </w:t>
      </w:r>
      <w:r>
        <w:t xml:space="preserve">— การพนัน crypto ไม่ได้รับอนุญาต สินค้าผิดกฎหมาย</w:t>
      </w:r>
    </w:p>
    <w:p>
      <w:pPr>
        <w:pStyle w:val="Compact"/>
        <w:numPr>
          <w:ilvl w:val="0"/>
          <w:numId w:val="1102"/>
        </w:numPr>
      </w:pPr>
      <w:r>
        <w:rPr>
          <w:b/>
          <w:bCs/>
        </w:rPr>
        <w:t xml:space="preserve">Sanction/PEP hit</w:t>
      </w:r>
      <w:r>
        <w:t xml:space="preserve"> </w:t>
      </w:r>
      <w:r>
        <w:t xml:space="preserve">— beneficial owner หรือ settlement account ตรงรายชื่อ sanction/PEP/adverse media</w:t>
      </w:r>
    </w:p>
    <w:p>
      <w:pPr>
        <w:pStyle w:val="Compact"/>
        <w:numPr>
          <w:ilvl w:val="0"/>
          <w:numId w:val="1102"/>
        </w:numPr>
      </w:pPr>
      <w:r>
        <w:rPr>
          <w:b/>
          <w:bCs/>
        </w:rPr>
        <w:t xml:space="preserve">Geographic anomaly</w:t>
      </w:r>
      <w:r>
        <w:t xml:space="preserve"> </w:t>
      </w:r>
      <w:r>
        <w:t xml:space="preserve">— IP/BIN/ที่อยู่ settlement ขัดแย้งกันหรือมาจากเขตความเสี่ยงสูง (FATF)</w:t>
      </w:r>
    </w:p>
    <w:p>
      <w:r>
        <w:pict>
          <v:rect style="width:0;height:1.5pt" o:hralign="center" o:hrstd="t" o:hr="t"/>
        </w:pict>
      </w:r>
    </w:p>
    <w:bookmarkEnd w:id="259"/>
    <w:bookmarkEnd w:id="260"/>
    <w:bookmarkStart w:id="262" w:name="ขนตอน-workflow-จากการตรวจจบสการยนรายงาน"/>
    <w:p>
      <w:pPr>
        <w:pStyle w:val="Heading2"/>
      </w:pPr>
      <w:r>
        <w:t xml:space="preserve">4. ขั้นตอน (Workflow) — จากการตรวจจับสู่การยื่นรายงาน</w:t>
      </w:r>
    </w:p>
    <w:p>
      <w:pPr>
        <w:pStyle w:val="SourceCode"/>
      </w:pPr>
      <w:r>
        <w:rPr>
          <w:rStyle w:val="VerbatimChar"/>
        </w:rPr>
        <w:t xml:space="preserve">[ตรวจจับ] ──▶ [รายงานภายใน iSAR] ──▶ [ประเมินชั้น 1] ──▶ [สืบสวน/EDD]</w:t>
      </w:r>
      <w:r>
        <w:br/>
      </w:r>
      <w:r>
        <w:rPr>
          <w:rStyle w:val="VerbatimChar"/>
        </w:rPr>
        <w:t xml:space="preserve">   │ automated (Risk Engine)              (AML Analyst)      (case file)</w:t>
      </w:r>
      <w:r>
        <w:br/>
      </w:r>
      <w:r>
        <w:rPr>
          <w:rStyle w:val="VerbatimChar"/>
        </w:rPr>
        <w:t xml:space="preserve">   │ + manual (Frontline)                                        │</w:t>
      </w:r>
      <w:r>
        <w:br/>
      </w:r>
      <w:r>
        <w:rPr>
          <w:rStyle w:val="VerbatimChar"/>
        </w:rPr>
        <w:t xml:space="preserve">   └────────────────────────────────────────────────────────────┘</w:t>
      </w:r>
      <w:r>
        <w:br/>
      </w:r>
      <w:r>
        <w:rPr>
          <w:rStyle w:val="VerbatimChar"/>
        </w:rPr>
        <w:t xml:space="preserve">                                                                 ▼</w:t>
      </w:r>
      <w:r>
        <w:br/>
      </w:r>
      <w:r>
        <w:rPr>
          <w:rStyle w:val="VerbatimChar"/>
        </w:rPr>
        <w:t xml:space="preserve">                                                 [ตัดสินใจโดย MLRO]</w:t>
      </w:r>
      <w:r>
        <w:br/>
      </w:r>
      <w:r>
        <w:rPr>
          <w:rStyle w:val="VerbatimChar"/>
        </w:rPr>
        <w:t xml:space="preserve">                                             ┌───────────┴───────────┐</w:t>
      </w:r>
      <w:r>
        <w:br/>
      </w:r>
      <w:r>
        <w:rPr>
          <w:rStyle w:val="VerbatimChar"/>
        </w:rPr>
        <w:t xml:space="preserve">                                             ▼                       ▼</w:t>
      </w:r>
      <w:r>
        <w:br/>
      </w:r>
      <w:r>
        <w:rPr>
          <w:rStyle w:val="VerbatimChar"/>
        </w:rPr>
        <w:t xml:space="preserve">                                     [ไม่ยื่น → บันทึกเหตุผล]   [ยื่น STR ต่อ ปปง.]</w:t>
      </w:r>
      <w:r>
        <w:br/>
      </w:r>
      <w:r>
        <w:rPr>
          <w:rStyle w:val="VerbatimChar"/>
        </w:rPr>
        <w:t xml:space="preserve">                                             │                       │</w:t>
      </w:r>
      <w:r>
        <w:br/>
      </w:r>
      <w:r>
        <w:rPr>
          <w:rStyle w:val="VerbatimChar"/>
        </w:rPr>
        <w:t xml:space="preserve">                                             ▼                       ▼</w:t>
      </w:r>
      <w:r>
        <w:br/>
      </w:r>
      <w:r>
        <w:rPr>
          <w:rStyle w:val="VerbatimChar"/>
        </w:rPr>
        <w:t xml:space="preserve">                                      [เก็บ ≥ 5–10 ปี]        [ระงับ/ติดตาม + เก็บหลักฐาน]</w:t>
      </w:r>
    </w:p>
    <w:p>
      <w:pPr>
        <w:pStyle w:val="FirstParagraph"/>
      </w:pPr>
      <w:r>
        <w:rPr>
          <w:b/>
          <w:bCs/>
        </w:rPr>
        <w:t xml:space="preserve">ขั้นที่ 1 — ตรวจจับ (Detection).</w:t>
      </w:r>
      <w:r>
        <w:t xml:space="preserve"> </w:t>
      </w:r>
      <w:r>
        <w:t xml:space="preserve">ผสมสองแหล่ง (ก) อัตโนมัติ: Risk/Fraud Engine ยิง alert จาก velocity, anomaly score, sanction/PEP screening ที่ทำ ณ onboarding และแบบ real-time/batch (ข) manual: พนักงานหน้างานพบพฤติกรรมผิดปกติ</w:t>
      </w:r>
    </w:p>
    <w:p>
      <w:pPr>
        <w:pStyle w:val="BodyText"/>
      </w:pPr>
      <w:r>
        <w:rPr>
          <w:b/>
          <w:bCs/>
        </w:rPr>
        <w:t xml:space="preserve">ขั้นที่ 2 — รายงานภายใน (Internal SAR / iSAR).</w:t>
      </w:r>
      <w:r>
        <w:t xml:space="preserve"> </w:t>
      </w:r>
      <w:r>
        <w:t xml:space="preserve">ผู้พบเหตุยื่น iSAR ผ่านระบบ case management ภายในทันที (เป้าหมาย ≤ 24 ชม.) โดย</w:t>
      </w:r>
      <w:r>
        <w:t xml:space="preserve"> </w:t>
      </w:r>
      <w:r>
        <w:rPr>
          <w:b/>
          <w:bCs/>
        </w:rPr>
        <w:t xml:space="preserve">ห้ามแจ้งลูกค้า/ร้านค้า</w:t>
      </w:r>
      <w:r>
        <w:t xml:space="preserve"> </w:t>
      </w:r>
      <w:r>
        <w:t xml:space="preserve">(ดูข้อ 5 — tipping-off) การยิง iSAR ทุกครั้งบันทึกลง</w:t>
      </w:r>
      <w:r>
        <w:t xml:space="preserve"> </w:t>
      </w:r>
      <w:r>
        <w:rPr>
          <w:rStyle w:val="VerbatimChar"/>
        </w:rPr>
        <w:t xml:space="preserve">audit_log</w:t>
      </w:r>
    </w:p>
    <w:p>
      <w:pPr>
        <w:pStyle w:val="BodyText"/>
      </w:pPr>
      <w:r>
        <w:rPr>
          <w:b/>
          <w:bCs/>
        </w:rPr>
        <w:t xml:space="preserve">ขั้นที่ 3 — ประเมินชั้นที่ 1 (Triage).</w:t>
      </w:r>
      <w:r>
        <w:t xml:space="preserve"> </w:t>
      </w:r>
      <w:r>
        <w:t xml:space="preserve">AML Analyst รวบรวมข้อมูล KYC, ประวัติธุรกรรม, ledger, ผล screening แล้วจัดทำ</w:t>
      </w:r>
      <w:r>
        <w:t xml:space="preserve"> </w:t>
      </w:r>
      <w:r>
        <w:rPr>
          <w:b/>
          <w:bCs/>
        </w:rPr>
        <w:t xml:space="preserve">case file</w:t>
      </w:r>
      <w:r>
        <w:t xml:space="preserve"> </w:t>
      </w:r>
      <w:r>
        <w:t xml:space="preserve">พร้อมประเมินว่ามี</w:t>
      </w:r>
      <w:r>
        <w:t xml:space="preserve"> </w:t>
      </w:r>
      <w:r>
        <w:t xml:space="preserve">“เหตุอันควรสงสัย”</w:t>
      </w:r>
      <w:r>
        <w:t xml:space="preserve"> </w:t>
      </w:r>
      <w:r>
        <w:t xml:space="preserve">หรือไม่ (SLA: ปิด triage ภายใน 3 วันทำการ)</w:t>
      </w:r>
    </w:p>
    <w:p>
      <w:pPr>
        <w:pStyle w:val="BodyText"/>
      </w:pPr>
      <w:r>
        <w:rPr>
          <w:b/>
          <w:bCs/>
        </w:rPr>
        <w:t xml:space="preserve">ขั้นที่ 4 — สืบสวน/EDD (Investigation).</w:t>
      </w:r>
      <w:r>
        <w:t xml:space="preserve"> </w:t>
      </w:r>
      <w:r>
        <w:t xml:space="preserve">กรณีน่าสงสัยจริงทำ Enhanced Due Diligence: ตรวจ beneficial ownership, source of funds, ความสมเหตุสมผลของธุรกิจ, จัดทำ transaction timeline</w:t>
      </w:r>
    </w:p>
    <w:p>
      <w:pPr>
        <w:pStyle w:val="BodyText"/>
      </w:pPr>
      <w:r>
        <w:rPr>
          <w:b/>
          <w:bCs/>
        </w:rPr>
        <w:t xml:space="preserve">ขั้นที่ 5 — ตัดสินใจโดย MLRO (Decision).</w:t>
      </w:r>
      <w:r>
        <w:t xml:space="preserve"> </w:t>
      </w:r>
      <w:r>
        <w:t xml:space="preserve">MLRO/Deputy MLRO ทบทวน case แล้วตัดสิน</w:t>
      </w:r>
      <w:r>
        <w:t xml:space="preserve"> </w:t>
      </w:r>
      <w:r>
        <w:t xml:space="preserve">“ยื่น”</w:t>
      </w:r>
      <w:r>
        <w:t xml:space="preserve"> </w:t>
      </w:r>
      <w:r>
        <w:t xml:space="preserve">หรือ</w:t>
      </w:r>
      <w:r>
        <w:t xml:space="preserve"> </w:t>
      </w:r>
      <w:r>
        <w:t xml:space="preserve">“ไม่ยื่น”</w:t>
      </w:r>
      <w:r>
        <w:t xml:space="preserve"> </w:t>
      </w:r>
      <w:r>
        <w:t xml:space="preserve">—</w:t>
      </w:r>
      <w:r>
        <w:t xml:space="preserve"> </w:t>
      </w:r>
      <w:r>
        <w:rPr>
          <w:b/>
          <w:bCs/>
        </w:rPr>
        <w:t xml:space="preserve">ทั้งสองกรณีต้องบันทึกเหตุผลเป็นลายลักษณ์อักษร</w:t>
      </w:r>
      <w:r>
        <w:t xml:space="preserve"> </w:t>
      </w:r>
      <w:r>
        <w:t xml:space="preserve">พร้อมลงนามและเวลา</w:t>
      </w:r>
    </w:p>
    <w:p>
      <w:pPr>
        <w:pStyle w:val="BodyText"/>
      </w:pPr>
      <w:r>
        <w:rPr>
          <w:b/>
          <w:bCs/>
        </w:rPr>
        <w:t xml:space="preserve">ขั้นที่ 6 — ยื่นรายงานต่อ ปปง. (Filing).</w:t>
      </w:r>
      <w:r>
        <w:t xml:space="preserve"> </w:t>
      </w:r>
      <w:r>
        <w:t xml:space="preserve">หากยื่น STR: กรอกแบบ ปปง. 1-03 (A7) ส่งผ่านช่องทางอิเล็กทรอนิกส์ที่ ปปง. กำหนด (A8)</w:t>
      </w:r>
      <w:r>
        <w:t xml:space="preserve"> </w:t>
      </w:r>
      <w:r>
        <w:rPr>
          <w:b/>
          <w:bCs/>
        </w:rPr>
        <w:t xml:space="preserve">ภายในกรอบเวลาตามกฎหมาย</w:t>
      </w:r>
      <w:r>
        <w:t xml:space="preserve"> </w:t>
      </w:r>
      <w:r>
        <w:t xml:space="preserve">(ข้อ 3) เก็บหลักฐานการยื่น (acknowledgement) ไว้ในระบบ</w:t>
      </w:r>
    </w:p>
    <w:p>
      <w:pPr>
        <w:pStyle w:val="BodyText"/>
      </w:pPr>
      <w:r>
        <w:rPr>
          <w:b/>
          <w:bCs/>
        </w:rPr>
        <w:t xml:space="preserve">ขั้นที่ 7 — ดำเนินการต่อเนื่อง (Post-filing).</w:t>
      </w:r>
      <w:r>
        <w:t xml:space="preserve"> </w:t>
      </w:r>
      <w:r>
        <w:t xml:space="preserve">ประเมินความสัมพันธ์ทางธุรกิจ (ระงับ/เลิกร้านค้า/hold payout ตามความเหมาะสมและตามคำสั่ง ปปง.), เฝ้าติดตาม (ongoing monitoring), ตอบคำขอข้อมูลเพิ่มเติมจาก ปปง.</w:t>
      </w:r>
    </w:p>
    <w:bookmarkStart w:id="261" w:name="ตาราง-sla-ผรบผดชอบ"/>
    <w:p>
      <w:pPr>
        <w:pStyle w:val="Heading3"/>
      </w:pPr>
      <w:r>
        <w:t xml:space="preserve">ตาราง SLA / ผู้รับผิดชอบ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ขั้น</w:t>
            </w:r>
          </w:p>
        </w:tc>
        <w:tc>
          <w:tcPr/>
          <w:p>
            <w:pPr>
              <w:pStyle w:val="Compact"/>
            </w:pPr>
            <w:r>
              <w:t xml:space="preserve">ผู้รับผิดชอบ</w:t>
            </w:r>
          </w:p>
        </w:tc>
        <w:tc>
          <w:tcPr/>
          <w:p>
            <w:pPr>
              <w:pStyle w:val="Compact"/>
            </w:pPr>
            <w:r>
              <w:t xml:space="preserve">เป้าหมายเวลา</w:t>
            </w:r>
          </w:p>
        </w:tc>
      </w:tr>
      <w:tr>
        <w:tc>
          <w:tcPr/>
          <w:p>
            <w:pPr>
              <w:pStyle w:val="Compact"/>
            </w:pPr>
            <w:r>
              <w:t xml:space="preserve">ยื่น iSAR หลังพบเหตุ</w:t>
            </w:r>
          </w:p>
        </w:tc>
        <w:tc>
          <w:tcPr/>
          <w:p>
            <w:pPr>
              <w:pStyle w:val="Compact"/>
            </w:pPr>
            <w:r>
              <w:t xml:space="preserve">ผู้พบเหตุ</w:t>
            </w:r>
          </w:p>
        </w:tc>
        <w:tc>
          <w:tcPr/>
          <w:p>
            <w:pPr>
              <w:pStyle w:val="Compact"/>
            </w:pPr>
            <w:r>
              <w:t xml:space="preserve">≤ 24 ชั่วโมง</w:t>
            </w:r>
          </w:p>
        </w:tc>
      </w:tr>
      <w:tr>
        <w:tc>
          <w:tcPr/>
          <w:p>
            <w:pPr>
              <w:pStyle w:val="Compact"/>
            </w:pPr>
            <w:r>
              <w:t xml:space="preserve">Triage ชั้น 1</w:t>
            </w:r>
          </w:p>
        </w:tc>
        <w:tc>
          <w:tcPr/>
          <w:p>
            <w:pPr>
              <w:pStyle w:val="Compact"/>
            </w:pPr>
            <w:r>
              <w:t xml:space="preserve">AML Analyst</w:t>
            </w:r>
          </w:p>
        </w:tc>
        <w:tc>
          <w:tcPr/>
          <w:p>
            <w:pPr>
              <w:pStyle w:val="Compact"/>
            </w:pPr>
            <w:r>
              <w:t xml:space="preserve">≤ 3 วันทำการ</w:t>
            </w:r>
          </w:p>
        </w:tc>
      </w:tr>
      <w:tr>
        <w:tc>
          <w:tcPr/>
          <w:p>
            <w:pPr>
              <w:pStyle w:val="Compact"/>
            </w:pPr>
            <w:r>
              <w:t xml:space="preserve">EDD / สืบสวน</w:t>
            </w:r>
          </w:p>
        </w:tc>
        <w:tc>
          <w:tcPr/>
          <w:p>
            <w:pPr>
              <w:pStyle w:val="Compact"/>
            </w:pPr>
            <w:r>
              <w:t xml:space="preserve">AML Analyst + MLRO</w:t>
            </w:r>
          </w:p>
        </w:tc>
        <w:tc>
          <w:tcPr/>
          <w:p>
            <w:pPr>
              <w:pStyle w:val="Compact"/>
            </w:pPr>
            <w:r>
              <w:t xml:space="preserve">≤ 7 วันทำการ</w:t>
            </w:r>
          </w:p>
        </w:tc>
      </w:tr>
      <w:tr>
        <w:tc>
          <w:tcPr/>
          <w:p>
            <w:pPr>
              <w:pStyle w:val="Compact"/>
            </w:pPr>
            <w:r>
              <w:t xml:space="preserve">ตัดสินใจยื่น/ไม่ยื่น</w:t>
            </w:r>
          </w:p>
        </w:tc>
        <w:tc>
          <w:tcPr/>
          <w:p>
            <w:pPr>
              <w:pStyle w:val="Compact"/>
            </w:pPr>
            <w:r>
              <w:t xml:space="preserve">MLRO</w:t>
            </w:r>
          </w:p>
        </w:tc>
        <w:tc>
          <w:tcPr/>
          <w:p>
            <w:pPr>
              <w:pStyle w:val="Compact"/>
            </w:pPr>
            <w:r>
              <w:t xml:space="preserve">ก่อนครบกำหนดตามกฎหมาย</w:t>
            </w:r>
          </w:p>
        </w:tc>
      </w:tr>
      <w:tr>
        <w:tc>
          <w:tcPr/>
          <w:p>
            <w:pPr>
              <w:pStyle w:val="Compact"/>
            </w:pPr>
            <w:r>
              <w:t xml:space="preserve">ยื่น STR ต่อ ปปง.</w:t>
            </w:r>
          </w:p>
        </w:tc>
        <w:tc>
          <w:tcPr/>
          <w:p>
            <w:pPr>
              <w:pStyle w:val="Compact"/>
            </w:pPr>
            <w:r>
              <w:t xml:space="preserve">MLRO</w:t>
            </w:r>
          </w:p>
        </w:tc>
        <w:tc>
          <w:tcPr/>
          <w:p>
            <w:pPr>
              <w:pStyle w:val="Compact"/>
            </w:pPr>
            <w:r>
              <w:t xml:space="preserve">ภายในกำหนดกฎหมาย (ข้อ 3)</w:t>
            </w:r>
          </w:p>
        </w:tc>
      </w:tr>
      <w:tr>
        <w:tc>
          <w:tcPr/>
          <w:p>
            <w:pPr>
              <w:pStyle w:val="Compact"/>
            </w:pPr>
            <w:r>
              <w:t xml:space="preserve">Sanction/asset-freeze hit</w:t>
            </w:r>
          </w:p>
        </w:tc>
        <w:tc>
          <w:tcPr/>
          <w:p>
            <w:pPr>
              <w:pStyle w:val="Compact"/>
            </w:pPr>
            <w:r>
              <w:t xml:space="preserve">MLRO (escalate ทันที)</w:t>
            </w:r>
          </w:p>
        </w:tc>
        <w:tc>
          <w:tcPr/>
          <w:p>
            <w:pPr>
              <w:pStyle w:val="Compact"/>
            </w:pPr>
            <w:r>
              <w:rPr>
                <w:b/>
                <w:bCs/>
              </w:rPr>
              <w:t xml:space="preserve">ทันที (same day)</w:t>
            </w:r>
          </w:p>
        </w:tc>
      </w:tr>
    </w:tbl>
    <w:p>
      <w:r>
        <w:pict>
          <v:rect style="width:0;height:1.5pt" o:hralign="center" o:hrstd="t" o:hr="t"/>
        </w:pict>
      </w:r>
    </w:p>
    <w:bookmarkEnd w:id="261"/>
    <w:bookmarkEnd w:id="262"/>
    <w:bookmarkStart w:id="263" w:name="X37981f5c734803bc8e7b289b36376dacec52115"/>
    <w:p>
      <w:pPr>
        <w:pStyle w:val="Heading2"/>
      </w:pPr>
      <w:r>
        <w:t xml:space="preserve">5. การรักษาความลับและการห้ามเปิดเผย (Confidentiality &amp; Tipping-off)</w:t>
      </w:r>
    </w:p>
    <w:p>
      <w:pPr>
        <w:pStyle w:val="Compact"/>
        <w:numPr>
          <w:ilvl w:val="0"/>
          <w:numId w:val="1103"/>
        </w:numPr>
      </w:pPr>
      <w:r>
        <w:rPr>
          <w:b/>
          <w:bCs/>
        </w:rPr>
        <w:t xml:space="preserve">ห้ามเปิดเผย (No tipping-off).</w:t>
      </w:r>
      <w:r>
        <w:t xml:space="preserve"> </w:t>
      </w:r>
      <w:r>
        <w:t xml:space="preserve">ห้ามพนักงาน กรรมการ หรือผู้ใดแจ้ง/บอกใบ้แก่ลูกค้า ร้านค้า หรือบุคคลภายนอกว่ามีหรือกำลังจะมีการยื่น STR หรือกำลังถูกสืบสวน การฝ่าฝืนเป็นความผิดตามกฎหมายและวินัยร้ายแรง</w:t>
      </w:r>
    </w:p>
    <w:p>
      <w:pPr>
        <w:pStyle w:val="Compact"/>
        <w:numPr>
          <w:ilvl w:val="0"/>
          <w:numId w:val="1103"/>
        </w:numPr>
      </w:pPr>
      <w:r>
        <w:rPr>
          <w:b/>
          <w:bCs/>
        </w:rPr>
        <w:t xml:space="preserve">Need-to-know.</w:t>
      </w:r>
      <w:r>
        <w:t xml:space="preserve"> </w:t>
      </w:r>
      <w:r>
        <w:t xml:space="preserve">เข้าถึง case file / STR ได้เฉพาะ MLRO, Deputy MLRO, AML Analyst ที่รับผิดชอบ และผู้ที่ได้รับอนุญาตเป็นการเฉพาะเท่านั้น — บังคับด้วย RBAC และ MFA (สอดคล้อง PCI-DSS v4.0 Req 7–8)</w:t>
      </w:r>
    </w:p>
    <w:p>
      <w:pPr>
        <w:pStyle w:val="Compact"/>
        <w:numPr>
          <w:ilvl w:val="0"/>
          <w:numId w:val="1103"/>
        </w:numPr>
      </w:pPr>
      <w:r>
        <w:rPr>
          <w:b/>
          <w:bCs/>
        </w:rPr>
        <w:t xml:space="preserve">การคุ้มครองผู้รายงาน (Safe harbor).</w:t>
      </w:r>
      <w:r>
        <w:t xml:space="preserve"> </w:t>
      </w:r>
      <w:r>
        <w:t xml:space="preserve">พนักงานที่รายงานโดยสุจริตได้รับความคุ้มครองตามกฎหมาย AML และนโยบายบริษัท ห้ามตอบโต้ (no retaliation)</w:t>
      </w:r>
    </w:p>
    <w:p>
      <w:pPr>
        <w:pStyle w:val="Compact"/>
        <w:numPr>
          <w:ilvl w:val="0"/>
          <w:numId w:val="1103"/>
        </w:numPr>
      </w:pPr>
      <w:r>
        <w:rPr>
          <w:b/>
          <w:bCs/>
        </w:rPr>
        <w:t xml:space="preserve">PDPA vs. AML.</w:t>
      </w:r>
      <w:r>
        <w:t xml:space="preserve"> </w:t>
      </w:r>
      <w:r>
        <w:t xml:space="preserve">การประมวลผลข้อมูลส่วนบุคคลเพื่อยื่น STR/ทำ CDD อาศัย</w:t>
      </w:r>
      <w:r>
        <w:t xml:space="preserve"> </w:t>
      </w:r>
      <w:r>
        <w:rPr>
          <w:b/>
          <w:bCs/>
        </w:rPr>
        <w:t xml:space="preserve">ฐานการปฏิบัติตามกฎหมาย</w:t>
      </w:r>
      <w:r>
        <w:t xml:space="preserve"> </w:t>
      </w:r>
      <w:r>
        <w:t xml:space="preserve">ตาม PDPA จึง</w:t>
      </w:r>
      <w:r>
        <w:t xml:space="preserve"> </w:t>
      </w:r>
      <w:r>
        <w:rPr>
          <w:b/>
          <w:bCs/>
        </w:rPr>
        <w:t xml:space="preserve">ไม่ต้องขอความยินยอม</w:t>
      </w:r>
      <w:r>
        <w:t xml:space="preserve"> </w:t>
      </w:r>
      <w:r>
        <w:t xml:space="preserve">และ</w:t>
      </w:r>
      <w:r>
        <w:t xml:space="preserve"> </w:t>
      </w:r>
      <w:r>
        <w:rPr>
          <w:b/>
          <w:bCs/>
        </w:rPr>
        <w:t xml:space="preserve">ไม่แจ้ง data subject</w:t>
      </w:r>
      <w:r>
        <w:t xml:space="preserve"> </w:t>
      </w:r>
      <w:r>
        <w:t xml:space="preserve">เมื่อการแจ้งจะกระทบการสืบสวน (ข้อยกเว้นสิทธิ) โดยประสานงานกับ DPO และ PDPC ตามความจำเป็น</w:t>
      </w:r>
    </w:p>
    <w:p>
      <w:pPr>
        <w:pStyle w:val="Compact"/>
        <w:numPr>
          <w:ilvl w:val="0"/>
          <w:numId w:val="1103"/>
        </w:numPr>
      </w:pPr>
      <w:r>
        <w:rPr>
          <w:b/>
          <w:bCs/>
        </w:rPr>
        <w:t xml:space="preserve">ความปลอดภัยของข้อมูล.</w:t>
      </w:r>
      <w:r>
        <w:t xml:space="preserve"> </w:t>
      </w:r>
      <w:r>
        <w:t xml:space="preserve">จัดเก็บ case file แบบเข้ารหัส, การส่งไป ปปง. ใช้ช่องทาง/ใบรับรองที่กำหนด, ทุกการเข้าถึงบันทึกใน audit log ที่แก้ไขไม่ได้ (append-only)</w:t>
      </w:r>
    </w:p>
    <w:p>
      <w:r>
        <w:pict>
          <v:rect style="width:0;height:1.5pt" o:hralign="center" o:hrstd="t" o:hr="t"/>
        </w:pict>
      </w:r>
    </w:p>
    <w:bookmarkEnd w:id="263"/>
    <w:bookmarkStart w:id="264" w:name="Xa0d4f82ffde4b11145e106dd7ee64c0e9ed3c38"/>
    <w:p>
      <w:pPr>
        <w:pStyle w:val="Heading2"/>
      </w:pPr>
      <w:r>
        <w:t xml:space="preserve">6. การเก็บรักษาเอกสาร การฝึกอบรม และการตรวจสอบ (Recordkeeping, Training, Assurance)</w:t>
      </w:r>
    </w:p>
    <w:p>
      <w:pPr>
        <w:pStyle w:val="Compact"/>
        <w:numPr>
          <w:ilvl w:val="0"/>
          <w:numId w:val="1104"/>
        </w:numPr>
      </w:pPr>
      <w:r>
        <w:rPr>
          <w:b/>
          <w:bCs/>
        </w:rPr>
        <w:t xml:space="preserve">เก็บรักษา (Retention).</w:t>
      </w:r>
      <w:r>
        <w:t xml:space="preserve"> </w:t>
      </w:r>
      <w:r>
        <w:t xml:space="preserve">เก็บ case file, iSAR, บันทึกการตัดสินใจ (ทั้งยื่นและไม่ยื่น), หลักฐานการยื่น และเอกสาร CDD/EDD เป็นเวลา</w:t>
      </w:r>
      <w:r>
        <w:t xml:space="preserve"> </w:t>
      </w:r>
      <w:r>
        <w:rPr>
          <w:b/>
          <w:bCs/>
        </w:rPr>
        <w:t xml:space="preserve">อย่างน้อย 5 ปี</w:t>
      </w:r>
      <w:r>
        <w:t xml:space="preserve"> </w:t>
      </w:r>
      <w:r>
        <w:t xml:space="preserve">(แนะนำ 10 ปีเพื่อรองรับการสอบสวน) นับแต่ปิด case หรือสิ้นสุดความสัมพันธ์ทางธุรกิจ ตามที่กฎหมาย AML กำหนด</w:t>
      </w:r>
    </w:p>
    <w:p>
      <w:pPr>
        <w:pStyle w:val="Compact"/>
        <w:numPr>
          <w:ilvl w:val="0"/>
          <w:numId w:val="1104"/>
        </w:numPr>
      </w:pPr>
      <w:r>
        <w:rPr>
          <w:b/>
          <w:bCs/>
        </w:rPr>
        <w:t xml:space="preserve">ฝึกอบรม (Training).</w:t>
      </w:r>
      <w:r>
        <w:t xml:space="preserve"> </w:t>
      </w:r>
      <w:r>
        <w:t xml:space="preserve">พนักงานที่เกี่ยวข้องทุกคนอบรม AML/CFT + การรับรู้ tipping-off อย่างน้อย</w:t>
      </w:r>
      <w:r>
        <w:t xml:space="preserve"> </w:t>
      </w:r>
      <w:r>
        <w:rPr>
          <w:b/>
          <w:bCs/>
        </w:rPr>
        <w:t xml:space="preserve">ปีละครั้ง</w:t>
      </w:r>
      <w:r>
        <w:t xml:space="preserve"> </w:t>
      </w:r>
      <w:r>
        <w:t xml:space="preserve">และ onboarding สำหรับพนักงานใหม่ พร้อมบันทึกผล</w:t>
      </w:r>
    </w:p>
    <w:p>
      <w:pPr>
        <w:pStyle w:val="Compact"/>
        <w:numPr>
          <w:ilvl w:val="0"/>
          <w:numId w:val="1104"/>
        </w:numPr>
      </w:pPr>
      <w:r>
        <w:rPr>
          <w:b/>
          <w:bCs/>
        </w:rPr>
        <w:t xml:space="preserve">ทบทวนเกณฑ์ (Rule tuning).</w:t>
      </w:r>
      <w:r>
        <w:t xml:space="preserve"> </w:t>
      </w:r>
      <w:r>
        <w:t xml:space="preserve">AML Committee ทบทวนกฎ/threshold ของ Risk Engine อย่างน้อยทุกไตรมาส เพื่อลด false positive/negative</w:t>
      </w:r>
    </w:p>
    <w:p>
      <w:pPr>
        <w:pStyle w:val="Compact"/>
        <w:numPr>
          <w:ilvl w:val="0"/>
          <w:numId w:val="1104"/>
        </w:numPr>
      </w:pPr>
      <w:r>
        <w:rPr>
          <w:b/>
          <w:bCs/>
        </w:rPr>
        <w:t xml:space="preserve">การตรวจสอบอิสระ (Independent testing).</w:t>
      </w:r>
      <w:r>
        <w:t xml:space="preserve"> </w:t>
      </w:r>
      <w:r>
        <w:t xml:space="preserve">Internal Audit (แนวป้องกันที่ 3) ตรวจประสิทธิผลของกระบวนการ STR อย่างน้อยปีละครั้ง และรายงานต่อ Audit Committee</w:t>
      </w:r>
    </w:p>
    <w:p>
      <w:pPr>
        <w:pStyle w:val="Compact"/>
        <w:numPr>
          <w:ilvl w:val="0"/>
          <w:numId w:val="1104"/>
        </w:numPr>
      </w:pPr>
      <w:r>
        <w:rPr>
          <w:b/>
          <w:bCs/>
        </w:rPr>
        <w:t xml:space="preserve">การรายงานต่อผู้กำกับ.</w:t>
      </w:r>
      <w:r>
        <w:t xml:space="preserve"> </w:t>
      </w:r>
      <w:r>
        <w:t xml:space="preserve">สรุปสถิติ (จำนวน alert/iSAR/STR ที่ยื่น) รายงานต่อ AML Committee และ Board เป็นงวด</w:t>
      </w:r>
      <w:r>
        <w:t xml:space="preserve"> </w:t>
      </w:r>
      <w:r>
        <w:rPr>
          <w:b/>
          <w:bCs/>
        </w:rPr>
        <w:t xml:space="preserve">โดยไม่เปิดเผยรายละเอียดที่เป็นความลับของ STR</w:t>
      </w:r>
    </w:p>
    <w:p>
      <w:r>
        <w:pict>
          <v:rect style="width:0;height:1.5pt" o:hralign="center" o:hrstd="t" o:hr="t"/>
        </w:pict>
      </w:r>
    </w:p>
    <w:bookmarkEnd w:id="264"/>
    <w:bookmarkEnd w:id="265"/>
    <w:bookmarkStart w:id="274" w:name="X508cd1a91fc312a0d80db9dc26bc2bdad71a461"/>
    <w:p>
      <w:pPr>
        <w:pStyle w:val="Heading1"/>
      </w:pPr>
      <w:r>
        <w:t xml:space="preserve">Suspicious Activity/Transaction Reporting procedure to the Thai FIU/AMLO, thresholds, workflow, confidentiality (English)</w:t>
      </w:r>
    </w:p>
    <w:p>
      <w:pPr>
        <w:pStyle w:val="BlockText"/>
      </w:pPr>
      <w:r>
        <w:t xml:space="preserve">Supporting document for the license application for</w:t>
      </w:r>
      <w:r>
        <w:t xml:space="preserve"> </w:t>
      </w:r>
      <w:r>
        <w:rPr>
          <w:b/>
          <w:bCs/>
        </w:rPr>
        <w:t xml:space="preserve">Electronic Payment Acquiring Service</w:t>
      </w:r>
      <w:r>
        <w:t xml:space="preserve"> </w:t>
      </w:r>
      <w:r>
        <w:t xml:space="preserve">under the</w:t>
      </w:r>
      <w:r>
        <w:t xml:space="preserve"> </w:t>
      </w:r>
      <w:r>
        <w:rPr>
          <w:b/>
          <w:bCs/>
        </w:rPr>
        <w:t xml:space="preserve">Payment Systems Act B.E. 2560 (2017)</w:t>
      </w:r>
      <w:r>
        <w:t xml:space="preserve">, regulated by the</w:t>
      </w:r>
      <w:r>
        <w:t xml:space="preserve"> </w:t>
      </w:r>
      <w:r>
        <w:rPr>
          <w:b/>
          <w:bCs/>
        </w:rPr>
        <w:t xml:space="preserve">Bank of Thailand (BOT)</w:t>
      </w:r>
      <w:r>
        <w:t xml:space="preserve">, paid-up registered capital</w:t>
      </w:r>
      <w:r>
        <w:t xml:space="preserve"> </w:t>
      </w:r>
      <w:r>
        <w:rPr>
          <w:b/>
          <w:bCs/>
        </w:rPr>
        <w:t xml:space="preserve">THB 50 million</w:t>
      </w:r>
      <w:r>
        <w:t xml:space="preserve">,</w:t>
      </w:r>
      <w:r>
        <w:t xml:space="preserve"> </w:t>
      </w:r>
      <w:r>
        <w:t xml:space="preserve">alongside</w:t>
      </w:r>
      <w:r>
        <w:t xml:space="preserve"> </w:t>
      </w:r>
      <w:r>
        <w:rPr>
          <w:b/>
          <w:bCs/>
        </w:rPr>
        <w:t xml:space="preserve">PCI-DSS v4.0 Level 1</w:t>
      </w:r>
      <w:r>
        <w:t xml:space="preserve">, and obligations under the</w:t>
      </w:r>
      <w:r>
        <w:t xml:space="preserve"> </w:t>
      </w:r>
      <w:r>
        <w:rPr>
          <w:b/>
          <w:bCs/>
        </w:rPr>
        <w:t xml:space="preserve">Anti-Money Laundering Act B.E. 2542</w:t>
      </w:r>
      <w:r>
        <w:t xml:space="preserve"> </w:t>
      </w:r>
      <w:r>
        <w:t xml:space="preserve">(as amended), regulated by the</w:t>
      </w:r>
      <w:r>
        <w:t xml:space="preserve"> </w:t>
      </w:r>
      <w:r>
        <w:rPr>
          <w:b/>
          <w:bCs/>
        </w:rPr>
        <w:t xml:space="preserve">Anti-Money Laundering Office (AMLO — the Thai Financial Intelligence Unit / FIU)</w:t>
      </w:r>
      <w:r>
        <w:t xml:space="preserve">.</w:t>
      </w:r>
    </w:p>
    <w:p>
      <w:pPr>
        <w:pStyle w:val="BlockText"/>
      </w:pPr>
      <w:r>
        <w:t xml:space="preserve">Document code:</w:t>
      </w:r>
      <w:r>
        <w:t xml:space="preserve"> </w:t>
      </w:r>
      <w:r>
        <w:rPr>
          <w:rStyle w:val="VerbatimChar"/>
        </w:rPr>
        <w:t xml:space="preserve">COMP-07</w:t>
      </w:r>
      <w:r>
        <w:t xml:space="preserve"> </w:t>
      </w:r>
      <w:r>
        <w:t xml:space="preserve">· Version 0.1 · Owner: Money Laundering Reporting Officer (MLRO) / Chief Compliance Officer (CCO)</w:t>
      </w:r>
      <w:r>
        <w:t xml:space="preserve"> </w:t>
      </w:r>
      <w:r>
        <w:t xml:space="preserve">Related documents: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./04-org-chart-governance.md</w:t>
      </w:r>
    </w:p>
    <w:p>
      <w:pPr>
        <w:pStyle w:val="BlockText"/>
      </w:pPr>
      <w:r>
        <w:rPr>
          <w:b/>
          <w:bCs/>
        </w:rPr>
        <w:t xml:space="preserve">Disclaimer:</w:t>
      </w:r>
      <w:r>
        <w:t xml:space="preserve"> </w:t>
      </w:r>
      <w:r>
        <w:t xml:space="preserve">This document is a structural reference, not legal advice. It must be reviewed by AML and BOT-licensing legal counsel before actual submission.</w:t>
      </w:r>
    </w:p>
    <w:p>
      <w:r>
        <w:pict>
          <v:rect style="width:0;height:1.5pt" o:hralign="center" o:hrstd="t" o:hr="t"/>
        </w:pict>
      </w:r>
    </w:p>
    <w:p>
      <w:pPr>
        <w:pStyle w:val="BlockText"/>
      </w:pPr>
      <w:r>
        <w:t xml:space="preserve">[!IMPORTANT]</w:t>
      </w:r>
      <w:r>
        <w:t xml:space="preserve"> </w:t>
      </w:r>
      <w:r>
        <w:rPr>
          <w:b/>
          <w:bCs/>
        </w:rPr>
        <w:t xml:space="preserve">Assumptions / TODO</w:t>
      </w:r>
      <w:r>
        <w:t xml:space="preserve"> </w:t>
      </w:r>
      <w:r>
        <w:t xml:space="preserve">— real values must be filled in before submission to BOT/AMLO.</w:t>
      </w:r>
    </w:p>
    <w:tbl>
      <w:tblPr>
        <w:tblStyle w:val="Table"/>
        <w:tblW w:type="pct" w:w="5000"/>
        <w:tblLayout w:type="fixed"/>
        <w:tblLook w:firstRow="1" w:lastRow="0" w:firstColumn="0" w:lastColumn="0" w:noHBand="0" w:noVBand="0" w:val="0020"/>
      </w:tblPr>
      <w:tblGrid>
        <w:gridCol w:w="990"/>
        <w:gridCol w:w="1980"/>
        <w:gridCol w:w="2640"/>
        <w:gridCol w:w="2310"/>
      </w:tblGrid>
      <w:tr>
        <w:trPr>
          <w:tblHeader w:val="on"/>
        </w:trPr>
        <w:tc>
          <w:tcPr/>
          <w:p>
            <w:pPr>
              <w:pStyle w:val="Compact"/>
            </w:pPr>
            <w:r>
              <w:t xml:space="preserve">#</w:t>
            </w:r>
          </w:p>
        </w:tc>
        <w:tc>
          <w:tcPr/>
          <w:p>
            <w:pPr>
              <w:pStyle w:val="Compact"/>
            </w:pPr>
            <w:r>
              <w:t xml:space="preserve">Item</w:t>
            </w:r>
          </w:p>
        </w:tc>
        <w:tc>
          <w:tcPr/>
          <w:p>
            <w:pPr>
              <w:pStyle w:val="Compact"/>
            </w:pPr>
            <w:r>
              <w:t xml:space="preserve">Status</w:t>
            </w:r>
          </w:p>
        </w:tc>
        <w:tc>
          <w:tcPr/>
          <w:p>
            <w:pPr>
              <w:pStyle w:val="Compact"/>
            </w:pPr>
            <w:r>
              <w:t xml:space="preserve">Owner</w:t>
            </w:r>
          </w:p>
        </w:tc>
      </w:tr>
      <w:tr>
        <w:tc>
          <w:tcPr/>
          <w:p>
            <w:pPr>
              <w:pStyle w:val="Compact"/>
            </w:pPr>
            <w:r>
              <w:t xml:space="preserve">A1</w:t>
            </w:r>
          </w:p>
        </w:tc>
        <w:tc>
          <w:tcPr/>
          <w:p>
            <w:pPr>
              <w:pStyle w:val="Compact"/>
            </w:pPr>
            <w:r>
              <w:rPr>
                <w:b/>
                <w:bCs/>
              </w:rPr>
              <w:t xml:space="preserve">Actual company name</w:t>
            </w:r>
            <w:r>
              <w:t xml:space="preserve"> </w:t>
            </w:r>
            <w:r>
              <w:t xml:space="preserve">— placeholder</w:t>
            </w:r>
            <w:r>
              <w:t xml:space="preserve"> </w:t>
            </w:r>
            <w:r>
              <w:rPr>
                <w:rStyle w:val="VerbatimChar"/>
              </w:rPr>
              <w:t xml:space="preserve">[บริษัท / Company]</w:t>
            </w:r>
            <w:r>
              <w:t xml:space="preserve"> </w:t>
            </w:r>
            <w:r>
              <w:t xml:space="preserve">used throughout</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AMLO reporting-entity registration number</w:t>
            </w:r>
            <w:r>
              <w:t xml:space="preserve"> </w:t>
            </w:r>
            <w:r>
              <w:t xml:space="preserve">and enrolment in AMLO’s</w:t>
            </w:r>
            <w:r>
              <w:t xml:space="preserve"> </w:t>
            </w:r>
            <w:r>
              <w:rPr>
                <w:b/>
                <w:bCs/>
              </w:rPr>
              <w:t xml:space="preserve">electronic filing (e-Filing / AERB)</w:t>
            </w:r>
            <w:r>
              <w:t xml:space="preserve"> </w:t>
            </w:r>
            <w:r>
              <w:t xml:space="preserve">system</w:t>
            </w:r>
          </w:p>
        </w:tc>
        <w:tc>
          <w:tcPr/>
          <w:p>
            <w:pPr>
              <w:pStyle w:val="Compact"/>
            </w:pPr>
            <w:r>
              <w:t xml:space="preserve">Open</w:t>
            </w:r>
          </w:p>
        </w:tc>
        <w:tc>
          <w:tcPr/>
          <w:p>
            <w:pPr>
              <w:pStyle w:val="Compact"/>
            </w:pPr>
            <w:r>
              <w:t xml:space="preserve">MLRO</w:t>
            </w:r>
          </w:p>
        </w:tc>
      </w:tr>
      <w:tr>
        <w:tc>
          <w:tcPr/>
          <w:p>
            <w:pPr>
              <w:pStyle w:val="Compact"/>
            </w:pPr>
            <w:r>
              <w:t xml:space="preserve">A3</w:t>
            </w:r>
          </w:p>
        </w:tc>
        <w:tc>
          <w:tcPr/>
          <w:p>
            <w:pPr>
              <w:pStyle w:val="Compact"/>
            </w:pPr>
            <w:r>
              <w:rPr>
                <w:b/>
                <w:bCs/>
              </w:rPr>
              <w:t xml:space="preserve">Formal appointment letters for MLRO and Deputy MLRO</w:t>
            </w:r>
            <w:r>
              <w:t xml:space="preserve"> </w:t>
            </w:r>
            <w:r>
              <w:t xml:space="preserve">(names notified to AMLO)</w:t>
            </w:r>
          </w:p>
        </w:tc>
        <w:tc>
          <w:tcPr/>
          <w:p>
            <w:pPr>
              <w:pStyle w:val="Compact"/>
            </w:pPr>
            <w:r>
              <w:t xml:space="preserve">TODO</w:t>
            </w:r>
          </w:p>
        </w:tc>
        <w:tc>
          <w:tcPr/>
          <w:p>
            <w:pPr>
              <w:pStyle w:val="Compact"/>
            </w:pPr>
            <w:r>
              <w:t xml:space="preserve">CCO / Board</w:t>
            </w:r>
          </w:p>
        </w:tc>
      </w:tr>
      <w:tr>
        <w:tc>
          <w:tcPr/>
          <w:p>
            <w:pPr>
              <w:pStyle w:val="Compact"/>
            </w:pPr>
            <w:r>
              <w:t xml:space="preserve">A4</w:t>
            </w:r>
          </w:p>
        </w:tc>
        <w:tc>
          <w:tcPr/>
          <w:p>
            <w:pPr>
              <w:pStyle w:val="Compact"/>
            </w:pPr>
            <w:r>
              <w:rPr>
                <w:b/>
                <w:bCs/>
              </w:rPr>
              <w:t xml:space="preserve">Sponsor / Acquiring bank</w:t>
            </w:r>
            <w:r>
              <w:t xml:space="preserve"> </w:t>
            </w:r>
            <w:r>
              <w:t xml:space="preserve">— not yet signed (Path B per ROADMAP); affects layered reporting &amp; information sharing</w:t>
            </w:r>
          </w:p>
        </w:tc>
        <w:tc>
          <w:tcPr/>
          <w:p>
            <w:pPr>
              <w:pStyle w:val="Compact"/>
            </w:pPr>
            <w:r>
              <w:t xml:space="preserve">Open</w:t>
            </w:r>
          </w:p>
        </w:tc>
        <w:tc>
          <w:tcPr/>
          <w:p>
            <w:pPr>
              <w:pStyle w:val="Compact"/>
            </w:pPr>
            <w:r>
              <w:t xml:space="preserve">CEO / Head of Partnerships</w:t>
            </w:r>
          </w:p>
        </w:tc>
      </w:tr>
      <w:tr>
        <w:tc>
          <w:tcPr/>
          <w:p>
            <w:pPr>
              <w:pStyle w:val="Compact"/>
            </w:pPr>
            <w:r>
              <w:t xml:space="preserve">A5</w:t>
            </w:r>
          </w:p>
        </w:tc>
        <w:tc>
          <w:tcPr/>
          <w:p>
            <w:pPr>
              <w:pStyle w:val="Compact"/>
            </w:pPr>
            <w:r>
              <w:rPr>
                <w:b/>
                <w:bCs/>
              </w:rPr>
              <w:t xml:space="preserve">Sanction/PEP/adverse-media screening vendor</w:t>
            </w:r>
            <w:r>
              <w:t xml:space="preserve"> </w:t>
            </w:r>
            <w:r>
              <w:t xml:space="preserve">(e.g., Dow Jones, LexisNexis, ComplyAdvantage) — not yet selected</w:t>
            </w:r>
          </w:p>
        </w:tc>
        <w:tc>
          <w:tcPr/>
          <w:p>
            <w:pPr>
              <w:pStyle w:val="Compact"/>
            </w:pPr>
            <w:r>
              <w:t xml:space="preserve">Open</w:t>
            </w:r>
          </w:p>
        </w:tc>
        <w:tc>
          <w:tcPr/>
          <w:p>
            <w:pPr>
              <w:pStyle w:val="Compact"/>
            </w:pPr>
            <w:r>
              <w:t xml:space="preserve">MLRO / CISO</w:t>
            </w:r>
          </w:p>
        </w:tc>
      </w:tr>
      <w:tr>
        <w:tc>
          <w:tcPr/>
          <w:p>
            <w:pPr>
              <w:pStyle w:val="Compact"/>
            </w:pPr>
            <w:r>
              <w:t xml:space="preserve">A6</w:t>
            </w:r>
          </w:p>
        </w:tc>
        <w:tc>
          <w:tcPr/>
          <w:p>
            <w:pPr>
              <w:pStyle w:val="Compact"/>
            </w:pPr>
            <w:r>
              <w:rPr>
                <w:b/>
                <w:bCs/>
              </w:rPr>
              <w:t xml:space="preserve">Cash/asset transaction thresholds per ministerial regulation</w:t>
            </w:r>
            <w:r>
              <w:t xml:space="preserve"> </w:t>
            </w:r>
            <w:r>
              <w:t xml:space="preserve">— confirm latest figures as of filing date (see §3)</w:t>
            </w:r>
          </w:p>
        </w:tc>
        <w:tc>
          <w:tcPr/>
          <w:p>
            <w:pPr>
              <w:pStyle w:val="Compact"/>
            </w:pPr>
            <w:r>
              <w:t xml:space="preserve">TODO</w:t>
            </w:r>
          </w:p>
        </w:tc>
        <w:tc>
          <w:tcPr/>
          <w:p>
            <w:pPr>
              <w:pStyle w:val="Compact"/>
            </w:pPr>
            <w:r>
              <w:t xml:space="preserve">MLRO / AML counsel</w:t>
            </w:r>
          </w:p>
        </w:tc>
      </w:tr>
      <w:tr>
        <w:tc>
          <w:tcPr/>
          <w:p>
            <w:pPr>
              <w:pStyle w:val="Compact"/>
            </w:pPr>
            <w:r>
              <w:t xml:space="preserve">A7</w:t>
            </w:r>
          </w:p>
        </w:tc>
        <w:tc>
          <w:tcPr/>
          <w:p>
            <w:pPr>
              <w:pStyle w:val="Compact"/>
            </w:pPr>
            <w:r>
              <w:rPr>
                <w:b/>
                <w:bCs/>
              </w:rPr>
              <w:t xml:space="preserve">Official AMLO report forms</w:t>
            </w:r>
            <w:r>
              <w:t xml:space="preserve"> </w:t>
            </w:r>
            <w:r>
              <w:t xml:space="preserve">(Por Por Ngor 1-01 / 1-02 / 1-03 or latest) — confirm current form version</w:t>
            </w:r>
          </w:p>
        </w:tc>
        <w:tc>
          <w:tcPr/>
          <w:p>
            <w:pPr>
              <w:pStyle w:val="Compact"/>
            </w:pPr>
            <w:r>
              <w:t xml:space="preserve">TODO</w:t>
            </w:r>
          </w:p>
        </w:tc>
        <w:tc>
          <w:tcPr/>
          <w:p>
            <w:pPr>
              <w:pStyle w:val="Compact"/>
            </w:pPr>
            <w:r>
              <w:t xml:space="preserve">MLRO</w:t>
            </w:r>
          </w:p>
        </w:tc>
      </w:tr>
      <w:tr>
        <w:tc>
          <w:tcPr/>
          <w:p>
            <w:pPr>
              <w:pStyle w:val="Compact"/>
            </w:pPr>
            <w:r>
              <w:t xml:space="preserve">A8</w:t>
            </w:r>
          </w:p>
        </w:tc>
        <w:tc>
          <w:tcPr/>
          <w:p>
            <w:pPr>
              <w:pStyle w:val="Compact"/>
            </w:pPr>
            <w:r>
              <w:rPr>
                <w:b/>
                <w:bCs/>
              </w:rPr>
              <w:t xml:space="preserve">Actual filing channel</w:t>
            </w:r>
            <w:r>
              <w:t xml:space="preserve"> </w:t>
            </w:r>
            <w:r>
              <w:t xml:space="preserve">(AMLO electronic system vs. paper) and the digital certificate used</w:t>
            </w:r>
          </w:p>
        </w:tc>
        <w:tc>
          <w:tcPr/>
          <w:p>
            <w:pPr>
              <w:pStyle w:val="Compact"/>
            </w:pPr>
            <w:r>
              <w:t xml:space="preserve">Open</w:t>
            </w:r>
          </w:p>
        </w:tc>
        <w:tc>
          <w:tcPr/>
          <w:p>
            <w:pPr>
              <w:pStyle w:val="Compact"/>
            </w:pPr>
            <w:r>
              <w:t xml:space="preserve">MLRO / IT</w:t>
            </w:r>
          </w:p>
        </w:tc>
      </w:tr>
    </w:tbl>
    <w:p>
      <w:pPr>
        <w:pStyle w:val="BlockText"/>
      </w:pPr>
      <w:r>
        <w:t xml:space="preserve">Do not enter fabricated numbers/names/registration IDs into the actual submission — only verifiable data is permitted.</w:t>
      </w:r>
      <w:r>
        <w:t xml:space="preserve"> </w:t>
      </w:r>
      <w:r>
        <w:t xml:space="preserve">Threshold figures in this document reference generally-applicable law and</w:t>
      </w:r>
      <w:r>
        <w:t xml:space="preserve"> </w:t>
      </w:r>
      <w:r>
        <w:rPr>
          <w:b/>
          <w:bCs/>
        </w:rPr>
        <w:t xml:space="preserve">must be verified against the latest ministerial regulation before filing.</w:t>
      </w:r>
    </w:p>
    <w:p>
      <w:r>
        <w:pict>
          <v:rect style="width:0;height:1.5pt" o:hralign="center" o:hrstd="t" o:hr="t"/>
        </w:pict>
      </w:r>
    </w:p>
    <w:bookmarkStart w:id="266" w:name="purpose-scope-1"/>
    <w:p>
      <w:pPr>
        <w:pStyle w:val="Heading2"/>
      </w:pPr>
      <w:r>
        <w:t xml:space="preserve">1. Purpose &amp; Scope</w:t>
      </w:r>
    </w:p>
    <w:p>
      <w:pPr>
        <w:pStyle w:val="FirstParagraph"/>
      </w:pPr>
      <w:r>
        <w:t xml:space="preserve">This document defines the</w:t>
      </w:r>
      <w:r>
        <w:t xml:space="preserve"> </w:t>
      </w:r>
      <w:r>
        <w:rPr>
          <w:b/>
          <w:bCs/>
        </w:rPr>
        <w:t xml:space="preserve">policy and standard operating procedure (SOP)</w:t>
      </w:r>
      <w:r>
        <w:t xml:space="preserve"> </w:t>
      </w:r>
      <w:r>
        <w:t xml:space="preserve">for detecting, analysing, escalating, and reporting</w:t>
      </w:r>
      <w:r>
        <w:t xml:space="preserve"> </w:t>
      </w:r>
      <w:r>
        <w:rPr>
          <w:b/>
          <w:bCs/>
        </w:rPr>
        <w:t xml:space="preserve">Suspicious Transaction Reports (STRs)</w:t>
      </w:r>
      <w:r>
        <w:t xml:space="preserve"> </w:t>
      </w:r>
      <w:r>
        <w:t xml:space="preserve">and</w:t>
      </w:r>
      <w:r>
        <w:t xml:space="preserve"> </w:t>
      </w:r>
      <w:r>
        <w:rPr>
          <w:b/>
          <w:bCs/>
        </w:rPr>
        <w:t xml:space="preserve">Cash/Threshold Transaction Reports (CTR/TTR)</w:t>
      </w:r>
      <w:r>
        <w:t xml:space="preserve"> </w:t>
      </w:r>
      <w:r>
        <w:t xml:space="preserve">to the</w:t>
      </w:r>
      <w:r>
        <w:t xml:space="preserve"> </w:t>
      </w:r>
      <w:r>
        <w:rPr>
          <w:b/>
          <w:bCs/>
        </w:rPr>
        <w:t xml:space="preserve">Anti-Money Laundering Office (AMLO)</w:t>
      </w:r>
      <w:r>
        <w:t xml:space="preserve">, which acts as</w:t>
      </w:r>
      <w:r>
        <w:t xml:space="preserve"> </w:t>
      </w:r>
      <w:r>
        <w:rPr>
          <w:b/>
          <w:bCs/>
        </w:rPr>
        <w:t xml:space="preserve">Thailand’s Financial Intelligence Unit (FIU)</w:t>
      </w:r>
      <w:r>
        <w:t xml:space="preserve">.</w:t>
      </w:r>
    </w:p>
    <w:p>
      <w:pPr>
        <w:pStyle w:val="BodyText"/>
      </w:pPr>
      <w:r>
        <w:rPr>
          <w:b/>
          <w:bCs/>
        </w:rPr>
        <w:t xml:space="preserve">Applicability:</w:t>
      </w:r>
      <w:r>
        <w:t xml:space="preserve"> </w:t>
      </w:r>
      <w:r>
        <w:t xml:space="preserve">All units of [บริษัท / Company] involved in merchant onboarding, card/QR transaction processing, reconciliation and settlement, merchant payout, and dispute/chargeback handling — including employees, executives, directors, and outsourced service providers with access to transaction data.</w:t>
      </w:r>
    </w:p>
    <w:p>
      <w:pPr>
        <w:pStyle w:val="BodyText"/>
      </w:pPr>
      <w:r>
        <w:rPr>
          <w:b/>
          <w:bCs/>
        </w:rPr>
        <w:t xml:space="preserve">Relationship to system architecture:</w:t>
      </w:r>
      <w:r>
        <w:t xml:space="preserve"> </w:t>
      </w:r>
      <w:r>
        <w:t xml:space="preserve">Detection signals are drawn from the</w:t>
      </w:r>
      <w:r>
        <w:t xml:space="preserve"> </w:t>
      </w:r>
      <w:r>
        <w:rPr>
          <w:rStyle w:val="VerbatimChar"/>
        </w:rPr>
        <w:t xml:space="preserve">payments</w:t>
      </w:r>
      <w:r>
        <w:t xml:space="preserve">,</w:t>
      </w:r>
      <w:r>
        <w:t xml:space="preserve"> </w:t>
      </w:r>
      <w:r>
        <w:rPr>
          <w:rStyle w:val="VerbatimChar"/>
        </w:rPr>
        <w:t xml:space="preserve">ledger_entries</w:t>
      </w:r>
      <w:r>
        <w:t xml:space="preserve">,</w:t>
      </w:r>
      <w:r>
        <w:t xml:space="preserve"> </w:t>
      </w:r>
      <w:r>
        <w:rPr>
          <w:rStyle w:val="VerbatimChar"/>
        </w:rPr>
        <w:t xml:space="preserve">refunds</w:t>
      </w:r>
      <w:r>
        <w:t xml:space="preserve">,</w:t>
      </w:r>
      <w:r>
        <w:t xml:space="preserve"> </w:t>
      </w:r>
      <w:r>
        <w:rPr>
          <w:rStyle w:val="VerbatimChar"/>
        </w:rPr>
        <w:t xml:space="preserve">webhook_events</w:t>
      </w:r>
      <w:r>
        <w:t xml:space="preserve">,</w:t>
      </w:r>
      <w:r>
        <w:t xml:space="preserve"> </w:t>
      </w:r>
      <w:r>
        <w:rPr>
          <w:rStyle w:val="VerbatimChar"/>
        </w:rPr>
        <w:t xml:space="preserve">merchants</w:t>
      </w:r>
      <w:r>
        <w:t xml:space="preserve">, and</w:t>
      </w:r>
      <w:r>
        <w:t xml:space="preserve"> </w:t>
      </w:r>
      <w:r>
        <w:rPr>
          <w:rStyle w:val="VerbatimChar"/>
        </w:rPr>
        <w:t xml:space="preserve">audit_log</w:t>
      </w:r>
      <w:r>
        <w:t xml:space="preserve"> </w:t>
      </w:r>
      <w:r>
        <w:t xml:space="preserve">tables per</w:t>
      </w:r>
      <w:r>
        <w:t xml:space="preserve"> </w:t>
      </w:r>
      <w:r>
        <w:rPr>
          <w:rStyle w:val="VerbatimChar"/>
        </w:rPr>
        <w:t xml:space="preserve">ARCHITECTURE.md</w:t>
      </w:r>
      <w:r>
        <w:t xml:space="preserve">, with the Risk/Fraud Engine providing first-layer velocity/anomaly scoring. Under no circumstances may the AML system access or store PAN/CVV/PIN — only</w:t>
      </w:r>
      <w:r>
        <w:t xml:space="preserve"> </w:t>
      </w:r>
      <w:r>
        <w:rPr>
          <w:rStyle w:val="VerbatimChar"/>
        </w:rPr>
        <w:t xml:space="preserve">card_brand</w:t>
      </w:r>
      <w:r>
        <w:t xml:space="preserve">,</w:t>
      </w:r>
      <w:r>
        <w:t xml:space="preserve"> </w:t>
      </w:r>
      <w:r>
        <w:rPr>
          <w:rStyle w:val="VerbatimChar"/>
        </w:rPr>
        <w:t xml:space="preserve">card_last4</w:t>
      </w:r>
      <w:r>
        <w:t xml:space="preserve">, tokens, and merchant KYC data may be used.</w:t>
      </w:r>
    </w:p>
    <w:p>
      <w:r>
        <w:pict>
          <v:rect style="width:0;height:1.5pt" o:hralign="center" o:hrstd="t" o:hr="t"/>
        </w:pict>
      </w:r>
    </w:p>
    <w:bookmarkEnd w:id="266"/>
    <w:bookmarkStart w:id="267" w:name="roles-responsibilities"/>
    <w:p>
      <w:pPr>
        <w:pStyle w:val="Heading2"/>
      </w:pPr>
      <w:r>
        <w:t xml:space="preserve">2. Roles &amp; Responsibilities</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Role</w:t>
            </w:r>
          </w:p>
        </w:tc>
        <w:tc>
          <w:tcPr/>
          <w:p>
            <w:pPr>
              <w:pStyle w:val="Compact"/>
            </w:pPr>
            <w:r>
              <w:t xml:space="preserve">Primary AML/STR responsibility</w:t>
            </w:r>
          </w:p>
        </w:tc>
      </w:tr>
      <w:tr>
        <w:tc>
          <w:tcPr/>
          <w:p>
            <w:pPr>
              <w:pStyle w:val="Compact"/>
            </w:pPr>
            <w:r>
              <w:rPr>
                <w:b/>
                <w:bCs/>
              </w:rPr>
              <w:t xml:space="preserve">Board of Directors</w:t>
            </w:r>
          </w:p>
        </w:tc>
        <w:tc>
          <w:tcPr/>
          <w:p>
            <w:pPr>
              <w:pStyle w:val="Compact"/>
            </w:pPr>
            <w:r>
              <w:t xml:space="preserve">Approve AML/CFT policy; receive aggregate statistical reporting (excluding confidential STR details); allocate resources</w:t>
            </w:r>
          </w:p>
        </w:tc>
      </w:tr>
      <w:tr>
        <w:tc>
          <w:tcPr/>
          <w:p>
            <w:pPr>
              <w:pStyle w:val="Compact"/>
            </w:pPr>
            <w:r>
              <w:rPr>
                <w:b/>
                <w:bCs/>
              </w:rPr>
              <w:t xml:space="preserve">AML Committee</w:t>
            </w:r>
          </w:p>
        </w:tc>
        <w:tc>
          <w:tcPr/>
          <w:p>
            <w:pPr>
              <w:pStyle w:val="Compact"/>
            </w:pPr>
            <w:r>
              <w:t xml:space="preserve">Operational oversight of the AML program; review rules/thresholds; approve high-risk cases</w:t>
            </w:r>
          </w:p>
        </w:tc>
      </w:tr>
      <w:tr>
        <w:tc>
          <w:tcPr/>
          <w:p>
            <w:pPr>
              <w:pStyle w:val="Compact"/>
            </w:pPr>
            <w:r>
              <w:rPr>
                <w:b/>
                <w:bCs/>
              </w:rPr>
              <w:t xml:space="preserve">MLRO (Money Laundering Reporting Officer)</w:t>
            </w:r>
          </w:p>
        </w:tc>
        <w:tc>
          <w:tcPr/>
          <w:p>
            <w:pPr>
              <w:pStyle w:val="Compact"/>
            </w:pPr>
            <w:r>
              <w:rPr>
                <w:b/>
                <w:bCs/>
              </w:rPr>
              <w:t xml:space="preserve">Final authority to file/not file an STR with AMLO</w:t>
            </w:r>
            <w:r>
              <w:t xml:space="preserve">; signs reports; official AMLO point of contact; guards confidentiality (tipping-off)</w:t>
            </w:r>
          </w:p>
        </w:tc>
      </w:tr>
      <w:tr>
        <w:tc>
          <w:tcPr/>
          <w:p>
            <w:pPr>
              <w:pStyle w:val="Compact"/>
            </w:pPr>
            <w:r>
              <w:rPr>
                <w:b/>
                <w:bCs/>
              </w:rPr>
              <w:t xml:space="preserve">Deputy MLRO</w:t>
            </w:r>
          </w:p>
        </w:tc>
        <w:tc>
          <w:tcPr/>
          <w:p>
            <w:pPr>
              <w:pStyle w:val="Compact"/>
            </w:pPr>
            <w:r>
              <w:t xml:space="preserve">Acts for the MLRO on absence/conflict of interest; second-line case review</w:t>
            </w:r>
          </w:p>
        </w:tc>
      </w:tr>
      <w:tr>
        <w:tc>
          <w:tcPr/>
          <w:p>
            <w:pPr>
              <w:pStyle w:val="Compact"/>
            </w:pPr>
            <w:r>
              <w:rPr>
                <w:b/>
                <w:bCs/>
              </w:rPr>
              <w:t xml:space="preserve">AML Analyst / Compliance Ops (1st review)</w:t>
            </w:r>
          </w:p>
        </w:tc>
        <w:tc>
          <w:tcPr/>
          <w:p>
            <w:pPr>
              <w:pStyle w:val="Compact"/>
            </w:pPr>
            <w:r>
              <w:t xml:space="preserve">Receive alerts, research, build the case file, provide preliminary opinion</w:t>
            </w:r>
          </w:p>
        </w:tc>
      </w:tr>
      <w:tr>
        <w:tc>
          <w:tcPr/>
          <w:p>
            <w:pPr>
              <w:pStyle w:val="Compact"/>
            </w:pPr>
            <w:r>
              <w:rPr>
                <w:b/>
                <w:bCs/>
              </w:rPr>
              <w:t xml:space="preserve">Frontline (Merchant Onboarding / Ops)</w:t>
            </w:r>
          </w:p>
        </w:tc>
        <w:tc>
          <w:tcPr/>
          <w:p>
            <w:pPr>
              <w:pStyle w:val="Compact"/>
            </w:pPr>
            <w:r>
              <w:t xml:space="preserve">File an</w:t>
            </w:r>
            <w:r>
              <w:t xml:space="preserve"> </w:t>
            </w:r>
            <w:r>
              <w:rPr>
                <w:b/>
                <w:bCs/>
              </w:rPr>
              <w:t xml:space="preserve">Internal Suspicious Activity Report (iSAR)</w:t>
            </w:r>
            <w:r>
              <w:t xml:space="preserve"> </w:t>
            </w:r>
            <w:r>
              <w:t xml:space="preserve">on abnormal behaviour; perform KYC/CDD/EDD</w:t>
            </w:r>
          </w:p>
        </w:tc>
      </w:tr>
      <w:tr>
        <w:tc>
          <w:tcPr/>
          <w:p>
            <w:pPr>
              <w:pStyle w:val="Compact"/>
            </w:pPr>
            <w:r>
              <w:rPr>
                <w:b/>
                <w:bCs/>
              </w:rPr>
              <w:t xml:space="preserve">CISO / IT</w:t>
            </w:r>
          </w:p>
        </w:tc>
        <w:tc>
          <w:tcPr/>
          <w:p>
            <w:pPr>
              <w:pStyle w:val="Compact"/>
            </w:pPr>
            <w:r>
              <w:t xml:space="preserve">Maintain screening systems, log integrity, case-file security, encrypted transmission</w:t>
            </w:r>
          </w:p>
        </w:tc>
      </w:tr>
      <w:tr>
        <w:tc>
          <w:tcPr/>
          <w:p>
            <w:pPr>
              <w:pStyle w:val="Compact"/>
            </w:pPr>
            <w:r>
              <w:rPr>
                <w:b/>
                <w:bCs/>
              </w:rPr>
              <w:t xml:space="preserve">Internal Audit (3rd line)</w:t>
            </w:r>
          </w:p>
        </w:tc>
        <w:tc>
          <w:tcPr/>
          <w:p>
            <w:pPr>
              <w:pStyle w:val="Compact"/>
            </w:pPr>
            <w:r>
              <w:t xml:space="preserve">Independently test STR-process effectiveness at least annually</w:t>
            </w:r>
          </w:p>
        </w:tc>
      </w:tr>
      <w:tr>
        <w:tc>
          <w:tcPr/>
          <w:p>
            <w:pPr>
              <w:pStyle w:val="Compact"/>
            </w:pPr>
            <w:r>
              <w:rPr>
                <w:b/>
                <w:bCs/>
              </w:rPr>
              <w:t xml:space="preserve">DPO (Data Protection Officer)</w:t>
            </w:r>
          </w:p>
        </w:tc>
        <w:tc>
          <w:tcPr/>
          <w:p>
            <w:pPr>
              <w:pStyle w:val="Compact"/>
            </w:pPr>
            <w:r>
              <w:t xml:space="preserve">Ensure PDPA alignment, especially the legal-obligation exemption for AML</w:t>
            </w:r>
          </w:p>
        </w:tc>
      </w:tr>
    </w:tbl>
    <w:p>
      <w:pPr>
        <w:pStyle w:val="BlockText"/>
      </w:pPr>
      <w:r>
        <w:rPr>
          <w:b/>
          <w:bCs/>
        </w:rPr>
        <w:t xml:space="preserve">Key principle:</w:t>
      </w:r>
      <w:r>
        <w:t xml:space="preserve"> </w:t>
      </w:r>
      <w:r>
        <w:t xml:space="preserve">Every employee has a</w:t>
      </w:r>
      <w:r>
        <w:t xml:space="preserve"> </w:t>
      </w:r>
      <w:r>
        <w:rPr>
          <w:i/>
          <w:iCs/>
        </w:rPr>
        <w:t xml:space="preserve">duty to report internally</w:t>
      </w:r>
      <w:r>
        <w:t xml:space="preserve">, but</w:t>
      </w:r>
      <w:r>
        <w:t xml:space="preserve"> </w:t>
      </w:r>
      <w:r>
        <w:rPr>
          <w:b/>
          <w:bCs/>
        </w:rPr>
        <w:t xml:space="preserve">only the MLRO/Deputy MLRO</w:t>
      </w:r>
      <w:r>
        <w:t xml:space="preserve"> </w:t>
      </w:r>
      <w:r>
        <w:t xml:space="preserve">may file a report externally to AMLO — to preserve confidentiality and consistency.</w:t>
      </w:r>
    </w:p>
    <w:p>
      <w:r>
        <w:pict>
          <v:rect style="width:0;height:1.5pt" o:hralign="center" o:hrstd="t" o:hr="t"/>
        </w:pict>
      </w:r>
    </w:p>
    <w:bookmarkEnd w:id="267"/>
    <w:bookmarkStart w:id="269" w:name="report-types-thresholds"/>
    <w:p>
      <w:pPr>
        <w:pStyle w:val="Heading2"/>
      </w:pPr>
      <w:r>
        <w:t xml:space="preserve">3. Report Types &amp; Thresholds</w:t>
      </w:r>
    </w:p>
    <w:p>
      <w:pPr>
        <w:pStyle w:val="BlockText"/>
      </w:pPr>
      <w:r>
        <w:t xml:space="preserve">[!WARNING]</w:t>
      </w:r>
      <w:r>
        <w:t xml:space="preserve"> </w:t>
      </w:r>
      <w:r>
        <w:t xml:space="preserve">The threshold figures below reflect generally-applicable ministerial regulations and</w:t>
      </w:r>
      <w:r>
        <w:t xml:space="preserve"> </w:t>
      </w:r>
      <w:r>
        <w:rPr>
          <w:b/>
          <w:bCs/>
        </w:rPr>
        <w:t xml:space="preserve">must be confirmed against the latest AMLO regulation/notification</w:t>
      </w:r>
      <w:r>
        <w:t xml:space="preserve"> </w:t>
      </w:r>
      <w:r>
        <w:t xml:space="preserve">(item A6) before configuring production systems.</w:t>
      </w:r>
    </w:p>
    <w:tbl>
      <w:tblPr>
        <w:tblStyle w:val="Table"/>
        <w:tblW w:type="pct" w:w="5000"/>
        <w:tblLayout w:type="fixed"/>
        <w:tblLook w:firstRow="1" w:lastRow="0" w:firstColumn="0" w:lastColumn="0" w:noHBand="0" w:noVBand="0" w:val="0020"/>
      </w:tblPr>
      <w:tblGrid>
        <w:gridCol w:w="766"/>
        <w:gridCol w:w="1405"/>
        <w:gridCol w:w="3193"/>
        <w:gridCol w:w="2554"/>
      </w:tblGrid>
      <w:tr>
        <w:trPr>
          <w:tblHeader w:val="on"/>
        </w:trPr>
        <w:tc>
          <w:tcPr/>
          <w:p>
            <w:pPr>
              <w:pStyle w:val="Compact"/>
            </w:pPr>
            <w:r>
              <w:t xml:space="preserve">Type</w:t>
            </w:r>
          </w:p>
        </w:tc>
        <w:tc>
          <w:tcPr/>
          <w:p>
            <w:pPr>
              <w:pStyle w:val="Compact"/>
            </w:pPr>
            <w:r>
              <w:t xml:space="preserve">Threshold</w:t>
            </w:r>
          </w:p>
        </w:tc>
        <w:tc>
          <w:tcPr/>
          <w:p>
            <w:pPr>
              <w:pStyle w:val="Compact"/>
            </w:pPr>
            <w:r>
              <w:t xml:space="preserve">Filing deadline to AMLO</w:t>
            </w:r>
          </w:p>
        </w:tc>
        <w:tc>
          <w:tcPr/>
          <w:p>
            <w:pPr>
              <w:pStyle w:val="Compact"/>
            </w:pPr>
            <w:r>
              <w:t xml:space="preserve">Report form (ref.)</w:t>
            </w:r>
          </w:p>
        </w:tc>
      </w:tr>
      <w:tr>
        <w:tc>
          <w:tcPr/>
          <w:p>
            <w:pPr>
              <w:pStyle w:val="Compact"/>
            </w:pPr>
            <w:r>
              <w:rPr>
                <w:b/>
                <w:bCs/>
              </w:rPr>
              <w:t xml:space="preserve">STR — Suspicious Transaction Report</w:t>
            </w:r>
          </w:p>
        </w:tc>
        <w:tc>
          <w:tcPr/>
          <w:p>
            <w:pPr>
              <w:pStyle w:val="Compact"/>
            </w:pPr>
            <w:r>
              <w:rPr>
                <w:b/>
                <w:bCs/>
              </w:rPr>
              <w:t xml:space="preserve">No minimum monetary threshold</w:t>
            </w:r>
            <w:r>
              <w:t xml:space="preserve"> </w:t>
            </w:r>
            <w:r>
              <w:t xml:space="preserve">— file whenever</w:t>
            </w:r>
            <w:r>
              <w:t xml:space="preserve"> </w:t>
            </w:r>
            <w:r>
              <w:t xml:space="preserve">“reasonable grounds to suspect”</w:t>
            </w:r>
            <w:r>
              <w:t xml:space="preserve"> </w:t>
            </w:r>
            <w:r>
              <w:t xml:space="preserve">exist, regardless of amount, even if the transaction was not completed</w:t>
            </w:r>
          </w:p>
        </w:tc>
        <w:tc>
          <w:tcPr/>
          <w:p>
            <w:pPr>
              <w:pStyle w:val="Compact"/>
            </w:pPr>
            <w:r>
              <w:t xml:space="preserve">File</w:t>
            </w:r>
            <w:r>
              <w:t xml:space="preserve"> </w:t>
            </w:r>
            <w:r>
              <w:rPr>
                <w:b/>
                <w:bCs/>
              </w:rPr>
              <w:t xml:space="preserve">within the statutory deadline</w:t>
            </w:r>
            <w:r>
              <w:t xml:space="preserve"> </w:t>
            </w:r>
            <w:r>
              <w:t xml:space="preserve">from the date grounds arose (commonly within 7 business days — confirm A6)</w:t>
            </w:r>
          </w:p>
        </w:tc>
        <w:tc>
          <w:tcPr/>
          <w:p>
            <w:pPr>
              <w:pStyle w:val="Compact"/>
            </w:pPr>
            <w:r>
              <w:t xml:space="preserve">Por Por Ngor 1-03 (STR) or latest (A7)</w:t>
            </w:r>
          </w:p>
        </w:tc>
      </w:tr>
      <w:tr>
        <w:tc>
          <w:tcPr/>
          <w:p>
            <w:pPr>
              <w:pStyle w:val="Compact"/>
            </w:pPr>
            <w:r>
              <w:rPr>
                <w:b/>
                <w:bCs/>
              </w:rPr>
              <w:t xml:space="preserve">CTR — Cash Transaction Report</w:t>
            </w:r>
          </w:p>
        </w:tc>
        <w:tc>
          <w:tcPr/>
          <w:p>
            <w:pPr>
              <w:pStyle w:val="Compact"/>
            </w:pPr>
            <w:r>
              <w:rPr>
                <w:b/>
                <w:bCs/>
              </w:rPr>
              <w:t xml:space="preserve">THB 2,000,000</w:t>
            </w:r>
            <w:r>
              <w:t xml:space="preserve"> </w:t>
            </w:r>
            <w:r>
              <w:t xml:space="preserve">or more (cash)</w:t>
            </w:r>
          </w:p>
        </w:tc>
        <w:tc>
          <w:tcPr/>
          <w:p>
            <w:pPr>
              <w:pStyle w:val="Compact"/>
            </w:pPr>
            <w:r>
              <w:t xml:space="preserve">Per AMLO schedule (commonly by the 15th of the following month — confirm A6)</w:t>
            </w:r>
          </w:p>
        </w:tc>
        <w:tc>
          <w:tcPr/>
          <w:p>
            <w:pPr>
              <w:pStyle w:val="Compact"/>
            </w:pPr>
            <w:r>
              <w:t xml:space="preserve">Por Por Ngor 1-01 or latest</w:t>
            </w:r>
          </w:p>
        </w:tc>
      </w:tr>
      <w:tr>
        <w:tc>
          <w:tcPr/>
          <w:p>
            <w:pPr>
              <w:pStyle w:val="Compact"/>
            </w:pPr>
            <w:r>
              <w:rPr>
                <w:b/>
                <w:bCs/>
              </w:rPr>
              <w:t xml:space="preserve">TTR — Asset-related Transaction Report</w:t>
            </w:r>
          </w:p>
        </w:tc>
        <w:tc>
          <w:tcPr/>
          <w:p>
            <w:pPr>
              <w:pStyle w:val="Compact"/>
            </w:pPr>
            <w:r>
              <w:rPr>
                <w:b/>
                <w:bCs/>
              </w:rPr>
              <w:t xml:space="preserve">THB 5,000,000</w:t>
            </w:r>
            <w:r>
              <w:t xml:space="preserve"> </w:t>
            </w:r>
            <w:r>
              <w:t xml:space="preserve">or more</w:t>
            </w:r>
          </w:p>
        </w:tc>
        <w:tc>
          <w:tcPr/>
          <w:p>
            <w:pPr>
              <w:pStyle w:val="Compact"/>
            </w:pPr>
            <w:r>
              <w:t xml:space="preserve">Per AMLO schedule</w:t>
            </w:r>
          </w:p>
        </w:tc>
        <w:tc>
          <w:tcPr/>
          <w:p>
            <w:pPr>
              <w:pStyle w:val="Compact"/>
            </w:pPr>
            <w:r>
              <w:t xml:space="preserve">Por Por Ngor 1-02 or latest</w:t>
            </w:r>
          </w:p>
        </w:tc>
      </w:tr>
      <w:tr>
        <w:tc>
          <w:tcPr/>
          <w:p>
            <w:pPr>
              <w:pStyle w:val="Compact"/>
            </w:pPr>
            <w:r>
              <w:rPr>
                <w:b/>
                <w:bCs/>
              </w:rPr>
              <w:t xml:space="preserve">Asset-freeze / Designated persons (CFT/PF)</w:t>
            </w:r>
          </w:p>
        </w:tc>
        <w:tc>
          <w:tcPr/>
          <w:p>
            <w:pPr>
              <w:pStyle w:val="Compact"/>
            </w:pPr>
            <w:r>
              <w:t xml:space="preserve">Listed names (UNSCR / Thai law) —</w:t>
            </w:r>
            <w:r>
              <w:t xml:space="preserve"> </w:t>
            </w:r>
            <w:r>
              <w:rPr>
                <w:b/>
                <w:bCs/>
              </w:rPr>
              <w:t xml:space="preserve">no monetary threshold</w:t>
            </w:r>
          </w:p>
        </w:tc>
        <w:tc>
          <w:tcPr/>
          <w:p>
            <w:pPr>
              <w:pStyle w:val="Compact"/>
            </w:pPr>
            <w:r>
              <w:rPr>
                <w:b/>
                <w:bCs/>
              </w:rPr>
              <w:t xml:space="preserve">Immediate</w:t>
            </w:r>
            <w:r>
              <w:t xml:space="preserve"> </w:t>
            </w:r>
            <w:r>
              <w:t xml:space="preserve">upon a name match — freeze and report to AMLO without delay</w:t>
            </w:r>
          </w:p>
        </w:tc>
        <w:tc>
          <w:tcPr/>
          <w:p>
            <w:pPr>
              <w:pStyle w:val="Compact"/>
            </w:pPr>
            <w:r>
              <w:t xml:space="preserve">Per AMLO CFT/PF guidance</w:t>
            </w:r>
          </w:p>
        </w:tc>
      </w:tr>
    </w:tbl>
    <w:p>
      <w:pPr>
        <w:pStyle w:val="BodyText"/>
      </w:pPr>
      <w:r>
        <w:rPr>
          <w:b/>
          <w:bCs/>
        </w:rPr>
        <w:t xml:space="preserve">Acquiring-gateway context:</w:t>
      </w:r>
      <w:r>
        <w:t xml:space="preserve"> </w:t>
      </w:r>
      <w:r>
        <w:t xml:space="preserve">Our business processes predominantly</w:t>
      </w:r>
      <w:r>
        <w:t xml:space="preserve"> </w:t>
      </w:r>
      <w:r>
        <w:rPr>
          <w:b/>
          <w:bCs/>
        </w:rPr>
        <w:t xml:space="preserve">card/electronic payments, not cash</w:t>
      </w:r>
      <w:r>
        <w:t xml:space="preserve">, so the</w:t>
      </w:r>
      <w:r>
        <w:t xml:space="preserve"> </w:t>
      </w:r>
      <w:r>
        <w:rPr>
          <w:b/>
          <w:bCs/>
        </w:rPr>
        <w:t xml:space="preserve">STR is the primary reporting channel</w:t>
      </w:r>
      <w:r>
        <w:t xml:space="preserve">. CTR/TTR become relevant where cash-based flows or large payouts meet the thresholds. Transactions that appear deliberately split (structuring/smurfing) to evade thresholds must be aggregated.</w:t>
      </w:r>
    </w:p>
    <w:bookmarkStart w:id="268" w:name="business-specific-red-flags-acquiring"/>
    <w:p>
      <w:pPr>
        <w:pStyle w:val="Heading3"/>
      </w:pPr>
      <w:r>
        <w:t xml:space="preserve">Business-specific red flags (Acquiring)</w:t>
      </w:r>
    </w:p>
    <w:p>
      <w:pPr>
        <w:pStyle w:val="Compact"/>
        <w:numPr>
          <w:ilvl w:val="0"/>
          <w:numId w:val="1105"/>
        </w:numPr>
      </w:pPr>
      <w:r>
        <w:rPr>
          <w:b/>
          <w:bCs/>
        </w:rPr>
        <w:t xml:space="preserve">Transaction laundering / factoring</w:t>
      </w:r>
      <w:r>
        <w:t xml:space="preserve"> </w:t>
      </w:r>
      <w:r>
        <w:t xml:space="preserve">— a merchant processing on behalf of an undisclosed business (MCC mismatch)</w:t>
      </w:r>
    </w:p>
    <w:p>
      <w:pPr>
        <w:pStyle w:val="Compact"/>
        <w:numPr>
          <w:ilvl w:val="0"/>
          <w:numId w:val="1105"/>
        </w:numPr>
      </w:pPr>
      <w:r>
        <w:rPr>
          <w:b/>
          <w:bCs/>
        </w:rPr>
        <w:t xml:space="preserve">Structuring</w:t>
      </w:r>
      <w:r>
        <w:t xml:space="preserve"> </w:t>
      </w:r>
      <w:r>
        <w:t xml:space="preserve">— deliberately splitting amounts below a threshold or below velocity-rule limits</w:t>
      </w:r>
    </w:p>
    <w:p>
      <w:pPr>
        <w:pStyle w:val="Compact"/>
        <w:numPr>
          <w:ilvl w:val="0"/>
          <w:numId w:val="1105"/>
        </w:numPr>
      </w:pPr>
      <w:r>
        <w:rPr>
          <w:b/>
          <w:bCs/>
        </w:rPr>
        <w:t xml:space="preserve">Bust-out fraud</w:t>
      </w:r>
      <w:r>
        <w:t xml:space="preserve"> </w:t>
      </w:r>
      <w:r>
        <w:t xml:space="preserve">— abnormal volume spike shortly after onboarding, urgent payout request, then disappearance</w:t>
      </w:r>
    </w:p>
    <w:p>
      <w:pPr>
        <w:pStyle w:val="Compact"/>
        <w:numPr>
          <w:ilvl w:val="0"/>
          <w:numId w:val="1105"/>
        </w:numPr>
      </w:pPr>
      <w:r>
        <w:rPr>
          <w:b/>
          <w:bCs/>
        </w:rPr>
        <w:t xml:space="preserve">Refund/chargeback abuse</w:t>
      </w:r>
      <w:r>
        <w:t xml:space="preserve"> </w:t>
      </w:r>
      <w:r>
        <w:t xml:space="preserve">— refunds to a card/account other than the original, refunds disproportionate to captures</w:t>
      </w:r>
    </w:p>
    <w:p>
      <w:pPr>
        <w:pStyle w:val="Compact"/>
        <w:numPr>
          <w:ilvl w:val="0"/>
          <w:numId w:val="1105"/>
        </w:numPr>
      </w:pPr>
      <w:r>
        <w:rPr>
          <w:b/>
          <w:bCs/>
        </w:rPr>
        <w:t xml:space="preserve">High-risk MCC / prohibited goods</w:t>
      </w:r>
      <w:r>
        <w:t xml:space="preserve"> </w:t>
      </w:r>
      <w:r>
        <w:t xml:space="preserve">— unlicensed gambling/crypto, illegal goods</w:t>
      </w:r>
    </w:p>
    <w:p>
      <w:pPr>
        <w:pStyle w:val="Compact"/>
        <w:numPr>
          <w:ilvl w:val="0"/>
          <w:numId w:val="1105"/>
        </w:numPr>
      </w:pPr>
      <w:r>
        <w:rPr>
          <w:b/>
          <w:bCs/>
        </w:rPr>
        <w:t xml:space="preserve">Sanction/PEP hit</w:t>
      </w:r>
      <w:r>
        <w:t xml:space="preserve"> </w:t>
      </w:r>
      <w:r>
        <w:t xml:space="preserve">— beneficial owner or settlement account matching sanction/PEP/adverse-media lists</w:t>
      </w:r>
    </w:p>
    <w:p>
      <w:pPr>
        <w:pStyle w:val="Compact"/>
        <w:numPr>
          <w:ilvl w:val="0"/>
          <w:numId w:val="1105"/>
        </w:numPr>
      </w:pPr>
      <w:r>
        <w:rPr>
          <w:b/>
          <w:bCs/>
        </w:rPr>
        <w:t xml:space="preserve">Geographic anomaly</w:t>
      </w:r>
      <w:r>
        <w:t xml:space="preserve"> </w:t>
      </w:r>
      <w:r>
        <w:t xml:space="preserve">— conflicting IP/BIN/settlement-address data or origins in FATF high-risk jurisdictions</w:t>
      </w:r>
    </w:p>
    <w:p>
      <w:r>
        <w:pict>
          <v:rect style="width:0;height:1.5pt" o:hralign="center" o:hrstd="t" o:hr="t"/>
        </w:pict>
      </w:r>
    </w:p>
    <w:bookmarkEnd w:id="268"/>
    <w:bookmarkEnd w:id="269"/>
    <w:bookmarkStart w:id="271" w:name="workflow-from-detection-to-filing"/>
    <w:p>
      <w:pPr>
        <w:pStyle w:val="Heading2"/>
      </w:pPr>
      <w:r>
        <w:t xml:space="preserve">4. Workflow — from detection to filing</w:t>
      </w:r>
    </w:p>
    <w:p>
      <w:pPr>
        <w:pStyle w:val="SourceCode"/>
      </w:pPr>
      <w:r>
        <w:rPr>
          <w:rStyle w:val="VerbatimChar"/>
        </w:rPr>
        <w:t xml:space="preserve">[Detect] ──▶ [Internal iSAR] ──▶ [Tier-1 triage] ──▶ [Investigate / EDD]</w:t>
      </w:r>
      <w:r>
        <w:br/>
      </w:r>
      <w:r>
        <w:rPr>
          <w:rStyle w:val="VerbatimChar"/>
        </w:rPr>
        <w:t xml:space="preserve">   │ automated (Risk Engine)         (AML Analyst)        (case file)</w:t>
      </w:r>
      <w:r>
        <w:br/>
      </w:r>
      <w:r>
        <w:rPr>
          <w:rStyle w:val="VerbatimChar"/>
        </w:rPr>
        <w:t xml:space="preserve">   │ + manual (Frontline)                                     │</w:t>
      </w:r>
      <w:r>
        <w:br/>
      </w:r>
      <w:r>
        <w:rPr>
          <w:rStyle w:val="VerbatimChar"/>
        </w:rPr>
        <w:t xml:space="preserve">   └──────────────────────────────────────────────────────────┘</w:t>
      </w:r>
      <w:r>
        <w:br/>
      </w:r>
      <w:r>
        <w:rPr>
          <w:rStyle w:val="VerbatimChar"/>
        </w:rPr>
        <w:t xml:space="preserve">                                                               ▼</w:t>
      </w:r>
      <w:r>
        <w:br/>
      </w:r>
      <w:r>
        <w:rPr>
          <w:rStyle w:val="VerbatimChar"/>
        </w:rPr>
        <w:t xml:space="preserve">                                                   [MLRO decision]</w:t>
      </w:r>
      <w:r>
        <w:br/>
      </w:r>
      <w:r>
        <w:rPr>
          <w:rStyle w:val="VerbatimChar"/>
        </w:rPr>
        <w:t xml:space="preserve">                                          ┌───────────┴───────────┐</w:t>
      </w:r>
      <w:r>
        <w:br/>
      </w:r>
      <w:r>
        <w:rPr>
          <w:rStyle w:val="VerbatimChar"/>
        </w:rPr>
        <w:t xml:space="preserve">                                          ▼                       ▼</w:t>
      </w:r>
      <w:r>
        <w:br/>
      </w:r>
      <w:r>
        <w:rPr>
          <w:rStyle w:val="VerbatimChar"/>
        </w:rPr>
        <w:t xml:space="preserve">                                 [No file → log rationale]  [File STR to AMLO]</w:t>
      </w:r>
      <w:r>
        <w:br/>
      </w:r>
      <w:r>
        <w:rPr>
          <w:rStyle w:val="VerbatimChar"/>
        </w:rPr>
        <w:t xml:space="preserve">                                          │                       │</w:t>
      </w:r>
      <w:r>
        <w:br/>
      </w:r>
      <w:r>
        <w:rPr>
          <w:rStyle w:val="VerbatimChar"/>
        </w:rPr>
        <w:t xml:space="preserve">                                          ▼                       ▼</w:t>
      </w:r>
      <w:r>
        <w:br/>
      </w:r>
      <w:r>
        <w:rPr>
          <w:rStyle w:val="VerbatimChar"/>
        </w:rPr>
        <w:t xml:space="preserve">                                  [Retain ≥ 5–10 yrs]     [Restrict/monitor + retain evidence]</w:t>
      </w:r>
    </w:p>
    <w:p>
      <w:pPr>
        <w:pStyle w:val="FirstParagraph"/>
      </w:pPr>
      <w:r>
        <w:rPr>
          <w:b/>
          <w:bCs/>
        </w:rPr>
        <w:t xml:space="preserve">Step 1 — Detection.</w:t>
      </w:r>
      <w:r>
        <w:t xml:space="preserve"> </w:t>
      </w:r>
      <w:r>
        <w:t xml:space="preserve">Two sources: (a) automated — the Risk/Fraud Engine raises alerts from velocity, anomaly scores, and sanction/PEP screening performed at onboarding and on a real-time/batch basis; (b) manual — frontline staff observing abnormal behaviour.</w:t>
      </w:r>
    </w:p>
    <w:p>
      <w:pPr>
        <w:pStyle w:val="BodyText"/>
      </w:pPr>
      <w:r>
        <w:rPr>
          <w:b/>
          <w:bCs/>
        </w:rPr>
        <w:t xml:space="preserve">Step 2 — Internal report (iSAR).</w:t>
      </w:r>
      <w:r>
        <w:t xml:space="preserve"> </w:t>
      </w:r>
      <w:r>
        <w:t xml:space="preserve">The observer files an iSAR in the internal case-management system immediately (target ≤ 24h). The customer/merchant</w:t>
      </w:r>
      <w:r>
        <w:t xml:space="preserve"> </w:t>
      </w:r>
      <w:r>
        <w:rPr>
          <w:b/>
          <w:bCs/>
        </w:rPr>
        <w:t xml:space="preserve">must not be informed</w:t>
      </w:r>
      <w:r>
        <w:t xml:space="preserve"> </w:t>
      </w:r>
      <w:r>
        <w:t xml:space="preserve">(see §5 — tipping-off). Every iSAR is recorded in</w:t>
      </w:r>
      <w:r>
        <w:t xml:space="preserve"> </w:t>
      </w:r>
      <w:r>
        <w:rPr>
          <w:rStyle w:val="VerbatimChar"/>
        </w:rPr>
        <w:t xml:space="preserve">audit_log</w:t>
      </w:r>
      <w:r>
        <w:t xml:space="preserve">.</w:t>
      </w:r>
    </w:p>
    <w:p>
      <w:pPr>
        <w:pStyle w:val="BodyText"/>
      </w:pPr>
      <w:r>
        <w:rPr>
          <w:b/>
          <w:bCs/>
        </w:rPr>
        <w:t xml:space="preserve">Step 3 — Tier-1 triage.</w:t>
      </w:r>
      <w:r>
        <w:t xml:space="preserve"> </w:t>
      </w:r>
      <w:r>
        <w:t xml:space="preserve">The AML Analyst gathers KYC, transaction history, ledger data, and screening results, builds a</w:t>
      </w:r>
      <w:r>
        <w:t xml:space="preserve"> </w:t>
      </w:r>
      <w:r>
        <w:rPr>
          <w:b/>
          <w:bCs/>
        </w:rPr>
        <w:t xml:space="preserve">case file</w:t>
      </w:r>
      <w:r>
        <w:t xml:space="preserve">, and assesses whether</w:t>
      </w:r>
      <w:r>
        <w:t xml:space="preserve"> </w:t>
      </w:r>
      <w:r>
        <w:t xml:space="preserve">“reasonable grounds to suspect”</w:t>
      </w:r>
      <w:r>
        <w:t xml:space="preserve"> </w:t>
      </w:r>
      <w:r>
        <w:t xml:space="preserve">exist (SLA: close triage within 3 business days).</w:t>
      </w:r>
    </w:p>
    <w:p>
      <w:pPr>
        <w:pStyle w:val="BodyText"/>
      </w:pPr>
      <w:r>
        <w:rPr>
          <w:b/>
          <w:bCs/>
        </w:rPr>
        <w:t xml:space="preserve">Step 4 — Investigation / EDD.</w:t>
      </w:r>
      <w:r>
        <w:t xml:space="preserve"> </w:t>
      </w:r>
      <w:r>
        <w:t xml:space="preserve">Genuinely suspicious cases undergo Enhanced Due Diligence: beneficial-ownership review, source of funds, business rationale, and a transaction timeline.</w:t>
      </w:r>
    </w:p>
    <w:p>
      <w:pPr>
        <w:pStyle w:val="BodyText"/>
      </w:pPr>
      <w:r>
        <w:rPr>
          <w:b/>
          <w:bCs/>
        </w:rPr>
        <w:t xml:space="preserve">Step 5 — MLRO decision.</w:t>
      </w:r>
      <w:r>
        <w:t xml:space="preserve"> </w:t>
      </w:r>
      <w:r>
        <w:t xml:space="preserve">The MLRO/Deputy MLRO reviews the case and decides to file or not file —</w:t>
      </w:r>
      <w:r>
        <w:t xml:space="preserve"> </w:t>
      </w:r>
      <w:r>
        <w:rPr>
          <w:b/>
          <w:bCs/>
        </w:rPr>
        <w:t xml:space="preserve">both outcomes must be documented in writing</w:t>
      </w:r>
      <w:r>
        <w:t xml:space="preserve">, signed and timestamped.</w:t>
      </w:r>
    </w:p>
    <w:p>
      <w:pPr>
        <w:pStyle w:val="BodyText"/>
      </w:pPr>
      <w:r>
        <w:rPr>
          <w:b/>
          <w:bCs/>
        </w:rPr>
        <w:t xml:space="preserve">Step 6 — File to AMLO.</w:t>
      </w:r>
      <w:r>
        <w:t xml:space="preserve"> </w:t>
      </w:r>
      <w:r>
        <w:t xml:space="preserve">If filing an STR: complete form Por Por Ngor 1-03 (A7), submit via the AMLO electronic channel (A8)</w:t>
      </w:r>
      <w:r>
        <w:t xml:space="preserve"> </w:t>
      </w:r>
      <w:r>
        <w:rPr>
          <w:b/>
          <w:bCs/>
        </w:rPr>
        <w:t xml:space="preserve">within the statutory deadline</w:t>
      </w:r>
      <w:r>
        <w:t xml:space="preserve"> </w:t>
      </w:r>
      <w:r>
        <w:t xml:space="preserve">(§3), and retain the acknowledgement in the system.</w:t>
      </w:r>
    </w:p>
    <w:p>
      <w:pPr>
        <w:pStyle w:val="BodyText"/>
      </w:pPr>
      <w:r>
        <w:rPr>
          <w:b/>
          <w:bCs/>
        </w:rPr>
        <w:t xml:space="preserve">Step 7 — Post-filing.</w:t>
      </w:r>
      <w:r>
        <w:t xml:space="preserve"> </w:t>
      </w:r>
      <w:r>
        <w:t xml:space="preserve">Reassess the business relationship (restrict/offboard the merchant / hold payout as appropriate and as directed by AMLO), continue ongoing monitoring, and respond to AMLO requests for further information.</w:t>
      </w:r>
    </w:p>
    <w:bookmarkStart w:id="270" w:name="sla-ownership-table"/>
    <w:p>
      <w:pPr>
        <w:pStyle w:val="Heading3"/>
      </w:pPr>
      <w:r>
        <w:t xml:space="preserve">SLA / ownership table</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Step</w:t>
            </w:r>
          </w:p>
        </w:tc>
        <w:tc>
          <w:tcPr/>
          <w:p>
            <w:pPr>
              <w:pStyle w:val="Compact"/>
            </w:pPr>
            <w:r>
              <w:t xml:space="preserve">Owner</w:t>
            </w:r>
          </w:p>
        </w:tc>
        <w:tc>
          <w:tcPr/>
          <w:p>
            <w:pPr>
              <w:pStyle w:val="Compact"/>
            </w:pPr>
            <w:r>
              <w:t xml:space="preserve">Target time</w:t>
            </w:r>
          </w:p>
        </w:tc>
      </w:tr>
      <w:tr>
        <w:tc>
          <w:tcPr/>
          <w:p>
            <w:pPr>
              <w:pStyle w:val="Compact"/>
            </w:pPr>
            <w:r>
              <w:t xml:space="preserve">File iSAR after observation</w:t>
            </w:r>
          </w:p>
        </w:tc>
        <w:tc>
          <w:tcPr/>
          <w:p>
            <w:pPr>
              <w:pStyle w:val="Compact"/>
            </w:pPr>
            <w:r>
              <w:t xml:space="preserve">Observer</w:t>
            </w:r>
          </w:p>
        </w:tc>
        <w:tc>
          <w:tcPr/>
          <w:p>
            <w:pPr>
              <w:pStyle w:val="Compact"/>
            </w:pPr>
            <w:r>
              <w:t xml:space="preserve">≤ 24 hours</w:t>
            </w:r>
          </w:p>
        </w:tc>
      </w:tr>
      <w:tr>
        <w:tc>
          <w:tcPr/>
          <w:p>
            <w:pPr>
              <w:pStyle w:val="Compact"/>
            </w:pPr>
            <w:r>
              <w:t xml:space="preserve">Tier-1 triage</w:t>
            </w:r>
          </w:p>
        </w:tc>
        <w:tc>
          <w:tcPr/>
          <w:p>
            <w:pPr>
              <w:pStyle w:val="Compact"/>
            </w:pPr>
            <w:r>
              <w:t xml:space="preserve">AML Analyst</w:t>
            </w:r>
          </w:p>
        </w:tc>
        <w:tc>
          <w:tcPr/>
          <w:p>
            <w:pPr>
              <w:pStyle w:val="Compact"/>
            </w:pPr>
            <w:r>
              <w:t xml:space="preserve">≤ 3 business days</w:t>
            </w:r>
          </w:p>
        </w:tc>
      </w:tr>
      <w:tr>
        <w:tc>
          <w:tcPr/>
          <w:p>
            <w:pPr>
              <w:pStyle w:val="Compact"/>
            </w:pPr>
            <w:r>
              <w:t xml:space="preserve">EDD / investigation</w:t>
            </w:r>
          </w:p>
        </w:tc>
        <w:tc>
          <w:tcPr/>
          <w:p>
            <w:pPr>
              <w:pStyle w:val="Compact"/>
            </w:pPr>
            <w:r>
              <w:t xml:space="preserve">AML Analyst + MLRO</w:t>
            </w:r>
          </w:p>
        </w:tc>
        <w:tc>
          <w:tcPr/>
          <w:p>
            <w:pPr>
              <w:pStyle w:val="Compact"/>
            </w:pPr>
            <w:r>
              <w:t xml:space="preserve">≤ 7 business days</w:t>
            </w:r>
          </w:p>
        </w:tc>
      </w:tr>
      <w:tr>
        <w:tc>
          <w:tcPr/>
          <w:p>
            <w:pPr>
              <w:pStyle w:val="Compact"/>
            </w:pPr>
            <w:r>
              <w:t xml:space="preserve">File / no-file decision</w:t>
            </w:r>
          </w:p>
        </w:tc>
        <w:tc>
          <w:tcPr/>
          <w:p>
            <w:pPr>
              <w:pStyle w:val="Compact"/>
            </w:pPr>
            <w:r>
              <w:t xml:space="preserve">MLRO</w:t>
            </w:r>
          </w:p>
        </w:tc>
        <w:tc>
          <w:tcPr/>
          <w:p>
            <w:pPr>
              <w:pStyle w:val="Compact"/>
            </w:pPr>
            <w:r>
              <w:t xml:space="preserve">Before statutory deadline</w:t>
            </w:r>
          </w:p>
        </w:tc>
      </w:tr>
      <w:tr>
        <w:tc>
          <w:tcPr/>
          <w:p>
            <w:pPr>
              <w:pStyle w:val="Compact"/>
            </w:pPr>
            <w:r>
              <w:t xml:space="preserve">File STR to AMLO</w:t>
            </w:r>
          </w:p>
        </w:tc>
        <w:tc>
          <w:tcPr/>
          <w:p>
            <w:pPr>
              <w:pStyle w:val="Compact"/>
            </w:pPr>
            <w:r>
              <w:t xml:space="preserve">MLRO</w:t>
            </w:r>
          </w:p>
        </w:tc>
        <w:tc>
          <w:tcPr/>
          <w:p>
            <w:pPr>
              <w:pStyle w:val="Compact"/>
            </w:pPr>
            <w:r>
              <w:t xml:space="preserve">Within statutory deadline (§3)</w:t>
            </w:r>
          </w:p>
        </w:tc>
      </w:tr>
      <w:tr>
        <w:tc>
          <w:tcPr/>
          <w:p>
            <w:pPr>
              <w:pStyle w:val="Compact"/>
            </w:pPr>
            <w:r>
              <w:t xml:space="preserve">Sanction / asset-freeze hit</w:t>
            </w:r>
          </w:p>
        </w:tc>
        <w:tc>
          <w:tcPr/>
          <w:p>
            <w:pPr>
              <w:pStyle w:val="Compact"/>
            </w:pPr>
            <w:r>
              <w:t xml:space="preserve">MLRO (immediate escalation)</w:t>
            </w:r>
          </w:p>
        </w:tc>
        <w:tc>
          <w:tcPr/>
          <w:p>
            <w:pPr>
              <w:pStyle w:val="Compact"/>
            </w:pPr>
            <w:r>
              <w:rPr>
                <w:b/>
                <w:bCs/>
              </w:rPr>
              <w:t xml:space="preserve">Immediate (same day)</w:t>
            </w:r>
          </w:p>
        </w:tc>
      </w:tr>
    </w:tbl>
    <w:p>
      <w:r>
        <w:pict>
          <v:rect style="width:0;height:1.5pt" o:hralign="center" o:hrstd="t" o:hr="t"/>
        </w:pict>
      </w:r>
    </w:p>
    <w:bookmarkEnd w:id="270"/>
    <w:bookmarkEnd w:id="271"/>
    <w:bookmarkStart w:id="272" w:name="confidentiality-tipping-off"/>
    <w:p>
      <w:pPr>
        <w:pStyle w:val="Heading2"/>
      </w:pPr>
      <w:r>
        <w:t xml:space="preserve">5. Confidentiality &amp; Tipping-off</w:t>
      </w:r>
    </w:p>
    <w:p>
      <w:pPr>
        <w:pStyle w:val="Compact"/>
        <w:numPr>
          <w:ilvl w:val="0"/>
          <w:numId w:val="1106"/>
        </w:numPr>
      </w:pPr>
      <w:r>
        <w:rPr>
          <w:b/>
          <w:bCs/>
        </w:rPr>
        <w:t xml:space="preserve">No tipping-off.</w:t>
      </w:r>
      <w:r>
        <w:t xml:space="preserve"> </w:t>
      </w:r>
      <w:r>
        <w:t xml:space="preserve">No employee, director, or any person may inform or hint to a customer, merchant, or third party that an STR has been or will be filed, or that an investigation is under way. Breach is a legal offence and a serious disciplinary matter.</w:t>
      </w:r>
    </w:p>
    <w:p>
      <w:pPr>
        <w:pStyle w:val="Compact"/>
        <w:numPr>
          <w:ilvl w:val="0"/>
          <w:numId w:val="1106"/>
        </w:numPr>
      </w:pPr>
      <w:r>
        <w:rPr>
          <w:b/>
          <w:bCs/>
        </w:rPr>
        <w:t xml:space="preserve">Need-to-know.</w:t>
      </w:r>
      <w:r>
        <w:t xml:space="preserve"> </w:t>
      </w:r>
      <w:r>
        <w:t xml:space="preserve">Access to case files / STRs is restricted to the MLRO, Deputy MLRO, the assigned AML Analyst, and specifically authorised persons — enforced via RBAC and MFA (consistent with PCI-DSS v4.0 Req 7–8).</w:t>
      </w:r>
    </w:p>
    <w:p>
      <w:pPr>
        <w:pStyle w:val="Compact"/>
        <w:numPr>
          <w:ilvl w:val="0"/>
          <w:numId w:val="1106"/>
        </w:numPr>
      </w:pPr>
      <w:r>
        <w:rPr>
          <w:b/>
          <w:bCs/>
        </w:rPr>
        <w:t xml:space="preserve">Safe harbour.</w:t>
      </w:r>
      <w:r>
        <w:t xml:space="preserve"> </w:t>
      </w:r>
      <w:r>
        <w:t xml:space="preserve">Employees reporting in good faith are protected under AML law and company policy; no retaliation is permitted.</w:t>
      </w:r>
    </w:p>
    <w:p>
      <w:pPr>
        <w:pStyle w:val="Compact"/>
        <w:numPr>
          <w:ilvl w:val="0"/>
          <w:numId w:val="1106"/>
        </w:numPr>
      </w:pPr>
      <w:r>
        <w:rPr>
          <w:b/>
          <w:bCs/>
        </w:rPr>
        <w:t xml:space="preserve">PDPA vs. AML.</w:t>
      </w:r>
      <w:r>
        <w:t xml:space="preserve"> </w:t>
      </w:r>
      <w:r>
        <w:t xml:space="preserve">Processing personal data to file STRs / perform CDD relies on the</w:t>
      </w:r>
      <w:r>
        <w:t xml:space="preserve"> </w:t>
      </w:r>
      <w:r>
        <w:rPr>
          <w:b/>
          <w:bCs/>
        </w:rPr>
        <w:t xml:space="preserve">legal-obligation basis</w:t>
      </w:r>
      <w:r>
        <w:t xml:space="preserve"> </w:t>
      </w:r>
      <w:r>
        <w:t xml:space="preserve">under the PDPA, so</w:t>
      </w:r>
      <w:r>
        <w:t xml:space="preserve"> </w:t>
      </w:r>
      <w:r>
        <w:rPr>
          <w:b/>
          <w:bCs/>
        </w:rPr>
        <w:t xml:space="preserve">no consent is required</w:t>
      </w:r>
      <w:r>
        <w:t xml:space="preserve"> </w:t>
      </w:r>
      <w:r>
        <w:t xml:space="preserve">and the data subject is</w:t>
      </w:r>
      <w:r>
        <w:t xml:space="preserve"> </w:t>
      </w:r>
      <w:r>
        <w:rPr>
          <w:b/>
          <w:bCs/>
        </w:rPr>
        <w:t xml:space="preserve">not notified</w:t>
      </w:r>
      <w:r>
        <w:t xml:space="preserve"> </w:t>
      </w:r>
      <w:r>
        <w:t xml:space="preserve">where notification would prejudice the investigation (exercise-of-rights exception), coordinated with the DPO and PDPC (Personal Data Protection Committee) as needed.</w:t>
      </w:r>
    </w:p>
    <w:p>
      <w:pPr>
        <w:pStyle w:val="Compact"/>
        <w:numPr>
          <w:ilvl w:val="0"/>
          <w:numId w:val="1106"/>
        </w:numPr>
      </w:pPr>
      <w:r>
        <w:rPr>
          <w:b/>
          <w:bCs/>
        </w:rPr>
        <w:t xml:space="preserve">Data security.</w:t>
      </w:r>
      <w:r>
        <w:t xml:space="preserve"> </w:t>
      </w:r>
      <w:r>
        <w:t xml:space="preserve">Case files are stored encrypted; transmission to AMLO uses the prescribed channel/certificate; every access is recorded in an immutable (append-only) audit log.</w:t>
      </w:r>
    </w:p>
    <w:p>
      <w:r>
        <w:pict>
          <v:rect style="width:0;height:1.5pt" o:hralign="center" o:hrstd="t" o:hr="t"/>
        </w:pict>
      </w:r>
    </w:p>
    <w:bookmarkEnd w:id="272"/>
    <w:bookmarkStart w:id="273" w:name="recordkeeping-training-assurance"/>
    <w:p>
      <w:pPr>
        <w:pStyle w:val="Heading2"/>
      </w:pPr>
      <w:r>
        <w:t xml:space="preserve">6. Recordkeeping, Training &amp; Assurance</w:t>
      </w:r>
    </w:p>
    <w:p>
      <w:pPr>
        <w:pStyle w:val="Compact"/>
        <w:numPr>
          <w:ilvl w:val="0"/>
          <w:numId w:val="1107"/>
        </w:numPr>
      </w:pPr>
      <w:r>
        <w:rPr>
          <w:b/>
          <w:bCs/>
        </w:rPr>
        <w:t xml:space="preserve">Retention.</w:t>
      </w:r>
      <w:r>
        <w:t xml:space="preserve"> </w:t>
      </w:r>
      <w:r>
        <w:t xml:space="preserve">Retain case files, iSARs, decision records (both filed and not filed), filing acknowledgements, and CDD/EDD documents for</w:t>
      </w:r>
      <w:r>
        <w:t xml:space="preserve"> </w:t>
      </w:r>
      <w:r>
        <w:rPr>
          <w:b/>
          <w:bCs/>
        </w:rPr>
        <w:t xml:space="preserve">at least 5 years</w:t>
      </w:r>
      <w:r>
        <w:t xml:space="preserve"> </w:t>
      </w:r>
      <w:r>
        <w:t xml:space="preserve">(10 years recommended to support investigations) from case closure or end of the business relationship, as required by AML law.</w:t>
      </w:r>
    </w:p>
    <w:p>
      <w:pPr>
        <w:pStyle w:val="Compact"/>
        <w:numPr>
          <w:ilvl w:val="0"/>
          <w:numId w:val="1107"/>
        </w:numPr>
      </w:pPr>
      <w:r>
        <w:rPr>
          <w:b/>
          <w:bCs/>
        </w:rPr>
        <w:t xml:space="preserve">Training.</w:t>
      </w:r>
      <w:r>
        <w:t xml:space="preserve"> </w:t>
      </w:r>
      <w:r>
        <w:t xml:space="preserve">All relevant staff receive AML/CFT and tipping-off awareness training at least</w:t>
      </w:r>
      <w:r>
        <w:t xml:space="preserve"> </w:t>
      </w:r>
      <w:r>
        <w:rPr>
          <w:b/>
          <w:bCs/>
        </w:rPr>
        <w:t xml:space="preserve">annually</w:t>
      </w:r>
      <w:r>
        <w:t xml:space="preserve">, plus onboarding for new hires, with records kept.</w:t>
      </w:r>
    </w:p>
    <w:p>
      <w:pPr>
        <w:pStyle w:val="Compact"/>
        <w:numPr>
          <w:ilvl w:val="0"/>
          <w:numId w:val="1107"/>
        </w:numPr>
      </w:pPr>
      <w:r>
        <w:rPr>
          <w:b/>
          <w:bCs/>
        </w:rPr>
        <w:t xml:space="preserve">Rule tuning.</w:t>
      </w:r>
      <w:r>
        <w:t xml:space="preserve"> </w:t>
      </w:r>
      <w:r>
        <w:t xml:space="preserve">The AML Committee reviews Risk-Engine rules/thresholds at least quarterly to reduce false positives/negatives.</w:t>
      </w:r>
    </w:p>
    <w:p>
      <w:pPr>
        <w:pStyle w:val="Compact"/>
        <w:numPr>
          <w:ilvl w:val="0"/>
          <w:numId w:val="1107"/>
        </w:numPr>
      </w:pPr>
      <w:r>
        <w:rPr>
          <w:b/>
          <w:bCs/>
        </w:rPr>
        <w:t xml:space="preserve">Independent testing.</w:t>
      </w:r>
      <w:r>
        <w:t xml:space="preserve"> </w:t>
      </w:r>
      <w:r>
        <w:t xml:space="preserve">Internal Audit (third line of defence) tests STR-process effectiveness at least annually and reports to the Audit Committee.</w:t>
      </w:r>
    </w:p>
    <w:p>
      <w:pPr>
        <w:pStyle w:val="Compact"/>
        <w:numPr>
          <w:ilvl w:val="0"/>
          <w:numId w:val="1107"/>
        </w:numPr>
      </w:pPr>
      <w:r>
        <w:rPr>
          <w:b/>
          <w:bCs/>
        </w:rPr>
        <w:t xml:space="preserve">Regulatory reporting.</w:t>
      </w:r>
      <w:r>
        <w:t xml:space="preserve"> </w:t>
      </w:r>
      <w:r>
        <w:t xml:space="preserve">Aggregate statistics (numbers of alerts/iSARs/STRs filed) are reported periodically to the AML Committee and the Board</w:t>
      </w:r>
      <w:r>
        <w:t xml:space="preserve"> </w:t>
      </w:r>
      <w:r>
        <w:rPr>
          <w:b/>
          <w:bCs/>
        </w:rPr>
        <w:t xml:space="preserve">without disclosing confidential STR details</w:t>
      </w:r>
      <w:r>
        <w:t xml:space="preserve">.</w:t>
      </w:r>
    </w:p>
    <w:p>
      <w:r>
        <w:br w:type="page"/>
      </w:r>
    </w:p>
    <w:bookmarkEnd w:id="273"/>
    <w:bookmarkEnd w:id="274"/>
    <w:bookmarkStart w:id="291" w:name="การจดระดบความเสยงลกคา-ไทย"/>
    <w:p>
      <w:pPr>
        <w:pStyle w:val="Heading1"/>
      </w:pPr>
      <w:r>
        <w:t xml:space="preserve">การจัดระดับความเสี่ยงลูกค้า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(Acquiring Service)</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ทุนจดทะเบียนชำระแล้ว</w:t>
      </w:r>
      <w:r>
        <w:t xml:space="preserve"> </w:t>
      </w:r>
      <w:r>
        <w:rPr>
          <w:b/>
          <w:bCs/>
        </w:rPr>
        <w:t xml:space="preserve">50 ล้านบาท</w:t>
      </w:r>
      <w:r>
        <w:t xml:space="preserve"> </w:t>
      </w:r>
      <w:r>
        <w:t xml:space="preserve">ควบคู่กับมาตรฐาน</w:t>
      </w:r>
      <w:r>
        <w:t xml:space="preserve"> </w:t>
      </w:r>
      <w:r>
        <w:rPr>
          <w:b/>
          <w:bCs/>
        </w:rPr>
        <w:t xml:space="preserve">PCI-DSS v4.0 Level 1</w:t>
      </w:r>
    </w:p>
    <w:p>
      <w:pPr>
        <w:pStyle w:val="BlockText"/>
      </w:pPr>
      <w:r>
        <w:t xml:space="preserve">รหัสเอกสาร:</w:t>
      </w:r>
      <w:r>
        <w:t xml:space="preserve"> </w:t>
      </w:r>
      <w:r>
        <w:rPr>
          <w:rStyle w:val="VerbatimChar"/>
        </w:rPr>
        <w:t xml:space="preserve">COMP-08</w:t>
      </w:r>
      <w:r>
        <w:t xml:space="preserve"> </w:t>
      </w:r>
      <w:r>
        <w:t xml:space="preserve">· เวอร์ชัน 0.1 · เจ้าของเอกสาร: Chief Compliance Officer (CCO) / MLRO</w:t>
      </w:r>
      <w:r>
        <w:t xml:space="preserve"> </w:t>
      </w:r>
      <w:r>
        <w:t xml:space="preserve">เอกสารที่เกี่ยวข้อง: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04-org-chart-governance.md</w:t>
      </w:r>
    </w:p>
    <w:p>
      <w:pPr>
        <w:pStyle w:val="BlockText"/>
      </w:pPr>
      <w:r>
        <w:rPr>
          <w:b/>
          <w:bCs/>
        </w:rPr>
        <w:t xml:space="preserve">ข้อจำกัดความรับผิด:</w:t>
      </w:r>
      <w:r>
        <w:t xml:space="preserve"> </w:t>
      </w:r>
      <w:r>
        <w:t xml:space="preserve">เอกสารนี้เป็นข้อมูลอ้างอิงเชิงโครงสร้าง ไม่ใช่คำแนะนำทางกฎหมาย</w:t>
      </w:r>
      <w:r>
        <w:t xml:space="preserve"> </w:t>
      </w:r>
      <w:r>
        <w:t xml:space="preserve">ต้องผ่านการทบทวนโดยที่ปรึกษากฎหมายด้านใบอนุญาต ธปท. และที่ปรึกษาด้าน AML ก่อนยื่นจริง</w:t>
      </w:r>
    </w:p>
    <w:p>
      <w:r>
        <w:pict>
          <v:rect style="width:0;height:1.5pt" o:hralign="center" o:hrstd="t" o:hr="t"/>
        </w:pict>
      </w:r>
    </w:p>
    <w:p>
      <w:pPr>
        <w:pStyle w:val="BlockText"/>
      </w:pPr>
      <w:r>
        <w:t xml:space="preserve">[!IMPORTANT]</w:t>
      </w:r>
      <w:r>
        <w:t xml:space="preserve"> </w:t>
      </w:r>
      <w:r>
        <w:rPr>
          <w:b/>
          <w:bCs/>
        </w:rPr>
        <w:t xml:space="preserve">สมมติฐานและรายการที่ยังไม่สรุป (Assumptions / TODO)</w:t>
      </w:r>
      <w:r>
        <w:t xml:space="preserve"> </w:t>
      </w:r>
      <w:r>
        <w:t xml:space="preserve">— ต้องเติมค่าจริงก่อนยื่น ธปท. ห้ามกรอกค่าสมมติลงในเอกสารที่ยื่นจริง</w:t>
      </w:r>
    </w:p>
    <w:tbl>
      <w:tblPr>
        <w:tblStyle w:val="Table"/>
        <w:tblW w:type="pct" w:w="5000"/>
        <w:tblLayout w:type="fixed"/>
        <w:tblLook w:firstRow="1" w:lastRow="0" w:firstColumn="0" w:lastColumn="0" w:noHBand="0" w:noVBand="0" w:val="0020"/>
      </w:tblPr>
      <w:tblGrid>
        <w:gridCol w:w="766"/>
        <w:gridCol w:w="2043"/>
        <w:gridCol w:w="1788"/>
        <w:gridCol w:w="3321"/>
      </w:tblGrid>
      <w:tr>
        <w:trPr>
          <w:tblHeader w:val="on"/>
        </w:trPr>
        <w:tc>
          <w:tcPr/>
          <w:p>
            <w:pPr>
              <w:pStyle w:val="Compact"/>
            </w:pPr>
            <w:r>
              <w:t xml:space="preserve">#</w:t>
            </w:r>
          </w:p>
        </w:tc>
        <w:tc>
          <w:tcPr/>
          <w:p>
            <w:pPr>
              <w:pStyle w:val="Compact"/>
            </w:pPr>
            <w:r>
              <w:t xml:space="preserve">รายการ</w:t>
            </w:r>
          </w:p>
        </w:tc>
        <w:tc>
          <w:tcPr/>
          <w:p>
            <w:pPr>
              <w:pStyle w:val="Compact"/>
            </w:pPr>
            <w:r>
              <w:t xml:space="preserve">สถานะ</w:t>
            </w:r>
          </w:p>
        </w:tc>
        <w:tc>
          <w:tcPr/>
          <w:p>
            <w:pPr>
              <w:pStyle w:val="Compact"/>
            </w:pPr>
            <w:r>
              <w:t xml:space="preserve">ผู้รับผิดชอบ</w:t>
            </w:r>
          </w:p>
        </w:tc>
      </w:tr>
      <w:tr>
        <w:tc>
          <w:tcPr/>
          <w:p>
            <w:pPr>
              <w:pStyle w:val="Compact"/>
            </w:pPr>
            <w:r>
              <w:t xml:space="preserve">A1</w:t>
            </w:r>
          </w:p>
        </w:tc>
        <w:tc>
          <w:tcPr/>
          <w:p>
            <w:pPr>
              <w:pStyle w:val="Compact"/>
            </w:pPr>
            <w:r>
              <w:rPr>
                <w:b/>
                <w:bCs/>
              </w:rPr>
              <w:t xml:space="preserve">ชื่อบริษัทจริง</w:t>
            </w:r>
            <w:r>
              <w:t xml:space="preserve"> </w:t>
            </w:r>
            <w:r>
              <w:t xml:space="preserve">— ใช้ placeholder</w:t>
            </w:r>
            <w:r>
              <w:t xml:space="preserve"> </w:t>
            </w:r>
            <w:r>
              <w:rPr>
                <w:rStyle w:val="VerbatimChar"/>
              </w:rPr>
              <w:t xml:space="preserve">[บริษัท / Company]</w:t>
            </w:r>
            <w:r>
              <w:t xml:space="preserve"> </w:t>
            </w:r>
            <w:r>
              <w:t xml:space="preserve">ทั้งเอกสาร</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bank / Acquiring bank</w:t>
            </w:r>
            <w:r>
              <w:t xml:space="preserve"> </w:t>
            </w:r>
            <w:r>
              <w:t xml:space="preserve">— ยังไม่ลงนาม; เกณฑ์ MCC ต้องห้าม/ต้องขออนุมัติ อาจถูกกำหนดเพิ่มโดยข้อสัญญา sponsor bank และ card scheme</w:t>
            </w:r>
          </w:p>
        </w:tc>
        <w:tc>
          <w:tcPr/>
          <w:p>
            <w:pPr>
              <w:pStyle w:val="Compact"/>
            </w:pPr>
            <w:r>
              <w:t xml:space="preserve">ยังไม่สรุป</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QSA vendor (PCI-DSS v4.0 L1)</w:t>
            </w:r>
            <w:r>
              <w:t xml:space="preserve"> </w:t>
            </w:r>
            <w:r>
              <w:t xml:space="preserve">— ยังไม่คัดเลือก; ใช้กำหนด scope การตรวจ CDE ที่เกี่ยวกับ risk engine/monitoring</w:t>
            </w:r>
          </w:p>
        </w:tc>
        <w:tc>
          <w:tcPr/>
          <w:p>
            <w:pPr>
              <w:pStyle w:val="Compact"/>
            </w:pPr>
            <w:r>
              <w:t xml:space="preserve">ยังไม่สรุป</w:t>
            </w:r>
          </w:p>
        </w:tc>
        <w:tc>
          <w:tcPr/>
          <w:p>
            <w:pPr>
              <w:pStyle w:val="Compact"/>
            </w:pPr>
            <w:r>
              <w:t xml:space="preserve">CISO</w:t>
            </w:r>
          </w:p>
        </w:tc>
      </w:tr>
      <w:tr>
        <w:tc>
          <w:tcPr/>
          <w:p>
            <w:pPr>
              <w:pStyle w:val="Compact"/>
            </w:pPr>
            <w:r>
              <w:t xml:space="preserve">A4</w:t>
            </w:r>
          </w:p>
        </w:tc>
        <w:tc>
          <w:tcPr/>
          <w:p>
            <w:pPr>
              <w:pStyle w:val="Compact"/>
            </w:pPr>
            <w:r>
              <w:rPr>
                <w:b/>
                <w:bCs/>
              </w:rPr>
              <w:t xml:space="preserve">ผู้ให้บริการ sanction/PEP/adverse-media screening</w:t>
            </w:r>
            <w:r>
              <w:t xml:space="preserve"> </w:t>
            </w:r>
            <w:r>
              <w:t xml:space="preserve">(เช่น Dow Jones, Refinitiv World-Check, LexisNexis) — ยังไม่คัดเลือก</w:t>
            </w:r>
          </w:p>
        </w:tc>
        <w:tc>
          <w:tcPr/>
          <w:p>
            <w:pPr>
              <w:pStyle w:val="Compact"/>
            </w:pPr>
            <w:r>
              <w:t xml:space="preserve">ยังไม่สรุป</w:t>
            </w:r>
          </w:p>
        </w:tc>
        <w:tc>
          <w:tcPr/>
          <w:p>
            <w:pPr>
              <w:pStyle w:val="Compact"/>
            </w:pPr>
            <w:r>
              <w:t xml:space="preserve">MLRO</w:t>
            </w:r>
          </w:p>
        </w:tc>
      </w:tr>
      <w:tr>
        <w:tc>
          <w:tcPr/>
          <w:p>
            <w:pPr>
              <w:pStyle w:val="Compact"/>
            </w:pPr>
            <w:r>
              <w:t xml:space="preserve">A5</w:t>
            </w:r>
          </w:p>
        </w:tc>
        <w:tc>
          <w:tcPr/>
          <w:p>
            <w:pPr>
              <w:pStyle w:val="Compact"/>
            </w:pPr>
            <w:r>
              <w:rPr>
                <w:b/>
                <w:bCs/>
              </w:rPr>
              <w:t xml:space="preserve">ผู้ให้บริการ fraud scoring / device fingerprinting / 3DS 2.x (EMV 3DS)</w:t>
            </w:r>
            <w:r>
              <w:t xml:space="preserve"> </w:t>
            </w:r>
            <w:r>
              <w:t xml:space="preserve">— ยังไม่คัดเลือก</w:t>
            </w:r>
          </w:p>
        </w:tc>
        <w:tc>
          <w:tcPr/>
          <w:p>
            <w:pPr>
              <w:pStyle w:val="Compact"/>
            </w:pPr>
            <w:r>
              <w:t xml:space="preserve">ยังไม่สรุป</w:t>
            </w:r>
          </w:p>
        </w:tc>
        <w:tc>
          <w:tcPr/>
          <w:p>
            <w:pPr>
              <w:pStyle w:val="Compact"/>
            </w:pPr>
            <w:r>
              <w:t xml:space="preserve">Head of Risk / CTO</w:t>
            </w:r>
          </w:p>
        </w:tc>
      </w:tr>
      <w:tr>
        <w:tc>
          <w:tcPr/>
          <w:p>
            <w:pPr>
              <w:pStyle w:val="Compact"/>
            </w:pPr>
            <w:r>
              <w:t xml:space="preserve">A6</w:t>
            </w:r>
          </w:p>
        </w:tc>
        <w:tc>
          <w:tcPr/>
          <w:p>
            <w:pPr>
              <w:pStyle w:val="Compact"/>
            </w:pPr>
            <w:r>
              <w:rPr>
                <w:b/>
                <w:bCs/>
              </w:rPr>
              <w:t xml:space="preserve">ค่า threshold ตัวเลขจริง</w:t>
            </w:r>
            <w:r>
              <w:t xml:space="preserve"> </w:t>
            </w:r>
            <w:r>
              <w:t xml:space="preserve">(ยอด, velocity, chargeback ratio) ในเอกสารนี้เป็น</w:t>
            </w:r>
            <w:r>
              <w:t xml:space="preserve"> </w:t>
            </w:r>
            <w:r>
              <w:rPr>
                <w:b/>
                <w:bCs/>
              </w:rPr>
              <w:t xml:space="preserve">ค่าเริ่มต้นที่เสนอ (proposed baseline)</w:t>
            </w:r>
            <w:r>
              <w:t xml:space="preserve"> </w:t>
            </w:r>
            <w:r>
              <w:t xml:space="preserve">— ต้อง calibrate กับข้อมูลจริงและข้อกำหนด scheme (เช่น Visa VDMP/VFMP, Mastercard ECP/EFM)</w:t>
            </w:r>
          </w:p>
        </w:tc>
        <w:tc>
          <w:tcPr/>
          <w:p>
            <w:pPr>
              <w:pStyle w:val="Compact"/>
            </w:pPr>
            <w:r>
              <w:t xml:space="preserve">TODO</w:t>
            </w:r>
          </w:p>
        </w:tc>
        <w:tc>
          <w:tcPr/>
          <w:p>
            <w:pPr>
              <w:pStyle w:val="Compact"/>
            </w:pPr>
            <w:r>
              <w:t xml:space="preserve">CRO / MLRO</w:t>
            </w:r>
          </w:p>
        </w:tc>
      </w:tr>
      <w:tr>
        <w:tc>
          <w:tcPr/>
          <w:p>
            <w:pPr>
              <w:pStyle w:val="Compact"/>
            </w:pPr>
            <w:r>
              <w:t xml:space="preserve">A7</w:t>
            </w:r>
          </w:p>
        </w:tc>
        <w:tc>
          <w:tcPr/>
          <w:p>
            <w:pPr>
              <w:pStyle w:val="Compact"/>
            </w:pPr>
            <w:r>
              <w:rPr>
                <w:b/>
                <w:bCs/>
              </w:rPr>
              <w:t xml:space="preserve">แผนที่ MCC → หมวดความเสี่ยง (MCC risk map)</w:t>
            </w:r>
            <w:r>
              <w:t xml:space="preserve"> </w:t>
            </w:r>
            <w:r>
              <w:t xml:space="preserve">ฉบับสมบูรณ์ — ต้อง sync กับ prohibited/high-brand-risk list ของ sponsor bank (A2)</w:t>
            </w:r>
          </w:p>
        </w:tc>
        <w:tc>
          <w:tcPr/>
          <w:p>
            <w:pPr>
              <w:pStyle w:val="Compact"/>
            </w:pPr>
            <w:r>
              <w:t xml:space="preserve">TODO</w:t>
            </w:r>
          </w:p>
        </w:tc>
        <w:tc>
          <w:tcPr/>
          <w:p>
            <w:pPr>
              <w:pStyle w:val="Compact"/>
            </w:pPr>
            <w:r>
              <w:t xml:space="preserve">Compliance</w:t>
            </w:r>
          </w:p>
        </w:tc>
      </w:tr>
    </w:tbl>
    <w:p>
      <w:pPr>
        <w:pStyle w:val="BlockText"/>
      </w:pPr>
      <w:r>
        <w:t xml:space="preserve">เกณฑ์ scheme (Visa/Mastercard) และเงื่อนไข sponsor bank อาจ</w:t>
      </w:r>
      <w:r>
        <w:t xml:space="preserve"> </w:t>
      </w:r>
      <w:r>
        <w:rPr>
          <w:b/>
          <w:bCs/>
        </w:rPr>
        <w:t xml:space="preserve">เข้มกว่า</w:t>
      </w:r>
      <w:r>
        <w:t xml:space="preserve"> </w:t>
      </w:r>
      <w:r>
        <w:t xml:space="preserve">เกณฑ์ในเอกสารนี้ — ให้ยึดเกณฑ์ที่เข้มกว่าเสมอ</w:t>
      </w:r>
    </w:p>
    <w:p>
      <w:r>
        <w:pict>
          <v:rect style="width:0;height:1.5pt" o:hralign="center" o:hrstd="t" o:hr="t"/>
        </w:pict>
      </w:r>
    </w:p>
    <w:bookmarkStart w:id="275" w:name="วตถประสงคและขอบเขต-purpose-scope-1"/>
    <w:p>
      <w:pPr>
        <w:pStyle w:val="Heading2"/>
      </w:pPr>
      <w:r>
        <w:t xml:space="preserve">1. วัตถุประสงค์และขอบเขต (Purpose &amp; Scope)</w:t>
      </w:r>
    </w:p>
    <w:p>
      <w:pPr>
        <w:pStyle w:val="FirstParagraph"/>
      </w:pPr>
      <w:r>
        <w:t xml:space="preserve">นโยบายนี้กำหนดวิธี</w:t>
      </w:r>
      <w:r>
        <w:t xml:space="preserve"> </w:t>
      </w:r>
      <w:r>
        <w:rPr>
          <w:b/>
          <w:bCs/>
        </w:rPr>
        <w:t xml:space="preserve">จัดระดับความเสี่ยง (risk categorization)</w:t>
      </w:r>
      <w:r>
        <w:t xml:space="preserve"> </w:t>
      </w:r>
      <w:r>
        <w:t xml:space="preserve">ของลูกค้าและร้านค้า (merchant) ของ [บริษัท / Company]</w:t>
      </w:r>
      <w:r>
        <w:t xml:space="preserve"> </w:t>
      </w:r>
      <w:r>
        <w:t xml:space="preserve">ในฐานะผู้ให้บริการ Acquiring เพื่อให้:</w:t>
      </w:r>
    </w:p>
    <w:p>
      <w:pPr>
        <w:pStyle w:val="Compact"/>
        <w:numPr>
          <w:ilvl w:val="0"/>
          <w:numId w:val="1108"/>
        </w:numPr>
      </w:pPr>
      <w:r>
        <w:t xml:space="preserve">ปฏิบัติตาม</w:t>
      </w:r>
      <w:r>
        <w:t xml:space="preserve"> </w:t>
      </w:r>
      <w:r>
        <w:rPr>
          <w:b/>
          <w:bCs/>
        </w:rPr>
        <w:t xml:space="preserve">พ.ร.บ. ป้องกันและปราบปรามการฟอกเงิน (AMLO)</w:t>
      </w:r>
      <w:r>
        <w:t xml:space="preserve"> </w:t>
      </w:r>
      <w:r>
        <w:t xml:space="preserve">และประกาศ/แนวปฏิบัติของสำนักงาน ปปง. เรื่องการทำ</w:t>
      </w:r>
      <w:r>
        <w:t xml:space="preserve"> </w:t>
      </w:r>
      <w:r>
        <w:rPr>
          <w:b/>
          <w:bCs/>
        </w:rPr>
        <w:t xml:space="preserve">CDD/EDD</w:t>
      </w:r>
      <w:r>
        <w:t xml:space="preserve"> </w:t>
      </w:r>
      <w:r>
        <w:t xml:space="preserve">ตามความเสี่ยง (Risk-Based Approach)</w:t>
      </w:r>
    </w:p>
    <w:p>
      <w:pPr>
        <w:pStyle w:val="Compact"/>
        <w:numPr>
          <w:ilvl w:val="0"/>
          <w:numId w:val="1108"/>
        </w:numPr>
      </w:pPr>
      <w:r>
        <w:t xml:space="preserve">ปฏิบัติตามหลักเกณฑ์</w:t>
      </w:r>
      <w:r>
        <w:t xml:space="preserve"> </w:t>
      </w:r>
      <w:r>
        <w:rPr>
          <w:b/>
          <w:bCs/>
        </w:rPr>
        <w:t xml:space="preserve">ธปท.</w:t>
      </w:r>
      <w:r>
        <w:t xml:space="preserve"> </w:t>
      </w:r>
      <w:r>
        <w:t xml:space="preserve">ด้านการบริหารความเสี่ยงของผู้ให้บริการชำระเงิน (merchant risk, fraud, chargeback, IT risk)</w:t>
      </w:r>
    </w:p>
    <w:p>
      <w:pPr>
        <w:pStyle w:val="Compact"/>
        <w:numPr>
          <w:ilvl w:val="0"/>
          <w:numId w:val="1108"/>
        </w:numPr>
      </w:pPr>
      <w:r>
        <w:t xml:space="preserve">สอดคล้องกับข้อกำหนด</w:t>
      </w:r>
      <w:r>
        <w:t xml:space="preserve"> </w:t>
      </w:r>
      <w:r>
        <w:rPr>
          <w:b/>
          <w:bCs/>
        </w:rPr>
        <w:t xml:space="preserve">card scheme</w:t>
      </w:r>
      <w:r>
        <w:t xml:space="preserve"> </w:t>
      </w:r>
      <w:r>
        <w:t xml:space="preserve">(Visa, Mastercard) เรื่อง merchant monitoring, high-risk/high-brand-risk MCC และ dispute/fraud program</w:t>
      </w:r>
    </w:p>
    <w:p>
      <w:pPr>
        <w:pStyle w:val="Compact"/>
        <w:numPr>
          <w:ilvl w:val="0"/>
          <w:numId w:val="1108"/>
        </w:numPr>
      </w:pPr>
      <w:r>
        <w:t xml:space="preserve">คุ้มครองข้อมูลส่วนบุคคลตาม</w:t>
      </w:r>
      <w:r>
        <w:t xml:space="preserve"> </w:t>
      </w:r>
      <w:r>
        <w:rPr>
          <w:b/>
          <w:bCs/>
        </w:rPr>
        <w:t xml:space="preserve">พ.ร.บ. คุ้มครองข้อมูลส่วนบุคคล พ.ศ. 2562 (PDPA)</w:t>
      </w:r>
      <w:r>
        <w:t xml:space="preserve"> </w:t>
      </w:r>
      <w:r>
        <w:t xml:space="preserve">ภายใต้การกำกับของ</w:t>
      </w:r>
      <w:r>
        <w:t xml:space="preserve"> </w:t>
      </w:r>
      <w:r>
        <w:rPr>
          <w:b/>
          <w:bCs/>
        </w:rPr>
        <w:t xml:space="preserve">PDPC</w:t>
      </w:r>
      <w:r>
        <w:t xml:space="preserve"> </w:t>
      </w:r>
      <w:r>
        <w:t xml:space="preserve">— การเก็บ/ประมวลผลข้อมูลเพื่อ AML/fraud อาศัยฐาน</w:t>
      </w:r>
      <w:r>
        <w:t xml:space="preserve"> </w:t>
      </w:r>
      <w:r>
        <w:t xml:space="preserve">“หน้าที่ตามกฎหมาย”</w:t>
      </w:r>
      <w:r>
        <w:t xml:space="preserve"> </w:t>
      </w:r>
      <w:r>
        <w:t xml:space="preserve">และ</w:t>
      </w:r>
      <w:r>
        <w:t xml:space="preserve"> </w:t>
      </w:r>
      <w:r>
        <w:t xml:space="preserve">“ประโยชน์อันชอบธรรม”</w:t>
      </w:r>
    </w:p>
    <w:p>
      <w:pPr>
        <w:pStyle w:val="FirstParagraph"/>
      </w:pPr>
      <w:r>
        <w:rPr>
          <w:b/>
          <w:bCs/>
        </w:rPr>
        <w:t xml:space="preserve">ขอบเขต:</w:t>
      </w:r>
      <w:r>
        <w:t xml:space="preserve"> </w:t>
      </w:r>
      <w:r>
        <w:t xml:space="preserve">ใช้กับ merchant ทุกรายที่ onboard, ผู้ถือผลประโยชน์ที่แท้จริง (Ultimate Beneficial Owner — UBO), กรรมการ/ผู้มีอำนาจลงนาม และ (ที่เกี่ยวข้อง) sub-merchant ในโหมด Payment Facilitating</w:t>
      </w:r>
    </w:p>
    <w:p>
      <w:r>
        <w:pict>
          <v:rect style="width:0;height:1.5pt" o:hralign="center" o:hrstd="t" o:hr="t"/>
        </w:pict>
      </w:r>
    </w:p>
    <w:bookmarkEnd w:id="275"/>
    <w:bookmarkStart w:id="276" w:name="Xe36276660406438932918b09e178251a42b814b"/>
    <w:p>
      <w:pPr>
        <w:pStyle w:val="Heading2"/>
      </w:pPr>
      <w:r>
        <w:t xml:space="preserve">2. หลักการจัดระดับความเสี่ยง (Risk-Rating Principles)</w:t>
      </w:r>
    </w:p>
    <w:p>
      <w:pPr>
        <w:pStyle w:val="Compact"/>
        <w:numPr>
          <w:ilvl w:val="0"/>
          <w:numId w:val="1109"/>
        </w:numPr>
      </w:pPr>
      <w:r>
        <w:rPr>
          <w:b/>
          <w:bCs/>
        </w:rPr>
        <w:t xml:space="preserve">Risk-Based Approach (RBA):</w:t>
      </w:r>
      <w:r>
        <w:t xml:space="preserve"> </w:t>
      </w:r>
      <w:r>
        <w:t xml:space="preserve">ระดับความเข้มของการตรวจสอบ (CDD/EDD) และความถี่ในการทบทวน แปรผันตามระดับความเสี่ยง</w:t>
      </w:r>
    </w:p>
    <w:p>
      <w:pPr>
        <w:pStyle w:val="Compact"/>
        <w:numPr>
          <w:ilvl w:val="0"/>
          <w:numId w:val="1109"/>
        </w:numPr>
      </w:pPr>
      <w:r>
        <w:rPr>
          <w:b/>
          <w:bCs/>
        </w:rPr>
        <w:t xml:space="preserve">ประเมินตอน onboarding และตลอดวงจร (ongoing):</w:t>
      </w:r>
      <w:r>
        <w:t xml:space="preserve"> </w:t>
      </w:r>
      <w:r>
        <w:t xml:space="preserve">ระดับความเสี่ยงไม่คงที่ — ต้อง re-score เมื่อเกิด trigger event</w:t>
      </w:r>
    </w:p>
    <w:p>
      <w:pPr>
        <w:pStyle w:val="Compact"/>
        <w:numPr>
          <w:ilvl w:val="0"/>
          <w:numId w:val="1109"/>
        </w:numPr>
      </w:pPr>
      <w:r>
        <w:rPr>
          <w:b/>
          <w:bCs/>
        </w:rPr>
        <w:t xml:space="preserve">หลายมิติ (multi-factor):</w:t>
      </w:r>
      <w:r>
        <w:t xml:space="preserve"> </w:t>
      </w:r>
      <w:r>
        <w:t xml:space="preserve">คะแนนความเสี่ยงมาจากหลายปัจจัยถ่วงน้ำหนัก ไม่ตัดสินจากปัจจัยเดียว</w:t>
      </w:r>
    </w:p>
    <w:p>
      <w:pPr>
        <w:pStyle w:val="Compact"/>
        <w:numPr>
          <w:ilvl w:val="0"/>
          <w:numId w:val="1109"/>
        </w:numPr>
      </w:pPr>
      <w:r>
        <w:rPr>
          <w:b/>
          <w:bCs/>
        </w:rPr>
        <w:t xml:space="preserve">Fail closed / conservative:</w:t>
      </w:r>
      <w:r>
        <w:t xml:space="preserve"> </w:t>
      </w:r>
      <w:r>
        <w:t xml:space="preserve">เมื่อข้อมูลไม่ครบหรือคลุมเครือ ให้จัดระดับสูงกว่าไว้ก่อน แล้วปรับลดเมื่อพิสูจน์ได้ (สอดคล้อง design principle</w:t>
      </w:r>
      <w:r>
        <w:t xml:space="preserve"> </w:t>
      </w:r>
      <w:r>
        <w:t xml:space="preserve">“Fail closed”</w:t>
      </w:r>
      <w:r>
        <w:t xml:space="preserve"> </w:t>
      </w:r>
      <w:r>
        <w:t xml:space="preserve">ใน</w:t>
      </w:r>
      <w:r>
        <w:t xml:space="preserve"> </w:t>
      </w:r>
      <w:r>
        <w:rPr>
          <w:rStyle w:val="VerbatimChar"/>
        </w:rPr>
        <w:t xml:space="preserve">ARCHITECTURE.md</w:t>
      </w:r>
      <w:r>
        <w:t xml:space="preserve">)</w:t>
      </w:r>
    </w:p>
    <w:p>
      <w:pPr>
        <w:pStyle w:val="Compact"/>
        <w:numPr>
          <w:ilvl w:val="0"/>
          <w:numId w:val="1109"/>
        </w:numPr>
      </w:pPr>
      <w:r>
        <w:rPr>
          <w:b/>
          <w:bCs/>
        </w:rPr>
        <w:t xml:space="preserve">Four-eyes / segregation of duties:</w:t>
      </w:r>
      <w:r>
        <w:t xml:space="preserve"> </w:t>
      </w:r>
      <w:r>
        <w:t xml:space="preserve">การอนุมัติลูกค้า High Risk ต้องแยกจากฝ่ายขาย (สอดคล้อง Three Lines of Defense ใน</w:t>
      </w:r>
      <w:r>
        <w:t xml:space="preserve"> </w:t>
      </w:r>
      <w:r>
        <w:rPr>
          <w:rStyle w:val="VerbatimChar"/>
        </w:rPr>
        <w:t xml:space="preserve">04-org-chart-governance.md</w:t>
      </w:r>
      <w:r>
        <w:t xml:space="preserve">)</w:t>
      </w:r>
    </w:p>
    <w:p>
      <w:pPr>
        <w:pStyle w:val="Compact"/>
        <w:numPr>
          <w:ilvl w:val="0"/>
          <w:numId w:val="1109"/>
        </w:numPr>
      </w:pPr>
      <w:r>
        <w:rPr>
          <w:b/>
          <w:bCs/>
        </w:rPr>
        <w:t xml:space="preserve">บันทึกได้ตรวจสอบได้ (auditable):</w:t>
      </w:r>
      <w:r>
        <w:t xml:space="preserve"> </w:t>
      </w:r>
      <w:r>
        <w:t xml:space="preserve">ทุกการจัดระดับ/เปลี่ยนระดับบันทึกใน</w:t>
      </w:r>
      <w:r>
        <w:t xml:space="preserve"> </w:t>
      </w:r>
      <w:r>
        <w:rPr>
          <w:rStyle w:val="VerbatimChar"/>
        </w:rPr>
        <w:t xml:space="preserve">audit_log</w:t>
      </w:r>
      <w:r>
        <w:t xml:space="preserve"> </w:t>
      </w:r>
      <w:r>
        <w:t xml:space="preserve">(append-only) พร้อมเหตุผลและผู้อนุมัติ</w:t>
      </w:r>
    </w:p>
    <w:p>
      <w:r>
        <w:pict>
          <v:rect style="width:0;height:1.5pt" o:hralign="center" o:hrstd="t" o:hr="t"/>
        </w:pict>
      </w:r>
    </w:p>
    <w:bookmarkEnd w:id="276"/>
    <w:bookmarkStart w:id="278" w:name="Xe0f68877a0b26d9c7c3e81b9441fc90c611d235"/>
    <w:p>
      <w:pPr>
        <w:pStyle w:val="Heading2"/>
      </w:pPr>
      <w:r>
        <w:t xml:space="preserve">3. โมเดลการให้คะแนนความเสี่ยง (Risk-Scoring Model)</w:t>
      </w:r>
    </w:p>
    <w:p>
      <w:pPr>
        <w:pStyle w:val="FirstParagraph"/>
      </w:pPr>
      <w:r>
        <w:t xml:space="preserve">คะแนนรวม = ผลรวมถ่วงน้ำหนักของ 6 ปัจจัย (0–100) จากนั้น map เป็น 3 ระดับ</w:t>
      </w:r>
    </w:p>
    <w:tbl>
      <w:tblPr>
        <w:tblStyle w:val="Table"/>
        <w:tblW w:type="pct" w:w="5000"/>
        <w:tblLayout w:type="fixed"/>
        <w:tblLook w:firstRow="1" w:lastRow="0" w:firstColumn="0" w:lastColumn="0" w:noHBand="0" w:noVBand="0" w:val="0020"/>
      </w:tblPr>
      <w:tblGrid>
        <w:gridCol w:w="3240"/>
        <w:gridCol w:w="1440"/>
        <w:gridCol w:w="3240"/>
      </w:tblGrid>
      <w:tr>
        <w:trPr>
          <w:tblHeader w:val="on"/>
        </w:trPr>
        <w:tc>
          <w:tcPr/>
          <w:p>
            <w:pPr>
              <w:pStyle w:val="Compact"/>
            </w:pPr>
            <w:r>
              <w:t xml:space="preserve">ปัจจัยความเสี่ยง</w:t>
            </w:r>
          </w:p>
        </w:tc>
        <w:tc>
          <w:tcPr/>
          <w:p>
            <w:pPr>
              <w:pStyle w:val="Compact"/>
            </w:pPr>
            <w:r>
              <w:t xml:space="preserve">น้ำหนัก</w:t>
            </w:r>
          </w:p>
        </w:tc>
        <w:tc>
          <w:tcPr/>
          <w:p>
            <w:pPr>
              <w:pStyle w:val="Compact"/>
            </w:pPr>
            <w:r>
              <w:t xml:space="preserve">ตัวอย่างตัวชี้วัด</w:t>
            </w:r>
          </w:p>
        </w:tc>
      </w:tr>
      <w:tr>
        <w:tc>
          <w:tcPr/>
          <w:p>
            <w:pPr>
              <w:pStyle w:val="Compact"/>
            </w:pPr>
            <w:r>
              <w:rPr>
                <w:b/>
                <w:bCs/>
              </w:rPr>
              <w:t xml:space="preserve">1. ประเภทธุรกิจ / MCC</w:t>
            </w:r>
          </w:p>
        </w:tc>
        <w:tc>
          <w:tcPr/>
          <w:p>
            <w:pPr>
              <w:pStyle w:val="Compact"/>
            </w:pPr>
            <w:r>
              <w:t xml:space="preserve">30%</w:t>
            </w:r>
          </w:p>
        </w:tc>
        <w:tc>
          <w:tcPr/>
          <w:p>
            <w:pPr>
              <w:pStyle w:val="Compact"/>
            </w:pPr>
            <w:r>
              <w:t xml:space="preserve">MCC อยู่ในหมวด high-risk (ดูข้อ 5)</w:t>
            </w:r>
          </w:p>
        </w:tc>
      </w:tr>
      <w:tr>
        <w:tc>
          <w:tcPr/>
          <w:p>
            <w:pPr>
              <w:pStyle w:val="Compact"/>
            </w:pPr>
            <w:r>
              <w:rPr>
                <w:b/>
                <w:bCs/>
              </w:rPr>
              <w:t xml:space="preserve">2. ความเสี่ยงประเทศ/ภูมิศาสตร์</w:t>
            </w:r>
          </w:p>
        </w:tc>
        <w:tc>
          <w:tcPr/>
          <w:p>
            <w:pPr>
              <w:pStyle w:val="Compact"/>
            </w:pPr>
            <w:r>
              <w:t xml:space="preserve">15%</w:t>
            </w:r>
          </w:p>
        </w:tc>
        <w:tc>
          <w:tcPr/>
          <w:p>
            <w:pPr>
              <w:pStyle w:val="Compact"/>
            </w:pPr>
            <w:r>
              <w:t xml:space="preserve">ประเทศจดทะเบียน/ที่ตั้ง/ลูกค้าปลายทางอยู่ในบัญชี FATF high-risk หรือประเทศที่ถูกคว่ำบาตร</w:t>
            </w:r>
          </w:p>
        </w:tc>
      </w:tr>
      <w:tr>
        <w:tc>
          <w:tcPr/>
          <w:p>
            <w:pPr>
              <w:pStyle w:val="Compact"/>
            </w:pPr>
            <w:r>
              <w:rPr>
                <w:b/>
                <w:bCs/>
              </w:rPr>
              <w:t xml:space="preserve">3. โครงสร้างเจ้าของ / UBO</w:t>
            </w:r>
          </w:p>
        </w:tc>
        <w:tc>
          <w:tcPr/>
          <w:p>
            <w:pPr>
              <w:pStyle w:val="Compact"/>
            </w:pPr>
            <w:r>
              <w:t xml:space="preserve">15%</w:t>
            </w:r>
          </w:p>
        </w:tc>
        <w:tc>
          <w:tcPr/>
          <w:p>
            <w:pPr>
              <w:pStyle w:val="Compact"/>
            </w:pPr>
            <w:r>
              <w:t xml:space="preserve">โครงสร้างซับซ้อน, nominee, UBO เป็น PEP, ถือหุ้นข้ามหลายชั้น</w:t>
            </w:r>
          </w:p>
        </w:tc>
      </w:tr>
      <w:tr>
        <w:tc>
          <w:tcPr/>
          <w:p>
            <w:pPr>
              <w:pStyle w:val="Compact"/>
            </w:pPr>
            <w:r>
              <w:rPr>
                <w:b/>
                <w:bCs/>
              </w:rPr>
              <w:t xml:space="preserve">4. รูปแบบการชำระเงิน / channel</w:t>
            </w:r>
          </w:p>
        </w:tc>
        <w:tc>
          <w:tcPr/>
          <w:p>
            <w:pPr>
              <w:pStyle w:val="Compact"/>
            </w:pPr>
            <w:r>
              <w:t xml:space="preserve">15%</w:t>
            </w:r>
          </w:p>
        </w:tc>
        <w:tc>
          <w:tcPr/>
          <w:p>
            <w:pPr>
              <w:pStyle w:val="Compact"/>
            </w:pPr>
            <w:r>
              <w:t xml:space="preserve">Card-Not-Present (CNP), MOTO, cross-border, high-ticket, subscription/recurring</w:t>
            </w:r>
          </w:p>
        </w:tc>
      </w:tr>
      <w:tr>
        <w:tc>
          <w:tcPr/>
          <w:p>
            <w:pPr>
              <w:pStyle w:val="Compact"/>
            </w:pPr>
            <w:r>
              <w:rPr>
                <w:b/>
                <w:bCs/>
              </w:rPr>
              <w:t xml:space="preserve">5. ประวัติ/ชื่อเสียง</w:t>
            </w:r>
          </w:p>
        </w:tc>
        <w:tc>
          <w:tcPr/>
          <w:p>
            <w:pPr>
              <w:pStyle w:val="Compact"/>
            </w:pPr>
            <w:r>
              <w:t xml:space="preserve">15%</w:t>
            </w:r>
          </w:p>
        </w:tc>
        <w:tc>
          <w:tcPr/>
          <w:p>
            <w:pPr>
              <w:pStyle w:val="Compact"/>
            </w:pPr>
            <w:r>
              <w:t xml:space="preserve">Sanction/PEP/adverse-media hit, ประวัติ chargeback/fraud, เคยถูก terminate (MATCH/TMF list ของ Mastercard)</w:t>
            </w:r>
          </w:p>
        </w:tc>
      </w:tr>
      <w:tr>
        <w:tc>
          <w:tcPr/>
          <w:p>
            <w:pPr>
              <w:pStyle w:val="Compact"/>
            </w:pPr>
            <w:r>
              <w:rPr>
                <w:b/>
                <w:bCs/>
              </w:rPr>
              <w:t xml:space="preserve">6. ปริมาณธุรกิจที่คาดการณ์</w:t>
            </w:r>
          </w:p>
        </w:tc>
        <w:tc>
          <w:tcPr/>
          <w:p>
            <w:pPr>
              <w:pStyle w:val="Compact"/>
            </w:pPr>
            <w:r>
              <w:t xml:space="preserve">10%</w:t>
            </w:r>
          </w:p>
        </w:tc>
        <w:tc>
          <w:tcPr/>
          <w:p>
            <w:pPr>
              <w:pStyle w:val="Compact"/>
            </w:pPr>
            <w:r>
              <w:t xml:space="preserve">ยอดขายต่อเดือนที่คาดการณ์, average ticket, ระยะเวลาส่งมอบสินค้า (delivery lag = future delivery risk)</w:t>
            </w:r>
          </w:p>
        </w:tc>
      </w:tr>
    </w:tbl>
    <w:bookmarkStart w:id="277" w:name="การ-map-คะแนน-ระดบ"/>
    <w:p>
      <w:pPr>
        <w:pStyle w:val="Heading3"/>
      </w:pPr>
      <w:r>
        <w:t xml:space="preserve">การ map คะแนน → ระดับ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คะแนนรวม</w:t>
            </w:r>
          </w:p>
        </w:tc>
        <w:tc>
          <w:tcPr/>
          <w:p>
            <w:pPr>
              <w:pStyle w:val="Compact"/>
            </w:pPr>
            <w:r>
              <w:t xml:space="preserve">ระดับความเสี่ยง</w:t>
            </w:r>
          </w:p>
        </w:tc>
      </w:tr>
      <w:tr>
        <w:tc>
          <w:tcPr/>
          <w:p>
            <w:pPr>
              <w:pStyle w:val="Compact"/>
            </w:pPr>
            <w:r>
              <w:t xml:space="preserve">0–39</w:t>
            </w:r>
          </w:p>
        </w:tc>
        <w:tc>
          <w:tcPr/>
          <w:p>
            <w:pPr>
              <w:pStyle w:val="Compact"/>
            </w:pPr>
            <w:r>
              <w:rPr>
                <w:b/>
                <w:bCs/>
              </w:rPr>
              <w:t xml:space="preserve">Low (ต่ำ)</w:t>
            </w:r>
          </w:p>
        </w:tc>
      </w:tr>
      <w:tr>
        <w:tc>
          <w:tcPr/>
          <w:p>
            <w:pPr>
              <w:pStyle w:val="Compact"/>
            </w:pPr>
            <w:r>
              <w:t xml:space="preserve">40–69</w:t>
            </w:r>
          </w:p>
        </w:tc>
        <w:tc>
          <w:tcPr/>
          <w:p>
            <w:pPr>
              <w:pStyle w:val="Compact"/>
            </w:pPr>
            <w:r>
              <w:rPr>
                <w:b/>
                <w:bCs/>
              </w:rPr>
              <w:t xml:space="preserve">Medium (ปานกลาง)</w:t>
            </w:r>
          </w:p>
        </w:tc>
      </w:tr>
      <w:tr>
        <w:tc>
          <w:tcPr/>
          <w:p>
            <w:pPr>
              <w:pStyle w:val="Compact"/>
            </w:pPr>
            <w:r>
              <w:t xml:space="preserve">70–100</w:t>
            </w:r>
          </w:p>
        </w:tc>
        <w:tc>
          <w:tcPr/>
          <w:p>
            <w:pPr>
              <w:pStyle w:val="Compact"/>
            </w:pPr>
            <w:r>
              <w:rPr>
                <w:b/>
                <w:bCs/>
              </w:rPr>
              <w:t xml:space="preserve">High (สูง)</w:t>
            </w:r>
          </w:p>
        </w:tc>
      </w:tr>
    </w:tbl>
    <w:p>
      <w:pPr>
        <w:pStyle w:val="BlockText"/>
      </w:pPr>
      <w:r>
        <w:rPr>
          <w:b/>
          <w:bCs/>
        </w:rPr>
        <w:t xml:space="preserve">Override บังคับ (mandatory high):</w:t>
      </w:r>
      <w:r>
        <w:t xml:space="preserve"> </w:t>
      </w:r>
      <w:r>
        <w:t xml:space="preserve">ไม่ว่าคะแนนรวมเท่าใด ให้จัดเป็น</w:t>
      </w:r>
      <w:r>
        <w:t xml:space="preserve"> </w:t>
      </w:r>
      <w:r>
        <w:rPr>
          <w:b/>
          <w:bCs/>
        </w:rPr>
        <w:t xml:space="preserve">High</w:t>
      </w:r>
      <w:r>
        <w:t xml:space="preserve"> </w:t>
      </w:r>
      <w:r>
        <w:t xml:space="preserve">ทันที หากเข้าเงื่อนไขข้อใดข้อหนึ่ง:</w:t>
      </w:r>
      <w:r>
        <w:t xml:space="preserve"> </w:t>
      </w:r>
      <w:r>
        <w:t xml:space="preserve">sanction hit ที่ยืนยันแล้ว, UBO เป็น PEP, MCC อยู่ในหมวด high-risk, อยู่ในประเทศ FATF high-risk (black/grey list),</w:t>
      </w:r>
      <w:r>
        <w:t xml:space="preserve"> </w:t>
      </w:r>
      <w:r>
        <w:t xml:space="preserve">พบใน MATCH/Terminated Merchant File, หรือโครงสร้าง nominee ที่ระบุ UBO ไม่ได้</w:t>
      </w:r>
    </w:p>
    <w:p>
      <w:pPr>
        <w:pStyle w:val="BlockText"/>
      </w:pPr>
      <w:r>
        <w:rPr>
          <w:b/>
          <w:bCs/>
        </w:rPr>
        <w:t xml:space="preserve">Prohibited (ปฏิเสธ):</w:t>
      </w:r>
      <w:r>
        <w:t xml:space="preserve"> </w:t>
      </w:r>
      <w:r>
        <w:t xml:space="preserve">sanction match ที่ยืนยัน (OFAC/UN/EU/รายชื่อ ปปง.), ธุรกิจผิดกฎหมายตามกฎหมายไทย, MCC ต้องห้ามตามสัญญา sponsor bank/scheme →</w:t>
      </w:r>
      <w:r>
        <w:t xml:space="preserve"> </w:t>
      </w:r>
      <w:r>
        <w:rPr>
          <w:b/>
          <w:bCs/>
        </w:rPr>
        <w:t xml:space="preserve">ไม่รับ onboard</w:t>
      </w:r>
    </w:p>
    <w:p>
      <w:r>
        <w:pict>
          <v:rect style="width:0;height:1.5pt" o:hralign="center" o:hrstd="t" o:hr="t"/>
        </w:pict>
      </w:r>
    </w:p>
    <w:bookmarkEnd w:id="277"/>
    <w:bookmarkEnd w:id="278"/>
    <w:bookmarkStart w:id="279" w:name="X9b72b3bf12f5d6d2e63bd41832e922633dc5d55"/>
    <w:p>
      <w:pPr>
        <w:pStyle w:val="Heading2"/>
      </w:pPr>
      <w:r>
        <w:t xml:space="preserve">4. ระดับความเสี่ยง 3 ระดับ — นิยาม การตรวจสอบ และการควบคุม</w:t>
      </w:r>
    </w:p>
    <w:tbl>
      <w:tblPr>
        <w:tblStyle w:val="Table"/>
        <w:tblW w:type="pct" w:w="5000"/>
        <w:tblLayout w:type="fixed"/>
        <w:tblLook w:firstRow="1" w:lastRow="0" w:firstColumn="0" w:lastColumn="0" w:noHBand="0" w:noVBand="0" w:val="0020"/>
      </w:tblPr>
      <w:tblGrid>
        <w:gridCol w:w="1038"/>
        <w:gridCol w:w="1947"/>
        <w:gridCol w:w="2856"/>
        <w:gridCol w:w="2077"/>
      </w:tblGrid>
      <w:tr>
        <w:trPr>
          <w:tblHeader w:val="on"/>
        </w:trPr>
        <w:tc>
          <w:tcPr/>
          <w:p>
            <w:pPr>
              <w:pStyle w:val="Compact"/>
            </w:pPr>
            <w:r>
              <w:t xml:space="preserve">หัวข้อ</w:t>
            </w:r>
          </w:p>
        </w:tc>
        <w:tc>
          <w:tcPr/>
          <w:p>
            <w:pPr>
              <w:pStyle w:val="Compact"/>
            </w:pPr>
            <w:r>
              <w:rPr>
                <w:b/>
                <w:bCs/>
              </w:rPr>
              <w:t xml:space="preserve">Low (ต่ำ)</w:t>
            </w:r>
          </w:p>
        </w:tc>
        <w:tc>
          <w:tcPr/>
          <w:p>
            <w:pPr>
              <w:pStyle w:val="Compact"/>
            </w:pPr>
            <w:r>
              <w:rPr>
                <w:b/>
                <w:bCs/>
              </w:rPr>
              <w:t xml:space="preserve">Medium (ปานกลาง)</w:t>
            </w:r>
          </w:p>
        </w:tc>
        <w:tc>
          <w:tcPr/>
          <w:p>
            <w:pPr>
              <w:pStyle w:val="Compact"/>
            </w:pPr>
            <w:r>
              <w:rPr>
                <w:b/>
                <w:bCs/>
              </w:rPr>
              <w:t xml:space="preserve">High (สูง)</w:t>
            </w:r>
          </w:p>
        </w:tc>
      </w:tr>
      <w:tr>
        <w:tc>
          <w:tcPr/>
          <w:p>
            <w:pPr>
              <w:pStyle w:val="Compact"/>
            </w:pPr>
            <w:r>
              <w:rPr>
                <w:b/>
                <w:bCs/>
              </w:rPr>
              <w:t xml:space="preserve">ตัวอย่าง merchant</w:t>
            </w:r>
          </w:p>
        </w:tc>
        <w:tc>
          <w:tcPr/>
          <w:p>
            <w:pPr>
              <w:pStyle w:val="Compact"/>
            </w:pPr>
            <w:r>
              <w:t xml:space="preserve">ร้านค้าปลีกจดทะเบียนในไทย, MCC ทั่วไป, ticket ต่ำ, ส่งมอบทันที</w:t>
            </w:r>
          </w:p>
        </w:tc>
        <w:tc>
          <w:tcPr/>
          <w:p>
            <w:pPr>
              <w:pStyle w:val="Compact"/>
            </w:pPr>
            <w:r>
              <w:t xml:space="preserve">e-commerce ทั่วไป, subscription, ยอดปานกลาง, CNP บางส่วน</w:t>
            </w:r>
          </w:p>
        </w:tc>
        <w:tc>
          <w:tcPr/>
          <w:p>
            <w:pPr>
              <w:pStyle w:val="Compact"/>
            </w:pPr>
            <w:r>
              <w:t xml:space="preserve">Cross-border, high-ticket, travel/ticketing, forex/crypto-adjacent, gaming, nutraceutical, MCC high-risk</w:t>
            </w:r>
          </w:p>
        </w:tc>
      </w:tr>
      <w:tr>
        <w:tc>
          <w:tcPr/>
          <w:p>
            <w:pPr>
              <w:pStyle w:val="Compact"/>
            </w:pPr>
            <w:r>
              <w:rPr>
                <w:b/>
                <w:bCs/>
              </w:rPr>
              <w:t xml:space="preserve">ระดับ CDD</w:t>
            </w:r>
          </w:p>
        </w:tc>
        <w:tc>
          <w:tcPr/>
          <w:p>
            <w:pPr>
              <w:pStyle w:val="Compact"/>
            </w:pPr>
            <w:r>
              <w:t xml:space="preserve">Standard CDD (SDD ไม่ใช้เพราะ acquiring มีความเสี่ยง inherent)</w:t>
            </w:r>
          </w:p>
        </w:tc>
        <w:tc>
          <w:tcPr/>
          <w:p>
            <w:pPr>
              <w:pStyle w:val="Compact"/>
            </w:pPr>
            <w:r>
              <w:t xml:space="preserve">Standard CDD + ตรวจเพิ่มบางรายการ</w:t>
            </w:r>
          </w:p>
        </w:tc>
        <w:tc>
          <w:tcPr/>
          <w:p>
            <w:pPr>
              <w:pStyle w:val="Compact"/>
            </w:pPr>
            <w:r>
              <w:rPr>
                <w:b/>
                <w:bCs/>
              </w:rPr>
              <w:t xml:space="preserve">Enhanced Due Diligence (EDD)</w:t>
            </w:r>
            <w:r>
              <w:t xml:space="preserve"> </w:t>
            </w:r>
            <w:r>
              <w:t xml:space="preserve">เต็มรูปแบบ</w:t>
            </w:r>
          </w:p>
        </w:tc>
      </w:tr>
      <w:tr>
        <w:tc>
          <w:tcPr/>
          <w:p>
            <w:pPr>
              <w:pStyle w:val="Compact"/>
            </w:pPr>
            <w:r>
              <w:rPr>
                <w:b/>
                <w:bCs/>
              </w:rPr>
              <w:t xml:space="preserve">เอกสาร onboarding</w:t>
            </w:r>
          </w:p>
        </w:tc>
        <w:tc>
          <w:tcPr/>
          <w:p>
            <w:pPr>
              <w:pStyle w:val="Compact"/>
            </w:pPr>
            <w:r>
              <w:t xml:space="preserve">หนังสือรับรองบริษัท, บัตร ปชช. กรรมการ, บัญชีธนาคาร settlement, URL/หน้าร้าน</w:t>
            </w:r>
          </w:p>
        </w:tc>
        <w:tc>
          <w:tcPr/>
          <w:p>
            <w:pPr>
              <w:pStyle w:val="Compact"/>
            </w:pPr>
            <w:r>
              <w:t xml:space="preserve">+ งบการเงิน, โครงสร้างผู้ถือหุ้น, ประมาณการยอดขาย</w:t>
            </w:r>
          </w:p>
        </w:tc>
        <w:tc>
          <w:tcPr/>
          <w:p>
            <w:pPr>
              <w:pStyle w:val="Compact"/>
            </w:pPr>
            <w:r>
              <w:t xml:space="preserve">+ UBO declaration + หลักฐาน, source of funds/wealth, business model deep-dive, ใบอนุญาตเฉพาะธุรกิจ (ถ้ามี), site/website review</w:t>
            </w:r>
          </w:p>
        </w:tc>
      </w:tr>
      <w:tr>
        <w:tc>
          <w:tcPr/>
          <w:p>
            <w:pPr>
              <w:pStyle w:val="Compact"/>
            </w:pPr>
            <w:r>
              <w:rPr>
                <w:b/>
                <w:bCs/>
              </w:rPr>
              <w:t xml:space="preserve">Sanction/PEP/adverse-media screening</w:t>
            </w:r>
          </w:p>
        </w:tc>
        <w:tc>
          <w:tcPr/>
          <w:p>
            <w:pPr>
              <w:pStyle w:val="Compact"/>
            </w:pPr>
            <w:r>
              <w:t xml:space="preserve">ตอน onboard + rescreen รายวันเทียบ list ที่อัปเดต</w:t>
            </w:r>
          </w:p>
        </w:tc>
        <w:tc>
          <w:tcPr/>
          <w:p>
            <w:pPr>
              <w:pStyle w:val="Compact"/>
            </w:pPr>
            <w:r>
              <w:t xml:space="preserve">เหมือน Low</w:t>
            </w:r>
          </w:p>
        </w:tc>
        <w:tc>
          <w:tcPr/>
          <w:p>
            <w:pPr>
              <w:pStyle w:val="Compact"/>
            </w:pPr>
            <w:r>
              <w:t xml:space="preserve">เหมือน Low + ตรวจ adverse media เชิงลึก manual</w:t>
            </w:r>
          </w:p>
        </w:tc>
      </w:tr>
      <w:tr>
        <w:tc>
          <w:tcPr/>
          <w:p>
            <w:pPr>
              <w:pStyle w:val="Compact"/>
            </w:pPr>
            <w:r>
              <w:rPr>
                <w:b/>
                <w:bCs/>
              </w:rPr>
              <w:t xml:space="preserve">ผู้อนุมัติ</w:t>
            </w:r>
          </w:p>
        </w:tc>
        <w:tc>
          <w:tcPr/>
          <w:p>
            <w:pPr>
              <w:pStyle w:val="Compact"/>
            </w:pPr>
            <w:r>
              <w:t xml:space="preserve">Onboarding Officer (1st line)</w:t>
            </w:r>
          </w:p>
        </w:tc>
        <w:tc>
          <w:tcPr/>
          <w:p>
            <w:pPr>
              <w:pStyle w:val="Compact"/>
            </w:pPr>
            <w:r>
              <w:t xml:space="preserve">Onboarding Manager + Compliance review</w:t>
            </w:r>
          </w:p>
        </w:tc>
        <w:tc>
          <w:tcPr/>
          <w:p>
            <w:pPr>
              <w:pStyle w:val="Compact"/>
            </w:pPr>
            <w:r>
              <w:rPr>
                <w:b/>
                <w:bCs/>
              </w:rPr>
              <w:t xml:space="preserve">MLRO/CCO + AML Committee</w:t>
            </w:r>
            <w:r>
              <w:t xml:space="preserve"> </w:t>
            </w:r>
            <w:r>
              <w:t xml:space="preserve">(four-eyes)</w:t>
            </w:r>
          </w:p>
        </w:tc>
      </w:tr>
      <w:tr>
        <w:tc>
          <w:tcPr/>
          <w:p>
            <w:pPr>
              <w:pStyle w:val="Compact"/>
            </w:pPr>
            <w:r>
              <w:rPr>
                <w:b/>
                <w:bCs/>
              </w:rPr>
              <w:t xml:space="preserve">Transaction monitoring</w:t>
            </w:r>
          </w:p>
        </w:tc>
        <w:tc>
          <w:tcPr/>
          <w:p>
            <w:pPr>
              <w:pStyle w:val="Compact"/>
            </w:pPr>
            <w:r>
              <w:t xml:space="preserve">rule-based มาตรฐาน</w:t>
            </w:r>
          </w:p>
        </w:tc>
        <w:tc>
          <w:tcPr/>
          <w:p>
            <w:pPr>
              <w:pStyle w:val="Compact"/>
            </w:pPr>
            <w:r>
              <w:t xml:space="preserve">rule-based + velocity เข้มขึ้น</w:t>
            </w:r>
          </w:p>
        </w:tc>
        <w:tc>
          <w:tcPr/>
          <w:p>
            <w:pPr>
              <w:pStyle w:val="Compact"/>
            </w:pPr>
            <w:r>
              <w:t xml:space="preserve">rule-based เข้มสุด + manual review + lower thresholds</w:t>
            </w:r>
          </w:p>
        </w:tc>
      </w:tr>
      <w:tr>
        <w:tc>
          <w:tcPr/>
          <w:p>
            <w:pPr>
              <w:pStyle w:val="Compact"/>
            </w:pPr>
            <w:r>
              <w:rPr>
                <w:b/>
                <w:bCs/>
              </w:rPr>
              <w:t xml:space="preserve">Reserve / holdback</w:t>
            </w:r>
          </w:p>
        </w:tc>
        <w:tc>
          <w:tcPr/>
          <w:p>
            <w:pPr>
              <w:pStyle w:val="Compact"/>
            </w:pPr>
            <w:r>
              <w:t xml:space="preserve">โดยทั่วไปไม่มี</w:t>
            </w:r>
          </w:p>
        </w:tc>
        <w:tc>
          <w:tcPr/>
          <w:p>
            <w:pPr>
              <w:pStyle w:val="Compact"/>
            </w:pPr>
            <w:r>
              <w:t xml:space="preserve">อาจมี rolling reserve ตาม chargeback profile</w:t>
            </w:r>
          </w:p>
        </w:tc>
        <w:tc>
          <w:tcPr/>
          <w:p>
            <w:pPr>
              <w:pStyle w:val="Compact"/>
            </w:pPr>
            <w:r>
              <w:rPr>
                <w:b/>
                <w:bCs/>
              </w:rPr>
              <w:t xml:space="preserve">Rolling reserve / delayed settlement</w:t>
            </w:r>
            <w:r>
              <w:t xml:space="preserve"> </w:t>
            </w:r>
            <w:r>
              <w:t xml:space="preserve">เป็นค่าเริ่มต้น (เช่น 5–10% ค้าง 90–180 วัน)</w:t>
            </w:r>
          </w:p>
        </w:tc>
      </w:tr>
      <w:tr>
        <w:tc>
          <w:tcPr/>
          <w:p>
            <w:pPr>
              <w:pStyle w:val="Compact"/>
            </w:pPr>
            <w:r>
              <w:rPr>
                <w:b/>
                <w:bCs/>
              </w:rPr>
              <w:t xml:space="preserve">3DS (EMV 3DS 2.x)</w:t>
            </w:r>
          </w:p>
        </w:tc>
        <w:tc>
          <w:tcPr/>
          <w:p>
            <w:pPr>
              <w:pStyle w:val="Compact"/>
            </w:pPr>
            <w:r>
              <w:t xml:space="preserve">บังคับสำหรับ CNP</w:t>
            </w:r>
          </w:p>
        </w:tc>
        <w:tc>
          <w:tcPr/>
          <w:p>
            <w:pPr>
              <w:pStyle w:val="Compact"/>
            </w:pPr>
            <w:r>
              <w:t xml:space="preserve">บังคับ</w:t>
            </w:r>
          </w:p>
        </w:tc>
        <w:tc>
          <w:tcPr/>
          <w:p>
            <w:pPr>
              <w:pStyle w:val="Compact"/>
            </w:pPr>
            <w:r>
              <w:t xml:space="preserve">บังคับ + step-up challenge เข้มขึ้น</w:t>
            </w:r>
          </w:p>
        </w:tc>
      </w:tr>
      <w:tr>
        <w:tc>
          <w:tcPr/>
          <w:p>
            <w:pPr>
              <w:pStyle w:val="Compact"/>
            </w:pPr>
            <w:r>
              <w:rPr>
                <w:b/>
                <w:bCs/>
              </w:rPr>
              <w:t xml:space="preserve">รอบทบทวน (review cadence)</w:t>
            </w:r>
          </w:p>
        </w:tc>
        <w:tc>
          <w:tcPr/>
          <w:p>
            <w:pPr>
              <w:pStyle w:val="Compact"/>
            </w:pPr>
            <w:r>
              <w:t xml:space="preserve">ทุก</w:t>
            </w:r>
            <w:r>
              <w:t xml:space="preserve"> </w:t>
            </w:r>
            <w:r>
              <w:rPr>
                <w:b/>
                <w:bCs/>
              </w:rPr>
              <w:t xml:space="preserve">36 เดือน</w:t>
            </w:r>
          </w:p>
        </w:tc>
        <w:tc>
          <w:tcPr/>
          <w:p>
            <w:pPr>
              <w:pStyle w:val="Compact"/>
            </w:pPr>
            <w:r>
              <w:t xml:space="preserve">ทุก</w:t>
            </w:r>
            <w:r>
              <w:t xml:space="preserve"> </w:t>
            </w:r>
            <w:r>
              <w:rPr>
                <w:b/>
                <w:bCs/>
              </w:rPr>
              <w:t xml:space="preserve">12 เดือน</w:t>
            </w:r>
          </w:p>
        </w:tc>
        <w:tc>
          <w:tcPr/>
          <w:p>
            <w:pPr>
              <w:pStyle w:val="Compact"/>
            </w:pPr>
            <w:r>
              <w:t xml:space="preserve">ทุก</w:t>
            </w:r>
            <w:r>
              <w:t xml:space="preserve"> </w:t>
            </w:r>
            <w:r>
              <w:rPr>
                <w:b/>
                <w:bCs/>
              </w:rPr>
              <w:t xml:space="preserve">6 เดือน</w:t>
            </w:r>
            <w:r>
              <w:t xml:space="preserve"> </w:t>
            </w:r>
            <w:r>
              <w:t xml:space="preserve">(หรือถี่กว่าเมื่อมี trigger)</w:t>
            </w:r>
          </w:p>
        </w:tc>
      </w:tr>
    </w:tbl>
    <w:p>
      <w:pPr>
        <w:pStyle w:val="BlockText"/>
      </w:pPr>
      <w:r>
        <w:rPr>
          <w:b/>
          <w:bCs/>
        </w:rPr>
        <w:t xml:space="preserve">หมายเหตุ:</w:t>
      </w:r>
      <w:r>
        <w:t xml:space="preserve"> </w:t>
      </w:r>
      <w:r>
        <w:t xml:space="preserve">ค่า reserve %, ระยะค้าง และ threshold เป็น proposed baseline (ดู TODO A6) — ต้อง calibrate กับ sponsor bank และข้อมูลจริง</w:t>
      </w:r>
    </w:p>
    <w:p>
      <w:r>
        <w:pict>
          <v:rect style="width:0;height:1.5pt" o:hralign="center" o:hrstd="t" o:hr="t"/>
        </w:pict>
      </w:r>
    </w:p>
    <w:bookmarkEnd w:id="279"/>
    <w:bookmarkStart w:id="280" w:name="X1c7081a89529e40c97ac431e56cf5b70e2266b8"/>
    <w:p>
      <w:pPr>
        <w:pStyle w:val="Heading2"/>
      </w:pPr>
      <w:r>
        <w:t xml:space="preserve">5. ความเสี่ยงตาม MCC (Merchant Category Code Risk)</w:t>
      </w:r>
    </w:p>
    <w:p>
      <w:pPr>
        <w:pStyle w:val="FirstParagraph"/>
      </w:pPr>
      <w:r>
        <w:t xml:space="preserve">MCC เป็นปัจจัยน้ำหนักสูงสุด (30%) [บริษัท / Company] แบ่ง MCC เป็น 4 กลุ่ม โดยอ้างอิงแนวปฏิบัติ card scheme</w:t>
      </w:r>
      <w:r>
        <w:t xml:space="preserve"> </w:t>
      </w:r>
      <w:r>
        <w:t xml:space="preserve">และเงื่อนไข sponsor bank (แผนที่ฉบับสมบูรณ์ = TODO A7)</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pPr>
            <w:r>
              <w:t xml:space="preserve">กลุ่ม MCC</w:t>
            </w:r>
          </w:p>
        </w:tc>
        <w:tc>
          <w:tcPr/>
          <w:p>
            <w:pPr>
              <w:pStyle w:val="Compact"/>
            </w:pPr>
            <w:r>
              <w:t xml:space="preserve">ตัวอย่าง MCC / ธุรกิจ</w:t>
            </w:r>
          </w:p>
        </w:tc>
        <w:tc>
          <w:tcPr/>
          <w:p>
            <w:pPr>
              <w:pStyle w:val="Compact"/>
            </w:pPr>
            <w:r>
              <w:t xml:space="preserve">การจัดการ</w:t>
            </w:r>
          </w:p>
        </w:tc>
      </w:tr>
      <w:tr>
        <w:tc>
          <w:tcPr/>
          <w:p>
            <w:pPr>
              <w:pStyle w:val="Compact"/>
            </w:pPr>
            <w:r>
              <w:rPr>
                <w:b/>
                <w:bCs/>
              </w:rPr>
              <w:t xml:space="preserve">Prohibited (ต้องห้าม)</w:t>
            </w:r>
          </w:p>
        </w:tc>
        <w:tc>
          <w:tcPr/>
          <w:p>
            <w:pPr>
              <w:pStyle w:val="Compact"/>
            </w:pPr>
            <w:r>
              <w:t xml:space="preserve">ธุรกิจผิดกฎหมายไทย, เนื้อหา CSAM, ยาเสพติด, อาวุธผิดกฎหมาย, MCC ที่ sponsor bank/scheme ห้าม</w:t>
            </w:r>
          </w:p>
        </w:tc>
        <w:tc>
          <w:tcPr/>
          <w:p>
            <w:pPr>
              <w:pStyle w:val="Compact"/>
            </w:pPr>
            <w:r>
              <w:rPr>
                <w:b/>
                <w:bCs/>
              </w:rPr>
              <w:t xml:space="preserve">ปฏิเสธ onboard เด็ดขาด</w:t>
            </w:r>
          </w:p>
        </w:tc>
      </w:tr>
      <w:tr>
        <w:tc>
          <w:tcPr/>
          <w:p>
            <w:pPr>
              <w:pStyle w:val="Compact"/>
            </w:pPr>
            <w:r>
              <w:rPr>
                <w:b/>
                <w:bCs/>
              </w:rPr>
              <w:t xml:space="preserve">High-risk (สูง — EDD บังคับ)</w:t>
            </w:r>
          </w:p>
        </w:tc>
        <w:tc>
          <w:tcPr/>
          <w:p>
            <w:pPr>
              <w:pStyle w:val="Compact"/>
            </w:pPr>
            <w:r>
              <w:t xml:space="preserve">7995 (การพนัน/betting), 6211 (securities/brokers), 5967 (direct marketing/inbound telemarketing), 4816/5734 (บริการดิจิทัล/hosting บางประเภท), travel &amp; ticketing (4722, 4511), timeshare, nutraceutical/supplement, forex, crypto on/off-ramp, adult (ที่กฎหมายอนุญาต), MLM</w:t>
            </w:r>
          </w:p>
        </w:tc>
        <w:tc>
          <w:tcPr/>
          <w:p>
            <w:pPr>
              <w:pStyle w:val="Compact"/>
            </w:pPr>
            <w:r>
              <w:t xml:space="preserve">จัด</w:t>
            </w:r>
            <w:r>
              <w:t xml:space="preserve"> </w:t>
            </w:r>
            <w:r>
              <w:rPr>
                <w:b/>
                <w:bCs/>
              </w:rPr>
              <w:t xml:space="preserve">High</w:t>
            </w:r>
            <w:r>
              <w:t xml:space="preserve">, EDD, rolling reserve, monitoring เข้มสุด, ต้องอนุมัติเป็นราย + อาจต้อง scheme registration (เช่น Visa GBPP/High-Brand-Risk)</w:t>
            </w:r>
          </w:p>
        </w:tc>
      </w:tr>
      <w:tr>
        <w:tc>
          <w:tcPr/>
          <w:p>
            <w:pPr>
              <w:pStyle w:val="Compact"/>
            </w:pPr>
            <w:r>
              <w:rPr>
                <w:b/>
                <w:bCs/>
              </w:rPr>
              <w:t xml:space="preserve">Medium-risk</w:t>
            </w:r>
          </w:p>
        </w:tc>
        <w:tc>
          <w:tcPr/>
          <w:p>
            <w:pPr>
              <w:pStyle w:val="Compact"/>
            </w:pPr>
            <w:r>
              <w:t xml:space="preserve">e-commerce ทั่วไป (5399, 5999), subscription/SaaS, electronics (5732), furniture, บริการทั่วไป</w:t>
            </w:r>
          </w:p>
        </w:tc>
        <w:tc>
          <w:tcPr/>
          <w:p>
            <w:pPr>
              <w:pStyle w:val="Compact"/>
            </w:pPr>
            <w:r>
              <w:t xml:space="preserve">จัดเริ่มต้น</w:t>
            </w:r>
            <w:r>
              <w:t xml:space="preserve"> </w:t>
            </w:r>
            <w:r>
              <w:rPr>
                <w:b/>
                <w:bCs/>
              </w:rPr>
              <w:t xml:space="preserve">Medium</w:t>
            </w:r>
            <w:r>
              <w:t xml:space="preserve">, standard CDD + monitoring เพิ่ม</w:t>
            </w:r>
          </w:p>
        </w:tc>
      </w:tr>
      <w:tr>
        <w:tc>
          <w:tcPr/>
          <w:p>
            <w:pPr>
              <w:pStyle w:val="Compact"/>
            </w:pPr>
            <w:r>
              <w:rPr>
                <w:b/>
                <w:bCs/>
              </w:rPr>
              <w:t xml:space="preserve">Low-risk</w:t>
            </w:r>
          </w:p>
        </w:tc>
        <w:tc>
          <w:tcPr/>
          <w:p>
            <w:pPr>
              <w:pStyle w:val="Compact"/>
            </w:pPr>
            <w:r>
              <w:t xml:space="preserve">ร้านอาหาร (5812), grocery (5411), retail หน้าร้านทั่วไป, utility, การกุศลที่จดทะเบียน</w:t>
            </w:r>
          </w:p>
        </w:tc>
        <w:tc>
          <w:tcPr/>
          <w:p>
            <w:pPr>
              <w:pStyle w:val="Compact"/>
            </w:pPr>
            <w:r>
              <w:t xml:space="preserve">จัดเริ่มต้น</w:t>
            </w:r>
            <w:r>
              <w:t xml:space="preserve"> </w:t>
            </w:r>
            <w:r>
              <w:rPr>
                <w:b/>
                <w:bCs/>
              </w:rPr>
              <w:t xml:space="preserve">Low</w:t>
            </w:r>
          </w:p>
        </w:tc>
      </w:tr>
    </w:tbl>
    <w:p>
      <w:pPr>
        <w:pStyle w:val="BodyText"/>
      </w:pPr>
      <w:r>
        <w:rPr>
          <w:b/>
          <w:bCs/>
        </w:rPr>
        <w:t xml:space="preserve">หลักปฏิบัติ MCC:</w:t>
      </w:r>
      <w:r>
        <w:t xml:space="preserve"> </w:t>
      </w:r>
      <w:r>
        <w:t xml:space="preserve">- MCC ที่ประกาศตอน onboarding ต้องตรงกับธุรกิจจริง — ห้าม</w:t>
      </w:r>
      <w:r>
        <w:t xml:space="preserve"> </w:t>
      </w:r>
      <w:r>
        <w:rPr>
          <w:b/>
          <w:bCs/>
        </w:rPr>
        <w:t xml:space="preserve">miscoding / transaction laundering</w:t>
      </w:r>
      <w:r>
        <w:t xml:space="preserve"> </w:t>
      </w:r>
      <w:r>
        <w:t xml:space="preserve">(ผ่านธุรกรรมของธุรกิจอื่นเข้ามา)</w:t>
      </w:r>
      <w:r>
        <w:t xml:space="preserve"> </w:t>
      </w:r>
      <w:r>
        <w:t xml:space="preserve">- ตรวจจับ MCC mismatch ด้วย monitoring (ดูข้อ 6) — สินค้าจริงไม่ตรง MCC = red flag</w:t>
      </w:r>
      <w:r>
        <w:t xml:space="preserve"> </w:t>
      </w:r>
      <w:r>
        <w:t xml:space="preserve">- High-brand-risk MCC อาจต้อง</w:t>
      </w:r>
      <w:r>
        <w:t xml:space="preserve"> </w:t>
      </w:r>
      <w:r>
        <w:rPr>
          <w:b/>
          <w:bCs/>
        </w:rPr>
        <w:t xml:space="preserve">ลงทะเบียนกับ scheme</w:t>
      </w:r>
      <w:r>
        <w:t xml:space="preserve"> </w:t>
      </w:r>
      <w:r>
        <w:t xml:space="preserve">และเสียค่าธรรมเนียม/ปฏิบัติตามโปรแกรมเฉพาะ (TODO A2)</w:t>
      </w:r>
    </w:p>
    <w:p>
      <w:r>
        <w:pict>
          <v:rect style="width:0;height:1.5pt" o:hralign="center" o:hrstd="t" o:hr="t"/>
        </w:pict>
      </w:r>
    </w:p>
    <w:bookmarkEnd w:id="280"/>
    <w:bookmarkStart w:id="284" w:name="กฎการเฝาระวง-monitoring-rules"/>
    <w:p>
      <w:pPr>
        <w:pStyle w:val="Heading2"/>
      </w:pPr>
      <w:r>
        <w:t xml:space="preserve">6. กฎการเฝ้าระวัง (Monitoring Rules)</w:t>
      </w:r>
    </w:p>
    <w:p>
      <w:pPr>
        <w:pStyle w:val="FirstParagraph"/>
      </w:pPr>
      <w:r>
        <w:t xml:space="preserve">Transaction monitoring ทำงานบน rule engine (</w:t>
      </w:r>
      <w:r>
        <w:rPr>
          <w:rStyle w:val="VerbatimChar"/>
        </w:rPr>
        <w:t xml:space="preserve">internal/service</w:t>
      </w:r>
      <w:r>
        <w:t xml:space="preserve"> </w:t>
      </w:r>
      <w:r>
        <w:t xml:space="preserve">Risk/Fraud Engine ตาม</w:t>
      </w:r>
      <w:r>
        <w:t xml:space="preserve"> </w:t>
      </w:r>
      <w:r>
        <w:rPr>
          <w:rStyle w:val="VerbatimChar"/>
        </w:rPr>
        <w:t xml:space="preserve">ARCHITECTURE.md</w:t>
      </w:r>
      <w:r>
        <w:t xml:space="preserve">) แบบ near-real-time</w:t>
      </w:r>
      <w:r>
        <w:t xml:space="preserve"> </w:t>
      </w:r>
      <w:r>
        <w:t xml:space="preserve">สำหรับ fraud/authorization และ batch สำหรับ AML pattern การ tune threshold ต่อ MCC/ระดับความเสี่ยง</w:t>
      </w:r>
    </w:p>
    <w:bookmarkStart w:id="281" w:name="X83d43edbbac68bf241386ac219b2ae4b0625009"/>
    <w:p>
      <w:pPr>
        <w:pStyle w:val="Heading3"/>
      </w:pPr>
      <w:r>
        <w:t xml:space="preserve">6.1 กฎ Fraud / Transaction (near-real-time, per authorization)</w:t>
      </w:r>
    </w:p>
    <w:tbl>
      <w:tblPr>
        <w:tblStyle w:val="Table"/>
        <w:tblW w:type="pct" w:w="5000"/>
        <w:tblLayout w:type="fixed"/>
        <w:tblLook w:firstRow="1" w:lastRow="0" w:firstColumn="0" w:lastColumn="0" w:noHBand="0" w:noVBand="0" w:val="0020"/>
      </w:tblPr>
      <w:tblGrid>
        <w:gridCol w:w="1516"/>
        <w:gridCol w:w="4718"/>
        <w:gridCol w:w="1685"/>
      </w:tblGrid>
      <w:tr>
        <w:trPr>
          <w:tblHeader w:val="on"/>
        </w:trPr>
        <w:tc>
          <w:tcPr/>
          <w:p>
            <w:pPr>
              <w:pStyle w:val="Compact"/>
            </w:pPr>
            <w:r>
              <w:t xml:space="preserve">Rule ID</w:t>
            </w:r>
          </w:p>
        </w:tc>
        <w:tc>
          <w:tcPr/>
          <w:p>
            <w:pPr>
              <w:pStyle w:val="Compact"/>
            </w:pPr>
            <w:r>
              <w:t xml:space="preserve">เงื่อนไข (baseline — ดู A6)</w:t>
            </w:r>
          </w:p>
        </w:tc>
        <w:tc>
          <w:tcPr/>
          <w:p>
            <w:pPr>
              <w:pStyle w:val="Compact"/>
            </w:pPr>
            <w:r>
              <w:t xml:space="preserve">การกระทำ</w:t>
            </w:r>
          </w:p>
        </w:tc>
      </w:tr>
      <w:tr>
        <w:tc>
          <w:tcPr/>
          <w:p>
            <w:pPr>
              <w:pStyle w:val="Compact"/>
            </w:pPr>
            <w:r>
              <w:rPr>
                <w:b/>
                <w:bCs/>
              </w:rPr>
              <w:t xml:space="preserve">VEL-01</w:t>
            </w:r>
          </w:p>
        </w:tc>
        <w:tc>
          <w:tcPr/>
          <w:p>
            <w:pPr>
              <w:pStyle w:val="Compact"/>
            </w:pPr>
            <w:r>
              <w:t xml:space="preserve">&gt; 5 ธุรกรรมจากบัตรใบเดียวใน 10 นาที</w:t>
            </w:r>
          </w:p>
        </w:tc>
        <w:tc>
          <w:tcPr/>
          <w:p>
            <w:pPr>
              <w:pStyle w:val="Compact"/>
            </w:pPr>
            <w:r>
              <w:t xml:space="preserve">soft-decline + review</w:t>
            </w:r>
          </w:p>
        </w:tc>
      </w:tr>
      <w:tr>
        <w:tc>
          <w:tcPr/>
          <w:p>
            <w:pPr>
              <w:pStyle w:val="Compact"/>
            </w:pPr>
            <w:r>
              <w:rPr>
                <w:b/>
                <w:bCs/>
              </w:rPr>
              <w:t xml:space="preserve">VEL-02</w:t>
            </w:r>
          </w:p>
        </w:tc>
        <w:tc>
          <w:tcPr/>
          <w:p>
            <w:pPr>
              <w:pStyle w:val="Compact"/>
            </w:pPr>
            <w:r>
              <w:t xml:space="preserve">&gt; 3 บัตรต่างใบจาก device/IP เดียวใน 1 ชม.</w:t>
            </w:r>
          </w:p>
        </w:tc>
        <w:tc>
          <w:tcPr/>
          <w:p>
            <w:pPr>
              <w:pStyle w:val="Compact"/>
            </w:pPr>
            <w:r>
              <w:t xml:space="preserve">challenge (3DS step-up) + flag</w:t>
            </w:r>
          </w:p>
        </w:tc>
      </w:tr>
      <w:tr>
        <w:tc>
          <w:tcPr/>
          <w:p>
            <w:pPr>
              <w:pStyle w:val="Compact"/>
            </w:pPr>
            <w:r>
              <w:rPr>
                <w:b/>
                <w:bCs/>
              </w:rPr>
              <w:t xml:space="preserve">AMT-01</w:t>
            </w:r>
          </w:p>
        </w:tc>
        <w:tc>
          <w:tcPr/>
          <w:p>
            <w:pPr>
              <w:pStyle w:val="Compact"/>
            </w:pPr>
            <w:r>
              <w:t xml:space="preserve">ธุรกรรมเดี่ยว &gt; 3× average ticket ของ merchant</w:t>
            </w:r>
          </w:p>
        </w:tc>
        <w:tc>
          <w:tcPr/>
          <w:p>
            <w:pPr>
              <w:pStyle w:val="Compact"/>
            </w:pPr>
            <w:r>
              <w:t xml:space="preserve">hold + manual review</w:t>
            </w:r>
          </w:p>
        </w:tc>
      </w:tr>
      <w:tr>
        <w:tc>
          <w:tcPr/>
          <w:p>
            <w:pPr>
              <w:pStyle w:val="Compact"/>
            </w:pPr>
            <w:r>
              <w:rPr>
                <w:b/>
                <w:bCs/>
              </w:rPr>
              <w:t xml:space="preserve">CBK-01</w:t>
            </w:r>
          </w:p>
        </w:tc>
        <w:tc>
          <w:tcPr/>
          <w:p>
            <w:pPr>
              <w:pStyle w:val="Compact"/>
            </w:pPr>
            <w:r>
              <w:t xml:space="preserve">chargeback ratio ของ merchant &gt; 0.9% (นับต่อเดือน)</w:t>
            </w:r>
          </w:p>
        </w:tc>
        <w:tc>
          <w:tcPr/>
          <w:p>
            <w:pPr>
              <w:pStyle w:val="Compact"/>
            </w:pPr>
            <w:r>
              <w:t xml:space="preserve">เข้า watchlist + review; ใกล้ Visa VDMP/Mastercard ECP threshold</w:t>
            </w:r>
          </w:p>
        </w:tc>
      </w:tr>
      <w:tr>
        <w:tc>
          <w:tcPr/>
          <w:p>
            <w:pPr>
              <w:pStyle w:val="Compact"/>
            </w:pPr>
            <w:r>
              <w:rPr>
                <w:b/>
                <w:bCs/>
              </w:rPr>
              <w:t xml:space="preserve">DECL-01</w:t>
            </w:r>
          </w:p>
        </w:tc>
        <w:tc>
          <w:tcPr/>
          <w:p>
            <w:pPr>
              <w:pStyle w:val="Compact"/>
            </w:pPr>
            <w:r>
              <w:t xml:space="preserve">authorization decline rate &gt; 20% ใน 24 ชม. (สัญญาณ card testing)</w:t>
            </w:r>
          </w:p>
        </w:tc>
        <w:tc>
          <w:tcPr/>
          <w:p>
            <w:pPr>
              <w:pStyle w:val="Compact"/>
            </w:pPr>
            <w:r>
              <w:t xml:space="preserve">throttle + alert</w:t>
            </w:r>
          </w:p>
        </w:tc>
      </w:tr>
      <w:tr>
        <w:tc>
          <w:tcPr/>
          <w:p>
            <w:pPr>
              <w:pStyle w:val="Compact"/>
            </w:pPr>
            <w:r>
              <w:rPr>
                <w:b/>
                <w:bCs/>
              </w:rPr>
              <w:t xml:space="preserve">GEO-01</w:t>
            </w:r>
          </w:p>
        </w:tc>
        <w:tc>
          <w:tcPr/>
          <w:p>
            <w:pPr>
              <w:pStyle w:val="Compact"/>
            </w:pPr>
            <w:r>
              <w:t xml:space="preserve">IP ผู้ซื้อ/BIN ประเทศ mismatch กับ shipping/MCC ในสัดส่วนสูง</w:t>
            </w:r>
          </w:p>
        </w:tc>
        <w:tc>
          <w:tcPr/>
          <w:p>
            <w:pPr>
              <w:pStyle w:val="Compact"/>
            </w:pPr>
            <w:r>
              <w:t xml:space="preserve">flag + EDD trigger</w:t>
            </w:r>
          </w:p>
        </w:tc>
      </w:tr>
      <w:tr>
        <w:tc>
          <w:tcPr/>
          <w:p>
            <w:pPr>
              <w:pStyle w:val="Compact"/>
            </w:pPr>
            <w:r>
              <w:rPr>
                <w:b/>
                <w:bCs/>
              </w:rPr>
              <w:t xml:space="preserve">MCC-01</w:t>
            </w:r>
          </w:p>
        </w:tc>
        <w:tc>
          <w:tcPr/>
          <w:p>
            <w:pPr>
              <w:pStyle w:val="Compact"/>
            </w:pPr>
            <w:r>
              <w:t xml:space="preserve">สินค้า/พฤติกรรมธุรกรรมไม่ตรง MCC ที่แจ้ง (transaction laundering)</w:t>
            </w:r>
          </w:p>
        </w:tc>
        <w:tc>
          <w:tcPr/>
          <w:p>
            <w:pPr>
              <w:pStyle w:val="Compact"/>
            </w:pPr>
            <w:r>
              <w:t xml:space="preserve">freeze payout + investigation</w:t>
            </w:r>
          </w:p>
        </w:tc>
      </w:tr>
    </w:tbl>
    <w:bookmarkEnd w:id="281"/>
    <w:bookmarkStart w:id="282" w:name="กฎ-aml-batch-pattern-based"/>
    <w:p>
      <w:pPr>
        <w:pStyle w:val="Heading3"/>
      </w:pPr>
      <w:r>
        <w:t xml:space="preserve">6.2 กฎ AML (batch / pattern-based)</w:t>
      </w:r>
    </w:p>
    <w:tbl>
      <w:tblPr>
        <w:tblStyle w:val="Table"/>
        <w:tblW w:type="pct" w:w="5000"/>
        <w:tblLayout w:type="fixed"/>
        <w:tblLook w:firstRow="1" w:lastRow="0" w:firstColumn="0" w:lastColumn="0" w:noHBand="0" w:noVBand="0" w:val="0020"/>
      </w:tblPr>
      <w:tblGrid>
        <w:gridCol w:w="2457"/>
        <w:gridCol w:w="2731"/>
        <w:gridCol w:w="2731"/>
      </w:tblGrid>
      <w:tr>
        <w:trPr>
          <w:tblHeader w:val="on"/>
        </w:trPr>
        <w:tc>
          <w:tcPr/>
          <w:p>
            <w:pPr>
              <w:pStyle w:val="Compact"/>
            </w:pPr>
            <w:r>
              <w:t xml:space="preserve">Rule ID</w:t>
            </w:r>
          </w:p>
        </w:tc>
        <w:tc>
          <w:tcPr/>
          <w:p>
            <w:pPr>
              <w:pStyle w:val="Compact"/>
            </w:pPr>
            <w:r>
              <w:t xml:space="preserve">เงื่อนไข</w:t>
            </w:r>
          </w:p>
        </w:tc>
        <w:tc>
          <w:tcPr/>
          <w:p>
            <w:pPr>
              <w:pStyle w:val="Compact"/>
            </w:pPr>
            <w:r>
              <w:t xml:space="preserve">การกระทำ</w:t>
            </w:r>
          </w:p>
        </w:tc>
      </w:tr>
      <w:tr>
        <w:tc>
          <w:tcPr/>
          <w:p>
            <w:pPr>
              <w:pStyle w:val="Compact"/>
            </w:pPr>
            <w:r>
              <w:rPr>
                <w:b/>
                <w:bCs/>
              </w:rPr>
              <w:t xml:space="preserve">AML-STR-01</w:t>
            </w:r>
          </w:p>
        </w:tc>
        <w:tc>
          <w:tcPr/>
          <w:p>
            <w:pPr>
              <w:pStyle w:val="Compact"/>
            </w:pPr>
            <w:r>
              <w:t xml:space="preserve">รูปแบบธุรกรรมผิดปกติ/ไม่สมเหตุผลกับ profile (เช่น structuring, ยอดพุ่งผิดปกติ)</w:t>
            </w:r>
          </w:p>
        </w:tc>
        <w:tc>
          <w:tcPr/>
          <w:p>
            <w:pPr>
              <w:pStyle w:val="Compact"/>
            </w:pPr>
            <w:r>
              <w:t xml:space="preserve">สืบสวนภายใน → หากมีมูล</w:t>
            </w:r>
            <w:r>
              <w:t xml:space="preserve"> </w:t>
            </w:r>
            <w:r>
              <w:rPr>
                <w:b/>
                <w:bCs/>
              </w:rPr>
              <w:t xml:space="preserve">รายงาน STR ต่อ ปปง.</w:t>
            </w:r>
          </w:p>
        </w:tc>
      </w:tr>
      <w:tr>
        <w:tc>
          <w:tcPr/>
          <w:p>
            <w:pPr>
              <w:pStyle w:val="Compact"/>
            </w:pPr>
            <w:r>
              <w:rPr>
                <w:b/>
                <w:bCs/>
              </w:rPr>
              <w:t xml:space="preserve">AML-SCR-01</w:t>
            </w:r>
          </w:p>
        </w:tc>
        <w:tc>
          <w:tcPr/>
          <w:p>
            <w:pPr>
              <w:pStyle w:val="Compact"/>
            </w:pPr>
            <w:r>
              <w:t xml:space="preserve">คู่ค้า/ผู้รับเงินตรงกับ sanction/PEP list (rescreen รายวัน)</w:t>
            </w:r>
          </w:p>
        </w:tc>
        <w:tc>
          <w:tcPr/>
          <w:p>
            <w:pPr>
              <w:pStyle w:val="Compact"/>
            </w:pPr>
            <w:r>
              <w:t xml:space="preserve">freeze + escalate MLRO</w:t>
            </w:r>
          </w:p>
        </w:tc>
      </w:tr>
      <w:tr>
        <w:tc>
          <w:tcPr/>
          <w:p>
            <w:pPr>
              <w:pStyle w:val="Compact"/>
            </w:pPr>
            <w:r>
              <w:rPr>
                <w:b/>
                <w:bCs/>
              </w:rPr>
              <w:t xml:space="preserve">AML-VOL-01</w:t>
            </w:r>
          </w:p>
        </w:tc>
        <w:tc>
          <w:tcPr/>
          <w:p>
            <w:pPr>
              <w:pStyle w:val="Compact"/>
            </w:pPr>
            <w:r>
              <w:t xml:space="preserve">ยอดจริงเกินประมาณการที่ประกาศตอน onboard อย่างมีนัยสำคัญ (เช่น &gt; 200%)</w:t>
            </w:r>
          </w:p>
        </w:tc>
        <w:tc>
          <w:tcPr/>
          <w:p>
            <w:pPr>
              <w:pStyle w:val="Compact"/>
            </w:pPr>
            <w:r>
              <w:t xml:space="preserve">re-underwrite + rescore</w:t>
            </w:r>
          </w:p>
        </w:tc>
      </w:tr>
      <w:tr>
        <w:tc>
          <w:tcPr/>
          <w:p>
            <w:pPr>
              <w:pStyle w:val="Compact"/>
            </w:pPr>
            <w:r>
              <w:rPr>
                <w:b/>
                <w:bCs/>
              </w:rPr>
              <w:t xml:space="preserve">AML-RFD-01</w:t>
            </w:r>
          </w:p>
        </w:tc>
        <w:tc>
          <w:tcPr/>
          <w:p>
            <w:pPr>
              <w:pStyle w:val="Compact"/>
            </w:pPr>
            <w:r>
              <w:t xml:space="preserve">อัตรา refund/reversal สูงผิดปกติ (สัญญาณ money movement/bust-out)</w:t>
            </w:r>
          </w:p>
        </w:tc>
        <w:tc>
          <w:tcPr/>
          <w:p>
            <w:pPr>
              <w:pStyle w:val="Compact"/>
            </w:pPr>
            <w:r>
              <w:t xml:space="preserve">hold + review</w:t>
            </w:r>
          </w:p>
        </w:tc>
      </w:tr>
    </w:tbl>
    <w:p>
      <w:pPr>
        <w:pStyle w:val="BlockText"/>
      </w:pPr>
      <w:r>
        <w:rPr>
          <w:b/>
          <w:bCs/>
        </w:rPr>
        <w:t xml:space="preserve">การรายงานตามกฎหมาย:</w:t>
      </w:r>
      <w:r>
        <w:t xml:space="preserve"> </w:t>
      </w:r>
      <w:r>
        <w:t xml:space="preserve">ธุรกรรมที่มีเหตุอันควรสงสัยต้องรายงาน</w:t>
      </w:r>
      <w:r>
        <w:t xml:space="preserve"> </w:t>
      </w:r>
      <w:r>
        <w:rPr>
          <w:b/>
          <w:bCs/>
        </w:rPr>
        <w:t xml:space="preserve">STR</w:t>
      </w:r>
      <w:r>
        <w:t xml:space="preserve"> </w:t>
      </w:r>
      <w:r>
        <w:t xml:space="preserve">ต่อ</w:t>
      </w:r>
      <w:r>
        <w:t xml:space="preserve"> </w:t>
      </w:r>
      <w:r>
        <w:rPr>
          <w:b/>
          <w:bCs/>
        </w:rPr>
        <w:t xml:space="preserve">สำนักงาน ปปง. (AMLO)</w:t>
      </w:r>
      <w:r>
        <w:t xml:space="preserve"> </w:t>
      </w:r>
      <w:r>
        <w:t xml:space="preserve">และรายงานธุรกรรมตามเกณฑ์ (เงินสด/โอน) ตามที่กฎหมายกำหนด — MLRO เป็นผู้รับผิดชอบ ห้าม</w:t>
      </w:r>
      <w:r>
        <w:t xml:space="preserve"> </w:t>
      </w:r>
      <w:r>
        <w:rPr>
          <w:b/>
          <w:bCs/>
        </w:rPr>
        <w:t xml:space="preserve">tipping-off</w:t>
      </w:r>
      <w:r>
        <w:t xml:space="preserve"> </w:t>
      </w:r>
      <w:r>
        <w:t xml:space="preserve">ลูกค้า</w:t>
      </w:r>
    </w:p>
    <w:bookmarkEnd w:id="282"/>
    <w:bookmarkStart w:id="283" w:name="การจดการ-alert-case-management"/>
    <w:p>
      <w:pPr>
        <w:pStyle w:val="Heading3"/>
      </w:pPr>
      <w:r>
        <w:t xml:space="preserve">6.3 การจัดการ alert (Case Management)</w:t>
      </w:r>
    </w:p>
    <w:p>
      <w:pPr>
        <w:pStyle w:val="Compact"/>
        <w:numPr>
          <w:ilvl w:val="0"/>
          <w:numId w:val="1110"/>
        </w:numPr>
      </w:pPr>
      <w:r>
        <w:t xml:space="preserve">ทุก alert เปิดเป็น</w:t>
      </w:r>
      <w:r>
        <w:t xml:space="preserve"> </w:t>
      </w:r>
      <w:r>
        <w:rPr>
          <w:b/>
          <w:bCs/>
        </w:rPr>
        <w:t xml:space="preserve">case</w:t>
      </w:r>
      <w:r>
        <w:t xml:space="preserve"> </w:t>
      </w:r>
      <w:r>
        <w:t xml:space="preserve">มี SLA: High-risk merchant ปิดภายใน</w:t>
      </w:r>
      <w:r>
        <w:t xml:space="preserve"> </w:t>
      </w:r>
      <w:r>
        <w:rPr>
          <w:b/>
          <w:bCs/>
        </w:rPr>
        <w:t xml:space="preserve">2 วันทำการ</w:t>
      </w:r>
      <w:r>
        <w:t xml:space="preserve">, Medium ภายใน</w:t>
      </w:r>
      <w:r>
        <w:t xml:space="preserve"> </w:t>
      </w:r>
      <w:r>
        <w:rPr>
          <w:b/>
          <w:bCs/>
        </w:rPr>
        <w:t xml:space="preserve">5 วันทำการ</w:t>
      </w:r>
    </w:p>
    <w:p>
      <w:pPr>
        <w:pStyle w:val="Compact"/>
        <w:numPr>
          <w:ilvl w:val="0"/>
          <w:numId w:val="1110"/>
        </w:numPr>
      </w:pPr>
      <w:r>
        <w:t xml:space="preserve">Escalation: 1st line (analyst) → 2nd line (Compliance/MLRO) → AML Committee</w:t>
      </w:r>
    </w:p>
    <w:p>
      <w:pPr>
        <w:pStyle w:val="Compact"/>
        <w:numPr>
          <w:ilvl w:val="0"/>
          <w:numId w:val="1110"/>
        </w:numPr>
      </w:pPr>
      <w:r>
        <w:t xml:space="preserve">ทุกการตัดสิน (clear/escalate/report/terminate) บันทึกใน</w:t>
      </w:r>
      <w:r>
        <w:t xml:space="preserve"> </w:t>
      </w:r>
      <w:r>
        <w:rPr>
          <w:rStyle w:val="VerbatimChar"/>
        </w:rPr>
        <w:t xml:space="preserve">audit_log</w:t>
      </w:r>
      <w:r>
        <w:t xml:space="preserve"> </w:t>
      </w:r>
      <w:r>
        <w:t xml:space="preserve">พร้อมเหตุผล (auditable ตาม PCI Req 10 &amp; เกณฑ์ ธปท.)</w:t>
      </w:r>
    </w:p>
    <w:p>
      <w:r>
        <w:pict>
          <v:rect style="width:0;height:1.5pt" o:hralign="center" o:hrstd="t" o:hr="t"/>
        </w:pict>
      </w:r>
    </w:p>
    <w:bookmarkEnd w:id="283"/>
    <w:bookmarkEnd w:id="284"/>
    <w:bookmarkStart w:id="288" w:name="X5311bb62c8d3dfef4cf08e7941eb49f8f92f6a6"/>
    <w:p>
      <w:pPr>
        <w:pStyle w:val="Heading2"/>
      </w:pPr>
      <w:r>
        <w:t xml:space="preserve">7. รอบการทบทวน (Review Cadence) และ Trigger Events</w:t>
      </w:r>
    </w:p>
    <w:bookmarkStart w:id="285" w:name="การทบทวนตามกำหนด-periodic"/>
    <w:p>
      <w:pPr>
        <w:pStyle w:val="Heading3"/>
      </w:pPr>
      <w:r>
        <w:t xml:space="preserve">7.1 การทบทวนตามกำหนด (Periodic)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ระดับ</w:t>
            </w:r>
          </w:p>
        </w:tc>
        <w:tc>
          <w:tcPr/>
          <w:p>
            <w:pPr>
              <w:pStyle w:val="Compact"/>
            </w:pPr>
            <w:r>
              <w:t xml:space="preserve">รอบทบทวนเต็ม (Full KYC refresh + rescore)</w:t>
            </w:r>
          </w:p>
        </w:tc>
      </w:tr>
      <w:tr>
        <w:tc>
          <w:tcPr/>
          <w:p>
            <w:pPr>
              <w:pStyle w:val="Compact"/>
            </w:pPr>
            <w:r>
              <w:t xml:space="preserve">Low</w:t>
            </w:r>
          </w:p>
        </w:tc>
        <w:tc>
          <w:tcPr/>
          <w:p>
            <w:pPr>
              <w:pStyle w:val="Compact"/>
            </w:pPr>
            <w:r>
              <w:t xml:space="preserve">ทุก</w:t>
            </w:r>
            <w:r>
              <w:t xml:space="preserve"> </w:t>
            </w:r>
            <w:r>
              <w:rPr>
                <w:b/>
                <w:bCs/>
              </w:rPr>
              <w:t xml:space="preserve">36 เดือน</w:t>
            </w:r>
          </w:p>
        </w:tc>
      </w:tr>
      <w:tr>
        <w:tc>
          <w:tcPr/>
          <w:p>
            <w:pPr>
              <w:pStyle w:val="Compact"/>
            </w:pPr>
            <w:r>
              <w:t xml:space="preserve">Medium</w:t>
            </w:r>
          </w:p>
        </w:tc>
        <w:tc>
          <w:tcPr/>
          <w:p>
            <w:pPr>
              <w:pStyle w:val="Compact"/>
            </w:pPr>
            <w:r>
              <w:t xml:space="preserve">ทุก</w:t>
            </w:r>
            <w:r>
              <w:t xml:space="preserve"> </w:t>
            </w:r>
            <w:r>
              <w:rPr>
                <w:b/>
                <w:bCs/>
              </w:rPr>
              <w:t xml:space="preserve">12 เดือน</w:t>
            </w:r>
          </w:p>
        </w:tc>
      </w:tr>
      <w:tr>
        <w:tc>
          <w:tcPr/>
          <w:p>
            <w:pPr>
              <w:pStyle w:val="Compact"/>
            </w:pPr>
            <w:r>
              <w:t xml:space="preserve">High</w:t>
            </w:r>
          </w:p>
        </w:tc>
        <w:tc>
          <w:tcPr/>
          <w:p>
            <w:pPr>
              <w:pStyle w:val="Compact"/>
            </w:pPr>
            <w:r>
              <w:t xml:space="preserve">ทุก</w:t>
            </w:r>
            <w:r>
              <w:t xml:space="preserve"> </w:t>
            </w:r>
            <w:r>
              <w:rPr>
                <w:b/>
                <w:bCs/>
              </w:rPr>
              <w:t xml:space="preserve">6 เดือน</w:t>
            </w:r>
          </w:p>
        </w:tc>
      </w:tr>
    </w:tbl>
    <w:p>
      <w:pPr>
        <w:pStyle w:val="Compact"/>
        <w:numPr>
          <w:ilvl w:val="0"/>
          <w:numId w:val="1111"/>
        </w:numPr>
      </w:pPr>
      <w:r>
        <w:rPr>
          <w:b/>
          <w:bCs/>
        </w:rPr>
        <w:t xml:space="preserve">Sanction/PEP rescreening:</w:t>
      </w:r>
      <w:r>
        <w:t xml:space="preserve"> </w:t>
      </w:r>
      <w:r>
        <w:t xml:space="preserve">ทุกระดับ</w:t>
      </w:r>
      <w:r>
        <w:t xml:space="preserve"> </w:t>
      </w:r>
      <w:r>
        <w:rPr>
          <w:b/>
          <w:bCs/>
        </w:rPr>
        <w:t xml:space="preserve">รายวัน</w:t>
      </w:r>
      <w:r>
        <w:t xml:space="preserve"> </w:t>
      </w:r>
      <w:r>
        <w:t xml:space="preserve">เทียบ list ที่อัปเดต (ไม่ผูกกับรอบ periodic)</w:t>
      </w:r>
    </w:p>
    <w:p>
      <w:pPr>
        <w:pStyle w:val="Compact"/>
        <w:numPr>
          <w:ilvl w:val="0"/>
          <w:numId w:val="1111"/>
        </w:numPr>
      </w:pPr>
      <w:r>
        <w:rPr>
          <w:b/>
          <w:bCs/>
        </w:rPr>
        <w:t xml:space="preserve">Portfolio review:</w:t>
      </w:r>
      <w:r>
        <w:t xml:space="preserve"> </w:t>
      </w:r>
      <w:r>
        <w:t xml:space="preserve">Compliance ทบทวนภาพรวม portfolio ราย</w:t>
      </w:r>
      <w:r>
        <w:t xml:space="preserve"> </w:t>
      </w:r>
      <w:r>
        <w:rPr>
          <w:b/>
          <w:bCs/>
        </w:rPr>
        <w:t xml:space="preserve">ไตรมาส</w:t>
      </w:r>
      <w:r>
        <w:t xml:space="preserve"> </w:t>
      </w:r>
      <w:r>
        <w:t xml:space="preserve">เสนอ Risk Committee</w:t>
      </w:r>
    </w:p>
    <w:bookmarkEnd w:id="285"/>
    <w:bookmarkStart w:id="286" w:name="การทบทวนเมอเกดเหต-event-driven-trigger"/>
    <w:p>
      <w:pPr>
        <w:pStyle w:val="Heading3"/>
      </w:pPr>
      <w:r>
        <w:t xml:space="preserve">7.2 การทบทวนเมื่อเกิดเหตุ (Event-Driven / Trigger)</w:t>
      </w:r>
    </w:p>
    <w:p>
      <w:pPr>
        <w:pStyle w:val="FirstParagraph"/>
      </w:pPr>
      <w:r>
        <w:t xml:space="preserve">ต้อง re-score ทันที (ภายใน 5 วันทำการ) เมื่อเกิด:</w:t>
      </w:r>
      <w:r>
        <w:t xml:space="preserve"> </w:t>
      </w:r>
      <w:r>
        <w:t xml:space="preserve">- Sanction/PEP/adverse-media hit ใหม่</w:t>
      </w:r>
      <w:r>
        <w:t xml:space="preserve"> </w:t>
      </w:r>
      <w:r>
        <w:t xml:space="preserve">- chargeback/fraud/decline ratio ทะลุ threshold (ข้อ 6)</w:t>
      </w:r>
      <w:r>
        <w:t xml:space="preserve"> </w:t>
      </w:r>
      <w:r>
        <w:t xml:space="preserve">- เปลี่ยนแปลงสาระสำคัญ: MCC, UBO/กรรมการ, business model, ปริมาณธุรกรรมพุ่ง</w:t>
      </w:r>
      <w:r>
        <w:t xml:space="preserve"> </w:t>
      </w:r>
      <w:r>
        <w:t xml:space="preserve">- คำขอ/หมายจากหน่วยงาน (ธปท., ปปง., ตำรวจ, ศาล)</w:t>
      </w:r>
      <w:r>
        <w:t xml:space="preserve"> </w:t>
      </w:r>
      <w:r>
        <w:t xml:space="preserve">- ผลจาก STR/investigation ภายใน</w:t>
      </w:r>
    </w:p>
    <w:bookmarkEnd w:id="286"/>
    <w:bookmarkStart w:id="287" w:name="ผลลพธการทบทวน"/>
    <w:p>
      <w:pPr>
        <w:pStyle w:val="Heading3"/>
      </w:pPr>
      <w:r>
        <w:t xml:space="preserve">7.3 ผลลัพธ์การทบทวน</w:t>
      </w:r>
    </w:p>
    <w:p>
      <w:pPr>
        <w:pStyle w:val="FirstParagraph"/>
      </w:pPr>
      <w:r>
        <w:t xml:space="preserve">คงระดับเดิม / ปรับขึ้น (เพิ่ม EDD, reserve, ลด limit) / ปรับลง (เมื่อมีหลักฐานสนับสนุน) /</w:t>
      </w:r>
      <w:r>
        <w:t xml:space="preserve"> </w:t>
      </w:r>
      <w:r>
        <w:rPr>
          <w:b/>
          <w:bCs/>
        </w:rPr>
        <w:t xml:space="preserve">exit (offboard/terminate)</w:t>
      </w:r>
      <w:r>
        <w:t xml:space="preserve"> </w:t>
      </w:r>
      <w:r>
        <w:t xml:space="preserve">พร้อมแจ้ง scheme (MATCH) หากเข้าเงื่อนไข</w:t>
      </w:r>
    </w:p>
    <w:p>
      <w:r>
        <w:pict>
          <v:rect style="width:0;height:1.5pt" o:hralign="center" o:hrstd="t" o:hr="t"/>
        </w:pict>
      </w:r>
    </w:p>
    <w:bookmarkEnd w:id="287"/>
    <w:bookmarkEnd w:id="288"/>
    <w:bookmarkStart w:id="289" w:name="บทบาทและความรบผดชอบ-roles-raci"/>
    <w:p>
      <w:pPr>
        <w:pStyle w:val="Heading2"/>
      </w:pPr>
      <w:r>
        <w:t xml:space="preserve">8. บทบาทและความรับผิดชอบ (Roles — RACI)</w:t>
      </w:r>
    </w:p>
    <w:tbl>
      <w:tblPr>
        <w:tblStyle w:val="Table"/>
        <w:tblW w:type="pct" w:w="5000"/>
        <w:tblLayout w:type="fixed"/>
        <w:tblLook w:firstRow="1" w:lastRow="0" w:firstColumn="0" w:lastColumn="0" w:noHBand="0" w:noVBand="0" w:val="0020"/>
      </w:tblPr>
      <w:tblGrid>
        <w:gridCol w:w="2970"/>
        <w:gridCol w:w="1650"/>
        <w:gridCol w:w="1650"/>
        <w:gridCol w:w="1650"/>
      </w:tblGrid>
      <w:tr>
        <w:trPr>
          <w:tblHeader w:val="on"/>
        </w:trPr>
        <w:tc>
          <w:tcPr/>
          <w:p>
            <w:pPr>
              <w:pStyle w:val="Compact"/>
            </w:pPr>
            <w:r>
              <w:t xml:space="preserve">กิจกรรม</w:t>
            </w:r>
          </w:p>
        </w:tc>
        <w:tc>
          <w:tcPr/>
          <w:p>
            <w:pPr>
              <w:pStyle w:val="Compact"/>
              <w:jc w:val="center"/>
            </w:pPr>
            <w:r>
              <w:t xml:space="preserve">1st line (Onboarding/Ops)</w:t>
            </w:r>
          </w:p>
        </w:tc>
        <w:tc>
          <w:tcPr/>
          <w:p>
            <w:pPr>
              <w:pStyle w:val="Compact"/>
              <w:jc w:val="center"/>
            </w:pPr>
            <w:r>
              <w:t xml:space="preserve">2nd line (Compliance/MLRO/Risk)</w:t>
            </w:r>
          </w:p>
        </w:tc>
        <w:tc>
          <w:tcPr/>
          <w:p>
            <w:pPr>
              <w:pStyle w:val="Compact"/>
              <w:jc w:val="center"/>
            </w:pPr>
            <w:r>
              <w:t xml:space="preserve">3rd line (Internal Audit)</w:t>
            </w:r>
          </w:p>
        </w:tc>
      </w:tr>
      <w:tr>
        <w:tc>
          <w:tcPr/>
          <w:p>
            <w:pPr>
              <w:pStyle w:val="Compact"/>
            </w:pPr>
            <w:r>
              <w:t xml:space="preserve">เก็บเอกสาร/KYC</w:t>
            </w:r>
          </w:p>
        </w:tc>
        <w:tc>
          <w:tcPr/>
          <w:p>
            <w:pPr>
              <w:pStyle w:val="Compact"/>
              <w:jc w:val="center"/>
            </w:pPr>
            <w:r>
              <w:rPr>
                <w:b/>
                <w:bCs/>
              </w:rPr>
              <w:t xml:space="preserve">R</w:t>
            </w:r>
          </w:p>
        </w:tc>
        <w:tc>
          <w:tcPr/>
          <w:p>
            <w:pPr>
              <w:pStyle w:val="Compact"/>
              <w:jc w:val="center"/>
            </w:pPr>
            <w:r>
              <w:t xml:space="preserve">C</w:t>
            </w:r>
          </w:p>
        </w:tc>
        <w:tc>
          <w:tcPr/>
          <w:p>
            <w:pPr>
              <w:pStyle w:val="Compact"/>
              <w:jc w:val="center"/>
            </w:pPr>
            <w:r>
              <w:t xml:space="preserve">I</w:t>
            </w:r>
          </w:p>
        </w:tc>
      </w:tr>
      <w:tr>
        <w:tc>
          <w:tcPr/>
          <w:p>
            <w:pPr>
              <w:pStyle w:val="Compact"/>
            </w:pPr>
            <w:r>
              <w:t xml:space="preserve">ให้คะแนน &amp; จัดระดับ (Low)</w:t>
            </w:r>
          </w:p>
        </w:tc>
        <w:tc>
          <w:tcPr/>
          <w:p>
            <w:pPr>
              <w:pStyle w:val="Compact"/>
              <w:jc w:val="center"/>
            </w:pPr>
            <w:r>
              <w:rPr>
                <w:b/>
                <w:bCs/>
              </w:rPr>
              <w:t xml:space="preserve">R/A</w:t>
            </w:r>
          </w:p>
        </w:tc>
        <w:tc>
          <w:tcPr/>
          <w:p>
            <w:pPr>
              <w:pStyle w:val="Compact"/>
              <w:jc w:val="center"/>
            </w:pPr>
            <w:r>
              <w:t xml:space="preserve">C</w:t>
            </w:r>
          </w:p>
        </w:tc>
        <w:tc>
          <w:tcPr/>
          <w:p>
            <w:pPr>
              <w:pStyle w:val="Compact"/>
              <w:jc w:val="center"/>
            </w:pPr>
            <w:r>
              <w:t xml:space="preserve">I</w:t>
            </w:r>
          </w:p>
        </w:tc>
      </w:tr>
      <w:tr>
        <w:tc>
          <w:tcPr/>
          <w:p>
            <w:pPr>
              <w:pStyle w:val="Compact"/>
            </w:pPr>
            <w:r>
              <w:t xml:space="preserve">อนุมัติ Medium</w:t>
            </w:r>
          </w:p>
        </w:tc>
        <w:tc>
          <w:tcPr/>
          <w:p>
            <w:pPr>
              <w:pStyle w:val="Compact"/>
              <w:jc w:val="center"/>
            </w:pPr>
            <w:r>
              <w:t xml:space="preserve">R</w:t>
            </w:r>
          </w:p>
        </w:tc>
        <w:tc>
          <w:tcPr/>
          <w:p>
            <w:pPr>
              <w:pStyle w:val="Compact"/>
              <w:jc w:val="center"/>
            </w:pPr>
            <w:r>
              <w:rPr>
                <w:b/>
                <w:bCs/>
              </w:rPr>
              <w:t xml:space="preserve">A</w:t>
            </w:r>
          </w:p>
        </w:tc>
        <w:tc>
          <w:tcPr/>
          <w:p>
            <w:pPr>
              <w:pStyle w:val="Compact"/>
              <w:jc w:val="center"/>
            </w:pPr>
            <w:r>
              <w:t xml:space="preserve">I</w:t>
            </w:r>
          </w:p>
        </w:tc>
      </w:tr>
      <w:tr>
        <w:tc>
          <w:tcPr/>
          <w:p>
            <w:pPr>
              <w:pStyle w:val="Compact"/>
            </w:pPr>
            <w:r>
              <w:t xml:space="preserve">อนุมัติ High / EDD</w:t>
            </w:r>
          </w:p>
        </w:tc>
        <w:tc>
          <w:tcPr/>
          <w:p>
            <w:pPr>
              <w:pStyle w:val="Compact"/>
              <w:jc w:val="center"/>
            </w:pPr>
            <w:r>
              <w:t xml:space="preserve">R</w:t>
            </w:r>
          </w:p>
        </w:tc>
        <w:tc>
          <w:tcPr/>
          <w:p>
            <w:pPr>
              <w:pStyle w:val="Compact"/>
              <w:jc w:val="center"/>
            </w:pPr>
            <w:r>
              <w:rPr>
                <w:b/>
                <w:bCs/>
              </w:rPr>
              <w:t xml:space="preserve">A</w:t>
            </w:r>
            <w:r>
              <w:t xml:space="preserve"> </w:t>
            </w:r>
            <w:r>
              <w:t xml:space="preserve">(MLRO/CCO + AML Committee)</w:t>
            </w:r>
          </w:p>
        </w:tc>
        <w:tc>
          <w:tcPr/>
          <w:p>
            <w:pPr>
              <w:pStyle w:val="Compact"/>
              <w:jc w:val="center"/>
            </w:pPr>
            <w:r>
              <w:t xml:space="preserve">I</w:t>
            </w:r>
          </w:p>
        </w:tc>
      </w:tr>
      <w:tr>
        <w:tc>
          <w:tcPr/>
          <w:p>
            <w:pPr>
              <w:pStyle w:val="Compact"/>
            </w:pPr>
            <w:r>
              <w:t xml:space="preserve">Transaction monitoring &amp; case</w:t>
            </w:r>
          </w:p>
        </w:tc>
        <w:tc>
          <w:tcPr/>
          <w:p>
            <w:pPr>
              <w:pStyle w:val="Compact"/>
              <w:jc w:val="center"/>
            </w:pPr>
            <w:r>
              <w:t xml:space="preserve">R</w:t>
            </w:r>
          </w:p>
        </w:tc>
        <w:tc>
          <w:tcPr/>
          <w:p>
            <w:pPr>
              <w:pStyle w:val="Compact"/>
              <w:jc w:val="center"/>
            </w:pPr>
            <w:r>
              <w:rPr>
                <w:b/>
                <w:bCs/>
              </w:rPr>
              <w:t xml:space="preserve">A</w:t>
            </w:r>
          </w:p>
        </w:tc>
        <w:tc>
          <w:tcPr/>
          <w:p>
            <w:pPr>
              <w:pStyle w:val="Compact"/>
              <w:jc w:val="center"/>
            </w:pPr>
            <w:r>
              <w:t xml:space="preserve">I</w:t>
            </w:r>
          </w:p>
        </w:tc>
      </w:tr>
      <w:tr>
        <w:tc>
          <w:tcPr/>
          <w:p>
            <w:pPr>
              <w:pStyle w:val="Compact"/>
            </w:pPr>
            <w:r>
              <w:t xml:space="preserve">STR ต่อ ปปง.</w:t>
            </w:r>
          </w:p>
        </w:tc>
        <w:tc>
          <w:tcPr/>
          <w:p>
            <w:pPr>
              <w:pStyle w:val="Compact"/>
              <w:jc w:val="center"/>
            </w:pPr>
            <w:r>
              <w:t xml:space="preserve">I</w:t>
            </w:r>
          </w:p>
        </w:tc>
        <w:tc>
          <w:tcPr/>
          <w:p>
            <w:pPr>
              <w:pStyle w:val="Compact"/>
              <w:jc w:val="center"/>
            </w:pPr>
            <w:r>
              <w:rPr>
                <w:b/>
                <w:bCs/>
              </w:rPr>
              <w:t xml:space="preserve">R/A</w:t>
            </w:r>
            <w:r>
              <w:t xml:space="preserve"> </w:t>
            </w:r>
            <w:r>
              <w:t xml:space="preserve">(MLRO)</w:t>
            </w:r>
          </w:p>
        </w:tc>
        <w:tc>
          <w:tcPr/>
          <w:p>
            <w:pPr>
              <w:pStyle w:val="Compact"/>
              <w:jc w:val="center"/>
            </w:pPr>
            <w:r>
              <w:t xml:space="preserve">I</w:t>
            </w:r>
          </w:p>
        </w:tc>
      </w:tr>
      <w:tr>
        <w:tc>
          <w:tcPr/>
          <w:p>
            <w:pPr>
              <w:pStyle w:val="Compact"/>
            </w:pPr>
            <w:r>
              <w:t xml:space="preserve">ทบทวนตามรอบ</w:t>
            </w:r>
          </w:p>
        </w:tc>
        <w:tc>
          <w:tcPr/>
          <w:p>
            <w:pPr>
              <w:pStyle w:val="Compact"/>
              <w:jc w:val="center"/>
            </w:pPr>
            <w:r>
              <w:t xml:space="preserve">R</w:t>
            </w:r>
          </w:p>
        </w:tc>
        <w:tc>
          <w:tcPr/>
          <w:p>
            <w:pPr>
              <w:pStyle w:val="Compact"/>
              <w:jc w:val="center"/>
            </w:pPr>
            <w:r>
              <w:rPr>
                <w:b/>
                <w:bCs/>
              </w:rPr>
              <w:t xml:space="preserve">A</w:t>
            </w:r>
          </w:p>
        </w:tc>
        <w:tc>
          <w:tcPr/>
          <w:p>
            <w:pPr>
              <w:pStyle w:val="Compact"/>
              <w:jc w:val="center"/>
            </w:pPr>
            <w:r>
              <w:t xml:space="preserve">I</w:t>
            </w:r>
          </w:p>
        </w:tc>
      </w:tr>
      <w:tr>
        <w:tc>
          <w:tcPr/>
          <w:p>
            <w:pPr>
              <w:pStyle w:val="Compact"/>
            </w:pPr>
            <w:r>
              <w:t xml:space="preserve">ตรวจสอบความเป็นอิสระของกระบวนการ</w:t>
            </w:r>
          </w:p>
        </w:tc>
        <w:tc>
          <w:tcPr/>
          <w:p>
            <w:pPr>
              <w:pStyle w:val="Compact"/>
              <w:jc w:val="center"/>
            </w:pPr>
            <w:r>
              <w:t xml:space="preserve">I</w:t>
            </w:r>
          </w:p>
        </w:tc>
        <w:tc>
          <w:tcPr/>
          <w:p>
            <w:pPr>
              <w:pStyle w:val="Compact"/>
              <w:jc w:val="center"/>
            </w:pPr>
            <w:r>
              <w:t xml:space="preserve">C</w:t>
            </w:r>
          </w:p>
        </w:tc>
        <w:tc>
          <w:tcPr/>
          <w:p>
            <w:pPr>
              <w:pStyle w:val="Compact"/>
              <w:jc w:val="center"/>
            </w:pPr>
            <w:r>
              <w:rPr>
                <w:b/>
                <w:bCs/>
              </w:rPr>
              <w:t xml:space="preserve">R/A</w:t>
            </w:r>
          </w:p>
        </w:tc>
      </w:tr>
    </w:tbl>
    <w:p>
      <w:pPr>
        <w:pStyle w:val="BodyText"/>
      </w:pPr>
      <w:r>
        <w:t xml:space="preserve">(R=Responsible, A=Accountable, C=Consulted, I=Informed — สอดคล้อง Three Lines of Defense ใน</w:t>
      </w:r>
      <w:r>
        <w:t xml:space="preserve"> </w:t>
      </w:r>
      <w:r>
        <w:rPr>
          <w:rStyle w:val="VerbatimChar"/>
        </w:rPr>
        <w:t xml:space="preserve">04-org-chart-governance.md</w:t>
      </w:r>
      <w:r>
        <w:t xml:space="preserve">)</w:t>
      </w:r>
    </w:p>
    <w:p>
      <w:r>
        <w:pict>
          <v:rect style="width:0;height:1.5pt" o:hralign="center" o:hrstd="t" o:hr="t"/>
        </w:pict>
      </w:r>
    </w:p>
    <w:bookmarkEnd w:id="289"/>
    <w:bookmarkStart w:id="290" w:name="ขอมล-บนทก-และ-pdpa"/>
    <w:p>
      <w:pPr>
        <w:pStyle w:val="Heading2"/>
      </w:pPr>
      <w:r>
        <w:t xml:space="preserve">9. ข้อมูล บันทึก และ PDPA</w:t>
      </w:r>
    </w:p>
    <w:p>
      <w:pPr>
        <w:pStyle w:val="Compact"/>
        <w:numPr>
          <w:ilvl w:val="0"/>
          <w:numId w:val="1112"/>
        </w:numPr>
      </w:pPr>
      <w:r>
        <w:rPr>
          <w:b/>
          <w:bCs/>
        </w:rPr>
        <w:t xml:space="preserve">การเก็บรักษา:</w:t>
      </w:r>
      <w:r>
        <w:t xml:space="preserve"> </w:t>
      </w:r>
      <w:r>
        <w:t xml:space="preserve">เอกสาร KYC/CDD และบันทึกธุรกรรมเก็บอย่างน้อย</w:t>
      </w:r>
      <w:r>
        <w:t xml:space="preserve"> </w:t>
      </w:r>
      <w:r>
        <w:rPr>
          <w:b/>
          <w:bCs/>
        </w:rPr>
        <w:t xml:space="preserve">10 ปี</w:t>
      </w:r>
      <w:r>
        <w:t xml:space="preserve"> </w:t>
      </w:r>
      <w:r>
        <w:t xml:space="preserve">นับแต่ยุติความสัมพันธ์ ตามเกณฑ์ AMLO (หรือนานกว่าตามที่กฎหมายกำหนด)</w:t>
      </w:r>
    </w:p>
    <w:p>
      <w:pPr>
        <w:pStyle w:val="Compact"/>
        <w:numPr>
          <w:ilvl w:val="0"/>
          <w:numId w:val="1112"/>
        </w:numPr>
      </w:pPr>
      <w:r>
        <w:rPr>
          <w:b/>
          <w:bCs/>
        </w:rPr>
        <w:t xml:space="preserve">PDPA (PDPC):</w:t>
      </w:r>
      <w:r>
        <w:t xml:space="preserve"> </w:t>
      </w:r>
      <w:r>
        <w:t xml:space="preserve">เก็บเท่าที่จำเป็น (data minimization); ฐานการประมวลผล = หน้าที่ตามกฎหมาย (AML) + ประโยชน์อันชอบธรรม (fraud prevention); มี retention schedule และควบคุมการเข้าถึงแบบ least-privilege/RBAC</w:t>
      </w:r>
    </w:p>
    <w:p>
      <w:pPr>
        <w:pStyle w:val="Compact"/>
        <w:numPr>
          <w:ilvl w:val="0"/>
          <w:numId w:val="1112"/>
        </w:numPr>
      </w:pPr>
      <w:r>
        <w:rPr>
          <w:b/>
          <w:bCs/>
        </w:rPr>
        <w:t xml:space="preserve">PCI-DSS v4.0:</w:t>
      </w:r>
      <w:r>
        <w:t xml:space="preserve"> </w:t>
      </w:r>
      <w:r>
        <w:t xml:space="preserve">risk/monitoring engine ที่แตะข้อมูลธุรกรรมต้องอยู่ในขอบเขตควบคุม, log ไม่มี PAN/CVV, access control + audit trail (Req 7, 8, 10) — ระบบหลักเห็นเพียง</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w:t>
      </w:r>
      <w:r>
        <w:t xml:space="preserve">ตาม</w:t>
      </w:r>
      <w:r>
        <w:t xml:space="preserve"> </w:t>
      </w:r>
      <w:r>
        <w:rPr>
          <w:rStyle w:val="VerbatimChar"/>
        </w:rPr>
        <w:t xml:space="preserve">ARCHITECTURE.md</w:t>
      </w:r>
    </w:p>
    <w:bookmarkEnd w:id="290"/>
    <w:bookmarkEnd w:id="291"/>
    <w:bookmarkStart w:id="308" w:name="Xd4c4e2568ba839a05ad28c6998168bb4e27b12f"/>
    <w:p>
      <w:pPr>
        <w:pStyle w:val="Heading1"/>
      </w:pPr>
      <w:r>
        <w:t xml:space="preserve">Customer/merchant risk categorization (low/medium/high), MCC risk, monitoring rules, review cadence (English)</w:t>
      </w:r>
    </w:p>
    <w:p>
      <w:pPr>
        <w:pStyle w:val="BlockText"/>
      </w:pPr>
      <w:r>
        <w:t xml:space="preserve">Supporting document for the</w:t>
      </w:r>
      <w:r>
        <w:t xml:space="preserve"> </w:t>
      </w:r>
      <w:r>
        <w:rPr>
          <w:b/>
          <w:bCs/>
        </w:rPr>
        <w:t xml:space="preserve">Acquiring Service</w:t>
      </w:r>
      <w:r>
        <w:t xml:space="preserve"> </w:t>
      </w:r>
      <w:r>
        <w:t xml:space="preserve">license application under the</w:t>
      </w:r>
      <w:r>
        <w:t xml:space="preserve"> </w:t>
      </w:r>
      <w:r>
        <w:rPr>
          <w:b/>
          <w:bCs/>
        </w:rPr>
        <w:t xml:space="preserve">Payment Systems Act B.E. 2560</w:t>
      </w:r>
      <w:r>
        <w:t xml:space="preserve">,</w:t>
      </w:r>
      <w:r>
        <w:t xml:space="preserve"> </w:t>
      </w:r>
      <w:r>
        <w:t xml:space="preserve">supervised by the</w:t>
      </w:r>
      <w:r>
        <w:t xml:space="preserve"> </w:t>
      </w:r>
      <w:r>
        <w:rPr>
          <w:b/>
          <w:bCs/>
        </w:rPr>
        <w:t xml:space="preserve">Bank of Thailand (BOT / ธปท.)</w:t>
      </w:r>
      <w:r>
        <w:t xml:space="preserve">, paid-up capital</w:t>
      </w:r>
      <w:r>
        <w:t xml:space="preserve"> </w:t>
      </w:r>
      <w:r>
        <w:rPr>
          <w:b/>
          <w:bCs/>
        </w:rPr>
        <w:t xml:space="preserve">THB 50 million</w:t>
      </w:r>
      <w:r>
        <w:t xml:space="preserve">, alongside</w:t>
      </w:r>
      <w:r>
        <w:t xml:space="preserve"> </w:t>
      </w:r>
      <w:r>
        <w:rPr>
          <w:b/>
          <w:bCs/>
        </w:rPr>
        <w:t xml:space="preserve">PCI-DSS v4.0 Level 1</w:t>
      </w:r>
      <w:r>
        <w:t xml:space="preserve">.</w:t>
      </w:r>
    </w:p>
    <w:p>
      <w:pPr>
        <w:pStyle w:val="BlockText"/>
      </w:pPr>
      <w:r>
        <w:t xml:space="preserve">Document ID:</w:t>
      </w:r>
      <w:r>
        <w:t xml:space="preserve"> </w:t>
      </w:r>
      <w:r>
        <w:rPr>
          <w:rStyle w:val="VerbatimChar"/>
        </w:rPr>
        <w:t xml:space="preserve">COMP-08</w:t>
      </w:r>
      <w:r>
        <w:t xml:space="preserve"> </w:t>
      </w:r>
      <w:r>
        <w:t xml:space="preserve">· Version 0.1 · Owner: Chief Compliance Officer (CCO) / MLRO</w:t>
      </w:r>
      <w:r>
        <w:t xml:space="preserve"> </w:t>
      </w:r>
      <w:r>
        <w:t xml:space="preserve">Related:</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04-org-chart-governance.md</w:t>
      </w:r>
    </w:p>
    <w:p>
      <w:pPr>
        <w:pStyle w:val="BlockText"/>
      </w:pPr>
      <w:r>
        <w:rPr>
          <w:b/>
          <w:bCs/>
        </w:rPr>
        <w:t xml:space="preserve">Disclaimer:</w:t>
      </w:r>
      <w:r>
        <w:t xml:space="preserve"> </w:t>
      </w:r>
      <w:r>
        <w:t xml:space="preserve">Structural reference only, not legal advice. Must be reviewed by BOT-licensing counsel and AML advisors before submission.</w:t>
      </w:r>
    </w:p>
    <w:p>
      <w:r>
        <w:pict>
          <v:rect style="width:0;height:1.5pt" o:hralign="center" o:hrstd="t" o:hr="t"/>
        </w:pict>
      </w:r>
    </w:p>
    <w:p>
      <w:pPr>
        <w:pStyle w:val="BlockText"/>
      </w:pPr>
      <w:r>
        <w:t xml:space="preserve">[!IMPORTANT]</w:t>
      </w:r>
      <w:r>
        <w:t xml:space="preserve"> </w:t>
      </w:r>
      <w:r>
        <w:rPr>
          <w:b/>
          <w:bCs/>
        </w:rPr>
        <w:t xml:space="preserve">Assumptions / TODO</w:t>
      </w:r>
      <w:r>
        <w:t xml:space="preserve"> </w:t>
      </w:r>
      <w:r>
        <w:t xml:space="preserve">— resolve with real values before BOT submission. Do NOT insert fabricated values into the filed document.</w:t>
      </w:r>
    </w:p>
    <w:tbl>
      <w:tblPr>
        <w:tblStyle w:val="Table"/>
        <w:tblW w:type="pct" w:w="5000"/>
        <w:tblLayout w:type="fixed"/>
        <w:tblLook w:firstRow="1" w:lastRow="0" w:firstColumn="0" w:lastColumn="0" w:noHBand="0" w:noVBand="0" w:val="0020"/>
      </w:tblPr>
      <w:tblGrid>
        <w:gridCol w:w="990"/>
        <w:gridCol w:w="1980"/>
        <w:gridCol w:w="2640"/>
        <w:gridCol w:w="2310"/>
      </w:tblGrid>
      <w:tr>
        <w:trPr>
          <w:tblHeader w:val="on"/>
        </w:trPr>
        <w:tc>
          <w:tcPr/>
          <w:p>
            <w:pPr>
              <w:pStyle w:val="Compact"/>
            </w:pPr>
            <w:r>
              <w:t xml:space="preserve">#</w:t>
            </w:r>
          </w:p>
        </w:tc>
        <w:tc>
          <w:tcPr/>
          <w:p>
            <w:pPr>
              <w:pStyle w:val="Compact"/>
            </w:pPr>
            <w:r>
              <w:t xml:space="preserve">Item</w:t>
            </w:r>
          </w:p>
        </w:tc>
        <w:tc>
          <w:tcPr/>
          <w:p>
            <w:pPr>
              <w:pStyle w:val="Compact"/>
            </w:pPr>
            <w:r>
              <w:t xml:space="preserve">Status</w:t>
            </w:r>
          </w:p>
        </w:tc>
        <w:tc>
          <w:tcPr/>
          <w:p>
            <w:pPr>
              <w:pStyle w:val="Compact"/>
            </w:pPr>
            <w:r>
              <w:t xml:space="preserve">Owner</w:t>
            </w:r>
          </w:p>
        </w:tc>
      </w:tr>
      <w:tr>
        <w:tc>
          <w:tcPr/>
          <w:p>
            <w:pPr>
              <w:pStyle w:val="Compact"/>
            </w:pPr>
            <w:r>
              <w:t xml:space="preserve">A1</w:t>
            </w:r>
          </w:p>
        </w:tc>
        <w:tc>
          <w:tcPr/>
          <w:p>
            <w:pPr>
              <w:pStyle w:val="Compact"/>
            </w:pPr>
            <w:r>
              <w:rPr>
                <w:b/>
                <w:bCs/>
              </w:rPr>
              <w:t xml:space="preserve">Legal company name</w:t>
            </w:r>
            <w:r>
              <w:t xml:space="preserve"> </w:t>
            </w:r>
            <w:r>
              <w:t xml:space="preserve">— placeholder</w:t>
            </w:r>
            <w:r>
              <w:t xml:space="preserve"> </w:t>
            </w:r>
            <w:r>
              <w:rPr>
                <w:rStyle w:val="VerbatimChar"/>
              </w:rPr>
              <w:t xml:space="preserve">[บริษัท / Company]</w:t>
            </w:r>
            <w:r>
              <w:t xml:space="preserve"> </w:t>
            </w:r>
            <w:r>
              <w:t xml:space="preserve">used throughout</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 acquiring bank</w:t>
            </w:r>
            <w:r>
              <w:t xml:space="preserve"> </w:t>
            </w:r>
            <w:r>
              <w:t xml:space="preserve">— not signed; prohibited/high-brand-risk MCC list may be tightened by sponsor &amp; scheme contracts</w:t>
            </w:r>
          </w:p>
        </w:tc>
        <w:tc>
          <w:tcPr/>
          <w:p>
            <w:pPr>
              <w:pStyle w:val="Compact"/>
            </w:pPr>
            <w:r>
              <w:t xml:space="preserve">Open</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QSA vendor (PCI-DSS v4.0 L1)</w:t>
            </w:r>
            <w:r>
              <w:t xml:space="preserve"> </w:t>
            </w:r>
            <w:r>
              <w:t xml:space="preserve">— not selected; defines CDE scope for the risk/monitoring engine</w:t>
            </w:r>
          </w:p>
        </w:tc>
        <w:tc>
          <w:tcPr/>
          <w:p>
            <w:pPr>
              <w:pStyle w:val="Compact"/>
            </w:pPr>
            <w:r>
              <w:t xml:space="preserve">Open</w:t>
            </w:r>
          </w:p>
        </w:tc>
        <w:tc>
          <w:tcPr/>
          <w:p>
            <w:pPr>
              <w:pStyle w:val="Compact"/>
            </w:pPr>
            <w:r>
              <w:t xml:space="preserve">CISO</w:t>
            </w:r>
          </w:p>
        </w:tc>
      </w:tr>
      <w:tr>
        <w:tc>
          <w:tcPr/>
          <w:p>
            <w:pPr>
              <w:pStyle w:val="Compact"/>
            </w:pPr>
            <w:r>
              <w:t xml:space="preserve">A4</w:t>
            </w:r>
          </w:p>
        </w:tc>
        <w:tc>
          <w:tcPr/>
          <w:p>
            <w:pPr>
              <w:pStyle w:val="Compact"/>
            </w:pPr>
            <w:r>
              <w:rPr>
                <w:b/>
                <w:bCs/>
              </w:rPr>
              <w:t xml:space="preserve">Sanction/PEP/adverse-media screening vendor</w:t>
            </w:r>
            <w:r>
              <w:t xml:space="preserve"> </w:t>
            </w:r>
            <w:r>
              <w:t xml:space="preserve">(e.g. Dow Jones, Refinitiv World-Check, LexisNexis) — not selected</w:t>
            </w:r>
          </w:p>
        </w:tc>
        <w:tc>
          <w:tcPr/>
          <w:p>
            <w:pPr>
              <w:pStyle w:val="Compact"/>
            </w:pPr>
            <w:r>
              <w:t xml:space="preserve">Open</w:t>
            </w:r>
          </w:p>
        </w:tc>
        <w:tc>
          <w:tcPr/>
          <w:p>
            <w:pPr>
              <w:pStyle w:val="Compact"/>
            </w:pPr>
            <w:r>
              <w:t xml:space="preserve">MLRO</w:t>
            </w:r>
          </w:p>
        </w:tc>
      </w:tr>
      <w:tr>
        <w:tc>
          <w:tcPr/>
          <w:p>
            <w:pPr>
              <w:pStyle w:val="Compact"/>
            </w:pPr>
            <w:r>
              <w:t xml:space="preserve">A5</w:t>
            </w:r>
          </w:p>
        </w:tc>
        <w:tc>
          <w:tcPr/>
          <w:p>
            <w:pPr>
              <w:pStyle w:val="Compact"/>
            </w:pPr>
            <w:r>
              <w:rPr>
                <w:b/>
                <w:bCs/>
              </w:rPr>
              <w:t xml:space="preserve">Fraud scoring / device fingerprinting / EMV 3DS 2.x provider</w:t>
            </w:r>
            <w:r>
              <w:t xml:space="preserve"> </w:t>
            </w:r>
            <w:r>
              <w:t xml:space="preserve">— not selected</w:t>
            </w:r>
          </w:p>
        </w:tc>
        <w:tc>
          <w:tcPr/>
          <w:p>
            <w:pPr>
              <w:pStyle w:val="Compact"/>
            </w:pPr>
            <w:r>
              <w:t xml:space="preserve">Open</w:t>
            </w:r>
          </w:p>
        </w:tc>
        <w:tc>
          <w:tcPr/>
          <w:p>
            <w:pPr>
              <w:pStyle w:val="Compact"/>
            </w:pPr>
            <w:r>
              <w:t xml:space="preserve">Head of Risk / CTO</w:t>
            </w:r>
          </w:p>
        </w:tc>
      </w:tr>
      <w:tr>
        <w:tc>
          <w:tcPr/>
          <w:p>
            <w:pPr>
              <w:pStyle w:val="Compact"/>
            </w:pPr>
            <w:r>
              <w:t xml:space="preserve">A6</w:t>
            </w:r>
          </w:p>
        </w:tc>
        <w:tc>
          <w:tcPr/>
          <w:p>
            <w:pPr>
              <w:pStyle w:val="Compact"/>
            </w:pPr>
            <w:r>
              <w:rPr>
                <w:b/>
                <w:bCs/>
              </w:rPr>
              <w:t xml:space="preserve">Actual numeric thresholds</w:t>
            </w:r>
            <w:r>
              <w:t xml:space="preserve"> </w:t>
            </w:r>
            <w:r>
              <w:t xml:space="preserve">(amounts, velocity, chargeback ratio) shown here are a</w:t>
            </w:r>
            <w:r>
              <w:t xml:space="preserve"> </w:t>
            </w:r>
            <w:r>
              <w:rPr>
                <w:b/>
                <w:bCs/>
              </w:rPr>
              <w:t xml:space="preserve">proposed baseline</w:t>
            </w:r>
            <w:r>
              <w:t xml:space="preserve"> </w:t>
            </w:r>
            <w:r>
              <w:t xml:space="preserve">— calibrate to real data and scheme rules (Visa VDMP/VFMP, Mastercard ECP/EFM)</w:t>
            </w:r>
          </w:p>
        </w:tc>
        <w:tc>
          <w:tcPr/>
          <w:p>
            <w:pPr>
              <w:pStyle w:val="Compact"/>
            </w:pPr>
            <w:r>
              <w:t xml:space="preserve">TODO</w:t>
            </w:r>
          </w:p>
        </w:tc>
        <w:tc>
          <w:tcPr/>
          <w:p>
            <w:pPr>
              <w:pStyle w:val="Compact"/>
            </w:pPr>
            <w:r>
              <w:t xml:space="preserve">CRO / MLRO</w:t>
            </w:r>
          </w:p>
        </w:tc>
      </w:tr>
      <w:tr>
        <w:tc>
          <w:tcPr/>
          <w:p>
            <w:pPr>
              <w:pStyle w:val="Compact"/>
            </w:pPr>
            <w:r>
              <w:t xml:space="preserve">A7</w:t>
            </w:r>
          </w:p>
        </w:tc>
        <w:tc>
          <w:tcPr/>
          <w:p>
            <w:pPr>
              <w:pStyle w:val="Compact"/>
            </w:pPr>
            <w:r>
              <w:rPr>
                <w:b/>
                <w:bCs/>
              </w:rPr>
              <w:t xml:space="preserve">Full MCC → risk-tier map</w:t>
            </w:r>
            <w:r>
              <w:t xml:space="preserve"> </w:t>
            </w:r>
            <w:r>
              <w:t xml:space="preserve">— must sync with the sponsor bank’s prohibited / high-brand-risk lists (A2)</w:t>
            </w:r>
          </w:p>
        </w:tc>
        <w:tc>
          <w:tcPr/>
          <w:p>
            <w:pPr>
              <w:pStyle w:val="Compact"/>
            </w:pPr>
            <w:r>
              <w:t xml:space="preserve">TODO</w:t>
            </w:r>
          </w:p>
        </w:tc>
        <w:tc>
          <w:tcPr/>
          <w:p>
            <w:pPr>
              <w:pStyle w:val="Compact"/>
            </w:pPr>
            <w:r>
              <w:t xml:space="preserve">Compliance</w:t>
            </w:r>
          </w:p>
        </w:tc>
      </w:tr>
    </w:tbl>
    <w:p>
      <w:pPr>
        <w:pStyle w:val="BlockText"/>
      </w:pPr>
      <w:r>
        <w:t xml:space="preserve">Scheme (Visa/Mastercard) rules and sponsor-bank terms may be</w:t>
      </w:r>
      <w:r>
        <w:t xml:space="preserve"> </w:t>
      </w:r>
      <w:r>
        <w:rPr>
          <w:b/>
          <w:bCs/>
        </w:rPr>
        <w:t xml:space="preserve">stricter</w:t>
      </w:r>
      <w:r>
        <w:t xml:space="preserve"> </w:t>
      </w:r>
      <w:r>
        <w:t xml:space="preserve">than this policy — always apply the stricter standard.</w:t>
      </w:r>
    </w:p>
    <w:p>
      <w:r>
        <w:pict>
          <v:rect style="width:0;height:1.5pt" o:hralign="center" o:hrstd="t" o:hr="t"/>
        </w:pict>
      </w:r>
    </w:p>
    <w:bookmarkStart w:id="292" w:name="purpose-scope-2"/>
    <w:p>
      <w:pPr>
        <w:pStyle w:val="Heading2"/>
      </w:pPr>
      <w:r>
        <w:t xml:space="preserve">1. Purpose &amp; Scope</w:t>
      </w:r>
    </w:p>
    <w:p>
      <w:pPr>
        <w:pStyle w:val="FirstParagraph"/>
      </w:pPr>
      <w:r>
        <w:t xml:space="preserve">This policy defines how [บริษัท / Company], as an Acquiring provider, performs</w:t>
      </w:r>
      <w:r>
        <w:t xml:space="preserve"> </w:t>
      </w:r>
      <w:r>
        <w:rPr>
          <w:b/>
          <w:bCs/>
        </w:rPr>
        <w:t xml:space="preserve">risk categorization</w:t>
      </w:r>
      <w:r>
        <w:t xml:space="preserve"> </w:t>
      </w:r>
      <w:r>
        <w:t xml:space="preserve">of its customers and merchants to:</w:t>
      </w:r>
    </w:p>
    <w:p>
      <w:pPr>
        <w:pStyle w:val="Compact"/>
        <w:numPr>
          <w:ilvl w:val="0"/>
          <w:numId w:val="1113"/>
        </w:numPr>
      </w:pPr>
      <w:r>
        <w:t xml:space="preserve">Comply with the</w:t>
      </w:r>
      <w:r>
        <w:t xml:space="preserve"> </w:t>
      </w:r>
      <w:r>
        <w:rPr>
          <w:b/>
          <w:bCs/>
        </w:rPr>
        <w:t xml:space="preserve">Anti-Money Laundering Act (AMLO)</w:t>
      </w:r>
      <w:r>
        <w:t xml:space="preserve"> </w:t>
      </w:r>
      <w:r>
        <w:t xml:space="preserve">and AMLO Office guidance on risk-based</w:t>
      </w:r>
      <w:r>
        <w:t xml:space="preserve"> </w:t>
      </w:r>
      <w:r>
        <w:rPr>
          <w:b/>
          <w:bCs/>
        </w:rPr>
        <w:t xml:space="preserve">CDD/EDD</w:t>
      </w:r>
      <w:r>
        <w:t xml:space="preserve"> </w:t>
      </w:r>
      <w:r>
        <w:t xml:space="preserve">(Risk-Based Approach).</w:t>
      </w:r>
    </w:p>
    <w:p>
      <w:pPr>
        <w:pStyle w:val="Compact"/>
        <w:numPr>
          <w:ilvl w:val="0"/>
          <w:numId w:val="1113"/>
        </w:numPr>
      </w:pPr>
      <w:r>
        <w:t xml:space="preserve">Meet</w:t>
      </w:r>
      <w:r>
        <w:t xml:space="preserve"> </w:t>
      </w:r>
      <w:r>
        <w:rPr>
          <w:b/>
          <w:bCs/>
        </w:rPr>
        <w:t xml:space="preserve">BOT</w:t>
      </w:r>
      <w:r>
        <w:t xml:space="preserve"> </w:t>
      </w:r>
      <w:r>
        <w:t xml:space="preserve">requirements for payment-provider risk management (merchant, fraud, chargeback, IT risk).</w:t>
      </w:r>
    </w:p>
    <w:p>
      <w:pPr>
        <w:pStyle w:val="Compact"/>
        <w:numPr>
          <w:ilvl w:val="0"/>
          <w:numId w:val="1113"/>
        </w:numPr>
      </w:pPr>
      <w:r>
        <w:t xml:space="preserve">Align with</w:t>
      </w:r>
      <w:r>
        <w:t xml:space="preserve"> </w:t>
      </w:r>
      <w:r>
        <w:rPr>
          <w:b/>
          <w:bCs/>
        </w:rPr>
        <w:t xml:space="preserve">card scheme</w:t>
      </w:r>
      <w:r>
        <w:t xml:space="preserve"> </w:t>
      </w:r>
      <w:r>
        <w:t xml:space="preserve">(Visa, Mastercard) requirements on merchant monitoring, high-risk/high-brand-risk MCCs, and dispute/fraud programs.</w:t>
      </w:r>
    </w:p>
    <w:p>
      <w:pPr>
        <w:pStyle w:val="Compact"/>
        <w:numPr>
          <w:ilvl w:val="0"/>
          <w:numId w:val="1113"/>
        </w:numPr>
      </w:pPr>
      <w:r>
        <w:t xml:space="preserve">Protect personal data under the</w:t>
      </w:r>
      <w:r>
        <w:t xml:space="preserve"> </w:t>
      </w:r>
      <w:r>
        <w:rPr>
          <w:b/>
          <w:bCs/>
        </w:rPr>
        <w:t xml:space="preserve">Personal Data Protection Act B.E. 2562 (PDPA)</w:t>
      </w:r>
      <w:r>
        <w:t xml:space="preserve">, supervised by</w:t>
      </w:r>
      <w:r>
        <w:t xml:space="preserve"> </w:t>
      </w:r>
      <w:r>
        <w:rPr>
          <w:b/>
          <w:bCs/>
        </w:rPr>
        <w:t xml:space="preserve">PDPC</w:t>
      </w:r>
      <w:r>
        <w:t xml:space="preserve"> </w:t>
      </w:r>
      <w:r>
        <w:t xml:space="preserve">— AML/fraud processing relies on the</w:t>
      </w:r>
      <w:r>
        <w:t xml:space="preserve"> </w:t>
      </w:r>
      <w:r>
        <w:t xml:space="preserve">“legal obligation”</w:t>
      </w:r>
      <w:r>
        <w:t xml:space="preserve"> </w:t>
      </w:r>
      <w:r>
        <w:t xml:space="preserve">and</w:t>
      </w:r>
      <w:r>
        <w:t xml:space="preserve"> </w:t>
      </w:r>
      <w:r>
        <w:t xml:space="preserve">“legitimate interest”</w:t>
      </w:r>
      <w:r>
        <w:t xml:space="preserve"> </w:t>
      </w:r>
      <w:r>
        <w:t xml:space="preserve">bases.</w:t>
      </w:r>
    </w:p>
    <w:p>
      <w:pPr>
        <w:pStyle w:val="FirstParagraph"/>
      </w:pPr>
      <w:r>
        <w:rPr>
          <w:b/>
          <w:bCs/>
        </w:rPr>
        <w:t xml:space="preserve">Scope:</w:t>
      </w:r>
      <w:r>
        <w:t xml:space="preserve"> </w:t>
      </w:r>
      <w:r>
        <w:t xml:space="preserve">all onboarded merchants, Ultimate Beneficial Owners (UBOs), directors/authorized signatories, and (where relevant) sub-merchants under the Payment Facilitating mode.</w:t>
      </w:r>
    </w:p>
    <w:p>
      <w:r>
        <w:pict>
          <v:rect style="width:0;height:1.5pt" o:hralign="center" o:hrstd="t" o:hr="t"/>
        </w:pict>
      </w:r>
    </w:p>
    <w:bookmarkEnd w:id="292"/>
    <w:bookmarkStart w:id="293" w:name="risk-rating-principles"/>
    <w:p>
      <w:pPr>
        <w:pStyle w:val="Heading2"/>
      </w:pPr>
      <w:r>
        <w:t xml:space="preserve">2. Risk-Rating Principles</w:t>
      </w:r>
    </w:p>
    <w:p>
      <w:pPr>
        <w:pStyle w:val="Compact"/>
        <w:numPr>
          <w:ilvl w:val="0"/>
          <w:numId w:val="1114"/>
        </w:numPr>
      </w:pPr>
      <w:r>
        <w:rPr>
          <w:b/>
          <w:bCs/>
        </w:rPr>
        <w:t xml:space="preserve">Risk-Based Approach (RBA):</w:t>
      </w:r>
      <w:r>
        <w:t xml:space="preserve"> </w:t>
      </w:r>
      <w:r>
        <w:t xml:space="preserve">intensity of CDD/EDD and review frequency scale with risk level.</w:t>
      </w:r>
    </w:p>
    <w:p>
      <w:pPr>
        <w:pStyle w:val="Compact"/>
        <w:numPr>
          <w:ilvl w:val="0"/>
          <w:numId w:val="1114"/>
        </w:numPr>
      </w:pPr>
      <w:r>
        <w:rPr>
          <w:b/>
          <w:bCs/>
        </w:rPr>
        <w:t xml:space="preserve">Onboarding + ongoing:</w:t>
      </w:r>
      <w:r>
        <w:t xml:space="preserve"> </w:t>
      </w:r>
      <w:r>
        <w:t xml:space="preserve">risk is not static — re-score on trigger events.</w:t>
      </w:r>
    </w:p>
    <w:p>
      <w:pPr>
        <w:pStyle w:val="Compact"/>
        <w:numPr>
          <w:ilvl w:val="0"/>
          <w:numId w:val="1114"/>
        </w:numPr>
      </w:pPr>
      <w:r>
        <w:rPr>
          <w:b/>
          <w:bCs/>
        </w:rPr>
        <w:t xml:space="preserve">Multi-factor:</w:t>
      </w:r>
      <w:r>
        <w:t xml:space="preserve"> </w:t>
      </w:r>
      <w:r>
        <w:t xml:space="preserve">score is a weighted blend of factors; no single factor decides.</w:t>
      </w:r>
    </w:p>
    <w:p>
      <w:pPr>
        <w:pStyle w:val="Compact"/>
        <w:numPr>
          <w:ilvl w:val="0"/>
          <w:numId w:val="1114"/>
        </w:numPr>
      </w:pPr>
      <w:r>
        <w:rPr>
          <w:b/>
          <w:bCs/>
        </w:rPr>
        <w:t xml:space="preserve">Fail closed / conservative:</w:t>
      </w:r>
      <w:r>
        <w:t xml:space="preserve"> </w:t>
      </w:r>
      <w:r>
        <w:t xml:space="preserve">when data is incomplete or ambiguous, rate higher and adjust down only on proof (mirrors the</w:t>
      </w:r>
      <w:r>
        <w:t xml:space="preserve"> </w:t>
      </w:r>
      <w:r>
        <w:t xml:space="preserve">“Fail closed”</w:t>
      </w:r>
      <w:r>
        <w:t xml:space="preserve"> </w:t>
      </w:r>
      <w:r>
        <w:t xml:space="preserve">principle in</w:t>
      </w:r>
      <w:r>
        <w:t xml:space="preserve"> </w:t>
      </w:r>
      <w:r>
        <w:rPr>
          <w:rStyle w:val="VerbatimChar"/>
        </w:rPr>
        <w:t xml:space="preserve">ARCHITECTURE.md</w:t>
      </w:r>
      <w:r>
        <w:t xml:space="preserve">).</w:t>
      </w:r>
    </w:p>
    <w:p>
      <w:pPr>
        <w:pStyle w:val="Compact"/>
        <w:numPr>
          <w:ilvl w:val="0"/>
          <w:numId w:val="1114"/>
        </w:numPr>
      </w:pPr>
      <w:r>
        <w:rPr>
          <w:b/>
          <w:bCs/>
        </w:rPr>
        <w:t xml:space="preserve">Four-eyes / segregation of duties:</w:t>
      </w:r>
      <w:r>
        <w:t xml:space="preserve"> </w:t>
      </w:r>
      <w:r>
        <w:t xml:space="preserve">High-risk approvals are separated from sales (per Three Lines of Defense in</w:t>
      </w:r>
      <w:r>
        <w:t xml:space="preserve"> </w:t>
      </w:r>
      <w:r>
        <w:rPr>
          <w:rStyle w:val="VerbatimChar"/>
        </w:rPr>
        <w:t xml:space="preserve">04-org-chart-governance.md</w:t>
      </w:r>
      <w:r>
        <w:t xml:space="preserve">).</w:t>
      </w:r>
    </w:p>
    <w:p>
      <w:pPr>
        <w:pStyle w:val="Compact"/>
        <w:numPr>
          <w:ilvl w:val="0"/>
          <w:numId w:val="1114"/>
        </w:numPr>
      </w:pPr>
      <w:r>
        <w:rPr>
          <w:b/>
          <w:bCs/>
        </w:rPr>
        <w:t xml:space="preserve">Auditable:</w:t>
      </w:r>
      <w:r>
        <w:t xml:space="preserve"> </w:t>
      </w:r>
      <w:r>
        <w:t xml:space="preserve">every rating/change is logged to append-only</w:t>
      </w:r>
      <w:r>
        <w:t xml:space="preserve"> </w:t>
      </w:r>
      <w:r>
        <w:rPr>
          <w:rStyle w:val="VerbatimChar"/>
        </w:rPr>
        <w:t xml:space="preserve">audit_log</w:t>
      </w:r>
      <w:r>
        <w:t xml:space="preserve"> </w:t>
      </w:r>
      <w:r>
        <w:t xml:space="preserve">with reason and approver.</w:t>
      </w:r>
    </w:p>
    <w:p>
      <w:r>
        <w:pict>
          <v:rect style="width:0;height:1.5pt" o:hralign="center" o:hrstd="t" o:hr="t"/>
        </w:pict>
      </w:r>
    </w:p>
    <w:bookmarkEnd w:id="293"/>
    <w:bookmarkStart w:id="295" w:name="risk-scoring-model"/>
    <w:p>
      <w:pPr>
        <w:pStyle w:val="Heading2"/>
      </w:pPr>
      <w:r>
        <w:t xml:space="preserve">3. Risk-Scoring Model</w:t>
      </w:r>
    </w:p>
    <w:p>
      <w:pPr>
        <w:pStyle w:val="FirstParagraph"/>
      </w:pPr>
      <w:r>
        <w:t xml:space="preserve">Total score = weighted sum of 6 factors (0–100), then mapped to 3 tiers.</w:t>
      </w:r>
    </w:p>
    <w:tbl>
      <w:tblPr>
        <w:tblStyle w:val="Table"/>
        <w:tblW w:type="pct" w:w="5000"/>
        <w:tblLayout w:type="fixed"/>
        <w:tblLook w:firstRow="1" w:lastRow="0" w:firstColumn="0" w:lastColumn="0" w:noHBand="0" w:noVBand="0" w:val="0020"/>
      </w:tblPr>
      <w:tblGrid>
        <w:gridCol w:w="2511"/>
        <w:gridCol w:w="1545"/>
        <w:gridCol w:w="3863"/>
      </w:tblGrid>
      <w:tr>
        <w:trPr>
          <w:tblHeader w:val="on"/>
        </w:trPr>
        <w:tc>
          <w:tcPr/>
          <w:p>
            <w:pPr>
              <w:pStyle w:val="Compact"/>
            </w:pPr>
            <w:r>
              <w:t xml:space="preserve">Risk factor</w:t>
            </w:r>
          </w:p>
        </w:tc>
        <w:tc>
          <w:tcPr/>
          <w:p>
            <w:pPr>
              <w:pStyle w:val="Compact"/>
            </w:pPr>
            <w:r>
              <w:t xml:space="preserve">Weight</w:t>
            </w:r>
          </w:p>
        </w:tc>
        <w:tc>
          <w:tcPr/>
          <w:p>
            <w:pPr>
              <w:pStyle w:val="Compact"/>
            </w:pPr>
            <w:r>
              <w:t xml:space="preserve">Example indicators</w:t>
            </w:r>
          </w:p>
        </w:tc>
      </w:tr>
      <w:tr>
        <w:tc>
          <w:tcPr/>
          <w:p>
            <w:pPr>
              <w:pStyle w:val="Compact"/>
            </w:pPr>
            <w:r>
              <w:rPr>
                <w:b/>
                <w:bCs/>
              </w:rPr>
              <w:t xml:space="preserve">1. Business type / MCC</w:t>
            </w:r>
          </w:p>
        </w:tc>
        <w:tc>
          <w:tcPr/>
          <w:p>
            <w:pPr>
              <w:pStyle w:val="Compact"/>
            </w:pPr>
            <w:r>
              <w:t xml:space="preserve">30%</w:t>
            </w:r>
          </w:p>
        </w:tc>
        <w:tc>
          <w:tcPr/>
          <w:p>
            <w:pPr>
              <w:pStyle w:val="Compact"/>
            </w:pPr>
            <w:r>
              <w:t xml:space="preserve">MCC falls in a high-risk category (Section 5)</w:t>
            </w:r>
          </w:p>
        </w:tc>
      </w:tr>
      <w:tr>
        <w:tc>
          <w:tcPr/>
          <w:p>
            <w:pPr>
              <w:pStyle w:val="Compact"/>
            </w:pPr>
            <w:r>
              <w:rPr>
                <w:b/>
                <w:bCs/>
              </w:rPr>
              <w:t xml:space="preserve">2. Country / geographic risk</w:t>
            </w:r>
          </w:p>
        </w:tc>
        <w:tc>
          <w:tcPr/>
          <w:p>
            <w:pPr>
              <w:pStyle w:val="Compact"/>
            </w:pPr>
            <w:r>
              <w:t xml:space="preserve">15%</w:t>
            </w:r>
          </w:p>
        </w:tc>
        <w:tc>
          <w:tcPr/>
          <w:p>
            <w:pPr>
              <w:pStyle w:val="Compact"/>
            </w:pPr>
            <w:r>
              <w:t xml:space="preserve">Registration/operation/end-customer country on FATF high-risk or sanctioned lists</w:t>
            </w:r>
          </w:p>
        </w:tc>
      </w:tr>
      <w:tr>
        <w:tc>
          <w:tcPr/>
          <w:p>
            <w:pPr>
              <w:pStyle w:val="Compact"/>
            </w:pPr>
            <w:r>
              <w:rPr>
                <w:b/>
                <w:bCs/>
              </w:rPr>
              <w:t xml:space="preserve">3. Ownership / UBO structure</w:t>
            </w:r>
          </w:p>
        </w:tc>
        <w:tc>
          <w:tcPr/>
          <w:p>
            <w:pPr>
              <w:pStyle w:val="Compact"/>
            </w:pPr>
            <w:r>
              <w:t xml:space="preserve">15%</w:t>
            </w:r>
          </w:p>
        </w:tc>
        <w:tc>
          <w:tcPr/>
          <w:p>
            <w:pPr>
              <w:pStyle w:val="Compact"/>
            </w:pPr>
            <w:r>
              <w:t xml:space="preserve">Complex structure, nominees, PEP UBO, multi-layer holdings</w:t>
            </w:r>
          </w:p>
        </w:tc>
      </w:tr>
      <w:tr>
        <w:tc>
          <w:tcPr/>
          <w:p>
            <w:pPr>
              <w:pStyle w:val="Compact"/>
            </w:pPr>
            <w:r>
              <w:rPr>
                <w:b/>
                <w:bCs/>
              </w:rPr>
              <w:t xml:space="preserve">4. Payment channel</w:t>
            </w:r>
          </w:p>
        </w:tc>
        <w:tc>
          <w:tcPr/>
          <w:p>
            <w:pPr>
              <w:pStyle w:val="Compact"/>
            </w:pPr>
            <w:r>
              <w:t xml:space="preserve">15%</w:t>
            </w:r>
          </w:p>
        </w:tc>
        <w:tc>
          <w:tcPr/>
          <w:p>
            <w:pPr>
              <w:pStyle w:val="Compact"/>
            </w:pPr>
            <w:r>
              <w:t xml:space="preserve">Card-Not-Present (CNP), MOTO, cross-border, high-ticket, subscription/recurring</w:t>
            </w:r>
          </w:p>
        </w:tc>
      </w:tr>
      <w:tr>
        <w:tc>
          <w:tcPr/>
          <w:p>
            <w:pPr>
              <w:pStyle w:val="Compact"/>
            </w:pPr>
            <w:r>
              <w:rPr>
                <w:b/>
                <w:bCs/>
              </w:rPr>
              <w:t xml:space="preserve">5. History / reputation</w:t>
            </w:r>
          </w:p>
        </w:tc>
        <w:tc>
          <w:tcPr/>
          <w:p>
            <w:pPr>
              <w:pStyle w:val="Compact"/>
            </w:pPr>
            <w:r>
              <w:t xml:space="preserve">15%</w:t>
            </w:r>
          </w:p>
        </w:tc>
        <w:tc>
          <w:tcPr/>
          <w:p>
            <w:pPr>
              <w:pStyle w:val="Compact"/>
            </w:pPr>
            <w:r>
              <w:t xml:space="preserve">Sanction/PEP/adverse-media hit, chargeback/fraud history, prior termination (Mastercard MATCH/TMF)</w:t>
            </w:r>
          </w:p>
        </w:tc>
      </w:tr>
      <w:tr>
        <w:tc>
          <w:tcPr/>
          <w:p>
            <w:pPr>
              <w:pStyle w:val="Compact"/>
            </w:pPr>
            <w:r>
              <w:rPr>
                <w:b/>
                <w:bCs/>
              </w:rPr>
              <w:t xml:space="preserve">6. Projected volume</w:t>
            </w:r>
          </w:p>
        </w:tc>
        <w:tc>
          <w:tcPr/>
          <w:p>
            <w:pPr>
              <w:pStyle w:val="Compact"/>
            </w:pPr>
            <w:r>
              <w:t xml:space="preserve">10%</w:t>
            </w:r>
          </w:p>
        </w:tc>
        <w:tc>
          <w:tcPr/>
          <w:p>
            <w:pPr>
              <w:pStyle w:val="Compact"/>
            </w:pPr>
            <w:r>
              <w:t xml:space="preserve">Projected monthly sales, average ticket, delivery lag (future-delivery risk)</w:t>
            </w:r>
          </w:p>
        </w:tc>
      </w:tr>
    </w:tbl>
    <w:bookmarkStart w:id="294" w:name="score-tier-mapping"/>
    <w:p>
      <w:pPr>
        <w:pStyle w:val="Heading3"/>
      </w:pPr>
      <w:r>
        <w:t xml:space="preserve">Score → tier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Total score</w:t>
            </w:r>
          </w:p>
        </w:tc>
        <w:tc>
          <w:tcPr/>
          <w:p>
            <w:pPr>
              <w:pStyle w:val="Compact"/>
            </w:pPr>
            <w:r>
              <w:t xml:space="preserve">Risk level</w:t>
            </w:r>
          </w:p>
        </w:tc>
      </w:tr>
      <w:tr>
        <w:tc>
          <w:tcPr/>
          <w:p>
            <w:pPr>
              <w:pStyle w:val="Compact"/>
            </w:pPr>
            <w:r>
              <w:t xml:space="preserve">0–39</w:t>
            </w:r>
          </w:p>
        </w:tc>
        <w:tc>
          <w:tcPr/>
          <w:p>
            <w:pPr>
              <w:pStyle w:val="Compact"/>
            </w:pPr>
            <w:r>
              <w:rPr>
                <w:b/>
                <w:bCs/>
              </w:rPr>
              <w:t xml:space="preserve">Low</w:t>
            </w:r>
          </w:p>
        </w:tc>
      </w:tr>
      <w:tr>
        <w:tc>
          <w:tcPr/>
          <w:p>
            <w:pPr>
              <w:pStyle w:val="Compact"/>
            </w:pPr>
            <w:r>
              <w:t xml:space="preserve">40–69</w:t>
            </w:r>
          </w:p>
        </w:tc>
        <w:tc>
          <w:tcPr/>
          <w:p>
            <w:pPr>
              <w:pStyle w:val="Compact"/>
            </w:pPr>
            <w:r>
              <w:rPr>
                <w:b/>
                <w:bCs/>
              </w:rPr>
              <w:t xml:space="preserve">Medium</w:t>
            </w:r>
          </w:p>
        </w:tc>
      </w:tr>
      <w:tr>
        <w:tc>
          <w:tcPr/>
          <w:p>
            <w:pPr>
              <w:pStyle w:val="Compact"/>
            </w:pPr>
            <w:r>
              <w:t xml:space="preserve">70–100</w:t>
            </w:r>
          </w:p>
        </w:tc>
        <w:tc>
          <w:tcPr/>
          <w:p>
            <w:pPr>
              <w:pStyle w:val="Compact"/>
            </w:pPr>
            <w:r>
              <w:rPr>
                <w:b/>
                <w:bCs/>
              </w:rPr>
              <w:t xml:space="preserve">High</w:t>
            </w:r>
          </w:p>
        </w:tc>
      </w:tr>
    </w:tbl>
    <w:p>
      <w:pPr>
        <w:pStyle w:val="BlockText"/>
      </w:pPr>
      <w:r>
        <w:rPr>
          <w:b/>
          <w:bCs/>
        </w:rPr>
        <w:t xml:space="preserve">Mandatory-high override:</w:t>
      </w:r>
      <w:r>
        <w:t xml:space="preserve"> </w:t>
      </w:r>
      <w:r>
        <w:t xml:space="preserve">regardless of total score, rate</w:t>
      </w:r>
      <w:r>
        <w:t xml:space="preserve"> </w:t>
      </w:r>
      <w:r>
        <w:rPr>
          <w:b/>
          <w:bCs/>
        </w:rPr>
        <w:t xml:space="preserve">High</w:t>
      </w:r>
      <w:r>
        <w:t xml:space="preserve"> </w:t>
      </w:r>
      <w:r>
        <w:t xml:space="preserve">immediately if any of: confirmed sanction hit, PEP UBO, high-risk MCC, FATF high-risk country (black/grey list), MATCH/Terminated Merchant File presence, or an un-identifiable nominee structure.</w:t>
      </w:r>
    </w:p>
    <w:p>
      <w:pPr>
        <w:pStyle w:val="BlockText"/>
      </w:pPr>
      <w:r>
        <w:rPr>
          <w:b/>
          <w:bCs/>
        </w:rPr>
        <w:t xml:space="preserve">Prohibited (reject):</w:t>
      </w:r>
      <w:r>
        <w:t xml:space="preserve"> </w:t>
      </w:r>
      <w:r>
        <w:t xml:space="preserve">confirmed sanction match (OFAC/UN/EU/AMLO lists), businesses illegal under Thai law, MCCs prohibited by sponsor-bank/scheme contract →</w:t>
      </w:r>
      <w:r>
        <w:t xml:space="preserve"> </w:t>
      </w:r>
      <w:r>
        <w:rPr>
          <w:b/>
          <w:bCs/>
        </w:rPr>
        <w:t xml:space="preserve">do not onboard</w:t>
      </w:r>
      <w:r>
        <w:t xml:space="preserve">.</w:t>
      </w:r>
    </w:p>
    <w:p>
      <w:r>
        <w:pict>
          <v:rect style="width:0;height:1.5pt" o:hralign="center" o:hrstd="t" o:hr="t"/>
        </w:pict>
      </w:r>
    </w:p>
    <w:bookmarkEnd w:id="294"/>
    <w:bookmarkEnd w:id="295"/>
    <w:bookmarkStart w:id="296" w:name="X04ea5dc443b4c927d4bcee208ce373a387309cb"/>
    <w:p>
      <w:pPr>
        <w:pStyle w:val="Heading2"/>
      </w:pPr>
      <w:r>
        <w:t xml:space="preserve">4. The Three Tiers — Definitions, Due Diligence, Controls</w:t>
      </w:r>
    </w:p>
    <w:tbl>
      <w:tblPr>
        <w:tblStyle w:val="Table"/>
        <w:tblW w:type="pct" w:w="5000"/>
        <w:tblLayout w:type="fixed"/>
        <w:tblLook w:firstRow="1" w:lastRow="0" w:firstColumn="0" w:lastColumn="0" w:noHBand="0" w:noVBand="0" w:val="0020"/>
      </w:tblPr>
      <w:tblGrid>
        <w:gridCol w:w="1284"/>
        <w:gridCol w:w="1926"/>
        <w:gridCol w:w="2568"/>
        <w:gridCol w:w="2140"/>
      </w:tblGrid>
      <w:tr>
        <w:trPr>
          <w:tblHeader w:val="on"/>
        </w:trPr>
        <w:tc>
          <w:tcPr/>
          <w:p>
            <w:pPr>
              <w:pStyle w:val="Compact"/>
            </w:pPr>
            <w:r>
              <w:t xml:space="preserve">Item</w:t>
            </w:r>
          </w:p>
        </w:tc>
        <w:tc>
          <w:tcPr/>
          <w:p>
            <w:pPr>
              <w:pStyle w:val="Compact"/>
            </w:pPr>
            <w:r>
              <w:rPr>
                <w:b/>
                <w:bCs/>
              </w:rPr>
              <w:t xml:space="preserve">Low</w:t>
            </w:r>
          </w:p>
        </w:tc>
        <w:tc>
          <w:tcPr/>
          <w:p>
            <w:pPr>
              <w:pStyle w:val="Compact"/>
            </w:pPr>
            <w:r>
              <w:rPr>
                <w:b/>
                <w:bCs/>
              </w:rPr>
              <w:t xml:space="preserve">Medium</w:t>
            </w:r>
          </w:p>
        </w:tc>
        <w:tc>
          <w:tcPr/>
          <w:p>
            <w:pPr>
              <w:pStyle w:val="Compact"/>
            </w:pPr>
            <w:r>
              <w:rPr>
                <w:b/>
                <w:bCs/>
              </w:rPr>
              <w:t xml:space="preserve">High</w:t>
            </w:r>
          </w:p>
        </w:tc>
      </w:tr>
      <w:tr>
        <w:tc>
          <w:tcPr/>
          <w:p>
            <w:pPr>
              <w:pStyle w:val="Compact"/>
            </w:pPr>
            <w:r>
              <w:rPr>
                <w:b/>
                <w:bCs/>
              </w:rPr>
              <w:t xml:space="preserve">Example merchants</w:t>
            </w:r>
          </w:p>
        </w:tc>
        <w:tc>
          <w:tcPr/>
          <w:p>
            <w:pPr>
              <w:pStyle w:val="Compact"/>
            </w:pPr>
            <w:r>
              <w:t xml:space="preserve">Thai-registered retailer, generic MCC, low ticket, instant delivery</w:t>
            </w:r>
          </w:p>
        </w:tc>
        <w:tc>
          <w:tcPr/>
          <w:p>
            <w:pPr>
              <w:pStyle w:val="Compact"/>
            </w:pPr>
            <w:r>
              <w:t xml:space="preserve">General e-commerce, subscription, mid volume, some CNP</w:t>
            </w:r>
          </w:p>
        </w:tc>
        <w:tc>
          <w:tcPr/>
          <w:p>
            <w:pPr>
              <w:pStyle w:val="Compact"/>
            </w:pPr>
            <w:r>
              <w:t xml:space="preserve">Cross-border, high-ticket, travel/ticketing, forex/crypto-adjacent, gaming, nutraceutical, high-risk MCC</w:t>
            </w:r>
          </w:p>
        </w:tc>
      </w:tr>
      <w:tr>
        <w:tc>
          <w:tcPr/>
          <w:p>
            <w:pPr>
              <w:pStyle w:val="Compact"/>
            </w:pPr>
            <w:r>
              <w:rPr>
                <w:b/>
                <w:bCs/>
              </w:rPr>
              <w:t xml:space="preserve">CDD level</w:t>
            </w:r>
          </w:p>
        </w:tc>
        <w:tc>
          <w:tcPr/>
          <w:p>
            <w:pPr>
              <w:pStyle w:val="Compact"/>
            </w:pPr>
            <w:r>
              <w:t xml:space="preserve">Standard CDD (no SDD — acquiring is inherently risk-bearing)</w:t>
            </w:r>
          </w:p>
        </w:tc>
        <w:tc>
          <w:tcPr/>
          <w:p>
            <w:pPr>
              <w:pStyle w:val="Compact"/>
            </w:pPr>
            <w:r>
              <w:t xml:space="preserve">Standard CDD + selective extras</w:t>
            </w:r>
          </w:p>
        </w:tc>
        <w:tc>
          <w:tcPr/>
          <w:p>
            <w:pPr>
              <w:pStyle w:val="Compact"/>
            </w:pPr>
            <w:r>
              <w:t xml:space="preserve">Full</w:t>
            </w:r>
            <w:r>
              <w:t xml:space="preserve"> </w:t>
            </w:r>
            <w:r>
              <w:rPr>
                <w:b/>
                <w:bCs/>
              </w:rPr>
              <w:t xml:space="preserve">Enhanced Due Diligence (EDD)</w:t>
            </w:r>
          </w:p>
        </w:tc>
      </w:tr>
      <w:tr>
        <w:tc>
          <w:tcPr/>
          <w:p>
            <w:pPr>
              <w:pStyle w:val="Compact"/>
            </w:pPr>
            <w:r>
              <w:rPr>
                <w:b/>
                <w:bCs/>
              </w:rPr>
              <w:t xml:space="preserve">Onboarding docs</w:t>
            </w:r>
          </w:p>
        </w:tc>
        <w:tc>
          <w:tcPr/>
          <w:p>
            <w:pPr>
              <w:pStyle w:val="Compact"/>
            </w:pPr>
            <w:r>
              <w:t xml:space="preserve">Company registration, director ID, settlement bank account, storefront/URL</w:t>
            </w:r>
          </w:p>
        </w:tc>
        <w:tc>
          <w:tcPr/>
          <w:p>
            <w:pPr>
              <w:pStyle w:val="Compact"/>
            </w:pPr>
            <w:r>
              <w:t xml:space="preserve">+ financials, ownership structure, sales projection</w:t>
            </w:r>
          </w:p>
        </w:tc>
        <w:tc>
          <w:tcPr/>
          <w:p>
            <w:pPr>
              <w:pStyle w:val="Compact"/>
            </w:pPr>
            <w:r>
              <w:t xml:space="preserve">+ UBO declaration &amp; evidence, source of funds/wealth, business-model deep-dive, sector licenses, site/website review</w:t>
            </w:r>
          </w:p>
        </w:tc>
      </w:tr>
      <w:tr>
        <w:tc>
          <w:tcPr/>
          <w:p>
            <w:pPr>
              <w:pStyle w:val="Compact"/>
            </w:pPr>
            <w:r>
              <w:rPr>
                <w:b/>
                <w:bCs/>
              </w:rPr>
              <w:t xml:space="preserve">Sanction/PEP/adverse-media screening</w:t>
            </w:r>
          </w:p>
        </w:tc>
        <w:tc>
          <w:tcPr/>
          <w:p>
            <w:pPr>
              <w:pStyle w:val="Compact"/>
            </w:pPr>
            <w:r>
              <w:t xml:space="preserve">At onboarding + daily rescreen vs updated lists</w:t>
            </w:r>
          </w:p>
        </w:tc>
        <w:tc>
          <w:tcPr/>
          <w:p>
            <w:pPr>
              <w:pStyle w:val="Compact"/>
            </w:pPr>
            <w:r>
              <w:t xml:space="preserve">Same as Low</w:t>
            </w:r>
          </w:p>
        </w:tc>
        <w:tc>
          <w:tcPr/>
          <w:p>
            <w:pPr>
              <w:pStyle w:val="Compact"/>
            </w:pPr>
            <w:r>
              <w:t xml:space="preserve">Same as Low + deep manual adverse-media review</w:t>
            </w:r>
          </w:p>
        </w:tc>
      </w:tr>
      <w:tr>
        <w:tc>
          <w:tcPr/>
          <w:p>
            <w:pPr>
              <w:pStyle w:val="Compact"/>
            </w:pPr>
            <w:r>
              <w:rPr>
                <w:b/>
                <w:bCs/>
              </w:rPr>
              <w:t xml:space="preserve">Approver</w:t>
            </w:r>
          </w:p>
        </w:tc>
        <w:tc>
          <w:tcPr/>
          <w:p>
            <w:pPr>
              <w:pStyle w:val="Compact"/>
            </w:pPr>
            <w:r>
              <w:t xml:space="preserve">Onboarding Officer (1st line)</w:t>
            </w:r>
          </w:p>
        </w:tc>
        <w:tc>
          <w:tcPr/>
          <w:p>
            <w:pPr>
              <w:pStyle w:val="Compact"/>
            </w:pPr>
            <w:r>
              <w:t xml:space="preserve">Onboarding Manager + Compliance review</w:t>
            </w:r>
          </w:p>
        </w:tc>
        <w:tc>
          <w:tcPr/>
          <w:p>
            <w:pPr>
              <w:pStyle w:val="Compact"/>
            </w:pPr>
            <w:r>
              <w:rPr>
                <w:b/>
                <w:bCs/>
              </w:rPr>
              <w:t xml:space="preserve">MLRO/CCO + AML Committee</w:t>
            </w:r>
            <w:r>
              <w:t xml:space="preserve"> </w:t>
            </w:r>
            <w:r>
              <w:t xml:space="preserve">(four-eyes)</w:t>
            </w:r>
          </w:p>
        </w:tc>
      </w:tr>
      <w:tr>
        <w:tc>
          <w:tcPr/>
          <w:p>
            <w:pPr>
              <w:pStyle w:val="Compact"/>
            </w:pPr>
            <w:r>
              <w:rPr>
                <w:b/>
                <w:bCs/>
              </w:rPr>
              <w:t xml:space="preserve">Transaction monitoring</w:t>
            </w:r>
          </w:p>
        </w:tc>
        <w:tc>
          <w:tcPr/>
          <w:p>
            <w:pPr>
              <w:pStyle w:val="Compact"/>
            </w:pPr>
            <w:r>
              <w:t xml:space="preserve">Standard rule-based</w:t>
            </w:r>
          </w:p>
        </w:tc>
        <w:tc>
          <w:tcPr/>
          <w:p>
            <w:pPr>
              <w:pStyle w:val="Compact"/>
            </w:pPr>
            <w:r>
              <w:t xml:space="preserve">Rule-based + tighter velocity</w:t>
            </w:r>
          </w:p>
        </w:tc>
        <w:tc>
          <w:tcPr/>
          <w:p>
            <w:pPr>
              <w:pStyle w:val="Compact"/>
            </w:pPr>
            <w:r>
              <w:t xml:space="preserve">Strictest rule-based + manual review + lower thresholds</w:t>
            </w:r>
          </w:p>
        </w:tc>
      </w:tr>
      <w:tr>
        <w:tc>
          <w:tcPr/>
          <w:p>
            <w:pPr>
              <w:pStyle w:val="Compact"/>
            </w:pPr>
            <w:r>
              <w:rPr>
                <w:b/>
                <w:bCs/>
              </w:rPr>
              <w:t xml:space="preserve">Reserve / holdback</w:t>
            </w:r>
          </w:p>
        </w:tc>
        <w:tc>
          <w:tcPr/>
          <w:p>
            <w:pPr>
              <w:pStyle w:val="Compact"/>
            </w:pPr>
            <w:r>
              <w:t xml:space="preserve">Generally none</w:t>
            </w:r>
          </w:p>
        </w:tc>
        <w:tc>
          <w:tcPr/>
          <w:p>
            <w:pPr>
              <w:pStyle w:val="Compact"/>
            </w:pPr>
            <w:r>
              <w:t xml:space="preserve">Possible rolling reserve per chargeback profile</w:t>
            </w:r>
          </w:p>
        </w:tc>
        <w:tc>
          <w:tcPr/>
          <w:p>
            <w:pPr>
              <w:pStyle w:val="Compact"/>
            </w:pPr>
            <w:r>
              <w:rPr>
                <w:b/>
                <w:bCs/>
              </w:rPr>
              <w:t xml:space="preserve">Rolling reserve / delayed settlement</w:t>
            </w:r>
            <w:r>
              <w:t xml:space="preserve"> </w:t>
            </w:r>
            <w:r>
              <w:t xml:space="preserve">by default (e.g. 5–10% held 90–180 days)</w:t>
            </w:r>
          </w:p>
        </w:tc>
      </w:tr>
      <w:tr>
        <w:tc>
          <w:tcPr/>
          <w:p>
            <w:pPr>
              <w:pStyle w:val="Compact"/>
            </w:pPr>
            <w:r>
              <w:rPr>
                <w:b/>
                <w:bCs/>
              </w:rPr>
              <w:t xml:space="preserve">3DS (EMV 3DS 2.x)</w:t>
            </w:r>
          </w:p>
        </w:tc>
        <w:tc>
          <w:tcPr/>
          <w:p>
            <w:pPr>
              <w:pStyle w:val="Compact"/>
            </w:pPr>
            <w:r>
              <w:t xml:space="preserve">Required for CNP</w:t>
            </w:r>
          </w:p>
        </w:tc>
        <w:tc>
          <w:tcPr/>
          <w:p>
            <w:pPr>
              <w:pStyle w:val="Compact"/>
            </w:pPr>
            <w:r>
              <w:t xml:space="preserve">Required</w:t>
            </w:r>
          </w:p>
        </w:tc>
        <w:tc>
          <w:tcPr/>
          <w:p>
            <w:pPr>
              <w:pStyle w:val="Compact"/>
            </w:pPr>
            <w:r>
              <w:t xml:space="preserve">Required + stricter step-up challenge</w:t>
            </w:r>
          </w:p>
        </w:tc>
      </w:tr>
      <w:tr>
        <w:tc>
          <w:tcPr/>
          <w:p>
            <w:pPr>
              <w:pStyle w:val="Compact"/>
            </w:pPr>
            <w:r>
              <w:rPr>
                <w:b/>
                <w:bCs/>
              </w:rPr>
              <w:t xml:space="preserve">Review cadence</w:t>
            </w:r>
          </w:p>
        </w:tc>
        <w:tc>
          <w:tcPr/>
          <w:p>
            <w:pPr>
              <w:pStyle w:val="Compact"/>
            </w:pPr>
            <w:r>
              <w:t xml:space="preserve">Every</w:t>
            </w:r>
            <w:r>
              <w:t xml:space="preserve"> </w:t>
            </w:r>
            <w:r>
              <w:rPr>
                <w:b/>
                <w:bCs/>
              </w:rPr>
              <w:t xml:space="preserve">36 months</w:t>
            </w:r>
          </w:p>
        </w:tc>
        <w:tc>
          <w:tcPr/>
          <w:p>
            <w:pPr>
              <w:pStyle w:val="Compact"/>
            </w:pPr>
            <w:r>
              <w:t xml:space="preserve">Every</w:t>
            </w:r>
            <w:r>
              <w:t xml:space="preserve"> </w:t>
            </w:r>
            <w:r>
              <w:rPr>
                <w:b/>
                <w:bCs/>
              </w:rPr>
              <w:t xml:space="preserve">12 months</w:t>
            </w:r>
          </w:p>
        </w:tc>
        <w:tc>
          <w:tcPr/>
          <w:p>
            <w:pPr>
              <w:pStyle w:val="Compact"/>
            </w:pPr>
            <w:r>
              <w:t xml:space="preserve">Every</w:t>
            </w:r>
            <w:r>
              <w:t xml:space="preserve"> </w:t>
            </w:r>
            <w:r>
              <w:rPr>
                <w:b/>
                <w:bCs/>
              </w:rPr>
              <w:t xml:space="preserve">6 months</w:t>
            </w:r>
            <w:r>
              <w:t xml:space="preserve"> </w:t>
            </w:r>
            <w:r>
              <w:t xml:space="preserve">(or sooner on trigger)</w:t>
            </w:r>
          </w:p>
        </w:tc>
      </w:tr>
    </w:tbl>
    <w:p>
      <w:pPr>
        <w:pStyle w:val="BlockText"/>
      </w:pPr>
      <w:r>
        <w:rPr>
          <w:b/>
          <w:bCs/>
        </w:rPr>
        <w:t xml:space="preserve">Note:</w:t>
      </w:r>
      <w:r>
        <w:t xml:space="preserve"> </w:t>
      </w:r>
      <w:r>
        <w:t xml:space="preserve">reserve %, hold periods, and thresholds are a proposed baseline (see TODO A6) — calibrate with the sponsor bank and real data.</w:t>
      </w:r>
    </w:p>
    <w:p>
      <w:r>
        <w:pict>
          <v:rect style="width:0;height:1.5pt" o:hralign="center" o:hrstd="t" o:hr="t"/>
        </w:pict>
      </w:r>
    </w:p>
    <w:bookmarkEnd w:id="296"/>
    <w:bookmarkStart w:id="297" w:name="mcc-merchant-category-code-risk"/>
    <w:p>
      <w:pPr>
        <w:pStyle w:val="Heading2"/>
      </w:pPr>
      <w:r>
        <w:t xml:space="preserve">5. MCC (Merchant Category Code) Risk</w:t>
      </w:r>
    </w:p>
    <w:p>
      <w:pPr>
        <w:pStyle w:val="FirstParagraph"/>
      </w:pPr>
      <w:r>
        <w:t xml:space="preserve">MCC carries the highest weight (30%). [บริษัท / Company] groups MCCs into 4 buckets, referencing card-scheme guidance and sponsor-bank terms (full map = TODO A7).</w:t>
      </w:r>
    </w:p>
    <w:tbl>
      <w:tblPr>
        <w:tblStyle w:val="Table"/>
        <w:tblW w:type="pct" w:w="5000"/>
        <w:tblLayout w:type="fixed"/>
        <w:tblLook w:firstRow="1" w:lastRow="0" w:firstColumn="0" w:lastColumn="0" w:noHBand="0" w:noVBand="0" w:val="0020"/>
      </w:tblPr>
      <w:tblGrid>
        <w:gridCol w:w="2066"/>
        <w:gridCol w:w="4132"/>
        <w:gridCol w:w="1721"/>
      </w:tblGrid>
      <w:tr>
        <w:trPr>
          <w:tblHeader w:val="on"/>
        </w:trPr>
        <w:tc>
          <w:tcPr/>
          <w:p>
            <w:pPr>
              <w:pStyle w:val="Compact"/>
            </w:pPr>
            <w:r>
              <w:t xml:space="preserve">MCC bucket</w:t>
            </w:r>
          </w:p>
        </w:tc>
        <w:tc>
          <w:tcPr/>
          <w:p>
            <w:pPr>
              <w:pStyle w:val="Compact"/>
            </w:pPr>
            <w:r>
              <w:t xml:space="preserve">Example MCC / business</w:t>
            </w:r>
          </w:p>
        </w:tc>
        <w:tc>
          <w:tcPr/>
          <w:p>
            <w:pPr>
              <w:pStyle w:val="Compact"/>
            </w:pPr>
            <w:r>
              <w:t xml:space="preserve">Handling</w:t>
            </w:r>
          </w:p>
        </w:tc>
      </w:tr>
      <w:tr>
        <w:tc>
          <w:tcPr/>
          <w:p>
            <w:pPr>
              <w:pStyle w:val="Compact"/>
            </w:pPr>
            <w:r>
              <w:rPr>
                <w:b/>
                <w:bCs/>
              </w:rPr>
              <w:t xml:space="preserve">Prohibited</w:t>
            </w:r>
          </w:p>
        </w:tc>
        <w:tc>
          <w:tcPr/>
          <w:p>
            <w:pPr>
              <w:pStyle w:val="Compact"/>
            </w:pPr>
            <w:r>
              <w:t xml:space="preserve">Businesses illegal under Thai law, CSAM, narcotics, illegal weapons, MCCs banned by sponsor/scheme</w:t>
            </w:r>
          </w:p>
        </w:tc>
        <w:tc>
          <w:tcPr/>
          <w:p>
            <w:pPr>
              <w:pStyle w:val="Compact"/>
            </w:pPr>
            <w:r>
              <w:rPr>
                <w:b/>
                <w:bCs/>
              </w:rPr>
              <w:t xml:space="preserve">Reject onboarding outright</w:t>
            </w:r>
          </w:p>
        </w:tc>
      </w:tr>
      <w:tr>
        <w:tc>
          <w:tcPr/>
          <w:p>
            <w:pPr>
              <w:pStyle w:val="Compact"/>
            </w:pPr>
            <w:r>
              <w:rPr>
                <w:b/>
                <w:bCs/>
              </w:rPr>
              <w:t xml:space="preserve">High-risk (EDD mandatory)</w:t>
            </w:r>
          </w:p>
        </w:tc>
        <w:tc>
          <w:tcPr/>
          <w:p>
            <w:pPr>
              <w:pStyle w:val="Compact"/>
            </w:pPr>
            <w:r>
              <w:t xml:space="preserve">7995 (gambling/betting), 6211 (securities/brokers), 5967 (inbound telemarketing/direct marketing), 4816/5734 (certain digital/hosting), travel &amp; ticketing (4722, 4511), timeshare, nutraceutical/supplements, forex, crypto on/off-ramp, adult (where legal), MLM</w:t>
            </w:r>
          </w:p>
        </w:tc>
        <w:tc>
          <w:tcPr/>
          <w:p>
            <w:pPr>
              <w:pStyle w:val="Compact"/>
            </w:pPr>
            <w:r>
              <w:t xml:space="preserve">Rate</w:t>
            </w:r>
            <w:r>
              <w:t xml:space="preserve"> </w:t>
            </w:r>
            <w:r>
              <w:rPr>
                <w:b/>
                <w:bCs/>
              </w:rPr>
              <w:t xml:space="preserve">High</w:t>
            </w:r>
            <w:r>
              <w:t xml:space="preserve">, EDD, rolling reserve, strictest monitoring, per-case approval + possible scheme registration (e.g. Visa GBPP / high-brand-risk)</w:t>
            </w:r>
          </w:p>
        </w:tc>
      </w:tr>
      <w:tr>
        <w:tc>
          <w:tcPr/>
          <w:p>
            <w:pPr>
              <w:pStyle w:val="Compact"/>
            </w:pPr>
            <w:r>
              <w:rPr>
                <w:b/>
                <w:bCs/>
              </w:rPr>
              <w:t xml:space="preserve">Medium-risk</w:t>
            </w:r>
          </w:p>
        </w:tc>
        <w:tc>
          <w:tcPr/>
          <w:p>
            <w:pPr>
              <w:pStyle w:val="Compact"/>
            </w:pPr>
            <w:r>
              <w:t xml:space="preserve">General e-commerce (5399, 5999), subscription/SaaS, electronics (5732), furniture, general services</w:t>
            </w:r>
          </w:p>
        </w:tc>
        <w:tc>
          <w:tcPr/>
          <w:p>
            <w:pPr>
              <w:pStyle w:val="Compact"/>
            </w:pPr>
            <w:r>
              <w:t xml:space="preserve">Default</w:t>
            </w:r>
            <w:r>
              <w:t xml:space="preserve"> </w:t>
            </w:r>
            <w:r>
              <w:rPr>
                <w:b/>
                <w:bCs/>
              </w:rPr>
              <w:t xml:space="preserve">Medium</w:t>
            </w:r>
            <w:r>
              <w:t xml:space="preserve">, standard CDD + extra monitoring</w:t>
            </w:r>
          </w:p>
        </w:tc>
      </w:tr>
      <w:tr>
        <w:tc>
          <w:tcPr/>
          <w:p>
            <w:pPr>
              <w:pStyle w:val="Compact"/>
            </w:pPr>
            <w:r>
              <w:rPr>
                <w:b/>
                <w:bCs/>
              </w:rPr>
              <w:t xml:space="preserve">Low-risk</w:t>
            </w:r>
          </w:p>
        </w:tc>
        <w:tc>
          <w:tcPr/>
          <w:p>
            <w:pPr>
              <w:pStyle w:val="Compact"/>
            </w:pPr>
            <w:r>
              <w:t xml:space="preserve">Restaurants (5812), grocery (5411), general storefront retail, utilities, registered charities</w:t>
            </w:r>
          </w:p>
        </w:tc>
        <w:tc>
          <w:tcPr/>
          <w:p>
            <w:pPr>
              <w:pStyle w:val="Compact"/>
            </w:pPr>
            <w:r>
              <w:t xml:space="preserve">Default</w:t>
            </w:r>
            <w:r>
              <w:t xml:space="preserve"> </w:t>
            </w:r>
            <w:r>
              <w:rPr>
                <w:b/>
                <w:bCs/>
              </w:rPr>
              <w:t xml:space="preserve">Low</w:t>
            </w:r>
          </w:p>
        </w:tc>
      </w:tr>
    </w:tbl>
    <w:p>
      <w:pPr>
        <w:pStyle w:val="BodyText"/>
      </w:pPr>
      <w:r>
        <w:rPr>
          <w:b/>
          <w:bCs/>
        </w:rPr>
        <w:t xml:space="preserve">MCC practices:</w:t>
      </w:r>
      <w:r>
        <w:t xml:space="preserve"> </w:t>
      </w:r>
      <w:r>
        <w:t xml:space="preserve">- The onboarding MCC must match the real business — no</w:t>
      </w:r>
      <w:r>
        <w:t xml:space="preserve"> </w:t>
      </w:r>
      <w:r>
        <w:rPr>
          <w:b/>
          <w:bCs/>
        </w:rPr>
        <w:t xml:space="preserve">miscoding / transaction laundering</w:t>
      </w:r>
      <w:r>
        <w:t xml:space="preserve"> </w:t>
      </w:r>
      <w:r>
        <w:t xml:space="preserve">(channeling another business’s transactions through the account).</w:t>
      </w:r>
      <w:r>
        <w:t xml:space="preserve"> </w:t>
      </w:r>
      <w:r>
        <w:t xml:space="preserve">- Detect MCC mismatch via monitoring (Section 6) — actual goods not matching MCC = red flag.</w:t>
      </w:r>
      <w:r>
        <w:t xml:space="preserve"> </w:t>
      </w:r>
      <w:r>
        <w:t xml:space="preserve">- High-brand-risk MCCs may require</w:t>
      </w:r>
      <w:r>
        <w:t xml:space="preserve"> </w:t>
      </w:r>
      <w:r>
        <w:rPr>
          <w:b/>
          <w:bCs/>
        </w:rPr>
        <w:t xml:space="preserve">scheme registration</w:t>
      </w:r>
      <w:r>
        <w:t xml:space="preserve">, fees, and program-specific controls (TODO A2).</w:t>
      </w:r>
    </w:p>
    <w:p>
      <w:r>
        <w:pict>
          <v:rect style="width:0;height:1.5pt" o:hralign="center" o:hrstd="t" o:hr="t"/>
        </w:pict>
      </w:r>
    </w:p>
    <w:bookmarkEnd w:id="297"/>
    <w:bookmarkStart w:id="301" w:name="monitoring-rules"/>
    <w:p>
      <w:pPr>
        <w:pStyle w:val="Heading2"/>
      </w:pPr>
      <w:r>
        <w:t xml:space="preserve">6. Monitoring Rules</w:t>
      </w:r>
    </w:p>
    <w:p>
      <w:pPr>
        <w:pStyle w:val="FirstParagraph"/>
      </w:pPr>
      <w:r>
        <w:t xml:space="preserve">Transaction monitoring runs on the rule engine (Risk/Fraud Engine in</w:t>
      </w:r>
      <w:r>
        <w:t xml:space="preserve"> </w:t>
      </w:r>
      <w:r>
        <w:rPr>
          <w:rStyle w:val="VerbatimChar"/>
        </w:rPr>
        <w:t xml:space="preserve">internal/service</w:t>
      </w:r>
      <w:r>
        <w:t xml:space="preserve">, per</w:t>
      </w:r>
      <w:r>
        <w:t xml:space="preserve"> </w:t>
      </w:r>
      <w:r>
        <w:rPr>
          <w:rStyle w:val="VerbatimChar"/>
        </w:rPr>
        <w:t xml:space="preserve">ARCHITECTURE.md</w:t>
      </w:r>
      <w:r>
        <w:t xml:space="preserve">): near-real-time for fraud/authorization and batch for AML patterns. Thresholds are tuned per MCC / risk tier.</w:t>
      </w:r>
    </w:p>
    <w:bookmarkStart w:id="298" w:name="X337a21371329b6f038c630a201e0ceac4f1fbb7"/>
    <w:p>
      <w:pPr>
        <w:pStyle w:val="Heading3"/>
      </w:pPr>
      <w:r>
        <w:t xml:space="preserve">6.1 Fraud / transaction rules (near-real-time, per authorization)</w:t>
      </w:r>
    </w:p>
    <w:tbl>
      <w:tblPr>
        <w:tblStyle w:val="Table"/>
        <w:tblW w:type="pct" w:w="5000"/>
        <w:tblLayout w:type="fixed"/>
        <w:tblLook w:firstRow="1" w:lastRow="0" w:firstColumn="0" w:lastColumn="0" w:noHBand="0" w:noVBand="0" w:val="0020"/>
      </w:tblPr>
      <w:tblGrid>
        <w:gridCol w:w="1485"/>
        <w:gridCol w:w="5115"/>
        <w:gridCol w:w="1320"/>
      </w:tblGrid>
      <w:tr>
        <w:trPr>
          <w:tblHeader w:val="on"/>
        </w:trPr>
        <w:tc>
          <w:tcPr/>
          <w:p>
            <w:pPr>
              <w:pStyle w:val="Compact"/>
            </w:pPr>
            <w:r>
              <w:t xml:space="preserve">Rule ID</w:t>
            </w:r>
          </w:p>
        </w:tc>
        <w:tc>
          <w:tcPr/>
          <w:p>
            <w:pPr>
              <w:pStyle w:val="Compact"/>
            </w:pPr>
            <w:r>
              <w:t xml:space="preserve">Condition (baseline — see A6)</w:t>
            </w:r>
          </w:p>
        </w:tc>
        <w:tc>
          <w:tcPr/>
          <w:p>
            <w:pPr>
              <w:pStyle w:val="Compact"/>
            </w:pPr>
            <w:r>
              <w:t xml:space="preserve">Action</w:t>
            </w:r>
          </w:p>
        </w:tc>
      </w:tr>
      <w:tr>
        <w:tc>
          <w:tcPr/>
          <w:p>
            <w:pPr>
              <w:pStyle w:val="Compact"/>
            </w:pPr>
            <w:r>
              <w:rPr>
                <w:b/>
                <w:bCs/>
              </w:rPr>
              <w:t xml:space="preserve">VEL-01</w:t>
            </w:r>
          </w:p>
        </w:tc>
        <w:tc>
          <w:tcPr/>
          <w:p>
            <w:pPr>
              <w:pStyle w:val="Compact"/>
            </w:pPr>
            <w:r>
              <w:t xml:space="preserve">&gt; 5 transactions on one card in 10 min</w:t>
            </w:r>
          </w:p>
        </w:tc>
        <w:tc>
          <w:tcPr/>
          <w:p>
            <w:pPr>
              <w:pStyle w:val="Compact"/>
            </w:pPr>
            <w:r>
              <w:t xml:space="preserve">Soft-decline + review</w:t>
            </w:r>
          </w:p>
        </w:tc>
      </w:tr>
      <w:tr>
        <w:tc>
          <w:tcPr/>
          <w:p>
            <w:pPr>
              <w:pStyle w:val="Compact"/>
            </w:pPr>
            <w:r>
              <w:rPr>
                <w:b/>
                <w:bCs/>
              </w:rPr>
              <w:t xml:space="preserve">VEL-02</w:t>
            </w:r>
          </w:p>
        </w:tc>
        <w:tc>
          <w:tcPr/>
          <w:p>
            <w:pPr>
              <w:pStyle w:val="Compact"/>
            </w:pPr>
            <w:r>
              <w:t xml:space="preserve">&gt; 3 distinct cards from one device/IP in 1 hr</w:t>
            </w:r>
          </w:p>
        </w:tc>
        <w:tc>
          <w:tcPr/>
          <w:p>
            <w:pPr>
              <w:pStyle w:val="Compact"/>
            </w:pPr>
            <w:r>
              <w:t xml:space="preserve">Challenge (3DS step-up) + flag</w:t>
            </w:r>
          </w:p>
        </w:tc>
      </w:tr>
      <w:tr>
        <w:tc>
          <w:tcPr/>
          <w:p>
            <w:pPr>
              <w:pStyle w:val="Compact"/>
            </w:pPr>
            <w:r>
              <w:rPr>
                <w:b/>
                <w:bCs/>
              </w:rPr>
              <w:t xml:space="preserve">AMT-01</w:t>
            </w:r>
          </w:p>
        </w:tc>
        <w:tc>
          <w:tcPr/>
          <w:p>
            <w:pPr>
              <w:pStyle w:val="Compact"/>
            </w:pPr>
            <w:r>
              <w:t xml:space="preserve">Single transaction &gt; 3× merchant average ticket</w:t>
            </w:r>
          </w:p>
        </w:tc>
        <w:tc>
          <w:tcPr/>
          <w:p>
            <w:pPr>
              <w:pStyle w:val="Compact"/>
            </w:pPr>
            <w:r>
              <w:t xml:space="preserve">Hold + manual review</w:t>
            </w:r>
          </w:p>
        </w:tc>
      </w:tr>
      <w:tr>
        <w:tc>
          <w:tcPr/>
          <w:p>
            <w:pPr>
              <w:pStyle w:val="Compact"/>
            </w:pPr>
            <w:r>
              <w:rPr>
                <w:b/>
                <w:bCs/>
              </w:rPr>
              <w:t xml:space="preserve">CBK-01</w:t>
            </w:r>
          </w:p>
        </w:tc>
        <w:tc>
          <w:tcPr/>
          <w:p>
            <w:pPr>
              <w:pStyle w:val="Compact"/>
            </w:pPr>
            <w:r>
              <w:t xml:space="preserve">Merchant chargeback ratio &gt; 0.9%/month</w:t>
            </w:r>
          </w:p>
        </w:tc>
        <w:tc>
          <w:tcPr/>
          <w:p>
            <w:pPr>
              <w:pStyle w:val="Compact"/>
            </w:pPr>
            <w:r>
              <w:t xml:space="preserve">Watchlist + review; near Visa VDMP / Mastercard ECP thresholds</w:t>
            </w:r>
          </w:p>
        </w:tc>
      </w:tr>
      <w:tr>
        <w:tc>
          <w:tcPr/>
          <w:p>
            <w:pPr>
              <w:pStyle w:val="Compact"/>
            </w:pPr>
            <w:r>
              <w:rPr>
                <w:b/>
                <w:bCs/>
              </w:rPr>
              <w:t xml:space="preserve">DECL-01</w:t>
            </w:r>
          </w:p>
        </w:tc>
        <w:tc>
          <w:tcPr/>
          <w:p>
            <w:pPr>
              <w:pStyle w:val="Compact"/>
            </w:pPr>
            <w:r>
              <w:t xml:space="preserve">Authorization decline rate &gt; 20% in 24 hr (card-testing signal)</w:t>
            </w:r>
          </w:p>
        </w:tc>
        <w:tc>
          <w:tcPr/>
          <w:p>
            <w:pPr>
              <w:pStyle w:val="Compact"/>
            </w:pPr>
            <w:r>
              <w:t xml:space="preserve">Throttle + alert</w:t>
            </w:r>
          </w:p>
        </w:tc>
      </w:tr>
      <w:tr>
        <w:tc>
          <w:tcPr/>
          <w:p>
            <w:pPr>
              <w:pStyle w:val="Compact"/>
            </w:pPr>
            <w:r>
              <w:rPr>
                <w:b/>
                <w:bCs/>
              </w:rPr>
              <w:t xml:space="preserve">GEO-01</w:t>
            </w:r>
          </w:p>
        </w:tc>
        <w:tc>
          <w:tcPr/>
          <w:p>
            <w:pPr>
              <w:pStyle w:val="Compact"/>
            </w:pPr>
            <w:r>
              <w:t xml:space="preserve">High share of buyer IP/BIN-country mismatch vs shipping/MCC</w:t>
            </w:r>
          </w:p>
        </w:tc>
        <w:tc>
          <w:tcPr/>
          <w:p>
            <w:pPr>
              <w:pStyle w:val="Compact"/>
            </w:pPr>
            <w:r>
              <w:t xml:space="preserve">Flag + EDD trigger</w:t>
            </w:r>
          </w:p>
        </w:tc>
      </w:tr>
      <w:tr>
        <w:tc>
          <w:tcPr/>
          <w:p>
            <w:pPr>
              <w:pStyle w:val="Compact"/>
            </w:pPr>
            <w:r>
              <w:rPr>
                <w:b/>
                <w:bCs/>
              </w:rPr>
              <w:t xml:space="preserve">MCC-01</w:t>
            </w:r>
          </w:p>
        </w:tc>
        <w:tc>
          <w:tcPr/>
          <w:p>
            <w:pPr>
              <w:pStyle w:val="Compact"/>
            </w:pPr>
            <w:r>
              <w:t xml:space="preserve">Goods/transaction pattern inconsistent with declared MCC (transaction laundering)</w:t>
            </w:r>
          </w:p>
        </w:tc>
        <w:tc>
          <w:tcPr/>
          <w:p>
            <w:pPr>
              <w:pStyle w:val="Compact"/>
            </w:pPr>
            <w:r>
              <w:t xml:space="preserve">Freeze payout + investigation</w:t>
            </w:r>
          </w:p>
        </w:tc>
      </w:tr>
    </w:tbl>
    <w:bookmarkEnd w:id="298"/>
    <w:bookmarkStart w:id="299" w:name="aml-rules-batch-pattern-based"/>
    <w:p>
      <w:pPr>
        <w:pStyle w:val="Heading3"/>
      </w:pPr>
      <w:r>
        <w:t xml:space="preserve">6.2 AML rules (batch / pattern-based)</w:t>
      </w:r>
    </w:p>
    <w:tbl>
      <w:tblPr>
        <w:tblStyle w:val="Table"/>
        <w:tblW w:type="pct" w:w="5000"/>
        <w:tblLayout w:type="fixed"/>
        <w:tblLook w:firstRow="1" w:lastRow="0" w:firstColumn="0" w:lastColumn="0" w:noHBand="0" w:noVBand="0" w:val="0020"/>
      </w:tblPr>
      <w:tblGrid>
        <w:gridCol w:w="2545"/>
        <w:gridCol w:w="3111"/>
        <w:gridCol w:w="2262"/>
      </w:tblGrid>
      <w:tr>
        <w:trPr>
          <w:tblHeader w:val="on"/>
        </w:trPr>
        <w:tc>
          <w:tcPr/>
          <w:p>
            <w:pPr>
              <w:pStyle w:val="Compact"/>
            </w:pPr>
            <w:r>
              <w:t xml:space="preserve">Rule ID</w:t>
            </w:r>
          </w:p>
        </w:tc>
        <w:tc>
          <w:tcPr/>
          <w:p>
            <w:pPr>
              <w:pStyle w:val="Compact"/>
            </w:pPr>
            <w:r>
              <w:t xml:space="preserve">Condition</w:t>
            </w:r>
          </w:p>
        </w:tc>
        <w:tc>
          <w:tcPr/>
          <w:p>
            <w:pPr>
              <w:pStyle w:val="Compact"/>
            </w:pPr>
            <w:r>
              <w:t xml:space="preserve">Action</w:t>
            </w:r>
          </w:p>
        </w:tc>
      </w:tr>
      <w:tr>
        <w:tc>
          <w:tcPr/>
          <w:p>
            <w:pPr>
              <w:pStyle w:val="Compact"/>
            </w:pPr>
            <w:r>
              <w:rPr>
                <w:b/>
                <w:bCs/>
              </w:rPr>
              <w:t xml:space="preserve">AML-STR-01</w:t>
            </w:r>
          </w:p>
        </w:tc>
        <w:tc>
          <w:tcPr/>
          <w:p>
            <w:pPr>
              <w:pStyle w:val="Compact"/>
            </w:pPr>
            <w:r>
              <w:t xml:space="preserve">Transaction pattern abnormal/unjustified vs profile (e.g. structuring, unexplained spikes)</w:t>
            </w:r>
          </w:p>
        </w:tc>
        <w:tc>
          <w:tcPr/>
          <w:p>
            <w:pPr>
              <w:pStyle w:val="Compact"/>
            </w:pPr>
            <w:r>
              <w:t xml:space="preserve">Internal investigation → if grounded,</w:t>
            </w:r>
            <w:r>
              <w:t xml:space="preserve"> </w:t>
            </w:r>
            <w:r>
              <w:rPr>
                <w:b/>
                <w:bCs/>
              </w:rPr>
              <w:t xml:space="preserve">file STR to AMLO</w:t>
            </w:r>
          </w:p>
        </w:tc>
      </w:tr>
      <w:tr>
        <w:tc>
          <w:tcPr/>
          <w:p>
            <w:pPr>
              <w:pStyle w:val="Compact"/>
            </w:pPr>
            <w:r>
              <w:rPr>
                <w:b/>
                <w:bCs/>
              </w:rPr>
              <w:t xml:space="preserve">AML-SCR-01</w:t>
            </w:r>
          </w:p>
        </w:tc>
        <w:tc>
          <w:tcPr/>
          <w:p>
            <w:pPr>
              <w:pStyle w:val="Compact"/>
            </w:pPr>
            <w:r>
              <w:t xml:space="preserve">Counterparty/payee matches sanction/PEP list (daily rescreen)</w:t>
            </w:r>
          </w:p>
        </w:tc>
        <w:tc>
          <w:tcPr/>
          <w:p>
            <w:pPr>
              <w:pStyle w:val="Compact"/>
            </w:pPr>
            <w:r>
              <w:t xml:space="preserve">Freeze + escalate to MLRO</w:t>
            </w:r>
          </w:p>
        </w:tc>
      </w:tr>
      <w:tr>
        <w:tc>
          <w:tcPr/>
          <w:p>
            <w:pPr>
              <w:pStyle w:val="Compact"/>
            </w:pPr>
            <w:r>
              <w:rPr>
                <w:b/>
                <w:bCs/>
              </w:rPr>
              <w:t xml:space="preserve">AML-VOL-01</w:t>
            </w:r>
          </w:p>
        </w:tc>
        <w:tc>
          <w:tcPr/>
          <w:p>
            <w:pPr>
              <w:pStyle w:val="Compact"/>
            </w:pPr>
            <w:r>
              <w:t xml:space="preserve">Actual volume materially exceeds declared projection (e.g. &gt; 200%)</w:t>
            </w:r>
          </w:p>
        </w:tc>
        <w:tc>
          <w:tcPr/>
          <w:p>
            <w:pPr>
              <w:pStyle w:val="Compact"/>
            </w:pPr>
            <w:r>
              <w:t xml:space="preserve">Re-underwrite + rescore</w:t>
            </w:r>
          </w:p>
        </w:tc>
      </w:tr>
      <w:tr>
        <w:tc>
          <w:tcPr/>
          <w:p>
            <w:pPr>
              <w:pStyle w:val="Compact"/>
            </w:pPr>
            <w:r>
              <w:rPr>
                <w:b/>
                <w:bCs/>
              </w:rPr>
              <w:t xml:space="preserve">AML-RFD-01</w:t>
            </w:r>
          </w:p>
        </w:tc>
        <w:tc>
          <w:tcPr/>
          <w:p>
            <w:pPr>
              <w:pStyle w:val="Compact"/>
            </w:pPr>
            <w:r>
              <w:t xml:space="preserve">Abnormally high refund/reversal rate (money-movement / bust-out signal)</w:t>
            </w:r>
          </w:p>
        </w:tc>
        <w:tc>
          <w:tcPr/>
          <w:p>
            <w:pPr>
              <w:pStyle w:val="Compact"/>
            </w:pPr>
            <w:r>
              <w:t xml:space="preserve">Hold + review</w:t>
            </w:r>
          </w:p>
        </w:tc>
      </w:tr>
    </w:tbl>
    <w:p>
      <w:pPr>
        <w:pStyle w:val="BlockText"/>
      </w:pPr>
      <w:r>
        <w:rPr>
          <w:b/>
          <w:bCs/>
        </w:rPr>
        <w:t xml:space="preserve">Statutory reporting:</w:t>
      </w:r>
      <w:r>
        <w:t xml:space="preserve"> </w:t>
      </w:r>
      <w:r>
        <w:t xml:space="preserve">suspicious transactions must be reported via</w:t>
      </w:r>
      <w:r>
        <w:t xml:space="preserve"> </w:t>
      </w:r>
      <w:r>
        <w:rPr>
          <w:b/>
          <w:bCs/>
        </w:rPr>
        <w:t xml:space="preserve">STR to the AMLO Office</w:t>
      </w:r>
      <w:r>
        <w:t xml:space="preserve">, plus threshold-based transaction reports as required by law — the MLRO owns this.</w:t>
      </w:r>
      <w:r>
        <w:t xml:space="preserve"> </w:t>
      </w:r>
      <w:r>
        <w:rPr>
          <w:b/>
          <w:bCs/>
        </w:rPr>
        <w:t xml:space="preserve">No tipping-off</w:t>
      </w:r>
      <w:r>
        <w:t xml:space="preserve"> </w:t>
      </w:r>
      <w:r>
        <w:t xml:space="preserve">the customer.</w:t>
      </w:r>
    </w:p>
    <w:bookmarkEnd w:id="299"/>
    <w:bookmarkStart w:id="300" w:name="case-management"/>
    <w:p>
      <w:pPr>
        <w:pStyle w:val="Heading3"/>
      </w:pPr>
      <w:r>
        <w:t xml:space="preserve">6.3 Case management</w:t>
      </w:r>
    </w:p>
    <w:p>
      <w:pPr>
        <w:pStyle w:val="Compact"/>
        <w:numPr>
          <w:ilvl w:val="0"/>
          <w:numId w:val="1115"/>
        </w:numPr>
      </w:pPr>
      <w:r>
        <w:t xml:space="preserve">Every alert opens a</w:t>
      </w:r>
      <w:r>
        <w:t xml:space="preserve"> </w:t>
      </w:r>
      <w:r>
        <w:rPr>
          <w:b/>
          <w:bCs/>
        </w:rPr>
        <w:t xml:space="preserve">case</w:t>
      </w:r>
      <w:r>
        <w:t xml:space="preserve"> </w:t>
      </w:r>
      <w:r>
        <w:t xml:space="preserve">with SLA: High-risk merchant closed within</w:t>
      </w:r>
      <w:r>
        <w:t xml:space="preserve"> </w:t>
      </w:r>
      <w:r>
        <w:rPr>
          <w:b/>
          <w:bCs/>
        </w:rPr>
        <w:t xml:space="preserve">2 business days</w:t>
      </w:r>
      <w:r>
        <w:t xml:space="preserve">, Medium within</w:t>
      </w:r>
      <w:r>
        <w:t xml:space="preserve"> </w:t>
      </w:r>
      <w:r>
        <w:rPr>
          <w:b/>
          <w:bCs/>
        </w:rPr>
        <w:t xml:space="preserve">5 business days</w:t>
      </w:r>
      <w:r>
        <w:t xml:space="preserve">.</w:t>
      </w:r>
    </w:p>
    <w:p>
      <w:pPr>
        <w:pStyle w:val="Compact"/>
        <w:numPr>
          <w:ilvl w:val="0"/>
          <w:numId w:val="1115"/>
        </w:numPr>
      </w:pPr>
      <w:r>
        <w:t xml:space="preserve">Escalation: 1st line (analyst) → 2nd line (Compliance/MLRO) → AML Committee.</w:t>
      </w:r>
    </w:p>
    <w:p>
      <w:pPr>
        <w:pStyle w:val="Compact"/>
        <w:numPr>
          <w:ilvl w:val="0"/>
          <w:numId w:val="1115"/>
        </w:numPr>
      </w:pPr>
      <w:r>
        <w:t xml:space="preserve">Every decision (clear/escalate/report/terminate) is logged to</w:t>
      </w:r>
      <w:r>
        <w:t xml:space="preserve"> </w:t>
      </w:r>
      <w:r>
        <w:rPr>
          <w:rStyle w:val="VerbatimChar"/>
        </w:rPr>
        <w:t xml:space="preserve">audit_log</w:t>
      </w:r>
      <w:r>
        <w:t xml:space="preserve"> </w:t>
      </w:r>
      <w:r>
        <w:t xml:space="preserve">with rationale (auditable per PCI Req 10 and BOT requirements).</w:t>
      </w:r>
    </w:p>
    <w:p>
      <w:r>
        <w:pict>
          <v:rect style="width:0;height:1.5pt" o:hralign="center" o:hrstd="t" o:hr="t"/>
        </w:pict>
      </w:r>
    </w:p>
    <w:bookmarkEnd w:id="300"/>
    <w:bookmarkEnd w:id="301"/>
    <w:bookmarkStart w:id="305" w:name="review-cadence-trigger-events"/>
    <w:p>
      <w:pPr>
        <w:pStyle w:val="Heading2"/>
      </w:pPr>
      <w:r>
        <w:t xml:space="preserve">7. Review Cadence &amp; Trigger Events</w:t>
      </w:r>
    </w:p>
    <w:bookmarkStart w:id="302" w:name="periodic-review"/>
    <w:p>
      <w:pPr>
        <w:pStyle w:val="Heading3"/>
      </w:pPr>
      <w:r>
        <w:t xml:space="preserve">7.1 Periodic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Full review (KYC refresh + rescore)</w:t>
            </w:r>
          </w:p>
        </w:tc>
      </w:tr>
      <w:tr>
        <w:tc>
          <w:tcPr/>
          <w:p>
            <w:pPr>
              <w:pStyle w:val="Compact"/>
            </w:pPr>
            <w:r>
              <w:t xml:space="preserve">Low</w:t>
            </w:r>
          </w:p>
        </w:tc>
        <w:tc>
          <w:tcPr/>
          <w:p>
            <w:pPr>
              <w:pStyle w:val="Compact"/>
            </w:pPr>
            <w:r>
              <w:t xml:space="preserve">Every</w:t>
            </w:r>
            <w:r>
              <w:t xml:space="preserve"> </w:t>
            </w:r>
            <w:r>
              <w:rPr>
                <w:b/>
                <w:bCs/>
              </w:rPr>
              <w:t xml:space="preserve">36 months</w:t>
            </w:r>
          </w:p>
        </w:tc>
      </w:tr>
      <w:tr>
        <w:tc>
          <w:tcPr/>
          <w:p>
            <w:pPr>
              <w:pStyle w:val="Compact"/>
            </w:pPr>
            <w:r>
              <w:t xml:space="preserve">Medium</w:t>
            </w:r>
          </w:p>
        </w:tc>
        <w:tc>
          <w:tcPr/>
          <w:p>
            <w:pPr>
              <w:pStyle w:val="Compact"/>
            </w:pPr>
            <w:r>
              <w:t xml:space="preserve">Every</w:t>
            </w:r>
            <w:r>
              <w:t xml:space="preserve"> </w:t>
            </w:r>
            <w:r>
              <w:rPr>
                <w:b/>
                <w:bCs/>
              </w:rPr>
              <w:t xml:space="preserve">12 months</w:t>
            </w:r>
          </w:p>
        </w:tc>
      </w:tr>
      <w:tr>
        <w:tc>
          <w:tcPr/>
          <w:p>
            <w:pPr>
              <w:pStyle w:val="Compact"/>
            </w:pPr>
            <w:r>
              <w:t xml:space="preserve">High</w:t>
            </w:r>
          </w:p>
        </w:tc>
        <w:tc>
          <w:tcPr/>
          <w:p>
            <w:pPr>
              <w:pStyle w:val="Compact"/>
            </w:pPr>
            <w:r>
              <w:t xml:space="preserve">Every</w:t>
            </w:r>
            <w:r>
              <w:t xml:space="preserve"> </w:t>
            </w:r>
            <w:r>
              <w:rPr>
                <w:b/>
                <w:bCs/>
              </w:rPr>
              <w:t xml:space="preserve">6 months</w:t>
            </w:r>
          </w:p>
        </w:tc>
      </w:tr>
    </w:tbl>
    <w:p>
      <w:pPr>
        <w:pStyle w:val="Compact"/>
        <w:numPr>
          <w:ilvl w:val="0"/>
          <w:numId w:val="1116"/>
        </w:numPr>
      </w:pPr>
      <w:r>
        <w:rPr>
          <w:b/>
          <w:bCs/>
        </w:rPr>
        <w:t xml:space="preserve">Sanction/PEP rescreening:</w:t>
      </w:r>
      <w:r>
        <w:t xml:space="preserve"> </w:t>
      </w:r>
      <w:r>
        <w:rPr>
          <w:b/>
          <w:bCs/>
        </w:rPr>
        <w:t xml:space="preserve">daily</w:t>
      </w:r>
      <w:r>
        <w:t xml:space="preserve"> </w:t>
      </w:r>
      <w:r>
        <w:t xml:space="preserve">for all tiers vs updated lists (independent of the periodic cycle).</w:t>
      </w:r>
    </w:p>
    <w:p>
      <w:pPr>
        <w:pStyle w:val="Compact"/>
        <w:numPr>
          <w:ilvl w:val="0"/>
          <w:numId w:val="1116"/>
        </w:numPr>
      </w:pPr>
      <w:r>
        <w:rPr>
          <w:b/>
          <w:bCs/>
        </w:rPr>
        <w:t xml:space="preserve">Portfolio review:</w:t>
      </w:r>
      <w:r>
        <w:t xml:space="preserve"> </w:t>
      </w:r>
      <w:r>
        <w:t xml:space="preserve">Compliance reviews the whole portfolio</w:t>
      </w:r>
      <w:r>
        <w:t xml:space="preserve"> </w:t>
      </w:r>
      <w:r>
        <w:rPr>
          <w:b/>
          <w:bCs/>
        </w:rPr>
        <w:t xml:space="preserve">quarterly</w:t>
      </w:r>
      <w:r>
        <w:t xml:space="preserve"> </w:t>
      </w:r>
      <w:r>
        <w:t xml:space="preserve">and reports to the Risk Committee.</w:t>
      </w:r>
    </w:p>
    <w:bookmarkEnd w:id="302"/>
    <w:bookmarkStart w:id="303" w:name="event-driven-trigger-review"/>
    <w:p>
      <w:pPr>
        <w:pStyle w:val="Heading3"/>
      </w:pPr>
      <w:r>
        <w:t xml:space="preserve">7.2 Event-driven / trigger review</w:t>
      </w:r>
    </w:p>
    <w:p>
      <w:pPr>
        <w:pStyle w:val="FirstParagraph"/>
      </w:pPr>
      <w:r>
        <w:t xml:space="preserve">Re-score immediately (within 5 business days) on:</w:t>
      </w:r>
      <w:r>
        <w:t xml:space="preserve"> </w:t>
      </w:r>
      <w:r>
        <w:t xml:space="preserve">- New sanction/PEP/adverse-media hit</w:t>
      </w:r>
      <w:r>
        <w:t xml:space="preserve"> </w:t>
      </w:r>
      <w:r>
        <w:t xml:space="preserve">- Chargeback/fraud/decline ratio breaching thresholds (Section 6)</w:t>
      </w:r>
      <w:r>
        <w:t xml:space="preserve"> </w:t>
      </w:r>
      <w:r>
        <w:t xml:space="preserve">- Material change: MCC, UBO/directors, business model, transaction-volume spike</w:t>
      </w:r>
      <w:r>
        <w:t xml:space="preserve"> </w:t>
      </w:r>
      <w:r>
        <w:t xml:space="preserve">- Request/order from an authority (BOT, AMLO, police, court)</w:t>
      </w:r>
      <w:r>
        <w:t xml:space="preserve"> </w:t>
      </w:r>
      <w:r>
        <w:t xml:space="preserve">- Outcome of an STR / internal investigation</w:t>
      </w:r>
    </w:p>
    <w:bookmarkEnd w:id="303"/>
    <w:bookmarkStart w:id="304" w:name="review-outcomes"/>
    <w:p>
      <w:pPr>
        <w:pStyle w:val="Heading3"/>
      </w:pPr>
      <w:r>
        <w:t xml:space="preserve">7.3 Review outcomes</w:t>
      </w:r>
    </w:p>
    <w:p>
      <w:pPr>
        <w:pStyle w:val="FirstParagraph"/>
      </w:pPr>
      <w:r>
        <w:t xml:space="preserve">Keep tier / upgrade (add EDD, reserve, lower limits) / downgrade (with supporting evidence) /</w:t>
      </w:r>
      <w:r>
        <w:t xml:space="preserve"> </w:t>
      </w:r>
      <w:r>
        <w:rPr>
          <w:b/>
          <w:bCs/>
        </w:rPr>
        <w:t xml:space="preserve">exit (offboard/terminate)</w:t>
      </w:r>
      <w:r>
        <w:t xml:space="preserve"> </w:t>
      </w:r>
      <w:r>
        <w:t xml:space="preserve">with scheme notification (MATCH) where applicable.</w:t>
      </w:r>
    </w:p>
    <w:p>
      <w:r>
        <w:pict>
          <v:rect style="width:0;height:1.5pt" o:hralign="center" o:hrstd="t" o:hr="t"/>
        </w:pict>
      </w:r>
    </w:p>
    <w:bookmarkEnd w:id="304"/>
    <w:bookmarkEnd w:id="305"/>
    <w:bookmarkStart w:id="306" w:name="roles-responsibilities-raci"/>
    <w:p>
      <w:pPr>
        <w:pStyle w:val="Heading2"/>
      </w:pPr>
      <w:r>
        <w:t xml:space="preserve">8. Roles &amp; Responsibilities (RACI)</w:t>
      </w:r>
    </w:p>
    <w:tbl>
      <w:tblPr>
        <w:tblStyle w:val="Table"/>
        <w:tblW w:type="pct" w:w="5000"/>
        <w:tblLayout w:type="fixed"/>
        <w:tblLook w:firstRow="1" w:lastRow="0" w:firstColumn="0" w:lastColumn="0" w:noHBand="0" w:noVBand="0" w:val="0020"/>
      </w:tblPr>
      <w:tblGrid>
        <w:gridCol w:w="3168"/>
        <w:gridCol w:w="1584"/>
        <w:gridCol w:w="1584"/>
        <w:gridCol w:w="1584"/>
      </w:tblGrid>
      <w:tr>
        <w:trPr>
          <w:tblHeader w:val="on"/>
        </w:trPr>
        <w:tc>
          <w:tcPr/>
          <w:p>
            <w:pPr>
              <w:pStyle w:val="Compact"/>
            </w:pPr>
            <w:r>
              <w:t xml:space="preserve">Activity</w:t>
            </w:r>
          </w:p>
        </w:tc>
        <w:tc>
          <w:tcPr/>
          <w:p>
            <w:pPr>
              <w:pStyle w:val="Compact"/>
              <w:jc w:val="center"/>
            </w:pPr>
            <w:r>
              <w:t xml:space="preserve">1st line (Onboarding/Ops)</w:t>
            </w:r>
          </w:p>
        </w:tc>
        <w:tc>
          <w:tcPr/>
          <w:p>
            <w:pPr>
              <w:pStyle w:val="Compact"/>
              <w:jc w:val="center"/>
            </w:pPr>
            <w:r>
              <w:t xml:space="preserve">2nd line (Compliance/MLRO/Risk)</w:t>
            </w:r>
          </w:p>
        </w:tc>
        <w:tc>
          <w:tcPr/>
          <w:p>
            <w:pPr>
              <w:pStyle w:val="Compact"/>
              <w:jc w:val="center"/>
            </w:pPr>
            <w:r>
              <w:t xml:space="preserve">3rd line (Internal Audit)</w:t>
            </w:r>
          </w:p>
        </w:tc>
      </w:tr>
      <w:tr>
        <w:tc>
          <w:tcPr/>
          <w:p>
            <w:pPr>
              <w:pStyle w:val="Compact"/>
            </w:pPr>
            <w:r>
              <w:t xml:space="preserve">Collect KYC docs</w:t>
            </w:r>
          </w:p>
        </w:tc>
        <w:tc>
          <w:tcPr/>
          <w:p>
            <w:pPr>
              <w:pStyle w:val="Compact"/>
              <w:jc w:val="center"/>
            </w:pPr>
            <w:r>
              <w:rPr>
                <w:b/>
                <w:bCs/>
              </w:rPr>
              <w:t xml:space="preserve">R</w:t>
            </w:r>
          </w:p>
        </w:tc>
        <w:tc>
          <w:tcPr/>
          <w:p>
            <w:pPr>
              <w:pStyle w:val="Compact"/>
              <w:jc w:val="center"/>
            </w:pPr>
            <w:r>
              <w:t xml:space="preserve">C</w:t>
            </w:r>
          </w:p>
        </w:tc>
        <w:tc>
          <w:tcPr/>
          <w:p>
            <w:pPr>
              <w:pStyle w:val="Compact"/>
              <w:jc w:val="center"/>
            </w:pPr>
            <w:r>
              <w:t xml:space="preserve">I</w:t>
            </w:r>
          </w:p>
        </w:tc>
      </w:tr>
      <w:tr>
        <w:tc>
          <w:tcPr/>
          <w:p>
            <w:pPr>
              <w:pStyle w:val="Compact"/>
            </w:pPr>
            <w:r>
              <w:t xml:space="preserve">Score &amp; rate (Low)</w:t>
            </w:r>
          </w:p>
        </w:tc>
        <w:tc>
          <w:tcPr/>
          <w:p>
            <w:pPr>
              <w:pStyle w:val="Compact"/>
              <w:jc w:val="center"/>
            </w:pPr>
            <w:r>
              <w:rPr>
                <w:b/>
                <w:bCs/>
              </w:rPr>
              <w:t xml:space="preserve">R/A</w:t>
            </w:r>
          </w:p>
        </w:tc>
        <w:tc>
          <w:tcPr/>
          <w:p>
            <w:pPr>
              <w:pStyle w:val="Compact"/>
              <w:jc w:val="center"/>
            </w:pPr>
            <w:r>
              <w:t xml:space="preserve">C</w:t>
            </w:r>
          </w:p>
        </w:tc>
        <w:tc>
          <w:tcPr/>
          <w:p>
            <w:pPr>
              <w:pStyle w:val="Compact"/>
              <w:jc w:val="center"/>
            </w:pPr>
            <w:r>
              <w:t xml:space="preserve">I</w:t>
            </w:r>
          </w:p>
        </w:tc>
      </w:tr>
      <w:tr>
        <w:tc>
          <w:tcPr/>
          <w:p>
            <w:pPr>
              <w:pStyle w:val="Compact"/>
            </w:pPr>
            <w:r>
              <w:t xml:space="preserve">Approve Medium</w:t>
            </w:r>
          </w:p>
        </w:tc>
        <w:tc>
          <w:tcPr/>
          <w:p>
            <w:pPr>
              <w:pStyle w:val="Compact"/>
              <w:jc w:val="center"/>
            </w:pPr>
            <w:r>
              <w:t xml:space="preserve">R</w:t>
            </w:r>
          </w:p>
        </w:tc>
        <w:tc>
          <w:tcPr/>
          <w:p>
            <w:pPr>
              <w:pStyle w:val="Compact"/>
              <w:jc w:val="center"/>
            </w:pPr>
            <w:r>
              <w:rPr>
                <w:b/>
                <w:bCs/>
              </w:rPr>
              <w:t xml:space="preserve">A</w:t>
            </w:r>
          </w:p>
        </w:tc>
        <w:tc>
          <w:tcPr/>
          <w:p>
            <w:pPr>
              <w:pStyle w:val="Compact"/>
              <w:jc w:val="center"/>
            </w:pPr>
            <w:r>
              <w:t xml:space="preserve">I</w:t>
            </w:r>
          </w:p>
        </w:tc>
      </w:tr>
      <w:tr>
        <w:tc>
          <w:tcPr/>
          <w:p>
            <w:pPr>
              <w:pStyle w:val="Compact"/>
            </w:pPr>
            <w:r>
              <w:t xml:space="preserve">Approve High / EDD</w:t>
            </w:r>
          </w:p>
        </w:tc>
        <w:tc>
          <w:tcPr/>
          <w:p>
            <w:pPr>
              <w:pStyle w:val="Compact"/>
              <w:jc w:val="center"/>
            </w:pPr>
            <w:r>
              <w:t xml:space="preserve">R</w:t>
            </w:r>
          </w:p>
        </w:tc>
        <w:tc>
          <w:tcPr/>
          <w:p>
            <w:pPr>
              <w:pStyle w:val="Compact"/>
              <w:jc w:val="center"/>
            </w:pPr>
            <w:r>
              <w:rPr>
                <w:b/>
                <w:bCs/>
              </w:rPr>
              <w:t xml:space="preserve">A</w:t>
            </w:r>
            <w:r>
              <w:t xml:space="preserve"> </w:t>
            </w:r>
            <w:r>
              <w:t xml:space="preserve">(MLRO/CCO + AML Committee)</w:t>
            </w:r>
          </w:p>
        </w:tc>
        <w:tc>
          <w:tcPr/>
          <w:p>
            <w:pPr>
              <w:pStyle w:val="Compact"/>
              <w:jc w:val="center"/>
            </w:pPr>
            <w:r>
              <w:t xml:space="preserve">I</w:t>
            </w:r>
          </w:p>
        </w:tc>
      </w:tr>
      <w:tr>
        <w:tc>
          <w:tcPr/>
          <w:p>
            <w:pPr>
              <w:pStyle w:val="Compact"/>
            </w:pPr>
            <w:r>
              <w:t xml:space="preserve">Transaction monitoring &amp; cases</w:t>
            </w:r>
          </w:p>
        </w:tc>
        <w:tc>
          <w:tcPr/>
          <w:p>
            <w:pPr>
              <w:pStyle w:val="Compact"/>
              <w:jc w:val="center"/>
            </w:pPr>
            <w:r>
              <w:t xml:space="preserve">R</w:t>
            </w:r>
          </w:p>
        </w:tc>
        <w:tc>
          <w:tcPr/>
          <w:p>
            <w:pPr>
              <w:pStyle w:val="Compact"/>
              <w:jc w:val="center"/>
            </w:pPr>
            <w:r>
              <w:rPr>
                <w:b/>
                <w:bCs/>
              </w:rPr>
              <w:t xml:space="preserve">A</w:t>
            </w:r>
          </w:p>
        </w:tc>
        <w:tc>
          <w:tcPr/>
          <w:p>
            <w:pPr>
              <w:pStyle w:val="Compact"/>
              <w:jc w:val="center"/>
            </w:pPr>
            <w:r>
              <w:t xml:space="preserve">I</w:t>
            </w:r>
          </w:p>
        </w:tc>
      </w:tr>
      <w:tr>
        <w:tc>
          <w:tcPr/>
          <w:p>
            <w:pPr>
              <w:pStyle w:val="Compact"/>
            </w:pPr>
            <w:r>
              <w:t xml:space="preserve">STR to AMLO</w:t>
            </w:r>
          </w:p>
        </w:tc>
        <w:tc>
          <w:tcPr/>
          <w:p>
            <w:pPr>
              <w:pStyle w:val="Compact"/>
              <w:jc w:val="center"/>
            </w:pPr>
            <w:r>
              <w:t xml:space="preserve">I</w:t>
            </w:r>
          </w:p>
        </w:tc>
        <w:tc>
          <w:tcPr/>
          <w:p>
            <w:pPr>
              <w:pStyle w:val="Compact"/>
              <w:jc w:val="center"/>
            </w:pPr>
            <w:r>
              <w:rPr>
                <w:b/>
                <w:bCs/>
              </w:rPr>
              <w:t xml:space="preserve">R/A</w:t>
            </w:r>
            <w:r>
              <w:t xml:space="preserve"> </w:t>
            </w:r>
            <w:r>
              <w:t xml:space="preserve">(MLRO)</w:t>
            </w:r>
          </w:p>
        </w:tc>
        <w:tc>
          <w:tcPr/>
          <w:p>
            <w:pPr>
              <w:pStyle w:val="Compact"/>
              <w:jc w:val="center"/>
            </w:pPr>
            <w:r>
              <w:t xml:space="preserve">I</w:t>
            </w:r>
          </w:p>
        </w:tc>
      </w:tr>
      <w:tr>
        <w:tc>
          <w:tcPr/>
          <w:p>
            <w:pPr>
              <w:pStyle w:val="Compact"/>
            </w:pPr>
            <w:r>
              <w:t xml:space="preserve">Periodic review</w:t>
            </w:r>
          </w:p>
        </w:tc>
        <w:tc>
          <w:tcPr/>
          <w:p>
            <w:pPr>
              <w:pStyle w:val="Compact"/>
              <w:jc w:val="center"/>
            </w:pPr>
            <w:r>
              <w:t xml:space="preserve">R</w:t>
            </w:r>
          </w:p>
        </w:tc>
        <w:tc>
          <w:tcPr/>
          <w:p>
            <w:pPr>
              <w:pStyle w:val="Compact"/>
              <w:jc w:val="center"/>
            </w:pPr>
            <w:r>
              <w:rPr>
                <w:b/>
                <w:bCs/>
              </w:rPr>
              <w:t xml:space="preserve">A</w:t>
            </w:r>
          </w:p>
        </w:tc>
        <w:tc>
          <w:tcPr/>
          <w:p>
            <w:pPr>
              <w:pStyle w:val="Compact"/>
              <w:jc w:val="center"/>
            </w:pPr>
            <w:r>
              <w:t xml:space="preserve">I</w:t>
            </w:r>
          </w:p>
        </w:tc>
      </w:tr>
      <w:tr>
        <w:tc>
          <w:tcPr/>
          <w:p>
            <w:pPr>
              <w:pStyle w:val="Compact"/>
            </w:pPr>
            <w:r>
              <w:t xml:space="preserve">Independent assurance of process</w:t>
            </w:r>
          </w:p>
        </w:tc>
        <w:tc>
          <w:tcPr/>
          <w:p>
            <w:pPr>
              <w:pStyle w:val="Compact"/>
              <w:jc w:val="center"/>
            </w:pPr>
            <w:r>
              <w:t xml:space="preserve">I</w:t>
            </w:r>
          </w:p>
        </w:tc>
        <w:tc>
          <w:tcPr/>
          <w:p>
            <w:pPr>
              <w:pStyle w:val="Compact"/>
              <w:jc w:val="center"/>
            </w:pPr>
            <w:r>
              <w:t xml:space="preserve">C</w:t>
            </w:r>
          </w:p>
        </w:tc>
        <w:tc>
          <w:tcPr/>
          <w:p>
            <w:pPr>
              <w:pStyle w:val="Compact"/>
              <w:jc w:val="center"/>
            </w:pPr>
            <w:r>
              <w:rPr>
                <w:b/>
                <w:bCs/>
              </w:rPr>
              <w:t xml:space="preserve">R/A</w:t>
            </w:r>
          </w:p>
        </w:tc>
      </w:tr>
    </w:tbl>
    <w:p>
      <w:pPr>
        <w:pStyle w:val="BodyText"/>
      </w:pPr>
      <w:r>
        <w:t xml:space="preserve">(R=Responsible, A=Accountable, C=Consulted, I=Informed — aligns with Three Lines of Defense in</w:t>
      </w:r>
      <w:r>
        <w:t xml:space="preserve"> </w:t>
      </w:r>
      <w:r>
        <w:rPr>
          <w:rStyle w:val="VerbatimChar"/>
        </w:rPr>
        <w:t xml:space="preserve">04-org-chart-governance.md</w:t>
      </w:r>
      <w:r>
        <w:t xml:space="preserve">.)</w:t>
      </w:r>
    </w:p>
    <w:p>
      <w:r>
        <w:pict>
          <v:rect style="width:0;height:1.5pt" o:hralign="center" o:hrstd="t" o:hr="t"/>
        </w:pict>
      </w:r>
    </w:p>
    <w:bookmarkEnd w:id="306"/>
    <w:bookmarkStart w:id="307" w:name="data-records-pdpa"/>
    <w:p>
      <w:pPr>
        <w:pStyle w:val="Heading2"/>
      </w:pPr>
      <w:r>
        <w:t xml:space="preserve">9. Data, Records &amp; PDPA</w:t>
      </w:r>
    </w:p>
    <w:p>
      <w:pPr>
        <w:pStyle w:val="Compact"/>
        <w:numPr>
          <w:ilvl w:val="0"/>
          <w:numId w:val="1117"/>
        </w:numPr>
      </w:pPr>
      <w:r>
        <w:rPr>
          <w:b/>
          <w:bCs/>
        </w:rPr>
        <w:t xml:space="preserve">Retention:</w:t>
      </w:r>
      <w:r>
        <w:t xml:space="preserve"> </w:t>
      </w:r>
      <w:r>
        <w:t xml:space="preserve">KYC/CDD documents and transaction records kept at least</w:t>
      </w:r>
      <w:r>
        <w:t xml:space="preserve"> </w:t>
      </w:r>
      <w:r>
        <w:rPr>
          <w:b/>
          <w:bCs/>
        </w:rPr>
        <w:t xml:space="preserve">10 years</w:t>
      </w:r>
      <w:r>
        <w:t xml:space="preserve"> </w:t>
      </w:r>
      <w:r>
        <w:t xml:space="preserve">after relationship ends per AMLO rules (or longer where required).</w:t>
      </w:r>
    </w:p>
    <w:p>
      <w:pPr>
        <w:pStyle w:val="Compact"/>
        <w:numPr>
          <w:ilvl w:val="0"/>
          <w:numId w:val="1117"/>
        </w:numPr>
      </w:pPr>
      <w:r>
        <w:rPr>
          <w:b/>
          <w:bCs/>
        </w:rPr>
        <w:t xml:space="preserve">PDPA (PDPC):</w:t>
      </w:r>
      <w:r>
        <w:t xml:space="preserve"> </w:t>
      </w:r>
      <w:r>
        <w:t xml:space="preserve">data minimization; processing bases = legal obligation (AML) + legitimate interest (fraud prevention); documented retention schedule with least-privilege/RBAC access control.</w:t>
      </w:r>
    </w:p>
    <w:p>
      <w:pPr>
        <w:pStyle w:val="Compact"/>
        <w:numPr>
          <w:ilvl w:val="0"/>
          <w:numId w:val="1117"/>
        </w:numPr>
      </w:pPr>
      <w:r>
        <w:rPr>
          <w:b/>
          <w:bCs/>
        </w:rPr>
        <w:t xml:space="preserve">PCI-DSS v4.0:</w:t>
      </w:r>
      <w:r>
        <w:t xml:space="preserve"> </w:t>
      </w:r>
      <w:r>
        <w:t xml:space="preserve">any risk/monitoring component touching transaction data stays within scope; logs contain no PAN/CVV; access control + audit trail (Req 7, 8, 10). The core system only sees</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w:t>
      </w:r>
      <w:r>
        <w:t xml:space="preserve">per</w:t>
      </w:r>
      <w:r>
        <w:t xml:space="preserve"> </w:t>
      </w:r>
      <w:r>
        <w:rPr>
          <w:rStyle w:val="VerbatimChar"/>
        </w:rPr>
        <w:t xml:space="preserve">ARCHITECTURE.md</w:t>
      </w:r>
      <w:r>
        <w:t xml:space="preserve">.</w:t>
      </w:r>
    </w:p>
    <w:p>
      <w:r>
        <w:br w:type="page"/>
      </w:r>
    </w:p>
    <w:bookmarkEnd w:id="307"/>
    <w:bookmarkEnd w:id="308"/>
    <w:bookmarkStart w:id="325" w:name="นโยบายความเปนสวนตว-pdpa-ไทย"/>
    <w:p>
      <w:pPr>
        <w:pStyle w:val="Heading1"/>
      </w:pPr>
      <w:r>
        <w:t xml:space="preserve">นโยบายความเป็นส่วนตัว (PDPA)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 พ.ร.บ. ระบบการชำระเงิน พ.ศ. 2560 ต่อธนาคารแห่งประเทศไทย (ธปท.) และเป็นเอกสารประกอบการประเมิน PCI-DSS v4.0 Level 1</w:t>
      </w:r>
    </w:p>
    <w:p>
      <w:pPr>
        <w:pStyle w:val="BlockText"/>
      </w:pPr>
      <w:r>
        <w:t xml:space="preserve">เอกสารเลขที่:</w:t>
      </w:r>
      <w:r>
        <w:t xml:space="preserve"> </w:t>
      </w:r>
      <w:r>
        <w:rPr>
          <w:rStyle w:val="VerbatimChar"/>
        </w:rPr>
        <w:t xml:space="preserve">COMP-09</w:t>
      </w:r>
      <w:r>
        <w:t xml:space="preserve"> </w:t>
      </w:r>
      <w:r>
        <w:t xml:space="preserve">· เวอร์ชัน 1.0 · เจ้าของเอกสาร: Data Protection Officer (DPO) / Compliance</w:t>
      </w:r>
      <w:r>
        <w:t xml:space="preserve"> </w:t>
      </w:r>
      <w:r>
        <w:t xml:space="preserve">เอกสารอ้างอิง: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pPr>
        <w:pStyle w:val="BlockText"/>
      </w:pPr>
      <w:r>
        <w:rPr>
          <w:b/>
          <w:bCs/>
        </w:rPr>
        <w:t xml:space="preserve">หมายเหตุ:</w:t>
      </w:r>
      <w:r>
        <w:t xml:space="preserve"> </w:t>
      </w:r>
      <w:r>
        <w:t xml:space="preserve">เอกสารนี้เป็นเอกสารเชิงนโยบายภายในและฉบับเผยแพร่ต่อเจ้าของข้อมูล ไม่ใช่คำแนะนำทางกฎหมาย ควรผ่านการทบทวนโดยที่ปรึกษากฎหมายก่อนเผยแพร่/ยื่นจริง</w:t>
      </w:r>
    </w:p>
    <w:p>
      <w:r>
        <w:pict>
          <v:rect style="width:0;height:1.5pt" o:hralign="center" o:hrstd="t" o:hr="t"/>
        </w:pict>
      </w:r>
    </w:p>
    <w:p>
      <w:pPr>
        <w:pStyle w:val="Heading3"/>
      </w:pPr>
      <w:bookmarkStart w:id="309" w:name="ขอสมมตและสงทยงตองยนยน-assumptions-todo"/>
      <w:r>
        <w:t xml:space="preserve">⚠️ ข้อสมมติและสิ่งที่ยังต้องยืนยัน (Assumptions / TODO)</w:t>
      </w:r>
      <w:bookmarkEnd w:id="309"/>
    </w:p>
    <w:p>
      <w:pPr>
        <w:pStyle w:val="BlockText"/>
      </w:pPr>
      <w:r>
        <w:t xml:space="preserve">รายการต่อไปนี้ยังขึ้นกับคู่สัญญา/ผู้ให้บริการภายนอกที่ยังไม่สรุป — ห้ามถือเป็นข้อเท็จจริงจนกว่าจะยืนยัน:</w:t>
      </w:r>
      <w:r>
        <w:t xml:space="preserve"> </w:t>
      </w:r>
      <w:r>
        <w:t xml:space="preserve">-</w:t>
      </w:r>
      <w:r>
        <w:t xml:space="preserve"> </w:t>
      </w:r>
      <w:r>
        <w:rPr>
          <w:b/>
          <w:bCs/>
        </w:rPr>
        <w:t xml:space="preserve">[TODO — Sponsor Bank / Acquirer]</w:t>
      </w:r>
      <w:r>
        <w:t xml:space="preserve"> </w:t>
      </w:r>
      <w:r>
        <w:t xml:space="preserve">ยังไม่ลงนามธนาคารผู้รับเชื่อม (sponsoring bank) และข้อตกลงแบ่งบทบาท controller/processor ระหว่างกัน — ส่งผลต่อฐานการประมวลผลและภาระการแจ้งเหตุละเมิดร่วม</w:t>
      </w:r>
      <w:r>
        <w:t xml:space="preserve"> </w:t>
      </w:r>
      <w:r>
        <w:t xml:space="preserve">-</w:t>
      </w:r>
      <w:r>
        <w:t xml:space="preserve"> </w:t>
      </w:r>
      <w:r>
        <w:rPr>
          <w:b/>
          <w:bCs/>
        </w:rPr>
        <w:t xml:space="preserve">[TODO — QSA]</w:t>
      </w:r>
      <w:r>
        <w:t xml:space="preserve"> </w:t>
      </w:r>
      <w:r>
        <w:t xml:space="preserve">ยังไม่เลือกผู้ประเมิน PCI-DSS (Qualified Security Assessor) และผู้ให้บริการ ASV — ขอบเขต scope และ vault design ต้องผ่าน QSA</w:t>
      </w:r>
      <w:r>
        <w:t xml:space="preserve"> </w:t>
      </w:r>
      <w:r>
        <w:t xml:space="preserve">-</w:t>
      </w:r>
      <w:r>
        <w:t xml:space="preserve"> </w:t>
      </w:r>
      <w:r>
        <w:rPr>
          <w:b/>
          <w:bCs/>
        </w:rPr>
        <w:t xml:space="preserve">[TODO — ทุนจดทะเบียน]</w:t>
      </w:r>
      <w:r>
        <w:t xml:space="preserve"> </w:t>
      </w:r>
      <w:r>
        <w:t xml:space="preserve">ทุนจดทะเบียนชำระแล้วเป้าหมาย</w:t>
      </w:r>
      <w:r>
        <w:t xml:space="preserve"> </w:t>
      </w:r>
      <w:r>
        <w:rPr>
          <w:b/>
          <w:bCs/>
        </w:rPr>
        <w:t xml:space="preserve">50 ล้านบาท</w:t>
      </w:r>
      <w:r>
        <w:t xml:space="preserve"> </w:t>
      </w:r>
      <w:r>
        <w:t xml:space="preserve">(Full Acquiring) — ต้องยืนยันจำนวนที่ชำระจริงและรักษาไว้ ≥ 75% ตลอดการดำเนินงาน</w:t>
      </w:r>
      <w:r>
        <w:t xml:space="preserve"> </w:t>
      </w:r>
      <w:r>
        <w:t xml:space="preserve">-</w:t>
      </w:r>
      <w:r>
        <w:t xml:space="preserve"> </w:t>
      </w:r>
      <w:r>
        <w:rPr>
          <w:b/>
          <w:bCs/>
        </w:rPr>
        <w:t xml:space="preserve">[TODO — Cross-border sub-processor]</w:t>
      </w:r>
      <w:r>
        <w:t xml:space="preserve"> </w:t>
      </w:r>
      <w:r>
        <w:t xml:space="preserve">รายชื่อผู้ประมวลผลย่อยในต่างประเทศ (เช่น cloud region, 3DS provider, ผู้ให้บริการ fraud) ต้องสรุปและตรวจสอบมาตรการคุ้มครองตามมาตรา 28/29 PDPA</w:t>
      </w:r>
      <w:r>
        <w:t xml:space="preserve"> </w:t>
      </w:r>
      <w:r>
        <w:t xml:space="preserve">-</w:t>
      </w:r>
      <w:r>
        <w:t xml:space="preserve"> </w:t>
      </w:r>
      <w:r>
        <w:rPr>
          <w:b/>
          <w:bCs/>
        </w:rPr>
        <w:t xml:space="preserve">[TODO — ชื่อบริษัท/ที่อยู่/DPO]</w:t>
      </w:r>
      <w:r>
        <w:t xml:space="preserve"> </w:t>
      </w:r>
      <w:r>
        <w:t xml:space="preserve">ชื่อ</w:t>
      </w:r>
      <w:r>
        <w:t xml:space="preserve"> </w:t>
      </w:r>
      <w:r>
        <w:rPr>
          <w:rStyle w:val="VerbatimChar"/>
        </w:rPr>
        <w:t xml:space="preserve">[บริษัท / Company]</w:t>
      </w:r>
      <w:r>
        <w:t xml:space="preserve">, ที่อยู่จดทะเบียน, ชื่อและช่องทางติดต่อ DPO ต้องเติมค่าจริงก่อนเผยแพร่</w:t>
      </w:r>
    </w:p>
    <w:p>
      <w:r>
        <w:pict>
          <v:rect style="width:0;height:1.5pt" o:hralign="center" o:hrstd="t" o:hr="t"/>
        </w:pict>
      </w:r>
    </w:p>
    <w:bookmarkStart w:id="311" w:name="บทนำและขอบเขต"/>
    <w:p>
      <w:pPr>
        <w:pStyle w:val="Heading2"/>
      </w:pPr>
      <w:r>
        <w:t xml:space="preserve">1. บทนำและขอบเขต</w:t>
      </w:r>
    </w:p>
    <w:p>
      <w:pPr>
        <w:pStyle w:val="FirstParagraph"/>
      </w:pPr>
      <w:r>
        <w:rPr>
          <w:rStyle w:val="VerbatimChar"/>
        </w:rPr>
        <w:t xml:space="preserve">[บริษัท / Company]</w:t>
      </w:r>
      <w:r>
        <w:t xml:space="preserve"> </w:t>
      </w:r>
      <w:r>
        <w:t xml:space="preserve">(ต่อไปนี้เรียก</w:t>
      </w:r>
      <w:r>
        <w:t xml:space="preserve"> </w:t>
      </w:r>
      <w:r>
        <w:t xml:space="preserve">“บริษัท”</w:t>
      </w:r>
      <w:r>
        <w:t xml:space="preserve"> </w:t>
      </w:r>
      <w:r>
        <w:t xml:space="preserve">หรือ</w:t>
      </w:r>
      <w:r>
        <w:t xml:space="preserve"> </w:t>
      </w:r>
      <w:r>
        <w:t xml:space="preserve">“เรา”</w:t>
      </w:r>
      <w:r>
        <w:t xml:space="preserve">) ประกอบธุรกิจให้บริการรับชำระเงินด้วยวิธีการทางอิเล็กทรอนิกส์ (payment gateway / acquiring) เราให้ความสำคัญสูงสุดต่อการคุ้มครองข้อมูลส่วนบุคคลตาม</w:t>
      </w:r>
      <w:r>
        <w:t xml:space="preserve"> </w:t>
      </w:r>
      <w:r>
        <w:rPr>
          <w:b/>
          <w:bCs/>
        </w:rPr>
        <w:t xml:space="preserve">พ.ร.บ. คุ้มครองข้อมูลส่วนบุคคล พ.ศ. 2562 (PDPA)</w:t>
      </w:r>
      <w:r>
        <w:t xml:space="preserve"> </w:t>
      </w:r>
      <w:r>
        <w:t xml:space="preserve">และประกาศของคณะกรรมการคุ้มครองข้อมูลส่วนบุคคล (PDPC) รวมถึงหลักเกณฑ์ของ ธปท. และมาตรฐาน</w:t>
      </w:r>
      <w:r>
        <w:t xml:space="preserve"> </w:t>
      </w:r>
      <w:r>
        <w:rPr>
          <w:b/>
          <w:bCs/>
        </w:rPr>
        <w:t xml:space="preserve">PCI-DSS v4.0</w:t>
      </w:r>
    </w:p>
    <w:p>
      <w:pPr>
        <w:pStyle w:val="BodyText"/>
      </w:pPr>
      <w:r>
        <w:t xml:space="preserve">นโยบายนี้ครอบคลุมการประมวลผลข้อมูลส่วนบุคคลของ:</w:t>
      </w:r>
      <w:r>
        <w:t xml:space="preserve"> </w:t>
      </w:r>
      <w:r>
        <w:t xml:space="preserve">-</w:t>
      </w:r>
      <w:r>
        <w:t xml:space="preserve"> </w:t>
      </w:r>
      <w:r>
        <w:rPr>
          <w:b/>
          <w:bCs/>
        </w:rPr>
        <w:t xml:space="preserve">ผู้ถือบัตร (cardholders)</w:t>
      </w:r>
      <w:r>
        <w:t xml:space="preserve"> </w:t>
      </w:r>
      <w:r>
        <w:t xml:space="preserve">ที่ทำรายการผ่านร้านค้าที่ใช้บริการของเรา</w:t>
      </w:r>
      <w:r>
        <w:t xml:space="preserve"> </w:t>
      </w:r>
      <w:r>
        <w:t xml:space="preserve">-</w:t>
      </w:r>
      <w:r>
        <w:t xml:space="preserve"> </w:t>
      </w:r>
      <w:r>
        <w:rPr>
          <w:b/>
          <w:bCs/>
        </w:rPr>
        <w:t xml:space="preserve">ผู้ค้า/ร้านค้า (merchants)</w:t>
      </w:r>
      <w:r>
        <w:t xml:space="preserve"> </w:t>
      </w:r>
      <w:r>
        <w:t xml:space="preserve">และผู้ติดต่อ/ผู้มีอำนาจของร้านค้า</w:t>
      </w:r>
      <w:r>
        <w:t xml:space="preserve"> </w:t>
      </w:r>
      <w:r>
        <w:t xml:space="preserve">-</w:t>
      </w:r>
      <w:r>
        <w:t xml:space="preserve"> </w:t>
      </w:r>
      <w:r>
        <w:rPr>
          <w:b/>
          <w:bCs/>
        </w:rPr>
        <w:t xml:space="preserve">ผู้เข้าเว็บไซต์ ผู้สมัคร และผู้ติดต่ออื่น ๆ</w:t>
      </w:r>
    </w:p>
    <w:bookmarkStart w:id="310" w:name="บทบาทตามกฎหมาย-controller-processor"/>
    <w:p>
      <w:pPr>
        <w:pStyle w:val="Heading3"/>
      </w:pPr>
      <w:r>
        <w:t xml:space="preserve">บทบาทตามกฎหมาย (Controller / Processor)</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สถานการณ์</w:t>
            </w:r>
          </w:p>
        </w:tc>
        <w:tc>
          <w:tcPr/>
          <w:p>
            <w:pPr>
              <w:pStyle w:val="Compact"/>
            </w:pPr>
            <w:r>
              <w:t xml:space="preserve">บทบาทของบริษัท</w:t>
            </w:r>
          </w:p>
        </w:tc>
      </w:tr>
      <w:tr>
        <w:tc>
          <w:tcPr/>
          <w:p>
            <w:pPr>
              <w:pStyle w:val="Compact"/>
            </w:pPr>
            <w:r>
              <w:t xml:space="preserve">ข้อมูลผู้ถือบัตรที่ประมวลผลตามคำสั่งร้านค้าเพื่อทำรายการชำระเงิน</w:t>
            </w:r>
          </w:p>
        </w:tc>
        <w:tc>
          <w:tcPr/>
          <w:p>
            <w:pPr>
              <w:pStyle w:val="Compact"/>
            </w:pPr>
            <w:r>
              <w:t xml:space="preserve">โดยหลักเป็น</w:t>
            </w:r>
            <w:r>
              <w:t xml:space="preserve"> </w:t>
            </w:r>
            <w:r>
              <w:rPr>
                <w:b/>
                <w:bCs/>
              </w:rPr>
              <w:t xml:space="preserve">ผู้ควบคุมข้อมูลร่วม/ผู้ควบคุมข้อมูลของตนเอง</w:t>
            </w:r>
            <w:r>
              <w:t xml:space="preserve"> </w:t>
            </w:r>
            <w:r>
              <w:t xml:space="preserve">สำหรับวัตถุประสงค์ป้องกันทุจริต, AML และหน้าที่ตามกฎหมาย — และเป็น</w:t>
            </w:r>
            <w:r>
              <w:t xml:space="preserve"> </w:t>
            </w:r>
            <w:r>
              <w:rPr>
                <w:b/>
                <w:bCs/>
              </w:rPr>
              <w:t xml:space="preserve">ผู้ประมวลผล</w:t>
            </w:r>
            <w:r>
              <w:t xml:space="preserve"> </w:t>
            </w:r>
            <w:r>
              <w:t xml:space="preserve">เมื่อทำตามคำสั่งร้านค้าล้วน ๆ (ต้องมีข้อตกลง DPA มาตรา 40)</w:t>
            </w:r>
            <w:r>
              <w:t xml:space="preserve"> </w:t>
            </w:r>
            <w:r>
              <w:rPr>
                <w:b/>
                <w:bCs/>
              </w:rPr>
              <w:t xml:space="preserve">[TODO ยืนยันโครงสร้างกับ sponsor bank]</w:t>
            </w:r>
          </w:p>
        </w:tc>
      </w:tr>
      <w:tr>
        <w:tc>
          <w:tcPr/>
          <w:p>
            <w:pPr>
              <w:pStyle w:val="Compact"/>
            </w:pPr>
            <w:r>
              <w:t xml:space="preserve">ข้อมูลผู้ติดต่อของร้านค้า, KYC ของร้านค้า</w:t>
            </w:r>
          </w:p>
        </w:tc>
        <w:tc>
          <w:tcPr/>
          <w:p>
            <w:pPr>
              <w:pStyle w:val="Compact"/>
            </w:pPr>
            <w:r>
              <w:rPr>
                <w:b/>
                <w:bCs/>
              </w:rPr>
              <w:t xml:space="preserve">ผู้ควบคุมข้อมูล (Controller)</w:t>
            </w:r>
          </w:p>
        </w:tc>
      </w:tr>
      <w:tr>
        <w:tc>
          <w:tcPr/>
          <w:p>
            <w:pPr>
              <w:pStyle w:val="Compact"/>
            </w:pPr>
            <w:r>
              <w:t xml:space="preserve">ข้อมูลพนักงาน/ผู้สมัครงาน</w:t>
            </w:r>
          </w:p>
        </w:tc>
        <w:tc>
          <w:tcPr/>
          <w:p>
            <w:pPr>
              <w:pStyle w:val="Compact"/>
            </w:pPr>
            <w:r>
              <w:rPr>
                <w:b/>
                <w:bCs/>
              </w:rPr>
              <w:t xml:space="preserve">ผู้ควบคุมข้อมูล (Controller)</w:t>
            </w:r>
          </w:p>
        </w:tc>
      </w:tr>
    </w:tbl>
    <w:p>
      <w:r>
        <w:pict>
          <v:rect style="width:0;height:1.5pt" o:hralign="center" o:hrstd="t" o:hr="t"/>
        </w:pict>
      </w:r>
    </w:p>
    <w:bookmarkEnd w:id="310"/>
    <w:bookmarkEnd w:id="311"/>
    <w:bookmarkStart w:id="312" w:name="ฐานทางกฎหมายในการประมวลผล-lawful-basis"/>
    <w:p>
      <w:pPr>
        <w:pStyle w:val="Heading2"/>
      </w:pPr>
      <w:r>
        <w:t xml:space="preserve">2. ฐานทางกฎหมายในการประมวลผล (Lawful Basis)</w:t>
      </w:r>
    </w:p>
    <w:p>
      <w:pPr>
        <w:pStyle w:val="FirstParagraph"/>
      </w:pPr>
      <w:r>
        <w:t xml:space="preserve">เราประมวลผลข้อมูลส่วนบุคคลบนฐานทางกฎหมายที่ชัดเจน โดย</w:t>
      </w:r>
      <w:r>
        <w:t xml:space="preserve"> </w:t>
      </w:r>
      <w:r>
        <w:rPr>
          <w:b/>
          <w:bCs/>
        </w:rPr>
        <w:t xml:space="preserve">ไม่พึ่งพาความยินยอมเป็นฐานหลัก</w:t>
      </w:r>
      <w:r>
        <w:t xml:space="preserve"> </w:t>
      </w:r>
      <w:r>
        <w:t xml:space="preserve">สำหรับกิจกรรมที่จำเป็นต่อการให้บริการชำระเงินและการปฏิบัติตามกฎหมาย (เพื่อหลีกเลี่ยงการถอนความยินยอมที่กระทบการปฏิบัติหน้าที่ตามกฎหมาย)</w:t>
      </w:r>
    </w:p>
    <w:tbl>
      <w:tblPr>
        <w:tblStyle w:val="Table"/>
        <w:tblW w:type="pct" w:w="5000"/>
        <w:tblLayout w:type="fixed"/>
        <w:tblLook w:firstRow="1" w:lastRow="0" w:firstColumn="0" w:lastColumn="0" w:noHBand="0" w:noVBand="0" w:val="0020"/>
      </w:tblPr>
      <w:tblGrid>
        <w:gridCol w:w="2933"/>
        <w:gridCol w:w="1906"/>
        <w:gridCol w:w="3080"/>
      </w:tblGrid>
      <w:tr>
        <w:trPr>
          <w:tblHeader w:val="on"/>
        </w:trPr>
        <w:tc>
          <w:tcPr/>
          <w:p>
            <w:pPr>
              <w:pStyle w:val="Compact"/>
            </w:pPr>
            <w:r>
              <w:t xml:space="preserve">กิจกรรมการประมวลผล</w:t>
            </w:r>
          </w:p>
        </w:tc>
        <w:tc>
          <w:tcPr/>
          <w:p>
            <w:pPr>
              <w:pStyle w:val="Compact"/>
            </w:pPr>
            <w:r>
              <w:t xml:space="preserve">ประเภทข้อมูล</w:t>
            </w:r>
          </w:p>
        </w:tc>
        <w:tc>
          <w:tcPr/>
          <w:p>
            <w:pPr>
              <w:pStyle w:val="Compact"/>
            </w:pPr>
            <w:r>
              <w:t xml:space="preserve">ฐานทางกฎหมาย (PDPA)</w:t>
            </w:r>
          </w:p>
        </w:tc>
      </w:tr>
      <w:tr>
        <w:tc>
          <w:tcPr/>
          <w:p>
            <w:pPr>
              <w:pStyle w:val="Compact"/>
            </w:pPr>
            <w:r>
              <w:t xml:space="preserve">ประมวลผลรายการชำระเงิน (authorize/capture/refund/void)</w:t>
            </w:r>
          </w:p>
        </w:tc>
        <w:tc>
          <w:tcPr/>
          <w:p>
            <w:pPr>
              <w:pStyle w:val="Compact"/>
            </w:pPr>
            <w:r>
              <w:t xml:space="preserve">token บัตร,</w:t>
            </w:r>
            <w:r>
              <w:t xml:space="preserve"> </w:t>
            </w:r>
            <w:r>
              <w:rPr>
                <w:rStyle w:val="VerbatimChar"/>
              </w:rPr>
              <w:t xml:space="preserve">card_last4</w:t>
            </w:r>
            <w:r>
              <w:t xml:space="preserve">,</w:t>
            </w:r>
            <w:r>
              <w:t xml:space="preserve"> </w:t>
            </w:r>
            <w:r>
              <w:rPr>
                <w:rStyle w:val="VerbatimChar"/>
              </w:rPr>
              <w:t xml:space="preserve">card_brand</w:t>
            </w:r>
            <w:r>
              <w:t xml:space="preserve">, จำนวนเงิน, merchant, timestamp</w:t>
            </w:r>
          </w:p>
        </w:tc>
        <w:tc>
          <w:tcPr/>
          <w:p>
            <w:pPr>
              <w:pStyle w:val="Compact"/>
            </w:pPr>
            <w:r>
              <w:rPr>
                <w:b/>
                <w:bCs/>
              </w:rPr>
              <w:t xml:space="preserve">มาตรา 24(3) – ความจำเป็นเพื่อปฏิบัติตามสัญญา</w:t>
            </w:r>
            <w:r>
              <w:t xml:space="preserve"> </w:t>
            </w:r>
            <w:r>
              <w:t xml:space="preserve">ที่ร้านค้า/ผู้ถือบัตรเป็นคู่สัญญา</w:t>
            </w:r>
          </w:p>
        </w:tc>
      </w:tr>
      <w:tr>
        <w:tc>
          <w:tcPr/>
          <w:p>
            <w:pPr>
              <w:pStyle w:val="Compact"/>
            </w:pPr>
            <w:r>
              <w:t xml:space="preserve">ป้องกันการทุจริต, risk scoring, velocity check, blacklist, 3DS 2.x</w:t>
            </w:r>
          </w:p>
        </w:tc>
        <w:tc>
          <w:tcPr/>
          <w:p>
            <w:pPr>
              <w:pStyle w:val="Compact"/>
            </w:pPr>
            <w:r>
              <w:t xml:space="preserve">device/IP, ประวัติธุรกรรม, ผลการยืนยันตัวตน</w:t>
            </w:r>
          </w:p>
        </w:tc>
        <w:tc>
          <w:tcPr/>
          <w:p>
            <w:pPr>
              <w:pStyle w:val="Compact"/>
            </w:pPr>
            <w:r>
              <w:rPr>
                <w:b/>
                <w:bCs/>
              </w:rPr>
              <w:t xml:space="preserve">มาตรา 24(5) – ประโยชน์โดยชอบด้วยกฎหมาย (legitimate interest)</w:t>
            </w:r>
            <w:r>
              <w:t xml:space="preserve"> </w:t>
            </w:r>
            <w:r>
              <w:t xml:space="preserve">พร้อมทำ LIA (Legitimate Interest Assessment)</w:t>
            </w:r>
          </w:p>
        </w:tc>
      </w:tr>
      <w:tr>
        <w:tc>
          <w:tcPr/>
          <w:p>
            <w:pPr>
              <w:pStyle w:val="Compact"/>
            </w:pPr>
            <w:r>
              <w:t xml:space="preserve">KYC/CDD ร้านค้า, sanction screening, การรายงานธุรกรรมที่มีเหตุอันควรสงสัย</w:t>
            </w:r>
          </w:p>
        </w:tc>
        <w:tc>
          <w:tcPr/>
          <w:p>
            <w:pPr>
              <w:pStyle w:val="Compact"/>
            </w:pPr>
            <w:r>
              <w:t xml:space="preserve">ชื่อ, เลขบัตรประชาชน, เอกสารจดทะเบียน, ผู้รับผลประโยชน์</w:t>
            </w:r>
          </w:p>
        </w:tc>
        <w:tc>
          <w:tcPr/>
          <w:p>
            <w:pPr>
              <w:pStyle w:val="Compact"/>
            </w:pPr>
            <w:r>
              <w:rPr>
                <w:b/>
                <w:bCs/>
              </w:rPr>
              <w:t xml:space="preserve">มาตรา 24(6) – ปฏิบัติตามกฎหมาย</w:t>
            </w:r>
            <w:r>
              <w:t xml:space="preserve"> </w:t>
            </w:r>
            <w:r>
              <w:t xml:space="preserve">(พ.ร.บ. ปปง./AMLO, กฎ ธปท.)</w:t>
            </w:r>
          </w:p>
        </w:tc>
      </w:tr>
      <w:tr>
        <w:tc>
          <w:tcPr/>
          <w:p>
            <w:pPr>
              <w:pStyle w:val="Compact"/>
            </w:pPr>
            <w:r>
              <w:t xml:space="preserve">การเก็บ audit log, การเก็บรักษาเอกสารตามกฎหมาย</w:t>
            </w:r>
          </w:p>
        </w:tc>
        <w:tc>
          <w:tcPr/>
          <w:p>
            <w:pPr>
              <w:pStyle w:val="Compact"/>
            </w:pPr>
            <w:r>
              <w:t xml:space="preserve">log, บันทึกธุรกรรม</w:t>
            </w:r>
          </w:p>
        </w:tc>
        <w:tc>
          <w:tcPr/>
          <w:p>
            <w:pPr>
              <w:pStyle w:val="Compact"/>
            </w:pPr>
            <w:r>
              <w:rPr>
                <w:b/>
                <w:bCs/>
              </w:rPr>
              <w:t xml:space="preserve">มาตรา 24(6) – ปฏิบัติตามกฎหมาย</w:t>
            </w:r>
            <w:r>
              <w:t xml:space="preserve"> </w:t>
            </w:r>
            <w:r>
              <w:t xml:space="preserve">และ</w:t>
            </w:r>
            <w:r>
              <w:t xml:space="preserve"> </w:t>
            </w:r>
            <w:r>
              <w:rPr>
                <w:b/>
                <w:bCs/>
              </w:rPr>
              <w:t xml:space="preserve">24(5)</w:t>
            </w:r>
          </w:p>
        </w:tc>
      </w:tr>
      <w:tr>
        <w:tc>
          <w:tcPr/>
          <w:p>
            <w:pPr>
              <w:pStyle w:val="Compact"/>
            </w:pPr>
            <w:r>
              <w:t xml:space="preserve">การตลาด/ข่าวสารผลิตภัณฑ์ถึงร้านค้า (ที่ไม่จำเป็นต่อบริการ)</w:t>
            </w:r>
          </w:p>
        </w:tc>
        <w:tc>
          <w:tcPr/>
          <w:p>
            <w:pPr>
              <w:pStyle w:val="Compact"/>
            </w:pPr>
            <w:r>
              <w:t xml:space="preserve">อีเมล, ชื่อผู้ติดต่อ</w:t>
            </w:r>
          </w:p>
        </w:tc>
        <w:tc>
          <w:tcPr/>
          <w:p>
            <w:pPr>
              <w:pStyle w:val="Compact"/>
            </w:pPr>
            <w:r>
              <w:rPr>
                <w:b/>
                <w:bCs/>
              </w:rPr>
              <w:t xml:space="preserve">มาตรา 19 – ความยินยอม (consent)</w:t>
            </w:r>
            <w:r>
              <w:t xml:space="preserve"> </w:t>
            </w:r>
            <w:r>
              <w:t xml:space="preserve">ที่ถอนได้ทุกเมื่อ</w:t>
            </w:r>
          </w:p>
        </w:tc>
      </w:tr>
      <w:tr>
        <w:tc>
          <w:tcPr/>
          <w:p>
            <w:pPr>
              <w:pStyle w:val="Compact"/>
            </w:pPr>
            <w:r>
              <w:t xml:space="preserve">ข้อมูลอ่อนไหว (เช่น ข้อมูลชีวมิติ/ใบหน้าใน KYC ถ้ามี)</w:t>
            </w:r>
          </w:p>
        </w:tc>
        <w:tc>
          <w:tcPr/>
          <w:p>
            <w:pPr>
              <w:pStyle w:val="Compact"/>
            </w:pPr>
            <w:r>
              <w:t xml:space="preserve">biometric</w:t>
            </w:r>
          </w:p>
        </w:tc>
        <w:tc>
          <w:tcPr/>
          <w:p>
            <w:pPr>
              <w:pStyle w:val="Compact"/>
            </w:pPr>
            <w:r>
              <w:rPr>
                <w:b/>
                <w:bCs/>
              </w:rPr>
              <w:t xml:space="preserve">มาตรา 26 – ความยินยอมโดยชัดแจ้ง (explicit consent)</w:t>
            </w:r>
            <w:r>
              <w:t xml:space="preserve"> </w:t>
            </w:r>
            <w:r>
              <w:t xml:space="preserve">หรือข้อยกเว้นตามมาตรา 26 เท่านั้น</w:t>
            </w:r>
          </w:p>
        </w:tc>
      </w:tr>
    </w:tbl>
    <w:p>
      <w:pPr>
        <w:pStyle w:val="BlockText"/>
      </w:pPr>
      <w:r>
        <w:rPr>
          <w:b/>
          <w:bCs/>
        </w:rPr>
        <w:t xml:space="preserve">หลักการ:</w:t>
      </w:r>
      <w:r>
        <w:t xml:space="preserve"> </w:t>
      </w:r>
      <w:r>
        <w:t xml:space="preserve">สำหรับข้อมูลผู้ถือบัตรที่จำเป็นต่อการทำรายการ ฐานหลักคือ</w:t>
      </w:r>
      <w:r>
        <w:t xml:space="preserve"> </w:t>
      </w:r>
      <w:r>
        <w:t xml:space="preserve">“สัญญา”</w:t>
      </w:r>
      <w:r>
        <w:t xml:space="preserve"> </w:t>
      </w:r>
      <w:r>
        <w:t xml:space="preserve">และ</w:t>
      </w:r>
      <w:r>
        <w:t xml:space="preserve"> </w:t>
      </w:r>
      <w:r>
        <w:t xml:space="preserve">“กฎหมาย/legitimate interest”</w:t>
      </w:r>
      <w:r>
        <w:t xml:space="preserve"> </w:t>
      </w:r>
      <w:r>
        <w:t xml:space="preserve">— ไม่ใช้ consent เพื่อไม่ให้การถอนความยินยอมทำให้เราผิดหน้าที่ตาม AML/ธปท.</w:t>
      </w:r>
    </w:p>
    <w:p>
      <w:r>
        <w:pict>
          <v:rect style="width:0;height:1.5pt" o:hralign="center" o:hrstd="t" o:hr="t"/>
        </w:pict>
      </w:r>
    </w:p>
    <w:bookmarkEnd w:id="312"/>
    <w:bookmarkStart w:id="316" w:name="X4275f86208219d5c9cf560229a9d26910ce92d9"/>
    <w:p>
      <w:pPr>
        <w:pStyle w:val="Heading2"/>
      </w:pPr>
      <w:r>
        <w:t xml:space="preserve">3. ประเภทข้อมูลที่เก็บ และหลักการลดข้อมูลบัตร (Cardholder Data Minimization)</w:t>
      </w:r>
    </w:p>
    <w:bookmarkStart w:id="313" w:name="Xa06ee2c252867baf15250ff6ccd58202448cba2"/>
    <w:p>
      <w:pPr>
        <w:pStyle w:val="Heading3"/>
      </w:pPr>
      <w:r>
        <w:t xml:space="preserve">3.1 หลักการลดขอบเขตข้อมูลบัตร (สอดคล้อง ARCHITECTURE §2, §6, §7 และ PCI-DSS v4.0)</w:t>
      </w:r>
    </w:p>
    <w:p>
      <w:pPr>
        <w:pStyle w:val="FirstParagraph"/>
      </w:pPr>
      <w:r>
        <w:t xml:space="preserve">เราออกแบบระบบให้</w:t>
      </w:r>
      <w:r>
        <w:t xml:space="preserve"> </w:t>
      </w:r>
      <w:r>
        <w:rPr>
          <w:b/>
          <w:bCs/>
        </w:rPr>
        <w:t xml:space="preserve">นำ cardholder data ออกจาก scope ให้มากที่สุด</w:t>
      </w:r>
      <w:r>
        <w:t xml:space="preserve">:</w:t>
      </w:r>
    </w:p>
    <w:p>
      <w:pPr>
        <w:pStyle w:val="Compact"/>
        <w:numPr>
          <w:ilvl w:val="0"/>
          <w:numId w:val="1118"/>
        </w:numPr>
      </w:pPr>
      <w:r>
        <w:t xml:space="preserve">ใช้</w:t>
      </w:r>
      <w:r>
        <w:t xml:space="preserve"> </w:t>
      </w:r>
      <w:r>
        <w:rPr>
          <w:b/>
          <w:bCs/>
        </w:rPr>
        <w:t xml:space="preserve">client-side tokenization</w:t>
      </w:r>
      <w:r>
        <w:t xml:space="preserve">: PAN ถูกส่งตรงจาก client ไปยัง Tokenization Vault (network segment แยกใน PCI scope) โดย</w:t>
      </w:r>
      <w:r>
        <w:t xml:space="preserve"> </w:t>
      </w:r>
      <w:r>
        <w:rPr>
          <w:b/>
          <w:bCs/>
        </w:rPr>
        <w:t xml:space="preserve">ไม่ผ่านเซิร์ฟเวอร์ของร้านค้าและไม่ผ่านระบบหลักของเรา</w:t>
      </w:r>
    </w:p>
    <w:p>
      <w:pPr>
        <w:pStyle w:val="Compact"/>
        <w:numPr>
          <w:ilvl w:val="0"/>
          <w:numId w:val="1118"/>
        </w:numPr>
      </w:pPr>
      <w:r>
        <w:t xml:space="preserve">ระบบหลัก (operational DB) เห็นเพียง</w:t>
      </w:r>
      <w:r>
        <w:t xml:space="preserve"> </w:t>
      </w:r>
      <w:r>
        <w:rPr>
          <w:b/>
          <w:bCs/>
        </w:rPr>
        <w:t xml:space="preserve">token +</w:t>
      </w:r>
      <w:r>
        <w:rPr>
          <w:b/>
          <w:bCs/>
        </w:rPr>
        <w:t xml:space="preserve"> </w:t>
      </w:r>
      <w:r>
        <w:rPr>
          <w:rStyle w:val="VerbatimChar"/>
          <w:b/>
          <w:bCs/>
        </w:rPr>
        <w:t xml:space="preserve">card_last4</w:t>
      </w:r>
      <w:r>
        <w:rPr>
          <w:b/>
          <w:bCs/>
        </w:rPr>
        <w:t xml:space="preserve"> </w:t>
      </w:r>
      <w:r>
        <w:rPr>
          <w:b/>
          <w:bCs/>
        </w:rPr>
        <w:t xml:space="preserve">+</w:t>
      </w:r>
      <w:r>
        <w:rPr>
          <w:b/>
          <w:bCs/>
        </w:rPr>
        <w:t xml:space="preserve"> </w:t>
      </w:r>
      <w:r>
        <w:rPr>
          <w:rStyle w:val="VerbatimChar"/>
          <w:b/>
          <w:bCs/>
        </w:rPr>
        <w:t xml:space="preserve">card_brand</w:t>
      </w:r>
      <w:r>
        <w:t xml:space="preserve"> </w:t>
      </w:r>
      <w:r>
        <w:t xml:space="preserve">เท่านั้น</w:t>
      </w:r>
    </w:p>
    <w:p>
      <w:pPr>
        <w:pStyle w:val="Compact"/>
        <w:numPr>
          <w:ilvl w:val="0"/>
          <w:numId w:val="1118"/>
        </w:numPr>
      </w:pPr>
      <w:r>
        <w:t xml:space="preserve">PAN ที่จำเป็นต้องเก็บ เข้ารหัสด้วย</w:t>
      </w:r>
      <w:r>
        <w:t xml:space="preserve"> </w:t>
      </w:r>
      <w:r>
        <w:rPr>
          <w:b/>
          <w:bCs/>
        </w:rPr>
        <w:t xml:space="preserve">envelope encryption</w:t>
      </w:r>
      <w:r>
        <w:t xml:space="preserve"> </w:t>
      </w:r>
      <w:r>
        <w:t xml:space="preserve">โดยคีย์อยู่ใน</w:t>
      </w:r>
      <w:r>
        <w:t xml:space="preserve"> </w:t>
      </w:r>
      <w:r>
        <w:rPr>
          <w:b/>
          <w:bCs/>
        </w:rPr>
        <w:t xml:space="preserve">HSM/KMS</w:t>
      </w:r>
      <w:r>
        <w:t xml:space="preserve"> </w:t>
      </w:r>
      <w:r>
        <w:t xml:space="preserve">(PCI Req 3) มี key rotation, dual control, split knowledge</w:t>
      </w:r>
    </w:p>
    <w:bookmarkEnd w:id="313"/>
    <w:bookmarkStart w:id="314" w:name="X5aa3ae896c690e8deaa2ab157dc4d4c8d054ba3"/>
    <w:p>
      <w:pPr>
        <w:pStyle w:val="Heading3"/>
      </w:pPr>
      <w:r>
        <w:t xml:space="preserve">3.2 ข้อมูลที่ห้ามจัดเก็บโดยเด็ดขาด (PCI-DSS – Sensitive Authentication Data)</w:t>
      </w:r>
    </w:p>
    <w:p>
      <w:pPr>
        <w:pStyle w:val="FirstParagraph"/>
      </w:pPr>
      <w:r>
        <w:t xml:space="preserve">ตาม ARCHITECTURE §6</w:t>
      </w:r>
      <w:r>
        <w:t xml:space="preserve"> </w:t>
      </w:r>
      <w:r>
        <w:rPr>
          <w:b/>
          <w:bCs/>
        </w:rPr>
        <w:t xml:space="preserve">ห้าม</w:t>
      </w:r>
      <w:r>
        <w:t xml:space="preserve"> </w:t>
      </w:r>
      <w:r>
        <w:t xml:space="preserve">จัดเก็บใน operational DB:</w:t>
      </w:r>
      <w:r>
        <w:t xml:space="preserve"> </w:t>
      </w:r>
      <w:r>
        <w:t xml:space="preserve">-</w:t>
      </w:r>
      <w:r>
        <w:t xml:space="preserve"> </w:t>
      </w:r>
      <w:r>
        <w:rPr>
          <w:b/>
          <w:bCs/>
        </w:rPr>
        <w:t xml:space="preserve">Full PAN</w:t>
      </w:r>
      <w:r>
        <w:t xml:space="preserve"> </w:t>
      </w:r>
      <w:r>
        <w:t xml:space="preserve">(จัดเก็บเฉพาะใน vault ที่เข้ารหัสใน PCI scope แยก / ปกติเก็บเป็น token เท่านั้น)</w:t>
      </w:r>
      <w:r>
        <w:t xml:space="preserve"> </w:t>
      </w:r>
      <w:r>
        <w:t xml:space="preserve">-</w:t>
      </w:r>
      <w:r>
        <w:t xml:space="preserve"> </w:t>
      </w:r>
      <w:r>
        <w:rPr>
          <w:b/>
          <w:bCs/>
        </w:rPr>
        <w:t xml:space="preserve">CVV / CVV2 / CVC2</w:t>
      </w:r>
      <w:r>
        <w:t xml:space="preserve"> </w:t>
      </w:r>
      <w:r>
        <w:t xml:space="preserve">— ห้ามเก็บหลัง authorization ทุกกรณี</w:t>
      </w:r>
      <w:r>
        <w:t xml:space="preserve"> </w:t>
      </w:r>
      <w:r>
        <w:t xml:space="preserve">-</w:t>
      </w:r>
      <w:r>
        <w:t xml:space="preserve"> </w:t>
      </w:r>
      <w:r>
        <w:rPr>
          <w:b/>
          <w:bCs/>
        </w:rPr>
        <w:t xml:space="preserve">PIN / PIN block</w:t>
      </w:r>
      <w:r>
        <w:t xml:space="preserve"> </w:t>
      </w:r>
      <w:r>
        <w:t xml:space="preserve">-</w:t>
      </w:r>
      <w:r>
        <w:t xml:space="preserve"> </w:t>
      </w:r>
      <w:r>
        <w:rPr>
          <w:b/>
          <w:bCs/>
        </w:rPr>
        <w:t xml:space="preserve">Full magnetic stripe / track data</w:t>
      </w:r>
    </w:p>
    <w:bookmarkEnd w:id="314"/>
    <w:bookmarkStart w:id="315" w:name="ตารางขอมลทเกบ-data-inventory-ระดบสรป"/>
    <w:p>
      <w:pPr>
        <w:pStyle w:val="Heading3"/>
      </w:pPr>
      <w:r>
        <w:t xml:space="preserve">3.3 ตารางข้อมูลที่เก็บ (Data Inventory ระดับสรุป)</w:t>
      </w:r>
    </w:p>
    <w:tbl>
      <w:tblPr>
        <w:tblStyle w:val="Table"/>
        <w:tblW w:type="pct" w:w="5000"/>
        <w:tblLayout w:type="fixed"/>
        <w:tblLook w:firstRow="1" w:lastRow="0" w:firstColumn="0" w:lastColumn="0" w:noHBand="0" w:noVBand="0" w:val="0020"/>
      </w:tblPr>
      <w:tblGrid>
        <w:gridCol w:w="1205"/>
        <w:gridCol w:w="2582"/>
        <w:gridCol w:w="1893"/>
        <w:gridCol w:w="2238"/>
      </w:tblGrid>
      <w:tr>
        <w:trPr>
          <w:tblHeader w:val="on"/>
        </w:trPr>
        <w:tc>
          <w:tcPr/>
          <w:p>
            <w:pPr>
              <w:pStyle w:val="Compact"/>
            </w:pPr>
            <w:r>
              <w:t xml:space="preserve">กลุ่ม</w:t>
            </w:r>
          </w:p>
        </w:tc>
        <w:tc>
          <w:tcPr/>
          <w:p>
            <w:pPr>
              <w:pStyle w:val="Compact"/>
            </w:pPr>
            <w:r>
              <w:t xml:space="preserve">ตัวอย่างข้อมูล</w:t>
            </w:r>
          </w:p>
        </w:tc>
        <w:tc>
          <w:tcPr/>
          <w:p>
            <w:pPr>
              <w:pStyle w:val="Compact"/>
            </w:pPr>
            <w:r>
              <w:t xml:space="preserve">ที่จัดเก็บ</w:t>
            </w:r>
          </w:p>
        </w:tc>
        <w:tc>
          <w:tcPr/>
          <w:p>
            <w:pPr>
              <w:pStyle w:val="Compact"/>
            </w:pPr>
            <w:r>
              <w:t xml:space="preserve">สถานะ scope</w:t>
            </w:r>
          </w:p>
        </w:tc>
      </w:tr>
      <w:tr>
        <w:tc>
          <w:tcPr/>
          <w:p>
            <w:pPr>
              <w:pStyle w:val="Compact"/>
            </w:pPr>
            <w:r>
              <w:t xml:space="preserve">ข้อมูลบัตรแบบ tokenized</w:t>
            </w:r>
          </w:p>
        </w:tc>
        <w:tc>
          <w:tcPr/>
          <w:p>
            <w:pPr>
              <w:pStyle w:val="Compact"/>
            </w:pPr>
            <w:r>
              <w:t xml:space="preserve">token,</w:t>
            </w:r>
            <w:r>
              <w:t xml:space="preserve"> </w:t>
            </w:r>
            <w:r>
              <w:rPr>
                <w:rStyle w:val="VerbatimChar"/>
              </w:rPr>
              <w:t xml:space="preserve">card_last4</w:t>
            </w:r>
            <w:r>
              <w:t xml:space="preserve">,</w:t>
            </w:r>
            <w:r>
              <w:t xml:space="preserve"> </w:t>
            </w:r>
            <w:r>
              <w:rPr>
                <w:rStyle w:val="VerbatimChar"/>
              </w:rPr>
              <w:t xml:space="preserve">card_brand</w:t>
            </w:r>
          </w:p>
        </w:tc>
        <w:tc>
          <w:tcPr/>
          <w:p>
            <w:pPr>
              <w:pStyle w:val="Compact"/>
            </w:pPr>
            <w:r>
              <w:t xml:space="preserve">operational DB (ในไทย)</w:t>
            </w:r>
          </w:p>
        </w:tc>
        <w:tc>
          <w:tcPr/>
          <w:p>
            <w:pPr>
              <w:pStyle w:val="Compact"/>
            </w:pPr>
            <w:r>
              <w:t xml:space="preserve">นอก PCI scope หลัก</w:t>
            </w:r>
          </w:p>
        </w:tc>
      </w:tr>
      <w:tr>
        <w:tc>
          <w:tcPr/>
          <w:p>
            <w:pPr>
              <w:pStyle w:val="Compact"/>
            </w:pPr>
            <w:r>
              <w:t xml:space="preserve">PAN (ถ้าจำเป็น)</w:t>
            </w:r>
          </w:p>
        </w:tc>
        <w:tc>
          <w:tcPr/>
          <w:p>
            <w:pPr>
              <w:pStyle w:val="Compact"/>
            </w:pPr>
            <w:r>
              <w:t xml:space="preserve">PAN เข้ารหัส</w:t>
            </w:r>
          </w:p>
        </w:tc>
        <w:tc>
          <w:tcPr/>
          <w:p>
            <w:pPr>
              <w:pStyle w:val="Compact"/>
            </w:pPr>
            <w:r>
              <w:t xml:space="preserve">Tokenization Vault (segment แยก)</w:t>
            </w:r>
          </w:p>
        </w:tc>
        <w:tc>
          <w:tcPr/>
          <w:p>
            <w:pPr>
              <w:pStyle w:val="Compact"/>
            </w:pPr>
            <w:r>
              <w:t xml:space="preserve">ใน PCI scope</w:t>
            </w:r>
          </w:p>
        </w:tc>
      </w:tr>
      <w:tr>
        <w:tc>
          <w:tcPr/>
          <w:p>
            <w:pPr>
              <w:pStyle w:val="Compact"/>
            </w:pPr>
            <w:r>
              <w:t xml:space="preserve">ข้อมูลธุรกรรม</w:t>
            </w:r>
          </w:p>
        </w:tc>
        <w:tc>
          <w:tcPr/>
          <w:p>
            <w:pPr>
              <w:pStyle w:val="Compact"/>
            </w:pPr>
            <w:r>
              <w:t xml:space="preserve">จำนวนเงิน (minor units), สถานะ,</w:t>
            </w:r>
            <w:r>
              <w:t xml:space="preserve"> </w:t>
            </w:r>
            <w:r>
              <w:rPr>
                <w:rStyle w:val="VerbatimChar"/>
              </w:rPr>
              <w:t xml:space="preserve">auth_code</w:t>
            </w:r>
            <w:r>
              <w:t xml:space="preserve">, timestamp</w:t>
            </w:r>
          </w:p>
        </w:tc>
        <w:tc>
          <w:tcPr/>
          <w:p>
            <w:pPr>
              <w:pStyle w:val="Compact"/>
            </w:pPr>
            <w:r>
              <w:t xml:space="preserve">ledger / payments (append-only)</w:t>
            </w:r>
          </w:p>
        </w:tc>
        <w:tc>
          <w:tcPr/>
          <w:p>
            <w:pPr>
              <w:pStyle w:val="Compact"/>
            </w:pPr>
            <w:r>
              <w:t xml:space="preserve">นอก PCI</w:t>
            </w:r>
          </w:p>
        </w:tc>
      </w:tr>
      <w:tr>
        <w:tc>
          <w:tcPr/>
          <w:p>
            <w:pPr>
              <w:pStyle w:val="Compact"/>
            </w:pPr>
            <w:r>
              <w:t xml:space="preserve">ข้อมูลร้านค้า/KYC</w:t>
            </w:r>
          </w:p>
        </w:tc>
        <w:tc>
          <w:tcPr/>
          <w:p>
            <w:pPr>
              <w:pStyle w:val="Compact"/>
            </w:pPr>
            <w:r>
              <w:t xml:space="preserve">ชื่อ, เลขนิติบุคคล, ผู้มีอำนาจ, เอกสาร</w:t>
            </w:r>
          </w:p>
        </w:tc>
        <w:tc>
          <w:tcPr/>
          <w:p>
            <w:pPr>
              <w:pStyle w:val="Compact"/>
            </w:pPr>
            <w:r>
              <w:t xml:space="preserve">merchant store (เข้ารหัส at rest)</w:t>
            </w:r>
          </w:p>
        </w:tc>
        <w:tc>
          <w:tcPr/>
          <w:p>
            <w:pPr>
              <w:pStyle w:val="Compact"/>
            </w:pPr>
            <w:r>
              <w:t xml:space="preserve">นอก PCI, ใน PDPA/AML</w:t>
            </w:r>
          </w:p>
        </w:tc>
      </w:tr>
      <w:tr>
        <w:tc>
          <w:tcPr/>
          <w:p>
            <w:pPr>
              <w:pStyle w:val="Compact"/>
            </w:pPr>
            <w:r>
              <w:t xml:space="preserve">Risk/fraud</w:t>
            </w:r>
          </w:p>
        </w:tc>
        <w:tc>
          <w:tcPr/>
          <w:p>
            <w:pPr>
              <w:pStyle w:val="Compact"/>
            </w:pPr>
            <w:r>
              <w:t xml:space="preserve">IP, device fingerprint, ผล 3DS</w:t>
            </w:r>
          </w:p>
        </w:tc>
        <w:tc>
          <w:tcPr/>
          <w:p>
            <w:pPr>
              <w:pStyle w:val="Compact"/>
            </w:pPr>
            <w:r>
              <w:t xml:space="preserve">risk store</w:t>
            </w:r>
          </w:p>
        </w:tc>
        <w:tc>
          <w:tcPr/>
          <w:p>
            <w:pPr>
              <w:pStyle w:val="Compact"/>
            </w:pPr>
            <w:r>
              <w:t xml:space="preserve">legitimate interest</w:t>
            </w:r>
          </w:p>
        </w:tc>
      </w:tr>
      <w:tr>
        <w:tc>
          <w:tcPr/>
          <w:p>
            <w:pPr>
              <w:pStyle w:val="Compact"/>
            </w:pPr>
            <w:r>
              <w:t xml:space="preserve">Audit</w:t>
            </w:r>
          </w:p>
        </w:tc>
        <w:tc>
          <w:tcPr/>
          <w:p>
            <w:pPr>
              <w:pStyle w:val="Compact"/>
            </w:pPr>
            <w:r>
              <w:t xml:space="preserve">audit_log (append-only)</w:t>
            </w:r>
          </w:p>
        </w:tc>
        <w:tc>
          <w:tcPr/>
          <w:p>
            <w:pPr>
              <w:pStyle w:val="Compact"/>
            </w:pPr>
            <w:r>
              <w:t xml:space="preserve">audit store</w:t>
            </w:r>
          </w:p>
        </w:tc>
        <w:tc>
          <w:tcPr/>
          <w:p>
            <w:pPr>
              <w:pStyle w:val="Compact"/>
            </w:pPr>
            <w:r>
              <w:t xml:space="preserve">บังคับตาม PCI Req 10 / ธปท.</w:t>
            </w:r>
          </w:p>
        </w:tc>
      </w:tr>
    </w:tbl>
    <w:p>
      <w:r>
        <w:pict>
          <v:rect style="width:0;height:1.5pt" o:hralign="center" o:hrstd="t" o:hr="t"/>
        </w:pict>
      </w:r>
    </w:p>
    <w:bookmarkEnd w:id="315"/>
    <w:bookmarkEnd w:id="316"/>
    <w:bookmarkStart w:id="318" w:name="สทธของเจาของขอมล-data-subject-rights"/>
    <w:p>
      <w:pPr>
        <w:pStyle w:val="Heading2"/>
      </w:pPr>
      <w:r>
        <w:t xml:space="preserve">4. สิทธิของเจ้าของข้อมูล (Data Subject Rights)</w:t>
      </w:r>
    </w:p>
    <w:p>
      <w:pPr>
        <w:pStyle w:val="FirstParagraph"/>
      </w:pPr>
      <w:r>
        <w:t xml:space="preserve">เจ้าของข้อมูลมีสิทธิดังต่อไปนี้ ภายใต้เงื่อนไขและข้อยกเว้นตาม PDPA:</w:t>
      </w:r>
    </w:p>
    <w:tbl>
      <w:tblPr>
        <w:tblStyle w:val="Table"/>
        <w:tblW w:type="pct" w:w="5000"/>
        <w:tblLayout w:type="fixed"/>
        <w:tblLook w:firstRow="1" w:lastRow="0" w:firstColumn="0" w:lastColumn="0" w:noHBand="0" w:noVBand="0" w:val="0020"/>
      </w:tblPr>
      <w:tblGrid>
        <w:gridCol w:w="1680"/>
        <w:gridCol w:w="1680"/>
        <w:gridCol w:w="4560"/>
      </w:tblGrid>
      <w:tr>
        <w:trPr>
          <w:tblHeader w:val="on"/>
        </w:trPr>
        <w:tc>
          <w:tcPr/>
          <w:p>
            <w:pPr>
              <w:pStyle w:val="Compact"/>
            </w:pPr>
            <w:r>
              <w:t xml:space="preserve">สิทธิ</w:t>
            </w:r>
          </w:p>
        </w:tc>
        <w:tc>
          <w:tcPr/>
          <w:p>
            <w:pPr>
              <w:pStyle w:val="Compact"/>
            </w:pPr>
            <w:r>
              <w:t xml:space="preserve">มาตรา</w:t>
            </w:r>
          </w:p>
        </w:tc>
        <w:tc>
          <w:tcPr/>
          <w:p>
            <w:pPr>
              <w:pStyle w:val="Compact"/>
            </w:pPr>
            <w:r>
              <w:t xml:space="preserve">หมายเหตุ/ข้อจำกัด</w:t>
            </w:r>
          </w:p>
        </w:tc>
      </w:tr>
      <w:tr>
        <w:tc>
          <w:tcPr/>
          <w:p>
            <w:pPr>
              <w:pStyle w:val="Compact"/>
            </w:pPr>
            <w:r>
              <w:t xml:space="preserve">สิทธิได้รับแจ้ง (Right to be informed)</w:t>
            </w:r>
          </w:p>
        </w:tc>
        <w:tc>
          <w:tcPr/>
          <w:p>
            <w:pPr>
              <w:pStyle w:val="Compact"/>
            </w:pPr>
            <w:r>
              <w:t xml:space="preserve">ม.23</w:t>
            </w:r>
          </w:p>
        </w:tc>
        <w:tc>
          <w:tcPr/>
          <w:p>
            <w:pPr>
              <w:pStyle w:val="Compact"/>
            </w:pPr>
            <w:r>
              <w:t xml:space="preserve">ผ่านนโยบายฉบับนี้และ notice ณ จุดเก็บ</w:t>
            </w:r>
          </w:p>
        </w:tc>
      </w:tr>
      <w:tr>
        <w:tc>
          <w:tcPr/>
          <w:p>
            <w:pPr>
              <w:pStyle w:val="Compact"/>
            </w:pPr>
            <w:r>
              <w:t xml:space="preserve">สิทธิเข้าถึงและขอสำเนา (Access)</w:t>
            </w:r>
          </w:p>
        </w:tc>
        <w:tc>
          <w:tcPr/>
          <w:p>
            <w:pPr>
              <w:pStyle w:val="Compact"/>
            </w:pPr>
            <w:r>
              <w:t xml:space="preserve">ม.30</w:t>
            </w:r>
          </w:p>
        </w:tc>
        <w:tc>
          <w:tcPr/>
          <w:p>
            <w:pPr>
              <w:pStyle w:val="Compact"/>
            </w:pPr>
            <w:r>
              <w:t xml:space="preserve">ตอบภายใน 30 วัน</w:t>
            </w:r>
          </w:p>
        </w:tc>
      </w:tr>
      <w:tr>
        <w:tc>
          <w:tcPr/>
          <w:p>
            <w:pPr>
              <w:pStyle w:val="Compact"/>
            </w:pPr>
            <w:r>
              <w:t xml:space="preserve">สิทธิขอโอนย้ายข้อมูล (Portability)</w:t>
            </w:r>
          </w:p>
        </w:tc>
        <w:tc>
          <w:tcPr/>
          <w:p>
            <w:pPr>
              <w:pStyle w:val="Compact"/>
            </w:pPr>
            <w:r>
              <w:t xml:space="preserve">ม.31</w:t>
            </w:r>
          </w:p>
        </w:tc>
        <w:tc>
          <w:tcPr/>
          <w:p>
            <w:pPr>
              <w:pStyle w:val="Compact"/>
            </w:pPr>
            <w:r>
              <w:t xml:space="preserve">เฉพาะข้อมูลที่ประมวลผลด้วยระบบอัตโนมัติบนฐาน consent/สัญญา</w:t>
            </w:r>
          </w:p>
        </w:tc>
      </w:tr>
      <w:tr>
        <w:tc>
          <w:tcPr/>
          <w:p>
            <w:pPr>
              <w:pStyle w:val="Compact"/>
            </w:pPr>
            <w:r>
              <w:t xml:space="preserve">สิทธิคัดค้าน (Object)</w:t>
            </w:r>
          </w:p>
        </w:tc>
        <w:tc>
          <w:tcPr/>
          <w:p>
            <w:pPr>
              <w:pStyle w:val="Compact"/>
            </w:pPr>
            <w:r>
              <w:t xml:space="preserve">ม.32</w:t>
            </w:r>
          </w:p>
        </w:tc>
        <w:tc>
          <w:tcPr/>
          <w:p>
            <w:pPr>
              <w:pStyle w:val="Compact"/>
            </w:pPr>
            <w:r>
              <w:t xml:space="preserve">เช่น คัดค้านการตลาดตรง — ดำเนินการทันที</w:t>
            </w:r>
          </w:p>
        </w:tc>
      </w:tr>
      <w:tr>
        <w:tc>
          <w:tcPr/>
          <w:p>
            <w:pPr>
              <w:pStyle w:val="Compact"/>
            </w:pPr>
            <w:r>
              <w:t xml:space="preserve">สิทธิให้ลบ/ทำลาย (Erasure)</w:t>
            </w:r>
          </w:p>
        </w:tc>
        <w:tc>
          <w:tcPr/>
          <w:p>
            <w:pPr>
              <w:pStyle w:val="Compact"/>
            </w:pPr>
            <w:r>
              <w:t xml:space="preserve">ม.33</w:t>
            </w:r>
          </w:p>
        </w:tc>
        <w:tc>
          <w:tcPr/>
          <w:p>
            <w:pPr>
              <w:pStyle w:val="Compact"/>
            </w:pPr>
            <w:r>
              <w:rPr>
                <w:b/>
                <w:bCs/>
              </w:rPr>
              <w:t xml:space="preserve">มีข้อจำกัด</w:t>
            </w:r>
            <w:r>
              <w:t xml:space="preserve"> </w:t>
            </w:r>
            <w:r>
              <w:t xml:space="preserve">— ปฏิเสธได้หากต้องเก็บตามกฎหมาย AML/ธปท.</w:t>
            </w:r>
          </w:p>
        </w:tc>
      </w:tr>
      <w:tr>
        <w:tc>
          <w:tcPr/>
          <w:p>
            <w:pPr>
              <w:pStyle w:val="Compact"/>
            </w:pPr>
            <w:r>
              <w:t xml:space="preserve">สิทธิให้ระงับการใช้ (Restriction)</w:t>
            </w:r>
          </w:p>
        </w:tc>
        <w:tc>
          <w:tcPr/>
          <w:p>
            <w:pPr>
              <w:pStyle w:val="Compact"/>
            </w:pPr>
            <w:r>
              <w:t xml:space="preserve">ม.34</w:t>
            </w:r>
          </w:p>
        </w:tc>
        <w:tc>
          <w:tcPr/>
          <w:p>
            <w:pPr>
              <w:pStyle w:val="Compact"/>
            </w:pPr>
            <w:r>
              <w:t xml:space="preserve">ระงับระหว่างตรวจสอบความถูกต้อง</w:t>
            </w:r>
          </w:p>
        </w:tc>
      </w:tr>
      <w:tr>
        <w:tc>
          <w:tcPr/>
          <w:p>
            <w:pPr>
              <w:pStyle w:val="Compact"/>
            </w:pPr>
            <w:r>
              <w:t xml:space="preserve">สิทธิขอแก้ไขให้ถูกต้อง (Rectification)</w:t>
            </w:r>
          </w:p>
        </w:tc>
        <w:tc>
          <w:tcPr/>
          <w:p>
            <w:pPr>
              <w:pStyle w:val="Compact"/>
            </w:pPr>
            <w:r>
              <w:t xml:space="preserve">ม.35–36</w:t>
            </w:r>
          </w:p>
        </w:tc>
        <w:tc>
          <w:tcPr/>
          <w:p>
            <w:pPr>
              <w:pStyle w:val="Compact"/>
            </w:pPr>
            <w:r>
              <w:t xml:space="preserve">ให้ข้อมูลถูกต้อง เป็นปัจจุบัน</w:t>
            </w:r>
          </w:p>
        </w:tc>
      </w:tr>
      <w:tr>
        <w:tc>
          <w:tcPr/>
          <w:p>
            <w:pPr>
              <w:pStyle w:val="Compact"/>
            </w:pPr>
            <w:r>
              <w:t xml:space="preserve">สิทธิถอนความยินยอม (Withdraw consent)</w:t>
            </w:r>
          </w:p>
        </w:tc>
        <w:tc>
          <w:tcPr/>
          <w:p>
            <w:pPr>
              <w:pStyle w:val="Compact"/>
            </w:pPr>
            <w:r>
              <w:t xml:space="preserve">ม.19</w:t>
            </w:r>
          </w:p>
        </w:tc>
        <w:tc>
          <w:tcPr/>
          <w:p>
            <w:pPr>
              <w:pStyle w:val="Compact"/>
            </w:pPr>
            <w:r>
              <w:t xml:space="preserve">เฉพาะกิจกรรมที่ใช้ฐาน consent (เช่น การตลาด) ไม่กระทบฐานอื่น</w:t>
            </w:r>
          </w:p>
        </w:tc>
      </w:tr>
      <w:tr>
        <w:tc>
          <w:tcPr/>
          <w:p>
            <w:pPr>
              <w:pStyle w:val="Compact"/>
            </w:pPr>
            <w:r>
              <w:t xml:space="preserve">สิทธิร้องเรียน (Complain)</w:t>
            </w:r>
          </w:p>
        </w:tc>
        <w:tc>
          <w:tcPr/>
          <w:p>
            <w:pPr>
              <w:pStyle w:val="Compact"/>
            </w:pPr>
            <w:r>
              <w:t xml:space="preserve">ม.73</w:t>
            </w:r>
          </w:p>
        </w:tc>
        <w:tc>
          <w:tcPr/>
          <w:p>
            <w:pPr>
              <w:pStyle w:val="Compact"/>
            </w:pPr>
            <w:r>
              <w:t xml:space="preserve">ต่อบริษัทและต่อ PDPC</w:t>
            </w:r>
          </w:p>
        </w:tc>
      </w:tr>
    </w:tbl>
    <w:bookmarkStart w:id="317" w:name="ขนตอนและระยะเวลาการใชสทธ-dsar-procedure"/>
    <w:p>
      <w:pPr>
        <w:pStyle w:val="Heading3"/>
      </w:pPr>
      <w:r>
        <w:t xml:space="preserve">4.1 ขั้นตอนและระยะเวลาการใช้สิทธิ (DSAR Procedure)</w:t>
      </w:r>
    </w:p>
    <w:p>
      <w:pPr>
        <w:pStyle w:val="Compact"/>
        <w:numPr>
          <w:ilvl w:val="0"/>
          <w:numId w:val="1119"/>
        </w:numPr>
      </w:pPr>
      <w:r>
        <w:t xml:space="preserve">ยื่นคำขอผ่าน</w:t>
      </w:r>
      <w:r>
        <w:t xml:space="preserve"> </w:t>
      </w:r>
      <w:r>
        <w:rPr>
          <w:rStyle w:val="VerbatimChar"/>
        </w:rPr>
        <w:t xml:space="preserve">privacy@[บริษัท / Company]</w:t>
      </w:r>
      <w:r>
        <w:t xml:space="preserve"> </w:t>
      </w:r>
      <w:r>
        <w:t xml:space="preserve">หรือแบบฟอร์มบนเว็บไซต์</w:t>
      </w:r>
      <w:r>
        <w:t xml:space="preserve"> </w:t>
      </w:r>
      <w:r>
        <w:rPr>
          <w:b/>
          <w:bCs/>
        </w:rPr>
        <w:t xml:space="preserve">[TODO ยืนยันช่องทาง]</w:t>
      </w:r>
    </w:p>
    <w:p>
      <w:pPr>
        <w:pStyle w:val="Compact"/>
        <w:numPr>
          <w:ilvl w:val="0"/>
          <w:numId w:val="1119"/>
        </w:numPr>
      </w:pPr>
      <w:r>
        <w:rPr>
          <w:b/>
          <w:bCs/>
        </w:rPr>
        <w:t xml:space="preserve">ยืนยันตัวตน</w:t>
      </w:r>
      <w:r>
        <w:t xml:space="preserve"> </w:t>
      </w:r>
      <w:r>
        <w:t xml:space="preserve">ผู้ยื่น (ป้องกันการเปิดเผยข้อมูลผิดคน) ภายใน 3 วันทำการ</w:t>
      </w:r>
    </w:p>
    <w:p>
      <w:pPr>
        <w:pStyle w:val="Compact"/>
        <w:numPr>
          <w:ilvl w:val="0"/>
          <w:numId w:val="1119"/>
        </w:numPr>
      </w:pPr>
      <w:r>
        <w:rPr>
          <w:b/>
          <w:bCs/>
        </w:rPr>
        <w:t xml:space="preserve">ดำเนินการและตอบกลับภายใน 30 วัน</w:t>
      </w:r>
      <w:r>
        <w:t xml:space="preserve"> </w:t>
      </w:r>
      <w:r>
        <w:t xml:space="preserve">นับแต่ได้รับคำขอที่สมบูรณ์ (ขยายได้เมื่อมีเหตุอันควรพร้อมแจ้งเหตุผล)</w:t>
      </w:r>
    </w:p>
    <w:p>
      <w:pPr>
        <w:pStyle w:val="Compact"/>
        <w:numPr>
          <w:ilvl w:val="0"/>
          <w:numId w:val="1119"/>
        </w:numPr>
      </w:pPr>
      <w:r>
        <w:t xml:space="preserve">หากปฏิเสธ ต้อง</w:t>
      </w:r>
      <w:r>
        <w:t xml:space="preserve"> </w:t>
      </w:r>
      <w:r>
        <w:rPr>
          <w:b/>
          <w:bCs/>
        </w:rPr>
        <w:t xml:space="preserve">บันทึกเหตุผลและแจ้งสิทธิร้องเรียนต่อ PDPC</w:t>
      </w:r>
    </w:p>
    <w:p>
      <w:pPr>
        <w:pStyle w:val="Compact"/>
        <w:numPr>
          <w:ilvl w:val="0"/>
          <w:numId w:val="1119"/>
        </w:numPr>
      </w:pPr>
      <w:r>
        <w:t xml:space="preserve">บันทึกคำขอทั้งหมดใน DSAR register (auditable)</w:t>
      </w:r>
    </w:p>
    <w:p>
      <w:r>
        <w:pict>
          <v:rect style="width:0;height:1.5pt" o:hralign="center" o:hrstd="t" o:hr="t"/>
        </w:pict>
      </w:r>
    </w:p>
    <w:bookmarkEnd w:id="317"/>
    <w:bookmarkEnd w:id="318"/>
    <w:bookmarkStart w:id="319" w:name="X646ed8ba854d69570eb660d301ef0a24a7a22c2"/>
    <w:p>
      <w:pPr>
        <w:pStyle w:val="Heading2"/>
      </w:pPr>
      <w:r>
        <w:t xml:space="preserve">5. การส่ง/โอนข้อมูลไปต่างประเทศ (Cross-Border Transfer)</w:t>
      </w:r>
    </w:p>
    <w:p>
      <w:pPr>
        <w:pStyle w:val="FirstParagraph"/>
      </w:pPr>
      <w:r>
        <w:t xml:space="preserve">หลักการ: ตาม ARCHITECTURE §8 เรากำหนด</w:t>
      </w:r>
      <w:r>
        <w:t xml:space="preserve"> </w:t>
      </w:r>
      <w:r>
        <w:rPr>
          <w:b/>
          <w:bCs/>
        </w:rPr>
        <w:t xml:space="preserve">data residency ในประเทศไทย</w:t>
      </w:r>
      <w:r>
        <w:t xml:space="preserve"> </w:t>
      </w:r>
      <w:r>
        <w:t xml:space="preserve">สำหรับข้อมูลธุรกรรมและข้อมูลผู้ถือบัตรเป็นค่าตั้งต้น เพื่อสอดคล้องกับข้อกำหนด ธปท./PDPA</w:t>
      </w:r>
    </w:p>
    <w:p>
      <w:pPr>
        <w:pStyle w:val="BodyText"/>
      </w:pPr>
      <w:r>
        <w:t xml:space="preserve">การโอนไปต่างประเทศจะเกิดเฉพาะเมื่อจำเป็น (เช่น 3DS directory server, card scheme, cloud sub-processor) และต้องเป็นไปตาม</w:t>
      </w:r>
      <w:r>
        <w:t xml:space="preserve"> </w:t>
      </w:r>
      <w:r>
        <w:rPr>
          <w:b/>
          <w:bCs/>
        </w:rPr>
        <w:t xml:space="preserve">มาตรา 28/29 PDPA</w:t>
      </w:r>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กลไก</w:t>
            </w:r>
          </w:p>
        </w:tc>
        <w:tc>
          <w:tcPr/>
          <w:p>
            <w:pPr>
              <w:pStyle w:val="Compact"/>
            </w:pPr>
            <w:r>
              <w:t xml:space="preserve">ใช้เมื่อ</w:t>
            </w:r>
          </w:p>
        </w:tc>
      </w:tr>
      <w:tr>
        <w:tc>
          <w:tcPr/>
          <w:p>
            <w:pPr>
              <w:pStyle w:val="Compact"/>
            </w:pPr>
            <w:r>
              <w:t xml:space="preserve">ประเทศปลายทางมีมาตรฐานคุ้มครองเพียงพอ (adequacy ที่ PDPC ประกาศ)</w:t>
            </w:r>
          </w:p>
        </w:tc>
        <w:tc>
          <w:tcPr/>
          <w:p>
            <w:pPr>
              <w:pStyle w:val="Compact"/>
            </w:pPr>
            <w:r>
              <w:t xml:space="preserve">ม.28</w:t>
            </w:r>
          </w:p>
        </w:tc>
      </w:tr>
      <w:tr>
        <w:tc>
          <w:tcPr/>
          <w:p>
            <w:pPr>
              <w:pStyle w:val="Compact"/>
            </w:pPr>
            <w:r>
              <w:t xml:space="preserve">มี</w:t>
            </w:r>
            <w:r>
              <w:t xml:space="preserve"> </w:t>
            </w:r>
            <w:r>
              <w:rPr>
                <w:b/>
                <w:bCs/>
              </w:rPr>
              <w:t xml:space="preserve">มาตรการคุ้มครองที่เหมาะสม</w:t>
            </w:r>
            <w:r>
              <w:t xml:space="preserve"> </w:t>
            </w:r>
            <w:r>
              <w:t xml:space="preserve">เช่น BCR / SCC / ข้อสัญญาที่บังคับได้ (Data Transfer Agreement)</w:t>
            </w:r>
          </w:p>
        </w:tc>
        <w:tc>
          <w:tcPr/>
          <w:p>
            <w:pPr>
              <w:pStyle w:val="Compact"/>
            </w:pPr>
            <w:r>
              <w:t xml:space="preserve">ม.29</w:t>
            </w:r>
          </w:p>
        </w:tc>
      </w:tr>
      <w:tr>
        <w:tc>
          <w:tcPr/>
          <w:p>
            <w:pPr>
              <w:pStyle w:val="Compact"/>
            </w:pPr>
            <w:r>
              <w:t xml:space="preserve">ความจำเป็นตามสัญญากับเจ้าของข้อมูล / เพื่อประโยชน์สำคัญ</w:t>
            </w:r>
          </w:p>
        </w:tc>
        <w:tc>
          <w:tcPr/>
          <w:p>
            <w:pPr>
              <w:pStyle w:val="Compact"/>
            </w:pPr>
            <w:r>
              <w:t xml:space="preserve">ข้อยกเว้น ม.28</w:t>
            </w:r>
          </w:p>
        </w:tc>
      </w:tr>
    </w:tbl>
    <w:p>
      <w:pPr>
        <w:pStyle w:val="BodyText"/>
      </w:pPr>
      <w:r>
        <w:rPr>
          <w:b/>
          <w:bCs/>
        </w:rPr>
        <w:t xml:space="preserve">การควบคุมเพิ่มเติม:</w:t>
      </w:r>
      <w:r>
        <w:t xml:space="preserve"> </w:t>
      </w:r>
      <w:r>
        <w:t xml:space="preserve">ข้อมูลบัตรที่ออกนอกประเทศต้องเป็น token หรือถูกเข้ารหัสเสมอ; card scheme/3DS โดยธรรมชาติของเครือข่ายอาจประมวลผลข้ามพรมแดน — ต้องระบุใน RoPA และ DPA</w:t>
      </w:r>
    </w:p>
    <w:p>
      <w:pPr>
        <w:pStyle w:val="BlockText"/>
      </w:pPr>
      <w:r>
        <w:rPr>
          <w:b/>
          <w:bCs/>
        </w:rPr>
        <w:t xml:space="preserve">[TODO — Cross-border]</w:t>
      </w:r>
      <w:r>
        <w:t xml:space="preserve"> </w:t>
      </w:r>
      <w:r>
        <w:t xml:space="preserve">สรุปรายชื่อ sub-processor ต่างประเทศ, region ของ cloud, และกลไกมาตรา 29 ที่ใช้กับแต่ละราย ก่อนยื่น ธปท.</w:t>
      </w:r>
    </w:p>
    <w:p>
      <w:r>
        <w:pict>
          <v:rect style="width:0;height:1.5pt" o:hralign="center" o:hrstd="t" o:hr="t"/>
        </w:pict>
      </w:r>
    </w:p>
    <w:bookmarkEnd w:id="319"/>
    <w:bookmarkStart w:id="320" w:name="ระยะเวลาเกบรกษาขอมล-data-retention"/>
    <w:p>
      <w:pPr>
        <w:pStyle w:val="Heading2"/>
      </w:pPr>
      <w:r>
        <w:t xml:space="preserve">6. ระยะเวลาเก็บรักษาข้อมูล (Data Retention)</w:t>
      </w:r>
    </w:p>
    <w:tbl>
      <w:tblPr>
        <w:tblStyle w:val="Table"/>
        <w:tblW w:type="pct" w:w="5000"/>
        <w:tblLayout w:type="fixed"/>
        <w:tblLook w:firstRow="1" w:lastRow="0" w:firstColumn="0" w:lastColumn="0" w:noHBand="0" w:noVBand="0" w:val="0020"/>
      </w:tblPr>
      <w:tblGrid>
        <w:gridCol w:w="3028"/>
        <w:gridCol w:w="3028"/>
        <w:gridCol w:w="1863"/>
      </w:tblGrid>
      <w:tr>
        <w:trPr>
          <w:tblHeader w:val="on"/>
        </w:trPr>
        <w:tc>
          <w:tcPr/>
          <w:p>
            <w:pPr>
              <w:pStyle w:val="Compact"/>
            </w:pPr>
            <w:r>
              <w:t xml:space="preserve">ประเภทข้อมูล</w:t>
            </w:r>
          </w:p>
        </w:tc>
        <w:tc>
          <w:tcPr/>
          <w:p>
            <w:pPr>
              <w:pStyle w:val="Compact"/>
            </w:pPr>
            <w:r>
              <w:t xml:space="preserve">ระยะเวลาเก็บ</w:t>
            </w:r>
          </w:p>
        </w:tc>
        <w:tc>
          <w:tcPr/>
          <w:p>
            <w:pPr>
              <w:pStyle w:val="Compact"/>
            </w:pPr>
            <w:r>
              <w:t xml:space="preserve">เหตุผล</w:t>
            </w:r>
          </w:p>
        </w:tc>
      </w:tr>
      <w:tr>
        <w:tc>
          <w:tcPr/>
          <w:p>
            <w:pPr>
              <w:pStyle w:val="Compact"/>
            </w:pPr>
            <w:r>
              <w:t xml:space="preserve">บันทึกธุรกรรม/ledger, audit_log</w:t>
            </w:r>
          </w:p>
        </w:tc>
        <w:tc>
          <w:tcPr/>
          <w:p>
            <w:pPr>
              <w:pStyle w:val="Compact"/>
            </w:pPr>
            <w:r>
              <w:t xml:space="preserve">อย่างน้อย</w:t>
            </w:r>
            <w:r>
              <w:t xml:space="preserve"> </w:t>
            </w:r>
            <w:r>
              <w:rPr>
                <w:b/>
                <w:bCs/>
              </w:rPr>
              <w:t xml:space="preserve">5 ปี</w:t>
            </w:r>
            <w:r>
              <w:t xml:space="preserve"> </w:t>
            </w:r>
            <w:r>
              <w:t xml:space="preserve">หลังธุรกรรม (สอดคล้อง AML/กฎหมายบัญชี)</w:t>
            </w:r>
          </w:p>
        </w:tc>
        <w:tc>
          <w:tcPr/>
          <w:p>
            <w:pPr>
              <w:pStyle w:val="Compact"/>
            </w:pPr>
            <w:r>
              <w:t xml:space="preserve">ปฏิบัติตามกฎหมาย</w:t>
            </w:r>
          </w:p>
        </w:tc>
      </w:tr>
      <w:tr>
        <w:tc>
          <w:tcPr/>
          <w:p>
            <w:pPr>
              <w:pStyle w:val="Compact"/>
            </w:pPr>
            <w:r>
              <w:t xml:space="preserve">ข้อมูล KYC/CDD ร้านค้า</w:t>
            </w:r>
          </w:p>
        </w:tc>
        <w:tc>
          <w:tcPr/>
          <w:p>
            <w:pPr>
              <w:pStyle w:val="Compact"/>
            </w:pPr>
            <w:r>
              <w:t xml:space="preserve">อย่างน้อย</w:t>
            </w:r>
            <w:r>
              <w:t xml:space="preserve"> </w:t>
            </w:r>
            <w:r>
              <w:rPr>
                <w:b/>
                <w:bCs/>
              </w:rPr>
              <w:t xml:space="preserve">5 ปี</w:t>
            </w:r>
            <w:r>
              <w:t xml:space="preserve"> </w:t>
            </w:r>
            <w:r>
              <w:t xml:space="preserve">หลังสิ้นสุดความสัมพันธ์</w:t>
            </w:r>
          </w:p>
        </w:tc>
        <w:tc>
          <w:tcPr/>
          <w:p>
            <w:pPr>
              <w:pStyle w:val="Compact"/>
            </w:pPr>
            <w:r>
              <w:t xml:space="preserve">พ.ร.บ. ปปง.</w:t>
            </w:r>
          </w:p>
        </w:tc>
      </w:tr>
      <w:tr>
        <w:tc>
          <w:tcPr/>
          <w:p>
            <w:pPr>
              <w:pStyle w:val="Compact"/>
            </w:pPr>
            <w:r>
              <w:t xml:space="preserve">PAN/token ในบัตร (สำหรับ recurring)</w:t>
            </w:r>
          </w:p>
        </w:tc>
        <w:tc>
          <w:tcPr/>
          <w:p>
            <w:pPr>
              <w:pStyle w:val="Compact"/>
            </w:pPr>
            <w:r>
              <w:t xml:space="preserve">เท่าที่จำเป็นต่อบริการ / จนถอนหรือสิ้นสัญญา</w:t>
            </w:r>
          </w:p>
        </w:tc>
        <w:tc>
          <w:tcPr/>
          <w:p>
            <w:pPr>
              <w:pStyle w:val="Compact"/>
            </w:pPr>
            <w:r>
              <w:t xml:space="preserve">สัญญา + minimization</w:t>
            </w:r>
          </w:p>
        </w:tc>
      </w:tr>
      <w:tr>
        <w:tc>
          <w:tcPr/>
          <w:p>
            <w:pPr>
              <w:pStyle w:val="Compact"/>
            </w:pPr>
            <w:r>
              <w:t xml:space="preserve">CVV/CVC</w:t>
            </w:r>
          </w:p>
        </w:tc>
        <w:tc>
          <w:tcPr/>
          <w:p>
            <w:pPr>
              <w:pStyle w:val="Compact"/>
            </w:pPr>
            <w:r>
              <w:rPr>
                <w:b/>
                <w:bCs/>
              </w:rPr>
              <w:t xml:space="preserve">ห้ามเก็บ</w:t>
            </w:r>
            <w:r>
              <w:t xml:space="preserve"> </w:t>
            </w:r>
            <w:r>
              <w:t xml:space="preserve">(ลบทันทีหลัง authorization)</w:t>
            </w:r>
          </w:p>
        </w:tc>
        <w:tc>
          <w:tcPr/>
          <w:p>
            <w:pPr>
              <w:pStyle w:val="Compact"/>
            </w:pPr>
            <w:r>
              <w:t xml:space="preserve">PCI-DSS</w:t>
            </w:r>
          </w:p>
        </w:tc>
      </w:tr>
      <w:tr>
        <w:tc>
          <w:tcPr/>
          <w:p>
            <w:pPr>
              <w:pStyle w:val="Compact"/>
            </w:pPr>
            <w:r>
              <w:t xml:space="preserve">Log ความปลอดภัย (SIEM)</w:t>
            </w:r>
          </w:p>
        </w:tc>
        <w:tc>
          <w:tcPr/>
          <w:p>
            <w:pPr>
              <w:pStyle w:val="Compact"/>
            </w:pPr>
            <w:r>
              <w:t xml:space="preserve">อย่างน้อย</w:t>
            </w:r>
            <w:r>
              <w:t xml:space="preserve"> </w:t>
            </w:r>
            <w:r>
              <w:rPr>
                <w:b/>
                <w:bCs/>
              </w:rPr>
              <w:t xml:space="preserve">1 ปี</w:t>
            </w:r>
            <w:r>
              <w:t xml:space="preserve"> </w:t>
            </w:r>
            <w:r>
              <w:t xml:space="preserve">(3 เดือนพร้อมเรียกดูทันที)</w:t>
            </w:r>
          </w:p>
        </w:tc>
        <w:tc>
          <w:tcPr/>
          <w:p>
            <w:pPr>
              <w:pStyle w:val="Compact"/>
            </w:pPr>
            <w:r>
              <w:t xml:space="preserve">PCI Req 10</w:t>
            </w:r>
          </w:p>
        </w:tc>
      </w:tr>
      <w:tr>
        <w:tc>
          <w:tcPr/>
          <w:p>
            <w:pPr>
              <w:pStyle w:val="Compact"/>
            </w:pPr>
            <w:r>
              <w:t xml:space="preserve">ข้อมูลการตลาด (consent)</w:t>
            </w:r>
          </w:p>
        </w:tc>
        <w:tc>
          <w:tcPr/>
          <w:p>
            <w:pPr>
              <w:pStyle w:val="Compact"/>
            </w:pPr>
            <w:r>
              <w:t xml:space="preserve">จนกว่าจะถอนความยินยอม</w:t>
            </w:r>
          </w:p>
        </w:tc>
        <w:tc>
          <w:tcPr/>
          <w:p>
            <w:pPr>
              <w:pStyle w:val="Compact"/>
            </w:pPr>
            <w:r>
              <w:t xml:space="preserve">ม.19</w:t>
            </w:r>
          </w:p>
        </w:tc>
      </w:tr>
    </w:tbl>
    <w:p>
      <w:pPr>
        <w:pStyle w:val="BodyText"/>
      </w:pPr>
      <w:r>
        <w:t xml:space="preserve">เมื่อพ้นกำหนด เราจะ</w:t>
      </w:r>
      <w:r>
        <w:t xml:space="preserve"> </w:t>
      </w:r>
      <w:r>
        <w:rPr>
          <w:b/>
          <w:bCs/>
        </w:rPr>
        <w:t xml:space="preserve">ลบ/ทำให้ไม่สามารถระบุตัวตน (anonymize)</w:t>
      </w:r>
      <w:r>
        <w:t xml:space="preserve"> </w:t>
      </w:r>
      <w:r>
        <w:t xml:space="preserve">ตามขั้นตอนที่บันทึกได้</w:t>
      </w:r>
    </w:p>
    <w:p>
      <w:r>
        <w:pict>
          <v:rect style="width:0;height:1.5pt" o:hralign="center" o:hrstd="t" o:hr="t"/>
        </w:pict>
      </w:r>
    </w:p>
    <w:bookmarkEnd w:id="320"/>
    <w:bookmarkStart w:id="321" w:name="Xd6564542c66552773080381dea16d755be970c2"/>
    <w:p>
      <w:pPr>
        <w:pStyle w:val="Heading2"/>
      </w:pPr>
      <w:r>
        <w:t xml:space="preserve">7. มาตรการรักษาความมั่นคงปลอดภัย (Security Measures)</w:t>
      </w:r>
    </w:p>
    <w:p>
      <w:pPr>
        <w:pStyle w:val="FirstParagraph"/>
      </w:pPr>
      <w:r>
        <w:t xml:space="preserve">สอดคล้องกับ ARCHITECTURE §7 และ PCI-DSS v4.0:</w:t>
      </w:r>
      <w:r>
        <w:t xml:space="preserve"> </w:t>
      </w:r>
      <w:r>
        <w:t xml:space="preserve">-</w:t>
      </w:r>
      <w:r>
        <w:t xml:space="preserve"> </w:t>
      </w:r>
      <w:r>
        <w:rPr>
          <w:b/>
          <w:bCs/>
        </w:rPr>
        <w:t xml:space="preserve">เข้ารหัสระหว่างส่ง</w:t>
      </w:r>
      <w:r>
        <w:t xml:space="preserve">: TLS 1.2+ และ mTLS ระหว่างบริการภายใน</w:t>
      </w:r>
      <w:r>
        <w:t xml:space="preserve"> </w:t>
      </w:r>
      <w:r>
        <w:t xml:space="preserve">-</w:t>
      </w:r>
      <w:r>
        <w:t xml:space="preserve"> </w:t>
      </w:r>
      <w:r>
        <w:rPr>
          <w:b/>
          <w:bCs/>
        </w:rPr>
        <w:t xml:space="preserve">เข้ารหัสขณะพัก</w:t>
      </w:r>
      <w:r>
        <w:t xml:space="preserve">: envelope encryption, คีย์ใน HSM/KMS, ไม่มีคีย์ในโค้ด/คอนฟิก</w:t>
      </w:r>
      <w:r>
        <w:t xml:space="preserve"> </w:t>
      </w:r>
      <w:r>
        <w:t xml:space="preserve">-</w:t>
      </w:r>
      <w:r>
        <w:t xml:space="preserve"> </w:t>
      </w:r>
      <w:r>
        <w:rPr>
          <w:b/>
          <w:bCs/>
        </w:rPr>
        <w:t xml:space="preserve">การควบคุมการเข้าถึง</w:t>
      </w:r>
      <w:r>
        <w:t xml:space="preserve">: least privilege, RBAC, MFA สำหรับผู้ดูแล (PCI Req 7–8)</w:t>
      </w:r>
      <w:r>
        <w:t xml:space="preserve"> </w:t>
      </w:r>
      <w:r>
        <w:t xml:space="preserve">-</w:t>
      </w:r>
      <w:r>
        <w:t xml:space="preserve"> </w:t>
      </w:r>
      <w:r>
        <w:rPr>
          <w:b/>
          <w:bCs/>
        </w:rPr>
        <w:t xml:space="preserve">การแยกส่วนเครือข่าย</w:t>
      </w:r>
      <w:r>
        <w:t xml:space="preserve">: vault/tokenization แยก segment; WAF, IDS/IPS (PCI Req 1, 11)</w:t>
      </w:r>
      <w:r>
        <w:t xml:space="preserve"> </w:t>
      </w:r>
      <w:r>
        <w:t xml:space="preserve">-</w:t>
      </w:r>
      <w:r>
        <w:t xml:space="preserve"> </w:t>
      </w:r>
      <w:r>
        <w:rPr>
          <w:b/>
          <w:bCs/>
        </w:rPr>
        <w:t xml:space="preserve">บันทึกและเฝ้าระวัง</w:t>
      </w:r>
      <w:r>
        <w:t xml:space="preserve">: structured log ที่</w:t>
      </w:r>
      <w:r>
        <w:t xml:space="preserve"> </w:t>
      </w:r>
      <w:r>
        <w:rPr>
          <w:b/>
          <w:bCs/>
        </w:rPr>
        <w:t xml:space="preserve">ไม่มี card data</w:t>
      </w:r>
      <w:r>
        <w:t xml:space="preserve">, ห้าม log request body, SIEM + alert (PCI Req 10)</w:t>
      </w:r>
      <w:r>
        <w:t xml:space="preserve"> </w:t>
      </w:r>
      <w:r>
        <w:t xml:space="preserve">-</w:t>
      </w:r>
      <w:r>
        <w:t xml:space="preserve"> </w:t>
      </w:r>
      <w:r>
        <w:rPr>
          <w:b/>
          <w:bCs/>
        </w:rPr>
        <w:t xml:space="preserve">บริหารช่องโหว่</w:t>
      </w:r>
      <w:r>
        <w:t xml:space="preserve">:</w:t>
      </w:r>
      <w:r>
        <w:t xml:space="preserve"> </w:t>
      </w:r>
      <w:r>
        <w:rPr>
          <w:rStyle w:val="VerbatimChar"/>
        </w:rPr>
        <w:t xml:space="preserve">govulncheck</w:t>
      </w:r>
      <w:r>
        <w:t xml:space="preserve">, SAST/DAST ใน CI,</w:t>
      </w:r>
      <w:r>
        <w:t xml:space="preserve"> </w:t>
      </w:r>
      <w:r>
        <w:rPr>
          <w:b/>
          <w:bCs/>
        </w:rPr>
        <w:t xml:space="preserve">quarterly ASV scan</w:t>
      </w:r>
      <w:r>
        <w:t xml:space="preserve">,</w:t>
      </w:r>
      <w:r>
        <w:t xml:space="preserve"> </w:t>
      </w:r>
      <w:r>
        <w:rPr>
          <w:b/>
          <w:bCs/>
        </w:rPr>
        <w:t xml:space="preserve">annual penetration test</w:t>
      </w:r>
      <w:r>
        <w:t xml:space="preserve"> </w:t>
      </w:r>
      <w:r>
        <w:t xml:space="preserve">-</w:t>
      </w:r>
      <w:r>
        <w:t xml:space="preserve"> </w:t>
      </w:r>
      <w:r>
        <w:rPr>
          <w:b/>
          <w:bCs/>
        </w:rPr>
        <w:t xml:space="preserve">3DS 2.x / EMV 3DS</w:t>
      </w:r>
      <w:r>
        <w:t xml:space="preserve"> </w:t>
      </w:r>
      <w:r>
        <w:t xml:space="preserve">เพื่อยืนยันตัวตนผู้ถือบัตรและลดความรับผิด</w:t>
      </w:r>
    </w:p>
    <w:p>
      <w:r>
        <w:pict>
          <v:rect style="width:0;height:1.5pt" o:hralign="center" o:hrstd="t" o:hr="t"/>
        </w:pict>
      </w:r>
    </w:p>
    <w:bookmarkEnd w:id="321"/>
    <w:bookmarkStart w:id="322" w:name="X591f582c1596179e7eea16ee66c85fdc593d58c"/>
    <w:p>
      <w:pPr>
        <w:pStyle w:val="Heading2"/>
      </w:pPr>
      <w:r>
        <w:t xml:space="preserve">8. การแจ้งเหตุละเมิดข้อมูลส่วนบุคคล (Data Breach Notification)</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ขั้นตอน</w:t>
            </w:r>
          </w:p>
        </w:tc>
        <w:tc>
          <w:tcPr/>
          <w:p>
            <w:pPr>
              <w:pStyle w:val="Compact"/>
            </w:pPr>
            <w:r>
              <w:t xml:space="preserve">กำหนดเวลา</w:t>
            </w:r>
          </w:p>
        </w:tc>
      </w:tr>
      <w:tr>
        <w:tc>
          <w:tcPr/>
          <w:p>
            <w:pPr>
              <w:pStyle w:val="Compact"/>
            </w:pPr>
            <w:r>
              <w:t xml:space="preserve">ตรวจพบ → ประเมินความเสี่ยง (severity/scope)</w:t>
            </w:r>
          </w:p>
        </w:tc>
        <w:tc>
          <w:tcPr/>
          <w:p>
            <w:pPr>
              <w:pStyle w:val="Compact"/>
            </w:pPr>
            <w:r>
              <w:t xml:space="preserve">ทันที (activate incident response)</w:t>
            </w:r>
          </w:p>
        </w:tc>
      </w:tr>
      <w:tr>
        <w:tc>
          <w:tcPr/>
          <w:p>
            <w:pPr>
              <w:pStyle w:val="Compact"/>
            </w:pPr>
            <w:r>
              <w:t xml:space="preserve">แจ้ง</w:t>
            </w:r>
            <w:r>
              <w:t xml:space="preserve"> </w:t>
            </w:r>
            <w:r>
              <w:rPr>
                <w:b/>
                <w:bCs/>
              </w:rPr>
              <w:t xml:space="preserve">PDPC</w:t>
            </w:r>
            <w:r>
              <w:t xml:space="preserve"> </w:t>
            </w:r>
            <w:r>
              <w:t xml:space="preserve">เมื่อมีความเสี่ยงต่อสิทธิเสรีภาพบุคคล</w:t>
            </w:r>
          </w:p>
        </w:tc>
        <w:tc>
          <w:tcPr/>
          <w:p>
            <w:pPr>
              <w:pStyle w:val="Compact"/>
            </w:pPr>
            <w:r>
              <w:rPr>
                <w:b/>
                <w:bCs/>
              </w:rPr>
              <w:t xml:space="preserve">ภายใน 72 ชั่วโมง</w:t>
            </w:r>
            <w:r>
              <w:t xml:space="preserve"> </w:t>
            </w:r>
            <w:r>
              <w:t xml:space="preserve">นับแต่ทราบเหตุ (ม.37(4))</w:t>
            </w:r>
          </w:p>
        </w:tc>
      </w:tr>
      <w:tr>
        <w:tc>
          <w:tcPr/>
          <w:p>
            <w:pPr>
              <w:pStyle w:val="Compact"/>
            </w:pPr>
            <w:r>
              <w:t xml:space="preserve">แจ้ง</w:t>
            </w:r>
            <w:r>
              <w:t xml:space="preserve"> </w:t>
            </w:r>
            <w:r>
              <w:rPr>
                <w:b/>
                <w:bCs/>
              </w:rPr>
              <w:t xml:space="preserve">เจ้าของข้อมูล</w:t>
            </w:r>
            <w:r>
              <w:t xml:space="preserve"> </w:t>
            </w:r>
            <w:r>
              <w:t xml:space="preserve">เมื่อความเสี่ยงสูง</w:t>
            </w:r>
          </w:p>
        </w:tc>
        <w:tc>
          <w:tcPr/>
          <w:p>
            <w:pPr>
              <w:pStyle w:val="Compact"/>
            </w:pPr>
            <w:r>
              <w:t xml:space="preserve">โดยไม่ชักช้า</w:t>
            </w:r>
          </w:p>
        </w:tc>
      </w:tr>
      <w:tr>
        <w:tc>
          <w:tcPr/>
          <w:p>
            <w:pPr>
              <w:pStyle w:val="Compact"/>
            </w:pPr>
            <w:r>
              <w:t xml:space="preserve">แจ้ง</w:t>
            </w:r>
            <w:r>
              <w:t xml:space="preserve"> </w:t>
            </w:r>
            <w:r>
              <w:rPr>
                <w:b/>
                <w:bCs/>
              </w:rPr>
              <w:t xml:space="preserve">ธปท.</w:t>
            </w:r>
            <w:r>
              <w:t xml:space="preserve"> </w:t>
            </w:r>
            <w:r>
              <w:t xml:space="preserve">ตามหลักเกณฑ์ cyber/IT incident</w:t>
            </w:r>
          </w:p>
        </w:tc>
        <w:tc>
          <w:tcPr/>
          <w:p>
            <w:pPr>
              <w:pStyle w:val="Compact"/>
            </w:pPr>
            <w:r>
              <w:t xml:space="preserve">ตามที่ประกาศกำหนด</w:t>
            </w:r>
          </w:p>
        </w:tc>
      </w:tr>
      <w:tr>
        <w:tc>
          <w:tcPr/>
          <w:p>
            <w:pPr>
              <w:pStyle w:val="Compact"/>
            </w:pPr>
            <w:r>
              <w:t xml:space="preserve">แจ้ง card scheme / acquirer กรณีข้อมูลบัตรรั่ว</w:t>
            </w:r>
          </w:p>
        </w:tc>
        <w:tc>
          <w:tcPr/>
          <w:p>
            <w:pPr>
              <w:pStyle w:val="Compact"/>
            </w:pPr>
            <w:r>
              <w:t xml:space="preserve">ตาม PCI / สัญญา</w:t>
            </w:r>
            <w:r>
              <w:t xml:space="preserve"> </w:t>
            </w:r>
            <w:r>
              <w:rPr>
                <w:b/>
                <w:bCs/>
              </w:rPr>
              <w:t xml:space="preserve">[TODO ยืนยันกับ sponsor bank]</w:t>
            </w:r>
          </w:p>
        </w:tc>
      </w:tr>
    </w:tbl>
    <w:p>
      <w:pPr>
        <w:pStyle w:val="BodyText"/>
      </w:pPr>
      <w:r>
        <w:t xml:space="preserve">ทุกเหตุการณ์บันทึกใน breach register พร้อมมาตรการเยียวยา</w:t>
      </w:r>
    </w:p>
    <w:p>
      <w:r>
        <w:pict>
          <v:rect style="width:0;height:1.5pt" o:hralign="center" o:hrstd="t" o:hr="t"/>
        </w:pict>
      </w:r>
    </w:p>
    <w:bookmarkEnd w:id="322"/>
    <w:bookmarkStart w:id="323" w:name="บทบาทและความรบผดชอบ-roles"/>
    <w:p>
      <w:pPr>
        <w:pStyle w:val="Heading2"/>
      </w:pPr>
      <w:r>
        <w:t xml:space="preserve">9. บทบาทและความรับผิดชอบ (Roles)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บทบาท</w:t>
            </w:r>
          </w:p>
        </w:tc>
        <w:tc>
          <w:tcPr/>
          <w:p>
            <w:pPr>
              <w:pStyle w:val="Compact"/>
            </w:pPr>
            <w:r>
              <w:t xml:space="preserve">หน้าที่</w:t>
            </w:r>
          </w:p>
        </w:tc>
      </w:tr>
      <w:tr>
        <w:tc>
          <w:tcPr/>
          <w:p>
            <w:pPr>
              <w:pStyle w:val="Compact"/>
            </w:pPr>
            <w:r>
              <w:rPr>
                <w:b/>
                <w:bCs/>
              </w:rPr>
              <w:t xml:space="preserve">DPO (เจ้าหน้าที่คุ้มครองข้อมูล)</w:t>
            </w:r>
          </w:p>
        </w:tc>
        <w:tc>
          <w:tcPr/>
          <w:p>
            <w:pPr>
              <w:pStyle w:val="Compact"/>
            </w:pPr>
            <w:r>
              <w:t xml:space="preserve">กำกับการปฏิบัติตาม PDPA, จุดติดต่อ PDPC/เจ้าของข้อมูล, ทบทวน RoPA/LIA/DPA</w:t>
            </w:r>
            <w:r>
              <w:t xml:space="preserve"> </w:t>
            </w:r>
            <w:r>
              <w:rPr>
                <w:b/>
                <w:bCs/>
              </w:rPr>
              <w:t xml:space="preserve">[TODO ระบุชื่อ]</w:t>
            </w:r>
          </w:p>
        </w:tc>
      </w:tr>
      <w:tr>
        <w:tc>
          <w:tcPr/>
          <w:p>
            <w:pPr>
              <w:pStyle w:val="Compact"/>
            </w:pPr>
            <w:r>
              <w:rPr>
                <w:b/>
                <w:bCs/>
              </w:rPr>
              <w:t xml:space="preserve">Compliance / Legal</w:t>
            </w:r>
          </w:p>
        </w:tc>
        <w:tc>
          <w:tcPr/>
          <w:p>
            <w:pPr>
              <w:pStyle w:val="Compact"/>
            </w:pPr>
            <w:r>
              <w:t xml:space="preserve">ใบอนุญาต ธปท., AML, ทบทวนนโยบาย</w:t>
            </w:r>
          </w:p>
        </w:tc>
      </w:tr>
      <w:tr>
        <w:tc>
          <w:tcPr/>
          <w:p>
            <w:pPr>
              <w:pStyle w:val="Compact"/>
            </w:pPr>
            <w:r>
              <w:rPr>
                <w:b/>
                <w:bCs/>
              </w:rPr>
              <w:t xml:space="preserve">Security / DevSecOps</w:t>
            </w:r>
          </w:p>
        </w:tc>
        <w:tc>
          <w:tcPr/>
          <w:p>
            <w:pPr>
              <w:pStyle w:val="Compact"/>
            </w:pPr>
            <w:r>
              <w:t xml:space="preserve">PCI, HSM/KMS, network segmentation, breach response</w:t>
            </w:r>
          </w:p>
        </w:tc>
      </w:tr>
      <w:tr>
        <w:tc>
          <w:tcPr/>
          <w:p>
            <w:pPr>
              <w:pStyle w:val="Compact"/>
            </w:pPr>
            <w:r>
              <w:rPr>
                <w:b/>
                <w:bCs/>
              </w:rPr>
              <w:t xml:space="preserve">Merchant/Product</w:t>
            </w:r>
          </w:p>
        </w:tc>
        <w:tc>
          <w:tcPr/>
          <w:p>
            <w:pPr>
              <w:pStyle w:val="Compact"/>
            </w:pPr>
            <w:r>
              <w:t xml:space="preserve">onboarding ตาม data minimization, จัดการ consent</w:t>
            </w:r>
          </w:p>
        </w:tc>
      </w:tr>
    </w:tbl>
    <w:p>
      <w:r>
        <w:pict>
          <v:rect style="width:0;height:1.5pt" o:hralign="center" o:hrstd="t" o:hr="t"/>
        </w:pict>
      </w:r>
    </w:p>
    <w:bookmarkEnd w:id="323"/>
    <w:bookmarkStart w:id="324" w:name="การตดตอและการทบทวน"/>
    <w:p>
      <w:pPr>
        <w:pStyle w:val="Heading2"/>
      </w:pPr>
      <w:r>
        <w:t xml:space="preserve">10. การติดต่อและการทบทวน</w:t>
      </w:r>
    </w:p>
    <w:p>
      <w:pPr>
        <w:pStyle w:val="Compact"/>
        <w:numPr>
          <w:ilvl w:val="0"/>
          <w:numId w:val="1120"/>
        </w:numPr>
      </w:pPr>
      <w:r>
        <w:t xml:space="preserve">ติดต่อเรื่องความเป็นส่วนตัว/ใช้สิทธิ:</w:t>
      </w:r>
      <w:r>
        <w:t xml:space="preserve"> </w:t>
      </w:r>
      <w:r>
        <w:rPr>
          <w:rStyle w:val="VerbatimChar"/>
        </w:rPr>
        <w:t xml:space="preserve">privacy@[บริษัท / Company]</w:t>
      </w:r>
      <w:r>
        <w:t xml:space="preserve"> </w:t>
      </w:r>
      <w:r>
        <w:t xml:space="preserve">(DPO)</w:t>
      </w:r>
      <w:r>
        <w:t xml:space="preserve"> </w:t>
      </w:r>
      <w:r>
        <w:rPr>
          <w:b/>
          <w:bCs/>
        </w:rPr>
        <w:t xml:space="preserve">[TODO เติมช่องทาง/ที่อยู่จริง]</w:t>
      </w:r>
    </w:p>
    <w:p>
      <w:pPr>
        <w:pStyle w:val="Compact"/>
        <w:numPr>
          <w:ilvl w:val="0"/>
          <w:numId w:val="1120"/>
        </w:numPr>
      </w:pPr>
      <w:r>
        <w:t xml:space="preserve">ร้องเรียนต่อหน่วยงานกำกับ: สำนักงานคณะกรรมการคุ้มครองข้อมูลส่วนบุคคล (PDPC)</w:t>
      </w:r>
    </w:p>
    <w:p>
      <w:pPr>
        <w:pStyle w:val="Compact"/>
        <w:numPr>
          <w:ilvl w:val="0"/>
          <w:numId w:val="1120"/>
        </w:numPr>
      </w:pPr>
      <w:r>
        <w:t xml:space="preserve">นโยบายนี้ทบทวนอย่างน้อย</w:t>
      </w:r>
      <w:r>
        <w:t xml:space="preserve"> </w:t>
      </w:r>
      <w:r>
        <w:rPr>
          <w:b/>
          <w:bCs/>
        </w:rPr>
        <w:t xml:space="preserve">ปีละครั้ง</w:t>
      </w:r>
      <w:r>
        <w:t xml:space="preserve"> </w:t>
      </w:r>
      <w:r>
        <w:t xml:space="preserve">หรือเมื่อมีการเปลี่ยนแปลงกฎหมาย/บริการที่มีนัยสำคัญ</w:t>
      </w:r>
    </w:p>
    <w:bookmarkEnd w:id="324"/>
    <w:bookmarkEnd w:id="325"/>
    <w:bookmarkStart w:id="342" w:name="Xca6fa0559df483368625f887a6e51cea956dde4"/>
    <w:p>
      <w:pPr>
        <w:pStyle w:val="Heading1"/>
      </w:pPr>
      <w:r>
        <w:t xml:space="preserve">PDPA privacy policy: lawful basis, data subject rights, cross-border transfer, cardholder data minimization (English)</w:t>
      </w:r>
    </w:p>
    <w:p>
      <w:pPr>
        <w:pStyle w:val="BlockText"/>
      </w:pPr>
      <w:r>
        <w:t xml:space="preserve">Supporting document for the license application for</w:t>
      </w:r>
      <w:r>
        <w:t xml:space="preserve"> </w:t>
      </w:r>
      <w:r>
        <w:rPr>
          <w:b/>
          <w:bCs/>
        </w:rPr>
        <w:t xml:space="preserve">Electronic Payment Acquiring Service (Full Acquiring)</w:t>
      </w:r>
      <w:r>
        <w:t xml:space="preserve"> </w:t>
      </w:r>
      <w:r>
        <w:t xml:space="preserve">under the Payment Systems Act B.E. 2560, submitted to the Bank of Thailand (BOT), and a supporting artefact for the</w:t>
      </w:r>
      <w:r>
        <w:t xml:space="preserve"> </w:t>
      </w:r>
      <w:r>
        <w:rPr>
          <w:b/>
          <w:bCs/>
        </w:rPr>
        <w:t xml:space="preserve">PCI-DSS v4.0 Level 1</w:t>
      </w:r>
      <w:r>
        <w:t xml:space="preserve"> </w:t>
      </w:r>
      <w:r>
        <w:t xml:space="preserve">assessment.</w:t>
      </w:r>
    </w:p>
    <w:p>
      <w:pPr>
        <w:pStyle w:val="BlockText"/>
      </w:pPr>
      <w:r>
        <w:t xml:space="preserve">Doc ID:</w:t>
      </w:r>
      <w:r>
        <w:t xml:space="preserve"> </w:t>
      </w:r>
      <w:r>
        <w:rPr>
          <w:rStyle w:val="VerbatimChar"/>
        </w:rPr>
        <w:t xml:space="preserve">COMP-09</w:t>
      </w:r>
      <w:r>
        <w:t xml:space="preserve"> </w:t>
      </w:r>
      <w:r>
        <w:t xml:space="preserve">· Version 1.0 · Owner: Data Protection Officer (DPO) / Compliance</w:t>
      </w:r>
      <w:r>
        <w:t xml:space="preserve"> </w:t>
      </w:r>
      <w:r>
        <w:t xml:space="preserve">Related:</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pPr>
        <w:pStyle w:val="BlockText"/>
      </w:pPr>
      <w:r>
        <w:rPr>
          <w:b/>
          <w:bCs/>
        </w:rPr>
        <w:t xml:space="preserve">Note:</w:t>
      </w:r>
      <w:r>
        <w:t xml:space="preserve"> </w:t>
      </w:r>
      <w:r>
        <w:t xml:space="preserve">This is an internal policy and public-facing notice, not legal advice. It must be reviewed by legal counsel before publication/submission.</w:t>
      </w:r>
    </w:p>
    <w:p>
      <w:r>
        <w:pict>
          <v:rect style="width:0;height:1.5pt" o:hralign="center" o:hrstd="t" o:hr="t"/>
        </w:pict>
      </w:r>
    </w:p>
    <w:p>
      <w:pPr>
        <w:pStyle w:val="Heading3"/>
      </w:pPr>
      <w:bookmarkStart w:id="326" w:name="X7995365803a14a0c37bf3bb2f709d2ff698f809"/>
      <w:r>
        <w:t xml:space="preserve">⚠️ Assumptions / TODO (unresolved external dependencies)</w:t>
      </w:r>
      <w:bookmarkEnd w:id="326"/>
    </w:p>
    <w:p>
      <w:pPr>
        <w:pStyle w:val="BlockText"/>
      </w:pPr>
      <w:r>
        <w:t xml:space="preserve">The following depend on counterparties/vendors not yet finalized — do not treat as fact until confirmed:</w:t>
      </w:r>
      <w:r>
        <w:t xml:space="preserve"> </w:t>
      </w:r>
      <w:r>
        <w:t xml:space="preserve">-</w:t>
      </w:r>
      <w:r>
        <w:t xml:space="preserve"> </w:t>
      </w:r>
      <w:r>
        <w:rPr>
          <w:b/>
          <w:bCs/>
        </w:rPr>
        <w:t xml:space="preserve">[TODO — Sponsor Bank / Acquirer]</w:t>
      </w:r>
      <w:r>
        <w:t xml:space="preserve"> </w:t>
      </w:r>
      <w:r>
        <w:t xml:space="preserve">Sponsoring bank not yet signed; the controller/processor split and joint breach-notification duties are undetermined — this affects lawful basis and shared obligations.</w:t>
      </w:r>
      <w:r>
        <w:t xml:space="preserve"> </w:t>
      </w:r>
      <w:r>
        <w:t xml:space="preserve">-</w:t>
      </w:r>
      <w:r>
        <w:t xml:space="preserve"> </w:t>
      </w:r>
      <w:r>
        <w:rPr>
          <w:b/>
          <w:bCs/>
        </w:rPr>
        <w:t xml:space="preserve">[TODO — QSA]</w:t>
      </w:r>
      <w:r>
        <w:t xml:space="preserve"> </w:t>
      </w:r>
      <w:r>
        <w:t xml:space="preserve">PCI-DSS Qualified Security Assessor and ASV vendor not yet selected — scope and vault design require QSA sign-off.</w:t>
      </w:r>
      <w:r>
        <w:t xml:space="preserve"> </w:t>
      </w:r>
      <w:r>
        <w:t xml:space="preserve">-</w:t>
      </w:r>
      <w:r>
        <w:t xml:space="preserve"> </w:t>
      </w:r>
      <w:r>
        <w:rPr>
          <w:b/>
          <w:bCs/>
        </w:rPr>
        <w:t xml:space="preserve">[TODO — Registered capital]</w:t>
      </w:r>
      <w:r>
        <w:t xml:space="preserve"> </w:t>
      </w:r>
      <w:r>
        <w:t xml:space="preserve">Target paid-up capital</w:t>
      </w:r>
      <w:r>
        <w:t xml:space="preserve"> </w:t>
      </w:r>
      <w:r>
        <w:rPr>
          <w:b/>
          <w:bCs/>
        </w:rPr>
        <w:t xml:space="preserve">THB 50M</w:t>
      </w:r>
      <w:r>
        <w:t xml:space="preserve"> </w:t>
      </w:r>
      <w:r>
        <w:t xml:space="preserve">(Full Acquiring); actual paid-up amount and the requirement to maintain ≥ 75% throughout operations must be confirmed.</w:t>
      </w:r>
      <w:r>
        <w:t xml:space="preserve"> </w:t>
      </w:r>
      <w:r>
        <w:t xml:space="preserve">-</w:t>
      </w:r>
      <w:r>
        <w:t xml:space="preserve"> </w:t>
      </w:r>
      <w:r>
        <w:rPr>
          <w:b/>
          <w:bCs/>
        </w:rPr>
        <w:t xml:space="preserve">[TODO — Cross-border sub-processors]</w:t>
      </w:r>
      <w:r>
        <w:t xml:space="preserve"> </w:t>
      </w:r>
      <w:r>
        <w:t xml:space="preserve">The list of overseas sub-processors (cloud region, 3DS provider, fraud vendor) and their PDPA s.28/29 safeguards must be finalized.</w:t>
      </w:r>
      <w:r>
        <w:t xml:space="preserve"> </w:t>
      </w:r>
      <w:r>
        <w:t xml:space="preserve">-</w:t>
      </w:r>
      <w:r>
        <w:t xml:space="preserve"> </w:t>
      </w:r>
      <w:r>
        <w:rPr>
          <w:b/>
          <w:bCs/>
        </w:rPr>
        <w:t xml:space="preserve">[TODO — Company/address/DPO]</w:t>
      </w:r>
      <w:r>
        <w:t xml:space="preserve"> </w:t>
      </w:r>
      <w:r>
        <w:rPr>
          <w:rStyle w:val="VerbatimChar"/>
        </w:rPr>
        <w:t xml:space="preserve">[บริษัท / Company]</w:t>
      </w:r>
      <w:r>
        <w:t xml:space="preserve">, registered address, and DPO name/contact must be filled in before publication.</w:t>
      </w:r>
    </w:p>
    <w:p>
      <w:r>
        <w:pict>
          <v:rect style="width:0;height:1.5pt" o:hralign="center" o:hrstd="t" o:hr="t"/>
        </w:pict>
      </w:r>
    </w:p>
    <w:bookmarkStart w:id="328" w:name="introduction-scope"/>
    <w:p>
      <w:pPr>
        <w:pStyle w:val="Heading2"/>
      </w:pPr>
      <w:r>
        <w:t xml:space="preserve">1. Introduction &amp; Scope</w:t>
      </w:r>
    </w:p>
    <w:p>
      <w:pPr>
        <w:pStyle w:val="FirstParagraph"/>
      </w:pPr>
      <w:r>
        <w:rPr>
          <w:rStyle w:val="VerbatimChar"/>
        </w:rPr>
        <w:t xml:space="preserve">[บริษัท / Company]</w:t>
      </w:r>
      <w:r>
        <w:t xml:space="preserve"> </w:t>
      </w:r>
      <w:r>
        <w:t xml:space="preserve">(</w:t>
      </w:r>
      <w:r>
        <w:t xml:space="preserve">“we”</w:t>
      </w:r>
      <w:r>
        <w:t xml:space="preserve">,</w:t>
      </w:r>
      <w:r>
        <w:t xml:space="preserve"> </w:t>
      </w:r>
      <w:r>
        <w:t xml:space="preserve">“us”</w:t>
      </w:r>
      <w:r>
        <w:t xml:space="preserve">) operates an electronic payment acquiring service (payment gateway). We are committed to protecting personal data in accordance with the</w:t>
      </w:r>
      <w:r>
        <w:t xml:space="preserve"> </w:t>
      </w:r>
      <w:r>
        <w:rPr>
          <w:b/>
          <w:bCs/>
        </w:rPr>
        <w:t xml:space="preserve">Personal Data Protection Act B.E. 2562 (PDPA)</w:t>
      </w:r>
      <w:r>
        <w:t xml:space="preserve"> </w:t>
      </w:r>
      <w:r>
        <w:t xml:space="preserve">and PDPC guidance, together with BOT rules and</w:t>
      </w:r>
      <w:r>
        <w:t xml:space="preserve"> </w:t>
      </w:r>
      <w:r>
        <w:rPr>
          <w:b/>
          <w:bCs/>
        </w:rPr>
        <w:t xml:space="preserve">PCI-DSS v4.0</w:t>
      </w:r>
      <w:r>
        <w:t xml:space="preserve">.</w:t>
      </w:r>
    </w:p>
    <w:p>
      <w:pPr>
        <w:pStyle w:val="BodyText"/>
      </w:pPr>
      <w:r>
        <w:t xml:space="preserve">This policy covers processing of personal data of:</w:t>
      </w:r>
      <w:r>
        <w:t xml:space="preserve"> </w:t>
      </w:r>
      <w:r>
        <w:t xml:space="preserve">-</w:t>
      </w:r>
      <w:r>
        <w:t xml:space="preserve"> </w:t>
      </w:r>
      <w:r>
        <w:rPr>
          <w:b/>
          <w:bCs/>
        </w:rPr>
        <w:t xml:space="preserve">Cardholders</w:t>
      </w:r>
      <w:r>
        <w:t xml:space="preserve"> </w:t>
      </w:r>
      <w:r>
        <w:t xml:space="preserve">transacting through merchants that use our service</w:t>
      </w:r>
      <w:r>
        <w:t xml:space="preserve"> </w:t>
      </w:r>
      <w:r>
        <w:t xml:space="preserve">-</w:t>
      </w:r>
      <w:r>
        <w:t xml:space="preserve"> </w:t>
      </w:r>
      <w:r>
        <w:rPr>
          <w:b/>
          <w:bCs/>
        </w:rPr>
        <w:t xml:space="preserve">Merchants</w:t>
      </w:r>
      <w:r>
        <w:t xml:space="preserve"> </w:t>
      </w:r>
      <w:r>
        <w:t xml:space="preserve">and their authorized representatives/contacts</w:t>
      </w:r>
      <w:r>
        <w:t xml:space="preserve"> </w:t>
      </w:r>
      <w:r>
        <w:t xml:space="preserve">-</w:t>
      </w:r>
      <w:r>
        <w:t xml:space="preserve"> </w:t>
      </w:r>
      <w:r>
        <w:rPr>
          <w:b/>
          <w:bCs/>
        </w:rPr>
        <w:t xml:space="preserve">Website visitors, applicants, and other contacts</w:t>
      </w:r>
    </w:p>
    <w:bookmarkStart w:id="327" w:name="legal-role-controller-processor"/>
    <w:p>
      <w:pPr>
        <w:pStyle w:val="Heading3"/>
      </w:pPr>
      <w:r>
        <w:t xml:space="preserve">Legal role (Controller / Processor)</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Situation</w:t>
            </w:r>
          </w:p>
        </w:tc>
        <w:tc>
          <w:tcPr/>
          <w:p>
            <w:pPr>
              <w:pStyle w:val="Compact"/>
            </w:pPr>
            <w:r>
              <w:t xml:space="preserve">Our role</w:t>
            </w:r>
          </w:p>
        </w:tc>
      </w:tr>
      <w:tr>
        <w:tc>
          <w:tcPr/>
          <w:p>
            <w:pPr>
              <w:pStyle w:val="Compact"/>
            </w:pPr>
            <w:r>
              <w:t xml:space="preserve">Cardholder data processed on a merchant’s instruction to complete a payment</w:t>
            </w:r>
          </w:p>
        </w:tc>
        <w:tc>
          <w:tcPr/>
          <w:p>
            <w:pPr>
              <w:pStyle w:val="Compact"/>
            </w:pPr>
            <w:r>
              <w:t xml:space="preserve">Primarily</w:t>
            </w:r>
            <w:r>
              <w:t xml:space="preserve"> </w:t>
            </w:r>
            <w:r>
              <w:rPr>
                <w:b/>
                <w:bCs/>
              </w:rPr>
              <w:t xml:space="preserve">controller/joint-controller</w:t>
            </w:r>
            <w:r>
              <w:t xml:space="preserve"> </w:t>
            </w:r>
            <w:r>
              <w:t xml:space="preserve">for fraud prevention, AML and legal duties;</w:t>
            </w:r>
            <w:r>
              <w:t xml:space="preserve"> </w:t>
            </w:r>
            <w:r>
              <w:rPr>
                <w:b/>
                <w:bCs/>
              </w:rPr>
              <w:t xml:space="preserve">processor</w:t>
            </w:r>
            <w:r>
              <w:t xml:space="preserve"> </w:t>
            </w:r>
            <w:r>
              <w:t xml:space="preserve">where acting purely on the merchant’s instructions (requires a s.40 DPA).</w:t>
            </w:r>
            <w:r>
              <w:t xml:space="preserve"> </w:t>
            </w:r>
            <w:r>
              <w:rPr>
                <w:b/>
                <w:bCs/>
              </w:rPr>
              <w:t xml:space="preserve">[TODO confirm structure with sponsor bank]</w:t>
            </w:r>
          </w:p>
        </w:tc>
      </w:tr>
      <w:tr>
        <w:tc>
          <w:tcPr/>
          <w:p>
            <w:pPr>
              <w:pStyle w:val="Compact"/>
            </w:pPr>
            <w:r>
              <w:t xml:space="preserve">Merchant contact data, merchant KYC</w:t>
            </w:r>
          </w:p>
        </w:tc>
        <w:tc>
          <w:tcPr/>
          <w:p>
            <w:pPr>
              <w:pStyle w:val="Compact"/>
            </w:pPr>
            <w:r>
              <w:rPr>
                <w:b/>
                <w:bCs/>
              </w:rPr>
              <w:t xml:space="preserve">Controller</w:t>
            </w:r>
          </w:p>
        </w:tc>
      </w:tr>
      <w:tr>
        <w:tc>
          <w:tcPr/>
          <w:p>
            <w:pPr>
              <w:pStyle w:val="Compact"/>
            </w:pPr>
            <w:r>
              <w:t xml:space="preserve">Employee/applicant data</w:t>
            </w:r>
          </w:p>
        </w:tc>
        <w:tc>
          <w:tcPr/>
          <w:p>
            <w:pPr>
              <w:pStyle w:val="Compact"/>
            </w:pPr>
            <w:r>
              <w:rPr>
                <w:b/>
                <w:bCs/>
              </w:rPr>
              <w:t xml:space="preserve">Controller</w:t>
            </w:r>
          </w:p>
        </w:tc>
      </w:tr>
    </w:tbl>
    <w:p>
      <w:r>
        <w:pict>
          <v:rect style="width:0;height:1.5pt" o:hralign="center" o:hrstd="t" o:hr="t"/>
        </w:pict>
      </w:r>
    </w:p>
    <w:bookmarkEnd w:id="327"/>
    <w:bookmarkEnd w:id="328"/>
    <w:bookmarkStart w:id="329" w:name="lawful-basis-for-processing"/>
    <w:p>
      <w:pPr>
        <w:pStyle w:val="Heading2"/>
      </w:pPr>
      <w:r>
        <w:t xml:space="preserve">2. Lawful Basis for Processing</w:t>
      </w:r>
    </w:p>
    <w:p>
      <w:pPr>
        <w:pStyle w:val="FirstParagraph"/>
      </w:pPr>
      <w:r>
        <w:t xml:space="preserve">We rely on clear lawful bases and</w:t>
      </w:r>
      <w:r>
        <w:t xml:space="preserve"> </w:t>
      </w:r>
      <w:r>
        <w:rPr>
          <w:b/>
          <w:bCs/>
        </w:rPr>
        <w:t xml:space="preserve">do not use consent as the primary basis</w:t>
      </w:r>
      <w:r>
        <w:t xml:space="preserve"> </w:t>
      </w:r>
      <w:r>
        <w:t xml:space="preserve">for processing that is necessary to deliver the payment service and comply with law (so that withdrawal of consent cannot compromise our legal duties).</w:t>
      </w:r>
    </w:p>
    <w:tbl>
      <w:tblPr>
        <w:tblStyle w:val="Table"/>
        <w:tblW w:type="pct" w:w="5000"/>
        <w:tblLayout w:type="fixed"/>
        <w:tblLook w:firstRow="1" w:lastRow="0" w:firstColumn="0" w:lastColumn="0" w:noHBand="0" w:noVBand="0" w:val="0020"/>
      </w:tblPr>
      <w:tblGrid>
        <w:gridCol w:w="3465"/>
        <w:gridCol w:w="990"/>
        <w:gridCol w:w="3465"/>
      </w:tblGrid>
      <w:tr>
        <w:trPr>
          <w:tblHeader w:val="on"/>
        </w:trPr>
        <w:tc>
          <w:tcPr/>
          <w:p>
            <w:pPr>
              <w:pStyle w:val="Compact"/>
            </w:pPr>
            <w:r>
              <w:t xml:space="preserve">Processing activity</w:t>
            </w:r>
          </w:p>
        </w:tc>
        <w:tc>
          <w:tcPr/>
          <w:p>
            <w:pPr>
              <w:pStyle w:val="Compact"/>
            </w:pPr>
            <w:r>
              <w:t xml:space="preserve">Data</w:t>
            </w:r>
          </w:p>
        </w:tc>
        <w:tc>
          <w:tcPr/>
          <w:p>
            <w:pPr>
              <w:pStyle w:val="Compact"/>
            </w:pPr>
            <w:r>
              <w:t xml:space="preserve">Lawful basis (PDPA)</w:t>
            </w:r>
          </w:p>
        </w:tc>
      </w:tr>
      <w:tr>
        <w:tc>
          <w:tcPr/>
          <w:p>
            <w:pPr>
              <w:pStyle w:val="Compact"/>
            </w:pPr>
            <w:r>
              <w:t xml:space="preserve">Payment processing (authorize/capture/refund/void)</w:t>
            </w:r>
          </w:p>
        </w:tc>
        <w:tc>
          <w:tcPr/>
          <w:p>
            <w:pPr>
              <w:pStyle w:val="Compact"/>
            </w:pPr>
            <w:r>
              <w:t xml:space="preserve">card token,</w:t>
            </w:r>
            <w:r>
              <w:t xml:space="preserve"> </w:t>
            </w:r>
            <w:r>
              <w:rPr>
                <w:rStyle w:val="VerbatimChar"/>
              </w:rPr>
              <w:t xml:space="preserve">card_last4</w:t>
            </w:r>
            <w:r>
              <w:t xml:space="preserve">,</w:t>
            </w:r>
            <w:r>
              <w:t xml:space="preserve"> </w:t>
            </w:r>
            <w:r>
              <w:rPr>
                <w:rStyle w:val="VerbatimChar"/>
              </w:rPr>
              <w:t xml:space="preserve">card_brand</w:t>
            </w:r>
            <w:r>
              <w:t xml:space="preserve">, amount, merchant, timestamp</w:t>
            </w:r>
          </w:p>
        </w:tc>
        <w:tc>
          <w:tcPr/>
          <w:p>
            <w:pPr>
              <w:pStyle w:val="Compact"/>
            </w:pPr>
            <w:r>
              <w:rPr>
                <w:b/>
                <w:bCs/>
              </w:rPr>
              <w:t xml:space="preserve">s.24(3) – necessary for contract performance</w:t>
            </w:r>
            <w:r>
              <w:t xml:space="preserve"> </w:t>
            </w:r>
            <w:r>
              <w:t xml:space="preserve">with the merchant/cardholder</w:t>
            </w:r>
          </w:p>
        </w:tc>
      </w:tr>
      <w:tr>
        <w:tc>
          <w:tcPr/>
          <w:p>
            <w:pPr>
              <w:pStyle w:val="Compact"/>
            </w:pPr>
            <w:r>
              <w:t xml:space="preserve">Fraud prevention, risk scoring, velocity checks, blacklist, 3DS 2.x</w:t>
            </w:r>
          </w:p>
        </w:tc>
        <w:tc>
          <w:tcPr/>
          <w:p>
            <w:pPr>
              <w:pStyle w:val="Compact"/>
            </w:pPr>
            <w:r>
              <w:t xml:space="preserve">device/IP, transaction history, authentication result</w:t>
            </w:r>
          </w:p>
        </w:tc>
        <w:tc>
          <w:tcPr/>
          <w:p>
            <w:pPr>
              <w:pStyle w:val="Compact"/>
            </w:pPr>
            <w:r>
              <w:rPr>
                <w:b/>
                <w:bCs/>
              </w:rPr>
              <w:t xml:space="preserve">s.24(5) – legitimate interest</w:t>
            </w:r>
            <w:r>
              <w:t xml:space="preserve">, supported by a documented LIA</w:t>
            </w:r>
          </w:p>
        </w:tc>
      </w:tr>
      <w:tr>
        <w:tc>
          <w:tcPr/>
          <w:p>
            <w:pPr>
              <w:pStyle w:val="Compact"/>
            </w:pPr>
            <w:r>
              <w:t xml:space="preserve">Merchant KYC/CDD, sanction screening, suspicious-transaction reporting</w:t>
            </w:r>
          </w:p>
        </w:tc>
        <w:tc>
          <w:tcPr/>
          <w:p>
            <w:pPr>
              <w:pStyle w:val="Compact"/>
            </w:pPr>
            <w:r>
              <w:t xml:space="preserve">name, national ID, registration docs, beneficial owner</w:t>
            </w:r>
          </w:p>
        </w:tc>
        <w:tc>
          <w:tcPr/>
          <w:p>
            <w:pPr>
              <w:pStyle w:val="Compact"/>
            </w:pPr>
            <w:r>
              <w:rPr>
                <w:b/>
                <w:bCs/>
              </w:rPr>
              <w:t xml:space="preserve">s.24(6) – legal obligation</w:t>
            </w:r>
            <w:r>
              <w:t xml:space="preserve"> </w:t>
            </w:r>
            <w:r>
              <w:t xml:space="preserve">(AML Act / AMLO, BOT rules)</w:t>
            </w:r>
          </w:p>
        </w:tc>
      </w:tr>
      <w:tr>
        <w:tc>
          <w:tcPr/>
          <w:p>
            <w:pPr>
              <w:pStyle w:val="Compact"/>
            </w:pPr>
            <w:r>
              <w:t xml:space="preserve">Audit logging and statutory record retention</w:t>
            </w:r>
          </w:p>
        </w:tc>
        <w:tc>
          <w:tcPr/>
          <w:p>
            <w:pPr>
              <w:pStyle w:val="Compact"/>
            </w:pPr>
            <w:r>
              <w:t xml:space="preserve">logs, transaction records</w:t>
            </w:r>
          </w:p>
        </w:tc>
        <w:tc>
          <w:tcPr/>
          <w:p>
            <w:pPr>
              <w:pStyle w:val="Compact"/>
            </w:pPr>
            <w:r>
              <w:rPr>
                <w:b/>
                <w:bCs/>
              </w:rPr>
              <w:t xml:space="preserve">s.24(6) – legal obligation</w:t>
            </w:r>
            <w:r>
              <w:t xml:space="preserve"> </w:t>
            </w:r>
            <w:r>
              <w:t xml:space="preserve">and</w:t>
            </w:r>
            <w:r>
              <w:t xml:space="preserve"> </w:t>
            </w:r>
            <w:r>
              <w:rPr>
                <w:b/>
                <w:bCs/>
              </w:rPr>
              <w:t xml:space="preserve">s.24(5)</w:t>
            </w:r>
          </w:p>
        </w:tc>
      </w:tr>
      <w:tr>
        <w:tc>
          <w:tcPr/>
          <w:p>
            <w:pPr>
              <w:pStyle w:val="Compact"/>
            </w:pPr>
            <w:r>
              <w:t xml:space="preserve">Marketing/product updates to merchants (non-essential)</w:t>
            </w:r>
          </w:p>
        </w:tc>
        <w:tc>
          <w:tcPr/>
          <w:p>
            <w:pPr>
              <w:pStyle w:val="Compact"/>
            </w:pPr>
            <w:r>
              <w:t xml:space="preserve">email, contact name</w:t>
            </w:r>
          </w:p>
        </w:tc>
        <w:tc>
          <w:tcPr/>
          <w:p>
            <w:pPr>
              <w:pStyle w:val="Compact"/>
            </w:pPr>
            <w:r>
              <w:rPr>
                <w:b/>
                <w:bCs/>
              </w:rPr>
              <w:t xml:space="preserve">s.19 – consent</w:t>
            </w:r>
            <w:r>
              <w:t xml:space="preserve">, withdrawable at any time</w:t>
            </w:r>
          </w:p>
        </w:tc>
      </w:tr>
      <w:tr>
        <w:tc>
          <w:tcPr/>
          <w:p>
            <w:pPr>
              <w:pStyle w:val="Compact"/>
            </w:pPr>
            <w:r>
              <w:t xml:space="preserve">Sensitive data (e.g. biometrics/face in KYC, if any)</w:t>
            </w:r>
          </w:p>
        </w:tc>
        <w:tc>
          <w:tcPr/>
          <w:p>
            <w:pPr>
              <w:pStyle w:val="Compact"/>
            </w:pPr>
            <w:r>
              <w:t xml:space="preserve">biometric</w:t>
            </w:r>
          </w:p>
        </w:tc>
        <w:tc>
          <w:tcPr/>
          <w:p>
            <w:pPr>
              <w:pStyle w:val="Compact"/>
            </w:pPr>
            <w:r>
              <w:rPr>
                <w:b/>
                <w:bCs/>
              </w:rPr>
              <w:t xml:space="preserve">s.26 – explicit consent</w:t>
            </w:r>
            <w:r>
              <w:t xml:space="preserve"> </w:t>
            </w:r>
            <w:r>
              <w:t xml:space="preserve">or a s.26 exemption only</w:t>
            </w:r>
          </w:p>
        </w:tc>
      </w:tr>
    </w:tbl>
    <w:p>
      <w:pPr>
        <w:pStyle w:val="BlockText"/>
      </w:pPr>
      <w:r>
        <w:rPr>
          <w:b/>
          <w:bCs/>
        </w:rPr>
        <w:t xml:space="preserve">Principle:</w:t>
      </w:r>
      <w:r>
        <w:t xml:space="preserve"> </w:t>
      </w:r>
      <w:r>
        <w:t xml:space="preserve">For cardholder data necessary to complete a transaction, the primary bases are</w:t>
      </w:r>
      <w:r>
        <w:t xml:space="preserve"> </w:t>
      </w:r>
      <w:r>
        <w:t xml:space="preserve">“contract”</w:t>
      </w:r>
      <w:r>
        <w:t xml:space="preserve"> </w:t>
      </w:r>
      <w:r>
        <w:t xml:space="preserve">and</w:t>
      </w:r>
      <w:r>
        <w:t xml:space="preserve"> </w:t>
      </w:r>
      <w:r>
        <w:t xml:space="preserve">“legal obligation / legitimate interest”</w:t>
      </w:r>
      <w:r>
        <w:t xml:space="preserve"> </w:t>
      </w:r>
      <w:r>
        <w:t xml:space="preserve">— not consent — so that withdrawal cannot force us to breach AML/BOT duties.</w:t>
      </w:r>
    </w:p>
    <w:p>
      <w:r>
        <w:pict>
          <v:rect style="width:0;height:1.5pt" o:hralign="center" o:hrstd="t" o:hr="t"/>
        </w:pict>
      </w:r>
    </w:p>
    <w:bookmarkEnd w:id="329"/>
    <w:bookmarkStart w:id="333" w:name="Xfea10b151b2bc995aabd5d9bea420be78f308d2"/>
    <w:p>
      <w:pPr>
        <w:pStyle w:val="Heading2"/>
      </w:pPr>
      <w:r>
        <w:t xml:space="preserve">3. Data Collected &amp; Cardholder Data Minimization</w:t>
      </w:r>
    </w:p>
    <w:bookmarkStart w:id="330" w:name="Xdc8410d82071caad9ddbd9ef17feb53b7dd7b5a"/>
    <w:p>
      <w:pPr>
        <w:pStyle w:val="Heading3"/>
      </w:pPr>
      <w:r>
        <w:t xml:space="preserve">3.1 Minimization principle (aligned with ARCHITECTURE §2, §6, §7 and PCI-DSS v4.0)</w:t>
      </w:r>
    </w:p>
    <w:p>
      <w:pPr>
        <w:pStyle w:val="FirstParagraph"/>
      </w:pPr>
      <w:r>
        <w:t xml:space="preserve">The system is designed to</w:t>
      </w:r>
      <w:r>
        <w:t xml:space="preserve"> </w:t>
      </w:r>
      <w:r>
        <w:rPr>
          <w:b/>
          <w:bCs/>
        </w:rPr>
        <w:t xml:space="preserve">take cardholder data out of scope as much as possible</w:t>
      </w:r>
      <w:r>
        <w:t xml:space="preserve">:</w:t>
      </w:r>
    </w:p>
    <w:p>
      <w:pPr>
        <w:pStyle w:val="Compact"/>
        <w:numPr>
          <w:ilvl w:val="0"/>
          <w:numId w:val="1121"/>
        </w:numPr>
      </w:pPr>
      <w:r>
        <w:rPr>
          <w:b/>
          <w:bCs/>
        </w:rPr>
        <w:t xml:space="preserve">Client-side tokenization</w:t>
      </w:r>
      <w:r>
        <w:t xml:space="preserve">: the PAN is sent directly from the client to the Tokenization Vault (a separate PCI network segment) and</w:t>
      </w:r>
      <w:r>
        <w:t xml:space="preserve"> </w:t>
      </w:r>
      <w:r>
        <w:rPr>
          <w:b/>
          <w:bCs/>
        </w:rPr>
        <w:t xml:space="preserve">never touches the merchant’s server or our core system</w:t>
      </w:r>
      <w:r>
        <w:t xml:space="preserve">.</w:t>
      </w:r>
    </w:p>
    <w:p>
      <w:pPr>
        <w:pStyle w:val="Compact"/>
        <w:numPr>
          <w:ilvl w:val="0"/>
          <w:numId w:val="1121"/>
        </w:numPr>
      </w:pPr>
      <w:r>
        <w:t xml:space="preserve">The core (operational DB) sees only</w:t>
      </w:r>
      <w:r>
        <w:t xml:space="preserve"> </w:t>
      </w:r>
      <w:r>
        <w:rPr>
          <w:b/>
          <w:bCs/>
        </w:rPr>
        <w:t xml:space="preserve">token +</w:t>
      </w:r>
      <w:r>
        <w:rPr>
          <w:b/>
          <w:bCs/>
        </w:rPr>
        <w:t xml:space="preserve"> </w:t>
      </w:r>
      <w:r>
        <w:rPr>
          <w:rStyle w:val="VerbatimChar"/>
          <w:b/>
          <w:bCs/>
        </w:rPr>
        <w:t xml:space="preserve">card_last4</w:t>
      </w:r>
      <w:r>
        <w:rPr>
          <w:b/>
          <w:bCs/>
        </w:rPr>
        <w:t xml:space="preserve"> </w:t>
      </w:r>
      <w:r>
        <w:rPr>
          <w:b/>
          <w:bCs/>
        </w:rPr>
        <w:t xml:space="preserve">+</w:t>
      </w:r>
      <w:r>
        <w:rPr>
          <w:b/>
          <w:bCs/>
        </w:rPr>
        <w:t xml:space="preserve"> </w:t>
      </w:r>
      <w:r>
        <w:rPr>
          <w:rStyle w:val="VerbatimChar"/>
          <w:b/>
          <w:bCs/>
        </w:rPr>
        <w:t xml:space="preserve">card_brand</w:t>
      </w:r>
      <w:r>
        <w:t xml:space="preserve">.</w:t>
      </w:r>
    </w:p>
    <w:p>
      <w:pPr>
        <w:pStyle w:val="Compact"/>
        <w:numPr>
          <w:ilvl w:val="0"/>
          <w:numId w:val="1121"/>
        </w:numPr>
      </w:pPr>
      <w:r>
        <w:t xml:space="preserve">Any PAN that must be retained is protected by</w:t>
      </w:r>
      <w:r>
        <w:t xml:space="preserve"> </w:t>
      </w:r>
      <w:r>
        <w:rPr>
          <w:b/>
          <w:bCs/>
        </w:rPr>
        <w:t xml:space="preserve">envelope encryption</w:t>
      </w:r>
      <w:r>
        <w:t xml:space="preserve">, with keys in an</w:t>
      </w:r>
      <w:r>
        <w:t xml:space="preserve"> </w:t>
      </w:r>
      <w:r>
        <w:rPr>
          <w:b/>
          <w:bCs/>
        </w:rPr>
        <w:t xml:space="preserve">HSM/KMS</w:t>
      </w:r>
      <w:r>
        <w:t xml:space="preserve"> </w:t>
      </w:r>
      <w:r>
        <w:t xml:space="preserve">(PCI Req 3), plus key rotation, dual control and split knowledge.</w:t>
      </w:r>
    </w:p>
    <w:bookmarkEnd w:id="330"/>
    <w:bookmarkStart w:id="331" w:name="Xe17e4ed0c225eea5f29189d1d879b64014ad83f"/>
    <w:p>
      <w:pPr>
        <w:pStyle w:val="Heading3"/>
      </w:pPr>
      <w:r>
        <w:t xml:space="preserve">3.2 Data never stored (PCI-DSS – Sensitive Authentication Data)</w:t>
      </w:r>
    </w:p>
    <w:p>
      <w:pPr>
        <w:pStyle w:val="FirstParagraph"/>
      </w:pPr>
      <w:r>
        <w:t xml:space="preserve">Per ARCHITECTURE §6, the operational DB</w:t>
      </w:r>
      <w:r>
        <w:t xml:space="preserve"> </w:t>
      </w:r>
      <w:r>
        <w:rPr>
          <w:b/>
          <w:bCs/>
        </w:rPr>
        <w:t xml:space="preserve">must never</w:t>
      </w:r>
      <w:r>
        <w:t xml:space="preserve"> </w:t>
      </w:r>
      <w:r>
        <w:t xml:space="preserve">store:</w:t>
      </w:r>
      <w:r>
        <w:t xml:space="preserve"> </w:t>
      </w:r>
      <w:r>
        <w:t xml:space="preserve">-</w:t>
      </w:r>
      <w:r>
        <w:t xml:space="preserve"> </w:t>
      </w:r>
      <w:r>
        <w:rPr>
          <w:b/>
          <w:bCs/>
        </w:rPr>
        <w:t xml:space="preserve">Full PAN</w:t>
      </w:r>
      <w:r>
        <w:t xml:space="preserve"> </w:t>
      </w:r>
      <w:r>
        <w:t xml:space="preserve">(kept only encrypted inside the vault in a separate PCI scope; normally only a token is retained)</w:t>
      </w:r>
      <w:r>
        <w:t xml:space="preserve"> </w:t>
      </w:r>
      <w:r>
        <w:t xml:space="preserve">-</w:t>
      </w:r>
      <w:r>
        <w:t xml:space="preserve"> </w:t>
      </w:r>
      <w:r>
        <w:rPr>
          <w:b/>
          <w:bCs/>
        </w:rPr>
        <w:t xml:space="preserve">CVV / CVV2 / CVC2</w:t>
      </w:r>
      <w:r>
        <w:t xml:space="preserve"> </w:t>
      </w:r>
      <w:r>
        <w:t xml:space="preserve">— never stored after authorization</w:t>
      </w:r>
      <w:r>
        <w:t xml:space="preserve"> </w:t>
      </w:r>
      <w:r>
        <w:t xml:space="preserve">-</w:t>
      </w:r>
      <w:r>
        <w:t xml:space="preserve"> </w:t>
      </w:r>
      <w:r>
        <w:rPr>
          <w:b/>
          <w:bCs/>
        </w:rPr>
        <w:t xml:space="preserve">PIN / PIN block</w:t>
      </w:r>
      <w:r>
        <w:t xml:space="preserve"> </w:t>
      </w:r>
      <w:r>
        <w:t xml:space="preserve">-</w:t>
      </w:r>
      <w:r>
        <w:t xml:space="preserve"> </w:t>
      </w:r>
      <w:r>
        <w:rPr>
          <w:b/>
          <w:bCs/>
        </w:rPr>
        <w:t xml:space="preserve">Full magnetic stripe / track data</w:t>
      </w:r>
    </w:p>
    <w:bookmarkEnd w:id="331"/>
    <w:bookmarkStart w:id="332" w:name="data-inventory-summary"/>
    <w:p>
      <w:pPr>
        <w:pStyle w:val="Heading3"/>
      </w:pPr>
      <w:r>
        <w:t xml:space="preserve">3.3 Data inventory (summary)</w:t>
      </w:r>
    </w:p>
    <w:tbl>
      <w:tblPr>
        <w:tblStyle w:val="Table"/>
        <w:tblW w:type="pct" w:w="5000"/>
        <w:tblLayout w:type="fixed"/>
        <w:tblLook w:firstRow="1" w:lastRow="0" w:firstColumn="0" w:lastColumn="0" w:noHBand="0" w:noVBand="0" w:val="0020"/>
      </w:tblPr>
      <w:tblGrid>
        <w:gridCol w:w="1260"/>
        <w:gridCol w:w="2520"/>
        <w:gridCol w:w="1620"/>
        <w:gridCol w:w="2520"/>
      </w:tblGrid>
      <w:tr>
        <w:trPr>
          <w:tblHeader w:val="on"/>
        </w:trPr>
        <w:tc>
          <w:tcPr/>
          <w:p>
            <w:pPr>
              <w:pStyle w:val="Compact"/>
            </w:pPr>
            <w:r>
              <w:t xml:space="preserve">Group</w:t>
            </w:r>
          </w:p>
        </w:tc>
        <w:tc>
          <w:tcPr/>
          <w:p>
            <w:pPr>
              <w:pStyle w:val="Compact"/>
            </w:pPr>
            <w:r>
              <w:t xml:space="preserve">Example data</w:t>
            </w:r>
          </w:p>
        </w:tc>
        <w:tc>
          <w:tcPr/>
          <w:p>
            <w:pPr>
              <w:pStyle w:val="Compact"/>
            </w:pPr>
            <w:r>
              <w:t xml:space="preserve">Storage</w:t>
            </w:r>
          </w:p>
        </w:tc>
        <w:tc>
          <w:tcPr/>
          <w:p>
            <w:pPr>
              <w:pStyle w:val="Compact"/>
            </w:pPr>
            <w:r>
              <w:t xml:space="preserve">Scope status</w:t>
            </w:r>
          </w:p>
        </w:tc>
      </w:tr>
      <w:tr>
        <w:tc>
          <w:tcPr/>
          <w:p>
            <w:pPr>
              <w:pStyle w:val="Compact"/>
            </w:pPr>
            <w:r>
              <w:t xml:space="preserve">Tokenized card data</w:t>
            </w:r>
          </w:p>
        </w:tc>
        <w:tc>
          <w:tcPr/>
          <w:p>
            <w:pPr>
              <w:pStyle w:val="Compact"/>
            </w:pPr>
            <w:r>
              <w:t xml:space="preserve">token,</w:t>
            </w:r>
            <w:r>
              <w:t xml:space="preserve"> </w:t>
            </w:r>
            <w:r>
              <w:rPr>
                <w:rStyle w:val="VerbatimChar"/>
              </w:rPr>
              <w:t xml:space="preserve">card_last4</w:t>
            </w:r>
            <w:r>
              <w:t xml:space="preserve">,</w:t>
            </w:r>
            <w:r>
              <w:t xml:space="preserve"> </w:t>
            </w:r>
            <w:r>
              <w:rPr>
                <w:rStyle w:val="VerbatimChar"/>
              </w:rPr>
              <w:t xml:space="preserve">card_brand</w:t>
            </w:r>
          </w:p>
        </w:tc>
        <w:tc>
          <w:tcPr/>
          <w:p>
            <w:pPr>
              <w:pStyle w:val="Compact"/>
            </w:pPr>
            <w:r>
              <w:t xml:space="preserve">operational DB (in Thailand)</w:t>
            </w:r>
          </w:p>
        </w:tc>
        <w:tc>
          <w:tcPr/>
          <w:p>
            <w:pPr>
              <w:pStyle w:val="Compact"/>
            </w:pPr>
            <w:r>
              <w:t xml:space="preserve">outside core PCI scope</w:t>
            </w:r>
          </w:p>
        </w:tc>
      </w:tr>
      <w:tr>
        <w:tc>
          <w:tcPr/>
          <w:p>
            <w:pPr>
              <w:pStyle w:val="Compact"/>
            </w:pPr>
            <w:r>
              <w:t xml:space="preserve">PAN (if required)</w:t>
            </w:r>
          </w:p>
        </w:tc>
        <w:tc>
          <w:tcPr/>
          <w:p>
            <w:pPr>
              <w:pStyle w:val="Compact"/>
            </w:pPr>
            <w:r>
              <w:t xml:space="preserve">encrypted PAN</w:t>
            </w:r>
          </w:p>
        </w:tc>
        <w:tc>
          <w:tcPr/>
          <w:p>
            <w:pPr>
              <w:pStyle w:val="Compact"/>
            </w:pPr>
            <w:r>
              <w:t xml:space="preserve">Tokenization Vault (separate segment)</w:t>
            </w:r>
          </w:p>
        </w:tc>
        <w:tc>
          <w:tcPr/>
          <w:p>
            <w:pPr>
              <w:pStyle w:val="Compact"/>
            </w:pPr>
            <w:r>
              <w:t xml:space="preserve">inside PCI scope</w:t>
            </w:r>
          </w:p>
        </w:tc>
      </w:tr>
      <w:tr>
        <w:tc>
          <w:tcPr/>
          <w:p>
            <w:pPr>
              <w:pStyle w:val="Compact"/>
            </w:pPr>
            <w:r>
              <w:t xml:space="preserve">Transaction data</w:t>
            </w:r>
          </w:p>
        </w:tc>
        <w:tc>
          <w:tcPr/>
          <w:p>
            <w:pPr>
              <w:pStyle w:val="Compact"/>
            </w:pPr>
            <w:r>
              <w:t xml:space="preserve">amount (minor units), status,</w:t>
            </w:r>
            <w:r>
              <w:t xml:space="preserve"> </w:t>
            </w:r>
            <w:r>
              <w:rPr>
                <w:rStyle w:val="VerbatimChar"/>
              </w:rPr>
              <w:t xml:space="preserve">auth_code</w:t>
            </w:r>
            <w:r>
              <w:t xml:space="preserve">, timestamp</w:t>
            </w:r>
          </w:p>
        </w:tc>
        <w:tc>
          <w:tcPr/>
          <w:p>
            <w:pPr>
              <w:pStyle w:val="Compact"/>
            </w:pPr>
            <w:r>
              <w:t xml:space="preserve">ledger / payments (append-only)</w:t>
            </w:r>
          </w:p>
        </w:tc>
        <w:tc>
          <w:tcPr/>
          <w:p>
            <w:pPr>
              <w:pStyle w:val="Compact"/>
            </w:pPr>
            <w:r>
              <w:t xml:space="preserve">outside PCI</w:t>
            </w:r>
          </w:p>
        </w:tc>
      </w:tr>
      <w:tr>
        <w:tc>
          <w:tcPr/>
          <w:p>
            <w:pPr>
              <w:pStyle w:val="Compact"/>
            </w:pPr>
            <w:r>
              <w:t xml:space="preserve">Merchant/KYC</w:t>
            </w:r>
          </w:p>
        </w:tc>
        <w:tc>
          <w:tcPr/>
          <w:p>
            <w:pPr>
              <w:pStyle w:val="Compact"/>
            </w:pPr>
            <w:r>
              <w:t xml:space="preserve">name, entity ID, authorized persons, documents</w:t>
            </w:r>
          </w:p>
        </w:tc>
        <w:tc>
          <w:tcPr/>
          <w:p>
            <w:pPr>
              <w:pStyle w:val="Compact"/>
            </w:pPr>
            <w:r>
              <w:t xml:space="preserve">merchant store (encrypted at rest)</w:t>
            </w:r>
          </w:p>
        </w:tc>
        <w:tc>
          <w:tcPr/>
          <w:p>
            <w:pPr>
              <w:pStyle w:val="Compact"/>
            </w:pPr>
            <w:r>
              <w:t xml:space="preserve">outside PCI, within PDPA/AML</w:t>
            </w:r>
          </w:p>
        </w:tc>
      </w:tr>
      <w:tr>
        <w:tc>
          <w:tcPr/>
          <w:p>
            <w:pPr>
              <w:pStyle w:val="Compact"/>
            </w:pPr>
            <w:r>
              <w:t xml:space="preserve">Risk/fraud</w:t>
            </w:r>
          </w:p>
        </w:tc>
        <w:tc>
          <w:tcPr/>
          <w:p>
            <w:pPr>
              <w:pStyle w:val="Compact"/>
            </w:pPr>
            <w:r>
              <w:t xml:space="preserve">IP, device fingerprint, 3DS result</w:t>
            </w:r>
          </w:p>
        </w:tc>
        <w:tc>
          <w:tcPr/>
          <w:p>
            <w:pPr>
              <w:pStyle w:val="Compact"/>
            </w:pPr>
            <w:r>
              <w:t xml:space="preserve">risk store</w:t>
            </w:r>
          </w:p>
        </w:tc>
        <w:tc>
          <w:tcPr/>
          <w:p>
            <w:pPr>
              <w:pStyle w:val="Compact"/>
            </w:pPr>
            <w:r>
              <w:t xml:space="preserve">legitimate interest</w:t>
            </w:r>
          </w:p>
        </w:tc>
      </w:tr>
      <w:tr>
        <w:tc>
          <w:tcPr/>
          <w:p>
            <w:pPr>
              <w:pStyle w:val="Compact"/>
            </w:pPr>
            <w:r>
              <w:t xml:space="preserve">Audit</w:t>
            </w:r>
          </w:p>
        </w:tc>
        <w:tc>
          <w:tcPr/>
          <w:p>
            <w:pPr>
              <w:pStyle w:val="Compact"/>
            </w:pPr>
            <w:r>
              <w:t xml:space="preserve">audit_log (append-only)</w:t>
            </w:r>
          </w:p>
        </w:tc>
        <w:tc>
          <w:tcPr/>
          <w:p>
            <w:pPr>
              <w:pStyle w:val="Compact"/>
            </w:pPr>
            <w:r>
              <w:t xml:space="preserve">audit store</w:t>
            </w:r>
          </w:p>
        </w:tc>
        <w:tc>
          <w:tcPr/>
          <w:p>
            <w:pPr>
              <w:pStyle w:val="Compact"/>
            </w:pPr>
            <w:r>
              <w:t xml:space="preserve">mandatory per PCI Req 10 / BOT</w:t>
            </w:r>
          </w:p>
        </w:tc>
      </w:tr>
    </w:tbl>
    <w:p>
      <w:r>
        <w:pict>
          <v:rect style="width:0;height:1.5pt" o:hralign="center" o:hrstd="t" o:hr="t"/>
        </w:pict>
      </w:r>
    </w:p>
    <w:bookmarkEnd w:id="332"/>
    <w:bookmarkEnd w:id="333"/>
    <w:bookmarkStart w:id="335" w:name="data-subject-rights"/>
    <w:p>
      <w:pPr>
        <w:pStyle w:val="Heading2"/>
      </w:pPr>
      <w:r>
        <w:t xml:space="preserve">4. Data Subject Rights</w:t>
      </w:r>
    </w:p>
    <w:p>
      <w:pPr>
        <w:pStyle w:val="FirstParagraph"/>
      </w:pPr>
      <w:r>
        <w:t xml:space="preserve">Subject to PDPA conditions and exemptions, data subjects have the following rights:</w:t>
      </w:r>
    </w:p>
    <w:tbl>
      <w:tblPr>
        <w:tblStyle w:val="Table"/>
        <w:tblW w:type="pct" w:w="5000"/>
        <w:tblLayout w:type="fixed"/>
        <w:tblLook w:firstRow="1" w:lastRow="0" w:firstColumn="0" w:lastColumn="0" w:noHBand="0" w:noVBand="0" w:val="0020"/>
      </w:tblPr>
      <w:tblGrid>
        <w:gridCol w:w="1732"/>
        <w:gridCol w:w="2227"/>
        <w:gridCol w:w="3960"/>
      </w:tblGrid>
      <w:tr>
        <w:trPr>
          <w:tblHeader w:val="on"/>
        </w:trPr>
        <w:tc>
          <w:tcPr/>
          <w:p>
            <w:pPr>
              <w:pStyle w:val="Compact"/>
            </w:pPr>
            <w:r>
              <w:t xml:space="preserve">Right</w:t>
            </w:r>
          </w:p>
        </w:tc>
        <w:tc>
          <w:tcPr/>
          <w:p>
            <w:pPr>
              <w:pStyle w:val="Compact"/>
            </w:pPr>
            <w:r>
              <w:t xml:space="preserve">Section</w:t>
            </w:r>
          </w:p>
        </w:tc>
        <w:tc>
          <w:tcPr/>
          <w:p>
            <w:pPr>
              <w:pStyle w:val="Compact"/>
            </w:pPr>
            <w:r>
              <w:t xml:space="preserve">Notes / limits</w:t>
            </w:r>
          </w:p>
        </w:tc>
      </w:tr>
      <w:tr>
        <w:tc>
          <w:tcPr/>
          <w:p>
            <w:pPr>
              <w:pStyle w:val="Compact"/>
            </w:pPr>
            <w:r>
              <w:t xml:space="preserve">To be informed</w:t>
            </w:r>
          </w:p>
        </w:tc>
        <w:tc>
          <w:tcPr/>
          <w:p>
            <w:pPr>
              <w:pStyle w:val="Compact"/>
            </w:pPr>
            <w:r>
              <w:t xml:space="preserve">s.23</w:t>
            </w:r>
          </w:p>
        </w:tc>
        <w:tc>
          <w:tcPr/>
          <w:p>
            <w:pPr>
              <w:pStyle w:val="Compact"/>
            </w:pPr>
            <w:r>
              <w:t xml:space="preserve">Via this policy and point-of-collection notices</w:t>
            </w:r>
          </w:p>
        </w:tc>
      </w:tr>
      <w:tr>
        <w:tc>
          <w:tcPr/>
          <w:p>
            <w:pPr>
              <w:pStyle w:val="Compact"/>
            </w:pPr>
            <w:r>
              <w:t xml:space="preserve">Access &amp; copy</w:t>
            </w:r>
          </w:p>
        </w:tc>
        <w:tc>
          <w:tcPr/>
          <w:p>
            <w:pPr>
              <w:pStyle w:val="Compact"/>
            </w:pPr>
            <w:r>
              <w:t xml:space="preserve">s.30</w:t>
            </w:r>
          </w:p>
        </w:tc>
        <w:tc>
          <w:tcPr/>
          <w:p>
            <w:pPr>
              <w:pStyle w:val="Compact"/>
            </w:pPr>
            <w:r>
              <w:t xml:space="preserve">Responded within 30 days</w:t>
            </w:r>
          </w:p>
        </w:tc>
      </w:tr>
      <w:tr>
        <w:tc>
          <w:tcPr/>
          <w:p>
            <w:pPr>
              <w:pStyle w:val="Compact"/>
            </w:pPr>
            <w:r>
              <w:t xml:space="preserve">Data portability</w:t>
            </w:r>
          </w:p>
        </w:tc>
        <w:tc>
          <w:tcPr/>
          <w:p>
            <w:pPr>
              <w:pStyle w:val="Compact"/>
            </w:pPr>
            <w:r>
              <w:t xml:space="preserve">s.31</w:t>
            </w:r>
          </w:p>
        </w:tc>
        <w:tc>
          <w:tcPr/>
          <w:p>
            <w:pPr>
              <w:pStyle w:val="Compact"/>
            </w:pPr>
            <w:r>
              <w:t xml:space="preserve">Only for automated processing on consent/contract basis</w:t>
            </w:r>
          </w:p>
        </w:tc>
      </w:tr>
      <w:tr>
        <w:tc>
          <w:tcPr/>
          <w:p>
            <w:pPr>
              <w:pStyle w:val="Compact"/>
            </w:pPr>
            <w:r>
              <w:t xml:space="preserve">Object</w:t>
            </w:r>
          </w:p>
        </w:tc>
        <w:tc>
          <w:tcPr/>
          <w:p>
            <w:pPr>
              <w:pStyle w:val="Compact"/>
            </w:pPr>
            <w:r>
              <w:t xml:space="preserve">s.32</w:t>
            </w:r>
          </w:p>
        </w:tc>
        <w:tc>
          <w:tcPr/>
          <w:p>
            <w:pPr>
              <w:pStyle w:val="Compact"/>
            </w:pPr>
            <w:r>
              <w:t xml:space="preserve">e.g. object to direct marketing — actioned promptly</w:t>
            </w:r>
          </w:p>
        </w:tc>
      </w:tr>
      <w:tr>
        <w:tc>
          <w:tcPr/>
          <w:p>
            <w:pPr>
              <w:pStyle w:val="Compact"/>
            </w:pPr>
            <w:r>
              <w:t xml:space="preserve">Erasure</w:t>
            </w:r>
          </w:p>
        </w:tc>
        <w:tc>
          <w:tcPr/>
          <w:p>
            <w:pPr>
              <w:pStyle w:val="Compact"/>
            </w:pPr>
            <w:r>
              <w:t xml:space="preserve">s.33</w:t>
            </w:r>
          </w:p>
        </w:tc>
        <w:tc>
          <w:tcPr/>
          <w:p>
            <w:pPr>
              <w:pStyle w:val="Compact"/>
            </w:pPr>
            <w:r>
              <w:rPr>
                <w:b/>
                <w:bCs/>
              </w:rPr>
              <w:t xml:space="preserve">Limited</w:t>
            </w:r>
            <w:r>
              <w:t xml:space="preserve"> </w:t>
            </w:r>
            <w:r>
              <w:t xml:space="preserve">— may be refused where retention is required by AML/BOT law</w:t>
            </w:r>
          </w:p>
        </w:tc>
      </w:tr>
      <w:tr>
        <w:tc>
          <w:tcPr/>
          <w:p>
            <w:pPr>
              <w:pStyle w:val="Compact"/>
            </w:pPr>
            <w:r>
              <w:t xml:space="preserve">Restriction</w:t>
            </w:r>
          </w:p>
        </w:tc>
        <w:tc>
          <w:tcPr/>
          <w:p>
            <w:pPr>
              <w:pStyle w:val="Compact"/>
            </w:pPr>
            <w:r>
              <w:t xml:space="preserve">s.34</w:t>
            </w:r>
          </w:p>
        </w:tc>
        <w:tc>
          <w:tcPr/>
          <w:p>
            <w:pPr>
              <w:pStyle w:val="Compact"/>
            </w:pPr>
            <w:r>
              <w:t xml:space="preserve">Suspended while accuracy is verified</w:t>
            </w:r>
          </w:p>
        </w:tc>
      </w:tr>
      <w:tr>
        <w:tc>
          <w:tcPr/>
          <w:p>
            <w:pPr>
              <w:pStyle w:val="Compact"/>
            </w:pPr>
            <w:r>
              <w:t xml:space="preserve">Rectification</w:t>
            </w:r>
          </w:p>
        </w:tc>
        <w:tc>
          <w:tcPr/>
          <w:p>
            <w:pPr>
              <w:pStyle w:val="Compact"/>
            </w:pPr>
            <w:r>
              <w:t xml:space="preserve">s.35–36</w:t>
            </w:r>
          </w:p>
        </w:tc>
        <w:tc>
          <w:tcPr/>
          <w:p>
            <w:pPr>
              <w:pStyle w:val="Compact"/>
            </w:pPr>
            <w:r>
              <w:t xml:space="preserve">Keep data accurate and current</w:t>
            </w:r>
          </w:p>
        </w:tc>
      </w:tr>
      <w:tr>
        <w:tc>
          <w:tcPr/>
          <w:p>
            <w:pPr>
              <w:pStyle w:val="Compact"/>
            </w:pPr>
            <w:r>
              <w:t xml:space="preserve">Withdraw consent</w:t>
            </w:r>
          </w:p>
        </w:tc>
        <w:tc>
          <w:tcPr/>
          <w:p>
            <w:pPr>
              <w:pStyle w:val="Compact"/>
            </w:pPr>
            <w:r>
              <w:t xml:space="preserve">s.19</w:t>
            </w:r>
          </w:p>
        </w:tc>
        <w:tc>
          <w:tcPr/>
          <w:p>
            <w:pPr>
              <w:pStyle w:val="Compact"/>
            </w:pPr>
            <w:r>
              <w:t xml:space="preserve">Only for consent-based activities (e.g. marketing); does not affect other bases</w:t>
            </w:r>
          </w:p>
        </w:tc>
      </w:tr>
      <w:tr>
        <w:tc>
          <w:tcPr/>
          <w:p>
            <w:pPr>
              <w:pStyle w:val="Compact"/>
            </w:pPr>
            <w:r>
              <w:t xml:space="preserve">Complaint</w:t>
            </w:r>
          </w:p>
        </w:tc>
        <w:tc>
          <w:tcPr/>
          <w:p>
            <w:pPr>
              <w:pStyle w:val="Compact"/>
            </w:pPr>
            <w:r>
              <w:t xml:space="preserve">s.73</w:t>
            </w:r>
          </w:p>
        </w:tc>
        <w:tc>
          <w:tcPr/>
          <w:p>
            <w:pPr>
              <w:pStyle w:val="Compact"/>
            </w:pPr>
            <w:r>
              <w:t xml:space="preserve">To us and to the PDPC</w:t>
            </w:r>
          </w:p>
        </w:tc>
      </w:tr>
    </w:tbl>
    <w:bookmarkStart w:id="334" w:name="dsar-procedure-timelines"/>
    <w:p>
      <w:pPr>
        <w:pStyle w:val="Heading3"/>
      </w:pPr>
      <w:r>
        <w:t xml:space="preserve">4.1 DSAR procedure &amp; timelines</w:t>
      </w:r>
    </w:p>
    <w:p>
      <w:pPr>
        <w:pStyle w:val="Compact"/>
        <w:numPr>
          <w:ilvl w:val="0"/>
          <w:numId w:val="1122"/>
        </w:numPr>
      </w:pPr>
      <w:r>
        <w:t xml:space="preserve">Submit via</w:t>
      </w:r>
      <w:r>
        <w:t xml:space="preserve"> </w:t>
      </w:r>
      <w:r>
        <w:rPr>
          <w:rStyle w:val="VerbatimChar"/>
        </w:rPr>
        <w:t xml:space="preserve">privacy@[บริษัท / Company]</w:t>
      </w:r>
      <w:r>
        <w:t xml:space="preserve"> </w:t>
      </w:r>
      <w:r>
        <w:t xml:space="preserve">or a web form</w:t>
      </w:r>
      <w:r>
        <w:t xml:space="preserve"> </w:t>
      </w:r>
      <w:r>
        <w:rPr>
          <w:b/>
          <w:bCs/>
        </w:rPr>
        <w:t xml:space="preserve">[TODO confirm channel]</w:t>
      </w:r>
      <w:r>
        <w:t xml:space="preserve">.</w:t>
      </w:r>
    </w:p>
    <w:p>
      <w:pPr>
        <w:pStyle w:val="Compact"/>
        <w:numPr>
          <w:ilvl w:val="0"/>
          <w:numId w:val="1122"/>
        </w:numPr>
      </w:pPr>
      <w:r>
        <w:rPr>
          <w:b/>
          <w:bCs/>
        </w:rPr>
        <w:t xml:space="preserve">Verify the requester’s identity</w:t>
      </w:r>
      <w:r>
        <w:t xml:space="preserve"> </w:t>
      </w:r>
      <w:r>
        <w:t xml:space="preserve">(to avoid wrong-person disclosure) within 3 business days.</w:t>
      </w:r>
    </w:p>
    <w:p>
      <w:pPr>
        <w:pStyle w:val="Compact"/>
        <w:numPr>
          <w:ilvl w:val="0"/>
          <w:numId w:val="1122"/>
        </w:numPr>
      </w:pPr>
      <w:r>
        <w:rPr>
          <w:b/>
          <w:bCs/>
        </w:rPr>
        <w:t xml:space="preserve">Action and respond within 30 days</w:t>
      </w:r>
      <w:r>
        <w:t xml:space="preserve"> </w:t>
      </w:r>
      <w:r>
        <w:t xml:space="preserve">of a complete request (extendable with justified notice).</w:t>
      </w:r>
    </w:p>
    <w:p>
      <w:pPr>
        <w:pStyle w:val="Compact"/>
        <w:numPr>
          <w:ilvl w:val="0"/>
          <w:numId w:val="1122"/>
        </w:numPr>
      </w:pPr>
      <w:r>
        <w:t xml:space="preserve">If refused,</w:t>
      </w:r>
      <w:r>
        <w:t xml:space="preserve"> </w:t>
      </w:r>
      <w:r>
        <w:rPr>
          <w:b/>
          <w:bCs/>
        </w:rPr>
        <w:t xml:space="preserve">record the reason and inform the right to complain to the PDPC</w:t>
      </w:r>
      <w:r>
        <w:t xml:space="preserve">.</w:t>
      </w:r>
    </w:p>
    <w:p>
      <w:pPr>
        <w:pStyle w:val="Compact"/>
        <w:numPr>
          <w:ilvl w:val="0"/>
          <w:numId w:val="1122"/>
        </w:numPr>
      </w:pPr>
      <w:r>
        <w:t xml:space="preserve">Log all requests in an auditable DSAR register.</w:t>
      </w:r>
    </w:p>
    <w:p>
      <w:r>
        <w:pict>
          <v:rect style="width:0;height:1.5pt" o:hralign="center" o:hrstd="t" o:hr="t"/>
        </w:pict>
      </w:r>
    </w:p>
    <w:bookmarkEnd w:id="334"/>
    <w:bookmarkEnd w:id="335"/>
    <w:bookmarkStart w:id="336" w:name="cross-border-transfer"/>
    <w:p>
      <w:pPr>
        <w:pStyle w:val="Heading2"/>
      </w:pPr>
      <w:r>
        <w:t xml:space="preserve">5. Cross-Border Transfer</w:t>
      </w:r>
    </w:p>
    <w:p>
      <w:pPr>
        <w:pStyle w:val="FirstParagraph"/>
      </w:pPr>
      <w:r>
        <w:t xml:space="preserve">Principle: per ARCHITECTURE §8 we set</w:t>
      </w:r>
      <w:r>
        <w:t xml:space="preserve"> </w:t>
      </w:r>
      <w:r>
        <w:rPr>
          <w:b/>
          <w:bCs/>
        </w:rPr>
        <w:t xml:space="preserve">data residency in Thailand</w:t>
      </w:r>
      <w:r>
        <w:t xml:space="preserve"> </w:t>
      </w:r>
      <w:r>
        <w:t xml:space="preserve">by default for transaction and cardholder data, aligned with BOT/PDPA requirements.</w:t>
      </w:r>
    </w:p>
    <w:p>
      <w:pPr>
        <w:pStyle w:val="BodyText"/>
      </w:pPr>
      <w:r>
        <w:t xml:space="preserve">Cross-border transfers occur only where necessary (e.g. 3DS directory server, card scheme, cloud sub-processor) and must comply with</w:t>
      </w:r>
      <w:r>
        <w:t xml:space="preserve"> </w:t>
      </w:r>
      <w:r>
        <w:rPr>
          <w:b/>
          <w:bCs/>
        </w:rPr>
        <w:t xml:space="preserve">PDPA s.28/29</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Mechanism</w:t>
            </w:r>
          </w:p>
        </w:tc>
        <w:tc>
          <w:tcPr/>
          <w:p>
            <w:pPr>
              <w:pStyle w:val="Compact"/>
            </w:pPr>
            <w:r>
              <w:t xml:space="preserve">Used when</w:t>
            </w:r>
          </w:p>
        </w:tc>
      </w:tr>
      <w:tr>
        <w:tc>
          <w:tcPr/>
          <w:p>
            <w:pPr>
              <w:pStyle w:val="Compact"/>
            </w:pPr>
            <w:r>
              <w:t xml:space="preserve">Destination has adequate protection (PDPC adequacy)</w:t>
            </w:r>
          </w:p>
        </w:tc>
        <w:tc>
          <w:tcPr/>
          <w:p>
            <w:pPr>
              <w:pStyle w:val="Compact"/>
            </w:pPr>
            <w:r>
              <w:t xml:space="preserve">s.28</w:t>
            </w:r>
          </w:p>
        </w:tc>
      </w:tr>
      <w:tr>
        <w:tc>
          <w:tcPr/>
          <w:p>
            <w:pPr>
              <w:pStyle w:val="Compact"/>
            </w:pPr>
            <w:r>
              <w:rPr>
                <w:b/>
                <w:bCs/>
              </w:rPr>
              <w:t xml:space="preserve">Appropriate safeguards</w:t>
            </w:r>
            <w:r>
              <w:t xml:space="preserve"> </w:t>
            </w:r>
            <w:r>
              <w:t xml:space="preserve">such as BCR / SCC / an enforceable data transfer agreement</w:t>
            </w:r>
          </w:p>
        </w:tc>
        <w:tc>
          <w:tcPr/>
          <w:p>
            <w:pPr>
              <w:pStyle w:val="Compact"/>
            </w:pPr>
            <w:r>
              <w:t xml:space="preserve">s.29</w:t>
            </w:r>
          </w:p>
        </w:tc>
      </w:tr>
      <w:tr>
        <w:tc>
          <w:tcPr/>
          <w:p>
            <w:pPr>
              <w:pStyle w:val="Compact"/>
            </w:pPr>
            <w:r>
              <w:t xml:space="preserve">Necessity for a contract with the data subject / substantial interest</w:t>
            </w:r>
          </w:p>
        </w:tc>
        <w:tc>
          <w:tcPr/>
          <w:p>
            <w:pPr>
              <w:pStyle w:val="Compact"/>
            </w:pPr>
            <w:r>
              <w:t xml:space="preserve">s.28 exemption</w:t>
            </w:r>
          </w:p>
        </w:tc>
      </w:tr>
    </w:tbl>
    <w:p>
      <w:pPr>
        <w:pStyle w:val="BodyText"/>
      </w:pPr>
      <w:r>
        <w:rPr>
          <w:b/>
          <w:bCs/>
        </w:rPr>
        <w:t xml:space="preserve">Additional controls:</w:t>
      </w:r>
      <w:r>
        <w:t xml:space="preserve"> </w:t>
      </w:r>
      <w:r>
        <w:t xml:space="preserve">card data leaving the country must always be tokenized or encrypted; card scheme/3DS networks inherently process cross-border by design — this must be documented in the RoPA and DPA.</w:t>
      </w:r>
    </w:p>
    <w:p>
      <w:pPr>
        <w:pStyle w:val="BlockText"/>
      </w:pPr>
      <w:r>
        <w:rPr>
          <w:b/>
          <w:bCs/>
        </w:rPr>
        <w:t xml:space="preserve">[TODO — Cross-border]</w:t>
      </w:r>
      <w:r>
        <w:t xml:space="preserve"> </w:t>
      </w:r>
      <w:r>
        <w:t xml:space="preserve">Finalize the list of overseas sub-processors, cloud regions, and the s.29 mechanism used for each before BOT submission.</w:t>
      </w:r>
    </w:p>
    <w:p>
      <w:r>
        <w:pict>
          <v:rect style="width:0;height:1.5pt" o:hralign="center" o:hrstd="t" o:hr="t"/>
        </w:pict>
      </w:r>
    </w:p>
    <w:bookmarkEnd w:id="336"/>
    <w:bookmarkStart w:id="337" w:name="data-retention"/>
    <w:p>
      <w:pPr>
        <w:pStyle w:val="Heading2"/>
      </w:pPr>
      <w:r>
        <w:t xml:space="preserve">6. Data Retention</w:t>
      </w:r>
    </w:p>
    <w:tbl>
      <w:tblPr>
        <w:tblStyle w:val="Table"/>
        <w:tblW w:type="pct" w:w="5000"/>
        <w:tblLayout w:type="fixed"/>
        <w:tblLook w:firstRow="1" w:lastRow="0" w:firstColumn="0" w:lastColumn="0" w:noHBand="0" w:noVBand="0" w:val="0020"/>
      </w:tblPr>
      <w:tblGrid>
        <w:gridCol w:w="2904"/>
        <w:gridCol w:w="2904"/>
        <w:gridCol w:w="2112"/>
      </w:tblGrid>
      <w:tr>
        <w:trPr>
          <w:tblHeader w:val="on"/>
        </w:trPr>
        <w:tc>
          <w:tcPr/>
          <w:p>
            <w:pPr>
              <w:pStyle w:val="Compact"/>
            </w:pPr>
            <w:r>
              <w:t xml:space="preserve">Data type</w:t>
            </w:r>
          </w:p>
        </w:tc>
        <w:tc>
          <w:tcPr/>
          <w:p>
            <w:pPr>
              <w:pStyle w:val="Compact"/>
            </w:pPr>
            <w:r>
              <w:t xml:space="preserve">Retention</w:t>
            </w:r>
          </w:p>
        </w:tc>
        <w:tc>
          <w:tcPr/>
          <w:p>
            <w:pPr>
              <w:pStyle w:val="Compact"/>
            </w:pPr>
            <w:r>
              <w:t xml:space="preserve">Reason</w:t>
            </w:r>
          </w:p>
        </w:tc>
      </w:tr>
      <w:tr>
        <w:tc>
          <w:tcPr/>
          <w:p>
            <w:pPr>
              <w:pStyle w:val="Compact"/>
            </w:pPr>
            <w:r>
              <w:t xml:space="preserve">Transaction/ledger records, audit_log</w:t>
            </w:r>
          </w:p>
        </w:tc>
        <w:tc>
          <w:tcPr/>
          <w:p>
            <w:pPr>
              <w:pStyle w:val="Compact"/>
            </w:pPr>
            <w:r>
              <w:t xml:space="preserve">at least</w:t>
            </w:r>
            <w:r>
              <w:t xml:space="preserve"> </w:t>
            </w:r>
            <w:r>
              <w:rPr>
                <w:b/>
                <w:bCs/>
              </w:rPr>
              <w:t xml:space="preserve">5 years</w:t>
            </w:r>
            <w:r>
              <w:t xml:space="preserve"> </w:t>
            </w:r>
            <w:r>
              <w:t xml:space="preserve">after the transaction (AML/accounting)</w:t>
            </w:r>
          </w:p>
        </w:tc>
        <w:tc>
          <w:tcPr/>
          <w:p>
            <w:pPr>
              <w:pStyle w:val="Compact"/>
            </w:pPr>
            <w:r>
              <w:t xml:space="preserve">legal obligation</w:t>
            </w:r>
          </w:p>
        </w:tc>
      </w:tr>
      <w:tr>
        <w:tc>
          <w:tcPr/>
          <w:p>
            <w:pPr>
              <w:pStyle w:val="Compact"/>
            </w:pPr>
            <w:r>
              <w:t xml:space="preserve">Merchant KYC/CDD</w:t>
            </w:r>
          </w:p>
        </w:tc>
        <w:tc>
          <w:tcPr/>
          <w:p>
            <w:pPr>
              <w:pStyle w:val="Compact"/>
            </w:pPr>
            <w:r>
              <w:t xml:space="preserve">at least</w:t>
            </w:r>
            <w:r>
              <w:t xml:space="preserve"> </w:t>
            </w:r>
            <w:r>
              <w:rPr>
                <w:b/>
                <w:bCs/>
              </w:rPr>
              <w:t xml:space="preserve">5 years</w:t>
            </w:r>
            <w:r>
              <w:t xml:space="preserve"> </w:t>
            </w:r>
            <w:r>
              <w:t xml:space="preserve">after relationship ends</w:t>
            </w:r>
          </w:p>
        </w:tc>
        <w:tc>
          <w:tcPr/>
          <w:p>
            <w:pPr>
              <w:pStyle w:val="Compact"/>
            </w:pPr>
            <w:r>
              <w:t xml:space="preserve">AML Act</w:t>
            </w:r>
          </w:p>
        </w:tc>
      </w:tr>
      <w:tr>
        <w:tc>
          <w:tcPr/>
          <w:p>
            <w:pPr>
              <w:pStyle w:val="Compact"/>
            </w:pPr>
            <w:r>
              <w:t xml:space="preserve">PAN/token (for recurring)</w:t>
            </w:r>
          </w:p>
        </w:tc>
        <w:tc>
          <w:tcPr/>
          <w:p>
            <w:pPr>
              <w:pStyle w:val="Compact"/>
            </w:pPr>
            <w:r>
              <w:t xml:space="preserve">only as long as needed / until withdrawal or contract end</w:t>
            </w:r>
          </w:p>
        </w:tc>
        <w:tc>
          <w:tcPr/>
          <w:p>
            <w:pPr>
              <w:pStyle w:val="Compact"/>
            </w:pPr>
            <w:r>
              <w:t xml:space="preserve">contract + minimization</w:t>
            </w:r>
          </w:p>
        </w:tc>
      </w:tr>
      <w:tr>
        <w:tc>
          <w:tcPr/>
          <w:p>
            <w:pPr>
              <w:pStyle w:val="Compact"/>
            </w:pPr>
            <w:r>
              <w:t xml:space="preserve">CVV/CVC</w:t>
            </w:r>
          </w:p>
        </w:tc>
        <w:tc>
          <w:tcPr/>
          <w:p>
            <w:pPr>
              <w:pStyle w:val="Compact"/>
            </w:pPr>
            <w:r>
              <w:rPr>
                <w:b/>
                <w:bCs/>
              </w:rPr>
              <w:t xml:space="preserve">never stored</w:t>
            </w:r>
            <w:r>
              <w:t xml:space="preserve"> </w:t>
            </w:r>
            <w:r>
              <w:t xml:space="preserve">(deleted immediately after authorization)</w:t>
            </w:r>
          </w:p>
        </w:tc>
        <w:tc>
          <w:tcPr/>
          <w:p>
            <w:pPr>
              <w:pStyle w:val="Compact"/>
            </w:pPr>
            <w:r>
              <w:t xml:space="preserve">PCI-DSS</w:t>
            </w:r>
          </w:p>
        </w:tc>
      </w:tr>
      <w:tr>
        <w:tc>
          <w:tcPr/>
          <w:p>
            <w:pPr>
              <w:pStyle w:val="Compact"/>
            </w:pPr>
            <w:r>
              <w:t xml:space="preserve">Security logs (SIEM)</w:t>
            </w:r>
          </w:p>
        </w:tc>
        <w:tc>
          <w:tcPr/>
          <w:p>
            <w:pPr>
              <w:pStyle w:val="Compact"/>
            </w:pPr>
            <w:r>
              <w:t xml:space="preserve">at least</w:t>
            </w:r>
            <w:r>
              <w:t xml:space="preserve"> </w:t>
            </w:r>
            <w:r>
              <w:rPr>
                <w:b/>
                <w:bCs/>
              </w:rPr>
              <w:t xml:space="preserve">1 year</w:t>
            </w:r>
            <w:r>
              <w:t xml:space="preserve"> </w:t>
            </w:r>
            <w:r>
              <w:t xml:space="preserve">(3 months immediately available)</w:t>
            </w:r>
          </w:p>
        </w:tc>
        <w:tc>
          <w:tcPr/>
          <w:p>
            <w:pPr>
              <w:pStyle w:val="Compact"/>
            </w:pPr>
            <w:r>
              <w:t xml:space="preserve">PCI Req 10</w:t>
            </w:r>
          </w:p>
        </w:tc>
      </w:tr>
      <w:tr>
        <w:tc>
          <w:tcPr/>
          <w:p>
            <w:pPr>
              <w:pStyle w:val="Compact"/>
            </w:pPr>
            <w:r>
              <w:t xml:space="preserve">Marketing data (consent)</w:t>
            </w:r>
          </w:p>
        </w:tc>
        <w:tc>
          <w:tcPr/>
          <w:p>
            <w:pPr>
              <w:pStyle w:val="Compact"/>
            </w:pPr>
            <w:r>
              <w:t xml:space="preserve">until consent is withdrawn</w:t>
            </w:r>
          </w:p>
        </w:tc>
        <w:tc>
          <w:tcPr/>
          <w:p>
            <w:pPr>
              <w:pStyle w:val="Compact"/>
            </w:pPr>
            <w:r>
              <w:t xml:space="preserve">s.19</w:t>
            </w:r>
          </w:p>
        </w:tc>
      </w:tr>
    </w:tbl>
    <w:p>
      <w:pPr>
        <w:pStyle w:val="BodyText"/>
      </w:pPr>
      <w:r>
        <w:t xml:space="preserve">On expiry we delete or anonymize the data via a documented, auditable procedure.</w:t>
      </w:r>
    </w:p>
    <w:p>
      <w:r>
        <w:pict>
          <v:rect style="width:0;height:1.5pt" o:hralign="center" o:hrstd="t" o:hr="t"/>
        </w:pict>
      </w:r>
    </w:p>
    <w:bookmarkEnd w:id="337"/>
    <w:bookmarkStart w:id="338" w:name="security-measures"/>
    <w:p>
      <w:pPr>
        <w:pStyle w:val="Heading2"/>
      </w:pPr>
      <w:r>
        <w:t xml:space="preserve">7. Security Measures</w:t>
      </w:r>
    </w:p>
    <w:p>
      <w:pPr>
        <w:pStyle w:val="FirstParagraph"/>
      </w:pPr>
      <w:r>
        <w:t xml:space="preserve">Aligned with ARCHITECTURE §7 and PCI-DSS v4.0:</w:t>
      </w:r>
      <w:r>
        <w:t xml:space="preserve"> </w:t>
      </w:r>
      <w:r>
        <w:t xml:space="preserve">-</w:t>
      </w:r>
      <w:r>
        <w:t xml:space="preserve"> </w:t>
      </w:r>
      <w:r>
        <w:rPr>
          <w:b/>
          <w:bCs/>
        </w:rPr>
        <w:t xml:space="preserve">Encryption in transit</w:t>
      </w:r>
      <w:r>
        <w:t xml:space="preserve">: TLS 1.2+, mTLS between internal services</w:t>
      </w:r>
      <w:r>
        <w:t xml:space="preserve"> </w:t>
      </w:r>
      <w:r>
        <w:t xml:space="preserve">-</w:t>
      </w:r>
      <w:r>
        <w:t xml:space="preserve"> </w:t>
      </w:r>
      <w:r>
        <w:rPr>
          <w:b/>
          <w:bCs/>
        </w:rPr>
        <w:t xml:space="preserve">Encryption at rest</w:t>
      </w:r>
      <w:r>
        <w:t xml:space="preserve">: envelope encryption, keys in HSM/KMS, no keys in code/config</w:t>
      </w:r>
      <w:r>
        <w:t xml:space="preserve"> </w:t>
      </w:r>
      <w:r>
        <w:t xml:space="preserve">-</w:t>
      </w:r>
      <w:r>
        <w:t xml:space="preserve"> </w:t>
      </w:r>
      <w:r>
        <w:rPr>
          <w:b/>
          <w:bCs/>
        </w:rPr>
        <w:t xml:space="preserve">Access control</w:t>
      </w:r>
      <w:r>
        <w:t xml:space="preserve">: least privilege, RBAC, MFA for admins (PCI Req 7–8)</w:t>
      </w:r>
      <w:r>
        <w:t xml:space="preserve"> </w:t>
      </w:r>
      <w:r>
        <w:t xml:space="preserve">-</w:t>
      </w:r>
      <w:r>
        <w:t xml:space="preserve"> </w:t>
      </w:r>
      <w:r>
        <w:rPr>
          <w:b/>
          <w:bCs/>
        </w:rPr>
        <w:t xml:space="preserve">Network segmentation</w:t>
      </w:r>
      <w:r>
        <w:t xml:space="preserve">: vault/tokenization on a separate segment; WAF, IDS/IPS (PCI Req 1, 11)</w:t>
      </w:r>
      <w:r>
        <w:t xml:space="preserve"> </w:t>
      </w:r>
      <w:r>
        <w:t xml:space="preserve">-</w:t>
      </w:r>
      <w:r>
        <w:t xml:space="preserve"> </w:t>
      </w:r>
      <w:r>
        <w:rPr>
          <w:b/>
          <w:bCs/>
        </w:rPr>
        <w:t xml:space="preserve">Logging &amp; monitoring</w:t>
      </w:r>
      <w:r>
        <w:t xml:space="preserve">: structured logs with</w:t>
      </w:r>
      <w:r>
        <w:t xml:space="preserve"> </w:t>
      </w:r>
      <w:r>
        <w:rPr>
          <w:b/>
          <w:bCs/>
        </w:rPr>
        <w:t xml:space="preserve">no card data</w:t>
      </w:r>
      <w:r>
        <w:t xml:space="preserve">, no request-body logging, SIEM + alerting (PCI Req 10)</w:t>
      </w:r>
      <w:r>
        <w:t xml:space="preserve"> </w:t>
      </w:r>
      <w:r>
        <w:t xml:space="preserve">-</w:t>
      </w:r>
      <w:r>
        <w:t xml:space="preserve"> </w:t>
      </w:r>
      <w:r>
        <w:rPr>
          <w:b/>
          <w:bCs/>
        </w:rPr>
        <w:t xml:space="preserve">Vulnerability management</w:t>
      </w:r>
      <w:r>
        <w:t xml:space="preserve">:</w:t>
      </w:r>
      <w:r>
        <w:t xml:space="preserve"> </w:t>
      </w:r>
      <w:r>
        <w:rPr>
          <w:rStyle w:val="VerbatimChar"/>
        </w:rPr>
        <w:t xml:space="preserve">govulncheck</w:t>
      </w:r>
      <w:r>
        <w:t xml:space="preserve">, SAST/DAST in CI,</w:t>
      </w:r>
      <w:r>
        <w:t xml:space="preserve"> </w:t>
      </w:r>
      <w:r>
        <w:rPr>
          <w:b/>
          <w:bCs/>
        </w:rPr>
        <w:t xml:space="preserve">quarterly ASV scan</w:t>
      </w:r>
      <w:r>
        <w:t xml:space="preserve">,</w:t>
      </w:r>
      <w:r>
        <w:t xml:space="preserve"> </w:t>
      </w:r>
      <w:r>
        <w:rPr>
          <w:b/>
          <w:bCs/>
        </w:rPr>
        <w:t xml:space="preserve">annual penetration test</w:t>
      </w:r>
      <w:r>
        <w:t xml:space="preserve"> </w:t>
      </w:r>
      <w:r>
        <w:t xml:space="preserve">-</w:t>
      </w:r>
      <w:r>
        <w:t xml:space="preserve"> </w:t>
      </w:r>
      <w:r>
        <w:rPr>
          <w:b/>
          <w:bCs/>
        </w:rPr>
        <w:t xml:space="preserve">3DS 2.x / EMV 3DS</w:t>
      </w:r>
      <w:r>
        <w:t xml:space="preserve"> </w:t>
      </w:r>
      <w:r>
        <w:t xml:space="preserve">for cardholder authentication and liability reduction</w:t>
      </w:r>
    </w:p>
    <w:p>
      <w:r>
        <w:pict>
          <v:rect style="width:0;height:1.5pt" o:hralign="center" o:hrstd="t" o:hr="t"/>
        </w:pict>
      </w:r>
    </w:p>
    <w:bookmarkEnd w:id="338"/>
    <w:bookmarkStart w:id="339" w:name="data-breach-notification"/>
    <w:p>
      <w:pPr>
        <w:pStyle w:val="Heading2"/>
      </w:pPr>
      <w:r>
        <w:t xml:space="preserve">8. Data Breach Notification</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Step</w:t>
            </w:r>
          </w:p>
        </w:tc>
        <w:tc>
          <w:tcPr/>
          <w:p>
            <w:pPr>
              <w:pStyle w:val="Compact"/>
            </w:pPr>
            <w:r>
              <w:t xml:space="preserve">Timeline</w:t>
            </w:r>
          </w:p>
        </w:tc>
      </w:tr>
      <w:tr>
        <w:tc>
          <w:tcPr/>
          <w:p>
            <w:pPr>
              <w:pStyle w:val="Compact"/>
            </w:pPr>
            <w:r>
              <w:t xml:space="preserve">Detect → assess risk (severity/scope)</w:t>
            </w:r>
          </w:p>
        </w:tc>
        <w:tc>
          <w:tcPr/>
          <w:p>
            <w:pPr>
              <w:pStyle w:val="Compact"/>
            </w:pPr>
            <w:r>
              <w:t xml:space="preserve">immediately (activate incident response)</w:t>
            </w:r>
          </w:p>
        </w:tc>
      </w:tr>
      <w:tr>
        <w:tc>
          <w:tcPr/>
          <w:p>
            <w:pPr>
              <w:pStyle w:val="Compact"/>
            </w:pPr>
            <w:r>
              <w:t xml:space="preserve">Notify</w:t>
            </w:r>
            <w:r>
              <w:t xml:space="preserve"> </w:t>
            </w:r>
            <w:r>
              <w:rPr>
                <w:b/>
                <w:bCs/>
              </w:rPr>
              <w:t xml:space="preserve">PDPC</w:t>
            </w:r>
            <w:r>
              <w:t xml:space="preserve"> </w:t>
            </w:r>
            <w:r>
              <w:t xml:space="preserve">where there is a risk to rights and freedoms</w:t>
            </w:r>
          </w:p>
        </w:tc>
        <w:tc>
          <w:tcPr/>
          <w:p>
            <w:pPr>
              <w:pStyle w:val="Compact"/>
            </w:pPr>
            <w:r>
              <w:rPr>
                <w:b/>
                <w:bCs/>
              </w:rPr>
              <w:t xml:space="preserve">within 72 hours</w:t>
            </w:r>
            <w:r>
              <w:t xml:space="preserve"> </w:t>
            </w:r>
            <w:r>
              <w:t xml:space="preserve">of becoming aware (s.37(4))</w:t>
            </w:r>
          </w:p>
        </w:tc>
      </w:tr>
      <w:tr>
        <w:tc>
          <w:tcPr/>
          <w:p>
            <w:pPr>
              <w:pStyle w:val="Compact"/>
            </w:pPr>
            <w:r>
              <w:t xml:space="preserve">Notify</w:t>
            </w:r>
            <w:r>
              <w:t xml:space="preserve"> </w:t>
            </w:r>
            <w:r>
              <w:rPr>
                <w:b/>
                <w:bCs/>
              </w:rPr>
              <w:t xml:space="preserve">data subjects</w:t>
            </w:r>
            <w:r>
              <w:t xml:space="preserve"> </w:t>
            </w:r>
            <w:r>
              <w:t xml:space="preserve">where high risk</w:t>
            </w:r>
          </w:p>
        </w:tc>
        <w:tc>
          <w:tcPr/>
          <w:p>
            <w:pPr>
              <w:pStyle w:val="Compact"/>
            </w:pPr>
            <w:r>
              <w:t xml:space="preserve">without undue delay</w:t>
            </w:r>
          </w:p>
        </w:tc>
      </w:tr>
      <w:tr>
        <w:tc>
          <w:tcPr/>
          <w:p>
            <w:pPr>
              <w:pStyle w:val="Compact"/>
            </w:pPr>
            <w:r>
              <w:t xml:space="preserve">Notify</w:t>
            </w:r>
            <w:r>
              <w:t xml:space="preserve"> </w:t>
            </w:r>
            <w:r>
              <w:rPr>
                <w:b/>
                <w:bCs/>
              </w:rPr>
              <w:t xml:space="preserve">BOT</w:t>
            </w:r>
            <w:r>
              <w:t xml:space="preserve"> </w:t>
            </w:r>
            <w:r>
              <w:t xml:space="preserve">under cyber/IT incident rules</w:t>
            </w:r>
          </w:p>
        </w:tc>
        <w:tc>
          <w:tcPr/>
          <w:p>
            <w:pPr>
              <w:pStyle w:val="Compact"/>
            </w:pPr>
            <w:r>
              <w:t xml:space="preserve">as prescribed</w:t>
            </w:r>
          </w:p>
        </w:tc>
      </w:tr>
      <w:tr>
        <w:tc>
          <w:tcPr/>
          <w:p>
            <w:pPr>
              <w:pStyle w:val="Compact"/>
            </w:pPr>
            <w:r>
              <w:t xml:space="preserve">Notify card scheme / acquirer for card data compromise</w:t>
            </w:r>
          </w:p>
        </w:tc>
        <w:tc>
          <w:tcPr/>
          <w:p>
            <w:pPr>
              <w:pStyle w:val="Compact"/>
            </w:pPr>
            <w:r>
              <w:t xml:space="preserve">per PCI / contract</w:t>
            </w:r>
            <w:r>
              <w:t xml:space="preserve"> </w:t>
            </w:r>
            <w:r>
              <w:rPr>
                <w:b/>
                <w:bCs/>
              </w:rPr>
              <w:t xml:space="preserve">[TODO confirm with sponsor bank]</w:t>
            </w:r>
          </w:p>
        </w:tc>
      </w:tr>
    </w:tbl>
    <w:p>
      <w:pPr>
        <w:pStyle w:val="BodyText"/>
      </w:pPr>
      <w:r>
        <w:t xml:space="preserve">Every incident is recorded in a breach register with remediation measures.</w:t>
      </w:r>
    </w:p>
    <w:p>
      <w:r>
        <w:pict>
          <v:rect style="width:0;height:1.5pt" o:hralign="center" o:hrstd="t" o:hr="t"/>
        </w:pict>
      </w:r>
    </w:p>
    <w:bookmarkEnd w:id="339"/>
    <w:bookmarkStart w:id="340" w:name="roles-responsibilities-1"/>
    <w:p>
      <w:pPr>
        <w:pStyle w:val="Heading2"/>
      </w:pPr>
      <w:r>
        <w:t xml:space="preserve">9. Roles &amp; Responsibilities</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Role</w:t>
            </w:r>
          </w:p>
        </w:tc>
        <w:tc>
          <w:tcPr/>
          <w:p>
            <w:pPr>
              <w:pStyle w:val="Compact"/>
            </w:pPr>
            <w:r>
              <w:t xml:space="preserve">Responsibility</w:t>
            </w:r>
          </w:p>
        </w:tc>
      </w:tr>
      <w:tr>
        <w:tc>
          <w:tcPr/>
          <w:p>
            <w:pPr>
              <w:pStyle w:val="Compact"/>
            </w:pPr>
            <w:r>
              <w:rPr>
                <w:b/>
                <w:bCs/>
              </w:rPr>
              <w:t xml:space="preserve">DPO</w:t>
            </w:r>
          </w:p>
        </w:tc>
        <w:tc>
          <w:tcPr/>
          <w:p>
            <w:pPr>
              <w:pStyle w:val="Compact"/>
            </w:pPr>
            <w:r>
              <w:t xml:space="preserve">Oversee PDPA compliance; contact point for PDPC/data subjects; maintain RoPA/LIA/DPA</w:t>
            </w:r>
            <w:r>
              <w:t xml:space="preserve"> </w:t>
            </w:r>
            <w:r>
              <w:rPr>
                <w:b/>
                <w:bCs/>
              </w:rPr>
              <w:t xml:space="preserve">[TODO name]</w:t>
            </w:r>
          </w:p>
        </w:tc>
      </w:tr>
      <w:tr>
        <w:tc>
          <w:tcPr/>
          <w:p>
            <w:pPr>
              <w:pStyle w:val="Compact"/>
            </w:pPr>
            <w:r>
              <w:rPr>
                <w:b/>
                <w:bCs/>
              </w:rPr>
              <w:t xml:space="preserve">Compliance / Legal</w:t>
            </w:r>
          </w:p>
        </w:tc>
        <w:tc>
          <w:tcPr/>
          <w:p>
            <w:pPr>
              <w:pStyle w:val="Compact"/>
            </w:pPr>
            <w:r>
              <w:t xml:space="preserve">BOT license, AML, policy review</w:t>
            </w:r>
          </w:p>
        </w:tc>
      </w:tr>
      <w:tr>
        <w:tc>
          <w:tcPr/>
          <w:p>
            <w:pPr>
              <w:pStyle w:val="Compact"/>
            </w:pPr>
            <w:r>
              <w:rPr>
                <w:b/>
                <w:bCs/>
              </w:rPr>
              <w:t xml:space="preserve">Security / DevSecOps</w:t>
            </w:r>
          </w:p>
        </w:tc>
        <w:tc>
          <w:tcPr/>
          <w:p>
            <w:pPr>
              <w:pStyle w:val="Compact"/>
            </w:pPr>
            <w:r>
              <w:t xml:space="preserve">PCI, HSM/KMS, network segmentation, breach response</w:t>
            </w:r>
          </w:p>
        </w:tc>
      </w:tr>
      <w:tr>
        <w:tc>
          <w:tcPr/>
          <w:p>
            <w:pPr>
              <w:pStyle w:val="Compact"/>
            </w:pPr>
            <w:r>
              <w:rPr>
                <w:b/>
                <w:bCs/>
              </w:rPr>
              <w:t xml:space="preserve">Merchant/Product</w:t>
            </w:r>
          </w:p>
        </w:tc>
        <w:tc>
          <w:tcPr/>
          <w:p>
            <w:pPr>
              <w:pStyle w:val="Compact"/>
            </w:pPr>
            <w:r>
              <w:t xml:space="preserve">Onboarding by data minimization, consent management</w:t>
            </w:r>
          </w:p>
        </w:tc>
      </w:tr>
    </w:tbl>
    <w:p>
      <w:r>
        <w:pict>
          <v:rect style="width:0;height:1.5pt" o:hralign="center" o:hrstd="t" o:hr="t"/>
        </w:pict>
      </w:r>
    </w:p>
    <w:bookmarkEnd w:id="340"/>
    <w:bookmarkStart w:id="341" w:name="contact-review"/>
    <w:p>
      <w:pPr>
        <w:pStyle w:val="Heading2"/>
      </w:pPr>
      <w:r>
        <w:t xml:space="preserve">10. Contact &amp; Review</w:t>
      </w:r>
    </w:p>
    <w:p>
      <w:pPr>
        <w:pStyle w:val="Compact"/>
        <w:numPr>
          <w:ilvl w:val="0"/>
          <w:numId w:val="1123"/>
        </w:numPr>
      </w:pPr>
      <w:r>
        <w:t xml:space="preserve">Privacy / rights requests:</w:t>
      </w:r>
      <w:r>
        <w:t xml:space="preserve"> </w:t>
      </w:r>
      <w:r>
        <w:rPr>
          <w:rStyle w:val="VerbatimChar"/>
        </w:rPr>
        <w:t xml:space="preserve">privacy@[บริษัท / Company]</w:t>
      </w:r>
      <w:r>
        <w:t xml:space="preserve"> </w:t>
      </w:r>
      <w:r>
        <w:t xml:space="preserve">(DPO)</w:t>
      </w:r>
      <w:r>
        <w:t xml:space="preserve"> </w:t>
      </w:r>
      <w:r>
        <w:rPr>
          <w:b/>
          <w:bCs/>
        </w:rPr>
        <w:t xml:space="preserve">[TODO real channel/address]</w:t>
      </w:r>
    </w:p>
    <w:p>
      <w:pPr>
        <w:pStyle w:val="Compact"/>
        <w:numPr>
          <w:ilvl w:val="0"/>
          <w:numId w:val="1123"/>
        </w:numPr>
      </w:pPr>
      <w:r>
        <w:t xml:space="preserve">Regulator complaints: Office of the Personal Data Protection Committee (PDPC)</w:t>
      </w:r>
    </w:p>
    <w:p>
      <w:pPr>
        <w:pStyle w:val="Compact"/>
        <w:numPr>
          <w:ilvl w:val="0"/>
          <w:numId w:val="1123"/>
        </w:numPr>
      </w:pPr>
      <w:r>
        <w:t xml:space="preserve">This policy is reviewed at least</w:t>
      </w:r>
      <w:r>
        <w:t xml:space="preserve"> </w:t>
      </w:r>
      <w:r>
        <w:rPr>
          <w:b/>
          <w:bCs/>
        </w:rPr>
        <w:t xml:space="preserve">annually</w:t>
      </w:r>
      <w:r>
        <w:t xml:space="preserve">, or on any material change in law or service.</w:t>
      </w:r>
    </w:p>
    <w:p>
      <w:r>
        <w:br w:type="page"/>
      </w:r>
    </w:p>
    <w:bookmarkEnd w:id="341"/>
    <w:bookmarkEnd w:id="342"/>
    <w:bookmarkStart w:id="354" w:name="X473cfe5b57ef18c06709f1d0636dd8a741748d0"/>
    <w:p>
      <w:pPr>
        <w:pStyle w:val="Heading1"/>
      </w:pPr>
      <w:r>
        <w:t xml:space="preserve">ข้อตกลงประมวลผลข้อมูล (DPA) กับผู้ให้บริการภายนอก (ไทย)</w:t>
      </w:r>
    </w:p>
    <w:p>
      <w:pPr>
        <w:pStyle w:val="BlockText"/>
      </w:pPr>
      <w:r>
        <w:t xml:space="preserve">เอกสารชุด:</w:t>
      </w:r>
      <w:r>
        <w:t xml:space="preserve"> </w:t>
      </w:r>
      <w:r>
        <w:rPr>
          <w:b/>
          <w:bCs/>
        </w:rPr>
        <w:t xml:space="preserve">การยื่นขอใบอนุญาต Full Acquiring</w:t>
      </w:r>
      <w:r>
        <w:t xml:space="preserve"> </w:t>
      </w:r>
      <w:r>
        <w:t xml:space="preserve">ภายใต้ พ.ร.บ. ระบบการชำระเงิน พ.ศ. 2560 (กำกับโดย</w:t>
      </w:r>
      <w:r>
        <w:t xml:space="preserve"> </w:t>
      </w:r>
      <w:r>
        <w:rPr>
          <w:b/>
          <w:bCs/>
        </w:rPr>
        <w:t xml:space="preserve">ธนาคารแห่งประเทศไทย — ธปท.</w:t>
      </w:r>
      <w:r>
        <w:t xml:space="preserve">) +</w:t>
      </w:r>
      <w:r>
        <w:t xml:space="preserve"> </w:t>
      </w:r>
      <w:r>
        <w:rPr>
          <w:b/>
          <w:bCs/>
        </w:rPr>
        <w:t xml:space="preserve">PCI-DSS Level 1</w:t>
      </w:r>
      <w:r>
        <w:t xml:space="preserve"> </w:t>
      </w:r>
      <w:r>
        <w:t xml:space="preserve">เอกสารที่เกี่ยวข้อง:</w:t>
      </w:r>
      <w:r>
        <w:t xml:space="preserve"> </w:t>
      </w:r>
      <w:r>
        <w:rPr>
          <w:rStyle w:val="VerbatimChar"/>
        </w:rPr>
        <w:t xml:space="preserve">../COMPLIANCE-TH.md</w:t>
      </w:r>
      <w:r>
        <w:t xml:space="preserve"> </w:t>
      </w:r>
      <w:r>
        <w:t xml:space="preserve">(กฎหมาย/ใบอนุญาต),</w:t>
      </w:r>
      <w:r>
        <w:t xml:space="preserve"> </w:t>
      </w:r>
      <w:r>
        <w:rPr>
          <w:rStyle w:val="VerbatimChar"/>
        </w:rPr>
        <w:t xml:space="preserve">../ARCHITECTURE.md</w:t>
      </w:r>
      <w:r>
        <w:t xml:space="preserve"> </w:t>
      </w:r>
      <w:r>
        <w:t xml:space="preserve">(สถาปัตยกรรม/PCI scope),</w:t>
      </w:r>
      <w:r>
        <w:t xml:space="preserve"> </w:t>
      </w:r>
      <w:r>
        <w:rPr>
          <w:rStyle w:val="VerbatimChar"/>
        </w:rPr>
        <w:t xml:space="preserve">../ROADMAP.md</w:t>
      </w:r>
      <w:r>
        <w:t xml:space="preserve"> </w:t>
      </w:r>
      <w:r>
        <w:t xml:space="preserve">(เฟส/timeline)</w:t>
      </w:r>
      <w:r>
        <w:t xml:space="preserve"> </w:t>
      </w:r>
      <w:r>
        <w:rPr>
          <w:b/>
          <w:bCs/>
        </w:rPr>
        <w:t xml:space="preserve">ข้อสงวน:</w:t>
      </w:r>
      <w:r>
        <w:t xml:space="preserve"> </w:t>
      </w:r>
      <w:r>
        <w:t xml:space="preserve">เอกสารนี้เป็นแม่แบบเชิงเทคนิค-นโยบาย ไม่ใช่คำแนะนำทางกฎหมาย ต้องให้ที่ปรึกษากฎหมายและ</w:t>
      </w:r>
      <w:r>
        <w:t xml:space="preserve"> </w:t>
      </w:r>
      <w:r>
        <w:rPr>
          <w:b/>
          <w:bCs/>
        </w:rPr>
        <w:t xml:space="preserve">QSA</w:t>
      </w:r>
      <w:r>
        <w:t xml:space="preserve"> </w:t>
      </w:r>
      <w:r>
        <w:t xml:space="preserve">ตรวจก่อนลงนามจริง</w:t>
      </w:r>
    </w:p>
    <w:p>
      <w:pPr>
        <w:pStyle w:val="FirstParagraph"/>
      </w:pPr>
      <w:r>
        <w:t xml:space="preserve">เอกสารนี้กำหนดแม่แบบ</w:t>
      </w:r>
      <w:r>
        <w:t xml:space="preserve"> </w:t>
      </w:r>
      <w:r>
        <w:rPr>
          <w:b/>
          <w:bCs/>
        </w:rPr>
        <w:t xml:space="preserve">ข้อตกลงประมวลผลข้อมูลส่วนบุคคล (Data Processing Agreement — DPA)</w:t>
      </w:r>
      <w:r>
        <w:t xml:space="preserve"> </w:t>
      </w:r>
      <w:r>
        <w:t xml:space="preserve">และเงื่อนไข outsourcing ที่</w:t>
      </w:r>
      <w:r>
        <w:t xml:space="preserve"> </w:t>
      </w:r>
      <w:r>
        <w:rPr>
          <w:b/>
          <w:bCs/>
        </w:rPr>
        <w:t xml:space="preserve">[บริษัท / Company]</w:t>
      </w:r>
      <w:r>
        <w:t xml:space="preserve"> </w:t>
      </w:r>
      <w:r>
        <w:t xml:space="preserve">ต้องจัดทำกับผู้ให้บริการภายนอก 5 ประเภทที่อยู่บนเส้นทางการชำระเงินด้วยบัตร ได้แก่</w:t>
      </w:r>
      <w:r>
        <w:t xml:space="preserve"> </w:t>
      </w:r>
      <w:r>
        <w:rPr>
          <w:b/>
          <w:bCs/>
        </w:rPr>
        <w:t xml:space="preserve">Acquirer/Sponsor Bank, ผู้ให้บริการ 3-D Secure (3DS), Tokenization Vault, ITMX (local rails), และ HSM/KMS provider</w:t>
      </w:r>
    </w:p>
    <w:p>
      <w:r>
        <w:pict>
          <v:rect style="width:0;height:1.5pt" o:hralign="center" o:hrstd="t" o:hr="t"/>
        </w:pict>
      </w:r>
    </w:p>
    <w:bookmarkStart w:id="343" w:name="กรอบกฎหมายและมาตรฐานทผกกบ-dpa"/>
    <w:p>
      <w:pPr>
        <w:pStyle w:val="Heading2"/>
      </w:pPr>
      <w:r>
        <w:t xml:space="preserve">1. กรอบกฎหมายและมาตรฐานที่ผูกกับ DPA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กฎหมาย/มาตรฐาน</w:t>
            </w:r>
          </w:p>
        </w:tc>
        <w:tc>
          <w:tcPr/>
          <w:p>
            <w:pPr>
              <w:pStyle w:val="Compact"/>
            </w:pPr>
            <w:r>
              <w:t xml:space="preserve">บทบาทต่อ DPA</w:t>
            </w:r>
          </w:p>
        </w:tc>
      </w:tr>
      <w:tr>
        <w:tc>
          <w:tcPr/>
          <w:p>
            <w:pPr>
              <w:pStyle w:val="Compact"/>
            </w:pPr>
            <w:r>
              <w:rPr>
                <w:b/>
                <w:bCs/>
              </w:rPr>
              <w:t xml:space="preserve">พ.ร.บ. คุ้มครองข้อมูลส่วนบุคคล พ.ศ. 2562 (PDPA)</w:t>
            </w:r>
            <w:r>
              <w:t xml:space="preserve"> </w:t>
            </w:r>
            <w:r>
              <w:t xml:space="preserve">— กำกับโดย</w:t>
            </w:r>
            <w:r>
              <w:t xml:space="preserve"> </w:t>
            </w:r>
            <w:r>
              <w:rPr>
                <w:b/>
                <w:bCs/>
              </w:rPr>
              <w:t xml:space="preserve">PDPC</w:t>
            </w:r>
          </w:p>
        </w:tc>
        <w:tc>
          <w:tcPr/>
          <w:p>
            <w:pPr>
              <w:pStyle w:val="Compact"/>
            </w:pPr>
            <w:r>
              <w:t xml:space="preserve">มาตรา 40 กำหนดหน้าที่</w:t>
            </w:r>
            <w:r>
              <w:t xml:space="preserve"> </w:t>
            </w:r>
            <w:r>
              <w:rPr>
                <w:b/>
                <w:bCs/>
              </w:rPr>
              <w:t xml:space="preserve">ผู้ประมวลผลข้อมูล (Data Processor)</w:t>
            </w:r>
            <w:r>
              <w:t xml:space="preserve"> </w:t>
            </w:r>
            <w:r>
              <w:t xml:space="preserve">ต้องทำ</w:t>
            </w:r>
            <w:r>
              <w:t xml:space="preserve"> </w:t>
            </w:r>
            <w:r>
              <w:rPr>
                <w:b/>
                <w:bCs/>
              </w:rPr>
              <w:t xml:space="preserve">ข้อตกลงเป็นหนังสือ</w:t>
            </w:r>
            <w:r>
              <w:t xml:space="preserve"> </w:t>
            </w:r>
            <w:r>
              <w:t xml:space="preserve">กับผู้ควบคุมข้อมูล; มาตรา 37 มาตรการรักษาความมั่นคงปลอดภัย; มาตรา 28–29 การส่งข้อมูลออกนอกประเทศ</w:t>
            </w:r>
          </w:p>
        </w:tc>
      </w:tr>
      <w:tr>
        <w:tc>
          <w:tcPr/>
          <w:p>
            <w:pPr>
              <w:pStyle w:val="Compact"/>
            </w:pPr>
            <w:r>
              <w:rPr>
                <w:b/>
                <w:bCs/>
              </w:rPr>
              <w:t xml:space="preserve">พ.ร.บ. ระบบการชำระเงิน พ.ศ. 2560</w:t>
            </w:r>
            <w:r>
              <w:t xml:space="preserve"> </w:t>
            </w:r>
            <w:r>
              <w:t xml:space="preserve">— กำกับโดย</w:t>
            </w:r>
            <w:r>
              <w:t xml:space="preserve"> </w:t>
            </w:r>
            <w:r>
              <w:rPr>
                <w:b/>
                <w:bCs/>
              </w:rPr>
              <w:t xml:space="preserve">ธปท.</w:t>
            </w:r>
          </w:p>
        </w:tc>
        <w:tc>
          <w:tcPr/>
          <w:p>
            <w:pPr>
              <w:pStyle w:val="Compact"/>
            </w:pPr>
            <w:r>
              <w:t xml:space="preserve">หลักเกณฑ์</w:t>
            </w:r>
            <w:r>
              <w:t xml:space="preserve"> </w:t>
            </w:r>
            <w:r>
              <w:rPr>
                <w:b/>
                <w:bCs/>
              </w:rPr>
              <w:t xml:space="preserve">การใช้บริการจากผู้ให้บริการภายนอก (outsourcing)</w:t>
            </w:r>
            <w:r>
              <w:t xml:space="preserve">: ผู้รับใบอนุญาตยังคงรับผิดชอบเต็ม, ธปท. ต้องเข้าตรวจสอบผู้ให้บริการช่วงได้ (right to audit)</w:t>
            </w:r>
          </w:p>
        </w:tc>
      </w:tr>
      <w:tr>
        <w:tc>
          <w:tcPr/>
          <w:p>
            <w:pPr>
              <w:pStyle w:val="Compact"/>
            </w:pPr>
            <w:r>
              <w:rPr>
                <w:b/>
                <w:bCs/>
              </w:rPr>
              <w:t xml:space="preserve">PCI-DSS v4.0</w:t>
            </w:r>
          </w:p>
        </w:tc>
        <w:tc>
          <w:tcPr/>
          <w:p>
            <w:pPr>
              <w:pStyle w:val="Compact"/>
            </w:pPr>
            <w:r>
              <w:t xml:space="preserve">Req 12.8 (จัดการ</w:t>
            </w:r>
            <w:r>
              <w:t xml:space="preserve"> </w:t>
            </w:r>
            <w:r>
              <w:rPr>
                <w:b/>
                <w:bCs/>
              </w:rPr>
              <w:t xml:space="preserve">TPSP — Third-Party Service Providers</w:t>
            </w:r>
            <w:r>
              <w:t xml:space="preserve">), Req 12.9 (ผู้ให้บริการต้องยอมรับความรับผิดชอบเป็นหนังสือ), Req 3 (คุ้มครอง SAD/PAN), Req 4 (เข้ารหัสระหว่างส่ง)</w:t>
            </w:r>
          </w:p>
        </w:tc>
      </w:tr>
      <w:tr>
        <w:tc>
          <w:tcPr/>
          <w:p>
            <w:pPr>
              <w:pStyle w:val="Compact"/>
            </w:pPr>
            <w:r>
              <w:rPr>
                <w:b/>
                <w:bCs/>
              </w:rPr>
              <w:t xml:space="preserve">พ.ร.บ. ป้องกันและปราบปรามการฟอกเงิน (AMLO / ปปง.)</w:t>
            </w:r>
          </w:p>
        </w:tc>
        <w:tc>
          <w:tcPr/>
          <w:p>
            <w:pPr>
              <w:pStyle w:val="Compact"/>
            </w:pPr>
            <w:r>
              <w:t xml:space="preserve">การส่งต่อ/เก็บข้อมูล KYC/CDD และการรายงานธุรกรรมต้องผูกในสัญญากับคู่ค้าที่เกี่ยวข้อง</w:t>
            </w:r>
          </w:p>
        </w:tc>
      </w:tr>
      <w:tr>
        <w:tc>
          <w:tcPr/>
          <w:p>
            <w:pPr>
              <w:pStyle w:val="Compact"/>
            </w:pPr>
            <w:r>
              <w:rPr>
                <w:b/>
                <w:bCs/>
              </w:rPr>
              <w:t xml:space="preserve">ประกาศ ธปท. ด้าน IT Risk / Cyber Resilience / BCP</w:t>
            </w:r>
          </w:p>
        </w:tc>
        <w:tc>
          <w:tcPr/>
          <w:p>
            <w:pPr>
              <w:pStyle w:val="Compact"/>
            </w:pPr>
            <w:r>
              <w:t xml:space="preserve">ผูกข้อกำหนด SLA, การแจ้งเหตุ, BCP/DR, exit plan เข้าใน DPA/outsourcing agreement</w:t>
            </w:r>
          </w:p>
        </w:tc>
      </w:tr>
    </w:tbl>
    <w:p>
      <w:pPr>
        <w:pStyle w:val="BodyText"/>
      </w:pPr>
      <w:r>
        <w:rPr>
          <w:b/>
          <w:bCs/>
        </w:rPr>
        <w:t xml:space="preserve">บทบาทตาม PDPA (สำคัญมาก — กำหนดชนิดของสัญญา):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คู่สัญญา</w:t>
            </w:r>
          </w:p>
        </w:tc>
        <w:tc>
          <w:tcPr/>
          <w:p>
            <w:pPr>
              <w:pStyle w:val="Compact"/>
            </w:pPr>
            <w:r>
              <w:t xml:space="preserve">บทบาทของคู่สัญญา</w:t>
            </w:r>
          </w:p>
        </w:tc>
        <w:tc>
          <w:tcPr/>
          <w:p>
            <w:pPr>
              <w:pStyle w:val="Compact"/>
            </w:pPr>
            <w:r>
              <w:t xml:space="preserve">บทบาทของ [บริษัท / Company]</w:t>
            </w:r>
          </w:p>
        </w:tc>
        <w:tc>
          <w:tcPr/>
          <w:p>
            <w:pPr>
              <w:pStyle w:val="Compact"/>
            </w:pPr>
            <w:r>
              <w:t xml:space="preserve">ชนิดสัญญาหลัก</w:t>
            </w:r>
          </w:p>
        </w:tc>
      </w:tr>
      <w:tr>
        <w:tc>
          <w:tcPr/>
          <w:p>
            <w:pPr>
              <w:pStyle w:val="Compact"/>
            </w:pPr>
            <w:r>
              <w:t xml:space="preserve">Acquirer / Sponsor Bank</w:t>
            </w:r>
          </w:p>
        </w:tc>
        <w:tc>
          <w:tcPr/>
          <w:p>
            <w:pPr>
              <w:pStyle w:val="Compact"/>
            </w:pPr>
            <w:r>
              <w:t xml:space="preserve">ผู้ควบคุมข้อมูลร่วม / อิสระ (independent/joint controller)</w:t>
            </w:r>
          </w:p>
        </w:tc>
        <w:tc>
          <w:tcPr/>
          <w:p>
            <w:pPr>
              <w:pStyle w:val="Compact"/>
            </w:pPr>
            <w:r>
              <w:t xml:space="preserve">ผู้ควบคุมข้อมูล</w:t>
            </w:r>
          </w:p>
        </w:tc>
        <w:tc>
          <w:tcPr/>
          <w:p>
            <w:pPr>
              <w:pStyle w:val="Compact"/>
            </w:pPr>
            <w:r>
              <w:t xml:space="preserve">Data Sharing + Outsourcing</w:t>
            </w:r>
          </w:p>
        </w:tc>
      </w:tr>
      <w:tr>
        <w:tc>
          <w:tcPr/>
          <w:p>
            <w:pPr>
              <w:pStyle w:val="Compact"/>
            </w:pPr>
            <w:r>
              <w:t xml:space="preserve">ผู้ให้บริการ 3DS</w:t>
            </w:r>
          </w:p>
        </w:tc>
        <w:tc>
          <w:tcPr/>
          <w:p>
            <w:pPr>
              <w:pStyle w:val="Compact"/>
            </w:pPr>
            <w:r>
              <w:t xml:space="preserve">ผู้ประมวลผล (มักเป็น processor ให้ scheme/issuer ด้วย)</w:t>
            </w:r>
          </w:p>
        </w:tc>
        <w:tc>
          <w:tcPr/>
          <w:p>
            <w:pPr>
              <w:pStyle w:val="Compact"/>
            </w:pPr>
            <w:r>
              <w:t xml:space="preserve">ผู้ควบคุมข้อมูล</w:t>
            </w:r>
          </w:p>
        </w:tc>
        <w:tc>
          <w:tcPr/>
          <w:p>
            <w:pPr>
              <w:pStyle w:val="Compact"/>
            </w:pPr>
            <w:r>
              <w:t xml:space="preserve">DPA (Art. 40)</w:t>
            </w:r>
          </w:p>
        </w:tc>
      </w:tr>
      <w:tr>
        <w:tc>
          <w:tcPr/>
          <w:p>
            <w:pPr>
              <w:pStyle w:val="Compact"/>
            </w:pPr>
            <w:r>
              <w:t xml:space="preserve">Tokenization Vault</w:t>
            </w:r>
          </w:p>
        </w:tc>
        <w:tc>
          <w:tcPr/>
          <w:p>
            <w:pPr>
              <w:pStyle w:val="Compact"/>
            </w:pPr>
            <w:r>
              <w:t xml:space="preserve">ผู้ประมวลผล</w:t>
            </w:r>
          </w:p>
        </w:tc>
        <w:tc>
          <w:tcPr/>
          <w:p>
            <w:pPr>
              <w:pStyle w:val="Compact"/>
            </w:pPr>
            <w:r>
              <w:t xml:space="preserve">ผู้ควบคุมข้อมูล</w:t>
            </w:r>
          </w:p>
        </w:tc>
        <w:tc>
          <w:tcPr/>
          <w:p>
            <w:pPr>
              <w:pStyle w:val="Compact"/>
            </w:pPr>
            <w:r>
              <w:t xml:space="preserve">DPA + PCI TPSP</w:t>
            </w:r>
          </w:p>
        </w:tc>
      </w:tr>
      <w:tr>
        <w:tc>
          <w:tcPr/>
          <w:p>
            <w:pPr>
              <w:pStyle w:val="Compact"/>
            </w:pPr>
            <w:r>
              <w:t xml:space="preserve">ITMX</w:t>
            </w:r>
          </w:p>
        </w:tc>
        <w:tc>
          <w:tcPr/>
          <w:p>
            <w:pPr>
              <w:pStyle w:val="Compact"/>
            </w:pPr>
            <w:r>
              <w:t xml:space="preserve">ผู้ควบคุมข้อมูล (ตัวกลางระบบชาติ)</w:t>
            </w:r>
          </w:p>
        </w:tc>
        <w:tc>
          <w:tcPr/>
          <w:p>
            <w:pPr>
              <w:pStyle w:val="Compact"/>
            </w:pPr>
            <w:r>
              <w:t xml:space="preserve">ผู้ควบคุมข้อมูล</w:t>
            </w:r>
          </w:p>
        </w:tc>
        <w:tc>
          <w:tcPr/>
          <w:p>
            <w:pPr>
              <w:pStyle w:val="Compact"/>
            </w:pPr>
            <w:r>
              <w:t xml:space="preserve">Interchange/Membership + Data Sharing</w:t>
            </w:r>
          </w:p>
        </w:tc>
      </w:tr>
      <w:tr>
        <w:tc>
          <w:tcPr/>
          <w:p>
            <w:pPr>
              <w:pStyle w:val="Compact"/>
            </w:pPr>
            <w:r>
              <w:t xml:space="preserve">HSM/KMS provider</w:t>
            </w:r>
          </w:p>
        </w:tc>
        <w:tc>
          <w:tcPr/>
          <w:p>
            <w:pPr>
              <w:pStyle w:val="Compact"/>
            </w:pPr>
            <w:r>
              <w:t xml:space="preserve">ผู้ประมวลผล (ไม่เห็น plaintext PAN หากออกแบบถูก)</w:t>
            </w:r>
          </w:p>
        </w:tc>
        <w:tc>
          <w:tcPr/>
          <w:p>
            <w:pPr>
              <w:pStyle w:val="Compact"/>
            </w:pPr>
            <w:r>
              <w:t xml:space="preserve">ผู้ควบคุมข้อมูล</w:t>
            </w:r>
          </w:p>
        </w:tc>
        <w:tc>
          <w:tcPr/>
          <w:p>
            <w:pPr>
              <w:pStyle w:val="Compact"/>
            </w:pPr>
            <w:r>
              <w:t xml:space="preserve">DPA + PCI TPSP</w:t>
            </w:r>
          </w:p>
        </w:tc>
      </w:tr>
    </w:tbl>
    <w:p>
      <w:r>
        <w:pict>
          <v:rect style="width:0;height:1.5pt" o:hralign="center" o:hrstd="t" o:hr="t"/>
        </w:pict>
      </w:r>
    </w:p>
    <w:bookmarkEnd w:id="343"/>
    <w:bookmarkStart w:id="344" w:name="โครงมาตรฐานของ-dpa-ใชซำไดทกคสญญา"/>
    <w:p>
      <w:pPr>
        <w:pStyle w:val="Heading2"/>
      </w:pPr>
      <w:r>
        <w:t xml:space="preserve">2. โครงมาตรฐานของ DPA (ใช้ซ้ำได้ทุกคู่สัญญา)</w:t>
      </w:r>
    </w:p>
    <w:p>
      <w:pPr>
        <w:pStyle w:val="FirstParagraph"/>
      </w:pPr>
      <w:r>
        <w:t xml:space="preserve">ทุก DPA ต้องมีอย่างน้อย 14 ข้อต่อไปนี้ (สอดคล้อง PDPA ม.40 + PCI Req 12.8/12.9):</w:t>
      </w:r>
    </w:p>
    <w:p>
      <w:pPr>
        <w:pStyle w:val="Compact"/>
        <w:numPr>
          <w:ilvl w:val="0"/>
          <w:numId w:val="1124"/>
        </w:numPr>
      </w:pPr>
      <w:r>
        <w:rPr>
          <w:b/>
          <w:bCs/>
        </w:rPr>
        <w:t xml:space="preserve">นิยามและบทบาท</w:t>
      </w:r>
      <w:r>
        <w:t xml:space="preserve"> </w:t>
      </w:r>
      <w:r>
        <w:t xml:space="preserve">— ระบุ controller/processor, ขอบเขต scope, PCI CDE ที่เกี่ยวข้อง</w:t>
      </w:r>
    </w:p>
    <w:p>
      <w:pPr>
        <w:pStyle w:val="Compact"/>
        <w:numPr>
          <w:ilvl w:val="0"/>
          <w:numId w:val="1124"/>
        </w:numPr>
      </w:pPr>
      <w:r>
        <w:rPr>
          <w:b/>
          <w:bCs/>
        </w:rPr>
        <w:t xml:space="preserve">วัตถุประสงค์และขอบเขตการประมวลผล</w:t>
      </w:r>
      <w:r>
        <w:t xml:space="preserve"> </w:t>
      </w:r>
      <w:r>
        <w:t xml:space="preserve">— ประมวลผลได้เฉพาะตามคำสั่งเป็นลายลักษณ์อักษรของ [บริษัท / Company] เท่านั้น</w:t>
      </w:r>
    </w:p>
    <w:p>
      <w:pPr>
        <w:pStyle w:val="Compact"/>
        <w:numPr>
          <w:ilvl w:val="0"/>
          <w:numId w:val="1124"/>
        </w:numPr>
      </w:pPr>
      <w:r>
        <w:rPr>
          <w:b/>
          <w:bCs/>
        </w:rPr>
        <w:t xml:space="preserve">ประเภทข้อมูลและเจ้าของข้อมูล</w:t>
      </w:r>
      <w:r>
        <w:t xml:space="preserve"> </w:t>
      </w:r>
      <w:r>
        <w:t xml:space="preserve">(ดูตารางข้อ 3 ของแต่ละคู่สัญญา)</w:t>
      </w:r>
    </w:p>
    <w:p>
      <w:pPr>
        <w:pStyle w:val="Compact"/>
        <w:numPr>
          <w:ilvl w:val="0"/>
          <w:numId w:val="1124"/>
        </w:numPr>
      </w:pPr>
      <w:r>
        <w:rPr>
          <w:b/>
          <w:bCs/>
        </w:rPr>
        <w:t xml:space="preserve">มาตรการความมั่นคงปลอดภัย (technical &amp; organizational)</w:t>
      </w:r>
      <w:r>
        <w:t xml:space="preserve"> </w:t>
      </w:r>
      <w:r>
        <w:t xml:space="preserve">— เข้ารหัส, access control, logging, key management</w:t>
      </w:r>
    </w:p>
    <w:p>
      <w:pPr>
        <w:pStyle w:val="Compact"/>
        <w:numPr>
          <w:ilvl w:val="0"/>
          <w:numId w:val="1124"/>
        </w:numPr>
      </w:pPr>
      <w:r>
        <w:rPr>
          <w:b/>
          <w:bCs/>
        </w:rPr>
        <w:t xml:space="preserve">การใช้ผู้ประมวลผลช่วง (sub-processor)</w:t>
      </w:r>
      <w:r>
        <w:t xml:space="preserve"> </w:t>
      </w:r>
      <w:r>
        <w:t xml:space="preserve">— ต้องขออนุมัติล่วงหน้า + ผูกเงื่อนไขเทียบเท่า</w:t>
      </w:r>
    </w:p>
    <w:p>
      <w:pPr>
        <w:pStyle w:val="Compact"/>
        <w:numPr>
          <w:ilvl w:val="0"/>
          <w:numId w:val="1124"/>
        </w:numPr>
      </w:pPr>
      <w:r>
        <w:rPr>
          <w:b/>
          <w:bCs/>
        </w:rPr>
        <w:t xml:space="preserve">การแจ้งเหตุละเมิดข้อมูล (breach notification)</w:t>
      </w:r>
      <w:r>
        <w:t xml:space="preserve"> </w:t>
      </w:r>
      <w:r>
        <w:t xml:space="preserve">— ตามตาราง timeline ข้อ 4</w:t>
      </w:r>
    </w:p>
    <w:p>
      <w:pPr>
        <w:pStyle w:val="Compact"/>
        <w:numPr>
          <w:ilvl w:val="0"/>
          <w:numId w:val="1124"/>
        </w:numPr>
      </w:pPr>
      <w:r>
        <w:rPr>
          <w:b/>
          <w:bCs/>
        </w:rPr>
        <w:t xml:space="preserve">สิทธิของเจ้าของข้อมูล</w:t>
      </w:r>
      <w:r>
        <w:t xml:space="preserve"> </w:t>
      </w:r>
      <w:r>
        <w:t xml:space="preserve">— ช่วยตอบคำขอ (access/rectify/erase/portability) ภายใน SLA</w:t>
      </w:r>
    </w:p>
    <w:p>
      <w:pPr>
        <w:pStyle w:val="Compact"/>
        <w:numPr>
          <w:ilvl w:val="0"/>
          <w:numId w:val="1124"/>
        </w:numPr>
      </w:pPr>
      <w:r>
        <w:rPr>
          <w:b/>
          <w:bCs/>
        </w:rPr>
        <w:t xml:space="preserve">การส่งข้อมูลข้ามพรมแดน</w:t>
      </w:r>
      <w:r>
        <w:t xml:space="preserve"> </w:t>
      </w:r>
      <w:r>
        <w:t xml:space="preserve">— ต้องเป็นไปตาม PDPA ม.28–29 และ data residency ของ ธปท.</w:t>
      </w:r>
    </w:p>
    <w:p>
      <w:pPr>
        <w:pStyle w:val="Compact"/>
        <w:numPr>
          <w:ilvl w:val="0"/>
          <w:numId w:val="1124"/>
        </w:numPr>
      </w:pPr>
      <w:r>
        <w:rPr>
          <w:b/>
          <w:bCs/>
        </w:rPr>
        <w:t xml:space="preserve">สิทธิในการตรวจสอบ (audit right)</w:t>
      </w:r>
      <w:r>
        <w:t xml:space="preserve"> </w:t>
      </w:r>
      <w:r>
        <w:t xml:space="preserve">— [บริษัท / Company], QSA และ</w:t>
      </w:r>
      <w:r>
        <w:t xml:space="preserve"> </w:t>
      </w:r>
      <w:r>
        <w:rPr>
          <w:b/>
          <w:bCs/>
        </w:rPr>
        <w:t xml:space="preserve">ธปท.</w:t>
      </w:r>
      <w:r>
        <w:t xml:space="preserve"> </w:t>
      </w:r>
      <w:r>
        <w:t xml:space="preserve">เข้าตรวจได้</w:t>
      </w:r>
    </w:p>
    <w:p>
      <w:pPr>
        <w:pStyle w:val="Compact"/>
        <w:numPr>
          <w:ilvl w:val="0"/>
          <w:numId w:val="1124"/>
        </w:numPr>
      </w:pPr>
      <w:r>
        <w:rPr>
          <w:b/>
          <w:bCs/>
        </w:rPr>
        <w:t xml:space="preserve">การรายงานการปฏิบัติตาม</w:t>
      </w:r>
      <w:r>
        <w:t xml:space="preserve"> </w:t>
      </w:r>
      <w:r>
        <w:t xml:space="preserve">— AoC/RoC (PCI), SOC 2 Type II, ISO 27001 รายปี</w:t>
      </w:r>
    </w:p>
    <w:p>
      <w:pPr>
        <w:pStyle w:val="Compact"/>
        <w:numPr>
          <w:ilvl w:val="0"/>
          <w:numId w:val="1124"/>
        </w:numPr>
      </w:pPr>
      <w:r>
        <w:rPr>
          <w:b/>
          <w:bCs/>
        </w:rPr>
        <w:t xml:space="preserve">BCP/DR และ SLA</w:t>
      </w:r>
      <w:r>
        <w:t xml:space="preserve"> </w:t>
      </w:r>
      <w:r>
        <w:t xml:space="preserve">— RTO/RPO, availability, ความต่อเนื่องบริการ</w:t>
      </w:r>
    </w:p>
    <w:p>
      <w:pPr>
        <w:pStyle w:val="Compact"/>
        <w:numPr>
          <w:ilvl w:val="0"/>
          <w:numId w:val="1124"/>
        </w:numPr>
      </w:pPr>
      <w:r>
        <w:rPr>
          <w:b/>
          <w:bCs/>
        </w:rPr>
        <w:t xml:space="preserve">การคืน/ทำลายข้อมูลเมื่อสิ้นสุด</w:t>
      </w:r>
      <w:r>
        <w:t xml:space="preserve"> </w:t>
      </w:r>
      <w:r>
        <w:t xml:space="preserve">— พร้อมหลักฐาน certificate of destruction</w:t>
      </w:r>
    </w:p>
    <w:p>
      <w:pPr>
        <w:pStyle w:val="Compact"/>
        <w:numPr>
          <w:ilvl w:val="0"/>
          <w:numId w:val="1124"/>
        </w:numPr>
      </w:pPr>
      <w:r>
        <w:rPr>
          <w:b/>
          <w:bCs/>
        </w:rPr>
        <w:t xml:space="preserve">ความรับผิดและการชดใช้ (liability &amp; indemnity)</w:t>
      </w:r>
      <w:r>
        <w:t xml:space="preserve"> </w:t>
      </w:r>
      <w:r>
        <w:t xml:space="preserve">— รวมค่าปรับ regulator, ค่าปรับ scheme</w:t>
      </w:r>
    </w:p>
    <w:p>
      <w:pPr>
        <w:pStyle w:val="Compact"/>
        <w:numPr>
          <w:ilvl w:val="0"/>
          <w:numId w:val="1124"/>
        </w:numPr>
      </w:pPr>
      <w:r>
        <w:rPr>
          <w:b/>
          <w:bCs/>
        </w:rPr>
        <w:t xml:space="preserve">Exit / transition plan</w:t>
      </w:r>
      <w:r>
        <w:t xml:space="preserve"> </w:t>
      </w:r>
      <w:r>
        <w:t xml:space="preserve">— แผนถอนออกโดยไม่กระทบบริการและ compliance</w:t>
      </w:r>
    </w:p>
    <w:p>
      <w:r>
        <w:pict>
          <v:rect style="width:0;height:1.5pt" o:hralign="center" o:hrstd="t" o:hr="t"/>
        </w:pict>
      </w:r>
    </w:p>
    <w:bookmarkEnd w:id="344"/>
    <w:bookmarkStart w:id="345" w:name="ประเภทขอมลและฐานการประมวลผลรายคสญญา"/>
    <w:p>
      <w:pPr>
        <w:pStyle w:val="Heading2"/>
      </w:pPr>
      <w:r>
        <w:t xml:space="preserve">3. ประเภทข้อมูลและฐานการประมวลผลรายคู่สัญญา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คู่สัญญา</w:t>
            </w:r>
          </w:p>
        </w:tc>
        <w:tc>
          <w:tcPr/>
          <w:p>
            <w:pPr>
              <w:pStyle w:val="Compact"/>
            </w:pPr>
            <w:r>
              <w:t xml:space="preserve">ข้อมูลที่ส่ง/ประมวลผล</w:t>
            </w:r>
          </w:p>
        </w:tc>
        <w:tc>
          <w:tcPr/>
          <w:p>
            <w:pPr>
              <w:pStyle w:val="Compact"/>
            </w:pPr>
            <w:r>
              <w:t xml:space="preserve">ห้ามส่ง</w:t>
            </w:r>
          </w:p>
        </w:tc>
        <w:tc>
          <w:tcPr/>
          <w:p>
            <w:pPr>
              <w:pStyle w:val="Compact"/>
            </w:pPr>
            <w:r>
              <w:t xml:space="preserve">ฐานการประมวลผล (PDPA)</w:t>
            </w:r>
          </w:p>
        </w:tc>
      </w:tr>
      <w:tr>
        <w:tc>
          <w:tcPr/>
          <w:p>
            <w:pPr>
              <w:pStyle w:val="Compact"/>
            </w:pPr>
            <w:r>
              <w:rPr>
                <w:b/>
                <w:bCs/>
              </w:rPr>
              <w:t xml:space="preserve">Acquirer / Sponsor Bank</w:t>
            </w:r>
          </w:p>
        </w:tc>
        <w:tc>
          <w:tcPr/>
          <w:p>
            <w:pPr>
              <w:pStyle w:val="Compact"/>
            </w:pPr>
            <w:r>
              <w:t xml:space="preserve">PAN (ผ่าน network token/ISO 8583), auth data, จำนวนเงิน, MCC, merchant ID</w:t>
            </w:r>
          </w:p>
        </w:tc>
        <w:tc>
          <w:tcPr/>
          <w:p>
            <w:pPr>
              <w:pStyle w:val="Compact"/>
            </w:pPr>
            <w:r>
              <w:t xml:space="preserve">CVV2 หลัง authorization, PIN</w:t>
            </w:r>
          </w:p>
        </w:tc>
        <w:tc>
          <w:tcPr/>
          <w:p>
            <w:pPr>
              <w:pStyle w:val="Compact"/>
            </w:pPr>
            <w:r>
              <w:t xml:space="preserve">สัญญา (ม.24(3)) + ประโยชน์โดยชอบด้วยกฎหมาย</w:t>
            </w:r>
          </w:p>
        </w:tc>
      </w:tr>
      <w:tr>
        <w:tc>
          <w:tcPr/>
          <w:p>
            <w:pPr>
              <w:pStyle w:val="Compact"/>
            </w:pPr>
            <w:r>
              <w:rPr>
                <w:b/>
                <w:bCs/>
              </w:rPr>
              <w:t xml:space="preserve">3DS provider</w:t>
            </w:r>
          </w:p>
        </w:tc>
        <w:tc>
          <w:tcPr/>
          <w:p>
            <w:pPr>
              <w:pStyle w:val="Compact"/>
            </w:pPr>
            <w:r>
              <w:t xml:space="preserve">PAN/DPAN, device data, browser fingerprint, cardholder name, billing</w:t>
            </w:r>
          </w:p>
        </w:tc>
        <w:tc>
          <w:tcPr/>
          <w:p>
            <w:pPr>
              <w:pStyle w:val="Compact"/>
            </w:pPr>
            <w:r>
              <w:t xml:space="preserve">CVV2 (ไม่ผ่าน 3DS flow), track data</w:t>
            </w:r>
          </w:p>
        </w:tc>
        <w:tc>
          <w:tcPr/>
          <w:p>
            <w:pPr>
              <w:pStyle w:val="Compact"/>
            </w:pPr>
            <w:r>
              <w:t xml:space="preserve">สัญญา + หน้าที่ตามกฎหมาย (SCA/scheme mandate)</w:t>
            </w:r>
          </w:p>
        </w:tc>
      </w:tr>
      <w:tr>
        <w:tc>
          <w:tcPr/>
          <w:p>
            <w:pPr>
              <w:pStyle w:val="Compact"/>
            </w:pPr>
            <w:r>
              <w:rPr>
                <w:b/>
                <w:bCs/>
              </w:rPr>
              <w:t xml:space="preserve">Tokenization Vault</w:t>
            </w:r>
          </w:p>
        </w:tc>
        <w:tc>
          <w:tcPr/>
          <w:p>
            <w:pPr>
              <w:pStyle w:val="Compact"/>
            </w:pPr>
            <w:r>
              <w:t xml:space="preserve">full PAN (ชั่วคราวเพื่อสร้าง token), expiry</w:t>
            </w:r>
          </w:p>
        </w:tc>
        <w:tc>
          <w:tcPr/>
          <w:p>
            <w:pPr>
              <w:pStyle w:val="Compact"/>
            </w:pPr>
            <w:r>
              <w:t xml:space="preserve">CVV2, PIN, track เก็บถาวร</w:t>
            </w:r>
          </w:p>
        </w:tc>
        <w:tc>
          <w:tcPr/>
          <w:p>
            <w:pPr>
              <w:pStyle w:val="Compact"/>
            </w:pPr>
            <w:r>
              <w:t xml:space="preserve">สัญญา</w:t>
            </w:r>
          </w:p>
        </w:tc>
      </w:tr>
      <w:tr>
        <w:tc>
          <w:tcPr/>
          <w:p>
            <w:pPr>
              <w:pStyle w:val="Compact"/>
            </w:pPr>
            <w:r>
              <w:rPr>
                <w:b/>
                <w:bCs/>
              </w:rPr>
              <w:t xml:space="preserve">ITMX</w:t>
            </w:r>
          </w:p>
        </w:tc>
        <w:tc>
          <w:tcPr/>
          <w:p>
            <w:pPr>
              <w:pStyle w:val="Compact"/>
            </w:pPr>
            <w:r>
              <w:t xml:space="preserve">บัญชี/พร้อมเพย์ proxy, จำนวนเงิน, PAN สำหรับ local card switch</w:t>
            </w:r>
          </w:p>
        </w:tc>
        <w:tc>
          <w:tcPr/>
          <w:p>
            <w:pPr>
              <w:pStyle w:val="Compact"/>
            </w:pPr>
            <w:r>
              <w:t xml:space="preserve">CVV2, PIN block นอก HSM</w:t>
            </w:r>
          </w:p>
        </w:tc>
        <w:tc>
          <w:tcPr/>
          <w:p>
            <w:pPr>
              <w:pStyle w:val="Compact"/>
            </w:pPr>
            <w:r>
              <w:t xml:space="preserve">สัญญา + หน้าที่ตามกฎหมาย (ระบบชำระเงินชาติ)</w:t>
            </w:r>
          </w:p>
        </w:tc>
      </w:tr>
      <w:tr>
        <w:tc>
          <w:tcPr/>
          <w:p>
            <w:pPr>
              <w:pStyle w:val="Compact"/>
            </w:pPr>
            <w:r>
              <w:rPr>
                <w:b/>
                <w:bCs/>
              </w:rPr>
              <w:t xml:space="preserve">HSM/KMS provider</w:t>
            </w:r>
          </w:p>
        </w:tc>
        <w:tc>
          <w:tcPr/>
          <w:p>
            <w:pPr>
              <w:pStyle w:val="Compact"/>
            </w:pPr>
            <w:r>
              <w:t xml:space="preserve">ciphertext, key material (ภายใน FIPS boundary)</w:t>
            </w:r>
          </w:p>
        </w:tc>
        <w:tc>
          <w:tcPr/>
          <w:p>
            <w:pPr>
              <w:pStyle w:val="Compact"/>
            </w:pPr>
            <w:r>
              <w:rPr>
                <w:b/>
                <w:bCs/>
              </w:rPr>
              <w:t xml:space="preserve">plaintext PAN/PII</w:t>
            </w:r>
            <w:r>
              <w:t xml:space="preserve"> </w:t>
            </w:r>
            <w:r>
              <w:t xml:space="preserve">(ไม่ควรออกจาก HSM)</w:t>
            </w:r>
          </w:p>
        </w:tc>
        <w:tc>
          <w:tcPr/>
          <w:p>
            <w:pPr>
              <w:pStyle w:val="Compact"/>
            </w:pPr>
            <w:r>
              <w:t xml:space="preserve">สัญญา</w:t>
            </w:r>
          </w:p>
        </w:tc>
      </w:tr>
    </w:tbl>
    <w:p>
      <w:pPr>
        <w:pStyle w:val="BlockText"/>
      </w:pPr>
      <w:r>
        <w:rPr>
          <w:b/>
          <w:bCs/>
        </w:rPr>
        <w:t xml:space="preserve">หลักการ:</w:t>
      </w:r>
      <w:r>
        <w:t xml:space="preserve"> </w:t>
      </w:r>
      <w:r>
        <w:t xml:space="preserve">ตาม</w:t>
      </w:r>
      <w:r>
        <w:t xml:space="preserve"> </w:t>
      </w:r>
      <w:r>
        <w:rPr>
          <w:rStyle w:val="VerbatimChar"/>
        </w:rPr>
        <w:t xml:space="preserve">../ARCHITECTURE.md</w:t>
      </w:r>
      <w:r>
        <w:t xml:space="preserve"> </w:t>
      </w:r>
      <w:r>
        <w:t xml:space="preserve">§6 ระบบหลักเห็นแค่</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w:t>
      </w:r>
      <w:r>
        <w:t xml:space="preserve"> </w:t>
      </w:r>
      <w:r>
        <w:rPr>
          <w:b/>
          <w:bCs/>
        </w:rPr>
        <w:t xml:space="preserve">ห้ามเก็บ full PAN, CVV/CVV2, PIN, full track</w:t>
      </w:r>
      <w:r>
        <w:t xml:space="preserve"> </w:t>
      </w:r>
      <w:r>
        <w:t xml:space="preserve">ใน operational DB — สอดคล้อง PCI Req 3.2 (ห้ามเก็บ SAD หลัง authorization)</w:t>
      </w:r>
    </w:p>
    <w:p>
      <w:r>
        <w:pict>
          <v:rect style="width:0;height:1.5pt" o:hralign="center" o:hrstd="t" o:hr="t"/>
        </w:pict>
      </w:r>
    </w:p>
    <w:bookmarkEnd w:id="345"/>
    <w:bookmarkStart w:id="346" w:name="timeline-การแจงเหตและ-sla-ผกในทก-dpa"/>
    <w:p>
      <w:pPr>
        <w:pStyle w:val="Heading2"/>
      </w:pPr>
      <w:r>
        <w:t xml:space="preserve">4. Timeline การแจ้งเหตุและ SLA (ผูกในทุก DPA)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เหตุการณ์</w:t>
            </w:r>
          </w:p>
        </w:tc>
        <w:tc>
          <w:tcPr/>
          <w:p>
            <w:pPr>
              <w:pStyle w:val="Compact"/>
            </w:pPr>
            <w:r>
              <w:t xml:space="preserve">ผู้ให้บริการต้องแจ้ง [บริษัท / Company] ภายใน</w:t>
            </w:r>
          </w:p>
        </w:tc>
        <w:tc>
          <w:tcPr/>
          <w:p>
            <w:pPr>
              <w:pStyle w:val="Compact"/>
            </w:pPr>
            <w:r>
              <w:t xml:space="preserve">[บริษัท / Company] แจ้ง regulator ภายใน</w:t>
            </w:r>
          </w:p>
        </w:tc>
      </w:tr>
      <w:tr>
        <w:tc>
          <w:tcPr/>
          <w:p>
            <w:pPr>
              <w:pStyle w:val="Compact"/>
            </w:pPr>
            <w:r>
              <w:t xml:space="preserve">สงสัย/ยืนยันการละเมิดข้อมูล (data breach)</w:t>
            </w:r>
          </w:p>
        </w:tc>
        <w:tc>
          <w:tcPr/>
          <w:p>
            <w:pPr>
              <w:pStyle w:val="Compact"/>
            </w:pPr>
            <w:r>
              <w:rPr>
                <w:b/>
                <w:bCs/>
              </w:rPr>
              <w:t xml:space="preserve">≤ 24 ชม.</w:t>
            </w:r>
            <w:r>
              <w:t xml:space="preserve"> </w:t>
            </w:r>
            <w:r>
              <w:t xml:space="preserve">นับแต่ตรวจพบ</w:t>
            </w:r>
          </w:p>
        </w:tc>
        <w:tc>
          <w:tcPr/>
          <w:p>
            <w:pPr>
              <w:pStyle w:val="Compact"/>
            </w:pPr>
            <w:r>
              <w:rPr>
                <w:b/>
                <w:bCs/>
              </w:rPr>
              <w:t xml:space="preserve">PDPC ภายใน 72 ชม.</w:t>
            </w:r>
            <w:r>
              <w:t xml:space="preserve"> </w:t>
            </w:r>
            <w:r>
              <w:t xml:space="preserve">(PDPA ม.37(4));</w:t>
            </w:r>
            <w:r>
              <w:t xml:space="preserve"> </w:t>
            </w:r>
            <w:r>
              <w:rPr>
                <w:b/>
                <w:bCs/>
              </w:rPr>
              <w:t xml:space="preserve">ธปท.</w:t>
            </w:r>
            <w:r>
              <w:t xml:space="preserve"> </w:t>
            </w:r>
            <w:r>
              <w:t xml:space="preserve">ตามประกาศ cyber incident (โดยทั่วไป ≤ 24 ชม. สำหรับเหตุร้ายแรง)</w:t>
            </w:r>
          </w:p>
        </w:tc>
      </w:tr>
      <w:tr>
        <w:tc>
          <w:tcPr/>
          <w:p>
            <w:pPr>
              <w:pStyle w:val="Compact"/>
            </w:pPr>
            <w:r>
              <w:t xml:space="preserve">Account Data Compromise (ADC) ตาม PCI</w:t>
            </w:r>
          </w:p>
        </w:tc>
        <w:tc>
          <w:tcPr/>
          <w:p>
            <w:pPr>
              <w:pStyle w:val="Compact"/>
            </w:pPr>
            <w:r>
              <w:rPr>
                <w:b/>
                <w:bCs/>
              </w:rPr>
              <w:t xml:space="preserve">ทันที (immediate)</w:t>
            </w:r>
          </w:p>
        </w:tc>
        <w:tc>
          <w:tcPr/>
          <w:p>
            <w:pPr>
              <w:pStyle w:val="Compact"/>
            </w:pPr>
            <w:r>
              <w:t xml:space="preserve">แจ้ง scheme (Visa/Mastercard) + acquirer + QSA ตามขั้นตอน ADC</w:t>
            </w:r>
          </w:p>
        </w:tc>
      </w:tr>
      <w:tr>
        <w:tc>
          <w:tcPr/>
          <w:p>
            <w:pPr>
              <w:pStyle w:val="Compact"/>
            </w:pPr>
            <w:r>
              <w:t xml:space="preserve">เหตุกระทบ availability (major outage)</w:t>
            </w:r>
          </w:p>
        </w:tc>
        <w:tc>
          <w:tcPr/>
          <w:p>
            <w:pPr>
              <w:pStyle w:val="Compact"/>
            </w:pPr>
            <w:r>
              <w:rPr>
                <w:b/>
                <w:bCs/>
              </w:rPr>
              <w:t xml:space="preserve">≤ 1 ชม.</w:t>
            </w:r>
          </w:p>
        </w:tc>
        <w:tc>
          <w:tcPr/>
          <w:p>
            <w:pPr>
              <w:pStyle w:val="Compact"/>
            </w:pPr>
            <w:r>
              <w:t xml:space="preserve">ธปท. ตามเกณฑ์ operational disruption</w:t>
            </w:r>
          </w:p>
        </w:tc>
      </w:tr>
      <w:tr>
        <w:tc>
          <w:tcPr/>
          <w:p>
            <w:pPr>
              <w:pStyle w:val="Compact"/>
            </w:pPr>
            <w:r>
              <w:t xml:space="preserve">ผลตรวจ ASV scan ล้มเหลว / vuln วิกฤต</w:t>
            </w:r>
          </w:p>
        </w:tc>
        <w:tc>
          <w:tcPr/>
          <w:p>
            <w:pPr>
              <w:pStyle w:val="Compact"/>
            </w:pPr>
            <w:r>
              <w:rPr>
                <w:b/>
                <w:bCs/>
              </w:rPr>
              <w:t xml:space="preserve">≤ 48 ชม.</w:t>
            </w:r>
          </w:p>
        </w:tc>
        <w:tc>
          <w:tcPr/>
          <w:p>
            <w:pPr>
              <w:pStyle w:val="Compact"/>
            </w:pPr>
            <w:r>
              <w:t xml:space="preserve">ภายในแผน remediation PCI</w:t>
            </w:r>
          </w:p>
        </w:tc>
      </w:tr>
      <w:tr>
        <w:tc>
          <w:tcPr/>
          <w:p>
            <w:pPr>
              <w:pStyle w:val="Compact"/>
            </w:pPr>
            <w:r>
              <w:t xml:space="preserve">การเปลี่ยน sub-processor / material change</w:t>
            </w:r>
          </w:p>
        </w:tc>
        <w:tc>
          <w:tcPr/>
          <w:p>
            <w:pPr>
              <w:pStyle w:val="Compact"/>
            </w:pPr>
            <w:r>
              <w:rPr>
                <w:b/>
                <w:bCs/>
              </w:rPr>
              <w:t xml:space="preserve">≥ 30 วันล่วงหน้า</w:t>
            </w:r>
          </w:p>
        </w:tc>
        <w:tc>
          <w:tcPr/>
          <w:p>
            <w:pPr>
              <w:pStyle w:val="Compact"/>
            </w:pPr>
            <w:r>
              <w:t xml:space="preserve">แจ้ง ธปท. หากเป็น material outsourcing</w:t>
            </w:r>
          </w:p>
        </w:tc>
      </w:tr>
    </w:tbl>
    <w:p>
      <w:pPr>
        <w:pStyle w:val="BodyText"/>
      </w:pPr>
      <w:r>
        <w:rPr>
          <w:b/>
          <w:bCs/>
        </w:rPr>
        <w:t xml:space="preserve">SLA ขั้นต่ำที่แนะนำ:</w:t>
      </w:r>
      <w:r>
        <w:t xml:space="preserve"> </w:t>
      </w:r>
      <w:r>
        <w:t xml:space="preserve">Availability ≥ 99.95% (สอดคล้อง</w:t>
      </w:r>
      <w:r>
        <w:t xml:space="preserve"> </w:t>
      </w:r>
      <w:r>
        <w:rPr>
          <w:rStyle w:val="VerbatimChar"/>
        </w:rPr>
        <w:t xml:space="preserve">../ARCHITECTURE.md</w:t>
      </w:r>
      <w:r>
        <w:t xml:space="preserve"> </w:t>
      </w:r>
      <w:r>
        <w:t xml:space="preserve">§8), RPO ≤ 5 นาที, RTO ≤ 30 นาที</w:t>
      </w:r>
    </w:p>
    <w:p>
      <w:r>
        <w:pict>
          <v:rect style="width:0;height:1.5pt" o:hralign="center" o:hrstd="t" o:hr="t"/>
        </w:pict>
      </w:r>
    </w:p>
    <w:bookmarkEnd w:id="346"/>
    <w:bookmarkStart w:id="352" w:name="แมแบบเฉพาะรายคสญญา"/>
    <w:p>
      <w:pPr>
        <w:pStyle w:val="Heading2"/>
      </w:pPr>
      <w:r>
        <w:t xml:space="preserve">5. แม่แบบเฉพาะรายคู่สัญญา</w:t>
      </w:r>
    </w:p>
    <w:bookmarkStart w:id="347" w:name="acquirer-sponsor-bank"/>
    <w:p>
      <w:pPr>
        <w:pStyle w:val="Heading3"/>
      </w:pPr>
      <w:r>
        <w:t xml:space="preserve">5.1 Acquirer / Sponsor Bank</w:t>
      </w:r>
    </w:p>
    <w:p>
      <w:pPr>
        <w:pStyle w:val="Compact"/>
        <w:numPr>
          <w:ilvl w:val="0"/>
          <w:numId w:val="1125"/>
        </w:numPr>
      </w:pPr>
      <w:r>
        <w:rPr>
          <w:b/>
          <w:bCs/>
        </w:rPr>
        <w:t xml:space="preserve">ชนิดสัญญา:</w:t>
      </w:r>
      <w:r>
        <w:t xml:space="preserve"> </w:t>
      </w:r>
      <w:r>
        <w:t xml:space="preserve">Merchant Acquiring / Sponsorship Agreement + Data Sharing Addendum</w:t>
      </w:r>
    </w:p>
    <w:p>
      <w:pPr>
        <w:pStyle w:val="Compact"/>
        <w:numPr>
          <w:ilvl w:val="0"/>
          <w:numId w:val="1125"/>
        </w:numPr>
      </w:pPr>
      <w:r>
        <w:rPr>
          <w:b/>
          <w:bCs/>
        </w:rPr>
        <w:t xml:space="preserve">ประเด็นหลัก:</w:t>
      </w:r>
      <w:r>
        <w:t xml:space="preserve"> </w:t>
      </w:r>
      <w:r>
        <w:t xml:space="preserve">สิทธิเข้าถึง authorization &amp; settlement network, chargeback/dispute allocation, การส่ง PAN ผ่าน network token, การจัดสรรความรับผิดจาก fraud/chargeback</w:t>
      </w:r>
    </w:p>
    <w:p>
      <w:pPr>
        <w:pStyle w:val="Compact"/>
        <w:numPr>
          <w:ilvl w:val="0"/>
          <w:numId w:val="1125"/>
        </w:numPr>
      </w:pPr>
      <w:r>
        <w:rPr>
          <w:b/>
          <w:bCs/>
        </w:rPr>
        <w:t xml:space="preserve">PCI:</w:t>
      </w:r>
      <w:r>
        <w:t xml:space="preserve"> </w:t>
      </w:r>
      <w:r>
        <w:t xml:space="preserve">acquirer ต้องให้</w:t>
      </w:r>
      <w:r>
        <w:t xml:space="preserve"> </w:t>
      </w:r>
      <w:r>
        <w:rPr>
          <w:b/>
          <w:bCs/>
        </w:rPr>
        <w:t xml:space="preserve">AoC</w:t>
      </w:r>
      <w:r>
        <w:t xml:space="preserve"> </w:t>
      </w:r>
      <w:r>
        <w:t xml:space="preserve">และรับ [บริษัท / Company] เข้าโปรแกรม TPSP monitoring</w:t>
      </w:r>
    </w:p>
    <w:p>
      <w:pPr>
        <w:pStyle w:val="Compact"/>
        <w:numPr>
          <w:ilvl w:val="0"/>
          <w:numId w:val="1125"/>
        </w:numPr>
      </w:pPr>
      <w:r>
        <w:rPr>
          <w:b/>
          <w:bCs/>
        </w:rPr>
        <w:t xml:space="preserve">ธปท.:</w:t>
      </w:r>
      <w:r>
        <w:t xml:space="preserve"> </w:t>
      </w:r>
      <w:r>
        <w:t xml:space="preserve">ผูกข้อ right-to-audit ให้ ธปท. เข้าตรวจ sponsor ได้ผ่าน [บริษัท / Company]</w:t>
      </w:r>
    </w:p>
    <w:p>
      <w:pPr>
        <w:pStyle w:val="BlockText"/>
      </w:pPr>
      <w:r>
        <w:rPr>
          <w:b/>
          <w:bCs/>
        </w:rPr>
        <w:t xml:space="preserve">[TODO / สมมติฐาน]</w:t>
      </w:r>
      <w:r>
        <w:t xml:space="preserve"> </w:t>
      </w:r>
      <w:r>
        <w:t xml:space="preserve">ยังไม่ได้เลือก</w:t>
      </w:r>
      <w:r>
        <w:t xml:space="preserve"> </w:t>
      </w:r>
      <w:r>
        <w:rPr>
          <w:b/>
          <w:bCs/>
        </w:rPr>
        <w:t xml:space="preserve">sponsor bank/acquirer</w:t>
      </w:r>
      <w:r>
        <w:t xml:space="preserve"> </w:t>
      </w:r>
      <w:r>
        <w:t xml:space="preserve">จริง (ดู</w:t>
      </w:r>
      <w:r>
        <w:t xml:space="preserve"> </w:t>
      </w:r>
      <w:r>
        <w:rPr>
          <w:rStyle w:val="VerbatimChar"/>
        </w:rPr>
        <w:t xml:space="preserve">../ROADMAP.md</w:t>
      </w:r>
      <w:r>
        <w:t xml:space="preserve"> </w:t>
      </w:r>
      <w:r>
        <w:t xml:space="preserve">§5 critical path) — ต้องเติมชื่อคู่สัญญา, BIN sponsorship, และ scheme certification timeline หลังลงนาม LOI</w:t>
      </w:r>
    </w:p>
    <w:bookmarkEnd w:id="347"/>
    <w:bookmarkStart w:id="348" w:name="ผใหบรการ-3-d-secure-emv-3ds"/>
    <w:p>
      <w:pPr>
        <w:pStyle w:val="Heading3"/>
      </w:pPr>
      <w:r>
        <w:t xml:space="preserve">5.2 ผู้ให้บริการ 3-D Secure (EMV 3DS)</w:t>
      </w:r>
    </w:p>
    <w:p>
      <w:pPr>
        <w:pStyle w:val="Compact"/>
        <w:numPr>
          <w:ilvl w:val="0"/>
          <w:numId w:val="1126"/>
        </w:numPr>
      </w:pPr>
      <w:r>
        <w:rPr>
          <w:b/>
          <w:bCs/>
        </w:rPr>
        <w:t xml:space="preserve">ขอบเขต:</w:t>
      </w:r>
      <w:r>
        <w:t xml:space="preserve"> </w:t>
      </w:r>
      <w:r>
        <w:t xml:space="preserve">ACS/DS integration ตาม</w:t>
      </w:r>
      <w:r>
        <w:t xml:space="preserve"> </w:t>
      </w:r>
      <w:r>
        <w:rPr>
          <w:b/>
          <w:bCs/>
        </w:rPr>
        <w:t xml:space="preserve">EMV 3DS 2.x</w:t>
      </w:r>
      <w:r>
        <w:t xml:space="preserve"> </w:t>
      </w:r>
      <w:r>
        <w:t xml:space="preserve">เพื่อ SCA และโอน liability shift ไปยัง issuer</w:t>
      </w:r>
    </w:p>
    <w:p>
      <w:pPr>
        <w:pStyle w:val="Compact"/>
        <w:numPr>
          <w:ilvl w:val="0"/>
          <w:numId w:val="1126"/>
        </w:numPr>
      </w:pPr>
      <w:r>
        <w:rPr>
          <w:b/>
          <w:bCs/>
        </w:rPr>
        <w:t xml:space="preserve">ข้อมูล:</w:t>
      </w:r>
      <w:r>
        <w:t xml:space="preserve"> </w:t>
      </w:r>
      <w:r>
        <w:t xml:space="preserve">device/browser data, DPAN — ต้องผูก data minimization และ retention ≤ ที่ scheme กำหนด</w:t>
      </w:r>
    </w:p>
    <w:p>
      <w:pPr>
        <w:pStyle w:val="Compact"/>
        <w:numPr>
          <w:ilvl w:val="0"/>
          <w:numId w:val="1126"/>
        </w:numPr>
      </w:pPr>
      <w:r>
        <w:rPr>
          <w:b/>
          <w:bCs/>
        </w:rPr>
        <w:t xml:space="preserve">PCI:</w:t>
      </w:r>
      <w:r>
        <w:t xml:space="preserve"> </w:t>
      </w:r>
      <w:r>
        <w:t xml:space="preserve">3DS server อยู่ใน scope; ผู้ให้บริการต้องส่ง AoC/SDP compliance</w:t>
      </w:r>
    </w:p>
    <w:p>
      <w:pPr>
        <w:pStyle w:val="Compact"/>
        <w:numPr>
          <w:ilvl w:val="0"/>
          <w:numId w:val="1126"/>
        </w:numPr>
      </w:pPr>
      <w:r>
        <w:rPr>
          <w:b/>
          <w:bCs/>
        </w:rPr>
        <w:t xml:space="preserve">ผูก fallback:</w:t>
      </w:r>
      <w:r>
        <w:t xml:space="preserve"> </w:t>
      </w:r>
      <w:r>
        <w:t xml:space="preserve">เมื่อ 3DS ไม่พร้อม ให้ fail closed ตาม</w:t>
      </w:r>
      <w:r>
        <w:t xml:space="preserve"> </w:t>
      </w:r>
      <w:r>
        <w:rPr>
          <w:rStyle w:val="VerbatimChar"/>
        </w:rPr>
        <w:t xml:space="preserve">../ARCHITECTURE.md</w:t>
      </w:r>
      <w:r>
        <w:t xml:space="preserve"> </w:t>
      </w:r>
      <w:r>
        <w:t xml:space="preserve">§2</w:t>
      </w:r>
    </w:p>
    <w:bookmarkEnd w:id="348"/>
    <w:bookmarkStart w:id="349" w:name="tokenization-vault"/>
    <w:p>
      <w:pPr>
        <w:pStyle w:val="Heading3"/>
      </w:pPr>
      <w:r>
        <w:t xml:space="preserve">5.3 Tokenization Vault</w:t>
      </w:r>
    </w:p>
    <w:p>
      <w:pPr>
        <w:pStyle w:val="Compact"/>
        <w:numPr>
          <w:ilvl w:val="0"/>
          <w:numId w:val="1127"/>
        </w:numPr>
      </w:pPr>
      <w:r>
        <w:rPr>
          <w:b/>
          <w:bCs/>
        </w:rPr>
        <w:t xml:space="preserve">ขอบเขต:</w:t>
      </w:r>
      <w:r>
        <w:t xml:space="preserve"> </w:t>
      </w:r>
      <w:r>
        <w:t xml:space="preserve">สร้าง/คืน token, envelope encryption ด้วยคีย์จาก HSM (</w:t>
      </w:r>
      <w:r>
        <w:rPr>
          <w:rStyle w:val="VerbatimChar"/>
        </w:rPr>
        <w:t xml:space="preserve">../ARCHITECTURE.md</w:t>
      </w:r>
      <w:r>
        <w:t xml:space="preserve"> </w:t>
      </w:r>
      <w:r>
        <w:t xml:space="preserve">§7)</w:t>
      </w:r>
    </w:p>
    <w:p>
      <w:pPr>
        <w:pStyle w:val="Compact"/>
        <w:numPr>
          <w:ilvl w:val="0"/>
          <w:numId w:val="1127"/>
        </w:numPr>
      </w:pPr>
      <w:r>
        <w:rPr>
          <w:b/>
          <w:bCs/>
        </w:rPr>
        <w:t xml:space="preserve">ข้อกำหนด:</w:t>
      </w:r>
      <w:r>
        <w:t xml:space="preserve"> </w:t>
      </w:r>
      <w:r>
        <w:t xml:space="preserve">vault ต้องอยู่ใน</w:t>
      </w:r>
      <w:r>
        <w:t xml:space="preserve"> </w:t>
      </w:r>
      <w:r>
        <w:rPr>
          <w:b/>
          <w:bCs/>
        </w:rPr>
        <w:t xml:space="preserve">network segment แยก</w:t>
      </w:r>
      <w:r>
        <w:t xml:space="preserve"> </w:t>
      </w:r>
      <w:r>
        <w:t xml:space="preserve">จากระบบหลัก; single-use payment token ฝั่ง client</w:t>
      </w:r>
    </w:p>
    <w:p>
      <w:pPr>
        <w:pStyle w:val="Compact"/>
        <w:numPr>
          <w:ilvl w:val="0"/>
          <w:numId w:val="1127"/>
        </w:numPr>
      </w:pPr>
      <w:r>
        <w:rPr>
          <w:b/>
          <w:bCs/>
        </w:rPr>
        <w:t xml:space="preserve">PCI:</w:t>
      </w:r>
      <w:r>
        <w:t xml:space="preserve"> </w:t>
      </w:r>
      <w:r>
        <w:t xml:space="preserve">เป็น TPSP หลักใน CDE — ต้องมี</w:t>
      </w:r>
      <w:r>
        <w:t xml:space="preserve"> </w:t>
      </w:r>
      <w:r>
        <w:rPr>
          <w:b/>
          <w:bCs/>
        </w:rPr>
        <w:t xml:space="preserve">RoC/AoC Level 1</w:t>
      </w:r>
      <w:r>
        <w:t xml:space="preserve">, quarterly ASV, annual pentest</w:t>
      </w:r>
    </w:p>
    <w:p>
      <w:pPr>
        <w:pStyle w:val="Compact"/>
        <w:numPr>
          <w:ilvl w:val="0"/>
          <w:numId w:val="1127"/>
        </w:numPr>
      </w:pPr>
      <w:r>
        <w:rPr>
          <w:b/>
          <w:bCs/>
        </w:rPr>
        <w:t xml:space="preserve">การทำลายข้อมูล:</w:t>
      </w:r>
      <w:r>
        <w:t xml:space="preserve"> </w:t>
      </w:r>
      <w:r>
        <w:t xml:space="preserve">crypto-erase คีย์เมื่อสิ้นสุดสัญญา + certificate</w:t>
      </w:r>
    </w:p>
    <w:bookmarkEnd w:id="349"/>
    <w:bookmarkStart w:id="350" w:name="X75d12e23f10a6014750e5ec594eeff401c6200a"/>
    <w:p>
      <w:pPr>
        <w:pStyle w:val="Heading3"/>
      </w:pPr>
      <w:r>
        <w:t xml:space="preserve">5.4 ITMX (National Interbank Transaction Management and Exchange)</w:t>
      </w:r>
    </w:p>
    <w:p>
      <w:pPr>
        <w:pStyle w:val="Compact"/>
        <w:numPr>
          <w:ilvl w:val="0"/>
          <w:numId w:val="1128"/>
        </w:numPr>
      </w:pPr>
      <w:r>
        <w:rPr>
          <w:b/>
          <w:bCs/>
        </w:rPr>
        <w:t xml:space="preserve">ชนิดสัญญา:</w:t>
      </w:r>
      <w:r>
        <w:t xml:space="preserve"> </w:t>
      </w:r>
      <w:r>
        <w:t xml:space="preserve">Membership/Interchange Agreement + Data Sharing (ทั้งคู่เป็น controller)</w:t>
      </w:r>
    </w:p>
    <w:p>
      <w:pPr>
        <w:pStyle w:val="Compact"/>
        <w:numPr>
          <w:ilvl w:val="0"/>
          <w:numId w:val="1128"/>
        </w:numPr>
      </w:pPr>
      <w:r>
        <w:rPr>
          <w:b/>
          <w:bCs/>
        </w:rPr>
        <w:t xml:space="preserve">ขอบเขต:</w:t>
      </w:r>
      <w:r>
        <w:t xml:space="preserve"> </w:t>
      </w:r>
      <w:r>
        <w:t xml:space="preserve">local card switch / PromptPay proxy, การหักบัญชีและ settlement ในประเทศ</w:t>
      </w:r>
    </w:p>
    <w:p>
      <w:pPr>
        <w:pStyle w:val="Compact"/>
        <w:numPr>
          <w:ilvl w:val="0"/>
          <w:numId w:val="1128"/>
        </w:numPr>
      </w:pPr>
      <w:r>
        <w:rPr>
          <w:b/>
          <w:bCs/>
        </w:rPr>
        <w:t xml:space="preserve">Data residency:</w:t>
      </w:r>
      <w:r>
        <w:t xml:space="preserve"> </w:t>
      </w:r>
      <w:r>
        <w:t xml:space="preserve">ข้อมูลอยู่ในไทยตามเกณฑ์ ธปท. (</w:t>
      </w:r>
      <w:r>
        <w:rPr>
          <w:rStyle w:val="VerbatimChar"/>
        </w:rPr>
        <w:t xml:space="preserve">../ARCHITECTURE.md</w:t>
      </w:r>
      <w:r>
        <w:t xml:space="preserve"> </w:t>
      </w:r>
      <w:r>
        <w:t xml:space="preserve">§8)</w:t>
      </w:r>
    </w:p>
    <w:p>
      <w:pPr>
        <w:pStyle w:val="Compact"/>
        <w:numPr>
          <w:ilvl w:val="0"/>
          <w:numId w:val="1128"/>
        </w:numPr>
      </w:pPr>
      <w:r>
        <w:rPr>
          <w:b/>
          <w:bCs/>
        </w:rPr>
        <w:t xml:space="preserve">AML:</w:t>
      </w:r>
      <w:r>
        <w:t xml:space="preserve"> </w:t>
      </w:r>
      <w:r>
        <w:t xml:space="preserve">ผูกการส่งต่อข้อมูลธุรกรรมเพื่อการรายงาน ปปง. ตามที่กฎหมายกำหนด</w:t>
      </w:r>
    </w:p>
    <w:p>
      <w:pPr>
        <w:pStyle w:val="BlockText"/>
      </w:pPr>
      <w:r>
        <w:rPr>
          <w:b/>
          <w:bCs/>
        </w:rPr>
        <w:t xml:space="preserve">[TODO / สมมติฐาน]</w:t>
      </w:r>
      <w:r>
        <w:t xml:space="preserve"> </w:t>
      </w:r>
      <w:r>
        <w:t xml:space="preserve">เงื่อนไข membership และ data flow ของ</w:t>
      </w:r>
      <w:r>
        <w:t xml:space="preserve"> </w:t>
      </w:r>
      <w:r>
        <w:rPr>
          <w:b/>
          <w:bCs/>
        </w:rPr>
        <w:t xml:space="preserve">ITMX</w:t>
      </w:r>
      <w:r>
        <w:t xml:space="preserve"> </w:t>
      </w:r>
      <w:r>
        <w:t xml:space="preserve">ต้องยืนยันตามข้อกำหนดสมาชิกจริง หลังได้รับการรับรองเชื่อมต่อ</w:t>
      </w:r>
    </w:p>
    <w:bookmarkEnd w:id="350"/>
    <w:bookmarkStart w:id="351" w:name="hsm-kms-provider"/>
    <w:p>
      <w:pPr>
        <w:pStyle w:val="Heading3"/>
      </w:pPr>
      <w:r>
        <w:t xml:space="preserve">5.5 HSM / KMS Provider</w:t>
      </w:r>
    </w:p>
    <w:p>
      <w:pPr>
        <w:pStyle w:val="Compact"/>
        <w:numPr>
          <w:ilvl w:val="0"/>
          <w:numId w:val="1129"/>
        </w:numPr>
      </w:pPr>
      <w:r>
        <w:rPr>
          <w:b/>
          <w:bCs/>
        </w:rPr>
        <w:t xml:space="preserve">ขอบเขต:</w:t>
      </w:r>
      <w:r>
        <w:t xml:space="preserve"> </w:t>
      </w:r>
      <w:r>
        <w:t xml:space="preserve">จัดเก็บ/ป้องกันคีย์ระดับ</w:t>
      </w:r>
      <w:r>
        <w:t xml:space="preserve"> </w:t>
      </w:r>
      <w:r>
        <w:rPr>
          <w:b/>
          <w:bCs/>
        </w:rPr>
        <w:t xml:space="preserve">FIPS 140-2/3 Level 3</w:t>
      </w:r>
      <w:r>
        <w:t xml:space="preserve">, dual control, split knowledge (PCI Req 3.6–3.7)</w:t>
      </w:r>
    </w:p>
    <w:p>
      <w:pPr>
        <w:pStyle w:val="Compact"/>
        <w:numPr>
          <w:ilvl w:val="0"/>
          <w:numId w:val="1129"/>
        </w:numPr>
      </w:pPr>
      <w:r>
        <w:rPr>
          <w:b/>
          <w:bCs/>
        </w:rPr>
        <w:t xml:space="preserve">หลักการ:</w:t>
      </w:r>
      <w:r>
        <w:t xml:space="preserve"> </w:t>
      </w:r>
      <w:r>
        <w:rPr>
          <w:b/>
          <w:bCs/>
        </w:rPr>
        <w:t xml:space="preserve">plaintext PAN/PII ต้องไม่ออกจาก HSM boundary</w:t>
      </w:r>
      <w:r>
        <w:t xml:space="preserve">; provider เห็นแค่ ciphertext</w:t>
      </w:r>
    </w:p>
    <w:p>
      <w:pPr>
        <w:pStyle w:val="Compact"/>
        <w:numPr>
          <w:ilvl w:val="0"/>
          <w:numId w:val="1129"/>
        </w:numPr>
      </w:pPr>
      <w:r>
        <w:rPr>
          <w:b/>
          <w:bCs/>
        </w:rPr>
        <w:t xml:space="preserve">บริการที่ผูก:</w:t>
      </w:r>
      <w:r>
        <w:t xml:space="preserve"> </w:t>
      </w:r>
      <w:r>
        <w:t xml:space="preserve">key rotation, key ceremony, HSM firmware update, HA/DR ของ key store</w:t>
      </w:r>
    </w:p>
    <w:p>
      <w:pPr>
        <w:pStyle w:val="Compact"/>
        <w:numPr>
          <w:ilvl w:val="0"/>
          <w:numId w:val="1129"/>
        </w:numPr>
      </w:pPr>
      <w:r>
        <w:rPr>
          <w:b/>
          <w:bCs/>
        </w:rPr>
        <w:t xml:space="preserve">PCI:</w:t>
      </w:r>
      <w:r>
        <w:t xml:space="preserve"> </w:t>
      </w:r>
      <w:r>
        <w:t xml:space="preserve">provider ต้องมี AoC หรือ FIPS certificate + ผูก right-to-audit</w:t>
      </w:r>
    </w:p>
    <w:p>
      <w:pPr>
        <w:pStyle w:val="BlockText"/>
      </w:pPr>
      <w:r>
        <w:rPr>
          <w:b/>
          <w:bCs/>
        </w:rPr>
        <w:t xml:space="preserve">[TODO / สมมติฐาน]</w:t>
      </w:r>
      <w:r>
        <w:t xml:space="preserve"> </w:t>
      </w:r>
      <w:r>
        <w:t xml:space="preserve">ยังไม่ได้เลือก</w:t>
      </w:r>
      <w:r>
        <w:t xml:space="preserve"> </w:t>
      </w:r>
      <w:r>
        <w:rPr>
          <w:b/>
          <w:bCs/>
        </w:rPr>
        <w:t xml:space="preserve">QSA vendor</w:t>
      </w:r>
      <w:r>
        <w:t xml:space="preserve"> </w:t>
      </w:r>
      <w:r>
        <w:t xml:space="preserve">และ</w:t>
      </w:r>
      <w:r>
        <w:t xml:space="preserve"> </w:t>
      </w:r>
      <w:r>
        <w:rPr>
          <w:b/>
          <w:bCs/>
        </w:rPr>
        <w:t xml:space="preserve">HSM/KMS provider</w:t>
      </w:r>
      <w:r>
        <w:t xml:space="preserve"> </w:t>
      </w:r>
      <w:r>
        <w:t xml:space="preserve">จริง (cloud KMS+CloudHSM หรือ on-prem) — ตัวเลข</w:t>
      </w:r>
      <w:r>
        <w:t xml:space="preserve"> </w:t>
      </w:r>
      <w:r>
        <w:rPr>
          <w:b/>
          <w:bCs/>
        </w:rPr>
        <w:t xml:space="preserve">ทุนจดทะเบียนชำระแล้ว 50 ล้านบาท</w:t>
      </w:r>
      <w:r>
        <w:t xml:space="preserve"> </w:t>
      </w:r>
      <w:r>
        <w:t xml:space="preserve">อ้างตามเกณฑ์ Acquiring ใน</w:t>
      </w:r>
      <w:r>
        <w:t xml:space="preserve"> </w:t>
      </w:r>
      <w:r>
        <w:rPr>
          <w:rStyle w:val="VerbatimChar"/>
        </w:rPr>
        <w:t xml:space="preserve">../COMPLIANCE-TH.md</w:t>
      </w:r>
      <w:r>
        <w:t xml:space="preserve"> </w:t>
      </w:r>
      <w:r>
        <w:t xml:space="preserve">§2 ให้ยืนยันจำนวนที่ชำระจริงกับฝ่ายการเงิน</w:t>
      </w:r>
    </w:p>
    <w:p>
      <w:r>
        <w:pict>
          <v:rect style="width:0;height:1.5pt" o:hralign="center" o:hrstd="t" o:hr="t"/>
        </w:pict>
      </w:r>
    </w:p>
    <w:bookmarkEnd w:id="351"/>
    <w:bookmarkEnd w:id="352"/>
    <w:bookmarkStart w:id="353" w:name="checklist-กอนลงนาม-ทกคสญญา"/>
    <w:p>
      <w:pPr>
        <w:pStyle w:val="Heading2"/>
      </w:pPr>
      <w:r>
        <w:t xml:space="preserve">6. Checklist ก่อนลงนาม (ทุกคู่สัญญา)</w:t>
      </w:r>
    </w:p>
    <w:p>
      <w:pPr>
        <w:pStyle w:val="Compact"/>
        <w:numPr>
          <w:ilvl w:val="0"/>
          <w:numId w:val="1130"/>
        </w:numPr>
      </w:pPr>
      <w:r>
        <w:t xml:space="preserve">ระบุบทบาท controller/processor ชัดเจนตาม PDPA ม.40</w:t>
      </w:r>
    </w:p>
    <w:p>
      <w:pPr>
        <w:pStyle w:val="Compact"/>
        <w:numPr>
          <w:ilvl w:val="0"/>
          <w:numId w:val="1131"/>
        </w:numPr>
      </w:pPr>
      <w:r>
        <w:t xml:space="preserve">แนบ TOMs (technical &amp; organizational measures) เป็นภาคผนวก</w:t>
      </w:r>
    </w:p>
    <w:p>
      <w:pPr>
        <w:pStyle w:val="Compact"/>
        <w:numPr>
          <w:ilvl w:val="0"/>
          <w:numId w:val="1132"/>
        </w:numPr>
      </w:pPr>
      <w:r>
        <w:t xml:space="preserve">มี AoC/RoC (PCI) หรือ SOC 2 / ISO 27001 ล่าสุด</w:t>
      </w:r>
    </w:p>
    <w:p>
      <w:pPr>
        <w:pStyle w:val="Compact"/>
        <w:numPr>
          <w:ilvl w:val="0"/>
          <w:numId w:val="1133"/>
        </w:numPr>
      </w:pPr>
      <w:r>
        <w:t xml:space="preserve">ข้อ breach notification ≤ 24 ชม. + timeline regulator</w:t>
      </w:r>
    </w:p>
    <w:p>
      <w:pPr>
        <w:pStyle w:val="Compact"/>
        <w:numPr>
          <w:ilvl w:val="0"/>
          <w:numId w:val="1134"/>
        </w:numPr>
      </w:pPr>
      <w:r>
        <w:t xml:space="preserve">right-to-audit ครอบคลุม [บริษัท / Company], QSA และ</w:t>
      </w:r>
      <w:r>
        <w:t xml:space="preserve"> </w:t>
      </w:r>
      <w:r>
        <w:rPr>
          <w:b/>
          <w:bCs/>
        </w:rPr>
        <w:t xml:space="preserve">ธปท.</w:t>
      </w:r>
    </w:p>
    <w:p>
      <w:pPr>
        <w:pStyle w:val="Compact"/>
        <w:numPr>
          <w:ilvl w:val="0"/>
          <w:numId w:val="1135"/>
        </w:numPr>
      </w:pPr>
      <w:r>
        <w:t xml:space="preserve">รายชื่อ sub-processor + สิทธิคัดค้าน</w:t>
      </w:r>
    </w:p>
    <w:p>
      <w:pPr>
        <w:pStyle w:val="Compact"/>
        <w:numPr>
          <w:ilvl w:val="0"/>
          <w:numId w:val="1136"/>
        </w:numPr>
      </w:pPr>
      <w:r>
        <w:t xml:space="preserve">cross-border transfer ผ่านเกณฑ์ PDPA ม.28–29 + data residency ธปท.</w:t>
      </w:r>
    </w:p>
    <w:p>
      <w:pPr>
        <w:pStyle w:val="Compact"/>
        <w:numPr>
          <w:ilvl w:val="0"/>
          <w:numId w:val="1137"/>
        </w:numPr>
      </w:pPr>
      <w:r>
        <w:t xml:space="preserve">คืน/ทำลายข้อมูล + certificate เมื่อสิ้นสุด</w:t>
      </w:r>
    </w:p>
    <w:p>
      <w:pPr>
        <w:pStyle w:val="Compact"/>
        <w:numPr>
          <w:ilvl w:val="0"/>
          <w:numId w:val="1138"/>
        </w:numPr>
      </w:pPr>
      <w:r>
        <w:t xml:space="preserve">exit/transition plan และ SLA/BCP ผูกครบ</w:t>
      </w:r>
    </w:p>
    <w:p>
      <w:r>
        <w:pict>
          <v:rect style="width:0;height:1.5pt" o:hralign="center" o:hrstd="t" o:hr="t"/>
        </w:pict>
      </w:r>
    </w:p>
    <w:bookmarkEnd w:id="353"/>
    <w:bookmarkEnd w:id="354"/>
    <w:bookmarkStart w:id="366" w:name="X4865df95e426c02efd7e6ff45bd17d85ec837c3"/>
    <w:p>
      <w:pPr>
        <w:pStyle w:val="Heading1"/>
      </w:pPr>
      <w:r>
        <w:t xml:space="preserve">Data Processing Agreement templates for acquirer, 3DS, tokenization vault, ITMX, HSM providers (English)</w:t>
      </w:r>
    </w:p>
    <w:p>
      <w:pPr>
        <w:pStyle w:val="BlockText"/>
      </w:pPr>
      <w:r>
        <w:t xml:space="preserve">Document set:</w:t>
      </w:r>
      <w:r>
        <w:t xml:space="preserve"> </w:t>
      </w:r>
      <w:r>
        <w:rPr>
          <w:b/>
          <w:bCs/>
        </w:rPr>
        <w:t xml:space="preserve">Full Acquiring license</w:t>
      </w:r>
      <w:r>
        <w:t xml:space="preserve"> </w:t>
      </w:r>
      <w:r>
        <w:t xml:space="preserve">application under the</w:t>
      </w:r>
      <w:r>
        <w:t xml:space="preserve"> </w:t>
      </w:r>
      <w:r>
        <w:rPr>
          <w:b/>
          <w:bCs/>
        </w:rPr>
        <w:t xml:space="preserve">Payment Systems Act B.E. 2560</w:t>
      </w:r>
      <w:r>
        <w:t xml:space="preserve"> </w:t>
      </w:r>
      <w:r>
        <w:t xml:space="preserve">(supervised by the</w:t>
      </w:r>
      <w:r>
        <w:t xml:space="preserve"> </w:t>
      </w:r>
      <w:r>
        <w:rPr>
          <w:b/>
          <w:bCs/>
        </w:rPr>
        <w:t xml:space="preserve">Bank of Thailand — BOT</w:t>
      </w:r>
      <w:r>
        <w:t xml:space="preserve">) +</w:t>
      </w:r>
      <w:r>
        <w:t xml:space="preserve"> </w:t>
      </w:r>
      <w:r>
        <w:rPr>
          <w:b/>
          <w:bCs/>
        </w:rPr>
        <w:t xml:space="preserve">PCI-DSS Level 1</w:t>
      </w:r>
      <w:r>
        <w:t xml:space="preserve"> </w:t>
      </w:r>
      <w:r>
        <w:t xml:space="preserve">Related docs:</w:t>
      </w:r>
      <w:r>
        <w:t xml:space="preserve"> </w:t>
      </w:r>
      <w:r>
        <w:rPr>
          <w:rStyle w:val="VerbatimChar"/>
        </w:rPr>
        <w:t xml:space="preserve">../COMPLIANCE-TH.md</w:t>
      </w:r>
      <w:r>
        <w:t xml:space="preserve"> </w:t>
      </w:r>
      <w:r>
        <w:t xml:space="preserve">(law/licensing),</w:t>
      </w:r>
      <w:r>
        <w:t xml:space="preserve"> </w:t>
      </w:r>
      <w:r>
        <w:rPr>
          <w:rStyle w:val="VerbatimChar"/>
        </w:rPr>
        <w:t xml:space="preserve">../ARCHITECTURE.md</w:t>
      </w:r>
      <w:r>
        <w:t xml:space="preserve"> </w:t>
      </w:r>
      <w:r>
        <w:t xml:space="preserve">(architecture/PCI scope),</w:t>
      </w:r>
      <w:r>
        <w:t xml:space="preserve"> </w:t>
      </w:r>
      <w:r>
        <w:rPr>
          <w:rStyle w:val="VerbatimChar"/>
        </w:rPr>
        <w:t xml:space="preserve">../ROADMAP.md</w:t>
      </w:r>
      <w:r>
        <w:t xml:space="preserve"> </w:t>
      </w:r>
      <w:r>
        <w:t xml:space="preserve">(phases/timeline)</w:t>
      </w:r>
      <w:r>
        <w:t xml:space="preserve"> </w:t>
      </w:r>
      <w:r>
        <w:rPr>
          <w:b/>
          <w:bCs/>
        </w:rPr>
        <w:t xml:space="preserve">Disclaimer:</w:t>
      </w:r>
      <w:r>
        <w:t xml:space="preserve"> </w:t>
      </w:r>
      <w:r>
        <w:t xml:space="preserve">This is a policy/technical template, not legal advice. Legal counsel and a</w:t>
      </w:r>
      <w:r>
        <w:t xml:space="preserve"> </w:t>
      </w:r>
      <w:r>
        <w:rPr>
          <w:b/>
          <w:bCs/>
        </w:rPr>
        <w:t xml:space="preserve">QSA</w:t>
      </w:r>
      <w:r>
        <w:t xml:space="preserve"> </w:t>
      </w:r>
      <w:r>
        <w:t xml:space="preserve">must review before execution.</w:t>
      </w:r>
    </w:p>
    <w:p>
      <w:pPr>
        <w:pStyle w:val="FirstParagraph"/>
      </w:pPr>
      <w:r>
        <w:t xml:space="preserve">This document defines the</w:t>
      </w:r>
      <w:r>
        <w:t xml:space="preserve"> </w:t>
      </w:r>
      <w:r>
        <w:rPr>
          <w:b/>
          <w:bCs/>
        </w:rPr>
        <w:t xml:space="preserve">Data Processing Agreement (DPA)</w:t>
      </w:r>
      <w:r>
        <w:t xml:space="preserve"> </w:t>
      </w:r>
      <w:r>
        <w:t xml:space="preserve">and outsourcing templates that</w:t>
      </w:r>
      <w:r>
        <w:t xml:space="preserve"> </w:t>
      </w:r>
      <w:r>
        <w:rPr>
          <w:b/>
          <w:bCs/>
        </w:rPr>
        <w:t xml:space="preserve">[บริษัท / Company]</w:t>
      </w:r>
      <w:r>
        <w:t xml:space="preserve"> </w:t>
      </w:r>
      <w:r>
        <w:t xml:space="preserve">must execute with the five categories of external providers on the card payment path:</w:t>
      </w:r>
      <w:r>
        <w:t xml:space="preserve"> </w:t>
      </w:r>
      <w:r>
        <w:rPr>
          <w:b/>
          <w:bCs/>
        </w:rPr>
        <w:t xml:space="preserve">Acquirer/Sponsor Bank, 3-D Secure (3DS) provider, Tokenization Vault, ITMX (local rails), and HSM/KMS provider.</w:t>
      </w:r>
    </w:p>
    <w:p>
      <w:r>
        <w:pict>
          <v:rect style="width:0;height:1.5pt" o:hralign="center" o:hrstd="t" o:hr="t"/>
        </w:pict>
      </w:r>
    </w:p>
    <w:bookmarkStart w:id="355" w:name="X6eecf359240bbcf7fe57806d78abfe46b5d3770"/>
    <w:p>
      <w:pPr>
        <w:pStyle w:val="Heading2"/>
      </w:pPr>
      <w:r>
        <w:t xml:space="preserve">1. Legal &amp; Standards Framework Binding the DPA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Law / Standard</w:t>
            </w:r>
          </w:p>
        </w:tc>
        <w:tc>
          <w:tcPr/>
          <w:p>
            <w:pPr>
              <w:pStyle w:val="Compact"/>
            </w:pPr>
            <w:r>
              <w:t xml:space="preserve">Role in the DPA</w:t>
            </w:r>
          </w:p>
        </w:tc>
      </w:tr>
      <w:tr>
        <w:tc>
          <w:tcPr/>
          <w:p>
            <w:pPr>
              <w:pStyle w:val="Compact"/>
            </w:pPr>
            <w:r>
              <w:rPr>
                <w:b/>
                <w:bCs/>
              </w:rPr>
              <w:t xml:space="preserve">Personal Data Protection Act B.E. 2562 (PDPA)</w:t>
            </w:r>
            <w:r>
              <w:t xml:space="preserve"> </w:t>
            </w:r>
            <w:r>
              <w:t xml:space="preserve">— regulated by</w:t>
            </w:r>
            <w:r>
              <w:t xml:space="preserve"> </w:t>
            </w:r>
            <w:r>
              <w:rPr>
                <w:b/>
                <w:bCs/>
              </w:rPr>
              <w:t xml:space="preserve">PDPC</w:t>
            </w:r>
          </w:p>
        </w:tc>
        <w:tc>
          <w:tcPr/>
          <w:p>
            <w:pPr>
              <w:pStyle w:val="Compact"/>
            </w:pPr>
            <w:r>
              <w:t xml:space="preserve">Section 40 requires a</w:t>
            </w:r>
            <w:r>
              <w:t xml:space="preserve"> </w:t>
            </w:r>
            <w:r>
              <w:rPr>
                <w:b/>
                <w:bCs/>
              </w:rPr>
              <w:t xml:space="preserve">written agreement</w:t>
            </w:r>
            <w:r>
              <w:t xml:space="preserve"> </w:t>
            </w:r>
            <w:r>
              <w:t xml:space="preserve">between the</w:t>
            </w:r>
            <w:r>
              <w:t xml:space="preserve"> </w:t>
            </w:r>
            <w:r>
              <w:rPr>
                <w:b/>
                <w:bCs/>
              </w:rPr>
              <w:t xml:space="preserve">Data Processor</w:t>
            </w:r>
            <w:r>
              <w:t xml:space="preserve"> </w:t>
            </w:r>
            <w:r>
              <w:t xml:space="preserve">and controller; Section 37 security measures; Sections 28–29 cross-border transfers</w:t>
            </w:r>
          </w:p>
        </w:tc>
      </w:tr>
      <w:tr>
        <w:tc>
          <w:tcPr/>
          <w:p>
            <w:pPr>
              <w:pStyle w:val="Compact"/>
            </w:pPr>
            <w:r>
              <w:rPr>
                <w:b/>
                <w:bCs/>
              </w:rPr>
              <w:t xml:space="preserve">Payment Systems Act B.E. 2560</w:t>
            </w:r>
            <w:r>
              <w:t xml:space="preserve"> </w:t>
            </w:r>
            <w:r>
              <w:t xml:space="preserve">— regulated by</w:t>
            </w:r>
            <w:r>
              <w:t xml:space="preserve"> </w:t>
            </w:r>
            <w:r>
              <w:rPr>
                <w:b/>
                <w:bCs/>
              </w:rPr>
              <w:t xml:space="preserve">BOT</w:t>
            </w:r>
          </w:p>
        </w:tc>
        <w:tc>
          <w:tcPr/>
          <w:p>
            <w:pPr>
              <w:pStyle w:val="Compact"/>
            </w:pPr>
            <w:r>
              <w:rPr>
                <w:b/>
                <w:bCs/>
              </w:rPr>
              <w:t xml:space="preserve">Outsourcing</w:t>
            </w:r>
            <w:r>
              <w:t xml:space="preserve"> </w:t>
            </w:r>
            <w:r>
              <w:t xml:space="preserve">rules: the licensee remains fully accountable; BOT retains a right to audit the service provider</w:t>
            </w:r>
          </w:p>
        </w:tc>
      </w:tr>
      <w:tr>
        <w:tc>
          <w:tcPr/>
          <w:p>
            <w:pPr>
              <w:pStyle w:val="Compact"/>
            </w:pPr>
            <w:r>
              <w:rPr>
                <w:b/>
                <w:bCs/>
              </w:rPr>
              <w:t xml:space="preserve">PCI-DSS v4.0</w:t>
            </w:r>
          </w:p>
        </w:tc>
        <w:tc>
          <w:tcPr/>
          <w:p>
            <w:pPr>
              <w:pStyle w:val="Compact"/>
            </w:pPr>
            <w:r>
              <w:t xml:space="preserve">Req 12.8 (manage</w:t>
            </w:r>
            <w:r>
              <w:t xml:space="preserve"> </w:t>
            </w:r>
            <w:r>
              <w:rPr>
                <w:b/>
                <w:bCs/>
              </w:rPr>
              <w:t xml:space="preserve">TPSPs</w:t>
            </w:r>
            <w:r>
              <w:t xml:space="preserve">), Req 12.9 (provider written acknowledgement of responsibility), Req 3 (protect SAD/PAN), Req 4 (encrypt in transit)</w:t>
            </w:r>
          </w:p>
        </w:tc>
      </w:tr>
      <w:tr>
        <w:tc>
          <w:tcPr/>
          <w:p>
            <w:pPr>
              <w:pStyle w:val="Compact"/>
            </w:pPr>
            <w:r>
              <w:rPr>
                <w:b/>
                <w:bCs/>
              </w:rPr>
              <w:t xml:space="preserve">Anti-Money Laundering Act (AMLO)</w:t>
            </w:r>
          </w:p>
        </w:tc>
        <w:tc>
          <w:tcPr/>
          <w:p>
            <w:pPr>
              <w:pStyle w:val="Compact"/>
            </w:pPr>
            <w:r>
              <w:t xml:space="preserve">KYC/CDD data sharing and transaction reporting obligations bound into relevant contracts</w:t>
            </w:r>
          </w:p>
        </w:tc>
      </w:tr>
      <w:tr>
        <w:tc>
          <w:tcPr/>
          <w:p>
            <w:pPr>
              <w:pStyle w:val="Compact"/>
            </w:pPr>
            <w:r>
              <w:rPr>
                <w:b/>
                <w:bCs/>
              </w:rPr>
              <w:t xml:space="preserve">BOT notifications on IT Risk / Cyber Resilience / BCP</w:t>
            </w:r>
          </w:p>
        </w:tc>
        <w:tc>
          <w:tcPr/>
          <w:p>
            <w:pPr>
              <w:pStyle w:val="Compact"/>
            </w:pPr>
            <w:r>
              <w:t xml:space="preserve">Bind SLA, incident reporting, BCP/DR and exit plan into the DPA/outsourcing agreement</w:t>
            </w:r>
          </w:p>
        </w:tc>
      </w:tr>
    </w:tbl>
    <w:p>
      <w:pPr>
        <w:pStyle w:val="BodyText"/>
      </w:pPr>
      <w:r>
        <w:rPr>
          <w:b/>
          <w:bCs/>
        </w:rPr>
        <w:t xml:space="preserve">PDPA roles (critical — determines the contract type):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Counterparty</w:t>
            </w:r>
          </w:p>
        </w:tc>
        <w:tc>
          <w:tcPr/>
          <w:p>
            <w:pPr>
              <w:pStyle w:val="Compact"/>
            </w:pPr>
            <w:r>
              <w:t xml:space="preserve">Their role</w:t>
            </w:r>
          </w:p>
        </w:tc>
        <w:tc>
          <w:tcPr/>
          <w:p>
            <w:pPr>
              <w:pStyle w:val="Compact"/>
            </w:pPr>
            <w:r>
              <w:t xml:space="preserve">[บริษัท / Company] role</w:t>
            </w:r>
          </w:p>
        </w:tc>
        <w:tc>
          <w:tcPr/>
          <w:p>
            <w:pPr>
              <w:pStyle w:val="Compact"/>
            </w:pPr>
            <w:r>
              <w:t xml:space="preserve">Primary contract</w:t>
            </w:r>
          </w:p>
        </w:tc>
      </w:tr>
      <w:tr>
        <w:tc>
          <w:tcPr/>
          <w:p>
            <w:pPr>
              <w:pStyle w:val="Compact"/>
            </w:pPr>
            <w:r>
              <w:t xml:space="preserve">Acquirer / Sponsor Bank</w:t>
            </w:r>
          </w:p>
        </w:tc>
        <w:tc>
          <w:tcPr/>
          <w:p>
            <w:pPr>
              <w:pStyle w:val="Compact"/>
            </w:pPr>
            <w:r>
              <w:t xml:space="preserve">Independent / joint controller</w:t>
            </w:r>
          </w:p>
        </w:tc>
        <w:tc>
          <w:tcPr/>
          <w:p>
            <w:pPr>
              <w:pStyle w:val="Compact"/>
            </w:pPr>
            <w:r>
              <w:t xml:space="preserve">Controller</w:t>
            </w:r>
          </w:p>
        </w:tc>
        <w:tc>
          <w:tcPr/>
          <w:p>
            <w:pPr>
              <w:pStyle w:val="Compact"/>
            </w:pPr>
            <w:r>
              <w:t xml:space="preserve">Data Sharing + Outsourcing</w:t>
            </w:r>
          </w:p>
        </w:tc>
      </w:tr>
      <w:tr>
        <w:tc>
          <w:tcPr/>
          <w:p>
            <w:pPr>
              <w:pStyle w:val="Compact"/>
            </w:pPr>
            <w:r>
              <w:t xml:space="preserve">3DS provider</w:t>
            </w:r>
          </w:p>
        </w:tc>
        <w:tc>
          <w:tcPr/>
          <w:p>
            <w:pPr>
              <w:pStyle w:val="Compact"/>
            </w:pPr>
            <w:r>
              <w:t xml:space="preserve">Processor (often also processor for scheme/issuer)</w:t>
            </w:r>
          </w:p>
        </w:tc>
        <w:tc>
          <w:tcPr/>
          <w:p>
            <w:pPr>
              <w:pStyle w:val="Compact"/>
            </w:pPr>
            <w:r>
              <w:t xml:space="preserve">Controller</w:t>
            </w:r>
          </w:p>
        </w:tc>
        <w:tc>
          <w:tcPr/>
          <w:p>
            <w:pPr>
              <w:pStyle w:val="Compact"/>
            </w:pPr>
            <w:r>
              <w:t xml:space="preserve">DPA (s.40)</w:t>
            </w:r>
          </w:p>
        </w:tc>
      </w:tr>
      <w:tr>
        <w:tc>
          <w:tcPr/>
          <w:p>
            <w:pPr>
              <w:pStyle w:val="Compact"/>
            </w:pPr>
            <w:r>
              <w:t xml:space="preserve">Tokenization Vault</w:t>
            </w:r>
          </w:p>
        </w:tc>
        <w:tc>
          <w:tcPr/>
          <w:p>
            <w:pPr>
              <w:pStyle w:val="Compact"/>
            </w:pPr>
            <w:r>
              <w:t xml:space="preserve">Processor</w:t>
            </w:r>
          </w:p>
        </w:tc>
        <w:tc>
          <w:tcPr/>
          <w:p>
            <w:pPr>
              <w:pStyle w:val="Compact"/>
            </w:pPr>
            <w:r>
              <w:t xml:space="preserve">Controller</w:t>
            </w:r>
          </w:p>
        </w:tc>
        <w:tc>
          <w:tcPr/>
          <w:p>
            <w:pPr>
              <w:pStyle w:val="Compact"/>
            </w:pPr>
            <w:r>
              <w:t xml:space="preserve">DPA + PCI TPSP</w:t>
            </w:r>
          </w:p>
        </w:tc>
      </w:tr>
      <w:tr>
        <w:tc>
          <w:tcPr/>
          <w:p>
            <w:pPr>
              <w:pStyle w:val="Compact"/>
            </w:pPr>
            <w:r>
              <w:t xml:space="preserve">ITMX</w:t>
            </w:r>
          </w:p>
        </w:tc>
        <w:tc>
          <w:tcPr/>
          <w:p>
            <w:pPr>
              <w:pStyle w:val="Compact"/>
            </w:pPr>
            <w:r>
              <w:t xml:space="preserve">Controller (national scheme intermediary)</w:t>
            </w:r>
          </w:p>
        </w:tc>
        <w:tc>
          <w:tcPr/>
          <w:p>
            <w:pPr>
              <w:pStyle w:val="Compact"/>
            </w:pPr>
            <w:r>
              <w:t xml:space="preserve">Controller</w:t>
            </w:r>
          </w:p>
        </w:tc>
        <w:tc>
          <w:tcPr/>
          <w:p>
            <w:pPr>
              <w:pStyle w:val="Compact"/>
            </w:pPr>
            <w:r>
              <w:t xml:space="preserve">Interchange/Membership + Data Sharing</w:t>
            </w:r>
          </w:p>
        </w:tc>
      </w:tr>
      <w:tr>
        <w:tc>
          <w:tcPr/>
          <w:p>
            <w:pPr>
              <w:pStyle w:val="Compact"/>
            </w:pPr>
            <w:r>
              <w:t xml:space="preserve">HSM/KMS provider</w:t>
            </w:r>
          </w:p>
        </w:tc>
        <w:tc>
          <w:tcPr/>
          <w:p>
            <w:pPr>
              <w:pStyle w:val="Compact"/>
            </w:pPr>
            <w:r>
              <w:t xml:space="preserve">Processor (no plaintext PAN if correctly designed)</w:t>
            </w:r>
          </w:p>
        </w:tc>
        <w:tc>
          <w:tcPr/>
          <w:p>
            <w:pPr>
              <w:pStyle w:val="Compact"/>
            </w:pPr>
            <w:r>
              <w:t xml:space="preserve">Controller</w:t>
            </w:r>
          </w:p>
        </w:tc>
        <w:tc>
          <w:tcPr/>
          <w:p>
            <w:pPr>
              <w:pStyle w:val="Compact"/>
            </w:pPr>
            <w:r>
              <w:t xml:space="preserve">DPA + PCI TPSP</w:t>
            </w:r>
          </w:p>
        </w:tc>
      </w:tr>
    </w:tbl>
    <w:p>
      <w:r>
        <w:pict>
          <v:rect style="width:0;height:1.5pt" o:hralign="center" o:hrstd="t" o:hr="t"/>
        </w:pict>
      </w:r>
    </w:p>
    <w:bookmarkEnd w:id="355"/>
    <w:bookmarkStart w:id="356" w:name="X22b724ece9ad71e08de86e73842c2b8944b1f81"/>
    <w:p>
      <w:pPr>
        <w:pStyle w:val="Heading2"/>
      </w:pPr>
      <w:r>
        <w:t xml:space="preserve">2. Standard DPA Skeleton (reusable across all counterparties)</w:t>
      </w:r>
    </w:p>
    <w:p>
      <w:pPr>
        <w:pStyle w:val="FirstParagraph"/>
      </w:pPr>
      <w:r>
        <w:t xml:space="preserve">Every DPA must contain at minimum these 14 clauses (aligned with PDPA s.40 + PCI Req 12.8/12.9):</w:t>
      </w:r>
    </w:p>
    <w:p>
      <w:pPr>
        <w:pStyle w:val="Compact"/>
        <w:numPr>
          <w:ilvl w:val="0"/>
          <w:numId w:val="1139"/>
        </w:numPr>
      </w:pPr>
      <w:r>
        <w:rPr>
          <w:b/>
          <w:bCs/>
        </w:rPr>
        <w:t xml:space="preserve">Definitions &amp; roles</w:t>
      </w:r>
      <w:r>
        <w:t xml:space="preserve"> </w:t>
      </w:r>
      <w:r>
        <w:t xml:space="preserve">— controller/processor, scope, applicable PCI CDE</w:t>
      </w:r>
    </w:p>
    <w:p>
      <w:pPr>
        <w:pStyle w:val="Compact"/>
        <w:numPr>
          <w:ilvl w:val="0"/>
          <w:numId w:val="1139"/>
        </w:numPr>
      </w:pPr>
      <w:r>
        <w:rPr>
          <w:b/>
          <w:bCs/>
        </w:rPr>
        <w:t xml:space="preserve">Purpose &amp; scope of processing</w:t>
      </w:r>
      <w:r>
        <w:t xml:space="preserve"> </w:t>
      </w:r>
      <w:r>
        <w:t xml:space="preserve">— process only on [บริษัท / Company]’s documented instructions</w:t>
      </w:r>
    </w:p>
    <w:p>
      <w:pPr>
        <w:pStyle w:val="Compact"/>
        <w:numPr>
          <w:ilvl w:val="0"/>
          <w:numId w:val="1139"/>
        </w:numPr>
      </w:pPr>
      <w:r>
        <w:rPr>
          <w:b/>
          <w:bCs/>
        </w:rPr>
        <w:t xml:space="preserve">Data categories &amp; data subjects</w:t>
      </w:r>
      <w:r>
        <w:t xml:space="preserve"> </w:t>
      </w:r>
      <w:r>
        <w:t xml:space="preserve">(see §3 per counterparty)</w:t>
      </w:r>
    </w:p>
    <w:p>
      <w:pPr>
        <w:pStyle w:val="Compact"/>
        <w:numPr>
          <w:ilvl w:val="0"/>
          <w:numId w:val="1139"/>
        </w:numPr>
      </w:pPr>
      <w:r>
        <w:rPr>
          <w:b/>
          <w:bCs/>
        </w:rPr>
        <w:t xml:space="preserve">Technical &amp; organizational security measures</w:t>
      </w:r>
      <w:r>
        <w:t xml:space="preserve"> </w:t>
      </w:r>
      <w:r>
        <w:t xml:space="preserve">— encryption, access control, logging, key management</w:t>
      </w:r>
    </w:p>
    <w:p>
      <w:pPr>
        <w:pStyle w:val="Compact"/>
        <w:numPr>
          <w:ilvl w:val="0"/>
          <w:numId w:val="1139"/>
        </w:numPr>
      </w:pPr>
      <w:r>
        <w:rPr>
          <w:b/>
          <w:bCs/>
        </w:rPr>
        <w:t xml:space="preserve">Sub-processors</w:t>
      </w:r>
      <w:r>
        <w:t xml:space="preserve"> </w:t>
      </w:r>
      <w:r>
        <w:t xml:space="preserve">— prior approval + flow-down of equivalent terms</w:t>
      </w:r>
    </w:p>
    <w:p>
      <w:pPr>
        <w:pStyle w:val="Compact"/>
        <w:numPr>
          <w:ilvl w:val="0"/>
          <w:numId w:val="1139"/>
        </w:numPr>
      </w:pPr>
      <w:r>
        <w:rPr>
          <w:b/>
          <w:bCs/>
        </w:rPr>
        <w:t xml:space="preserve">Breach notification</w:t>
      </w:r>
      <w:r>
        <w:t xml:space="preserve"> </w:t>
      </w:r>
      <w:r>
        <w:t xml:space="preserve">— per §4 timeline</w:t>
      </w:r>
    </w:p>
    <w:p>
      <w:pPr>
        <w:pStyle w:val="Compact"/>
        <w:numPr>
          <w:ilvl w:val="0"/>
          <w:numId w:val="1139"/>
        </w:numPr>
      </w:pPr>
      <w:r>
        <w:rPr>
          <w:b/>
          <w:bCs/>
        </w:rPr>
        <w:t xml:space="preserve">Data subject rights</w:t>
      </w:r>
      <w:r>
        <w:t xml:space="preserve"> </w:t>
      </w:r>
      <w:r>
        <w:t xml:space="preserve">— assist with access/rectify/erase/portability within SLA</w:t>
      </w:r>
    </w:p>
    <w:p>
      <w:pPr>
        <w:pStyle w:val="Compact"/>
        <w:numPr>
          <w:ilvl w:val="0"/>
          <w:numId w:val="1139"/>
        </w:numPr>
      </w:pPr>
      <w:r>
        <w:rPr>
          <w:b/>
          <w:bCs/>
        </w:rPr>
        <w:t xml:space="preserve">Cross-border transfer</w:t>
      </w:r>
      <w:r>
        <w:t xml:space="preserve"> </w:t>
      </w:r>
      <w:r>
        <w:t xml:space="preserve">— per PDPA ss.28–29 and BOT data residency</w:t>
      </w:r>
    </w:p>
    <w:p>
      <w:pPr>
        <w:pStyle w:val="Compact"/>
        <w:numPr>
          <w:ilvl w:val="0"/>
          <w:numId w:val="1139"/>
        </w:numPr>
      </w:pPr>
      <w:r>
        <w:rPr>
          <w:b/>
          <w:bCs/>
        </w:rPr>
        <w:t xml:space="preserve">Audit right</w:t>
      </w:r>
      <w:r>
        <w:t xml:space="preserve"> </w:t>
      </w:r>
      <w:r>
        <w:t xml:space="preserve">— [บริษัท / Company], QSA and</w:t>
      </w:r>
      <w:r>
        <w:t xml:space="preserve"> </w:t>
      </w:r>
      <w:r>
        <w:rPr>
          <w:b/>
          <w:bCs/>
        </w:rPr>
        <w:t xml:space="preserve">BOT</w:t>
      </w:r>
      <w:r>
        <w:t xml:space="preserve"> </w:t>
      </w:r>
      <w:r>
        <w:t xml:space="preserve">may audit</w:t>
      </w:r>
    </w:p>
    <w:p>
      <w:pPr>
        <w:pStyle w:val="Compact"/>
        <w:numPr>
          <w:ilvl w:val="0"/>
          <w:numId w:val="1139"/>
        </w:numPr>
      </w:pPr>
      <w:r>
        <w:rPr>
          <w:b/>
          <w:bCs/>
        </w:rPr>
        <w:t xml:space="preserve">Compliance reporting</w:t>
      </w:r>
      <w:r>
        <w:t xml:space="preserve"> </w:t>
      </w:r>
      <w:r>
        <w:t xml:space="preserve">— annual AoC/RoC (PCI), SOC 2 Type II, ISO 27001</w:t>
      </w:r>
    </w:p>
    <w:p>
      <w:pPr>
        <w:pStyle w:val="Compact"/>
        <w:numPr>
          <w:ilvl w:val="0"/>
          <w:numId w:val="1139"/>
        </w:numPr>
      </w:pPr>
      <w:r>
        <w:rPr>
          <w:b/>
          <w:bCs/>
        </w:rPr>
        <w:t xml:space="preserve">BCP/DR &amp; SLA</w:t>
      </w:r>
      <w:r>
        <w:t xml:space="preserve"> </w:t>
      </w:r>
      <w:r>
        <w:t xml:space="preserve">— RTO/RPO, availability, service continuity</w:t>
      </w:r>
    </w:p>
    <w:p>
      <w:pPr>
        <w:pStyle w:val="Compact"/>
        <w:numPr>
          <w:ilvl w:val="0"/>
          <w:numId w:val="1139"/>
        </w:numPr>
      </w:pPr>
      <w:r>
        <w:rPr>
          <w:b/>
          <w:bCs/>
        </w:rPr>
        <w:t xml:space="preserve">Return/destruction on termination</w:t>
      </w:r>
      <w:r>
        <w:t xml:space="preserve"> </w:t>
      </w:r>
      <w:r>
        <w:t xml:space="preserve">— with certificate of destruction</w:t>
      </w:r>
    </w:p>
    <w:p>
      <w:pPr>
        <w:pStyle w:val="Compact"/>
        <w:numPr>
          <w:ilvl w:val="0"/>
          <w:numId w:val="1139"/>
        </w:numPr>
      </w:pPr>
      <w:r>
        <w:rPr>
          <w:b/>
          <w:bCs/>
        </w:rPr>
        <w:t xml:space="preserve">Liability &amp; indemnity</w:t>
      </w:r>
      <w:r>
        <w:t xml:space="preserve"> </w:t>
      </w:r>
      <w:r>
        <w:t xml:space="preserve">— including regulator and scheme fines</w:t>
      </w:r>
    </w:p>
    <w:p>
      <w:pPr>
        <w:pStyle w:val="Compact"/>
        <w:numPr>
          <w:ilvl w:val="0"/>
          <w:numId w:val="1139"/>
        </w:numPr>
      </w:pPr>
      <w:r>
        <w:rPr>
          <w:b/>
          <w:bCs/>
        </w:rPr>
        <w:t xml:space="preserve">Exit / transition plan</w:t>
      </w:r>
      <w:r>
        <w:t xml:space="preserve"> </w:t>
      </w:r>
      <w:r>
        <w:t xml:space="preserve">— offboarding without service or compliance impact</w:t>
      </w:r>
    </w:p>
    <w:p>
      <w:r>
        <w:pict>
          <v:rect style="width:0;height:1.5pt" o:hralign="center" o:hrstd="t" o:hr="t"/>
        </w:pict>
      </w:r>
    </w:p>
    <w:bookmarkEnd w:id="356"/>
    <w:bookmarkStart w:id="357" w:name="X705b2b493c1058eeb18e8137880ec4c63f4cbd4"/>
    <w:p>
      <w:pPr>
        <w:pStyle w:val="Heading2"/>
      </w:pPr>
      <w:r>
        <w:t xml:space="preserve">3. Data Categories &amp; Lawful Basis per Counterparty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Counterparty</w:t>
            </w:r>
          </w:p>
        </w:tc>
        <w:tc>
          <w:tcPr/>
          <w:p>
            <w:pPr>
              <w:pStyle w:val="Compact"/>
            </w:pPr>
            <w:r>
              <w:t xml:space="preserve">Data processed</w:t>
            </w:r>
          </w:p>
        </w:tc>
        <w:tc>
          <w:tcPr/>
          <w:p>
            <w:pPr>
              <w:pStyle w:val="Compact"/>
            </w:pPr>
            <w:r>
              <w:t xml:space="preserve">Prohibited</w:t>
            </w:r>
          </w:p>
        </w:tc>
        <w:tc>
          <w:tcPr/>
          <w:p>
            <w:pPr>
              <w:pStyle w:val="Compact"/>
            </w:pPr>
            <w:r>
              <w:t xml:space="preserve">Lawful basis (PDPA)</w:t>
            </w:r>
          </w:p>
        </w:tc>
      </w:tr>
      <w:tr>
        <w:tc>
          <w:tcPr/>
          <w:p>
            <w:pPr>
              <w:pStyle w:val="Compact"/>
            </w:pPr>
            <w:r>
              <w:rPr>
                <w:b/>
                <w:bCs/>
              </w:rPr>
              <w:t xml:space="preserve">Acquirer / Sponsor Bank</w:t>
            </w:r>
          </w:p>
        </w:tc>
        <w:tc>
          <w:tcPr/>
          <w:p>
            <w:pPr>
              <w:pStyle w:val="Compact"/>
            </w:pPr>
            <w:r>
              <w:t xml:space="preserve">PAN (via network token/ISO 8583), auth data, amount, MCC, merchant ID</w:t>
            </w:r>
          </w:p>
        </w:tc>
        <w:tc>
          <w:tcPr/>
          <w:p>
            <w:pPr>
              <w:pStyle w:val="Compact"/>
            </w:pPr>
            <w:r>
              <w:t xml:space="preserve">CVV2 post-authorization, PIN</w:t>
            </w:r>
          </w:p>
        </w:tc>
        <w:tc>
          <w:tcPr/>
          <w:p>
            <w:pPr>
              <w:pStyle w:val="Compact"/>
            </w:pPr>
            <w:r>
              <w:t xml:space="preserve">Contract (s.24(3)) + legitimate interest</w:t>
            </w:r>
          </w:p>
        </w:tc>
      </w:tr>
      <w:tr>
        <w:tc>
          <w:tcPr/>
          <w:p>
            <w:pPr>
              <w:pStyle w:val="Compact"/>
            </w:pPr>
            <w:r>
              <w:rPr>
                <w:b/>
                <w:bCs/>
              </w:rPr>
              <w:t xml:space="preserve">3DS provider</w:t>
            </w:r>
          </w:p>
        </w:tc>
        <w:tc>
          <w:tcPr/>
          <w:p>
            <w:pPr>
              <w:pStyle w:val="Compact"/>
            </w:pPr>
            <w:r>
              <w:t xml:space="preserve">PAN/DPAN, device data, browser fingerprint, cardholder name, billing</w:t>
            </w:r>
          </w:p>
        </w:tc>
        <w:tc>
          <w:tcPr/>
          <w:p>
            <w:pPr>
              <w:pStyle w:val="Compact"/>
            </w:pPr>
            <w:r>
              <w:t xml:space="preserve">CVV2 (outside 3DS flow), track data</w:t>
            </w:r>
          </w:p>
        </w:tc>
        <w:tc>
          <w:tcPr/>
          <w:p>
            <w:pPr>
              <w:pStyle w:val="Compact"/>
            </w:pPr>
            <w:r>
              <w:t xml:space="preserve">Contract + legal obligation (SCA/scheme mandate)</w:t>
            </w:r>
          </w:p>
        </w:tc>
      </w:tr>
      <w:tr>
        <w:tc>
          <w:tcPr/>
          <w:p>
            <w:pPr>
              <w:pStyle w:val="Compact"/>
            </w:pPr>
            <w:r>
              <w:rPr>
                <w:b/>
                <w:bCs/>
              </w:rPr>
              <w:t xml:space="preserve">Tokenization Vault</w:t>
            </w:r>
          </w:p>
        </w:tc>
        <w:tc>
          <w:tcPr/>
          <w:p>
            <w:pPr>
              <w:pStyle w:val="Compact"/>
            </w:pPr>
            <w:r>
              <w:t xml:space="preserve">full PAN (transient, to mint token), expiry</w:t>
            </w:r>
          </w:p>
        </w:tc>
        <w:tc>
          <w:tcPr/>
          <w:p>
            <w:pPr>
              <w:pStyle w:val="Compact"/>
            </w:pPr>
            <w:r>
              <w:t xml:space="preserve">CVV2, PIN, persisted track data</w:t>
            </w:r>
          </w:p>
        </w:tc>
        <w:tc>
          <w:tcPr/>
          <w:p>
            <w:pPr>
              <w:pStyle w:val="Compact"/>
            </w:pPr>
            <w:r>
              <w:t xml:space="preserve">Contract</w:t>
            </w:r>
          </w:p>
        </w:tc>
      </w:tr>
      <w:tr>
        <w:tc>
          <w:tcPr/>
          <w:p>
            <w:pPr>
              <w:pStyle w:val="Compact"/>
            </w:pPr>
            <w:r>
              <w:rPr>
                <w:b/>
                <w:bCs/>
              </w:rPr>
              <w:t xml:space="preserve">ITMX</w:t>
            </w:r>
          </w:p>
        </w:tc>
        <w:tc>
          <w:tcPr/>
          <w:p>
            <w:pPr>
              <w:pStyle w:val="Compact"/>
            </w:pPr>
            <w:r>
              <w:t xml:space="preserve">account/PromptPay proxy, amount, PAN for local card switch</w:t>
            </w:r>
          </w:p>
        </w:tc>
        <w:tc>
          <w:tcPr/>
          <w:p>
            <w:pPr>
              <w:pStyle w:val="Compact"/>
            </w:pPr>
            <w:r>
              <w:t xml:space="preserve">CVV2, PIN block outside HSM</w:t>
            </w:r>
          </w:p>
        </w:tc>
        <w:tc>
          <w:tcPr/>
          <w:p>
            <w:pPr>
              <w:pStyle w:val="Compact"/>
            </w:pPr>
            <w:r>
              <w:t xml:space="preserve">Contract + legal obligation (national payment system)</w:t>
            </w:r>
          </w:p>
        </w:tc>
      </w:tr>
      <w:tr>
        <w:tc>
          <w:tcPr/>
          <w:p>
            <w:pPr>
              <w:pStyle w:val="Compact"/>
            </w:pPr>
            <w:r>
              <w:rPr>
                <w:b/>
                <w:bCs/>
              </w:rPr>
              <w:t xml:space="preserve">HSM/KMS provider</w:t>
            </w:r>
          </w:p>
        </w:tc>
        <w:tc>
          <w:tcPr/>
          <w:p>
            <w:pPr>
              <w:pStyle w:val="Compact"/>
            </w:pPr>
            <w:r>
              <w:t xml:space="preserve">ciphertext, key material (inside FIPS boundary)</w:t>
            </w:r>
          </w:p>
        </w:tc>
        <w:tc>
          <w:tcPr/>
          <w:p>
            <w:pPr>
              <w:pStyle w:val="Compact"/>
            </w:pPr>
            <w:r>
              <w:rPr>
                <w:b/>
                <w:bCs/>
              </w:rPr>
              <w:t xml:space="preserve">plaintext PAN/PII</w:t>
            </w:r>
            <w:r>
              <w:t xml:space="preserve"> </w:t>
            </w:r>
            <w:r>
              <w:t xml:space="preserve">(must not leave HSM)</w:t>
            </w:r>
          </w:p>
        </w:tc>
        <w:tc>
          <w:tcPr/>
          <w:p>
            <w:pPr>
              <w:pStyle w:val="Compact"/>
            </w:pPr>
            <w:r>
              <w:t xml:space="preserve">Contract</w:t>
            </w:r>
          </w:p>
        </w:tc>
      </w:tr>
    </w:tbl>
    <w:p>
      <w:pPr>
        <w:pStyle w:val="BlockText"/>
      </w:pPr>
      <w:r>
        <w:rPr>
          <w:b/>
          <w:bCs/>
        </w:rPr>
        <w:t xml:space="preserve">Principle:</w:t>
      </w:r>
      <w:r>
        <w:t xml:space="preserve"> </w:t>
      </w:r>
      <w:r>
        <w:t xml:space="preserve">Per</w:t>
      </w:r>
      <w:r>
        <w:t xml:space="preserve"> </w:t>
      </w:r>
      <w:r>
        <w:rPr>
          <w:rStyle w:val="VerbatimChar"/>
        </w:rPr>
        <w:t xml:space="preserve">../ARCHITECTURE.md</w:t>
      </w:r>
      <w:r>
        <w:t xml:space="preserve"> </w:t>
      </w:r>
      <w:r>
        <w:t xml:space="preserve">§6 the core system only sees</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w:t>
      </w:r>
      <w:r>
        <w:t xml:space="preserve"> </w:t>
      </w:r>
      <w:r>
        <w:rPr>
          <w:b/>
          <w:bCs/>
        </w:rPr>
        <w:t xml:space="preserve">never store full PAN, CVV/CVV2, PIN, or full track</w:t>
      </w:r>
      <w:r>
        <w:t xml:space="preserve"> </w:t>
      </w:r>
      <w:r>
        <w:t xml:space="preserve">in the operational DB — aligned with PCI Req 3.2 (no SAD storage post-authorization).</w:t>
      </w:r>
    </w:p>
    <w:p>
      <w:r>
        <w:pict>
          <v:rect style="width:0;height:1.5pt" o:hralign="center" o:hrstd="t" o:hr="t"/>
        </w:pict>
      </w:r>
    </w:p>
    <w:bookmarkEnd w:id="357"/>
    <w:bookmarkStart w:id="358" w:name="X595d3d3b3391c34c3504b3ccde6e6a3cd9c5d49"/>
    <w:p>
      <w:pPr>
        <w:pStyle w:val="Heading2"/>
      </w:pPr>
      <w:r>
        <w:t xml:space="preserve">4. Notification &amp; SLA Timelines (bound into every DPA)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Provider must notify [บริษัท / Company] within</w:t>
            </w:r>
          </w:p>
        </w:tc>
        <w:tc>
          <w:tcPr/>
          <w:p>
            <w:pPr>
              <w:pStyle w:val="Compact"/>
            </w:pPr>
            <w:r>
              <w:t xml:space="preserve">[บริษัท / Company] notifies regulator within</w:t>
            </w:r>
          </w:p>
        </w:tc>
      </w:tr>
      <w:tr>
        <w:tc>
          <w:tcPr/>
          <w:p>
            <w:pPr>
              <w:pStyle w:val="Compact"/>
            </w:pPr>
            <w:r>
              <w:t xml:space="preserve">Suspected/confirmed data breach</w:t>
            </w:r>
          </w:p>
        </w:tc>
        <w:tc>
          <w:tcPr/>
          <w:p>
            <w:pPr>
              <w:pStyle w:val="Compact"/>
            </w:pPr>
            <w:r>
              <w:rPr>
                <w:b/>
                <w:bCs/>
              </w:rPr>
              <w:t xml:space="preserve">≤ 24 h</w:t>
            </w:r>
            <w:r>
              <w:t xml:space="preserve"> </w:t>
            </w:r>
            <w:r>
              <w:t xml:space="preserve">from detection</w:t>
            </w:r>
          </w:p>
        </w:tc>
        <w:tc>
          <w:tcPr/>
          <w:p>
            <w:pPr>
              <w:pStyle w:val="Compact"/>
            </w:pPr>
            <w:r>
              <w:rPr>
                <w:b/>
                <w:bCs/>
              </w:rPr>
              <w:t xml:space="preserve">PDPC within 72 h</w:t>
            </w:r>
            <w:r>
              <w:t xml:space="preserve"> </w:t>
            </w:r>
            <w:r>
              <w:t xml:space="preserve">(PDPA s.37(4));</w:t>
            </w:r>
            <w:r>
              <w:t xml:space="preserve"> </w:t>
            </w:r>
            <w:r>
              <w:rPr>
                <w:b/>
                <w:bCs/>
              </w:rPr>
              <w:t xml:space="preserve">BOT</w:t>
            </w:r>
            <w:r>
              <w:t xml:space="preserve"> </w:t>
            </w:r>
            <w:r>
              <w:t xml:space="preserve">per cyber-incident notification (typically ≤ 24 h for severe events)</w:t>
            </w:r>
          </w:p>
        </w:tc>
      </w:tr>
      <w:tr>
        <w:tc>
          <w:tcPr/>
          <w:p>
            <w:pPr>
              <w:pStyle w:val="Compact"/>
            </w:pPr>
            <w:r>
              <w:t xml:space="preserve">PCI Account Data Compromise (ADC)</w:t>
            </w:r>
          </w:p>
        </w:tc>
        <w:tc>
          <w:tcPr/>
          <w:p>
            <w:pPr>
              <w:pStyle w:val="Compact"/>
            </w:pPr>
            <w:r>
              <w:rPr>
                <w:b/>
                <w:bCs/>
              </w:rPr>
              <w:t xml:space="preserve">Immediate</w:t>
            </w:r>
          </w:p>
        </w:tc>
        <w:tc>
          <w:tcPr/>
          <w:p>
            <w:pPr>
              <w:pStyle w:val="Compact"/>
            </w:pPr>
            <w:r>
              <w:t xml:space="preserve">Notify scheme (Visa/Mastercard) + acquirer + QSA per ADC procedure</w:t>
            </w:r>
          </w:p>
        </w:tc>
      </w:tr>
      <w:tr>
        <w:tc>
          <w:tcPr/>
          <w:p>
            <w:pPr>
              <w:pStyle w:val="Compact"/>
            </w:pPr>
            <w:r>
              <w:t xml:space="preserve">Major availability outage</w:t>
            </w:r>
          </w:p>
        </w:tc>
        <w:tc>
          <w:tcPr/>
          <w:p>
            <w:pPr>
              <w:pStyle w:val="Compact"/>
            </w:pPr>
            <w:r>
              <w:rPr>
                <w:b/>
                <w:bCs/>
              </w:rPr>
              <w:t xml:space="preserve">≤ 1 h</w:t>
            </w:r>
          </w:p>
        </w:tc>
        <w:tc>
          <w:tcPr/>
          <w:p>
            <w:pPr>
              <w:pStyle w:val="Compact"/>
            </w:pPr>
            <w:r>
              <w:t xml:space="preserve">BOT per operational-disruption thresholds</w:t>
            </w:r>
          </w:p>
        </w:tc>
      </w:tr>
      <w:tr>
        <w:tc>
          <w:tcPr/>
          <w:p>
            <w:pPr>
              <w:pStyle w:val="Compact"/>
            </w:pPr>
            <w:r>
              <w:t xml:space="preserve">Failed ASV scan / critical vuln</w:t>
            </w:r>
          </w:p>
        </w:tc>
        <w:tc>
          <w:tcPr/>
          <w:p>
            <w:pPr>
              <w:pStyle w:val="Compact"/>
            </w:pPr>
            <w:r>
              <w:rPr>
                <w:b/>
                <w:bCs/>
              </w:rPr>
              <w:t xml:space="preserve">≤ 48 h</w:t>
            </w:r>
          </w:p>
        </w:tc>
        <w:tc>
          <w:tcPr/>
          <w:p>
            <w:pPr>
              <w:pStyle w:val="Compact"/>
            </w:pPr>
            <w:r>
              <w:t xml:space="preserve">Within PCI remediation plan</w:t>
            </w:r>
          </w:p>
        </w:tc>
      </w:tr>
      <w:tr>
        <w:tc>
          <w:tcPr/>
          <w:p>
            <w:pPr>
              <w:pStyle w:val="Compact"/>
            </w:pPr>
            <w:r>
              <w:t xml:space="preserve">Sub-processor / material change</w:t>
            </w:r>
          </w:p>
        </w:tc>
        <w:tc>
          <w:tcPr/>
          <w:p>
            <w:pPr>
              <w:pStyle w:val="Compact"/>
            </w:pPr>
            <w:r>
              <w:rPr>
                <w:b/>
                <w:bCs/>
              </w:rPr>
              <w:t xml:space="preserve">≥ 30 days in advance</w:t>
            </w:r>
          </w:p>
        </w:tc>
        <w:tc>
          <w:tcPr/>
          <w:p>
            <w:pPr>
              <w:pStyle w:val="Compact"/>
            </w:pPr>
            <w:r>
              <w:t xml:space="preserve">Notify BOT if material outsourcing</w:t>
            </w:r>
          </w:p>
        </w:tc>
      </w:tr>
    </w:tbl>
    <w:p>
      <w:pPr>
        <w:pStyle w:val="BodyText"/>
      </w:pPr>
      <w:r>
        <w:rPr>
          <w:b/>
          <w:bCs/>
        </w:rPr>
        <w:t xml:space="preserve">Minimum recommended SLA:</w:t>
      </w:r>
      <w:r>
        <w:t xml:space="preserve"> </w:t>
      </w:r>
      <w:r>
        <w:t xml:space="preserve">Availability ≥ 99.95% (per</w:t>
      </w:r>
      <w:r>
        <w:t xml:space="preserve"> </w:t>
      </w:r>
      <w:r>
        <w:rPr>
          <w:rStyle w:val="VerbatimChar"/>
        </w:rPr>
        <w:t xml:space="preserve">../ARCHITECTURE.md</w:t>
      </w:r>
      <w:r>
        <w:t xml:space="preserve"> </w:t>
      </w:r>
      <w:r>
        <w:t xml:space="preserve">§8), RPO ≤ 5 min, RTO ≤ 30 min.</w:t>
      </w:r>
    </w:p>
    <w:p>
      <w:r>
        <w:pict>
          <v:rect style="width:0;height:1.5pt" o:hralign="center" o:hrstd="t" o:hr="t"/>
        </w:pict>
      </w:r>
    </w:p>
    <w:bookmarkEnd w:id="358"/>
    <w:bookmarkStart w:id="364" w:name="counterparty-specific-templates"/>
    <w:p>
      <w:pPr>
        <w:pStyle w:val="Heading2"/>
      </w:pPr>
      <w:r>
        <w:t xml:space="preserve">5. Counterparty-Specific Templates</w:t>
      </w:r>
    </w:p>
    <w:bookmarkStart w:id="359" w:name="acquirer-sponsor-bank-1"/>
    <w:p>
      <w:pPr>
        <w:pStyle w:val="Heading3"/>
      </w:pPr>
      <w:r>
        <w:t xml:space="preserve">5.1 Acquirer / Sponsor Bank</w:t>
      </w:r>
    </w:p>
    <w:p>
      <w:pPr>
        <w:pStyle w:val="Compact"/>
        <w:numPr>
          <w:ilvl w:val="0"/>
          <w:numId w:val="1140"/>
        </w:numPr>
      </w:pPr>
      <w:r>
        <w:rPr>
          <w:b/>
          <w:bCs/>
        </w:rPr>
        <w:t xml:space="preserve">Contract type:</w:t>
      </w:r>
      <w:r>
        <w:t xml:space="preserve"> </w:t>
      </w:r>
      <w:r>
        <w:t xml:space="preserve">Merchant Acquiring / Sponsorship Agreement + Data Sharing Addendum</w:t>
      </w:r>
    </w:p>
    <w:p>
      <w:pPr>
        <w:pStyle w:val="Compact"/>
        <w:numPr>
          <w:ilvl w:val="0"/>
          <w:numId w:val="1140"/>
        </w:numPr>
      </w:pPr>
      <w:r>
        <w:rPr>
          <w:b/>
          <w:bCs/>
        </w:rPr>
        <w:t xml:space="preserve">Key terms:</w:t>
      </w:r>
      <w:r>
        <w:t xml:space="preserve"> </w:t>
      </w:r>
      <w:r>
        <w:t xml:space="preserve">access to authorization &amp; settlement network, chargeback/dispute allocation, PAN transmission via network token, fraud/chargeback liability allocation</w:t>
      </w:r>
    </w:p>
    <w:p>
      <w:pPr>
        <w:pStyle w:val="Compact"/>
        <w:numPr>
          <w:ilvl w:val="0"/>
          <w:numId w:val="1140"/>
        </w:numPr>
      </w:pPr>
      <w:r>
        <w:rPr>
          <w:b/>
          <w:bCs/>
        </w:rPr>
        <w:t xml:space="preserve">PCI:</w:t>
      </w:r>
      <w:r>
        <w:t xml:space="preserve"> </w:t>
      </w:r>
      <w:r>
        <w:t xml:space="preserve">acquirer provides</w:t>
      </w:r>
      <w:r>
        <w:t xml:space="preserve"> </w:t>
      </w:r>
      <w:r>
        <w:rPr>
          <w:b/>
          <w:bCs/>
        </w:rPr>
        <w:t xml:space="preserve">AoC</w:t>
      </w:r>
      <w:r>
        <w:t xml:space="preserve"> </w:t>
      </w:r>
      <w:r>
        <w:t xml:space="preserve">and enrolls [บริษัท / Company] in TPSP monitoring</w:t>
      </w:r>
    </w:p>
    <w:p>
      <w:pPr>
        <w:pStyle w:val="Compact"/>
        <w:numPr>
          <w:ilvl w:val="0"/>
          <w:numId w:val="1140"/>
        </w:numPr>
      </w:pPr>
      <w:r>
        <w:rPr>
          <w:b/>
          <w:bCs/>
        </w:rPr>
        <w:t xml:space="preserve">BOT:</w:t>
      </w:r>
      <w:r>
        <w:t xml:space="preserve"> </w:t>
      </w:r>
      <w:r>
        <w:t xml:space="preserve">include right-to-audit allowing BOT to inspect the sponsor via [บริษัท / Company]</w:t>
      </w:r>
    </w:p>
    <w:p>
      <w:pPr>
        <w:pStyle w:val="BlockText"/>
      </w:pPr>
      <w:r>
        <w:rPr>
          <w:b/>
          <w:bCs/>
        </w:rPr>
        <w:t xml:space="preserve">[TODO / ASSUMPTION]</w:t>
      </w:r>
      <w:r>
        <w:t xml:space="preserve"> </w:t>
      </w:r>
      <w:r>
        <w:t xml:space="preserve">No real</w:t>
      </w:r>
      <w:r>
        <w:t xml:space="preserve"> </w:t>
      </w:r>
      <w:r>
        <w:rPr>
          <w:b/>
          <w:bCs/>
        </w:rPr>
        <w:t xml:space="preserve">sponsor bank/acquirer</w:t>
      </w:r>
      <w:r>
        <w:t xml:space="preserve"> </w:t>
      </w:r>
      <w:r>
        <w:t xml:space="preserve">selected yet (see</w:t>
      </w:r>
      <w:r>
        <w:t xml:space="preserve"> </w:t>
      </w:r>
      <w:r>
        <w:rPr>
          <w:rStyle w:val="VerbatimChar"/>
        </w:rPr>
        <w:t xml:space="preserve">../ROADMAP.md</w:t>
      </w:r>
      <w:r>
        <w:t xml:space="preserve"> </w:t>
      </w:r>
      <w:r>
        <w:t xml:space="preserve">§5 critical path) — fill counterparty name, BIN sponsorship, and scheme certification timeline after LOI signing.</w:t>
      </w:r>
    </w:p>
    <w:bookmarkEnd w:id="359"/>
    <w:bookmarkStart w:id="360" w:name="d-secure-provider-emv-3ds"/>
    <w:p>
      <w:pPr>
        <w:pStyle w:val="Heading3"/>
      </w:pPr>
      <w:r>
        <w:t xml:space="preserve">5.2 3-D Secure Provider (EMV 3DS)</w:t>
      </w:r>
    </w:p>
    <w:p>
      <w:pPr>
        <w:pStyle w:val="Compact"/>
        <w:numPr>
          <w:ilvl w:val="0"/>
          <w:numId w:val="1141"/>
        </w:numPr>
      </w:pPr>
      <w:r>
        <w:rPr>
          <w:b/>
          <w:bCs/>
        </w:rPr>
        <w:t xml:space="preserve">Scope:</w:t>
      </w:r>
      <w:r>
        <w:t xml:space="preserve"> </w:t>
      </w:r>
      <w:r>
        <w:t xml:space="preserve">ACS/DS integration per</w:t>
      </w:r>
      <w:r>
        <w:t xml:space="preserve"> </w:t>
      </w:r>
      <w:r>
        <w:rPr>
          <w:b/>
          <w:bCs/>
        </w:rPr>
        <w:t xml:space="preserve">EMV 3DS 2.x</w:t>
      </w:r>
      <w:r>
        <w:t xml:space="preserve"> </w:t>
      </w:r>
      <w:r>
        <w:t xml:space="preserve">for SCA and liability shift to issuer</w:t>
      </w:r>
    </w:p>
    <w:p>
      <w:pPr>
        <w:pStyle w:val="Compact"/>
        <w:numPr>
          <w:ilvl w:val="0"/>
          <w:numId w:val="1141"/>
        </w:numPr>
      </w:pPr>
      <w:r>
        <w:rPr>
          <w:b/>
          <w:bCs/>
        </w:rPr>
        <w:t xml:space="preserve">Data:</w:t>
      </w:r>
      <w:r>
        <w:t xml:space="preserve"> </w:t>
      </w:r>
      <w:r>
        <w:t xml:space="preserve">device/browser data, DPAN — bind data minimization and retention ≤ scheme limits</w:t>
      </w:r>
    </w:p>
    <w:p>
      <w:pPr>
        <w:pStyle w:val="Compact"/>
        <w:numPr>
          <w:ilvl w:val="0"/>
          <w:numId w:val="1141"/>
        </w:numPr>
      </w:pPr>
      <w:r>
        <w:rPr>
          <w:b/>
          <w:bCs/>
        </w:rPr>
        <w:t xml:space="preserve">PCI:</w:t>
      </w:r>
      <w:r>
        <w:t xml:space="preserve"> </w:t>
      </w:r>
      <w:r>
        <w:t xml:space="preserve">3DS server in scope; provider must furnish AoC/SDP compliance</w:t>
      </w:r>
    </w:p>
    <w:p>
      <w:pPr>
        <w:pStyle w:val="Compact"/>
        <w:numPr>
          <w:ilvl w:val="0"/>
          <w:numId w:val="1141"/>
        </w:numPr>
      </w:pPr>
      <w:r>
        <w:rPr>
          <w:b/>
          <w:bCs/>
        </w:rPr>
        <w:t xml:space="preserve">Fallback:</w:t>
      </w:r>
      <w:r>
        <w:t xml:space="preserve"> </w:t>
      </w:r>
      <w:r>
        <w:t xml:space="preserve">if 3DS unavailable, fail closed per</w:t>
      </w:r>
      <w:r>
        <w:t xml:space="preserve"> </w:t>
      </w:r>
      <w:r>
        <w:rPr>
          <w:rStyle w:val="VerbatimChar"/>
        </w:rPr>
        <w:t xml:space="preserve">../ARCHITECTURE.md</w:t>
      </w:r>
      <w:r>
        <w:t xml:space="preserve"> </w:t>
      </w:r>
      <w:r>
        <w:t xml:space="preserve">§2</w:t>
      </w:r>
    </w:p>
    <w:bookmarkEnd w:id="360"/>
    <w:bookmarkStart w:id="361" w:name="tokenization-vault-1"/>
    <w:p>
      <w:pPr>
        <w:pStyle w:val="Heading3"/>
      </w:pPr>
      <w:r>
        <w:t xml:space="preserve">5.3 Tokenization Vault</w:t>
      </w:r>
    </w:p>
    <w:p>
      <w:pPr>
        <w:pStyle w:val="Compact"/>
        <w:numPr>
          <w:ilvl w:val="0"/>
          <w:numId w:val="1142"/>
        </w:numPr>
      </w:pPr>
      <w:r>
        <w:rPr>
          <w:b/>
          <w:bCs/>
        </w:rPr>
        <w:t xml:space="preserve">Scope:</w:t>
      </w:r>
      <w:r>
        <w:t xml:space="preserve"> </w:t>
      </w:r>
      <w:r>
        <w:t xml:space="preserve">mint/detokenize, envelope encryption with HSM-held keys (</w:t>
      </w:r>
      <w:r>
        <w:rPr>
          <w:rStyle w:val="VerbatimChar"/>
        </w:rPr>
        <w:t xml:space="preserve">../ARCHITECTURE.md</w:t>
      </w:r>
      <w:r>
        <w:t xml:space="preserve"> </w:t>
      </w:r>
      <w:r>
        <w:t xml:space="preserve">§7)</w:t>
      </w:r>
    </w:p>
    <w:p>
      <w:pPr>
        <w:pStyle w:val="Compact"/>
        <w:numPr>
          <w:ilvl w:val="0"/>
          <w:numId w:val="1142"/>
        </w:numPr>
      </w:pPr>
      <w:r>
        <w:rPr>
          <w:b/>
          <w:bCs/>
        </w:rPr>
        <w:t xml:space="preserve">Requirements:</w:t>
      </w:r>
      <w:r>
        <w:t xml:space="preserve"> </w:t>
      </w:r>
      <w:r>
        <w:t xml:space="preserve">vault in a</w:t>
      </w:r>
      <w:r>
        <w:t xml:space="preserve"> </w:t>
      </w:r>
      <w:r>
        <w:rPr>
          <w:b/>
          <w:bCs/>
        </w:rPr>
        <w:t xml:space="preserve">segmented network</w:t>
      </w:r>
      <w:r>
        <w:t xml:space="preserve"> </w:t>
      </w:r>
      <w:r>
        <w:t xml:space="preserve">separate from the core; client-side single-use payment token</w:t>
      </w:r>
    </w:p>
    <w:p>
      <w:pPr>
        <w:pStyle w:val="Compact"/>
        <w:numPr>
          <w:ilvl w:val="0"/>
          <w:numId w:val="1142"/>
        </w:numPr>
      </w:pPr>
      <w:r>
        <w:rPr>
          <w:b/>
          <w:bCs/>
        </w:rPr>
        <w:t xml:space="preserve">PCI:</w:t>
      </w:r>
      <w:r>
        <w:t xml:space="preserve"> </w:t>
      </w:r>
      <w:r>
        <w:t xml:space="preserve">primary CDE TPSP — must hold</w:t>
      </w:r>
      <w:r>
        <w:t xml:space="preserve"> </w:t>
      </w:r>
      <w:r>
        <w:rPr>
          <w:b/>
          <w:bCs/>
        </w:rPr>
        <w:t xml:space="preserve">Level 1 RoC/AoC</w:t>
      </w:r>
      <w:r>
        <w:t xml:space="preserve">, quarterly ASV, annual pentest</w:t>
      </w:r>
    </w:p>
    <w:p>
      <w:pPr>
        <w:pStyle w:val="Compact"/>
        <w:numPr>
          <w:ilvl w:val="0"/>
          <w:numId w:val="1142"/>
        </w:numPr>
      </w:pPr>
      <w:r>
        <w:rPr>
          <w:b/>
          <w:bCs/>
        </w:rPr>
        <w:t xml:space="preserve">Destruction:</w:t>
      </w:r>
      <w:r>
        <w:t xml:space="preserve"> </w:t>
      </w:r>
      <w:r>
        <w:t xml:space="preserve">crypto-erase keys at termination + certificate</w:t>
      </w:r>
    </w:p>
    <w:bookmarkEnd w:id="361"/>
    <w:bookmarkStart w:id="362" w:name="Xac4c23ccb51aae14bd7cf5b934d883fdd176da8"/>
    <w:p>
      <w:pPr>
        <w:pStyle w:val="Heading3"/>
      </w:pPr>
      <w:r>
        <w:t xml:space="preserve">5.4 ITMX (National Interbank Transaction Management and Exchange)</w:t>
      </w:r>
    </w:p>
    <w:p>
      <w:pPr>
        <w:pStyle w:val="Compact"/>
        <w:numPr>
          <w:ilvl w:val="0"/>
          <w:numId w:val="1143"/>
        </w:numPr>
      </w:pPr>
      <w:r>
        <w:rPr>
          <w:b/>
          <w:bCs/>
        </w:rPr>
        <w:t xml:space="preserve">Contract type:</w:t>
      </w:r>
      <w:r>
        <w:t xml:space="preserve"> </w:t>
      </w:r>
      <w:r>
        <w:t xml:space="preserve">Membership/Interchange Agreement + Data Sharing (both parties are controllers)</w:t>
      </w:r>
    </w:p>
    <w:p>
      <w:pPr>
        <w:pStyle w:val="Compact"/>
        <w:numPr>
          <w:ilvl w:val="0"/>
          <w:numId w:val="1143"/>
        </w:numPr>
      </w:pPr>
      <w:r>
        <w:rPr>
          <w:b/>
          <w:bCs/>
        </w:rPr>
        <w:t xml:space="preserve">Scope:</w:t>
      </w:r>
      <w:r>
        <w:t xml:space="preserve"> </w:t>
      </w:r>
      <w:r>
        <w:t xml:space="preserve">local card switch / PromptPay proxy, domestic clearing and settlement</w:t>
      </w:r>
    </w:p>
    <w:p>
      <w:pPr>
        <w:pStyle w:val="Compact"/>
        <w:numPr>
          <w:ilvl w:val="0"/>
          <w:numId w:val="1143"/>
        </w:numPr>
      </w:pPr>
      <w:r>
        <w:rPr>
          <w:b/>
          <w:bCs/>
        </w:rPr>
        <w:t xml:space="preserve">Data residency:</w:t>
      </w:r>
      <w:r>
        <w:t xml:space="preserve"> </w:t>
      </w:r>
      <w:r>
        <w:t xml:space="preserve">data kept in Thailand per BOT requirements (</w:t>
      </w:r>
      <w:r>
        <w:rPr>
          <w:rStyle w:val="VerbatimChar"/>
        </w:rPr>
        <w:t xml:space="preserve">../ARCHITECTURE.md</w:t>
      </w:r>
      <w:r>
        <w:t xml:space="preserve"> </w:t>
      </w:r>
      <w:r>
        <w:t xml:space="preserve">§8)</w:t>
      </w:r>
    </w:p>
    <w:p>
      <w:pPr>
        <w:pStyle w:val="Compact"/>
        <w:numPr>
          <w:ilvl w:val="0"/>
          <w:numId w:val="1143"/>
        </w:numPr>
      </w:pPr>
      <w:r>
        <w:rPr>
          <w:b/>
          <w:bCs/>
        </w:rPr>
        <w:t xml:space="preserve">AML:</w:t>
      </w:r>
      <w:r>
        <w:t xml:space="preserve"> </w:t>
      </w:r>
      <w:r>
        <w:t xml:space="preserve">bind transaction-data sharing for AMLO reporting as required by law</w:t>
      </w:r>
    </w:p>
    <w:p>
      <w:pPr>
        <w:pStyle w:val="BlockText"/>
      </w:pPr>
      <w:r>
        <w:rPr>
          <w:b/>
          <w:bCs/>
        </w:rPr>
        <w:t xml:space="preserve">[TODO / ASSUMPTION]</w:t>
      </w:r>
      <w:r>
        <w:t xml:space="preserve"> </w:t>
      </w:r>
      <w:r>
        <w:rPr>
          <w:b/>
          <w:bCs/>
        </w:rPr>
        <w:t xml:space="preserve">ITMX</w:t>
      </w:r>
      <w:r>
        <w:t xml:space="preserve"> </w:t>
      </w:r>
      <w:r>
        <w:t xml:space="preserve">membership terms and data flow to be confirmed against actual membership rules after connectivity certification.</w:t>
      </w:r>
    </w:p>
    <w:bookmarkEnd w:id="362"/>
    <w:bookmarkStart w:id="363" w:name="hsm-kms-provider-1"/>
    <w:p>
      <w:pPr>
        <w:pStyle w:val="Heading3"/>
      </w:pPr>
      <w:r>
        <w:t xml:space="preserve">5.5 HSM / KMS Provider</w:t>
      </w:r>
    </w:p>
    <w:p>
      <w:pPr>
        <w:pStyle w:val="Compact"/>
        <w:numPr>
          <w:ilvl w:val="0"/>
          <w:numId w:val="1144"/>
        </w:numPr>
      </w:pPr>
      <w:r>
        <w:rPr>
          <w:b/>
          <w:bCs/>
        </w:rPr>
        <w:t xml:space="preserve">Scope:</w:t>
      </w:r>
      <w:r>
        <w:t xml:space="preserve"> </w:t>
      </w:r>
      <w:r>
        <w:t xml:space="preserve">key protection at</w:t>
      </w:r>
      <w:r>
        <w:t xml:space="preserve"> </w:t>
      </w:r>
      <w:r>
        <w:rPr>
          <w:b/>
          <w:bCs/>
        </w:rPr>
        <w:t xml:space="preserve">FIPS 140-2/3 Level 3</w:t>
      </w:r>
      <w:r>
        <w:t xml:space="preserve">, dual control, split knowledge (PCI Req 3.6–3.7)</w:t>
      </w:r>
    </w:p>
    <w:p>
      <w:pPr>
        <w:pStyle w:val="Compact"/>
        <w:numPr>
          <w:ilvl w:val="0"/>
          <w:numId w:val="1144"/>
        </w:numPr>
      </w:pPr>
      <w:r>
        <w:rPr>
          <w:b/>
          <w:bCs/>
        </w:rPr>
        <w:t xml:space="preserve">Principle:</w:t>
      </w:r>
      <w:r>
        <w:t xml:space="preserve"> </w:t>
      </w:r>
      <w:r>
        <w:rPr>
          <w:b/>
          <w:bCs/>
        </w:rPr>
        <w:t xml:space="preserve">plaintext PAN/PII must not leave the HSM boundary</w:t>
      </w:r>
      <w:r>
        <w:t xml:space="preserve">; provider sees ciphertext only</w:t>
      </w:r>
    </w:p>
    <w:p>
      <w:pPr>
        <w:pStyle w:val="Compact"/>
        <w:numPr>
          <w:ilvl w:val="0"/>
          <w:numId w:val="1144"/>
        </w:numPr>
      </w:pPr>
      <w:r>
        <w:rPr>
          <w:b/>
          <w:bCs/>
        </w:rPr>
        <w:t xml:space="preserve">Bound services:</w:t>
      </w:r>
      <w:r>
        <w:t xml:space="preserve"> </w:t>
      </w:r>
      <w:r>
        <w:t xml:space="preserve">key rotation, key ceremony, HSM firmware update, HA/DR of the key store</w:t>
      </w:r>
    </w:p>
    <w:p>
      <w:pPr>
        <w:pStyle w:val="Compact"/>
        <w:numPr>
          <w:ilvl w:val="0"/>
          <w:numId w:val="1144"/>
        </w:numPr>
      </w:pPr>
      <w:r>
        <w:rPr>
          <w:b/>
          <w:bCs/>
        </w:rPr>
        <w:t xml:space="preserve">PCI:</w:t>
      </w:r>
      <w:r>
        <w:t xml:space="preserve"> </w:t>
      </w:r>
      <w:r>
        <w:t xml:space="preserve">provider must furnish AoC or FIPS certificate + right-to-audit</w:t>
      </w:r>
    </w:p>
    <w:p>
      <w:pPr>
        <w:pStyle w:val="BlockText"/>
      </w:pPr>
      <w:r>
        <w:rPr>
          <w:b/>
          <w:bCs/>
        </w:rPr>
        <w:t xml:space="preserve">[TODO / ASSUMPTION]</w:t>
      </w:r>
      <w:r>
        <w:t xml:space="preserve"> </w:t>
      </w:r>
      <w:r>
        <w:t xml:space="preserve">No real</w:t>
      </w:r>
      <w:r>
        <w:t xml:space="preserve"> </w:t>
      </w:r>
      <w:r>
        <w:rPr>
          <w:b/>
          <w:bCs/>
        </w:rPr>
        <w:t xml:space="preserve">QSA vendor</w:t>
      </w:r>
      <w:r>
        <w:t xml:space="preserve"> </w:t>
      </w:r>
      <w:r>
        <w:t xml:space="preserve">or</w:t>
      </w:r>
      <w:r>
        <w:t xml:space="preserve"> </w:t>
      </w:r>
      <w:r>
        <w:rPr>
          <w:b/>
          <w:bCs/>
        </w:rPr>
        <w:t xml:space="preserve">HSM/KMS provider</w:t>
      </w:r>
      <w:r>
        <w:t xml:space="preserve"> </w:t>
      </w:r>
      <w:r>
        <w:t xml:space="preserve">selected yet (cloud KMS+CloudHSM vs on-prem). The</w:t>
      </w:r>
      <w:r>
        <w:t xml:space="preserve"> </w:t>
      </w:r>
      <w:r>
        <w:rPr>
          <w:b/>
          <w:bCs/>
        </w:rPr>
        <w:t xml:space="preserve">paid-up capital of THB 50M</w:t>
      </w:r>
      <w:r>
        <w:t xml:space="preserve"> </w:t>
      </w:r>
      <w:r>
        <w:t xml:space="preserve">figure cites the Acquiring threshold in</w:t>
      </w:r>
      <w:r>
        <w:t xml:space="preserve"> </w:t>
      </w:r>
      <w:r>
        <w:rPr>
          <w:rStyle w:val="VerbatimChar"/>
        </w:rPr>
        <w:t xml:space="preserve">../COMPLIANCE-TH.md</w:t>
      </w:r>
      <w:r>
        <w:t xml:space="preserve"> </w:t>
      </w:r>
      <w:r>
        <w:t xml:space="preserve">§2 — confirm the actual paid-up amount with Finance.</w:t>
      </w:r>
    </w:p>
    <w:p>
      <w:r>
        <w:pict>
          <v:rect style="width:0;height:1.5pt" o:hralign="center" o:hrstd="t" o:hr="t"/>
        </w:pict>
      </w:r>
    </w:p>
    <w:bookmarkEnd w:id="363"/>
    <w:bookmarkEnd w:id="364"/>
    <w:bookmarkStart w:id="365" w:name="pre-signing-checklist-all-counterparties"/>
    <w:p>
      <w:pPr>
        <w:pStyle w:val="Heading2"/>
      </w:pPr>
      <w:r>
        <w:t xml:space="preserve">6. Pre-Signing Checklist (all counterparties)</w:t>
      </w:r>
    </w:p>
    <w:p>
      <w:pPr>
        <w:pStyle w:val="Compact"/>
        <w:numPr>
          <w:ilvl w:val="0"/>
          <w:numId w:val="1145"/>
        </w:numPr>
      </w:pPr>
      <w:r>
        <w:t xml:space="preserve">Controller/processor roles clearly stated per PDPA s.40</w:t>
      </w:r>
    </w:p>
    <w:p>
      <w:pPr>
        <w:pStyle w:val="Compact"/>
        <w:numPr>
          <w:ilvl w:val="0"/>
          <w:numId w:val="1146"/>
        </w:numPr>
      </w:pPr>
      <w:r>
        <w:t xml:space="preserve">TOMs (technical &amp; organizational measures) attached as an annex</w:t>
      </w:r>
    </w:p>
    <w:p>
      <w:pPr>
        <w:pStyle w:val="Compact"/>
        <w:numPr>
          <w:ilvl w:val="0"/>
          <w:numId w:val="1147"/>
        </w:numPr>
      </w:pPr>
      <w:r>
        <w:t xml:space="preserve">Current AoC/RoC (PCI) or SOC 2 / ISO 27001</w:t>
      </w:r>
    </w:p>
    <w:p>
      <w:pPr>
        <w:pStyle w:val="Compact"/>
        <w:numPr>
          <w:ilvl w:val="0"/>
          <w:numId w:val="1148"/>
        </w:numPr>
      </w:pPr>
      <w:r>
        <w:t xml:space="preserve">Breach notification ≤ 24 h + regulator timeline</w:t>
      </w:r>
    </w:p>
    <w:p>
      <w:pPr>
        <w:pStyle w:val="Compact"/>
        <w:numPr>
          <w:ilvl w:val="0"/>
          <w:numId w:val="1149"/>
        </w:numPr>
      </w:pPr>
      <w:r>
        <w:t xml:space="preserve">Right-to-audit covers [บริษัท / Company], QSA and</w:t>
      </w:r>
      <w:r>
        <w:t xml:space="preserve"> </w:t>
      </w:r>
      <w:r>
        <w:rPr>
          <w:b/>
          <w:bCs/>
        </w:rPr>
        <w:t xml:space="preserve">BOT</w:t>
      </w:r>
    </w:p>
    <w:p>
      <w:pPr>
        <w:pStyle w:val="Compact"/>
        <w:numPr>
          <w:ilvl w:val="0"/>
          <w:numId w:val="1150"/>
        </w:numPr>
      </w:pPr>
      <w:r>
        <w:t xml:space="preserve">Sub-processor list + right to object</w:t>
      </w:r>
    </w:p>
    <w:p>
      <w:pPr>
        <w:pStyle w:val="Compact"/>
        <w:numPr>
          <w:ilvl w:val="0"/>
          <w:numId w:val="1151"/>
        </w:numPr>
      </w:pPr>
      <w:r>
        <w:t xml:space="preserve">Cross-border transfer meets PDPA ss.28–29 + BOT data residency</w:t>
      </w:r>
    </w:p>
    <w:p>
      <w:pPr>
        <w:pStyle w:val="Compact"/>
        <w:numPr>
          <w:ilvl w:val="0"/>
          <w:numId w:val="1152"/>
        </w:numPr>
      </w:pPr>
      <w:r>
        <w:t xml:space="preserve">Data return/destruction + certificate at termination</w:t>
      </w:r>
    </w:p>
    <w:p>
      <w:pPr>
        <w:pStyle w:val="Compact"/>
        <w:numPr>
          <w:ilvl w:val="0"/>
          <w:numId w:val="1153"/>
        </w:numPr>
      </w:pPr>
      <w:r>
        <w:t xml:space="preserve">Exit/transition plan and SLA/BCP fully bound</w:t>
      </w:r>
    </w:p>
    <w:p>
      <w:r>
        <w:br w:type="page"/>
      </w:r>
    </w:p>
    <w:bookmarkEnd w:id="365"/>
    <w:bookmarkEnd w:id="366"/>
    <w:bookmarkStart w:id="376" w:name="ตารางการเกบรกษาและลบขอมล-ไทย"/>
    <w:p>
      <w:pPr>
        <w:pStyle w:val="Heading1"/>
      </w:pPr>
      <w:r>
        <w:t xml:space="preserve">ตารางการเก็บรักษาและลบข้อมูล (ไทย)</w:t>
      </w:r>
    </w:p>
    <w:p>
      <w:pPr>
        <w:pStyle w:val="BlockText"/>
      </w:pPr>
      <w:r>
        <w:t xml:space="preserve">เอกสารประกอบการยื่นขอใบอนุญาต</w:t>
      </w:r>
      <w:r>
        <w:t xml:space="preserve"> </w:t>
      </w:r>
      <w:r>
        <w:rPr>
          <w:b/>
          <w:bCs/>
        </w:rPr>
        <w:t xml:space="preserve">บริการรับชำระเงินด้วยวิธีการทางอิเล็กทรอนิกส์ (Acquiring)</w:t>
      </w:r>
      <w:r>
        <w:t xml:space="preserve"> </w:t>
      </w:r>
      <w:r>
        <w:t xml:space="preserve">ภายใต้ พ.ร.บ. ระบบการชำระเงิน พ.ศ. 2560 · ทุนจดทะเบียนชำระแล้ว 50 ล้านบาท · PCI-DSS v4.0 Level 1</w:t>
      </w:r>
      <w:r>
        <w:t xml:space="preserve"> </w:t>
      </w:r>
      <w:r>
        <w:t xml:space="preserve">เอกสารเลขที่</w:t>
      </w:r>
      <w:r>
        <w:t xml:space="preserve"> </w:t>
      </w:r>
      <w:r>
        <w:rPr>
          <w:b/>
          <w:bCs/>
        </w:rPr>
        <w:t xml:space="preserve">11 — นโยบายและตารางการเก็บรักษาและลบข้อมูล (Data Retention &amp; Deletion Schedule)</w:t>
      </w:r>
      <w:r>
        <w:t xml:space="preserve"> </w:t>
      </w:r>
      <w:r>
        <w:t xml:space="preserve">เจ้าของเอกสาร:</w:t>
      </w:r>
      <w:r>
        <w:t xml:space="preserve"> </w:t>
      </w:r>
      <w:r>
        <w:rPr>
          <w:b/>
          <w:bCs/>
        </w:rPr>
        <w:t xml:space="preserve">[บริษัท / Company]</w:t>
      </w:r>
      <w:r>
        <w:t xml:space="preserve"> </w:t>
      </w:r>
      <w:r>
        <w:t xml:space="preserve">· เวอร์ชัน 1.0 · จัดทำ 2026-07-22 · ทบทวนทุก 12 เดือน</w:t>
      </w:r>
    </w:p>
    <w:p>
      <w:pPr>
        <w:pStyle w:val="BlockText"/>
      </w:pPr>
      <w:r>
        <w:rPr>
          <w:b/>
          <w:bCs/>
        </w:rPr>
        <w:t xml:space="preserve">หมายเหตุ:</w:t>
      </w:r>
      <w:r>
        <w:t xml:space="preserve"> </w:t>
      </w:r>
      <w:r>
        <w:t xml:space="preserve">เอกสารนี้เป็นเอกสารเชิงเทคนิค/ปฏิบัติการ ไม่ใช่คำแนะนำทางกฎหมาย ต้องผ่านการตรวจ</w:t>
      </w:r>
      <w:r>
        <w:t xml:space="preserve"> </w:t>
      </w:r>
      <w:r>
        <w:t xml:space="preserve">โดยที่ปรึกษากฎหมายและ QSA ก่อนยื่นจริง เอกสารอ้างอิงร่วม:</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r>
        <w:pict>
          <v:rect style="width:0;height:1.5pt" o:hralign="center" o:hrstd="t" o:hr="t"/>
        </w:pict>
      </w:r>
    </w:p>
    <w:bookmarkStart w:id="367" w:name="วตถประสงคและขอบเขต-2"/>
    <w:p>
      <w:pPr>
        <w:pStyle w:val="Heading2"/>
      </w:pPr>
      <w:r>
        <w:t xml:space="preserve">1. วัตถุประสงค์และขอบเขต</w:t>
      </w:r>
    </w:p>
    <w:p>
      <w:pPr>
        <w:pStyle w:val="FirstParagraph"/>
      </w:pPr>
      <w:r>
        <w:t xml:space="preserve">นโยบายนี้กำหนด</w:t>
      </w:r>
      <w:r>
        <w:t xml:space="preserve"> </w:t>
      </w:r>
      <w:r>
        <w:rPr>
          <w:b/>
          <w:bCs/>
        </w:rPr>
        <w:t xml:space="preserve">ระยะเวลาการเก็บรักษา (retention)</w:t>
      </w:r>
      <w:r>
        <w:t xml:space="preserve"> </w:t>
      </w:r>
      <w:r>
        <w:t xml:space="preserve">และ</w:t>
      </w:r>
      <w:r>
        <w:t xml:space="preserve"> </w:t>
      </w:r>
      <w:r>
        <w:rPr>
          <w:b/>
          <w:bCs/>
        </w:rPr>
        <w:t xml:space="preserve">วิธีการลบข้อมูลอย่างปลอดภัย (secure deletion)</w:t>
      </w:r>
      <w:r>
        <w:t xml:space="preserve"> </w:t>
      </w:r>
      <w:r>
        <w:t xml:space="preserve">สำหรับข้อมูลทุกประเภทที่ [บริษัท / Company] จัดเก็บในฐานะผู้ให้บริการ Acquiring โดยยึดหลัก</w:t>
      </w:r>
      <w:r>
        <w:t xml:space="preserve"> </w:t>
      </w:r>
      <w:r>
        <w:rPr>
          <w:b/>
          <w:bCs/>
        </w:rPr>
        <w:t xml:space="preserve">เก็บให้น้อยที่สุด</w:t>
      </w:r>
      <w:r>
        <w:rPr>
          <w:b/>
          <w:bCs/>
        </w:rPr>
        <w:t xml:space="preserve"> </w:t>
      </w:r>
      <w:r>
        <w:rPr>
          <w:b/>
          <w:bCs/>
        </w:rPr>
        <w:t xml:space="preserve">เท่าที่จำเป็นตามกฎหมายและการปฏิบัติงาน (data minimization / storage limitation)</w:t>
      </w:r>
      <w:r>
        <w:t xml:space="preserve"> </w:t>
      </w:r>
      <w:r>
        <w:t xml:space="preserve">ตามมาตรา 37 แห่ง PDPA และ</w:t>
      </w:r>
      <w:r>
        <w:t xml:space="preserve"> </w:t>
      </w:r>
      <w:r>
        <w:t xml:space="preserve">PCI-DSS v4.0 Requirement 3.2 (เก็บ cardholder data เท่าที่จำเป็นต่อธุรกิจ/กฎหมาย)</w:t>
      </w:r>
    </w:p>
    <w:p>
      <w:pPr>
        <w:pStyle w:val="BodyText"/>
      </w:pPr>
      <w:r>
        <w:t xml:space="preserve">ขอบเขตครอบคลุม: ระบบ operational DB, tokenization vault, ledger, audit log, log ระบบ, ข้อมูล KYC/AML,</w:t>
      </w:r>
      <w:r>
        <w:t xml:space="preserve"> </w:t>
      </w:r>
      <w:r>
        <w:t xml:space="preserve">เอกสารสัญญา merchant, สำรองข้อมูล (backup), และข้อมูลที่ outsource ให้ผู้ให้บริการภายนอก</w:t>
      </w:r>
    </w:p>
    <w:p>
      <w:pPr>
        <w:pStyle w:val="BlockText"/>
      </w:pPr>
      <w:r>
        <w:rPr>
          <w:b/>
          <w:bCs/>
        </w:rPr>
        <w:t xml:space="preserve">หลักสำคัญที่ยึดตลอดทั้งเอกสาร:</w:t>
      </w:r>
      <w:r>
        <w:t xml:space="preserve"> </w:t>
      </w:r>
      <w:r>
        <w:t xml:space="preserve">ตามที่ระบุใน</w:t>
      </w:r>
      <w:r>
        <w:t xml:space="preserve"> </w:t>
      </w:r>
      <w:r>
        <w:rPr>
          <w:rStyle w:val="VerbatimChar"/>
        </w:rPr>
        <w:t xml:space="preserve">ARCHITECTURE.md</w:t>
      </w:r>
      <w:r>
        <w:t xml:space="preserve"> </w:t>
      </w:r>
      <w:r>
        <w:t xml:space="preserve">ข้อ 6 —</w:t>
      </w:r>
      <w:r>
        <w:t xml:space="preserve"> </w:t>
      </w:r>
      <w:r>
        <w:rPr>
          <w:b/>
          <w:bCs/>
        </w:rPr>
        <w:t xml:space="preserve">ห้ามเก็บ full PAN, CVV/CVV2/CVC2, PIN/PIN block, full magnetic track (SAD) ใน operational DB โดยเด็ดขาด</w:t>
      </w:r>
      <w:r>
        <w:t xml:space="preserve"> </w:t>
      </w:r>
      <w:r>
        <w:t xml:space="preserve">เก็บได้เพียง</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w:t>
      </w:r>
      <w:r>
        <w:t xml:space="preserve">เพื่อการแสดงผล ส่วน PAN ที่จำเป็นให้เก็บเป็น</w:t>
      </w:r>
      <w:r>
        <w:t xml:space="preserve"> </w:t>
      </w:r>
      <w:r>
        <w:rPr>
          <w:b/>
          <w:bCs/>
        </w:rPr>
        <w:t xml:space="preserve">token</w:t>
      </w:r>
      <w:r>
        <w:t xml:space="preserve"> </w:t>
      </w:r>
      <w:r>
        <w:t xml:space="preserve">ใน vault ที่แยก scope</w:t>
      </w:r>
    </w:p>
    <w:p>
      <w:r>
        <w:pict>
          <v:rect style="width:0;height:1.5pt" o:hralign="center" o:hrstd="t" o:hr="t"/>
        </w:pict>
      </w:r>
    </w:p>
    <w:bookmarkEnd w:id="367"/>
    <w:bookmarkStart w:id="368" w:name="Xeef99b0846af9ba46aaec81c34d9832c93d2fd3"/>
    <w:p>
      <w:pPr>
        <w:pStyle w:val="Heading2"/>
      </w:pPr>
      <w:r>
        <w:t xml:space="preserve">2. บทบาทและความรับผิดชอบ (Roles &amp; Responsibilities)</w:t>
      </w:r>
    </w:p>
    <w:tbl>
      <w:tblPr>
        <w:tblStyle w:val="Table"/>
        <w:tblW w:type="pct" w:w="5000"/>
        <w:tblLayout w:type="fixed"/>
        <w:tblLook w:firstRow="1" w:lastRow="0" w:firstColumn="0" w:lastColumn="0" w:noHBand="0" w:noVBand="0" w:val="0020"/>
      </w:tblPr>
      <w:tblGrid>
        <w:gridCol w:w="1232"/>
        <w:gridCol w:w="6688"/>
      </w:tblGrid>
      <w:tr>
        <w:trPr>
          <w:tblHeader w:val="on"/>
        </w:trPr>
        <w:tc>
          <w:tcPr/>
          <w:p>
            <w:pPr>
              <w:pStyle w:val="Compact"/>
            </w:pPr>
            <w:r>
              <w:t xml:space="preserve">บทบาท</w:t>
            </w:r>
          </w:p>
        </w:tc>
        <w:tc>
          <w:tcPr/>
          <w:p>
            <w:pPr>
              <w:pStyle w:val="Compact"/>
            </w:pPr>
            <w:r>
              <w:t xml:space="preserve">ความรับผิดชอบด้าน retention/deletion</w:t>
            </w:r>
          </w:p>
        </w:tc>
      </w:tr>
      <w:tr>
        <w:tc>
          <w:tcPr/>
          <w:p>
            <w:pPr>
              <w:pStyle w:val="Compact"/>
            </w:pPr>
            <w:r>
              <w:rPr>
                <w:b/>
                <w:bCs/>
              </w:rPr>
              <w:t xml:space="preserve">Data Protection Officer (DPO)</w:t>
            </w:r>
          </w:p>
        </w:tc>
        <w:tc>
          <w:tcPr/>
          <w:p>
            <w:pPr>
              <w:pStyle w:val="Compact"/>
            </w:pPr>
            <w:r>
              <w:t xml:space="preserve">เจ้าของนโยบาย, ตอบคำขอสิทธิเจ้าของข้อมูล (DSAR), อนุมัติการลบตามคำขอ PDPA, ประสาน PDPC</w:t>
            </w:r>
          </w:p>
        </w:tc>
      </w:tr>
      <w:tr>
        <w:tc>
          <w:tcPr/>
          <w:p>
            <w:pPr>
              <w:pStyle w:val="Compact"/>
            </w:pPr>
            <w:r>
              <w:rPr>
                <w:b/>
                <w:bCs/>
              </w:rPr>
              <w:t xml:space="preserve">Compliance / MLRO (Money Laundering Reporting Officer)</w:t>
            </w:r>
          </w:p>
        </w:tc>
        <w:tc>
          <w:tcPr/>
          <w:p>
            <w:pPr>
              <w:pStyle w:val="Compact"/>
            </w:pPr>
            <w:r>
              <w:t xml:space="preserve">กำหนด hold ตาม ปปง./AMLO, legal hold, การรายงาน ธปท.</w:t>
            </w:r>
          </w:p>
        </w:tc>
      </w:tr>
      <w:tr>
        <w:tc>
          <w:tcPr/>
          <w:p>
            <w:pPr>
              <w:pStyle w:val="Compact"/>
            </w:pPr>
            <w:r>
              <w:rPr>
                <w:b/>
                <w:bCs/>
              </w:rPr>
              <w:t xml:space="preserve">CISO / DevSecOps</w:t>
            </w:r>
          </w:p>
        </w:tc>
        <w:tc>
          <w:tcPr/>
          <w:p>
            <w:pPr>
              <w:pStyle w:val="Compact"/>
            </w:pPr>
            <w:r>
              <w:t xml:space="preserve">คุมกระบวนการ crypto-erasure, key destruction, ตรวจสอบ secure deletion, จัดการ HSM/KMS</w:t>
            </w:r>
          </w:p>
        </w:tc>
      </w:tr>
      <w:tr>
        <w:tc>
          <w:tcPr/>
          <w:p>
            <w:pPr>
              <w:pStyle w:val="Compact"/>
            </w:pPr>
            <w:r>
              <w:rPr>
                <w:b/>
                <w:bCs/>
              </w:rPr>
              <w:t xml:space="preserve">DBA / SRE</w:t>
            </w:r>
          </w:p>
        </w:tc>
        <w:tc>
          <w:tcPr/>
          <w:p>
            <w:pPr>
              <w:pStyle w:val="Compact"/>
            </w:pPr>
            <w:r>
              <w:t xml:space="preserve">รัน purge job, จัดการ backup lifecycle, ยืนยันผลการลบ</w:t>
            </w:r>
          </w:p>
        </w:tc>
      </w:tr>
      <w:tr>
        <w:tc>
          <w:tcPr/>
          <w:p>
            <w:pPr>
              <w:pStyle w:val="Compact"/>
            </w:pPr>
            <w:r>
              <w:rPr>
                <w:b/>
                <w:bCs/>
              </w:rPr>
              <w:t xml:space="preserve">Head of Engineering</w:t>
            </w:r>
          </w:p>
        </w:tc>
        <w:tc>
          <w:tcPr/>
          <w:p>
            <w:pPr>
              <w:pStyle w:val="Compact"/>
            </w:pPr>
            <w:r>
              <w:t xml:space="preserve">ดูแล data classification ในโค้ด, TTL, retention config</w:t>
            </w:r>
          </w:p>
        </w:tc>
      </w:tr>
      <w:tr>
        <w:tc>
          <w:tcPr/>
          <w:p>
            <w:pPr>
              <w:pStyle w:val="Compact"/>
            </w:pPr>
            <w:r>
              <w:rPr>
                <w:b/>
                <w:bCs/>
              </w:rPr>
              <w:t xml:space="preserve">Internal Audit</w:t>
            </w:r>
          </w:p>
        </w:tc>
        <w:tc>
          <w:tcPr/>
          <w:p>
            <w:pPr>
              <w:pStyle w:val="Compact"/>
            </w:pPr>
            <w:r>
              <w:t xml:space="preserve">ตรวจสอบการปฏิบัติตาม retention schedule รายไตรมาส</w:t>
            </w:r>
          </w:p>
        </w:tc>
      </w:tr>
    </w:tbl>
    <w:p>
      <w:pPr>
        <w:pStyle w:val="BodyText"/>
      </w:pPr>
      <w:r>
        <w:t xml:space="preserve">การลบข้อมูลถาวรทุกครั้งต้องมี</w:t>
      </w:r>
      <w:r>
        <w:t xml:space="preserve"> </w:t>
      </w:r>
      <w:r>
        <w:rPr>
          <w:b/>
          <w:bCs/>
        </w:rPr>
        <w:t xml:space="preserve">dual control</w:t>
      </w:r>
      <w:r>
        <w:t xml:space="preserve"> </w:t>
      </w:r>
      <w:r>
        <w:t xml:space="preserve">(ผู้ขอ + ผู้อนุมัติ) และบันทึกลง</w:t>
      </w:r>
      <w:r>
        <w:t xml:space="preserve"> </w:t>
      </w:r>
      <w:r>
        <w:rPr>
          <w:rStyle w:val="VerbatimChar"/>
        </w:rPr>
        <w:t xml:space="preserve">audit_log</w:t>
      </w:r>
      <w:r>
        <w:t xml:space="preserve"> </w:t>
      </w:r>
      <w:r>
        <w:t xml:space="preserve">(append-only)</w:t>
      </w:r>
    </w:p>
    <w:p>
      <w:r>
        <w:pict>
          <v:rect style="width:0;height:1.5pt" o:hralign="center" o:hrstd="t" o:hr="t"/>
        </w:pict>
      </w:r>
    </w:p>
    <w:bookmarkEnd w:id="368"/>
    <w:bookmarkStart w:id="369" w:name="การจดชนขอมล-data-classification"/>
    <w:p>
      <w:pPr>
        <w:pStyle w:val="Heading2"/>
      </w:pPr>
      <w:r>
        <w:t xml:space="preserve">3. การจัดชั้นข้อมูล (Data Classification)</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ชั้น</w:t>
            </w:r>
          </w:p>
        </w:tc>
        <w:tc>
          <w:tcPr/>
          <w:p>
            <w:pPr>
              <w:pStyle w:val="Compact"/>
            </w:pPr>
            <w:r>
              <w:t xml:space="preserve">นิยาม</w:t>
            </w:r>
          </w:p>
        </w:tc>
        <w:tc>
          <w:tcPr/>
          <w:p>
            <w:pPr>
              <w:pStyle w:val="Compact"/>
            </w:pPr>
            <w:r>
              <w:t xml:space="preserve">ตัวอย่าง</w:t>
            </w:r>
          </w:p>
        </w:tc>
      </w:tr>
      <w:tr>
        <w:tc>
          <w:tcPr/>
          <w:p>
            <w:pPr>
              <w:pStyle w:val="Compact"/>
            </w:pPr>
            <w:r>
              <w:rPr>
                <w:b/>
                <w:bCs/>
              </w:rPr>
              <w:t xml:space="preserve">C1 — Cardholder Data (CHD)</w:t>
            </w:r>
          </w:p>
        </w:tc>
        <w:tc>
          <w:tcPr/>
          <w:p>
            <w:pPr>
              <w:pStyle w:val="Compact"/>
            </w:pPr>
            <w:r>
              <w:t xml:space="preserve">ข้อมูลในขอบเขต PCI ที่เก็บได้แบบมีเงื่อนไข</w:t>
            </w:r>
          </w:p>
        </w:tc>
        <w:tc>
          <w:tcPr/>
          <w:p>
            <w:pPr>
              <w:pStyle w:val="Compact"/>
            </w:pPr>
            <w:r>
              <w:t xml:space="preserve">PAN (token/เข้ารหัส), card expiry, cardholder name</w:t>
            </w:r>
          </w:p>
        </w:tc>
      </w:tr>
      <w:tr>
        <w:tc>
          <w:tcPr/>
          <w:p>
            <w:pPr>
              <w:pStyle w:val="Compact"/>
            </w:pPr>
            <w:r>
              <w:rPr>
                <w:b/>
                <w:bCs/>
              </w:rPr>
              <w:t xml:space="preserve">C1S — Sensitive Auth Data (SAD)</w:t>
            </w:r>
          </w:p>
        </w:tc>
        <w:tc>
          <w:tcPr/>
          <w:p>
            <w:pPr>
              <w:pStyle w:val="Compact"/>
            </w:pPr>
            <w:r>
              <w:t xml:space="preserve">ห้ามเก็บหลัง authorization</w:t>
            </w:r>
          </w:p>
        </w:tc>
        <w:tc>
          <w:tcPr/>
          <w:p>
            <w:pPr>
              <w:pStyle w:val="Compact"/>
            </w:pPr>
            <w:r>
              <w:t xml:space="preserve">CVV2/CVC2, full track, PIN/PIN block</w:t>
            </w:r>
          </w:p>
        </w:tc>
      </w:tr>
      <w:tr>
        <w:tc>
          <w:tcPr/>
          <w:p>
            <w:pPr>
              <w:pStyle w:val="Compact"/>
            </w:pPr>
            <w:r>
              <w:rPr>
                <w:b/>
                <w:bCs/>
              </w:rPr>
              <w:t xml:space="preserve">C2 — ข้อมูลส่วนบุคคล (PII)</w:t>
            </w:r>
          </w:p>
        </w:tc>
        <w:tc>
          <w:tcPr/>
          <w:p>
            <w:pPr>
              <w:pStyle w:val="Compact"/>
            </w:pPr>
            <w:r>
              <w:t xml:space="preserve">ตาม PDPA</w:t>
            </w:r>
          </w:p>
        </w:tc>
        <w:tc>
          <w:tcPr/>
          <w:p>
            <w:pPr>
              <w:pStyle w:val="Compact"/>
            </w:pPr>
            <w:r>
              <w:t xml:space="preserve">ชื่อ, อีเมล, เบอร์โทร, เอกสาร KYC ของผู้ถือบัตร/ผู้แทน merchant</w:t>
            </w:r>
          </w:p>
        </w:tc>
      </w:tr>
      <w:tr>
        <w:tc>
          <w:tcPr/>
          <w:p>
            <w:pPr>
              <w:pStyle w:val="Compact"/>
            </w:pPr>
            <w:r>
              <w:rPr>
                <w:b/>
                <w:bCs/>
              </w:rPr>
              <w:t xml:space="preserve">C3 — ข้อมูลธุรกรรมและบัญชี</w:t>
            </w:r>
          </w:p>
        </w:tc>
        <w:tc>
          <w:tcPr/>
          <w:p>
            <w:pPr>
              <w:pStyle w:val="Compact"/>
            </w:pPr>
            <w:r>
              <w:t xml:space="preserve">บันทึกการเงิน/บัญชี</w:t>
            </w:r>
          </w:p>
        </w:tc>
        <w:tc>
          <w:tcPr/>
          <w:p>
            <w:pPr>
              <w:pStyle w:val="Compact"/>
            </w:pPr>
            <w:r>
              <w:t xml:space="preserve">payments, ledger_entries, refunds, settlement</w:t>
            </w:r>
          </w:p>
        </w:tc>
      </w:tr>
      <w:tr>
        <w:tc>
          <w:tcPr/>
          <w:p>
            <w:pPr>
              <w:pStyle w:val="Compact"/>
            </w:pPr>
            <w:r>
              <w:rPr>
                <w:b/>
                <w:bCs/>
              </w:rPr>
              <w:t xml:space="preserve">C4 — ข้อมูลระบบ/ความมั่นคงปลอดภัย</w:t>
            </w:r>
          </w:p>
        </w:tc>
        <w:tc>
          <w:tcPr/>
          <w:p>
            <w:pPr>
              <w:pStyle w:val="Compact"/>
            </w:pPr>
            <w:r>
              <w:t xml:space="preserve">log, audit trail</w:t>
            </w:r>
          </w:p>
        </w:tc>
        <w:tc>
          <w:tcPr/>
          <w:p>
            <w:pPr>
              <w:pStyle w:val="Compact"/>
            </w:pPr>
            <w:r>
              <w:t xml:space="preserve">audit_log, access log, WAF/IDS log</w:t>
            </w:r>
          </w:p>
        </w:tc>
      </w:tr>
      <w:tr>
        <w:tc>
          <w:tcPr/>
          <w:p>
            <w:pPr>
              <w:pStyle w:val="Compact"/>
            </w:pPr>
            <w:r>
              <w:rPr>
                <w:b/>
                <w:bCs/>
              </w:rPr>
              <w:t xml:space="preserve">C5 — ข้อมูล KYC/AML</w:t>
            </w:r>
          </w:p>
        </w:tc>
        <w:tc>
          <w:tcPr/>
          <w:p>
            <w:pPr>
              <w:pStyle w:val="Compact"/>
            </w:pPr>
            <w:r>
              <w:t xml:space="preserve">เอกสารพิสูจน์ตัวตน, screening</w:t>
            </w:r>
          </w:p>
        </w:tc>
        <w:tc>
          <w:tcPr/>
          <w:p>
            <w:pPr>
              <w:pStyle w:val="Compact"/>
            </w:pPr>
            <w:r>
              <w:t xml:space="preserve">CDD/EDD records, sanction screening, STR/SAR</w:t>
            </w:r>
          </w:p>
        </w:tc>
      </w:tr>
    </w:tbl>
    <w:p>
      <w:r>
        <w:pict>
          <v:rect style="width:0;height:1.5pt" o:hralign="center" o:hrstd="t" o:hr="t"/>
        </w:pict>
      </w:r>
    </w:p>
    <w:bookmarkEnd w:id="369"/>
    <w:bookmarkStart w:id="370" w:name="Xb0388e2841fe1b11fffd032c83493ccb01c805a"/>
    <w:p>
      <w:pPr>
        <w:pStyle w:val="Heading2"/>
      </w:pPr>
      <w:r>
        <w:t xml:space="preserve">4. ตารางการเก็บรักษา (Master Retention Schedule)</w:t>
      </w:r>
    </w:p>
    <w:p>
      <w:pPr>
        <w:pStyle w:val="BlockText"/>
      </w:pPr>
      <w:r>
        <w:t xml:space="preserve">ระยะเวลาที่นานที่สุดในบรรดาหน้าที่ตามกฎหมายเป็นตัวกำหนด (longest-applicable-rule wins) เมื่อพ้นกำหนดต้องลบ/ทำลายภายในรอบ purge</w:t>
      </w:r>
    </w:p>
    <w:tbl>
      <w:tblPr>
        <w:tblStyle w:val="Table"/>
        <w:tblW w:type="pct" w:w="5000"/>
        <w:tblLayout w:type="fixed"/>
        <w:tblLook w:firstRow="1" w:lastRow="0" w:firstColumn="0" w:lastColumn="0" w:noHBand="0" w:noVBand="0" w:val="0020"/>
      </w:tblPr>
      <w:tblGrid>
        <w:gridCol w:w="293"/>
        <w:gridCol w:w="1271"/>
        <w:gridCol w:w="586"/>
        <w:gridCol w:w="880"/>
        <w:gridCol w:w="1271"/>
        <w:gridCol w:w="2151"/>
        <w:gridCol w:w="1466"/>
      </w:tblGrid>
      <w:tr>
        <w:trPr>
          <w:tblHeader w:val="on"/>
        </w:trPr>
        <w:tc>
          <w:tcPr/>
          <w:p>
            <w:pPr>
              <w:pStyle w:val="Compact"/>
            </w:pPr>
            <w:r>
              <w:t xml:space="preserve">#</w:t>
            </w:r>
          </w:p>
        </w:tc>
        <w:tc>
          <w:tcPr/>
          <w:p>
            <w:pPr>
              <w:pStyle w:val="Compact"/>
            </w:pPr>
            <w:r>
              <w:t xml:space="preserve">ประเภทข้อมูล</w:t>
            </w:r>
          </w:p>
        </w:tc>
        <w:tc>
          <w:tcPr/>
          <w:p>
            <w:pPr>
              <w:pStyle w:val="Compact"/>
            </w:pPr>
            <w:r>
              <w:t xml:space="preserve">ชั้น</w:t>
            </w:r>
          </w:p>
        </w:tc>
        <w:tc>
          <w:tcPr/>
          <w:p>
            <w:pPr>
              <w:pStyle w:val="Compact"/>
            </w:pPr>
            <w:r>
              <w:t xml:space="preserve">ระยะเก็บ</w:t>
            </w:r>
          </w:p>
        </w:tc>
        <w:tc>
          <w:tcPr/>
          <w:p>
            <w:pPr>
              <w:pStyle w:val="Compact"/>
            </w:pPr>
            <w:r>
              <w:t xml:space="preserve">เริ่มนับจาก</w:t>
            </w:r>
          </w:p>
        </w:tc>
        <w:tc>
          <w:tcPr/>
          <w:p>
            <w:pPr>
              <w:pStyle w:val="Compact"/>
            </w:pPr>
            <w:r>
              <w:t xml:space="preserve">ฐานทางกฎหมาย/เหตุผล</w:t>
            </w:r>
          </w:p>
        </w:tc>
        <w:tc>
          <w:tcPr/>
          <w:p>
            <w:pPr>
              <w:pStyle w:val="Compact"/>
            </w:pPr>
            <w:r>
              <w:t xml:space="preserve">วิธีลบเมื่อครบ</w:t>
            </w:r>
          </w:p>
        </w:tc>
      </w:tr>
      <w:tr>
        <w:tc>
          <w:tcPr/>
          <w:p>
            <w:pPr>
              <w:pStyle w:val="Compact"/>
            </w:pPr>
            <w:r>
              <w:t xml:space="preserve">1</w:t>
            </w:r>
          </w:p>
        </w:tc>
        <w:tc>
          <w:tcPr/>
          <w:p>
            <w:pPr>
              <w:pStyle w:val="Compact"/>
            </w:pPr>
            <w:r>
              <w:rPr>
                <w:b/>
                <w:bCs/>
              </w:rPr>
              <w:t xml:space="preserve">Card token (PAN token) ใน vault</w:t>
            </w:r>
          </w:p>
        </w:tc>
        <w:tc>
          <w:tcPr/>
          <w:p>
            <w:pPr>
              <w:pStyle w:val="Compact"/>
            </w:pPr>
            <w:r>
              <w:t xml:space="preserve">C1</w:t>
            </w:r>
          </w:p>
        </w:tc>
        <w:tc>
          <w:tcPr/>
          <w:p>
            <w:pPr>
              <w:pStyle w:val="Compact"/>
            </w:pPr>
            <w:r>
              <w:rPr>
                <w:b/>
                <w:bCs/>
              </w:rPr>
              <w:t xml:space="preserve">≤ อายุ mandate / สูงสุด 15 เดือน</w:t>
            </w:r>
            <w:r>
              <w:t xml:space="preserve"> </w:t>
            </w:r>
            <w:r>
              <w:t xml:space="preserve">สำหรับ CIT recurring token; single-use token ลบทันทีหลังใช้ (≤ 24 ชม.)</w:t>
            </w:r>
          </w:p>
        </w:tc>
        <w:tc>
          <w:tcPr/>
          <w:p>
            <w:pPr>
              <w:pStyle w:val="Compact"/>
            </w:pPr>
            <w:r>
              <w:t xml:space="preserve">วันสร้าง token / วันใช้ล่าสุด</w:t>
            </w:r>
          </w:p>
        </w:tc>
        <w:tc>
          <w:tcPr/>
          <w:p>
            <w:pPr>
              <w:pStyle w:val="Compact"/>
            </w:pPr>
            <w:r>
              <w:t xml:space="preserve">PCI-DSS 3.2, EMV 3DS/network tokenization mandate; data minimization</w:t>
            </w:r>
          </w:p>
        </w:tc>
        <w:tc>
          <w:tcPr/>
          <w:p>
            <w:pPr>
              <w:pStyle w:val="Compact"/>
            </w:pPr>
            <w:r>
              <w:rPr>
                <w:b/>
                <w:bCs/>
              </w:rPr>
              <w:t xml:space="preserve">Crypto-erasure</w:t>
            </w:r>
            <w:r>
              <w:t xml:space="preserve"> </w:t>
            </w:r>
            <w:r>
              <w:t xml:space="preserve">(ทำลาย DEK) + purge record</w:t>
            </w:r>
          </w:p>
        </w:tc>
      </w:tr>
      <w:tr>
        <w:tc>
          <w:tcPr/>
          <w:p>
            <w:pPr>
              <w:pStyle w:val="Compact"/>
            </w:pPr>
            <w:r>
              <w:t xml:space="preserve">2</w:t>
            </w:r>
          </w:p>
        </w:tc>
        <w:tc>
          <w:tcPr/>
          <w:p>
            <w:pPr>
              <w:pStyle w:val="Compact"/>
            </w:pPr>
            <w:r>
              <w:rPr>
                <w:b/>
                <w:bCs/>
              </w:rPr>
              <w:t xml:space="preserve">PAN เข้ารหัส (ถ้ามีนอก vault)</w:t>
            </w:r>
          </w:p>
        </w:tc>
        <w:tc>
          <w:tcPr/>
          <w:p>
            <w:pPr>
              <w:pStyle w:val="Compact"/>
            </w:pPr>
            <w:r>
              <w:t xml:space="preserve">C1</w:t>
            </w:r>
          </w:p>
        </w:tc>
        <w:tc>
          <w:tcPr/>
          <w:p>
            <w:pPr>
              <w:pStyle w:val="Compact"/>
            </w:pPr>
            <w:r>
              <w:t xml:space="preserve">เท่าที่จำเป็นต่อธุรกรรม ห้ามเกินความจำเป็น</w:t>
            </w:r>
          </w:p>
        </w:tc>
        <w:tc>
          <w:tcPr/>
          <w:p>
            <w:pPr>
              <w:pStyle w:val="Compact"/>
            </w:pPr>
            <w:r>
              <w:t xml:space="preserve">วันธุรกรรม</w:t>
            </w:r>
          </w:p>
        </w:tc>
        <w:tc>
          <w:tcPr/>
          <w:p>
            <w:pPr>
              <w:pStyle w:val="Compact"/>
            </w:pPr>
            <w:r>
              <w:t xml:space="preserve">PCI-DSS 3.2.1</w:t>
            </w:r>
          </w:p>
        </w:tc>
        <w:tc>
          <w:tcPr/>
          <w:p>
            <w:pPr>
              <w:pStyle w:val="Compact"/>
            </w:pPr>
            <w:r>
              <w:t xml:space="preserve">Crypto-erasure</w:t>
            </w:r>
          </w:p>
        </w:tc>
      </w:tr>
      <w:tr>
        <w:tc>
          <w:tcPr/>
          <w:p>
            <w:pPr>
              <w:pStyle w:val="Compact"/>
            </w:pPr>
            <w:r>
              <w:t xml:space="preserve">3</w:t>
            </w:r>
          </w:p>
        </w:tc>
        <w:tc>
          <w:tcPr/>
          <w:p>
            <w:pPr>
              <w:pStyle w:val="Compact"/>
            </w:pPr>
            <w:r>
              <w:rPr>
                <w:b/>
                <w:bCs/>
              </w:rPr>
              <w:t xml:space="preserve">Sensitive Auth Data (CVV2/track/PIN)</w:t>
            </w:r>
          </w:p>
        </w:tc>
        <w:tc>
          <w:tcPr/>
          <w:p>
            <w:pPr>
              <w:pStyle w:val="Compact"/>
            </w:pPr>
            <w:r>
              <w:t xml:space="preserve">C1S</w:t>
            </w:r>
          </w:p>
        </w:tc>
        <w:tc>
          <w:tcPr/>
          <w:p>
            <w:pPr>
              <w:pStyle w:val="Compact"/>
            </w:pPr>
            <w:r>
              <w:rPr>
                <w:b/>
                <w:bCs/>
              </w:rPr>
              <w:t xml:space="preserve">0 (ห้ามเก็บ)</w:t>
            </w:r>
            <w:r>
              <w:t xml:space="preserve"> </w:t>
            </w:r>
            <w:r>
              <w:t xml:space="preserve">— ลบทันทีหลัง authorization</w:t>
            </w:r>
          </w:p>
        </w:tc>
        <w:tc>
          <w:tcPr/>
          <w:p>
            <w:pPr>
              <w:pStyle w:val="Compact"/>
            </w:pPr>
            <w:r>
              <w:t xml:space="preserve">—</w:t>
            </w:r>
          </w:p>
        </w:tc>
        <w:tc>
          <w:tcPr/>
          <w:p>
            <w:pPr>
              <w:pStyle w:val="Compact"/>
            </w:pPr>
            <w:r>
              <w:t xml:space="preserve">PCI-DSS 3.3.1 (ห้ามเก็บ SAD หลัง auth)</w:t>
            </w:r>
          </w:p>
        </w:tc>
        <w:tc>
          <w:tcPr/>
          <w:p>
            <w:pPr>
              <w:pStyle w:val="Compact"/>
            </w:pPr>
            <w:r>
              <w:t xml:space="preserve">ไม่ persist; memory-scrub</w:t>
            </w:r>
          </w:p>
        </w:tc>
      </w:tr>
      <w:tr>
        <w:tc>
          <w:tcPr/>
          <w:p>
            <w:pPr>
              <w:pStyle w:val="Compact"/>
            </w:pPr>
            <w:r>
              <w:t xml:space="preserve">4</w:t>
            </w:r>
          </w:p>
        </w:tc>
        <w:tc>
          <w:tcPr/>
          <w:p>
            <w:pPr>
              <w:pStyle w:val="Compact"/>
            </w:pPr>
            <w:r>
              <w:rPr>
                <w:b/>
                <w:bCs/>
              </w:rPr>
              <w:t xml:space="preserve">payments / refunds (บันทึกธุรกรรม)</w:t>
            </w:r>
          </w:p>
        </w:tc>
        <w:tc>
          <w:tcPr/>
          <w:p>
            <w:pPr>
              <w:pStyle w:val="Compact"/>
            </w:pPr>
            <w:r>
              <w:t xml:space="preserve">C3</w:t>
            </w:r>
          </w:p>
        </w:tc>
        <w:tc>
          <w:tcPr/>
          <w:p>
            <w:pPr>
              <w:pStyle w:val="Compact"/>
            </w:pPr>
            <w:r>
              <w:rPr>
                <w:b/>
                <w:bCs/>
              </w:rPr>
              <w:t xml:space="preserve">10 ปี</w:t>
            </w:r>
          </w:p>
        </w:tc>
        <w:tc>
          <w:tcPr/>
          <w:p>
            <w:pPr>
              <w:pStyle w:val="Compact"/>
            </w:pPr>
            <w:r>
              <w:t xml:space="preserve">สิ้นปีบัญชีของธุรกรรม</w:t>
            </w:r>
          </w:p>
        </w:tc>
        <w:tc>
          <w:tcPr/>
          <w:p>
            <w:pPr>
              <w:pStyle w:val="Compact"/>
            </w:pPr>
            <w:r>
              <w:t xml:space="preserve">ป.พ.พ. อายุความ + ปปง./AMLO เก็บ 5 ปี + มาตรฐานบัญชี/ภาษี (ปกติ 5 ปี, ใช้เกณฑ์นานสุด)</w:t>
            </w:r>
          </w:p>
        </w:tc>
        <w:tc>
          <w:tcPr/>
          <w:p>
            <w:pPr>
              <w:pStyle w:val="Compact"/>
            </w:pPr>
            <w:r>
              <w:t xml:space="preserve">Soft-delete → hard purge</w:t>
            </w:r>
          </w:p>
        </w:tc>
      </w:tr>
      <w:tr>
        <w:tc>
          <w:tcPr/>
          <w:p>
            <w:pPr>
              <w:pStyle w:val="Compact"/>
            </w:pPr>
            <w:r>
              <w:t xml:space="preserve">5</w:t>
            </w:r>
          </w:p>
        </w:tc>
        <w:tc>
          <w:tcPr/>
          <w:p>
            <w:pPr>
              <w:pStyle w:val="Compact"/>
            </w:pPr>
            <w:r>
              <w:rPr>
                <w:b/>
                <w:bCs/>
              </w:rPr>
              <w:t xml:space="preserve">ledger_entries (append-only)</w:t>
            </w:r>
          </w:p>
        </w:tc>
        <w:tc>
          <w:tcPr/>
          <w:p>
            <w:pPr>
              <w:pStyle w:val="Compact"/>
            </w:pPr>
            <w:r>
              <w:t xml:space="preserve">C3</w:t>
            </w:r>
          </w:p>
        </w:tc>
        <w:tc>
          <w:tcPr/>
          <w:p>
            <w:pPr>
              <w:pStyle w:val="Compact"/>
            </w:pPr>
            <w:r>
              <w:rPr>
                <w:b/>
                <w:bCs/>
              </w:rPr>
              <w:t xml:space="preserve">10 ปี</w:t>
            </w:r>
          </w:p>
        </w:tc>
        <w:tc>
          <w:tcPr/>
          <w:p>
            <w:pPr>
              <w:pStyle w:val="Compact"/>
            </w:pPr>
            <w:r>
              <w:t xml:space="preserve">วันลงรายการ</w:t>
            </w:r>
          </w:p>
        </w:tc>
        <w:tc>
          <w:tcPr/>
          <w:p>
            <w:pPr>
              <w:pStyle w:val="Compact"/>
            </w:pPr>
            <w:r>
              <w:t xml:space="preserve">source of truth สำหรับ settlement/reconciliation; audit ธปท.</w:t>
            </w:r>
          </w:p>
        </w:tc>
        <w:tc>
          <w:tcPr/>
          <w:p>
            <w:pPr>
              <w:pStyle w:val="Compact"/>
            </w:pPr>
            <w:r>
              <w:t xml:space="preserve">Archive → purge</w:t>
            </w:r>
          </w:p>
        </w:tc>
      </w:tr>
      <w:tr>
        <w:tc>
          <w:tcPr/>
          <w:p>
            <w:pPr>
              <w:pStyle w:val="Compact"/>
            </w:pPr>
            <w:r>
              <w:t xml:space="preserve">6</w:t>
            </w:r>
          </w:p>
        </w:tc>
        <w:tc>
          <w:tcPr/>
          <w:p>
            <w:pPr>
              <w:pStyle w:val="Compact"/>
            </w:pPr>
            <w:r>
              <w:rPr>
                <w:b/>
                <w:bCs/>
              </w:rPr>
              <w:t xml:space="preserve">card_last4 / card_brand</w:t>
            </w:r>
          </w:p>
        </w:tc>
        <w:tc>
          <w:tcPr/>
          <w:p>
            <w:pPr>
              <w:pStyle w:val="Compact"/>
            </w:pPr>
            <w:r>
              <w:t xml:space="preserve">C2</w:t>
            </w:r>
          </w:p>
        </w:tc>
        <w:tc>
          <w:tcPr/>
          <w:p>
            <w:pPr>
              <w:pStyle w:val="Compact"/>
            </w:pPr>
            <w:r>
              <w:t xml:space="preserve">ตามอายุ payment (สูงสุด 10 ปี)</w:t>
            </w:r>
          </w:p>
        </w:tc>
        <w:tc>
          <w:tcPr/>
          <w:p>
            <w:pPr>
              <w:pStyle w:val="Compact"/>
            </w:pPr>
            <w:r>
              <w:t xml:space="preserve">วันธุรกรรม</w:t>
            </w:r>
          </w:p>
        </w:tc>
        <w:tc>
          <w:tcPr/>
          <w:p>
            <w:pPr>
              <w:pStyle w:val="Compact"/>
            </w:pPr>
            <w:r>
              <w:t xml:space="preserve">แสดงผล/dispute; ไม่ใช่ CHD เต็ม</w:t>
            </w:r>
          </w:p>
        </w:tc>
        <w:tc>
          <w:tcPr/>
          <w:p>
            <w:pPr>
              <w:pStyle w:val="Compact"/>
            </w:pPr>
            <w:r>
              <w:t xml:space="preserve">Purge พร้อม payment</w:t>
            </w:r>
          </w:p>
        </w:tc>
      </w:tr>
      <w:tr>
        <w:tc>
          <w:tcPr/>
          <w:p>
            <w:pPr>
              <w:pStyle w:val="Compact"/>
            </w:pPr>
            <w:r>
              <w:t xml:space="preserve">7</w:t>
            </w:r>
          </w:p>
        </w:tc>
        <w:tc>
          <w:tcPr/>
          <w:p>
            <w:pPr>
              <w:pStyle w:val="Compact"/>
            </w:pPr>
            <w:r>
              <w:rPr>
                <w:b/>
                <w:bCs/>
              </w:rPr>
              <w:t xml:space="preserve">KYC/CDD/EDD ของ merchant &amp; ผู้แทน</w:t>
            </w:r>
          </w:p>
        </w:tc>
        <w:tc>
          <w:tcPr/>
          <w:p>
            <w:pPr>
              <w:pStyle w:val="Compact"/>
            </w:pPr>
            <w:r>
              <w:t xml:space="preserve">C5</w:t>
            </w:r>
          </w:p>
        </w:tc>
        <w:tc>
          <w:tcPr/>
          <w:p>
            <w:pPr>
              <w:pStyle w:val="Compact"/>
            </w:pPr>
            <w:r>
              <w:rPr>
                <w:b/>
                <w:bCs/>
              </w:rPr>
              <w:t xml:space="preserve">10 ปี หลังยุติความสัมพันธ์</w:t>
            </w:r>
            <w:r>
              <w:t xml:space="preserve"> </w:t>
            </w:r>
            <w:r>
              <w:t xml:space="preserve">(ขั้นต่ำ 5 ปี ตาม ปปง.)</w:t>
            </w:r>
          </w:p>
        </w:tc>
        <w:tc>
          <w:tcPr/>
          <w:p>
            <w:pPr>
              <w:pStyle w:val="Compact"/>
            </w:pPr>
            <w:r>
              <w:t xml:space="preserve">วันปิดบัญชี merchant</w:t>
            </w:r>
          </w:p>
        </w:tc>
        <w:tc>
          <w:tcPr/>
          <w:p>
            <w:pPr>
              <w:pStyle w:val="Compact"/>
            </w:pPr>
            <w:r>
              <w:t xml:space="preserve">พ.ร.บ. ปปง. ม.22 (เก็บ ≥ 5 ปี); ธปท. outsourcing/AML</w:t>
            </w:r>
          </w:p>
        </w:tc>
        <w:tc>
          <w:tcPr/>
          <w:p>
            <w:pPr>
              <w:pStyle w:val="Compact"/>
            </w:pPr>
            <w:r>
              <w:t xml:space="preserve">Secure delete เอกสาร + record</w:t>
            </w:r>
          </w:p>
        </w:tc>
      </w:tr>
      <w:tr>
        <w:tc>
          <w:tcPr/>
          <w:p>
            <w:pPr>
              <w:pStyle w:val="Compact"/>
            </w:pPr>
            <w:r>
              <w:t xml:space="preserve">8</w:t>
            </w:r>
          </w:p>
        </w:tc>
        <w:tc>
          <w:tcPr/>
          <w:p>
            <w:pPr>
              <w:pStyle w:val="Compact"/>
            </w:pPr>
            <w:r>
              <w:rPr>
                <w:b/>
                <w:bCs/>
              </w:rPr>
              <w:t xml:space="preserve">STR/SAR &amp; sanction screening logs</w:t>
            </w:r>
          </w:p>
        </w:tc>
        <w:tc>
          <w:tcPr/>
          <w:p>
            <w:pPr>
              <w:pStyle w:val="Compact"/>
            </w:pPr>
            <w:r>
              <w:t xml:space="preserve">C5</w:t>
            </w:r>
          </w:p>
        </w:tc>
        <w:tc>
          <w:tcPr/>
          <w:p>
            <w:pPr>
              <w:pStyle w:val="Compact"/>
            </w:pPr>
            <w:r>
              <w:rPr>
                <w:b/>
                <w:bCs/>
              </w:rPr>
              <w:t xml:space="preserve">10 ปี</w:t>
            </w:r>
          </w:p>
        </w:tc>
        <w:tc>
          <w:tcPr/>
          <w:p>
            <w:pPr>
              <w:pStyle w:val="Compact"/>
            </w:pPr>
            <w:r>
              <w:t xml:space="preserve">วันรายงาน/วัน screen</w:t>
            </w:r>
          </w:p>
        </w:tc>
        <w:tc>
          <w:tcPr/>
          <w:p>
            <w:pPr>
              <w:pStyle w:val="Compact"/>
            </w:pPr>
            <w:r>
              <w:t xml:space="preserve">ปปง./AMLO</w:t>
            </w:r>
          </w:p>
        </w:tc>
        <w:tc>
          <w:tcPr/>
          <w:p>
            <w:pPr>
              <w:pStyle w:val="Compact"/>
            </w:pPr>
            <w:r>
              <w:t xml:space="preserve">Secure delete</w:t>
            </w:r>
          </w:p>
        </w:tc>
      </w:tr>
      <w:tr>
        <w:tc>
          <w:tcPr/>
          <w:p>
            <w:pPr>
              <w:pStyle w:val="Compact"/>
            </w:pPr>
            <w:r>
              <w:t xml:space="preserve">9</w:t>
            </w:r>
          </w:p>
        </w:tc>
        <w:tc>
          <w:tcPr/>
          <w:p>
            <w:pPr>
              <w:pStyle w:val="Compact"/>
            </w:pPr>
            <w:r>
              <w:rPr>
                <w:b/>
                <w:bCs/>
              </w:rPr>
              <w:t xml:space="preserve">audit_log (การเปลี่ยนสถานะทุกอย่าง)</w:t>
            </w:r>
          </w:p>
        </w:tc>
        <w:tc>
          <w:tcPr/>
          <w:p>
            <w:pPr>
              <w:pStyle w:val="Compact"/>
            </w:pPr>
            <w:r>
              <w:t xml:space="preserve">C4</w:t>
            </w:r>
          </w:p>
        </w:tc>
        <w:tc>
          <w:tcPr/>
          <w:p>
            <w:pPr>
              <w:pStyle w:val="Compact"/>
            </w:pPr>
            <w:r>
              <w:rPr>
                <w:b/>
                <w:bCs/>
              </w:rPr>
              <w:t xml:space="preserve">≥ 12 เดือน online + รวม 10 ปี archive</w:t>
            </w:r>
            <w:r>
              <w:t xml:space="preserve"> </w:t>
            </w:r>
            <w:r>
              <w:t xml:space="preserve">(อย่างน้อย 3 เดือนล่าสุดพร้อมสืบค้นทันที)</w:t>
            </w:r>
          </w:p>
        </w:tc>
        <w:tc>
          <w:tcPr/>
          <w:p>
            <w:pPr>
              <w:pStyle w:val="Compact"/>
            </w:pPr>
            <w:r>
              <w:t xml:space="preserve">วันเกิด event</w:t>
            </w:r>
          </w:p>
        </w:tc>
        <w:tc>
          <w:tcPr/>
          <w:p>
            <w:pPr>
              <w:pStyle w:val="Compact"/>
            </w:pPr>
            <w:r>
              <w:t xml:space="preserve">PCI-DSS 10.5.1 (≥12 เดือน, 3 เดือน readily available); ธปท. audit</w:t>
            </w:r>
          </w:p>
        </w:tc>
        <w:tc>
          <w:tcPr/>
          <w:p>
            <w:pPr>
              <w:pStyle w:val="Compact"/>
            </w:pPr>
            <w:r>
              <w:t xml:space="preserve">Immutable → purge</w:t>
            </w:r>
          </w:p>
        </w:tc>
      </w:tr>
      <w:tr>
        <w:tc>
          <w:tcPr/>
          <w:p>
            <w:pPr>
              <w:pStyle w:val="Compact"/>
            </w:pPr>
            <w:r>
              <w:t xml:space="preserve">10</w:t>
            </w:r>
          </w:p>
        </w:tc>
        <w:tc>
          <w:tcPr/>
          <w:p>
            <w:pPr>
              <w:pStyle w:val="Compact"/>
            </w:pPr>
            <w:r>
              <w:rPr>
                <w:b/>
                <w:bCs/>
              </w:rPr>
              <w:t xml:space="preserve">Access / authentication logs</w:t>
            </w:r>
          </w:p>
        </w:tc>
        <w:tc>
          <w:tcPr/>
          <w:p>
            <w:pPr>
              <w:pStyle w:val="Compact"/>
            </w:pPr>
            <w:r>
              <w:t xml:space="preserve">C4</w:t>
            </w:r>
          </w:p>
        </w:tc>
        <w:tc>
          <w:tcPr/>
          <w:p>
            <w:pPr>
              <w:pStyle w:val="Compact"/>
            </w:pPr>
            <w:r>
              <w:rPr>
                <w:b/>
                <w:bCs/>
              </w:rPr>
              <w:t xml:space="preserve">≥ 12 เดือน</w:t>
            </w:r>
          </w:p>
        </w:tc>
        <w:tc>
          <w:tcPr/>
          <w:p>
            <w:pPr>
              <w:pStyle w:val="Compact"/>
            </w:pPr>
            <w:r>
              <w:t xml:space="preserve">วันเกิด event</w:t>
            </w:r>
          </w:p>
        </w:tc>
        <w:tc>
          <w:tcPr/>
          <w:p>
            <w:pPr>
              <w:pStyle w:val="Compact"/>
            </w:pPr>
            <w:r>
              <w:t xml:space="preserve">PCI-DSS 10.5.1</w:t>
            </w:r>
          </w:p>
        </w:tc>
        <w:tc>
          <w:tcPr/>
          <w:p>
            <w:pPr>
              <w:pStyle w:val="Compact"/>
            </w:pPr>
            <w:r>
              <w:t xml:space="preserve">Purge</w:t>
            </w:r>
          </w:p>
        </w:tc>
      </w:tr>
      <w:tr>
        <w:tc>
          <w:tcPr/>
          <w:p>
            <w:pPr>
              <w:pStyle w:val="Compact"/>
            </w:pPr>
            <w:r>
              <w:t xml:space="preserve">11</w:t>
            </w:r>
          </w:p>
        </w:tc>
        <w:tc>
          <w:tcPr/>
          <w:p>
            <w:pPr>
              <w:pStyle w:val="Compact"/>
            </w:pPr>
            <w:r>
              <w:rPr>
                <w:b/>
                <w:bCs/>
              </w:rPr>
              <w:t xml:space="preserve">Application / infra / WAF / IDS logs</w:t>
            </w:r>
          </w:p>
        </w:tc>
        <w:tc>
          <w:tcPr/>
          <w:p>
            <w:pPr>
              <w:pStyle w:val="Compact"/>
            </w:pPr>
            <w:r>
              <w:t xml:space="preserve">C4</w:t>
            </w:r>
          </w:p>
        </w:tc>
        <w:tc>
          <w:tcPr/>
          <w:p>
            <w:pPr>
              <w:pStyle w:val="Compact"/>
            </w:pPr>
            <w:r>
              <w:t xml:space="preserve">12–18 เดือน</w:t>
            </w:r>
          </w:p>
        </w:tc>
        <w:tc>
          <w:tcPr/>
          <w:p>
            <w:pPr>
              <w:pStyle w:val="Compact"/>
            </w:pPr>
            <w:r>
              <w:t xml:space="preserve">วันเกิด event</w:t>
            </w:r>
          </w:p>
        </w:tc>
        <w:tc>
          <w:tcPr/>
          <w:p>
            <w:pPr>
              <w:pStyle w:val="Compact"/>
            </w:pPr>
            <w:r>
              <w:t xml:space="preserve">security monitoring, forensics</w:t>
            </w:r>
          </w:p>
        </w:tc>
        <w:tc>
          <w:tcPr/>
          <w:p>
            <w:pPr>
              <w:pStyle w:val="Compact"/>
            </w:pPr>
            <w:r>
              <w:t xml:space="preserve">Purge/rotate</w:t>
            </w:r>
          </w:p>
        </w:tc>
      </w:tr>
      <w:tr>
        <w:tc>
          <w:tcPr/>
          <w:p>
            <w:pPr>
              <w:pStyle w:val="Compact"/>
            </w:pPr>
            <w:r>
              <w:t xml:space="preserve">12</w:t>
            </w:r>
          </w:p>
        </w:tc>
        <w:tc>
          <w:tcPr/>
          <w:p>
            <w:pPr>
              <w:pStyle w:val="Compact"/>
            </w:pPr>
            <w:r>
              <w:rPr>
                <w:b/>
                <w:bCs/>
              </w:rPr>
              <w:t xml:space="preserve">webhook_events</w:t>
            </w:r>
          </w:p>
        </w:tc>
        <w:tc>
          <w:tcPr/>
          <w:p>
            <w:pPr>
              <w:pStyle w:val="Compact"/>
            </w:pPr>
            <w:r>
              <w:t xml:space="preserve">C3</w:t>
            </w:r>
          </w:p>
        </w:tc>
        <w:tc>
          <w:tcPr/>
          <w:p>
            <w:pPr>
              <w:pStyle w:val="Compact"/>
            </w:pPr>
            <w:r>
              <w:t xml:space="preserve">90 วัน (payload) / metadata 10 ปี</w:t>
            </w:r>
          </w:p>
        </w:tc>
        <w:tc>
          <w:tcPr/>
          <w:p>
            <w:pPr>
              <w:pStyle w:val="Compact"/>
            </w:pPr>
            <w:r>
              <w:t xml:space="preserve">วันสร้าง</w:t>
            </w:r>
          </w:p>
        </w:tc>
        <w:tc>
          <w:tcPr/>
          <w:p>
            <w:pPr>
              <w:pStyle w:val="Compact"/>
            </w:pPr>
            <w:r>
              <w:t xml:space="preserve">operational retry + reconciliation</w:t>
            </w:r>
          </w:p>
        </w:tc>
        <w:tc>
          <w:tcPr/>
          <w:p>
            <w:pPr>
              <w:pStyle w:val="Compact"/>
            </w:pPr>
            <w:r>
              <w:t xml:space="preserve">Purge payload</w:t>
            </w:r>
          </w:p>
        </w:tc>
      </w:tr>
      <w:tr>
        <w:tc>
          <w:tcPr/>
          <w:p>
            <w:pPr>
              <w:pStyle w:val="Compact"/>
            </w:pPr>
            <w:r>
              <w:t xml:space="preserve">13</w:t>
            </w:r>
          </w:p>
        </w:tc>
        <w:tc>
          <w:tcPr/>
          <w:p>
            <w:pPr>
              <w:pStyle w:val="Compact"/>
            </w:pPr>
            <w:r>
              <w:rPr>
                <w:b/>
                <w:bCs/>
              </w:rPr>
              <w:t xml:space="preserve">ข้อมูล 3DS (EMV 3DS auth result, ECI, DS/ACS ref)</w:t>
            </w:r>
          </w:p>
        </w:tc>
        <w:tc>
          <w:tcPr/>
          <w:p>
            <w:pPr>
              <w:pStyle w:val="Compact"/>
            </w:pPr>
            <w:r>
              <w:t xml:space="preserve">C2/C3</w:t>
            </w:r>
          </w:p>
        </w:tc>
        <w:tc>
          <w:tcPr/>
          <w:p>
            <w:pPr>
              <w:pStyle w:val="Compact"/>
            </w:pPr>
            <w:r>
              <w:t xml:space="preserve">เก็บ</w:t>
            </w:r>
            <w:r>
              <w:t xml:space="preserve"> </w:t>
            </w:r>
            <w:r>
              <w:rPr>
                <w:b/>
                <w:bCs/>
              </w:rPr>
              <w:t xml:space="preserve">ผลลัพธ์/หลักฐาน liability shift 13 เดือน+</w:t>
            </w:r>
            <w:r>
              <w:t xml:space="preserve"> </w:t>
            </w:r>
            <w:r>
              <w:t xml:space="preserve">(ครอบคลุมรอบ chargeback); ไม่เก็บ CAVV ดิบเกินจำเป็น</w:t>
            </w:r>
          </w:p>
        </w:tc>
        <w:tc>
          <w:tcPr/>
          <w:p>
            <w:pPr>
              <w:pStyle w:val="Compact"/>
            </w:pPr>
            <w:r>
              <w:t xml:space="preserve">วัน authenticate</w:t>
            </w:r>
          </w:p>
        </w:tc>
        <w:tc>
          <w:tcPr/>
          <w:p>
            <w:pPr>
              <w:pStyle w:val="Compact"/>
            </w:pPr>
            <w:r>
              <w:t xml:space="preserve">หลักฐาน chargeback/dispute (Visa/Mastercard ~120–540 วัน)</w:t>
            </w:r>
          </w:p>
        </w:tc>
        <w:tc>
          <w:tcPr/>
          <w:p>
            <w:pPr>
              <w:pStyle w:val="Compact"/>
            </w:pPr>
            <w:r>
              <w:t xml:space="preserve">Purge</w:t>
            </w:r>
          </w:p>
        </w:tc>
      </w:tr>
      <w:tr>
        <w:tc>
          <w:tcPr/>
          <w:p>
            <w:pPr>
              <w:pStyle w:val="Compact"/>
            </w:pPr>
            <w:r>
              <w:t xml:space="preserve">14</w:t>
            </w:r>
          </w:p>
        </w:tc>
        <w:tc>
          <w:tcPr/>
          <w:p>
            <w:pPr>
              <w:pStyle w:val="Compact"/>
            </w:pPr>
            <w:r>
              <w:rPr>
                <w:b/>
                <w:bCs/>
              </w:rPr>
              <w:t xml:space="preserve">Backup / snapshot</w:t>
            </w:r>
          </w:p>
        </w:tc>
        <w:tc>
          <w:tcPr/>
          <w:p>
            <w:pPr>
              <w:pStyle w:val="Compact"/>
            </w:pPr>
            <w:r>
              <w:t xml:space="preserve">ตามข้อมูลต้นทาง</w:t>
            </w:r>
          </w:p>
        </w:tc>
        <w:tc>
          <w:tcPr/>
          <w:p>
            <w:pPr>
              <w:pStyle w:val="Compact"/>
            </w:pPr>
            <w:r>
              <w:t xml:space="preserve">≤ 35 วัน (operational) + archive ตามข้อ 4/5</w:t>
            </w:r>
          </w:p>
        </w:tc>
        <w:tc>
          <w:tcPr/>
          <w:p>
            <w:pPr>
              <w:pStyle w:val="Compact"/>
            </w:pPr>
            <w:r>
              <w:t xml:space="preserve">วันสร้าง backup</w:t>
            </w:r>
          </w:p>
        </w:tc>
        <w:tc>
          <w:tcPr/>
          <w:p>
            <w:pPr>
              <w:pStyle w:val="Compact"/>
            </w:pPr>
            <w:r>
              <w:t xml:space="preserve">RPO ≤ 5 นาที (ARCHITECTURE §8); DR</w:t>
            </w:r>
          </w:p>
        </w:tc>
        <w:tc>
          <w:tcPr/>
          <w:p>
            <w:pPr>
              <w:pStyle w:val="Compact"/>
            </w:pPr>
            <w:r>
              <w:t xml:space="preserve">Crypto-erasure ของ backup key</w:t>
            </w:r>
          </w:p>
        </w:tc>
      </w:tr>
      <w:tr>
        <w:tc>
          <w:tcPr/>
          <w:p>
            <w:pPr>
              <w:pStyle w:val="Compact"/>
            </w:pPr>
            <w:r>
              <w:t xml:space="preserve">15</w:t>
            </w:r>
          </w:p>
        </w:tc>
        <w:tc>
          <w:tcPr/>
          <w:p>
            <w:pPr>
              <w:pStyle w:val="Compact"/>
            </w:pPr>
            <w:r>
              <w:rPr>
                <w:b/>
                <w:bCs/>
              </w:rPr>
              <w:t xml:space="preserve">PII ที่ merchant/ผู้ใช้ขอลบ (DSAR)</w:t>
            </w:r>
          </w:p>
        </w:tc>
        <w:tc>
          <w:tcPr/>
          <w:p>
            <w:pPr>
              <w:pStyle w:val="Compact"/>
            </w:pPr>
            <w:r>
              <w:t xml:space="preserve">C2</w:t>
            </w:r>
          </w:p>
        </w:tc>
        <w:tc>
          <w:tcPr/>
          <w:p>
            <w:pPr>
              <w:pStyle w:val="Compact"/>
            </w:pPr>
            <w:r>
              <w:t xml:space="preserve">ลบภายใน</w:t>
            </w:r>
            <w:r>
              <w:t xml:space="preserve"> </w:t>
            </w:r>
            <w:r>
              <w:rPr>
                <w:b/>
                <w:bCs/>
              </w:rPr>
              <w:t xml:space="preserve">30 วัน</w:t>
            </w:r>
            <w:r>
              <w:t xml:space="preserve"> </w:t>
            </w:r>
            <w:r>
              <w:t xml:space="preserve">เว้นแต่มีหน้าที่เก็บตามกฎหมาย</w:t>
            </w:r>
          </w:p>
        </w:tc>
        <w:tc>
          <w:tcPr/>
          <w:p>
            <w:pPr>
              <w:pStyle w:val="Compact"/>
            </w:pPr>
            <w:r>
              <w:t xml:space="preserve">วันรับคำขอ</w:t>
            </w:r>
          </w:p>
        </w:tc>
        <w:tc>
          <w:tcPr/>
          <w:p>
            <w:pPr>
              <w:pStyle w:val="Compact"/>
            </w:pPr>
            <w:r>
              <w:t xml:space="preserve">PDPA ม.33 (สิทธิขอลบ)</w:t>
            </w:r>
          </w:p>
        </w:tc>
        <w:tc>
          <w:tcPr/>
          <w:p>
            <w:pPr>
              <w:pStyle w:val="Compact"/>
            </w:pPr>
            <w:r>
              <w:t xml:space="preserve">Secure delete/anonymize</w:t>
            </w:r>
          </w:p>
        </w:tc>
      </w:tr>
    </w:tbl>
    <w:p>
      <w:pPr>
        <w:pStyle w:val="BlockText"/>
      </w:pPr>
      <w:r>
        <w:rPr>
          <w:b/>
          <w:bCs/>
        </w:rPr>
        <w:t xml:space="preserve">การชนกันของกฎ (conflict):</w:t>
      </w:r>
      <w:r>
        <w:t xml:space="preserve"> </w:t>
      </w:r>
      <w:r>
        <w:t xml:space="preserve">หากมีหน้าที่เก็บตามกฎหมาย (เช่น ปปง. หรือ legal hold) คำขอลบตาม PDPA</w:t>
      </w:r>
      <w:r>
        <w:t xml:space="preserve"> </w:t>
      </w:r>
      <w:r>
        <w:t xml:space="preserve">จะถูก</w:t>
      </w:r>
      <w:r>
        <w:t xml:space="preserve"> </w:t>
      </w:r>
      <w:r>
        <w:rPr>
          <w:b/>
          <w:bCs/>
        </w:rPr>
        <w:t xml:space="preserve">ระงับเฉพาะข้อมูลส่วนที่มีหน้าที่เก็บ</w:t>
      </w:r>
      <w:r>
        <w:t xml:space="preserve"> </w:t>
      </w:r>
      <w:r>
        <w:t xml:space="preserve">และแจ้งเจ้าของข้อมูลถึงเหตุผลตาม PDPA ม.33 วรรคท้าย</w:t>
      </w:r>
    </w:p>
    <w:p>
      <w:r>
        <w:pict>
          <v:rect style="width:0;height:1.5pt" o:hralign="center" o:hrstd="t" o:hr="t"/>
        </w:pict>
      </w:r>
    </w:p>
    <w:bookmarkEnd w:id="370"/>
    <w:bookmarkStart w:id="371" w:name="X80171672e4aa16143278c6d5c7dd04527e8339b"/>
    <w:p>
      <w:pPr>
        <w:pStyle w:val="Heading2"/>
      </w:pPr>
      <w:r>
        <w:t xml:space="preserve">5. เพดานการเก็บ Card Token (Card Token Retention Limits)</w:t>
      </w:r>
    </w:p>
    <w:p>
      <w:pPr>
        <w:pStyle w:val="Compact"/>
        <w:numPr>
          <w:ilvl w:val="0"/>
          <w:numId w:val="1154"/>
        </w:numPr>
      </w:pPr>
      <w:r>
        <w:rPr>
          <w:b/>
          <w:bCs/>
        </w:rPr>
        <w:t xml:space="preserve">Single-use / one-time token</w:t>
      </w:r>
      <w:r>
        <w:t xml:space="preserve"> </w:t>
      </w:r>
      <w:r>
        <w:t xml:space="preserve">(จากขั้นตอน</w:t>
      </w:r>
      <w:r>
        <w:t xml:space="preserve"> </w:t>
      </w:r>
      <w:r>
        <w:rPr>
          <w:rStyle w:val="VerbatimChar"/>
        </w:rPr>
        <w:t xml:space="preserve">POST /v1/payments</w:t>
      </w:r>
      <w:r>
        <w:t xml:space="preserve"> </w:t>
      </w:r>
      <w:r>
        <w:t xml:space="preserve">ตาม ARCHITECTURE §5.1): ใช้ครั้งเดียวและ</w:t>
      </w:r>
      <w:r>
        <w:t xml:space="preserve"> </w:t>
      </w:r>
      <w:r>
        <w:rPr>
          <w:b/>
          <w:bCs/>
        </w:rPr>
        <w:t xml:space="preserve">หมดอายุอัตโนมัติภายใน 15 นาที</w:t>
      </w:r>
      <w:r>
        <w:t xml:space="preserve"> </w:t>
      </w:r>
      <w:r>
        <w:t xml:space="preserve">หากไม่ถูกใช้ และถูก</w:t>
      </w:r>
      <w:r>
        <w:t xml:space="preserve"> </w:t>
      </w:r>
      <w:r>
        <w:rPr>
          <w:b/>
          <w:bCs/>
        </w:rPr>
        <w:t xml:space="preserve">ลบภายใน 24 ชั่วโมง</w:t>
      </w:r>
      <w:r>
        <w:t xml:space="preserve"> </w:t>
      </w:r>
      <w:r>
        <w:t xml:space="preserve">หลังธุรกรรมจบ</w:t>
      </w:r>
    </w:p>
    <w:p>
      <w:pPr>
        <w:pStyle w:val="Compact"/>
        <w:numPr>
          <w:ilvl w:val="0"/>
          <w:numId w:val="1154"/>
        </w:numPr>
      </w:pPr>
      <w:r>
        <w:rPr>
          <w:b/>
          <w:bCs/>
        </w:rPr>
        <w:t xml:space="preserve">Recurring / card-on-file token (CIT/MIT):</w:t>
      </w:r>
      <w:r>
        <w:t xml:space="preserve"> </w:t>
      </w:r>
      <w:r>
        <w:t xml:space="preserve">เก็บได้เฉพาะเมื่อมี mandate ของผู้ถือบัตร และผูกกับ</w:t>
      </w:r>
      <w:r>
        <w:t xml:space="preserve"> </w:t>
      </w:r>
      <w:r>
        <w:rPr>
          <w:b/>
          <w:bCs/>
        </w:rPr>
        <w:t xml:space="preserve">network tokenization (Visa VTS / Mastercard MDES)</w:t>
      </w:r>
      <w:r>
        <w:t xml:space="preserve"> </w:t>
      </w:r>
      <w:r>
        <w:t xml:space="preserve">เมื่อทำได้ เพดานสูงสุด</w:t>
      </w:r>
      <w:r>
        <w:t xml:space="preserve"> </w:t>
      </w:r>
      <w:r>
        <w:rPr>
          <w:b/>
          <w:bCs/>
        </w:rPr>
        <w:t xml:space="preserve">15 เดือนนับจากการใช้ล่าสุด</w:t>
      </w:r>
      <w:r>
        <w:t xml:space="preserve"> </w:t>
      </w:r>
      <w:r>
        <w:t xml:space="preserve">หากไม่มีการใช้จะถูกทำ crypto-erasure โดยอัตโนมัติ (idle-token expiry job รายวัน)</w:t>
      </w:r>
    </w:p>
    <w:p>
      <w:pPr>
        <w:pStyle w:val="Compact"/>
        <w:numPr>
          <w:ilvl w:val="0"/>
          <w:numId w:val="1154"/>
        </w:numPr>
      </w:pPr>
      <w:r>
        <w:rPr>
          <w:b/>
          <w:bCs/>
        </w:rPr>
        <w:t xml:space="preserve">การยกเลิก mandate / ปิด merchant:</w:t>
      </w:r>
      <w:r>
        <w:t xml:space="preserve"> </w:t>
      </w:r>
      <w:r>
        <w:t xml:space="preserve">token ทั้งหมดของ scope นั้นถูกทำลายภายใน</w:t>
      </w:r>
      <w:r>
        <w:t xml:space="preserve"> </w:t>
      </w:r>
      <w:r>
        <w:rPr>
          <w:b/>
          <w:bCs/>
        </w:rPr>
        <w:t xml:space="preserve">72 ชั่วโมง</w:t>
      </w:r>
    </w:p>
    <w:p>
      <w:pPr>
        <w:pStyle w:val="Compact"/>
        <w:numPr>
          <w:ilvl w:val="0"/>
          <w:numId w:val="1154"/>
        </w:numPr>
      </w:pPr>
      <w:r>
        <w:t xml:space="preserve">token ทุกตัวเก็บใน</w:t>
      </w:r>
      <w:r>
        <w:t xml:space="preserve"> </w:t>
      </w:r>
      <w:r>
        <w:rPr>
          <w:b/>
          <w:bCs/>
        </w:rPr>
        <w:t xml:space="preserve">tokenization vault ที่แยก network segment</w:t>
      </w:r>
      <w:r>
        <w:t xml:space="preserve"> </w:t>
      </w:r>
      <w:r>
        <w:t xml:space="preserve">(ARCHITECTURE §4, §7) โดย mapping</w:t>
      </w:r>
      <w:r>
        <w:t xml:space="preserve"> </w:t>
      </w:r>
      <w:r>
        <w:t xml:space="preserve">token↔PAN เข้ารหัสด้วย</w:t>
      </w:r>
      <w:r>
        <w:t xml:space="preserve"> </w:t>
      </w:r>
      <w:r>
        <w:rPr>
          <w:b/>
          <w:bCs/>
        </w:rPr>
        <w:t xml:space="preserve">envelope encryption</w:t>
      </w:r>
      <w:r>
        <w:t xml:space="preserve"> </w:t>
      </w:r>
      <w:r>
        <w:t xml:space="preserve">และคีย์อยู่ใน</w:t>
      </w:r>
      <w:r>
        <w:t xml:space="preserve"> </w:t>
      </w:r>
      <w:r>
        <w:rPr>
          <w:b/>
          <w:bCs/>
        </w:rPr>
        <w:t xml:space="preserve">HSM/KMS</w:t>
      </w:r>
      <w:r>
        <w:t xml:space="preserve"> </w:t>
      </w:r>
      <w:r>
        <w:t xml:space="preserve">เท่านั้น</w:t>
      </w:r>
    </w:p>
    <w:p>
      <w:pPr>
        <w:pStyle w:val="Compact"/>
        <w:numPr>
          <w:ilvl w:val="0"/>
          <w:numId w:val="1154"/>
        </w:numPr>
      </w:pPr>
      <w:r>
        <w:t xml:space="preserve">ระบบหลัก (operational DB) เก็บเพียง</w:t>
      </w:r>
      <w:r>
        <w:t xml:space="preserve"> </w:t>
      </w:r>
      <w:r>
        <w:rPr>
          <w:b/>
          <w:bCs/>
        </w:rPr>
        <w:t xml:space="preserve">token reference + card_last4 + card_brand</w:t>
      </w:r>
      <w:r>
        <w:t xml:space="preserve"> </w:t>
      </w:r>
      <w:r>
        <w:t xml:space="preserve">— ไม่มี PAN</w:t>
      </w:r>
    </w:p>
    <w:p>
      <w:r>
        <w:pict>
          <v:rect style="width:0;height:1.5pt" o:hralign="center" o:hrstd="t" o:hr="t"/>
        </w:pict>
      </w:r>
    </w:p>
    <w:bookmarkEnd w:id="371"/>
    <w:bookmarkStart w:id="372" w:name="X01330f1e04b1a2bf583e882f91a1f4a9b1f46f3"/>
    <w:p>
      <w:pPr>
        <w:pStyle w:val="Heading2"/>
      </w:pPr>
      <w:r>
        <w:t xml:space="preserve">6. การลบอย่างปลอดภัย (Secure Deletion Procedures)</w:t>
      </w:r>
    </w:p>
    <w:tbl>
      <w:tblPr>
        <w:tblStyle w:val="Table"/>
        <w:tblW w:type="pct" w:w="5000"/>
        <w:tblLayout w:type="fixed"/>
        <w:tblLook w:firstRow="1" w:lastRow="0" w:firstColumn="0" w:lastColumn="0" w:noHBand="0" w:noVBand="0" w:val="0020"/>
      </w:tblPr>
      <w:tblGrid>
        <w:gridCol w:w="1900"/>
        <w:gridCol w:w="2534"/>
        <w:gridCol w:w="3484"/>
      </w:tblGrid>
      <w:tr>
        <w:trPr>
          <w:tblHeader w:val="on"/>
        </w:trPr>
        <w:tc>
          <w:tcPr/>
          <w:p>
            <w:pPr>
              <w:pStyle w:val="Compact"/>
            </w:pPr>
            <w:r>
              <w:t xml:space="preserve">วิธี</w:t>
            </w:r>
          </w:p>
        </w:tc>
        <w:tc>
          <w:tcPr/>
          <w:p>
            <w:pPr>
              <w:pStyle w:val="Compact"/>
            </w:pPr>
            <w:r>
              <w:t xml:space="preserve">ใช้กับ</w:t>
            </w:r>
          </w:p>
        </w:tc>
        <w:tc>
          <w:tcPr/>
          <w:p>
            <w:pPr>
              <w:pStyle w:val="Compact"/>
            </w:pPr>
            <w:r>
              <w:t xml:space="preserve">รายละเอียด</w:t>
            </w:r>
          </w:p>
        </w:tc>
      </w:tr>
      <w:tr>
        <w:tc>
          <w:tcPr/>
          <w:p>
            <w:pPr>
              <w:pStyle w:val="Compact"/>
            </w:pPr>
            <w:r>
              <w:rPr>
                <w:b/>
                <w:bCs/>
              </w:rPr>
              <w:t xml:space="preserve">Crypto-erasure (แนะนำหลัก)</w:t>
            </w:r>
          </w:p>
        </w:tc>
        <w:tc>
          <w:tcPr/>
          <w:p>
            <w:pPr>
              <w:pStyle w:val="Compact"/>
            </w:pPr>
            <w:r>
              <w:t xml:space="preserve">CHD, token, backup, ข้อมูลเข้ารหัสทั้งหมด</w:t>
            </w:r>
          </w:p>
        </w:tc>
        <w:tc>
          <w:tcPr/>
          <w:p>
            <w:pPr>
              <w:pStyle w:val="Compact"/>
            </w:pPr>
            <w:r>
              <w:t xml:space="preserve">ทำลาย</w:t>
            </w:r>
            <w:r>
              <w:t xml:space="preserve"> </w:t>
            </w:r>
            <w:r>
              <w:rPr>
                <w:b/>
                <w:bCs/>
              </w:rPr>
              <w:t xml:space="preserve">Data Encryption Key (DEK)</w:t>
            </w:r>
            <w:r>
              <w:t xml:space="preserve"> </w:t>
            </w:r>
            <w:r>
              <w:t xml:space="preserve">ใน HSM/KMS → ciphertext กู้คืนไม่ได้; สอดคล้อง NIST SP 800-88 (Purge) และ PCI-DSS 3.2/3.5</w:t>
            </w:r>
          </w:p>
        </w:tc>
      </w:tr>
      <w:tr>
        <w:tc>
          <w:tcPr/>
          <w:p>
            <w:pPr>
              <w:pStyle w:val="Compact"/>
            </w:pPr>
            <w:r>
              <w:rPr>
                <w:b/>
                <w:bCs/>
              </w:rPr>
              <w:t xml:space="preserve">Logical purge (hard delete)</w:t>
            </w:r>
          </w:p>
        </w:tc>
        <w:tc>
          <w:tcPr/>
          <w:p>
            <w:pPr>
              <w:pStyle w:val="Compact"/>
            </w:pPr>
            <w:r>
              <w:t xml:space="preserve">record ใน DB</w:t>
            </w:r>
          </w:p>
        </w:tc>
        <w:tc>
          <w:tcPr/>
          <w:p>
            <w:pPr>
              <w:pStyle w:val="Compact"/>
            </w:pPr>
            <w:r>
              <w:rPr>
                <w:rStyle w:val="VerbatimChar"/>
              </w:rPr>
              <w:t xml:space="preserve">DELETE</w:t>
            </w:r>
            <w:r>
              <w:t xml:space="preserve"> </w:t>
            </w:r>
            <w:r>
              <w:t xml:space="preserve">+</w:t>
            </w:r>
            <w:r>
              <w:t xml:space="preserve"> </w:t>
            </w:r>
            <w:r>
              <w:rPr>
                <w:rStyle w:val="VerbatimChar"/>
              </w:rPr>
              <w:t xml:space="preserve">VACUUM</w:t>
            </w:r>
            <w:r>
              <w:t xml:space="preserve">/reclaim, ยืนยันด้วย row-count = 0; ไม่ใช่แค่ soft-delete flag</w:t>
            </w:r>
          </w:p>
        </w:tc>
      </w:tr>
      <w:tr>
        <w:tc>
          <w:tcPr/>
          <w:p>
            <w:pPr>
              <w:pStyle w:val="Compact"/>
            </w:pPr>
            <w:r>
              <w:rPr>
                <w:b/>
                <w:bCs/>
              </w:rPr>
              <w:t xml:space="preserve">Anonymization / tokenization</w:t>
            </w:r>
          </w:p>
        </w:tc>
        <w:tc>
          <w:tcPr/>
          <w:p>
            <w:pPr>
              <w:pStyle w:val="Compact"/>
            </w:pPr>
            <w:r>
              <w:t xml:space="preserve">PII ที่ต้องคง record ธุรกรรมไว้</w:t>
            </w:r>
          </w:p>
        </w:tc>
        <w:tc>
          <w:tcPr/>
          <w:p>
            <w:pPr>
              <w:pStyle w:val="Compact"/>
            </w:pPr>
            <w:r>
              <w:t xml:space="preserve">แทน PII ด้วยค่า irreversible เพื่อคงความสมบูรณ์ของ ledger โดยไม่ระบุตัวบุคคล</w:t>
            </w:r>
          </w:p>
        </w:tc>
      </w:tr>
      <w:tr>
        <w:tc>
          <w:tcPr/>
          <w:p>
            <w:pPr>
              <w:pStyle w:val="Compact"/>
            </w:pPr>
            <w:r>
              <w:rPr>
                <w:b/>
                <w:bCs/>
              </w:rPr>
              <w:t xml:space="preserve">Media sanitization</w:t>
            </w:r>
          </w:p>
        </w:tc>
        <w:tc>
          <w:tcPr/>
          <w:p>
            <w:pPr>
              <w:pStyle w:val="Compact"/>
            </w:pPr>
            <w:r>
              <w:t xml:space="preserve">disk/SSD ที่ปลดระวาง</w:t>
            </w:r>
          </w:p>
        </w:tc>
        <w:tc>
          <w:tcPr/>
          <w:p>
            <w:pPr>
              <w:pStyle w:val="Compact"/>
            </w:pPr>
            <w:r>
              <w:t xml:space="preserve">NIST SP 800-88 Purge/Destroy; ออก</w:t>
            </w:r>
            <w:r>
              <w:t xml:space="preserve"> </w:t>
            </w:r>
            <w:r>
              <w:rPr>
                <w:b/>
                <w:bCs/>
              </w:rPr>
              <w:t xml:space="preserve">Certificate of Destruction</w:t>
            </w:r>
            <w:r>
              <w:t xml:space="preserve"> </w:t>
            </w:r>
            <w:r>
              <w:t xml:space="preserve">เก็บ 10 ปี</w:t>
            </w:r>
          </w:p>
        </w:tc>
      </w:tr>
      <w:tr>
        <w:tc>
          <w:tcPr/>
          <w:p>
            <w:pPr>
              <w:pStyle w:val="Compact"/>
            </w:pPr>
            <w:r>
              <w:rPr>
                <w:b/>
                <w:bCs/>
              </w:rPr>
              <w:t xml:space="preserve">Memory scrub</w:t>
            </w:r>
          </w:p>
        </w:tc>
        <w:tc>
          <w:tcPr/>
          <w:p>
            <w:pPr>
              <w:pStyle w:val="Compact"/>
            </w:pPr>
            <w:r>
              <w:t xml:space="preserve">SAD/PAN ระหว่างประมวลผล</w:t>
            </w:r>
          </w:p>
        </w:tc>
        <w:tc>
          <w:tcPr/>
          <w:p>
            <w:pPr>
              <w:pStyle w:val="Compact"/>
            </w:pPr>
            <w:r>
              <w:t xml:space="preserve">zero-out buffer ทันทีหลังใช้ ไม่ swap ลง disk</w:t>
            </w:r>
          </w:p>
        </w:tc>
      </w:tr>
    </w:tbl>
    <w:p>
      <w:pPr>
        <w:pStyle w:val="BodyText"/>
      </w:pPr>
      <w:r>
        <w:rPr>
          <w:b/>
          <w:bCs/>
        </w:rPr>
        <w:t xml:space="preserve">ขั้นตอนมาตรฐานเมื่อครบกำหนด (purge cycle):</w:t>
      </w:r>
      <w:r>
        <w:t xml:space="preserve"> </w:t>
      </w:r>
      <w:r>
        <w:t xml:space="preserve">1. Retention engine (รายวัน) คัดเลือก record ที่พ้นกำหนดตามตารางข้อ 4</w:t>
      </w:r>
      <w:r>
        <w:t xml:space="preserve"> </w:t>
      </w:r>
      <w:r>
        <w:t xml:space="preserve">2. ตรวจ</w:t>
      </w:r>
      <w:r>
        <w:t xml:space="preserve"> </w:t>
      </w:r>
      <w:r>
        <w:rPr>
          <w:b/>
          <w:bCs/>
        </w:rPr>
        <w:t xml:space="preserve">hold register</w:t>
      </w:r>
      <w:r>
        <w:t xml:space="preserve"> </w:t>
      </w:r>
      <w:r>
        <w:t xml:space="preserve">(legal hold / AML hold / คดีความ) — ถ้ามี hold ให้ข้าม</w:t>
      </w:r>
      <w:r>
        <w:t xml:space="preserve"> </w:t>
      </w:r>
      <w:r>
        <w:t xml:space="preserve">3. Dual-control อนุมัติสำหรับข้อมูล C1/C5</w:t>
      </w:r>
      <w:r>
        <w:t xml:space="preserve"> </w:t>
      </w:r>
      <w:r>
        <w:t xml:space="preserve">4. รัน crypto-erasure/purge → รวมถึง</w:t>
      </w:r>
      <w:r>
        <w:t xml:space="preserve"> </w:t>
      </w:r>
      <w:r>
        <w:rPr>
          <w:b/>
          <w:bCs/>
        </w:rPr>
        <w:t xml:space="preserve">backup และ replica</w:t>
      </w:r>
      <w:r>
        <w:t xml:space="preserve"> </w:t>
      </w:r>
      <w:r>
        <w:t xml:space="preserve">(ตาม RPO/DR)</w:t>
      </w:r>
      <w:r>
        <w:t xml:space="preserve"> </w:t>
      </w:r>
      <w:r>
        <w:t xml:space="preserve">5. บันทึกผล (จำนวน record, timestamp, ผู้อนุมัติ) ลง</w:t>
      </w:r>
      <w:r>
        <w:t xml:space="preserve"> </w:t>
      </w:r>
      <w:r>
        <w:rPr>
          <w:rStyle w:val="VerbatimChar"/>
        </w:rPr>
        <w:t xml:space="preserve">audit_log</w:t>
      </w:r>
      <w:r>
        <w:t xml:space="preserve"> </w:t>
      </w:r>
      <w:r>
        <w:t xml:space="preserve">6. Internal Audit สุ่มตรวจรายไตรมาส</w:t>
      </w:r>
    </w:p>
    <w:p>
      <w:r>
        <w:pict>
          <v:rect style="width:0;height:1.5pt" o:hralign="center" o:hrstd="t" o:hr="t"/>
        </w:pict>
      </w:r>
    </w:p>
    <w:bookmarkEnd w:id="372"/>
    <w:bookmarkStart w:id="373" w:name="backup-replica-และ-data-residency"/>
    <w:p>
      <w:pPr>
        <w:pStyle w:val="Heading2"/>
      </w:pPr>
      <w:r>
        <w:t xml:space="preserve">7. Backup, Replica และ Data Residency</w:t>
      </w:r>
    </w:p>
    <w:p>
      <w:pPr>
        <w:pStyle w:val="Compact"/>
        <w:numPr>
          <w:ilvl w:val="0"/>
          <w:numId w:val="1155"/>
        </w:numPr>
      </w:pPr>
      <w:r>
        <w:t xml:space="preserve">Backup/replica ต้องเข้ารหัส และการลบข้อมูลต้องครอบคลุม backup ผ่าน</w:t>
      </w:r>
      <w:r>
        <w:t xml:space="preserve"> </w:t>
      </w:r>
      <w:r>
        <w:rPr>
          <w:b/>
          <w:bCs/>
        </w:rPr>
        <w:t xml:space="preserve">crypto-erasure ของ backup key</w:t>
      </w:r>
      <w:r>
        <w:t xml:space="preserve"> </w:t>
      </w:r>
      <w:r>
        <w:t xml:space="preserve">เมื่อ retention ของ backup หมด (≤ 35 วัน operational) โดยไม่ต้องเขียนทับ media รายชิ้น</w:t>
      </w:r>
    </w:p>
    <w:p>
      <w:pPr>
        <w:pStyle w:val="Compact"/>
        <w:numPr>
          <w:ilvl w:val="0"/>
          <w:numId w:val="1155"/>
        </w:numPr>
      </w:pPr>
      <w:r>
        <w:t xml:space="preserve">ข้อมูลเก็บใน</w:t>
      </w:r>
      <w:r>
        <w:t xml:space="preserve"> </w:t>
      </w:r>
      <w:r>
        <w:rPr>
          <w:b/>
          <w:bCs/>
        </w:rPr>
        <w:t xml:space="preserve">ประเทศไทย</w:t>
      </w:r>
      <w:r>
        <w:t xml:space="preserve"> </w:t>
      </w:r>
      <w:r>
        <w:t xml:space="preserve">ตามข้อกำหนด ธปท./PDPA (ARCHITECTURE §8) การโอนข้ามพรมแดนต้องเป็นไปตาม PDPA ม.28–29</w:t>
      </w:r>
    </w:p>
    <w:p>
      <w:pPr>
        <w:pStyle w:val="Compact"/>
        <w:numPr>
          <w:ilvl w:val="0"/>
          <w:numId w:val="1155"/>
        </w:numPr>
      </w:pPr>
      <w:r>
        <w:t xml:space="preserve">RPO ≤ 5 นาที / RTO ≤ 30 นาที — การออกแบบ purge ต้องไม่กระทบ DR</w:t>
      </w:r>
    </w:p>
    <w:p>
      <w:r>
        <w:pict>
          <v:rect style="width:0;height:1.5pt" o:hralign="center" o:hrstd="t" o:hr="t"/>
        </w:pict>
      </w:r>
    </w:p>
    <w:bookmarkEnd w:id="373"/>
    <w:bookmarkStart w:id="374" w:name="คำขอสทธเจาของขอมล-dsar-และ-legal-hold"/>
    <w:p>
      <w:pPr>
        <w:pStyle w:val="Heading2"/>
      </w:pPr>
      <w:r>
        <w:t xml:space="preserve">8. คำขอสิทธิเจ้าของข้อมูล (DSAR) และ Legal Hold</w:t>
      </w:r>
    </w:p>
    <w:p>
      <w:pPr>
        <w:pStyle w:val="Compact"/>
        <w:numPr>
          <w:ilvl w:val="0"/>
          <w:numId w:val="1156"/>
        </w:numPr>
      </w:pPr>
      <w:r>
        <w:t xml:space="preserve">คำขอลบ/เข้าถึงตาม PDPA รับผ่านช่องทางที่ประกาศ → DPO ตอบภายใน</w:t>
      </w:r>
      <w:r>
        <w:t xml:space="preserve"> </w:t>
      </w:r>
      <w:r>
        <w:rPr>
          <w:b/>
          <w:bCs/>
        </w:rPr>
        <w:t xml:space="preserve">30 วัน</w:t>
      </w:r>
    </w:p>
    <w:p>
      <w:pPr>
        <w:pStyle w:val="Compact"/>
        <w:numPr>
          <w:ilvl w:val="0"/>
          <w:numId w:val="1156"/>
        </w:numPr>
      </w:pPr>
      <w:r>
        <w:t xml:space="preserve">ข้อมูลที่มีหน้าที่เก็บตามกฎหมาย (ปปง. 5–10 ปี, ธุรกรรม 10 ปี) จะไม่ถูกลบจนพ้นกำหนด และแจ้งเหตุผล</w:t>
      </w:r>
    </w:p>
    <w:p>
      <w:pPr>
        <w:pStyle w:val="Compact"/>
        <w:numPr>
          <w:ilvl w:val="0"/>
          <w:numId w:val="1156"/>
        </w:numPr>
      </w:pPr>
      <w:r>
        <w:rPr>
          <w:b/>
          <w:bCs/>
        </w:rPr>
        <w:t xml:space="preserve">Legal hold</w:t>
      </w:r>
      <w:r>
        <w:t xml:space="preserve"> </w:t>
      </w:r>
      <w:r>
        <w:t xml:space="preserve">ระงับการ purge ทันทีเมื่อมีคดี/คำสั่งทางการ; บันทึกใน hold register พร้อมผู้อนุมัติ</w:t>
      </w:r>
    </w:p>
    <w:p>
      <w:r>
        <w:pict>
          <v:rect style="width:0;height:1.5pt" o:hralign="center" o:hrstd="t" o:hr="t"/>
        </w:pict>
      </w:r>
    </w:p>
    <w:bookmarkEnd w:id="374"/>
    <w:bookmarkStart w:id="375" w:name="ขอสมมตและสงทยงไมยต-assumptions-todo"/>
    <w:p>
      <w:pPr>
        <w:pStyle w:val="Heading2"/>
      </w:pPr>
      <w:r>
        <w:t xml:space="preserve">9. ข้อสมมติและสิ่งที่ยังไม่ยุติ (Assumptions &amp; TODO)</w:t>
      </w:r>
    </w:p>
    <w:p>
      <w:pPr>
        <w:pStyle w:val="BlockText"/>
      </w:pPr>
      <w:r>
        <w:t xml:space="preserve">[!IMPORTANT]</w:t>
      </w:r>
      <w:r>
        <w:t xml:space="preserve"> </w:t>
      </w:r>
      <w:r>
        <w:t xml:space="preserve">รายการต่อไปนี้เป็น</w:t>
      </w:r>
      <w:r>
        <w:t xml:space="preserve"> </w:t>
      </w:r>
      <w:r>
        <w:rPr>
          <w:b/>
          <w:bCs/>
        </w:rPr>
        <w:t xml:space="preserve">สมมติฐาน/TODO</w:t>
      </w:r>
      <w:r>
        <w:t xml:space="preserve"> </w:t>
      </w:r>
      <w:r>
        <w:t xml:space="preserve">ที่ต้องยืนยันก่อนยื่นจริง — ยังไม่ถือเป็นข้อเท็จจริงที่ล็อกแล้ว:</w:t>
      </w:r>
      <w:r>
        <w:t xml:space="preserve"> </w:t>
      </w:r>
      <w:r>
        <w:t xml:space="preserve">-</w:t>
      </w:r>
      <w:r>
        <w:t xml:space="preserve"> </w:t>
      </w:r>
      <w:r>
        <w:rPr>
          <w:b/>
          <w:bCs/>
        </w:rPr>
        <w:t xml:space="preserve">Sponsor bank / card scheme:</w:t>
      </w:r>
      <w:r>
        <w:t xml:space="preserve"> </w:t>
      </w:r>
      <w:r>
        <w:t xml:space="preserve">ยังไม่เลือก — เงื่อนไข retention ของ Visa/Mastercard และหน้าต่าง chargeback</w:t>
      </w:r>
      <w:r>
        <w:t xml:space="preserve"> </w:t>
      </w:r>
      <w:r>
        <w:t xml:space="preserve">(ข้อ 13) ต้องปรับตามสัญญาจริง (TODO)</w:t>
      </w:r>
      <w:r>
        <w:t xml:space="preserve"> </w:t>
      </w:r>
      <w:r>
        <w:t xml:space="preserve">-</w:t>
      </w:r>
      <w:r>
        <w:t xml:space="preserve"> </w:t>
      </w:r>
      <w:r>
        <w:rPr>
          <w:b/>
          <w:bCs/>
        </w:rPr>
        <w:t xml:space="preserve">QSA vendor:</w:t>
      </w:r>
      <w:r>
        <w:t xml:space="preserve"> </w:t>
      </w:r>
      <w:r>
        <w:t xml:space="preserve">ยังไม่ว่าจ้าง — การตีความ PCI-DSS v4.0 บางข้อ (เช่น เพดาน token) ต้องยืนยันกับ QSA ที่เลือก (TODO)</w:t>
      </w:r>
      <w:r>
        <w:t xml:space="preserve"> </w:t>
      </w:r>
      <w:r>
        <w:t xml:space="preserve">-</w:t>
      </w:r>
      <w:r>
        <w:t xml:space="preserve"> </w:t>
      </w:r>
      <w:r>
        <w:rPr>
          <w:b/>
          <w:bCs/>
        </w:rPr>
        <w:t xml:space="preserve">ทุนจดทะเบียนชำระแล้ว:</w:t>
      </w:r>
      <w:r>
        <w:t xml:space="preserve"> </w:t>
      </w:r>
      <w:r>
        <w:t xml:space="preserve">สมมติ 50 ล้านบาทตามเกณฑ์ Acquiring — ต้องยืนยันตัวเลขจริงที่ชำระแล้ว (TODO)</w:t>
      </w:r>
      <w:r>
        <w:t xml:space="preserve"> </w:t>
      </w:r>
      <w:r>
        <w:t xml:space="preserve">-</w:t>
      </w:r>
      <w:r>
        <w:t xml:space="preserve"> </w:t>
      </w:r>
      <w:r>
        <w:rPr>
          <w:b/>
          <w:bCs/>
        </w:rPr>
        <w:t xml:space="preserve">ระยะเก็บ ปปง. ที่แม่นยำ (5 vs 10 ปี):</w:t>
      </w:r>
      <w:r>
        <w:t xml:space="preserve"> </w:t>
      </w:r>
      <w:r>
        <w:t xml:space="preserve">ใช้เกณฑ์นานสุด 10 ปีเชิงระมัดระวัง — ยืนยันกับที่ปรึกษากฎหมาย AML (TODO)</w:t>
      </w:r>
      <w:r>
        <w:t xml:space="preserve"> </w:t>
      </w:r>
      <w:r>
        <w:t xml:space="preserve">-</w:t>
      </w:r>
      <w:r>
        <w:t xml:space="preserve"> </w:t>
      </w:r>
      <w:r>
        <w:rPr>
          <w:b/>
          <w:bCs/>
        </w:rPr>
        <w:t xml:space="preserve">ผู้ให้บริการ HSM/KMS และ backup vendor:</w:t>
      </w:r>
      <w:r>
        <w:t xml:space="preserve"> </w:t>
      </w:r>
      <w:r>
        <w:t xml:space="preserve">ยืนยัน SLA การ crypto-erasure และ certificate of destruction (TODO)</w:t>
      </w:r>
    </w:p>
    <w:bookmarkEnd w:id="375"/>
    <w:bookmarkEnd w:id="376"/>
    <w:bookmarkStart w:id="387" w:name="X53edd6abce646650173d91d7aef922fe2589acd"/>
    <w:p>
      <w:pPr>
        <w:pStyle w:val="Heading1"/>
      </w:pPr>
      <w:r>
        <w:t xml:space="preserve">Data retention &amp; deletion schedule incl. card token retention limits and secure deletion (English)</w:t>
      </w:r>
    </w:p>
    <w:p>
      <w:pPr>
        <w:pStyle w:val="BlockText"/>
      </w:pPr>
      <w:r>
        <w:t xml:space="preserve">Supporting document for the</w:t>
      </w:r>
      <w:r>
        <w:t xml:space="preserve"> </w:t>
      </w:r>
      <w:r>
        <w:rPr>
          <w:b/>
          <w:bCs/>
        </w:rPr>
        <w:t xml:space="preserve">Acquiring Payment Service</w:t>
      </w:r>
      <w:r>
        <w:t xml:space="preserve"> </w:t>
      </w:r>
      <w:r>
        <w:t xml:space="preserve">license application under the Payment Systems</w:t>
      </w:r>
      <w:r>
        <w:t xml:space="preserve"> </w:t>
      </w:r>
      <w:r>
        <w:t xml:space="preserve">Act B.E. 2560 · Registered paid-up capital THB 50M · PCI-DSS v4.0 Level 1</w:t>
      </w:r>
      <w:r>
        <w:t xml:space="preserve"> </w:t>
      </w:r>
      <w:r>
        <w:t xml:space="preserve">Document</w:t>
      </w:r>
      <w:r>
        <w:t xml:space="preserve"> </w:t>
      </w:r>
      <w:r>
        <w:rPr>
          <w:b/>
          <w:bCs/>
        </w:rPr>
        <w:t xml:space="preserve">11 — Data Retention &amp; Deletion Policy and Schedule</w:t>
      </w:r>
      <w:r>
        <w:t xml:space="preserve"> </w:t>
      </w:r>
      <w:r>
        <w:t xml:space="preserve">Owner:</w:t>
      </w:r>
      <w:r>
        <w:t xml:space="preserve"> </w:t>
      </w:r>
      <w:r>
        <w:rPr>
          <w:b/>
          <w:bCs/>
        </w:rPr>
        <w:t xml:space="preserve">[บริษัท / Company]</w:t>
      </w:r>
      <w:r>
        <w:t xml:space="preserve"> </w:t>
      </w:r>
      <w:r>
        <w:t xml:space="preserve">· Version 1.0 · Issued 2026-07-22 · Reviewed every 12 months</w:t>
      </w:r>
    </w:p>
    <w:p>
      <w:pPr>
        <w:pStyle w:val="BlockText"/>
      </w:pPr>
      <w:r>
        <w:rPr>
          <w:b/>
          <w:bCs/>
        </w:rPr>
        <w:t xml:space="preserve">Note:</w:t>
      </w:r>
      <w:r>
        <w:t xml:space="preserve"> </w:t>
      </w:r>
      <w:r>
        <w:t xml:space="preserve">This is a technical/operational document, not legal advice. It must be reviewed by legal counsel</w:t>
      </w:r>
      <w:r>
        <w:t xml:space="preserve"> </w:t>
      </w:r>
      <w:r>
        <w:t xml:space="preserve">and the QSA before submission. Companion docs: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p>
    <w:p>
      <w:r>
        <w:pict>
          <v:rect style="width:0;height:1.5pt" o:hralign="center" o:hrstd="t" o:hr="t"/>
        </w:pict>
      </w:r>
    </w:p>
    <w:bookmarkStart w:id="377" w:name="purpose-scope-3"/>
    <w:p>
      <w:pPr>
        <w:pStyle w:val="Heading2"/>
      </w:pPr>
      <w:r>
        <w:t xml:space="preserve">1. Purpose &amp; Scope</w:t>
      </w:r>
    </w:p>
    <w:p>
      <w:pPr>
        <w:pStyle w:val="FirstParagraph"/>
      </w:pPr>
      <w:r>
        <w:t xml:space="preserve">This policy defines the</w:t>
      </w:r>
      <w:r>
        <w:t xml:space="preserve"> </w:t>
      </w:r>
      <w:r>
        <w:rPr>
          <w:b/>
          <w:bCs/>
        </w:rPr>
        <w:t xml:space="preserve">retention periods</w:t>
      </w:r>
      <w:r>
        <w:t xml:space="preserve"> </w:t>
      </w:r>
      <w:r>
        <w:t xml:space="preserve">and</w:t>
      </w:r>
      <w:r>
        <w:t xml:space="preserve"> </w:t>
      </w:r>
      <w:r>
        <w:rPr>
          <w:b/>
          <w:bCs/>
        </w:rPr>
        <w:t xml:space="preserve">secure deletion methods</w:t>
      </w:r>
      <w:r>
        <w:t xml:space="preserve"> </w:t>
      </w:r>
      <w:r>
        <w:t xml:space="preserve">for every data category held by</w:t>
      </w:r>
      <w:r>
        <w:t xml:space="preserve"> </w:t>
      </w:r>
      <w:r>
        <w:rPr>
          <w:b/>
          <w:bCs/>
        </w:rPr>
        <w:t xml:space="preserve">[บริษัท / Company]</w:t>
      </w:r>
      <w:r>
        <w:t xml:space="preserve"> </w:t>
      </w:r>
      <w:r>
        <w:t xml:space="preserve">as an Acquiring service provider, applying</w:t>
      </w:r>
      <w:r>
        <w:t xml:space="preserve"> </w:t>
      </w:r>
      <w:r>
        <w:rPr>
          <w:b/>
          <w:bCs/>
        </w:rPr>
        <w:t xml:space="preserve">data minimization / storage limitation</w:t>
      </w:r>
      <w:r>
        <w:t xml:space="preserve"> </w:t>
      </w:r>
      <w:r>
        <w:t xml:space="preserve">per</w:t>
      </w:r>
      <w:r>
        <w:t xml:space="preserve"> </w:t>
      </w:r>
      <w:r>
        <w:t xml:space="preserve">PDPA §37 and PCI-DSS v4.0 Requirement 3.2 (keep cardholder data only as long as required for business/legal need).</w:t>
      </w:r>
    </w:p>
    <w:p>
      <w:pPr>
        <w:pStyle w:val="BodyText"/>
      </w:pPr>
      <w:r>
        <w:t xml:space="preserve">Scope: operational DB, tokenization vault, ledger, audit log, system logs, KYC/AML data, merchant contracts,</w:t>
      </w:r>
      <w:r>
        <w:t xml:space="preserve"> </w:t>
      </w:r>
      <w:r>
        <w:t xml:space="preserve">backups, and data outsourced to third parties.</w:t>
      </w:r>
    </w:p>
    <w:p>
      <w:pPr>
        <w:pStyle w:val="BlockText"/>
      </w:pPr>
      <w:r>
        <w:rPr>
          <w:b/>
          <w:bCs/>
        </w:rPr>
        <w:t xml:space="preserve">Governing rule throughout this document</w:t>
      </w:r>
      <w:r>
        <w:t xml:space="preserve"> </w:t>
      </w:r>
      <w:r>
        <w:t xml:space="preserve">(per</w:t>
      </w:r>
      <w:r>
        <w:t xml:space="preserve"> </w:t>
      </w:r>
      <w:r>
        <w:rPr>
          <w:rStyle w:val="VerbatimChar"/>
        </w:rPr>
        <w:t xml:space="preserve">ARCHITECTURE.md</w:t>
      </w:r>
      <w:r>
        <w:t xml:space="preserve"> </w:t>
      </w:r>
      <w:r>
        <w:t xml:space="preserve">§6):</w:t>
      </w:r>
      <w:r>
        <w:t xml:space="preserve"> </w:t>
      </w:r>
      <w:r>
        <w:rPr>
          <w:b/>
          <w:bCs/>
        </w:rPr>
        <w:t xml:space="preserve">Full PAN, CVV/CVV2/CVC2, PIN/PIN block,</w:t>
      </w:r>
      <w:r>
        <w:rPr>
          <w:b/>
          <w:bCs/>
        </w:rPr>
        <w:t xml:space="preserve"> </w:t>
      </w:r>
      <w:r>
        <w:rPr>
          <w:b/>
          <w:bCs/>
        </w:rPr>
        <w:t xml:space="preserve">and full magnetic track (Sensitive Authentication Data) MUST NEVER be stored in the operational DB.</w:t>
      </w:r>
      <w:r>
        <w:t xml:space="preserve"> </w:t>
      </w:r>
      <w:r>
        <w:t xml:space="preserve">Only</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w:t>
      </w:r>
      <w:r>
        <w:t xml:space="preserve">are retained for display; any required PAN is stored as a</w:t>
      </w:r>
      <w:r>
        <w:t xml:space="preserve"> </w:t>
      </w:r>
      <w:r>
        <w:rPr>
          <w:b/>
          <w:bCs/>
        </w:rPr>
        <w:t xml:space="preserve">token</w:t>
      </w:r>
      <w:r>
        <w:t xml:space="preserve"> </w:t>
      </w:r>
      <w:r>
        <w:t xml:space="preserve">in the</w:t>
      </w:r>
      <w:r>
        <w:t xml:space="preserve"> </w:t>
      </w:r>
      <w:r>
        <w:t xml:space="preserve">segmented vault.</w:t>
      </w:r>
    </w:p>
    <w:p>
      <w:r>
        <w:pict>
          <v:rect style="width:0;height:1.5pt" o:hralign="center" o:hrstd="t" o:hr="t"/>
        </w:pict>
      </w:r>
    </w:p>
    <w:bookmarkEnd w:id="377"/>
    <w:bookmarkStart w:id="378" w:name="roles-responsibilities-2"/>
    <w:p>
      <w:pPr>
        <w:pStyle w:val="Heading2"/>
      </w:pPr>
      <w:r>
        <w:t xml:space="preserve">2. Roles &amp; Responsibilities</w:t>
      </w:r>
    </w:p>
    <w:tbl>
      <w:tblPr>
        <w:tblStyle w:val="Table"/>
        <w:tblW w:type="pct" w:w="5000"/>
        <w:tblLayout w:type="fixed"/>
        <w:tblLook w:firstRow="1" w:lastRow="0" w:firstColumn="0" w:lastColumn="0" w:noHBand="0" w:noVBand="0" w:val="0020"/>
      </w:tblPr>
      <w:tblGrid>
        <w:gridCol w:w="1159"/>
        <w:gridCol w:w="6760"/>
      </w:tblGrid>
      <w:tr>
        <w:trPr>
          <w:tblHeader w:val="on"/>
        </w:trPr>
        <w:tc>
          <w:tcPr/>
          <w:p>
            <w:pPr>
              <w:pStyle w:val="Compact"/>
            </w:pPr>
            <w:r>
              <w:t xml:space="preserve">Role</w:t>
            </w:r>
          </w:p>
        </w:tc>
        <w:tc>
          <w:tcPr/>
          <w:p>
            <w:pPr>
              <w:pStyle w:val="Compact"/>
            </w:pPr>
            <w:r>
              <w:t xml:space="preserve">Retention/deletion responsibility</w:t>
            </w:r>
          </w:p>
        </w:tc>
      </w:tr>
      <w:tr>
        <w:tc>
          <w:tcPr/>
          <w:p>
            <w:pPr>
              <w:pStyle w:val="Compact"/>
            </w:pPr>
            <w:r>
              <w:rPr>
                <w:b/>
                <w:bCs/>
              </w:rPr>
              <w:t xml:space="preserve">Data Protection Officer (DPO)</w:t>
            </w:r>
          </w:p>
        </w:tc>
        <w:tc>
          <w:tcPr/>
          <w:p>
            <w:pPr>
              <w:pStyle w:val="Compact"/>
            </w:pPr>
            <w:r>
              <w:t xml:space="preserve">Policy owner; handles DSARs; approves PDPA deletions; PDPC liaison</w:t>
            </w:r>
          </w:p>
        </w:tc>
      </w:tr>
      <w:tr>
        <w:tc>
          <w:tcPr/>
          <w:p>
            <w:pPr>
              <w:pStyle w:val="Compact"/>
            </w:pPr>
            <w:r>
              <w:rPr>
                <w:b/>
                <w:bCs/>
              </w:rPr>
              <w:t xml:space="preserve">Compliance / MLRO</w:t>
            </w:r>
          </w:p>
        </w:tc>
        <w:tc>
          <w:tcPr/>
          <w:p>
            <w:pPr>
              <w:pStyle w:val="Compact"/>
            </w:pPr>
            <w:r>
              <w:t xml:space="preserve">Sets AMLO/ปปง. holds, legal holds, BOT (ธปท.) reporting</w:t>
            </w:r>
          </w:p>
        </w:tc>
      </w:tr>
      <w:tr>
        <w:tc>
          <w:tcPr/>
          <w:p>
            <w:pPr>
              <w:pStyle w:val="Compact"/>
            </w:pPr>
            <w:r>
              <w:rPr>
                <w:b/>
                <w:bCs/>
              </w:rPr>
              <w:t xml:space="preserve">CISO / DevSecOps</w:t>
            </w:r>
          </w:p>
        </w:tc>
        <w:tc>
          <w:tcPr/>
          <w:p>
            <w:pPr>
              <w:pStyle w:val="Compact"/>
            </w:pPr>
            <w:r>
              <w:t xml:space="preserve">Owns crypto-erasure, key destruction, secure-deletion verification, HSM/KMS</w:t>
            </w:r>
          </w:p>
        </w:tc>
      </w:tr>
      <w:tr>
        <w:tc>
          <w:tcPr/>
          <w:p>
            <w:pPr>
              <w:pStyle w:val="Compact"/>
            </w:pPr>
            <w:r>
              <w:rPr>
                <w:b/>
                <w:bCs/>
              </w:rPr>
              <w:t xml:space="preserve">DBA / SRE</w:t>
            </w:r>
          </w:p>
        </w:tc>
        <w:tc>
          <w:tcPr/>
          <w:p>
            <w:pPr>
              <w:pStyle w:val="Compact"/>
            </w:pPr>
            <w:r>
              <w:t xml:space="preserve">Runs purge jobs, backup lifecycle, confirms deletion</w:t>
            </w:r>
          </w:p>
        </w:tc>
      </w:tr>
      <w:tr>
        <w:tc>
          <w:tcPr/>
          <w:p>
            <w:pPr>
              <w:pStyle w:val="Compact"/>
            </w:pPr>
            <w:r>
              <w:rPr>
                <w:b/>
                <w:bCs/>
              </w:rPr>
              <w:t xml:space="preserve">Head of Engineering</w:t>
            </w:r>
          </w:p>
        </w:tc>
        <w:tc>
          <w:tcPr/>
          <w:p>
            <w:pPr>
              <w:pStyle w:val="Compact"/>
            </w:pPr>
            <w:r>
              <w:t xml:space="preserve">Data classification in code, TTLs, retention config</w:t>
            </w:r>
          </w:p>
        </w:tc>
      </w:tr>
      <w:tr>
        <w:tc>
          <w:tcPr/>
          <w:p>
            <w:pPr>
              <w:pStyle w:val="Compact"/>
            </w:pPr>
            <w:r>
              <w:rPr>
                <w:b/>
                <w:bCs/>
              </w:rPr>
              <w:t xml:space="preserve">Internal Audit</w:t>
            </w:r>
          </w:p>
        </w:tc>
        <w:tc>
          <w:tcPr/>
          <w:p>
            <w:pPr>
              <w:pStyle w:val="Compact"/>
            </w:pPr>
            <w:r>
              <w:t xml:space="preserve">Quarterly verification against the retention schedule</w:t>
            </w:r>
          </w:p>
        </w:tc>
      </w:tr>
    </w:tbl>
    <w:p>
      <w:pPr>
        <w:pStyle w:val="BodyText"/>
      </w:pPr>
      <w:r>
        <w:t xml:space="preserve">Every permanent deletion requires</w:t>
      </w:r>
      <w:r>
        <w:t xml:space="preserve"> </w:t>
      </w:r>
      <w:r>
        <w:rPr>
          <w:b/>
          <w:bCs/>
        </w:rPr>
        <w:t xml:space="preserve">dual control</w:t>
      </w:r>
      <w:r>
        <w:t xml:space="preserve"> </w:t>
      </w:r>
      <w:r>
        <w:t xml:space="preserve">(requester + approver) and is recorded in the append-only</w:t>
      </w:r>
      <w:r>
        <w:t xml:space="preserve"> </w:t>
      </w:r>
      <w:r>
        <w:rPr>
          <w:rStyle w:val="VerbatimChar"/>
        </w:rPr>
        <w:t xml:space="preserve">audit_log</w:t>
      </w:r>
      <w:r>
        <w:t xml:space="preserve">.</w:t>
      </w:r>
    </w:p>
    <w:p>
      <w:r>
        <w:pict>
          <v:rect style="width:0;height:1.5pt" o:hralign="center" o:hrstd="t" o:hr="t"/>
        </w:pict>
      </w:r>
    </w:p>
    <w:bookmarkEnd w:id="378"/>
    <w:bookmarkStart w:id="379" w:name="data-classification"/>
    <w:p>
      <w:pPr>
        <w:pStyle w:val="Heading2"/>
      </w:pPr>
      <w:r>
        <w:t xml:space="preserve">3. Data Classification</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Class</w:t>
            </w:r>
          </w:p>
        </w:tc>
        <w:tc>
          <w:tcPr/>
          <w:p>
            <w:pPr>
              <w:pStyle w:val="Compact"/>
            </w:pPr>
            <w:r>
              <w:t xml:space="preserve">Definition</w:t>
            </w:r>
          </w:p>
        </w:tc>
        <w:tc>
          <w:tcPr/>
          <w:p>
            <w:pPr>
              <w:pStyle w:val="Compact"/>
            </w:pPr>
            <w:r>
              <w:t xml:space="preserve">Examples</w:t>
            </w:r>
          </w:p>
        </w:tc>
      </w:tr>
      <w:tr>
        <w:tc>
          <w:tcPr/>
          <w:p>
            <w:pPr>
              <w:pStyle w:val="Compact"/>
            </w:pPr>
            <w:r>
              <w:rPr>
                <w:b/>
                <w:bCs/>
              </w:rPr>
              <w:t xml:space="preserve">C1 — Cardholder Data (CHD)</w:t>
            </w:r>
          </w:p>
        </w:tc>
        <w:tc>
          <w:tcPr/>
          <w:p>
            <w:pPr>
              <w:pStyle w:val="Compact"/>
            </w:pPr>
            <w:r>
              <w:t xml:space="preserve">PCI-scope data, conditionally storable</w:t>
            </w:r>
          </w:p>
        </w:tc>
        <w:tc>
          <w:tcPr/>
          <w:p>
            <w:pPr>
              <w:pStyle w:val="Compact"/>
            </w:pPr>
            <w:r>
              <w:t xml:space="preserve">PAN (tokenized/encrypted), card expiry, cardholder name</w:t>
            </w:r>
          </w:p>
        </w:tc>
      </w:tr>
      <w:tr>
        <w:tc>
          <w:tcPr/>
          <w:p>
            <w:pPr>
              <w:pStyle w:val="Compact"/>
            </w:pPr>
            <w:r>
              <w:rPr>
                <w:b/>
                <w:bCs/>
              </w:rPr>
              <w:t xml:space="preserve">C1S — Sensitive Auth Data (SAD)</w:t>
            </w:r>
          </w:p>
        </w:tc>
        <w:tc>
          <w:tcPr/>
          <w:p>
            <w:pPr>
              <w:pStyle w:val="Compact"/>
            </w:pPr>
            <w:r>
              <w:t xml:space="preserve">Must never be stored post-authorization</w:t>
            </w:r>
          </w:p>
        </w:tc>
        <w:tc>
          <w:tcPr/>
          <w:p>
            <w:pPr>
              <w:pStyle w:val="Compact"/>
            </w:pPr>
            <w:r>
              <w:t xml:space="preserve">CVV2/CVC2, full track, PIN/PIN block</w:t>
            </w:r>
          </w:p>
        </w:tc>
      </w:tr>
      <w:tr>
        <w:tc>
          <w:tcPr/>
          <w:p>
            <w:pPr>
              <w:pStyle w:val="Compact"/>
            </w:pPr>
            <w:r>
              <w:rPr>
                <w:b/>
                <w:bCs/>
              </w:rPr>
              <w:t xml:space="preserve">C2 — Personal Data (PII)</w:t>
            </w:r>
          </w:p>
        </w:tc>
        <w:tc>
          <w:tcPr/>
          <w:p>
            <w:pPr>
              <w:pStyle w:val="Compact"/>
            </w:pPr>
            <w:r>
              <w:t xml:space="preserve">Per PDPA</w:t>
            </w:r>
          </w:p>
        </w:tc>
        <w:tc>
          <w:tcPr/>
          <w:p>
            <w:pPr>
              <w:pStyle w:val="Compact"/>
            </w:pPr>
            <w:r>
              <w:t xml:space="preserve">Name, email, phone, KYC docs of cardholder/merchant reps</w:t>
            </w:r>
          </w:p>
        </w:tc>
      </w:tr>
      <w:tr>
        <w:tc>
          <w:tcPr/>
          <w:p>
            <w:pPr>
              <w:pStyle w:val="Compact"/>
            </w:pPr>
            <w:r>
              <w:rPr>
                <w:b/>
                <w:bCs/>
              </w:rPr>
              <w:t xml:space="preserve">C3 — Transaction &amp; accounting data</w:t>
            </w:r>
          </w:p>
        </w:tc>
        <w:tc>
          <w:tcPr/>
          <w:p>
            <w:pPr>
              <w:pStyle w:val="Compact"/>
            </w:pPr>
            <w:r>
              <w:t xml:space="preserve">Financial records</w:t>
            </w:r>
          </w:p>
        </w:tc>
        <w:tc>
          <w:tcPr/>
          <w:p>
            <w:pPr>
              <w:pStyle w:val="Compact"/>
            </w:pPr>
            <w:r>
              <w:t xml:space="preserve">payments, ledger_entries, refunds, settlement</w:t>
            </w:r>
          </w:p>
        </w:tc>
      </w:tr>
      <w:tr>
        <w:tc>
          <w:tcPr/>
          <w:p>
            <w:pPr>
              <w:pStyle w:val="Compact"/>
            </w:pPr>
            <w:r>
              <w:rPr>
                <w:b/>
                <w:bCs/>
              </w:rPr>
              <w:t xml:space="preserve">C4 — System / security data</w:t>
            </w:r>
          </w:p>
        </w:tc>
        <w:tc>
          <w:tcPr/>
          <w:p>
            <w:pPr>
              <w:pStyle w:val="Compact"/>
            </w:pPr>
            <w:r>
              <w:t xml:space="preserve">Logs, audit trail</w:t>
            </w:r>
          </w:p>
        </w:tc>
        <w:tc>
          <w:tcPr/>
          <w:p>
            <w:pPr>
              <w:pStyle w:val="Compact"/>
            </w:pPr>
            <w:r>
              <w:t xml:space="preserve">audit_log, access logs, WAF/IDS logs</w:t>
            </w:r>
          </w:p>
        </w:tc>
      </w:tr>
      <w:tr>
        <w:tc>
          <w:tcPr/>
          <w:p>
            <w:pPr>
              <w:pStyle w:val="Compact"/>
            </w:pPr>
            <w:r>
              <w:rPr>
                <w:b/>
                <w:bCs/>
              </w:rPr>
              <w:t xml:space="preserve">C5 — KYC/AML data</w:t>
            </w:r>
          </w:p>
        </w:tc>
        <w:tc>
          <w:tcPr/>
          <w:p>
            <w:pPr>
              <w:pStyle w:val="Compact"/>
            </w:pPr>
            <w:r>
              <w:t xml:space="preserve">Identity evidence, screening</w:t>
            </w:r>
          </w:p>
        </w:tc>
        <w:tc>
          <w:tcPr/>
          <w:p>
            <w:pPr>
              <w:pStyle w:val="Compact"/>
            </w:pPr>
            <w:r>
              <w:t xml:space="preserve">CDD/EDD records, sanction screening, STR/SAR</w:t>
            </w:r>
          </w:p>
        </w:tc>
      </w:tr>
    </w:tbl>
    <w:p>
      <w:r>
        <w:pict>
          <v:rect style="width:0;height:1.5pt" o:hralign="center" o:hrstd="t" o:hr="t"/>
        </w:pict>
      </w:r>
    </w:p>
    <w:bookmarkEnd w:id="379"/>
    <w:bookmarkStart w:id="380" w:name="master-retention-schedule"/>
    <w:p>
      <w:pPr>
        <w:pStyle w:val="Heading2"/>
      </w:pPr>
      <w:r>
        <w:t xml:space="preserve">4. Master Retention Schedule</w:t>
      </w:r>
    </w:p>
    <w:p>
      <w:pPr>
        <w:pStyle w:val="BlockText"/>
      </w:pPr>
      <w:r>
        <w:t xml:space="preserve">The longest applicable legal obligation governs (longest-applicable-rule wins). Once expired, data is deleted/destroyed in the next purge cycle.</w:t>
      </w:r>
    </w:p>
    <w:tbl>
      <w:tblPr>
        <w:tblStyle w:val="Table"/>
        <w:tblW w:type="pct" w:w="5000"/>
        <w:tblLayout w:type="fixed"/>
        <w:tblLook w:firstRow="1" w:lastRow="0" w:firstColumn="0" w:lastColumn="0" w:noHBand="0" w:noVBand="0" w:val="0020"/>
      </w:tblPr>
      <w:tblGrid>
        <w:gridCol w:w="261"/>
        <w:gridCol w:w="1218"/>
        <w:gridCol w:w="609"/>
        <w:gridCol w:w="957"/>
        <w:gridCol w:w="1218"/>
        <w:gridCol w:w="2175"/>
        <w:gridCol w:w="1479"/>
      </w:tblGrid>
      <w:tr>
        <w:trPr>
          <w:tblHeader w:val="on"/>
        </w:trPr>
        <w:tc>
          <w:tcPr/>
          <w:p>
            <w:pPr>
              <w:pStyle w:val="Compact"/>
            </w:pPr>
            <w:r>
              <w:t xml:space="preserve">#</w:t>
            </w:r>
          </w:p>
        </w:tc>
        <w:tc>
          <w:tcPr/>
          <w:p>
            <w:pPr>
              <w:pStyle w:val="Compact"/>
            </w:pPr>
            <w:r>
              <w:t xml:space="preserve">Data category</w:t>
            </w:r>
          </w:p>
        </w:tc>
        <w:tc>
          <w:tcPr/>
          <w:p>
            <w:pPr>
              <w:pStyle w:val="Compact"/>
            </w:pPr>
            <w:r>
              <w:t xml:space="preserve">Class</w:t>
            </w:r>
          </w:p>
        </w:tc>
        <w:tc>
          <w:tcPr/>
          <w:p>
            <w:pPr>
              <w:pStyle w:val="Compact"/>
            </w:pPr>
            <w:r>
              <w:t xml:space="preserve">Retention</w:t>
            </w:r>
          </w:p>
        </w:tc>
        <w:tc>
          <w:tcPr/>
          <w:p>
            <w:pPr>
              <w:pStyle w:val="Compact"/>
            </w:pPr>
            <w:r>
              <w:t xml:space="preserve">Clock starts</w:t>
            </w:r>
          </w:p>
        </w:tc>
        <w:tc>
          <w:tcPr/>
          <w:p>
            <w:pPr>
              <w:pStyle w:val="Compact"/>
            </w:pPr>
            <w:r>
              <w:t xml:space="preserve">Legal basis / rationale</w:t>
            </w:r>
          </w:p>
        </w:tc>
        <w:tc>
          <w:tcPr/>
          <w:p>
            <w:pPr>
              <w:pStyle w:val="Compact"/>
            </w:pPr>
            <w:r>
              <w:t xml:space="preserve">Deletion method</w:t>
            </w:r>
          </w:p>
        </w:tc>
      </w:tr>
      <w:tr>
        <w:tc>
          <w:tcPr/>
          <w:p>
            <w:pPr>
              <w:pStyle w:val="Compact"/>
            </w:pPr>
            <w:r>
              <w:t xml:space="preserve">1</w:t>
            </w:r>
          </w:p>
        </w:tc>
        <w:tc>
          <w:tcPr/>
          <w:p>
            <w:pPr>
              <w:pStyle w:val="Compact"/>
            </w:pPr>
            <w:r>
              <w:rPr>
                <w:b/>
                <w:bCs/>
              </w:rPr>
              <w:t xml:space="preserve">Card token (PAN token) in vault</w:t>
            </w:r>
          </w:p>
        </w:tc>
        <w:tc>
          <w:tcPr/>
          <w:p>
            <w:pPr>
              <w:pStyle w:val="Compact"/>
            </w:pPr>
            <w:r>
              <w:t xml:space="preserve">C1</w:t>
            </w:r>
          </w:p>
        </w:tc>
        <w:tc>
          <w:tcPr/>
          <w:p>
            <w:pPr>
              <w:pStyle w:val="Compact"/>
            </w:pPr>
            <w:r>
              <w:rPr>
                <w:b/>
                <w:bCs/>
              </w:rPr>
              <w:t xml:space="preserve">≤ mandate life / max 15 months</w:t>
            </w:r>
            <w:r>
              <w:t xml:space="preserve"> </w:t>
            </w:r>
            <w:r>
              <w:t xml:space="preserve">for CIT recurring token; single-use token deleted right after use (≤ 24h)</w:t>
            </w:r>
          </w:p>
        </w:tc>
        <w:tc>
          <w:tcPr/>
          <w:p>
            <w:pPr>
              <w:pStyle w:val="Compact"/>
            </w:pPr>
            <w:r>
              <w:t xml:space="preserve">Token creation / last use</w:t>
            </w:r>
          </w:p>
        </w:tc>
        <w:tc>
          <w:tcPr/>
          <w:p>
            <w:pPr>
              <w:pStyle w:val="Compact"/>
            </w:pPr>
            <w:r>
              <w:t xml:space="preserve">PCI-DSS 3.2, EMV 3DS / network tokenization mandate; data minimization</w:t>
            </w:r>
          </w:p>
        </w:tc>
        <w:tc>
          <w:tcPr/>
          <w:p>
            <w:pPr>
              <w:pStyle w:val="Compact"/>
            </w:pPr>
            <w:r>
              <w:rPr>
                <w:b/>
                <w:bCs/>
              </w:rPr>
              <w:t xml:space="preserve">Crypto-erasure</w:t>
            </w:r>
            <w:r>
              <w:t xml:space="preserve"> </w:t>
            </w:r>
            <w:r>
              <w:t xml:space="preserve">(destroy DEK) + purge record</w:t>
            </w:r>
          </w:p>
        </w:tc>
      </w:tr>
      <w:tr>
        <w:tc>
          <w:tcPr/>
          <w:p>
            <w:pPr>
              <w:pStyle w:val="Compact"/>
            </w:pPr>
            <w:r>
              <w:t xml:space="preserve">2</w:t>
            </w:r>
          </w:p>
        </w:tc>
        <w:tc>
          <w:tcPr/>
          <w:p>
            <w:pPr>
              <w:pStyle w:val="Compact"/>
            </w:pPr>
            <w:r>
              <w:rPr>
                <w:b/>
                <w:bCs/>
              </w:rPr>
              <w:t xml:space="preserve">Encrypted PAN (if any outside vault)</w:t>
            </w:r>
          </w:p>
        </w:tc>
        <w:tc>
          <w:tcPr/>
          <w:p>
            <w:pPr>
              <w:pStyle w:val="Compact"/>
            </w:pPr>
            <w:r>
              <w:t xml:space="preserve">C1</w:t>
            </w:r>
          </w:p>
        </w:tc>
        <w:tc>
          <w:tcPr/>
          <w:p>
            <w:pPr>
              <w:pStyle w:val="Compact"/>
            </w:pPr>
            <w:r>
              <w:t xml:space="preserve">Only as long as needed for the transaction</w:t>
            </w:r>
          </w:p>
        </w:tc>
        <w:tc>
          <w:tcPr/>
          <w:p>
            <w:pPr>
              <w:pStyle w:val="Compact"/>
            </w:pPr>
            <w:r>
              <w:t xml:space="preserve">Transaction date</w:t>
            </w:r>
          </w:p>
        </w:tc>
        <w:tc>
          <w:tcPr/>
          <w:p>
            <w:pPr>
              <w:pStyle w:val="Compact"/>
            </w:pPr>
            <w:r>
              <w:t xml:space="preserve">PCI-DSS 3.2.1</w:t>
            </w:r>
          </w:p>
        </w:tc>
        <w:tc>
          <w:tcPr/>
          <w:p>
            <w:pPr>
              <w:pStyle w:val="Compact"/>
            </w:pPr>
            <w:r>
              <w:t xml:space="preserve">Crypto-erasure</w:t>
            </w:r>
          </w:p>
        </w:tc>
      </w:tr>
      <w:tr>
        <w:tc>
          <w:tcPr/>
          <w:p>
            <w:pPr>
              <w:pStyle w:val="Compact"/>
            </w:pPr>
            <w:r>
              <w:t xml:space="preserve">3</w:t>
            </w:r>
          </w:p>
        </w:tc>
        <w:tc>
          <w:tcPr/>
          <w:p>
            <w:pPr>
              <w:pStyle w:val="Compact"/>
            </w:pPr>
            <w:r>
              <w:rPr>
                <w:b/>
                <w:bCs/>
              </w:rPr>
              <w:t xml:space="preserve">Sensitive Auth Data (CVV2/track/PIN)</w:t>
            </w:r>
          </w:p>
        </w:tc>
        <w:tc>
          <w:tcPr/>
          <w:p>
            <w:pPr>
              <w:pStyle w:val="Compact"/>
            </w:pPr>
            <w:r>
              <w:t xml:space="preserve">C1S</w:t>
            </w:r>
          </w:p>
        </w:tc>
        <w:tc>
          <w:tcPr/>
          <w:p>
            <w:pPr>
              <w:pStyle w:val="Compact"/>
            </w:pPr>
            <w:r>
              <w:rPr>
                <w:b/>
                <w:bCs/>
              </w:rPr>
              <w:t xml:space="preserve">0 (never stored)</w:t>
            </w:r>
            <w:r>
              <w:t xml:space="preserve"> </w:t>
            </w:r>
            <w:r>
              <w:t xml:space="preserve">— purged immediately after authorization</w:t>
            </w:r>
          </w:p>
        </w:tc>
        <w:tc>
          <w:tcPr/>
          <w:p>
            <w:pPr>
              <w:pStyle w:val="Compact"/>
            </w:pPr>
            <w:r>
              <w:t xml:space="preserve">—</w:t>
            </w:r>
          </w:p>
        </w:tc>
        <w:tc>
          <w:tcPr/>
          <w:p>
            <w:pPr>
              <w:pStyle w:val="Compact"/>
            </w:pPr>
            <w:r>
              <w:t xml:space="preserve">PCI-DSS 3.3.1 (no SAD after auth)</w:t>
            </w:r>
          </w:p>
        </w:tc>
        <w:tc>
          <w:tcPr/>
          <w:p>
            <w:pPr>
              <w:pStyle w:val="Compact"/>
            </w:pPr>
            <w:r>
              <w:t xml:space="preserve">Not persisted; memory scrub</w:t>
            </w:r>
          </w:p>
        </w:tc>
      </w:tr>
      <w:tr>
        <w:tc>
          <w:tcPr/>
          <w:p>
            <w:pPr>
              <w:pStyle w:val="Compact"/>
            </w:pPr>
            <w:r>
              <w:t xml:space="preserve">4</w:t>
            </w:r>
          </w:p>
        </w:tc>
        <w:tc>
          <w:tcPr/>
          <w:p>
            <w:pPr>
              <w:pStyle w:val="Compact"/>
            </w:pPr>
            <w:r>
              <w:rPr>
                <w:b/>
                <w:bCs/>
              </w:rPr>
              <w:t xml:space="preserve">payments / refunds (transaction records)</w:t>
            </w:r>
          </w:p>
        </w:tc>
        <w:tc>
          <w:tcPr/>
          <w:p>
            <w:pPr>
              <w:pStyle w:val="Compact"/>
            </w:pPr>
            <w:r>
              <w:t xml:space="preserve">C3</w:t>
            </w:r>
          </w:p>
        </w:tc>
        <w:tc>
          <w:tcPr/>
          <w:p>
            <w:pPr>
              <w:pStyle w:val="Compact"/>
            </w:pPr>
            <w:r>
              <w:rPr>
                <w:b/>
                <w:bCs/>
              </w:rPr>
              <w:t xml:space="preserve">10 years</w:t>
            </w:r>
          </w:p>
        </w:tc>
        <w:tc>
          <w:tcPr/>
          <w:p>
            <w:pPr>
              <w:pStyle w:val="Compact"/>
            </w:pPr>
            <w:r>
              <w:t xml:space="preserve">End of transaction’s fiscal year</w:t>
            </w:r>
          </w:p>
        </w:tc>
        <w:tc>
          <w:tcPr/>
          <w:p>
            <w:pPr>
              <w:pStyle w:val="Compact"/>
            </w:pPr>
            <w:r>
              <w:t xml:space="preserve">Civil &amp; Commercial Code limitation + AMLO 5-year + tax/accounting standards (use longest)</w:t>
            </w:r>
          </w:p>
        </w:tc>
        <w:tc>
          <w:tcPr/>
          <w:p>
            <w:pPr>
              <w:pStyle w:val="Compact"/>
            </w:pPr>
            <w:r>
              <w:t xml:space="preserve">Soft-delete → hard purge</w:t>
            </w:r>
          </w:p>
        </w:tc>
      </w:tr>
      <w:tr>
        <w:tc>
          <w:tcPr/>
          <w:p>
            <w:pPr>
              <w:pStyle w:val="Compact"/>
            </w:pPr>
            <w:r>
              <w:t xml:space="preserve">5</w:t>
            </w:r>
          </w:p>
        </w:tc>
        <w:tc>
          <w:tcPr/>
          <w:p>
            <w:pPr>
              <w:pStyle w:val="Compact"/>
            </w:pPr>
            <w:r>
              <w:rPr>
                <w:b/>
                <w:bCs/>
              </w:rPr>
              <w:t xml:space="preserve">ledger_entries (append-only)</w:t>
            </w:r>
          </w:p>
        </w:tc>
        <w:tc>
          <w:tcPr/>
          <w:p>
            <w:pPr>
              <w:pStyle w:val="Compact"/>
            </w:pPr>
            <w:r>
              <w:t xml:space="preserve">C3</w:t>
            </w:r>
          </w:p>
        </w:tc>
        <w:tc>
          <w:tcPr/>
          <w:p>
            <w:pPr>
              <w:pStyle w:val="Compact"/>
            </w:pPr>
            <w:r>
              <w:rPr>
                <w:b/>
                <w:bCs/>
              </w:rPr>
              <w:t xml:space="preserve">10 years</w:t>
            </w:r>
          </w:p>
        </w:tc>
        <w:tc>
          <w:tcPr/>
          <w:p>
            <w:pPr>
              <w:pStyle w:val="Compact"/>
            </w:pPr>
            <w:r>
              <w:t xml:space="preserve">Posting date</w:t>
            </w:r>
          </w:p>
        </w:tc>
        <w:tc>
          <w:tcPr/>
          <w:p>
            <w:pPr>
              <w:pStyle w:val="Compact"/>
            </w:pPr>
            <w:r>
              <w:t xml:space="preserve">Source of truth for settlement/reconciliation; BOT audit</w:t>
            </w:r>
          </w:p>
        </w:tc>
        <w:tc>
          <w:tcPr/>
          <w:p>
            <w:pPr>
              <w:pStyle w:val="Compact"/>
            </w:pPr>
            <w:r>
              <w:t xml:space="preserve">Archive → purge</w:t>
            </w:r>
          </w:p>
        </w:tc>
      </w:tr>
      <w:tr>
        <w:tc>
          <w:tcPr/>
          <w:p>
            <w:pPr>
              <w:pStyle w:val="Compact"/>
            </w:pPr>
            <w:r>
              <w:t xml:space="preserve">6</w:t>
            </w:r>
          </w:p>
        </w:tc>
        <w:tc>
          <w:tcPr/>
          <w:p>
            <w:pPr>
              <w:pStyle w:val="Compact"/>
            </w:pPr>
            <w:r>
              <w:rPr>
                <w:b/>
                <w:bCs/>
              </w:rPr>
              <w:t xml:space="preserve">card_last4 / card_brand</w:t>
            </w:r>
          </w:p>
        </w:tc>
        <w:tc>
          <w:tcPr/>
          <w:p>
            <w:pPr>
              <w:pStyle w:val="Compact"/>
            </w:pPr>
            <w:r>
              <w:t xml:space="preserve">C2</w:t>
            </w:r>
          </w:p>
        </w:tc>
        <w:tc>
          <w:tcPr/>
          <w:p>
            <w:pPr>
              <w:pStyle w:val="Compact"/>
            </w:pPr>
            <w:r>
              <w:t xml:space="preserve">Follows payment (max 10 years)</w:t>
            </w:r>
          </w:p>
        </w:tc>
        <w:tc>
          <w:tcPr/>
          <w:p>
            <w:pPr>
              <w:pStyle w:val="Compact"/>
            </w:pPr>
            <w:r>
              <w:t xml:space="preserve">Transaction date</w:t>
            </w:r>
          </w:p>
        </w:tc>
        <w:tc>
          <w:tcPr/>
          <w:p>
            <w:pPr>
              <w:pStyle w:val="Compact"/>
            </w:pPr>
            <w:r>
              <w:t xml:space="preserve">Display/dispute; not full CHD</w:t>
            </w:r>
          </w:p>
        </w:tc>
        <w:tc>
          <w:tcPr/>
          <w:p>
            <w:pPr>
              <w:pStyle w:val="Compact"/>
            </w:pPr>
            <w:r>
              <w:t xml:space="preserve">Purged with payment</w:t>
            </w:r>
          </w:p>
        </w:tc>
      </w:tr>
      <w:tr>
        <w:tc>
          <w:tcPr/>
          <w:p>
            <w:pPr>
              <w:pStyle w:val="Compact"/>
            </w:pPr>
            <w:r>
              <w:t xml:space="preserve">7</w:t>
            </w:r>
          </w:p>
        </w:tc>
        <w:tc>
          <w:tcPr/>
          <w:p>
            <w:pPr>
              <w:pStyle w:val="Compact"/>
            </w:pPr>
            <w:r>
              <w:rPr>
                <w:b/>
                <w:bCs/>
              </w:rPr>
              <w:t xml:space="preserve">KYC/CDD/EDD (merchant &amp; reps)</w:t>
            </w:r>
          </w:p>
        </w:tc>
        <w:tc>
          <w:tcPr/>
          <w:p>
            <w:pPr>
              <w:pStyle w:val="Compact"/>
            </w:pPr>
            <w:r>
              <w:t xml:space="preserve">C5</w:t>
            </w:r>
          </w:p>
        </w:tc>
        <w:tc>
          <w:tcPr/>
          <w:p>
            <w:pPr>
              <w:pStyle w:val="Compact"/>
            </w:pPr>
            <w:r>
              <w:rPr>
                <w:b/>
                <w:bCs/>
              </w:rPr>
              <w:t xml:space="preserve">10 years after relationship ends</w:t>
            </w:r>
            <w:r>
              <w:t xml:space="preserve"> </w:t>
            </w:r>
            <w:r>
              <w:t xml:space="preserve">(min 5 yrs per AMLO)</w:t>
            </w:r>
          </w:p>
        </w:tc>
        <w:tc>
          <w:tcPr/>
          <w:p>
            <w:pPr>
              <w:pStyle w:val="Compact"/>
            </w:pPr>
            <w:r>
              <w:t xml:space="preserve">Merchant offboarding date</w:t>
            </w:r>
          </w:p>
        </w:tc>
        <w:tc>
          <w:tcPr/>
          <w:p>
            <w:pPr>
              <w:pStyle w:val="Compact"/>
            </w:pPr>
            <w:r>
              <w:t xml:space="preserve">AMLO Act §22 (retain ≥5 yrs); BOT outsourcing/AML</w:t>
            </w:r>
          </w:p>
        </w:tc>
        <w:tc>
          <w:tcPr/>
          <w:p>
            <w:pPr>
              <w:pStyle w:val="Compact"/>
            </w:pPr>
            <w:r>
              <w:t xml:space="preserve">Secure delete docs + record</w:t>
            </w:r>
          </w:p>
        </w:tc>
      </w:tr>
      <w:tr>
        <w:tc>
          <w:tcPr/>
          <w:p>
            <w:pPr>
              <w:pStyle w:val="Compact"/>
            </w:pPr>
            <w:r>
              <w:t xml:space="preserve">8</w:t>
            </w:r>
          </w:p>
        </w:tc>
        <w:tc>
          <w:tcPr/>
          <w:p>
            <w:pPr>
              <w:pStyle w:val="Compact"/>
            </w:pPr>
            <w:r>
              <w:rPr>
                <w:b/>
                <w:bCs/>
              </w:rPr>
              <w:t xml:space="preserve">STR/SAR &amp; sanction screening logs</w:t>
            </w:r>
          </w:p>
        </w:tc>
        <w:tc>
          <w:tcPr/>
          <w:p>
            <w:pPr>
              <w:pStyle w:val="Compact"/>
            </w:pPr>
            <w:r>
              <w:t xml:space="preserve">C5</w:t>
            </w:r>
          </w:p>
        </w:tc>
        <w:tc>
          <w:tcPr/>
          <w:p>
            <w:pPr>
              <w:pStyle w:val="Compact"/>
            </w:pPr>
            <w:r>
              <w:rPr>
                <w:b/>
                <w:bCs/>
              </w:rPr>
              <w:t xml:space="preserve">10 years</w:t>
            </w:r>
          </w:p>
        </w:tc>
        <w:tc>
          <w:tcPr/>
          <w:p>
            <w:pPr>
              <w:pStyle w:val="Compact"/>
            </w:pPr>
            <w:r>
              <w:t xml:space="preserve">Report/screening date</w:t>
            </w:r>
          </w:p>
        </w:tc>
        <w:tc>
          <w:tcPr/>
          <w:p>
            <w:pPr>
              <w:pStyle w:val="Compact"/>
            </w:pPr>
            <w:r>
              <w:t xml:space="preserve">AMLO</w:t>
            </w:r>
          </w:p>
        </w:tc>
        <w:tc>
          <w:tcPr/>
          <w:p>
            <w:pPr>
              <w:pStyle w:val="Compact"/>
            </w:pPr>
            <w:r>
              <w:t xml:space="preserve">Secure delete</w:t>
            </w:r>
          </w:p>
        </w:tc>
      </w:tr>
      <w:tr>
        <w:tc>
          <w:tcPr/>
          <w:p>
            <w:pPr>
              <w:pStyle w:val="Compact"/>
            </w:pPr>
            <w:r>
              <w:t xml:space="preserve">9</w:t>
            </w:r>
          </w:p>
        </w:tc>
        <w:tc>
          <w:tcPr/>
          <w:p>
            <w:pPr>
              <w:pStyle w:val="Compact"/>
            </w:pPr>
            <w:r>
              <w:rPr>
                <w:b/>
                <w:bCs/>
              </w:rPr>
              <w:t xml:space="preserve">audit_log (all state changes)</w:t>
            </w:r>
          </w:p>
        </w:tc>
        <w:tc>
          <w:tcPr/>
          <w:p>
            <w:pPr>
              <w:pStyle w:val="Compact"/>
            </w:pPr>
            <w:r>
              <w:t xml:space="preserve">C4</w:t>
            </w:r>
          </w:p>
        </w:tc>
        <w:tc>
          <w:tcPr/>
          <w:p>
            <w:pPr>
              <w:pStyle w:val="Compact"/>
            </w:pPr>
            <w:r>
              <w:rPr>
                <w:b/>
                <w:bCs/>
              </w:rPr>
              <w:t xml:space="preserve">≥12 months online + 10 years archived</w:t>
            </w:r>
            <w:r>
              <w:t xml:space="preserve"> </w:t>
            </w:r>
            <w:r>
              <w:t xml:space="preserve">(last 3 months readily available)</w:t>
            </w:r>
          </w:p>
        </w:tc>
        <w:tc>
          <w:tcPr/>
          <w:p>
            <w:pPr>
              <w:pStyle w:val="Compact"/>
            </w:pPr>
            <w:r>
              <w:t xml:space="preserve">Event time</w:t>
            </w:r>
          </w:p>
        </w:tc>
        <w:tc>
          <w:tcPr/>
          <w:p>
            <w:pPr>
              <w:pStyle w:val="Compact"/>
            </w:pPr>
            <w:r>
              <w:t xml:space="preserve">PCI-DSS 10.5.1 (≥12 mo, 3 mo readily available); BOT audit</w:t>
            </w:r>
          </w:p>
        </w:tc>
        <w:tc>
          <w:tcPr/>
          <w:p>
            <w:pPr>
              <w:pStyle w:val="Compact"/>
            </w:pPr>
            <w:r>
              <w:t xml:space="preserve">Immutable → purge</w:t>
            </w:r>
          </w:p>
        </w:tc>
      </w:tr>
      <w:tr>
        <w:tc>
          <w:tcPr/>
          <w:p>
            <w:pPr>
              <w:pStyle w:val="Compact"/>
            </w:pPr>
            <w:r>
              <w:t xml:space="preserve">10</w:t>
            </w:r>
          </w:p>
        </w:tc>
        <w:tc>
          <w:tcPr/>
          <w:p>
            <w:pPr>
              <w:pStyle w:val="Compact"/>
            </w:pPr>
            <w:r>
              <w:rPr>
                <w:b/>
                <w:bCs/>
              </w:rPr>
              <w:t xml:space="preserve">Access / authentication logs</w:t>
            </w:r>
          </w:p>
        </w:tc>
        <w:tc>
          <w:tcPr/>
          <w:p>
            <w:pPr>
              <w:pStyle w:val="Compact"/>
            </w:pPr>
            <w:r>
              <w:t xml:space="preserve">C4</w:t>
            </w:r>
          </w:p>
        </w:tc>
        <w:tc>
          <w:tcPr/>
          <w:p>
            <w:pPr>
              <w:pStyle w:val="Compact"/>
            </w:pPr>
            <w:r>
              <w:rPr>
                <w:b/>
                <w:bCs/>
              </w:rPr>
              <w:t xml:space="preserve">≥12 months</w:t>
            </w:r>
          </w:p>
        </w:tc>
        <w:tc>
          <w:tcPr/>
          <w:p>
            <w:pPr>
              <w:pStyle w:val="Compact"/>
            </w:pPr>
            <w:r>
              <w:t xml:space="preserve">Event time</w:t>
            </w:r>
          </w:p>
        </w:tc>
        <w:tc>
          <w:tcPr/>
          <w:p>
            <w:pPr>
              <w:pStyle w:val="Compact"/>
            </w:pPr>
            <w:r>
              <w:t xml:space="preserve">PCI-DSS 10.5.1</w:t>
            </w:r>
          </w:p>
        </w:tc>
        <w:tc>
          <w:tcPr/>
          <w:p>
            <w:pPr>
              <w:pStyle w:val="Compact"/>
            </w:pPr>
            <w:r>
              <w:t xml:space="preserve">Purge</w:t>
            </w:r>
          </w:p>
        </w:tc>
      </w:tr>
      <w:tr>
        <w:tc>
          <w:tcPr/>
          <w:p>
            <w:pPr>
              <w:pStyle w:val="Compact"/>
            </w:pPr>
            <w:r>
              <w:t xml:space="preserve">11</w:t>
            </w:r>
          </w:p>
        </w:tc>
        <w:tc>
          <w:tcPr/>
          <w:p>
            <w:pPr>
              <w:pStyle w:val="Compact"/>
            </w:pPr>
            <w:r>
              <w:rPr>
                <w:b/>
                <w:bCs/>
              </w:rPr>
              <w:t xml:space="preserve">Application / infra / WAF / IDS logs</w:t>
            </w:r>
          </w:p>
        </w:tc>
        <w:tc>
          <w:tcPr/>
          <w:p>
            <w:pPr>
              <w:pStyle w:val="Compact"/>
            </w:pPr>
            <w:r>
              <w:t xml:space="preserve">C4</w:t>
            </w:r>
          </w:p>
        </w:tc>
        <w:tc>
          <w:tcPr/>
          <w:p>
            <w:pPr>
              <w:pStyle w:val="Compact"/>
            </w:pPr>
            <w:r>
              <w:t xml:space="preserve">12–18 months</w:t>
            </w:r>
          </w:p>
        </w:tc>
        <w:tc>
          <w:tcPr/>
          <w:p>
            <w:pPr>
              <w:pStyle w:val="Compact"/>
            </w:pPr>
            <w:r>
              <w:t xml:space="preserve">Event time</w:t>
            </w:r>
          </w:p>
        </w:tc>
        <w:tc>
          <w:tcPr/>
          <w:p>
            <w:pPr>
              <w:pStyle w:val="Compact"/>
            </w:pPr>
            <w:r>
              <w:t xml:space="preserve">Security monitoring, forensics</w:t>
            </w:r>
          </w:p>
        </w:tc>
        <w:tc>
          <w:tcPr/>
          <w:p>
            <w:pPr>
              <w:pStyle w:val="Compact"/>
            </w:pPr>
            <w:r>
              <w:t xml:space="preserve">Purge/rotate</w:t>
            </w:r>
          </w:p>
        </w:tc>
      </w:tr>
      <w:tr>
        <w:tc>
          <w:tcPr/>
          <w:p>
            <w:pPr>
              <w:pStyle w:val="Compact"/>
            </w:pPr>
            <w:r>
              <w:t xml:space="preserve">12</w:t>
            </w:r>
          </w:p>
        </w:tc>
        <w:tc>
          <w:tcPr/>
          <w:p>
            <w:pPr>
              <w:pStyle w:val="Compact"/>
            </w:pPr>
            <w:r>
              <w:rPr>
                <w:b/>
                <w:bCs/>
              </w:rPr>
              <w:t xml:space="preserve">webhook_events</w:t>
            </w:r>
          </w:p>
        </w:tc>
        <w:tc>
          <w:tcPr/>
          <w:p>
            <w:pPr>
              <w:pStyle w:val="Compact"/>
            </w:pPr>
            <w:r>
              <w:t xml:space="preserve">C3</w:t>
            </w:r>
          </w:p>
        </w:tc>
        <w:tc>
          <w:tcPr/>
          <w:p>
            <w:pPr>
              <w:pStyle w:val="Compact"/>
            </w:pPr>
            <w:r>
              <w:t xml:space="preserve">90 days (payload) / metadata 10 years</w:t>
            </w:r>
          </w:p>
        </w:tc>
        <w:tc>
          <w:tcPr/>
          <w:p>
            <w:pPr>
              <w:pStyle w:val="Compact"/>
            </w:pPr>
            <w:r>
              <w:t xml:space="preserve">Creation</w:t>
            </w:r>
          </w:p>
        </w:tc>
        <w:tc>
          <w:tcPr/>
          <w:p>
            <w:pPr>
              <w:pStyle w:val="Compact"/>
            </w:pPr>
            <w:r>
              <w:t xml:space="preserve">Operational retry + reconciliation</w:t>
            </w:r>
          </w:p>
        </w:tc>
        <w:tc>
          <w:tcPr/>
          <w:p>
            <w:pPr>
              <w:pStyle w:val="Compact"/>
            </w:pPr>
            <w:r>
              <w:t xml:space="preserve">Purge payload</w:t>
            </w:r>
          </w:p>
        </w:tc>
      </w:tr>
      <w:tr>
        <w:tc>
          <w:tcPr/>
          <w:p>
            <w:pPr>
              <w:pStyle w:val="Compact"/>
            </w:pPr>
            <w:r>
              <w:t xml:space="preserve">13</w:t>
            </w:r>
          </w:p>
        </w:tc>
        <w:tc>
          <w:tcPr/>
          <w:p>
            <w:pPr>
              <w:pStyle w:val="Compact"/>
            </w:pPr>
            <w:r>
              <w:rPr>
                <w:b/>
                <w:bCs/>
              </w:rPr>
              <w:t xml:space="preserve">3DS data (EMV 3DS result, ECI, DS/ACS ref)</w:t>
            </w:r>
          </w:p>
        </w:tc>
        <w:tc>
          <w:tcPr/>
          <w:p>
            <w:pPr>
              <w:pStyle w:val="Compact"/>
            </w:pPr>
            <w:r>
              <w:t xml:space="preserve">C2/C3</w:t>
            </w:r>
          </w:p>
        </w:tc>
        <w:tc>
          <w:tcPr/>
          <w:p>
            <w:pPr>
              <w:pStyle w:val="Compact"/>
            </w:pPr>
            <w:r>
              <w:t xml:space="preserve">Keep</w:t>
            </w:r>
            <w:r>
              <w:t xml:space="preserve"> </w:t>
            </w:r>
            <w:r>
              <w:rPr>
                <w:b/>
                <w:bCs/>
              </w:rPr>
              <w:t xml:space="preserve">liability-shift evidence 13+ months</w:t>
            </w:r>
            <w:r>
              <w:t xml:space="preserve"> </w:t>
            </w:r>
            <w:r>
              <w:t xml:space="preserve">(covers chargeback window); do not retain raw CAVV beyond need</w:t>
            </w:r>
          </w:p>
        </w:tc>
        <w:tc>
          <w:tcPr/>
          <w:p>
            <w:pPr>
              <w:pStyle w:val="Compact"/>
            </w:pPr>
            <w:r>
              <w:t xml:space="preserve">Authentication date</w:t>
            </w:r>
          </w:p>
        </w:tc>
        <w:tc>
          <w:tcPr/>
          <w:p>
            <w:pPr>
              <w:pStyle w:val="Compact"/>
            </w:pPr>
            <w:r>
              <w:t xml:space="preserve">Chargeback/dispute evidence (Visa/MC ~120–540 days)</w:t>
            </w:r>
          </w:p>
        </w:tc>
        <w:tc>
          <w:tcPr/>
          <w:p>
            <w:pPr>
              <w:pStyle w:val="Compact"/>
            </w:pPr>
            <w:r>
              <w:t xml:space="preserve">Purge</w:t>
            </w:r>
          </w:p>
        </w:tc>
      </w:tr>
      <w:tr>
        <w:tc>
          <w:tcPr/>
          <w:p>
            <w:pPr>
              <w:pStyle w:val="Compact"/>
            </w:pPr>
            <w:r>
              <w:t xml:space="preserve">14</w:t>
            </w:r>
          </w:p>
        </w:tc>
        <w:tc>
          <w:tcPr/>
          <w:p>
            <w:pPr>
              <w:pStyle w:val="Compact"/>
            </w:pPr>
            <w:r>
              <w:rPr>
                <w:b/>
                <w:bCs/>
              </w:rPr>
              <w:t xml:space="preserve">Backup / snapshot</w:t>
            </w:r>
          </w:p>
        </w:tc>
        <w:tc>
          <w:tcPr/>
          <w:p>
            <w:pPr>
              <w:pStyle w:val="Compact"/>
            </w:pPr>
            <w:r>
              <w:t xml:space="preserve">Per source</w:t>
            </w:r>
          </w:p>
        </w:tc>
        <w:tc>
          <w:tcPr/>
          <w:p>
            <w:pPr>
              <w:pStyle w:val="Compact"/>
            </w:pPr>
            <w:r>
              <w:t xml:space="preserve">≤35 days (operational) + archive per rows 4/5</w:t>
            </w:r>
          </w:p>
        </w:tc>
        <w:tc>
          <w:tcPr/>
          <w:p>
            <w:pPr>
              <w:pStyle w:val="Compact"/>
            </w:pPr>
            <w:r>
              <w:t xml:space="preserve">Backup creation</w:t>
            </w:r>
          </w:p>
        </w:tc>
        <w:tc>
          <w:tcPr/>
          <w:p>
            <w:pPr>
              <w:pStyle w:val="Compact"/>
            </w:pPr>
            <w:r>
              <w:t xml:space="preserve">RPO ≤5 min (ARCHITECTURE §8); DR</w:t>
            </w:r>
          </w:p>
        </w:tc>
        <w:tc>
          <w:tcPr/>
          <w:p>
            <w:pPr>
              <w:pStyle w:val="Compact"/>
            </w:pPr>
            <w:r>
              <w:t xml:space="preserve">Crypto-erasure of backup key</w:t>
            </w:r>
          </w:p>
        </w:tc>
      </w:tr>
      <w:tr>
        <w:tc>
          <w:tcPr/>
          <w:p>
            <w:pPr>
              <w:pStyle w:val="Compact"/>
            </w:pPr>
            <w:r>
              <w:t xml:space="preserve">15</w:t>
            </w:r>
          </w:p>
        </w:tc>
        <w:tc>
          <w:tcPr/>
          <w:p>
            <w:pPr>
              <w:pStyle w:val="Compact"/>
            </w:pPr>
            <w:r>
              <w:rPr>
                <w:b/>
                <w:bCs/>
              </w:rPr>
              <w:t xml:space="preserve">PII under user/merchant deletion request (DSAR)</w:t>
            </w:r>
          </w:p>
        </w:tc>
        <w:tc>
          <w:tcPr/>
          <w:p>
            <w:pPr>
              <w:pStyle w:val="Compact"/>
            </w:pPr>
            <w:r>
              <w:t xml:space="preserve">C2</w:t>
            </w:r>
          </w:p>
        </w:tc>
        <w:tc>
          <w:tcPr/>
          <w:p>
            <w:pPr>
              <w:pStyle w:val="Compact"/>
            </w:pPr>
            <w:r>
              <w:t xml:space="preserve">Delete within</w:t>
            </w:r>
            <w:r>
              <w:t xml:space="preserve"> </w:t>
            </w:r>
            <w:r>
              <w:rPr>
                <w:b/>
                <w:bCs/>
              </w:rPr>
              <w:t xml:space="preserve">30 days</w:t>
            </w:r>
            <w:r>
              <w:t xml:space="preserve"> </w:t>
            </w:r>
            <w:r>
              <w:t xml:space="preserve">unless a legal retention duty applies</w:t>
            </w:r>
          </w:p>
        </w:tc>
        <w:tc>
          <w:tcPr/>
          <w:p>
            <w:pPr>
              <w:pStyle w:val="Compact"/>
            </w:pPr>
            <w:r>
              <w:t xml:space="preserve">Request receipt</w:t>
            </w:r>
          </w:p>
        </w:tc>
        <w:tc>
          <w:tcPr/>
          <w:p>
            <w:pPr>
              <w:pStyle w:val="Compact"/>
            </w:pPr>
            <w:r>
              <w:t xml:space="preserve">PDPA §33 (right to erasure)</w:t>
            </w:r>
          </w:p>
        </w:tc>
        <w:tc>
          <w:tcPr/>
          <w:p>
            <w:pPr>
              <w:pStyle w:val="Compact"/>
            </w:pPr>
            <w:r>
              <w:t xml:space="preserve">Secure delete/anonymize</w:t>
            </w:r>
          </w:p>
        </w:tc>
      </w:tr>
    </w:tbl>
    <w:p>
      <w:pPr>
        <w:pStyle w:val="BlockText"/>
      </w:pPr>
      <w:r>
        <w:rPr>
          <w:b/>
          <w:bCs/>
        </w:rPr>
        <w:t xml:space="preserve">Conflict handling:</w:t>
      </w:r>
      <w:r>
        <w:t xml:space="preserve"> </w:t>
      </w:r>
      <w:r>
        <w:t xml:space="preserve">Where a legal retention duty exists (e.g. AMLO or legal hold), a PDPA deletion request</w:t>
      </w:r>
      <w:r>
        <w:t xml:space="preserve"> </w:t>
      </w:r>
      <w:r>
        <w:t xml:space="preserve">is</w:t>
      </w:r>
      <w:r>
        <w:t xml:space="preserve"> </w:t>
      </w:r>
      <w:r>
        <w:rPr>
          <w:b/>
          <w:bCs/>
        </w:rPr>
        <w:t xml:space="preserve">suspended only for the portion under that duty</w:t>
      </w:r>
      <w:r>
        <w:t xml:space="preserve">, and the data subject is informed of the reason per PDPA §33.</w:t>
      </w:r>
    </w:p>
    <w:p>
      <w:r>
        <w:pict>
          <v:rect style="width:0;height:1.5pt" o:hralign="center" o:hrstd="t" o:hr="t"/>
        </w:pict>
      </w:r>
    </w:p>
    <w:bookmarkEnd w:id="380"/>
    <w:bookmarkStart w:id="381" w:name="card-token-retention-limits"/>
    <w:p>
      <w:pPr>
        <w:pStyle w:val="Heading2"/>
      </w:pPr>
      <w:r>
        <w:t xml:space="preserve">5. Card Token Retention Limits</w:t>
      </w:r>
    </w:p>
    <w:p>
      <w:pPr>
        <w:pStyle w:val="Compact"/>
        <w:numPr>
          <w:ilvl w:val="0"/>
          <w:numId w:val="1157"/>
        </w:numPr>
      </w:pPr>
      <w:r>
        <w:rPr>
          <w:b/>
          <w:bCs/>
        </w:rPr>
        <w:t xml:space="preserve">Single-use / one-time token</w:t>
      </w:r>
      <w:r>
        <w:t xml:space="preserve"> </w:t>
      </w:r>
      <w:r>
        <w:t xml:space="preserve">(from</w:t>
      </w:r>
      <w:r>
        <w:t xml:space="preserve"> </w:t>
      </w:r>
      <w:r>
        <w:rPr>
          <w:rStyle w:val="VerbatimChar"/>
        </w:rPr>
        <w:t xml:space="preserve">POST /v1/payments</w:t>
      </w:r>
      <w:r>
        <w:t xml:space="preserve">, ARCHITECTURE §5.1): used once and</w:t>
      </w:r>
      <w:r>
        <w:t xml:space="preserve"> </w:t>
      </w:r>
      <w:r>
        <w:rPr>
          <w:b/>
          <w:bCs/>
        </w:rPr>
        <w:t xml:space="preserve">auto-expires</w:t>
      </w:r>
      <w:r>
        <w:rPr>
          <w:b/>
          <w:bCs/>
        </w:rPr>
        <w:t xml:space="preserve"> </w:t>
      </w:r>
      <w:r>
        <w:rPr>
          <w:b/>
          <w:bCs/>
        </w:rPr>
        <w:t xml:space="preserve">within 15 minutes</w:t>
      </w:r>
      <w:r>
        <w:t xml:space="preserve"> </w:t>
      </w:r>
      <w:r>
        <w:t xml:space="preserve">if unused;</w:t>
      </w:r>
      <w:r>
        <w:t xml:space="preserve"> </w:t>
      </w:r>
      <w:r>
        <w:rPr>
          <w:b/>
          <w:bCs/>
        </w:rPr>
        <w:t xml:space="preserve">deleted within 24 hours</w:t>
      </w:r>
      <w:r>
        <w:t xml:space="preserve"> </w:t>
      </w:r>
      <w:r>
        <w:t xml:space="preserve">after the transaction completes.</w:t>
      </w:r>
    </w:p>
    <w:p>
      <w:pPr>
        <w:pStyle w:val="Compact"/>
        <w:numPr>
          <w:ilvl w:val="0"/>
          <w:numId w:val="1157"/>
        </w:numPr>
      </w:pPr>
      <w:r>
        <w:rPr>
          <w:b/>
          <w:bCs/>
        </w:rPr>
        <w:t xml:space="preserve">Recurring / card-on-file token (CIT/MIT):</w:t>
      </w:r>
      <w:r>
        <w:t xml:space="preserve"> </w:t>
      </w:r>
      <w:r>
        <w:t xml:space="preserve">stored only with a cardholder mandate and bound to</w:t>
      </w:r>
      <w:r>
        <w:t xml:space="preserve"> </w:t>
      </w:r>
      <w:r>
        <w:rPr>
          <w:b/>
          <w:bCs/>
        </w:rPr>
        <w:t xml:space="preserve">network tokenization (Visa VTS / Mastercard MDES)</w:t>
      </w:r>
      <w:r>
        <w:t xml:space="preserve"> </w:t>
      </w:r>
      <w:r>
        <w:t xml:space="preserve">where available. Hard cap of</w:t>
      </w:r>
      <w:r>
        <w:t xml:space="preserve"> </w:t>
      </w:r>
      <w:r>
        <w:rPr>
          <w:b/>
          <w:bCs/>
        </w:rPr>
        <w:t xml:space="preserve">15 months from last use</w:t>
      </w:r>
      <w:r>
        <w:t xml:space="preserve">;</w:t>
      </w:r>
      <w:r>
        <w:t xml:space="preserve"> </w:t>
      </w:r>
      <w:r>
        <w:t xml:space="preserve">idle tokens are crypto-erased automatically by a daily idle-token expiry job.</w:t>
      </w:r>
    </w:p>
    <w:p>
      <w:pPr>
        <w:pStyle w:val="Compact"/>
        <w:numPr>
          <w:ilvl w:val="0"/>
          <w:numId w:val="1157"/>
        </w:numPr>
      </w:pPr>
      <w:r>
        <w:rPr>
          <w:b/>
          <w:bCs/>
        </w:rPr>
        <w:t xml:space="preserve">Mandate cancellation / merchant offboarding:</w:t>
      </w:r>
      <w:r>
        <w:t xml:space="preserve"> </w:t>
      </w:r>
      <w:r>
        <w:t xml:space="preserve">all tokens in that scope are destroyed within</w:t>
      </w:r>
      <w:r>
        <w:t xml:space="preserve"> </w:t>
      </w:r>
      <w:r>
        <w:rPr>
          <w:b/>
          <w:bCs/>
        </w:rPr>
        <w:t xml:space="preserve">72 hours</w:t>
      </w:r>
      <w:r>
        <w:t xml:space="preserve">.</w:t>
      </w:r>
    </w:p>
    <w:p>
      <w:pPr>
        <w:pStyle w:val="Compact"/>
        <w:numPr>
          <w:ilvl w:val="0"/>
          <w:numId w:val="1157"/>
        </w:numPr>
      </w:pPr>
      <w:r>
        <w:t xml:space="preserve">All tokens live in a</w:t>
      </w:r>
      <w:r>
        <w:t xml:space="preserve"> </w:t>
      </w:r>
      <w:r>
        <w:rPr>
          <w:b/>
          <w:bCs/>
        </w:rPr>
        <w:t xml:space="preserve">network-segmented tokenization vault</w:t>
      </w:r>
      <w:r>
        <w:t xml:space="preserve"> </w:t>
      </w:r>
      <w:r>
        <w:t xml:space="preserve">(ARCHITECTURE §4, §7); the token↔PAN mapping is</w:t>
      </w:r>
      <w:r>
        <w:t xml:space="preserve"> </w:t>
      </w:r>
      <w:r>
        <w:t xml:space="preserve">protected with</w:t>
      </w:r>
      <w:r>
        <w:t xml:space="preserve"> </w:t>
      </w:r>
      <w:r>
        <w:rPr>
          <w:b/>
          <w:bCs/>
        </w:rPr>
        <w:t xml:space="preserve">envelope encryption</w:t>
      </w:r>
      <w:r>
        <w:t xml:space="preserve"> </w:t>
      </w:r>
      <w:r>
        <w:t xml:space="preserve">and keys reside</w:t>
      </w:r>
      <w:r>
        <w:t xml:space="preserve"> </w:t>
      </w:r>
      <w:r>
        <w:rPr>
          <w:b/>
          <w:bCs/>
        </w:rPr>
        <w:t xml:space="preserve">only in HSM/KMS</w:t>
      </w:r>
      <w:r>
        <w:t xml:space="preserve">.</w:t>
      </w:r>
    </w:p>
    <w:p>
      <w:pPr>
        <w:pStyle w:val="Compact"/>
        <w:numPr>
          <w:ilvl w:val="0"/>
          <w:numId w:val="1157"/>
        </w:numPr>
      </w:pPr>
      <w:r>
        <w:t xml:space="preserve">The operational DB stores only a</w:t>
      </w:r>
      <w:r>
        <w:t xml:space="preserve"> </w:t>
      </w:r>
      <w:r>
        <w:rPr>
          <w:b/>
          <w:bCs/>
        </w:rPr>
        <w:t xml:space="preserve">token reference + card_last4 + card_brand</w:t>
      </w:r>
      <w:r>
        <w:t xml:space="preserve"> </w:t>
      </w:r>
      <w:r>
        <w:t xml:space="preserve">— never the PAN.</w:t>
      </w:r>
    </w:p>
    <w:p>
      <w:r>
        <w:pict>
          <v:rect style="width:0;height:1.5pt" o:hralign="center" o:hrstd="t" o:hr="t"/>
        </w:pict>
      </w:r>
    </w:p>
    <w:bookmarkEnd w:id="381"/>
    <w:bookmarkStart w:id="382" w:name="secure-deletion-procedures"/>
    <w:p>
      <w:pPr>
        <w:pStyle w:val="Heading2"/>
      </w:pPr>
      <w:r>
        <w:t xml:space="preserve">6. Secure Deletion Procedures</w:t>
      </w:r>
    </w:p>
    <w:tbl>
      <w:tblPr>
        <w:tblStyle w:val="Table"/>
        <w:tblW w:type="pct" w:w="5000"/>
        <w:tblLayout w:type="fixed"/>
        <w:tblLook w:firstRow="1" w:lastRow="0" w:firstColumn="0" w:lastColumn="0" w:noHBand="0" w:noVBand="0" w:val="0020"/>
      </w:tblPr>
      <w:tblGrid>
        <w:gridCol w:w="2346"/>
        <w:gridCol w:w="3226"/>
        <w:gridCol w:w="2346"/>
      </w:tblGrid>
      <w:tr>
        <w:trPr>
          <w:tblHeader w:val="on"/>
        </w:trPr>
        <w:tc>
          <w:tcPr/>
          <w:p>
            <w:pPr>
              <w:pStyle w:val="Compact"/>
            </w:pPr>
            <w:r>
              <w:t xml:space="preserve">Method</w:t>
            </w:r>
          </w:p>
        </w:tc>
        <w:tc>
          <w:tcPr/>
          <w:p>
            <w:pPr>
              <w:pStyle w:val="Compact"/>
            </w:pPr>
            <w:r>
              <w:t xml:space="preserve">Applies to</w:t>
            </w:r>
          </w:p>
        </w:tc>
        <w:tc>
          <w:tcPr/>
          <w:p>
            <w:pPr>
              <w:pStyle w:val="Compact"/>
            </w:pPr>
            <w:r>
              <w:t xml:space="preserve">Detail</w:t>
            </w:r>
          </w:p>
        </w:tc>
      </w:tr>
      <w:tr>
        <w:tc>
          <w:tcPr/>
          <w:p>
            <w:pPr>
              <w:pStyle w:val="Compact"/>
            </w:pPr>
            <w:r>
              <w:rPr>
                <w:b/>
                <w:bCs/>
              </w:rPr>
              <w:t xml:space="preserve">Crypto-erasure (primary)</w:t>
            </w:r>
          </w:p>
        </w:tc>
        <w:tc>
          <w:tcPr/>
          <w:p>
            <w:pPr>
              <w:pStyle w:val="Compact"/>
            </w:pPr>
            <w:r>
              <w:t xml:space="preserve">CHD, tokens, backups, all encrypted data</w:t>
            </w:r>
          </w:p>
        </w:tc>
        <w:tc>
          <w:tcPr/>
          <w:p>
            <w:pPr>
              <w:pStyle w:val="Compact"/>
            </w:pPr>
            <w:r>
              <w:t xml:space="preserve">Destroy the</w:t>
            </w:r>
            <w:r>
              <w:t xml:space="preserve"> </w:t>
            </w:r>
            <w:r>
              <w:rPr>
                <w:b/>
                <w:bCs/>
              </w:rPr>
              <w:t xml:space="preserve">Data Encryption Key (DEK)</w:t>
            </w:r>
            <w:r>
              <w:t xml:space="preserve"> </w:t>
            </w:r>
            <w:r>
              <w:t xml:space="preserve">in HSM/KMS → ciphertext unrecoverable; aligns with NIST SP 800-88 (Purge) and PCI-DSS 3.2/3.5</w:t>
            </w:r>
          </w:p>
        </w:tc>
      </w:tr>
      <w:tr>
        <w:tc>
          <w:tcPr/>
          <w:p>
            <w:pPr>
              <w:pStyle w:val="Compact"/>
            </w:pPr>
            <w:r>
              <w:rPr>
                <w:b/>
                <w:bCs/>
              </w:rPr>
              <w:t xml:space="preserve">Logical purge (hard delete)</w:t>
            </w:r>
          </w:p>
        </w:tc>
        <w:tc>
          <w:tcPr/>
          <w:p>
            <w:pPr>
              <w:pStyle w:val="Compact"/>
            </w:pPr>
            <w:r>
              <w:t xml:space="preserve">DB records</w:t>
            </w:r>
          </w:p>
        </w:tc>
        <w:tc>
          <w:tcPr/>
          <w:p>
            <w:pPr>
              <w:pStyle w:val="Compact"/>
            </w:pPr>
            <w:r>
              <w:rPr>
                <w:rStyle w:val="VerbatimChar"/>
              </w:rPr>
              <w:t xml:space="preserve">DELETE</w:t>
            </w:r>
            <w:r>
              <w:t xml:space="preserve"> </w:t>
            </w:r>
            <w:r>
              <w:t xml:space="preserve">+</w:t>
            </w:r>
            <w:r>
              <w:t xml:space="preserve"> </w:t>
            </w:r>
            <w:r>
              <w:rPr>
                <w:rStyle w:val="VerbatimChar"/>
              </w:rPr>
              <w:t xml:space="preserve">VACUUM</w:t>
            </w:r>
            <w:r>
              <w:t xml:space="preserve">/space reclaim, verified by row-count = 0; not a mere soft-delete flag</w:t>
            </w:r>
          </w:p>
        </w:tc>
      </w:tr>
      <w:tr>
        <w:tc>
          <w:tcPr/>
          <w:p>
            <w:pPr>
              <w:pStyle w:val="Compact"/>
            </w:pPr>
            <w:r>
              <w:rPr>
                <w:b/>
                <w:bCs/>
              </w:rPr>
              <w:t xml:space="preserve">Anonymization / tokenization</w:t>
            </w:r>
          </w:p>
        </w:tc>
        <w:tc>
          <w:tcPr/>
          <w:p>
            <w:pPr>
              <w:pStyle w:val="Compact"/>
            </w:pPr>
            <w:r>
              <w:t xml:space="preserve">PII where the transaction record must remain</w:t>
            </w:r>
          </w:p>
        </w:tc>
        <w:tc>
          <w:tcPr/>
          <w:p>
            <w:pPr>
              <w:pStyle w:val="Compact"/>
            </w:pPr>
            <w:r>
              <w:t xml:space="preserve">Replace PII with irreversible values to preserve ledger integrity without identifying the person</w:t>
            </w:r>
          </w:p>
        </w:tc>
      </w:tr>
      <w:tr>
        <w:tc>
          <w:tcPr/>
          <w:p>
            <w:pPr>
              <w:pStyle w:val="Compact"/>
            </w:pPr>
            <w:r>
              <w:rPr>
                <w:b/>
                <w:bCs/>
              </w:rPr>
              <w:t xml:space="preserve">Media sanitization</w:t>
            </w:r>
          </w:p>
        </w:tc>
        <w:tc>
          <w:tcPr/>
          <w:p>
            <w:pPr>
              <w:pStyle w:val="Compact"/>
            </w:pPr>
            <w:r>
              <w:t xml:space="preserve">Decommissioned disks/SSDs</w:t>
            </w:r>
          </w:p>
        </w:tc>
        <w:tc>
          <w:tcPr/>
          <w:p>
            <w:pPr>
              <w:pStyle w:val="Compact"/>
            </w:pPr>
            <w:r>
              <w:t xml:space="preserve">NIST SP 800-88 Purge/Destroy; issue a</w:t>
            </w:r>
            <w:r>
              <w:t xml:space="preserve"> </w:t>
            </w:r>
            <w:r>
              <w:rPr>
                <w:b/>
                <w:bCs/>
              </w:rPr>
              <w:t xml:space="preserve">Certificate of Destruction</w:t>
            </w:r>
            <w:r>
              <w:t xml:space="preserve"> </w:t>
            </w:r>
            <w:r>
              <w:t xml:space="preserve">retained 10 years</w:t>
            </w:r>
          </w:p>
        </w:tc>
      </w:tr>
      <w:tr>
        <w:tc>
          <w:tcPr/>
          <w:p>
            <w:pPr>
              <w:pStyle w:val="Compact"/>
            </w:pPr>
            <w:r>
              <w:rPr>
                <w:b/>
                <w:bCs/>
              </w:rPr>
              <w:t xml:space="preserve">Memory scrub</w:t>
            </w:r>
          </w:p>
        </w:tc>
        <w:tc>
          <w:tcPr/>
          <w:p>
            <w:pPr>
              <w:pStyle w:val="Compact"/>
            </w:pPr>
            <w:r>
              <w:t xml:space="preserve">SAD/PAN during processing</w:t>
            </w:r>
          </w:p>
        </w:tc>
        <w:tc>
          <w:tcPr/>
          <w:p>
            <w:pPr>
              <w:pStyle w:val="Compact"/>
            </w:pPr>
            <w:r>
              <w:t xml:space="preserve">Zero out buffers immediately after use; never swap to disk</w:t>
            </w:r>
          </w:p>
        </w:tc>
      </w:tr>
    </w:tbl>
    <w:p>
      <w:pPr>
        <w:pStyle w:val="BodyText"/>
      </w:pPr>
      <w:r>
        <w:rPr>
          <w:b/>
          <w:bCs/>
        </w:rPr>
        <w:t xml:space="preserve">Standard purge cycle when retention expires:</w:t>
      </w:r>
      <w:r>
        <w:t xml:space="preserve"> </w:t>
      </w:r>
      <w:r>
        <w:t xml:space="preserve">1. Retention engine (daily) selects records past their schedule (§4).</w:t>
      </w:r>
      <w:r>
        <w:t xml:space="preserve"> </w:t>
      </w:r>
      <w:r>
        <w:t xml:space="preserve">2. Check the</w:t>
      </w:r>
      <w:r>
        <w:t xml:space="preserve"> </w:t>
      </w:r>
      <w:r>
        <w:rPr>
          <w:b/>
          <w:bCs/>
        </w:rPr>
        <w:t xml:space="preserve">hold register</w:t>
      </w:r>
      <w:r>
        <w:t xml:space="preserve"> </w:t>
      </w:r>
      <w:r>
        <w:t xml:space="preserve">(legal / AML holds, litigation) — skip if held.</w:t>
      </w:r>
      <w:r>
        <w:t xml:space="preserve"> </w:t>
      </w:r>
      <w:r>
        <w:t xml:space="preserve">3. Dual-control approval for C1/C5 data.</w:t>
      </w:r>
      <w:r>
        <w:t xml:space="preserve"> </w:t>
      </w:r>
      <w:r>
        <w:t xml:space="preserve">4. Run crypto-erasure/purge — including</w:t>
      </w:r>
      <w:r>
        <w:t xml:space="preserve"> </w:t>
      </w:r>
      <w:r>
        <w:rPr>
          <w:b/>
          <w:bCs/>
        </w:rPr>
        <w:t xml:space="preserve">backups and replicas</w:t>
      </w:r>
      <w:r>
        <w:t xml:space="preserve"> </w:t>
      </w:r>
      <w:r>
        <w:t xml:space="preserve">(per RPO/DR).</w:t>
      </w:r>
      <w:r>
        <w:t xml:space="preserve"> </w:t>
      </w:r>
      <w:r>
        <w:t xml:space="preserve">5. Record the result (record count, timestamp, approver) in</w:t>
      </w:r>
      <w:r>
        <w:t xml:space="preserve"> </w:t>
      </w:r>
      <w:r>
        <w:rPr>
          <w:rStyle w:val="VerbatimChar"/>
        </w:rPr>
        <w:t xml:space="preserve">audit_log</w:t>
      </w:r>
      <w:r>
        <w:t xml:space="preserve">.</w:t>
      </w:r>
      <w:r>
        <w:t xml:space="preserve"> </w:t>
      </w:r>
      <w:r>
        <w:t xml:space="preserve">6. Internal Audit spot-checks quarterly.</w:t>
      </w:r>
    </w:p>
    <w:p>
      <w:r>
        <w:pict>
          <v:rect style="width:0;height:1.5pt" o:hralign="center" o:hrstd="t" o:hr="t"/>
        </w:pict>
      </w:r>
    </w:p>
    <w:bookmarkEnd w:id="382"/>
    <w:bookmarkStart w:id="383" w:name="backup-replica-data-residency"/>
    <w:p>
      <w:pPr>
        <w:pStyle w:val="Heading2"/>
      </w:pPr>
      <w:r>
        <w:t xml:space="preserve">7. Backup, Replica &amp; Data Residency</w:t>
      </w:r>
    </w:p>
    <w:p>
      <w:pPr>
        <w:pStyle w:val="Compact"/>
        <w:numPr>
          <w:ilvl w:val="0"/>
          <w:numId w:val="1158"/>
        </w:numPr>
      </w:pPr>
      <w:r>
        <w:t xml:space="preserve">Backups/replicas are encrypted; deletion covers backups via</w:t>
      </w:r>
      <w:r>
        <w:t xml:space="preserve"> </w:t>
      </w:r>
      <w:r>
        <w:rPr>
          <w:b/>
          <w:bCs/>
        </w:rPr>
        <w:t xml:space="preserve">crypto-erasure of the backup key</w:t>
      </w:r>
      <w:r>
        <w:t xml:space="preserve"> </w:t>
      </w:r>
      <w:r>
        <w:t xml:space="preserve">when backup</w:t>
      </w:r>
      <w:r>
        <w:t xml:space="preserve"> </w:t>
      </w:r>
      <w:r>
        <w:t xml:space="preserve">retention expires (≤35 days operational), without per-media overwrite.</w:t>
      </w:r>
    </w:p>
    <w:p>
      <w:pPr>
        <w:pStyle w:val="Compact"/>
        <w:numPr>
          <w:ilvl w:val="0"/>
          <w:numId w:val="1158"/>
        </w:numPr>
      </w:pPr>
      <w:r>
        <w:t xml:space="preserve">Data resides</w:t>
      </w:r>
      <w:r>
        <w:t xml:space="preserve"> </w:t>
      </w:r>
      <w:r>
        <w:rPr>
          <w:b/>
          <w:bCs/>
        </w:rPr>
        <w:t xml:space="preserve">in Thailand</w:t>
      </w:r>
      <w:r>
        <w:t xml:space="preserve"> </w:t>
      </w:r>
      <w:r>
        <w:t xml:space="preserve">per BOT/PDPA requirements (ARCHITECTURE §8); cross-border transfers follow PDPA §28–29.</w:t>
      </w:r>
    </w:p>
    <w:p>
      <w:pPr>
        <w:pStyle w:val="Compact"/>
        <w:numPr>
          <w:ilvl w:val="0"/>
          <w:numId w:val="1158"/>
        </w:numPr>
      </w:pPr>
      <w:r>
        <w:t xml:space="preserve">RPO ≤5 min / RTO ≤30 min — purge design must not compromise DR.</w:t>
      </w:r>
    </w:p>
    <w:p>
      <w:r>
        <w:pict>
          <v:rect style="width:0;height:1.5pt" o:hralign="center" o:hrstd="t" o:hr="t"/>
        </w:pict>
      </w:r>
    </w:p>
    <w:bookmarkEnd w:id="383"/>
    <w:bookmarkStart w:id="384" w:name="data-subject-requests-dsar-legal-hold"/>
    <w:p>
      <w:pPr>
        <w:pStyle w:val="Heading2"/>
      </w:pPr>
      <w:r>
        <w:t xml:space="preserve">8. Data Subject Requests (DSAR) &amp; Legal Hold</w:t>
      </w:r>
    </w:p>
    <w:p>
      <w:pPr>
        <w:pStyle w:val="Compact"/>
        <w:numPr>
          <w:ilvl w:val="0"/>
          <w:numId w:val="1159"/>
        </w:numPr>
      </w:pPr>
      <w:r>
        <w:t xml:space="preserve">PDPA access/erasure requests arrive via the published channel → DPO responds within</w:t>
      </w:r>
      <w:r>
        <w:t xml:space="preserve"> </w:t>
      </w:r>
      <w:r>
        <w:rPr>
          <w:b/>
          <w:bCs/>
        </w:rPr>
        <w:t xml:space="preserve">30 days</w:t>
      </w:r>
      <w:r>
        <w:t xml:space="preserve">.</w:t>
      </w:r>
    </w:p>
    <w:p>
      <w:pPr>
        <w:pStyle w:val="Compact"/>
        <w:numPr>
          <w:ilvl w:val="0"/>
          <w:numId w:val="1159"/>
        </w:numPr>
      </w:pPr>
      <w:r>
        <w:t xml:space="preserve">Data under a legal retention duty (AMLO 5–10 yrs, transactions 10 yrs) is retained until expiry, with reasons given.</w:t>
      </w:r>
    </w:p>
    <w:p>
      <w:pPr>
        <w:pStyle w:val="Compact"/>
        <w:numPr>
          <w:ilvl w:val="0"/>
          <w:numId w:val="1159"/>
        </w:numPr>
      </w:pPr>
      <w:r>
        <w:rPr>
          <w:b/>
          <w:bCs/>
        </w:rPr>
        <w:t xml:space="preserve">Legal hold</w:t>
      </w:r>
      <w:r>
        <w:t xml:space="preserve"> </w:t>
      </w:r>
      <w:r>
        <w:t xml:space="preserve">immediately suspends purge on litigation/authority order; recorded in the hold register with approver.</w:t>
      </w:r>
    </w:p>
    <w:p>
      <w:r>
        <w:pict>
          <v:rect style="width:0;height:1.5pt" o:hralign="center" o:hrstd="t" o:hr="t"/>
        </w:pict>
      </w:r>
    </w:p>
    <w:bookmarkEnd w:id="384"/>
    <w:bookmarkStart w:id="385" w:name="assumptions-todo-1"/>
    <w:p>
      <w:pPr>
        <w:pStyle w:val="Heading2"/>
      </w:pPr>
      <w:r>
        <w:t xml:space="preserve">9. Assumptions &amp; TODO</w:t>
      </w:r>
    </w:p>
    <w:p>
      <w:pPr>
        <w:pStyle w:val="BlockText"/>
      </w:pPr>
      <w:r>
        <w:t xml:space="preserve">[!IMPORTANT]</w:t>
      </w:r>
      <w:r>
        <w:t xml:space="preserve"> </w:t>
      </w:r>
      <w:r>
        <w:t xml:space="preserve">The following are</w:t>
      </w:r>
      <w:r>
        <w:t xml:space="preserve"> </w:t>
      </w:r>
      <w:r>
        <w:rPr>
          <w:b/>
          <w:bCs/>
        </w:rPr>
        <w:t xml:space="preserve">assumptions/TODOs</w:t>
      </w:r>
      <w:r>
        <w:t xml:space="preserve"> </w:t>
      </w:r>
      <w:r>
        <w:t xml:space="preserve">to confirm before actual submission — not yet locked facts:</w:t>
      </w:r>
      <w:r>
        <w:t xml:space="preserve"> </w:t>
      </w:r>
      <w:r>
        <w:t xml:space="preserve">-</w:t>
      </w:r>
      <w:r>
        <w:t xml:space="preserve"> </w:t>
      </w:r>
      <w:r>
        <w:rPr>
          <w:b/>
          <w:bCs/>
        </w:rPr>
        <w:t xml:space="preserve">Sponsor bank / card scheme:</w:t>
      </w:r>
      <w:r>
        <w:t xml:space="preserve"> </w:t>
      </w:r>
      <w:r>
        <w:t xml:space="preserve">not yet selected — Visa/Mastercard retention terms and chargeback windows</w:t>
      </w:r>
      <w:r>
        <w:t xml:space="preserve"> </w:t>
      </w:r>
      <w:r>
        <w:t xml:space="preserve">(row 13) must be adjusted to the actual contract (TODO).</w:t>
      </w:r>
      <w:r>
        <w:t xml:space="preserve"> </w:t>
      </w:r>
      <w:r>
        <w:t xml:space="preserve">-</w:t>
      </w:r>
      <w:r>
        <w:t xml:space="preserve"> </w:t>
      </w:r>
      <w:r>
        <w:rPr>
          <w:b/>
          <w:bCs/>
        </w:rPr>
        <w:t xml:space="preserve">QSA vendor:</w:t>
      </w:r>
      <w:r>
        <w:t xml:space="preserve"> </w:t>
      </w:r>
      <w:r>
        <w:t xml:space="preserve">not yet engaged — some PCI-DSS v4.0 interpretations (e.g. token retention caps) must be</w:t>
      </w:r>
      <w:r>
        <w:t xml:space="preserve"> </w:t>
      </w:r>
      <w:r>
        <w:t xml:space="preserve">confirmed with the chosen QSA (TODO).</w:t>
      </w:r>
      <w:r>
        <w:t xml:space="preserve"> </w:t>
      </w:r>
      <w:r>
        <w:t xml:space="preserve">-</w:t>
      </w:r>
      <w:r>
        <w:t xml:space="preserve"> </w:t>
      </w:r>
      <w:r>
        <w:rPr>
          <w:b/>
          <w:bCs/>
        </w:rPr>
        <w:t xml:space="preserve">Registered paid-up capital:</w:t>
      </w:r>
      <w:r>
        <w:t xml:space="preserve"> </w:t>
      </w:r>
      <w:r>
        <w:t xml:space="preserve">assumed THB 50M per the Acquiring threshold — confirm the actual paid-up figure (TODO).</w:t>
      </w:r>
      <w:r>
        <w:t xml:space="preserve"> </w:t>
      </w:r>
      <w:r>
        <w:t xml:space="preserve">-</w:t>
      </w:r>
      <w:r>
        <w:t xml:space="preserve"> </w:t>
      </w:r>
      <w:r>
        <w:rPr>
          <w:b/>
          <w:bCs/>
        </w:rPr>
        <w:t xml:space="preserve">Exact AMLO retention (5 vs 10 years):</w:t>
      </w:r>
      <w:r>
        <w:t xml:space="preserve"> </w:t>
      </w:r>
      <w:r>
        <w:t xml:space="preserve">conservatively using 10 years — confirm with AML legal counsel (TODO).</w:t>
      </w:r>
      <w:r>
        <w:t xml:space="preserve"> </w:t>
      </w:r>
      <w:r>
        <w:t xml:space="preserve">-</w:t>
      </w:r>
      <w:r>
        <w:t xml:space="preserve"> </w:t>
      </w:r>
      <w:r>
        <w:rPr>
          <w:b/>
          <w:bCs/>
        </w:rPr>
        <w:t xml:space="preserve">HSM/KMS and backup vendor:</w:t>
      </w:r>
      <w:r>
        <w:t xml:space="preserve"> </w:t>
      </w:r>
      <w:r>
        <w:t xml:space="preserve">confirm crypto-erasure SLA and certificate of destruction (TODO).</w:t>
      </w:r>
    </w:p>
    <w:p>
      <w:r>
        <w:pict>
          <v:rect style="width:0;height:1.5pt" o:hralign="center" o:hrstd="t" o:hr="t"/>
        </w:pict>
      </w:r>
    </w:p>
    <w:bookmarkEnd w:id="385"/>
    <w:bookmarkStart w:id="386" w:name="references"/>
    <w:p>
      <w:pPr>
        <w:pStyle w:val="Heading2"/>
      </w:pPr>
      <w:r>
        <w:t xml:space="preserve">References</w:t>
      </w:r>
    </w:p>
    <w:p>
      <w:pPr>
        <w:pStyle w:val="Compact"/>
        <w:numPr>
          <w:ilvl w:val="0"/>
          <w:numId w:val="1160"/>
        </w:numPr>
      </w:pPr>
      <w:r>
        <w:t xml:space="preserve">Payment Systems Act B.E. 2560 (2017) — Bank of Thailand</w:t>
      </w:r>
    </w:p>
    <w:p>
      <w:pPr>
        <w:pStyle w:val="Compact"/>
        <w:numPr>
          <w:ilvl w:val="0"/>
          <w:numId w:val="1160"/>
        </w:numPr>
      </w:pPr>
      <w:r>
        <w:t xml:space="preserve">Personal Data Protection Act B.E. 2562 (PDPA) — §28–29, §33, §37</w:t>
      </w:r>
    </w:p>
    <w:p>
      <w:pPr>
        <w:pStyle w:val="Compact"/>
        <w:numPr>
          <w:ilvl w:val="0"/>
          <w:numId w:val="1160"/>
        </w:numPr>
      </w:pPr>
      <w:r>
        <w:t xml:space="preserve">Anti-Money Laundering Act (AMLO / ปปง.) — §22 (record retention ≥5 years)</w:t>
      </w:r>
    </w:p>
    <w:p>
      <w:pPr>
        <w:pStyle w:val="Compact"/>
        <w:numPr>
          <w:ilvl w:val="0"/>
          <w:numId w:val="1160"/>
        </w:numPr>
      </w:pPr>
      <w:r>
        <w:t xml:space="preserve">PCI-DSS v4.0 — Req 3.2, 3.3.1, 3.5, 10.5.1</w:t>
      </w:r>
    </w:p>
    <w:p>
      <w:pPr>
        <w:pStyle w:val="Compact"/>
        <w:numPr>
          <w:ilvl w:val="0"/>
          <w:numId w:val="1160"/>
        </w:numPr>
      </w:pPr>
      <w:r>
        <w:t xml:space="preserve">EMV 3-D Secure (3DS) 2.x; Visa VTS / Mastercard MDES network tokenization</w:t>
      </w:r>
    </w:p>
    <w:p>
      <w:pPr>
        <w:pStyle w:val="Compact"/>
        <w:numPr>
          <w:ilvl w:val="0"/>
          <w:numId w:val="1160"/>
        </w:numPr>
      </w:pPr>
      <w:r>
        <w:t xml:space="preserve">NIST SP 800-88 Rev.1 — Guidelines for Media Sanitization</w:t>
      </w:r>
    </w:p>
    <w:p>
      <w:pPr>
        <w:pStyle w:val="Compact"/>
        <w:numPr>
          <w:ilvl w:val="0"/>
          <w:numId w:val="1160"/>
        </w:numPr>
      </w:pPr>
      <w:r>
        <w:t xml:space="preserve">Companion docs: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r>
        <w:br w:type="page"/>
      </w:r>
    </w:p>
    <w:bookmarkEnd w:id="386"/>
    <w:bookmarkEnd w:id="387"/>
    <w:bookmarkStart w:id="398" w:name="ขนตอนคำขอใชสทธของเจาของขอมล-dsar-ไทย"/>
    <w:p>
      <w:pPr>
        <w:pStyle w:val="Heading1"/>
      </w:pPr>
      <w:r>
        <w:t xml:space="preserve">ขั้นตอนคำขอใช้สิทธิของเจ้าของข้อมูล (DSAR) (ไทย)</w:t>
      </w:r>
    </w:p>
    <w:p>
      <w:pPr>
        <w:pStyle w:val="BlockText"/>
      </w:pPr>
      <w:r>
        <w:t xml:space="preserve">เอกสารเลขที่</w:t>
      </w:r>
      <w:r>
        <w:t xml:space="preserve"> </w:t>
      </w:r>
      <w:r>
        <w:rPr>
          <w:rStyle w:val="VerbatimChar"/>
        </w:rPr>
        <w:t xml:space="preserve">docs/compliance/12-dsar-workflow.md</w:t>
      </w:r>
      <w:r>
        <w:t xml:space="preserve"> </w:t>
      </w:r>
      <w:r>
        <w:t xml:space="preserve">· เวอร์ชัน 0.1 · วันที่จัดทำ 22 ก.ค. 2569</w:t>
      </w:r>
      <w:r>
        <w:t xml:space="preserve"> </w:t>
      </w:r>
      <w:r>
        <w:t xml:space="preserve">ประเภทคำขอ:</w:t>
      </w:r>
      <w:r>
        <w:t xml:space="preserve"> </w:t>
      </w:r>
      <w:r>
        <w:rPr>
          <w:b/>
          <w:bCs/>
        </w:rPr>
        <w:t xml:space="preserve">ใบอนุญาตให้บริการรับชำระเงินด้วยวิธีการทางอิเล็กทรอนิกส์ (Acquiring Service) แบบเต็มรูปแบบ</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ผู้ขอ:</w:t>
      </w:r>
      <w:r>
        <w:t xml:space="preserve"> </w:t>
      </w:r>
      <w:r>
        <w:rPr>
          <w:b/>
          <w:bCs/>
        </w:rPr>
        <w:t xml:space="preserve">[บริษัท / Company]</w:t>
      </w:r>
      <w:r>
        <w:t xml:space="preserve"> </w:t>
      </w:r>
      <w:r>
        <w:t xml:space="preserve">· ทุนจดทะเบียนชำระแล้ว:</w:t>
      </w:r>
      <w:r>
        <w:t xml:space="preserve"> </w:t>
      </w:r>
      <w:r>
        <w:rPr>
          <w:b/>
          <w:bCs/>
        </w:rPr>
        <w:t xml:space="preserve">50,000,000 บาท</w:t>
      </w:r>
    </w:p>
    <w:p>
      <w:pPr>
        <w:pStyle w:val="BlockText"/>
      </w:pPr>
      <w:r>
        <w:rPr>
          <w:b/>
          <w:bCs/>
        </w:rPr>
        <w:t xml:space="preserve">สถานะเอกสาร:</w:t>
      </w:r>
      <w:r>
        <w:t xml:space="preserve"> </w:t>
      </w:r>
      <w:r>
        <w:t xml:space="preserve">ฉบับร่างเพื่อการภายใน (pre-submission draft) — ต้องผ่านการทานโดยที่ปรึกษากฎหมาย/DPO และที่ปรึกษาด้าน PDPA ก่อนใช้จริง เอกสารนี้เป็นกระบวนการปฏิบัติงาน (operating procedure) มิใช่คำแนะนำทางกฎหมาย</w:t>
      </w:r>
    </w:p>
    <w:p>
      <w:pPr>
        <w:pStyle w:val="BlockText"/>
      </w:pPr>
      <w:r>
        <w:t xml:space="preserve">เอกสารประกอบ:</w:t>
      </w:r>
      <w:r>
        <w:t xml:space="preserve"> </w:t>
      </w:r>
      <w:r>
        <w:rPr>
          <w:rStyle w:val="VerbatimChar"/>
        </w:rPr>
        <w:t xml:space="preserve">COMPLIANCE-TH.md</w:t>
      </w:r>
      <w:r>
        <w:t xml:space="preserve"> </w:t>
      </w:r>
      <w:r>
        <w:t xml:space="preserve">(กฎหมาย/ใบอนุญาต) ·</w:t>
      </w:r>
      <w:r>
        <w:t xml:space="preserve"> </w:t>
      </w:r>
      <w:r>
        <w:rPr>
          <w:rStyle w:val="VerbatimChar"/>
        </w:rPr>
        <w:t xml:space="preserve">ARCHITECTURE.md</w:t>
      </w:r>
      <w:r>
        <w:t xml:space="preserve"> </w:t>
      </w:r>
      <w:r>
        <w:t xml:space="preserve">(สถาปัตยกรรม/PCI scope) ·</w:t>
      </w:r>
      <w:r>
        <w:t xml:space="preserve"> </w:t>
      </w:r>
      <w:r>
        <w:rPr>
          <w:rStyle w:val="VerbatimChar"/>
        </w:rPr>
        <w:t xml:space="preserve">03-shareholder-board-fit-proper.md</w:t>
      </w:r>
      <w:r>
        <w:t xml:space="preserve"> </w:t>
      </w:r>
      <w:r>
        <w:t xml:space="preserve">·</w:t>
      </w:r>
      <w:r>
        <w:t xml:space="preserve"> </w:t>
      </w:r>
      <w:r>
        <w:rPr>
          <w:rStyle w:val="VerbatimChar"/>
        </w:rPr>
        <w:t xml:space="preserve">04-org-chart-governance.md</w:t>
      </w:r>
      <w:r>
        <w:t xml:space="preserve"> </w:t>
      </w:r>
      <w:r>
        <w:t xml:space="preserve">(บทบาทและธรรมาภิบาล)</w:t>
      </w:r>
    </w:p>
    <w:p>
      <w:r>
        <w:pict>
          <v:rect style="width:0;height:1.5pt" o:hralign="center" o:hrstd="t" o:hr="t"/>
        </w:pict>
      </w:r>
    </w:p>
    <w:bookmarkStart w:id="388" w:name="วตถประสงคและขอบเขต-3"/>
    <w:p>
      <w:pPr>
        <w:pStyle w:val="Heading2"/>
      </w:pPr>
      <w:r>
        <w:t xml:space="preserve">1. วัตถุประสงค์และขอบเขต</w:t>
      </w:r>
    </w:p>
    <w:p>
      <w:pPr>
        <w:pStyle w:val="FirstParagraph"/>
      </w:pPr>
      <w:r>
        <w:t xml:space="preserve">เอกสารนี้กำหนดขั้นตอนมาตรฐาน (workflow) สำหรับการรับและดำเนินการ</w:t>
      </w:r>
      <w:r>
        <w:t xml:space="preserve"> </w:t>
      </w:r>
      <w:r>
        <w:rPr>
          <w:b/>
          <w:bCs/>
        </w:rPr>
        <w:t xml:space="preserve">คำขอใช้สิทธิของเจ้าของข้อมูลส่วนบุคคล (Data Subject Access Request — DSAR)</w:t>
      </w:r>
      <w:r>
        <w:t xml:space="preserve"> </w:t>
      </w:r>
      <w:r>
        <w:t xml:space="preserve">ตาม</w:t>
      </w:r>
      <w:r>
        <w:t xml:space="preserve"> </w:t>
      </w:r>
      <w:r>
        <w:rPr>
          <w:b/>
          <w:bCs/>
        </w:rPr>
        <w:t xml:space="preserve">พ.ร.บ. คุ้มครองข้อมูลส่วนบุคคล พ.ศ. 2562 (PDPA)</w:t>
      </w:r>
      <w:r>
        <w:t xml:space="preserve"> </w:t>
      </w:r>
      <w:r>
        <w:t xml:space="preserve">ครอบคลุมตั้งแต่</w:t>
      </w:r>
      <w:r>
        <w:t xml:space="preserve"> </w:t>
      </w:r>
      <w:r>
        <w:rPr>
          <w:b/>
          <w:bCs/>
        </w:rPr>
        <w:t xml:space="preserve">การรับคำขอ (intake) → การพิสูจน์ตัวตน (verification) → การดำเนินการตามกรอบเวลา (fulfillment SLA) → ข้อยกเว้น (exceptions)</w:t>
      </w:r>
    </w:p>
    <w:p>
      <w:pPr>
        <w:pStyle w:val="BodyText"/>
      </w:pPr>
      <w:r>
        <w:rPr>
          <w:b/>
          <w:bCs/>
        </w:rPr>
        <w:t xml:space="preserve">สิทธิของเจ้าของข้อมูลที่ครอบคลุม</w:t>
      </w:r>
      <w:r>
        <w:t xml:space="preserve"> </w:t>
      </w:r>
      <w:r>
        <w:t xml:space="preserve">(มาตรา 30–36 PDPA):</w:t>
      </w:r>
    </w:p>
    <w:tbl>
      <w:tblPr>
        <w:tblStyle w:val="Table"/>
        <w:tblW w:type="pct" w:w="5000"/>
        <w:tblLayout w:type="fixed"/>
        <w:tblLook w:firstRow="1" w:lastRow="0" w:firstColumn="0" w:lastColumn="0" w:noHBand="0" w:noVBand="0" w:val="0020"/>
      </w:tblPr>
      <w:tblGrid>
        <w:gridCol w:w="1498"/>
        <w:gridCol w:w="4067"/>
        <w:gridCol w:w="2354"/>
      </w:tblGrid>
      <w:tr>
        <w:trPr>
          <w:tblHeader w:val="on"/>
        </w:trPr>
        <w:tc>
          <w:tcPr/>
          <w:p>
            <w:pPr>
              <w:pStyle w:val="Compact"/>
            </w:pPr>
            <w:r>
              <w:t xml:space="preserve">สิทธิ</w:t>
            </w:r>
          </w:p>
        </w:tc>
        <w:tc>
          <w:tcPr/>
          <w:p>
            <w:pPr>
              <w:pStyle w:val="Compact"/>
            </w:pPr>
            <w:r>
              <w:t xml:space="preserve">มาตรา (โดยประมาณ)</w:t>
            </w:r>
          </w:p>
        </w:tc>
        <w:tc>
          <w:tcPr/>
          <w:p>
            <w:pPr>
              <w:pStyle w:val="Compact"/>
            </w:pPr>
            <w:r>
              <w:t xml:space="preserve">สาระสำคัญ</w:t>
            </w:r>
          </w:p>
        </w:tc>
      </w:tr>
      <w:tr>
        <w:tc>
          <w:tcPr/>
          <w:p>
            <w:pPr>
              <w:pStyle w:val="Compact"/>
            </w:pPr>
            <w:r>
              <w:t xml:space="preserve">สิทธิเข้าถึงและขอรับสำเนา (Access)</w:t>
            </w:r>
          </w:p>
        </w:tc>
        <w:tc>
          <w:tcPr/>
          <w:p>
            <w:pPr>
              <w:pStyle w:val="Compact"/>
            </w:pPr>
            <w:r>
              <w:t xml:space="preserve">ม.30</w:t>
            </w:r>
          </w:p>
        </w:tc>
        <w:tc>
          <w:tcPr/>
          <w:p>
            <w:pPr>
              <w:pStyle w:val="Compact"/>
            </w:pPr>
            <w:r>
              <w:t xml:space="preserve">ขอเข้าถึงและขอสำเนาข้อมูลของตน + ที่มาของข้อมูล</w:t>
            </w:r>
          </w:p>
        </w:tc>
      </w:tr>
      <w:tr>
        <w:tc>
          <w:tcPr/>
          <w:p>
            <w:pPr>
              <w:pStyle w:val="Compact"/>
            </w:pPr>
            <w:r>
              <w:t xml:space="preserve">สิทธิให้โอนย้ายข้อมูล (Portability)</w:t>
            </w:r>
          </w:p>
        </w:tc>
        <w:tc>
          <w:tcPr/>
          <w:p>
            <w:pPr>
              <w:pStyle w:val="Compact"/>
            </w:pPr>
            <w:r>
              <w:t xml:space="preserve">ม.31</w:t>
            </w:r>
          </w:p>
        </w:tc>
        <w:tc>
          <w:tcPr/>
          <w:p>
            <w:pPr>
              <w:pStyle w:val="Compact"/>
            </w:pPr>
            <w:r>
              <w:t xml:space="preserve">ขอรับข้อมูลในรูปแบบที่อ่าน/ใช้งานได้ด้วยเครื่องมืออัตโนมัติ</w:t>
            </w:r>
          </w:p>
        </w:tc>
      </w:tr>
      <w:tr>
        <w:tc>
          <w:tcPr/>
          <w:p>
            <w:pPr>
              <w:pStyle w:val="Compact"/>
            </w:pPr>
            <w:r>
              <w:t xml:space="preserve">สิทธิคัดค้าน (Object)</w:t>
            </w:r>
          </w:p>
        </w:tc>
        <w:tc>
          <w:tcPr/>
          <w:p>
            <w:pPr>
              <w:pStyle w:val="Compact"/>
            </w:pPr>
            <w:r>
              <w:t xml:space="preserve">ม.32</w:t>
            </w:r>
          </w:p>
        </w:tc>
        <w:tc>
          <w:tcPr/>
          <w:p>
            <w:pPr>
              <w:pStyle w:val="Compact"/>
            </w:pPr>
            <w:r>
              <w:t xml:space="preserve">คัดค้านการเก็บ/ใช้/เปิดเผยข้อมูล</w:t>
            </w:r>
          </w:p>
        </w:tc>
      </w:tr>
      <w:tr>
        <w:tc>
          <w:tcPr/>
          <w:p>
            <w:pPr>
              <w:pStyle w:val="Compact"/>
            </w:pPr>
            <w:r>
              <w:t xml:space="preserve">สิทธิให้ลบ/ทำลาย (Erasure)</w:t>
            </w:r>
          </w:p>
        </w:tc>
        <w:tc>
          <w:tcPr/>
          <w:p>
            <w:pPr>
              <w:pStyle w:val="Compact"/>
            </w:pPr>
            <w:r>
              <w:t xml:space="preserve">ม.33</w:t>
            </w:r>
          </w:p>
        </w:tc>
        <w:tc>
          <w:tcPr/>
          <w:p>
            <w:pPr>
              <w:pStyle w:val="Compact"/>
            </w:pPr>
            <w:r>
              <w:t xml:space="preserve">ขอให้ลบ ทำลาย หรือทำให้ไม่ระบุตัวตน</w:t>
            </w:r>
          </w:p>
        </w:tc>
      </w:tr>
      <w:tr>
        <w:tc>
          <w:tcPr/>
          <w:p>
            <w:pPr>
              <w:pStyle w:val="Compact"/>
            </w:pPr>
            <w:r>
              <w:t xml:space="preserve">สิทธิให้ระงับการใช้ (Restriction)</w:t>
            </w:r>
          </w:p>
        </w:tc>
        <w:tc>
          <w:tcPr/>
          <w:p>
            <w:pPr>
              <w:pStyle w:val="Compact"/>
            </w:pPr>
            <w:r>
              <w:t xml:space="preserve">ม.34</w:t>
            </w:r>
          </w:p>
        </w:tc>
        <w:tc>
          <w:tcPr/>
          <w:p>
            <w:pPr>
              <w:pStyle w:val="Compact"/>
            </w:pPr>
            <w:r>
              <w:t xml:space="preserve">ขอให้ระงับการใช้ชั่วคราว</w:t>
            </w:r>
          </w:p>
        </w:tc>
      </w:tr>
      <w:tr>
        <w:tc>
          <w:tcPr/>
          <w:p>
            <w:pPr>
              <w:pStyle w:val="Compact"/>
            </w:pPr>
            <w:r>
              <w:t xml:space="preserve">สิทธิให้แก้ไข (Rectification)</w:t>
            </w:r>
          </w:p>
        </w:tc>
        <w:tc>
          <w:tcPr/>
          <w:p>
            <w:pPr>
              <w:pStyle w:val="Compact"/>
            </w:pPr>
            <w:r>
              <w:t xml:space="preserve">ม.35–36</w:t>
            </w:r>
          </w:p>
        </w:tc>
        <w:tc>
          <w:tcPr/>
          <w:p>
            <w:pPr>
              <w:pStyle w:val="Compact"/>
            </w:pPr>
            <w:r>
              <w:t xml:space="preserve">ขอให้แก้ไขให้ถูกต้อง เป็นปัจจุบัน สมบูรณ์</w:t>
            </w:r>
          </w:p>
        </w:tc>
      </w:tr>
      <w:tr>
        <w:tc>
          <w:tcPr/>
          <w:p>
            <w:pPr>
              <w:pStyle w:val="Compact"/>
            </w:pPr>
            <w:r>
              <w:t xml:space="preserve">สิทธิถอนความยินยอม (Withdraw consent)</w:t>
            </w:r>
          </w:p>
        </w:tc>
        <w:tc>
          <w:tcPr/>
          <w:p>
            <w:pPr>
              <w:pStyle w:val="Compact"/>
            </w:pPr>
            <w:r>
              <w:t xml:space="preserve">ม.19</w:t>
            </w:r>
          </w:p>
        </w:tc>
        <w:tc>
          <w:tcPr/>
          <w:p>
            <w:pPr>
              <w:pStyle w:val="Compact"/>
            </w:pPr>
            <w:r>
              <w:t xml:space="preserve">ถอนความยินยอมได้ทุกเมื่อ (เท่าที่ไม่มีฐานอื่นรองรับ)</w:t>
            </w:r>
          </w:p>
        </w:tc>
      </w:tr>
    </w:tbl>
    <w:p>
      <w:pPr>
        <w:pStyle w:val="BodyText"/>
      </w:pPr>
      <w:r>
        <w:rPr>
          <w:b/>
          <w:bCs/>
        </w:rPr>
        <w:t xml:space="preserve">ขอบเขตข้อมูล:</w:t>
      </w:r>
      <w:r>
        <w:t xml:space="preserve"> </w:t>
      </w:r>
      <w:r>
        <w:t xml:space="preserve">ข้อมูลของ (ก) ผู้ถือบัตร/ผู้ชำระเงิน (cardholder) (ข) ผู้ติดต่อฝั่งร้านค้า (merchant contacts) (ค) ผู้เข้าเว็บ/แอป และ (ง) พนักงาน/ผู้สมัครงาน</w:t>
      </w:r>
    </w:p>
    <w:p>
      <w:pPr>
        <w:pStyle w:val="BodyText"/>
      </w:pPr>
      <w:r>
        <w:rPr>
          <w:b/>
          <w:bCs/>
        </w:rPr>
        <w:t xml:space="preserve">นอกขอบเขต:</w:t>
      </w:r>
      <w:r>
        <w:t xml:space="preserve"> </w:t>
      </w:r>
      <w:r>
        <w:t xml:space="preserve">ข้อมูลบัตรเต็ม (full PAN/CVV/PIN/track) — ระบบหลัก</w:t>
      </w:r>
      <w:r>
        <w:t xml:space="preserve"> </w:t>
      </w:r>
      <w:r>
        <w:rPr>
          <w:b/>
          <w:bCs/>
        </w:rPr>
        <w:t xml:space="preserve">ไม่จัดเก็บ</w:t>
      </w:r>
      <w:r>
        <w:t xml:space="preserve"> </w:t>
      </w:r>
      <w:r>
        <w:t xml:space="preserve">ตามหลัก scope minimization ใน</w:t>
      </w:r>
      <w:r>
        <w:t xml:space="preserve"> </w:t>
      </w:r>
      <w:r>
        <w:rPr>
          <w:rStyle w:val="VerbatimChar"/>
        </w:rPr>
        <w:t xml:space="preserve">ARCHITECTURE.md</w:t>
      </w:r>
      <w:r>
        <w:t xml:space="preserve"> </w:t>
      </w:r>
      <w:r>
        <w:t xml:space="preserve">ข้อ 6 (เก็บได้เฉพาะ</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w:t>
      </w:r>
    </w:p>
    <w:p>
      <w:r>
        <w:pict>
          <v:rect style="width:0;height:1.5pt" o:hralign="center" o:hrstd="t" o:hr="t"/>
        </w:pict>
      </w:r>
    </w:p>
    <w:bookmarkEnd w:id="388"/>
    <w:bookmarkStart w:id="389" w:name="บทบาทและความรบผดชอบ-raci"/>
    <w:p>
      <w:pPr>
        <w:pStyle w:val="Heading2"/>
      </w:pPr>
      <w:r>
        <w:t xml:space="preserve">2. บทบาทและความรับผิดชอบ (RACI)</w:t>
      </w:r>
    </w:p>
    <w:tbl>
      <w:tblPr>
        <w:tblStyle w:val="Table"/>
        <w:tblW w:type="pct" w:w="5000"/>
        <w:tblLayout w:type="fixed"/>
        <w:tblLook w:firstRow="1" w:lastRow="0" w:firstColumn="0" w:lastColumn="0" w:noHBand="0" w:noVBand="0" w:val="0020"/>
      </w:tblPr>
      <w:tblGrid>
        <w:gridCol w:w="1732"/>
        <w:gridCol w:w="6187"/>
      </w:tblGrid>
      <w:tr>
        <w:trPr>
          <w:tblHeader w:val="on"/>
        </w:trPr>
        <w:tc>
          <w:tcPr/>
          <w:p>
            <w:pPr>
              <w:pStyle w:val="Compact"/>
            </w:pPr>
            <w:r>
              <w:t xml:space="preserve">บทบาท</w:t>
            </w:r>
          </w:p>
        </w:tc>
        <w:tc>
          <w:tcPr/>
          <w:p>
            <w:pPr>
              <w:pStyle w:val="Compact"/>
            </w:pPr>
            <w:r>
              <w:t xml:space="preserve">หน้าที่ในกระบวนการ DSAR</w:t>
            </w:r>
          </w:p>
        </w:tc>
      </w:tr>
      <w:tr>
        <w:tc>
          <w:tcPr/>
          <w:p>
            <w:pPr>
              <w:pStyle w:val="Compact"/>
            </w:pPr>
            <w:r>
              <w:rPr>
                <w:b/>
                <w:bCs/>
              </w:rPr>
              <w:t xml:space="preserve">DPO (เจ้าหน้าที่คุ้มครองข้อมูลส่วนบุคคล)</w:t>
            </w:r>
          </w:p>
        </w:tc>
        <w:tc>
          <w:tcPr/>
          <w:p>
            <w:pPr>
              <w:pStyle w:val="Compact"/>
            </w:pPr>
            <w:r>
              <w:t xml:space="preserve">เจ้าของกระบวนการ (process owner); อนุมัติการตอบ; ตัดสินข้อยกเว้น; จุดติดต่อ PDPC</w:t>
            </w:r>
          </w:p>
        </w:tc>
      </w:tr>
      <w:tr>
        <w:tc>
          <w:tcPr/>
          <w:p>
            <w:pPr>
              <w:pStyle w:val="Compact"/>
            </w:pPr>
            <w:r>
              <w:rPr>
                <w:b/>
                <w:bCs/>
              </w:rPr>
              <w:t xml:space="preserve">DSAR Coordinator</w:t>
            </w:r>
          </w:p>
        </w:tc>
        <w:tc>
          <w:tcPr/>
          <w:p>
            <w:pPr>
              <w:pStyle w:val="Compact"/>
            </w:pPr>
            <w:r>
              <w:t xml:space="preserve">รับคำขอ, ลงทะเบียน, ติดตาม SLA, ประสานทีม, ร่างหนังสือตอบ</w:t>
            </w:r>
          </w:p>
        </w:tc>
      </w:tr>
      <w:tr>
        <w:tc>
          <w:tcPr/>
          <w:p>
            <w:pPr>
              <w:pStyle w:val="Compact"/>
            </w:pPr>
            <w:r>
              <w:rPr>
                <w:b/>
                <w:bCs/>
              </w:rPr>
              <w:t xml:space="preserve">Identity Verification (IAM/Support)</w:t>
            </w:r>
          </w:p>
        </w:tc>
        <w:tc>
          <w:tcPr/>
          <w:p>
            <w:pPr>
              <w:pStyle w:val="Compact"/>
            </w:pPr>
            <w:r>
              <w:t xml:space="preserve">พิสูจน์ตัวตนผู้ยื่นคำขอ</w:t>
            </w:r>
          </w:p>
        </w:tc>
      </w:tr>
      <w:tr>
        <w:tc>
          <w:tcPr/>
          <w:p>
            <w:pPr>
              <w:pStyle w:val="Compact"/>
            </w:pPr>
            <w:r>
              <w:rPr>
                <w:b/>
                <w:bCs/>
              </w:rPr>
              <w:t xml:space="preserve">Engineering / Data Team</w:t>
            </w:r>
          </w:p>
        </w:tc>
        <w:tc>
          <w:tcPr/>
          <w:p>
            <w:pPr>
              <w:pStyle w:val="Compact"/>
            </w:pPr>
            <w:r>
              <w:t xml:space="preserve">ค้นหา ดึง (extract) ลบ/แก้ไขข้อมูลจากระบบ (payments, merchants, audit_log, logs)</w:t>
            </w:r>
          </w:p>
        </w:tc>
      </w:tr>
      <w:tr>
        <w:tc>
          <w:tcPr/>
          <w:p>
            <w:pPr>
              <w:pStyle w:val="Compact"/>
            </w:pPr>
            <w:r>
              <w:rPr>
                <w:b/>
                <w:bCs/>
              </w:rPr>
              <w:t xml:space="preserve">Legal Counsel</w:t>
            </w:r>
          </w:p>
        </w:tc>
        <w:tc>
          <w:tcPr/>
          <w:p>
            <w:pPr>
              <w:pStyle w:val="Compact"/>
            </w:pPr>
            <w:r>
              <w:t xml:space="preserve">ประเมินข้อยกเว้นทางกฎหมาย, การชนกันกับ AML/ธปท.</w:t>
            </w:r>
          </w:p>
        </w:tc>
      </w:tr>
      <w:tr>
        <w:tc>
          <w:tcPr/>
          <w:p>
            <w:pPr>
              <w:pStyle w:val="Compact"/>
            </w:pPr>
            <w:r>
              <w:rPr>
                <w:b/>
                <w:bCs/>
              </w:rPr>
              <w:t xml:space="preserve">Security (DevSecOps)</w:t>
            </w:r>
          </w:p>
        </w:tc>
        <w:tc>
          <w:tcPr/>
          <w:p>
            <w:pPr>
              <w:pStyle w:val="Compact"/>
            </w:pPr>
            <w:r>
              <w:t xml:space="preserve">จัดส่งข้อมูลแบบเข้ารหัส, บันทึก access, ตรวจ PCI scope ของ export</w:t>
            </w:r>
          </w:p>
        </w:tc>
      </w:tr>
      <w:tr>
        <w:tc>
          <w:tcPr/>
          <w:p>
            <w:pPr>
              <w:pStyle w:val="Compact"/>
            </w:pPr>
            <w:r>
              <w:rPr>
                <w:b/>
                <w:bCs/>
              </w:rPr>
              <w:t xml:space="preserve">Compliance / AMLO Liaison</w:t>
            </w:r>
          </w:p>
        </w:tc>
        <w:tc>
          <w:tcPr/>
          <w:p>
            <w:pPr>
              <w:pStyle w:val="Compact"/>
            </w:pPr>
            <w:r>
              <w:t xml:space="preserve">ตรวจข้อขัดแย้งกับหน้าที่เก็บรักษาข้อมูลตาม ปปง./ธปท.</w:t>
            </w:r>
          </w:p>
        </w:tc>
      </w:tr>
    </w:tbl>
    <w:p>
      <w:pPr>
        <w:pStyle w:val="BodyText"/>
      </w:pPr>
      <w:r>
        <w:rPr>
          <w:b/>
          <w:bCs/>
        </w:rPr>
        <w:t xml:space="preserve">หลักการแบ่งแยกหน้าที่:</w:t>
      </w:r>
      <w:r>
        <w:t xml:space="preserve"> </w:t>
      </w:r>
      <w:r>
        <w:t xml:space="preserve">ผู้พิสูจน์ตัวตน ผู้ดึงข้อมูล และผู้อนุมัติการส่งออกต้องไม่ใช่บุคคลเดียวกันสำหรับคำขอที่มีข้อมูลอ่อนไหวหรือปริมาณมาก (สอดคล้องหลัก dual control ตาม PCI Req 7)</w:t>
      </w:r>
    </w:p>
    <w:p>
      <w:pPr>
        <w:pStyle w:val="BlockText"/>
      </w:pPr>
      <w:r>
        <w:rPr>
          <w:b/>
          <w:bCs/>
        </w:rPr>
        <w:t xml:space="preserve">[สมมติฐาน / TODO]</w:t>
      </w:r>
      <w:r>
        <w:t xml:space="preserve"> </w:t>
      </w:r>
      <w:r>
        <w:t xml:space="preserve">ยังมิได้แต่งตั้ง</w:t>
      </w:r>
      <w:r>
        <w:t xml:space="preserve"> </w:t>
      </w:r>
      <w:r>
        <w:rPr>
          <w:b/>
          <w:bCs/>
        </w:rPr>
        <w:t xml:space="preserve">DPO</w:t>
      </w:r>
      <w:r>
        <w:t xml:space="preserve"> </w:t>
      </w:r>
      <w:r>
        <w:t xml:space="preserve">อย่างเป็นทางการ และยังมิได้ระบุตัวบุคคลใน DSAR Coordinator / Legal Counsel ณ วันจัดทำ ต้องระบุชื่อ-ตำแหน่ง-ช่องทางติดต่อ และแนบคำสั่งแต่งตั้งก่อนใช้จริงและก่อนยื่น ธปท. (สอดคล้อง</w:t>
      </w:r>
      <w:r>
        <w:t xml:space="preserve"> </w:t>
      </w:r>
      <w:r>
        <w:rPr>
          <w:rStyle w:val="VerbatimChar"/>
        </w:rPr>
        <w:t xml:space="preserve">04-org-chart-governance.md</w:t>
      </w:r>
      <w:r>
        <w:t xml:space="preserve">)</w:t>
      </w:r>
    </w:p>
    <w:p>
      <w:r>
        <w:pict>
          <v:rect style="width:0;height:1.5pt" o:hralign="center" o:hrstd="t" o:hr="t"/>
        </w:pict>
      </w:r>
    </w:p>
    <w:bookmarkEnd w:id="389"/>
    <w:bookmarkStart w:id="390" w:name="ชองทางรบคำขอ-intake"/>
    <w:p>
      <w:pPr>
        <w:pStyle w:val="Heading2"/>
      </w:pPr>
      <w:r>
        <w:t xml:space="preserve">3. ช่องทางรับคำขอ (Intake)</w:t>
      </w:r>
    </w:p>
    <w:tbl>
      <w:tblPr>
        <w:tblStyle w:val="Table"/>
        <w:tblW w:type="pct" w:w="5000"/>
        <w:tblLayout w:type="fixed"/>
        <w:tblLook w:firstRow="1" w:lastRow="0" w:firstColumn="0" w:lastColumn="0" w:noHBand="0" w:noVBand="0" w:val="0020"/>
      </w:tblPr>
      <w:tblGrid>
        <w:gridCol w:w="1485"/>
        <w:gridCol w:w="1815"/>
        <w:gridCol w:w="4620"/>
      </w:tblGrid>
      <w:tr>
        <w:trPr>
          <w:tblHeader w:val="on"/>
        </w:trPr>
        <w:tc>
          <w:tcPr/>
          <w:p>
            <w:pPr>
              <w:pStyle w:val="Compact"/>
            </w:pPr>
            <w:r>
              <w:t xml:space="preserve">ช่องทาง</w:t>
            </w:r>
          </w:p>
        </w:tc>
        <w:tc>
          <w:tcPr/>
          <w:p>
            <w:pPr>
              <w:pStyle w:val="Compact"/>
            </w:pPr>
            <w:r>
              <w:t xml:space="preserve">รายละเอียด</w:t>
            </w:r>
          </w:p>
        </w:tc>
        <w:tc>
          <w:tcPr/>
          <w:p>
            <w:pPr>
              <w:pStyle w:val="Compact"/>
            </w:pPr>
            <w:r>
              <w:t xml:space="preserve">SLA รับเรื่อง (acknowledge)</w:t>
            </w:r>
          </w:p>
        </w:tc>
      </w:tr>
      <w:tr>
        <w:tc>
          <w:tcPr/>
          <w:p>
            <w:pPr>
              <w:pStyle w:val="Compact"/>
            </w:pPr>
            <w:r>
              <w:t xml:space="preserve">อีเมล DPO เฉพาะ</w:t>
            </w:r>
          </w:p>
        </w:tc>
        <w:tc>
          <w:tcPr/>
          <w:p>
            <w:pPr>
              <w:pStyle w:val="Compact"/>
            </w:pPr>
            <w:r>
              <w:rPr>
                <w:rStyle w:val="VerbatimChar"/>
              </w:rPr>
              <w:t xml:space="preserve">[TODO: dpo@company.co.th]</w:t>
            </w:r>
          </w:p>
        </w:tc>
        <w:tc>
          <w:tcPr/>
          <w:p>
            <w:pPr>
              <w:pStyle w:val="Compact"/>
            </w:pPr>
            <w:r>
              <w:t xml:space="preserve">ภายใน 3 วันทำการ</w:t>
            </w:r>
          </w:p>
        </w:tc>
      </w:tr>
      <w:tr>
        <w:tc>
          <w:tcPr/>
          <w:p>
            <w:pPr>
              <w:pStyle w:val="Compact"/>
            </w:pPr>
            <w:r>
              <w:t xml:space="preserve">แบบฟอร์มออนไลน์ (privacy portal)</w:t>
            </w:r>
          </w:p>
        </w:tc>
        <w:tc>
          <w:tcPr/>
          <w:p>
            <w:pPr>
              <w:pStyle w:val="Compact"/>
            </w:pPr>
            <w:r>
              <w:t xml:space="preserve">ฟอร์มในเว็บ/แอป + reCAPTCHA</w:t>
            </w:r>
          </w:p>
        </w:tc>
        <w:tc>
          <w:tcPr/>
          <w:p>
            <w:pPr>
              <w:pStyle w:val="Compact"/>
            </w:pPr>
            <w:r>
              <w:t xml:space="preserve">ทันที (ระบบออกเลขคำขออัตโนมัติ)</w:t>
            </w:r>
          </w:p>
        </w:tc>
      </w:tr>
      <w:tr>
        <w:tc>
          <w:tcPr/>
          <w:p>
            <w:pPr>
              <w:pStyle w:val="Compact"/>
            </w:pPr>
            <w:r>
              <w:t xml:space="preserve">ไปรษณีย์ลงทะเบียน</w:t>
            </w:r>
          </w:p>
        </w:tc>
        <w:tc>
          <w:tcPr/>
          <w:p>
            <w:pPr>
              <w:pStyle w:val="Compact"/>
            </w:pPr>
            <w:r>
              <w:t xml:space="preserve">ที่อยู่สำนักงานจดทะเบียน</w:t>
            </w:r>
          </w:p>
        </w:tc>
        <w:tc>
          <w:tcPr/>
          <w:p>
            <w:pPr>
              <w:pStyle w:val="Compact"/>
            </w:pPr>
            <w:r>
              <w:t xml:space="preserve">ภายใน 5 วันทำการหลังรับ</w:t>
            </w:r>
          </w:p>
        </w:tc>
      </w:tr>
      <w:tr>
        <w:tc>
          <w:tcPr/>
          <w:p>
            <w:pPr>
              <w:pStyle w:val="Compact"/>
            </w:pPr>
            <w:r>
              <w:t xml:space="preserve">ผ่านร้านค้า (สำหรับ cardholder)</w:t>
            </w:r>
          </w:p>
        </w:tc>
        <w:tc>
          <w:tcPr/>
          <w:p>
            <w:pPr>
              <w:pStyle w:val="Compact"/>
            </w:pPr>
            <w:r>
              <w:t xml:space="preserve">ร้านค้าส่งต่อมายัง DPO ภายใน 2 วันทำการ</w:t>
            </w:r>
          </w:p>
        </w:tc>
        <w:tc>
          <w:tcPr/>
          <w:p>
            <w:pPr>
              <w:pStyle w:val="Compact"/>
            </w:pPr>
            <w:r>
              <w:t xml:space="preserve">นับ SLA จากวันที่ DPO รับ</w:t>
            </w:r>
          </w:p>
        </w:tc>
      </w:tr>
    </w:tbl>
    <w:p>
      <w:pPr>
        <w:pStyle w:val="BodyText"/>
      </w:pPr>
      <w:r>
        <w:rPr>
          <w:b/>
          <w:bCs/>
        </w:rPr>
        <w:t xml:space="preserve">ข้อมูลขั้นต่ำที่ต้องระบุในคำขอ:</w:t>
      </w:r>
      <w:r>
        <w:t xml:space="preserve"> </w:t>
      </w:r>
      <w:r>
        <w:t xml:space="preserve">(1) ชื่อ-นามสกุล และช่องทางติดต่อกลับ (2) ความสัมพันธ์กับ [บริษัท / Company] (cardholder / merchant / พนักงาน) (3) สิทธิที่ประสงค์ใช้ (4) ขอบเขต/ช่วงเวลาข้อมูล (ถ้าทราบ) (5) หลักฐานพิสูจน์ตัวตน</w:t>
      </w:r>
    </w:p>
    <w:p>
      <w:pPr>
        <w:pStyle w:val="BodyText"/>
      </w:pPr>
      <w:r>
        <w:rPr>
          <w:b/>
          <w:bCs/>
        </w:rPr>
        <w:t xml:space="preserve">การลงทะเบียน:</w:t>
      </w:r>
      <w:r>
        <w:t xml:space="preserve"> </w:t>
      </w:r>
      <w:r>
        <w:t xml:space="preserve">ทุกคำขอบันทึกใน</w:t>
      </w:r>
      <w:r>
        <w:t xml:space="preserve"> </w:t>
      </w:r>
      <w:r>
        <w:rPr>
          <w:b/>
          <w:bCs/>
        </w:rPr>
        <w:t xml:space="preserve">DSAR Register</w:t>
      </w:r>
      <w:r>
        <w:t xml:space="preserve"> </w:t>
      </w:r>
      <w:r>
        <w:t xml:space="preserve">พร้อม</w:t>
      </w:r>
      <w:r>
        <w:t xml:space="preserve"> </w:t>
      </w:r>
      <w:r>
        <w:rPr>
          <w:rStyle w:val="VerbatimChar"/>
        </w:rPr>
        <w:t xml:space="preserve">request_id</w:t>
      </w:r>
      <w:r>
        <w:t xml:space="preserve"> </w:t>
      </w:r>
      <w:r>
        <w:t xml:space="preserve">(รูปแบบ</w:t>
      </w:r>
      <w:r>
        <w:t xml:space="preserve"> </w:t>
      </w:r>
      <w:r>
        <w:rPr>
          <w:rStyle w:val="VerbatimChar"/>
        </w:rPr>
        <w:t xml:space="preserve">DSAR-YYYY-NNNN</w:t>
      </w:r>
      <w:r>
        <w:t xml:space="preserve">), วันรับ, ประเภทสิทธิ, สถานะ, deadline, ผู้รับผิดชอบ, และผลลัพธ์ — เก็บเป็นหลักฐานการปฏิบัติตาม PDPA และแสดงต่อ PDPC/ธปท. เมื่อร้องขอ ทุกการเข้าถึง register บันทึกลง</w:t>
      </w:r>
      <w:r>
        <w:t xml:space="preserve"> </w:t>
      </w:r>
      <w:r>
        <w:rPr>
          <w:rStyle w:val="VerbatimChar"/>
        </w:rPr>
        <w:t xml:space="preserve">audit_log</w:t>
      </w:r>
      <w:r>
        <w:t xml:space="preserve"> </w:t>
      </w:r>
      <w:r>
        <w:t xml:space="preserve">(append-only ตาม</w:t>
      </w:r>
      <w:r>
        <w:t xml:space="preserve"> </w:t>
      </w:r>
      <w:r>
        <w:rPr>
          <w:rStyle w:val="VerbatimChar"/>
        </w:rPr>
        <w:t xml:space="preserve">ARCHITECTURE.md</w:t>
      </w:r>
      <w:r>
        <w:t xml:space="preserve">)</w:t>
      </w:r>
    </w:p>
    <w:p>
      <w:r>
        <w:pict>
          <v:rect style="width:0;height:1.5pt" o:hralign="center" o:hrstd="t" o:hr="t"/>
        </w:pict>
      </w:r>
    </w:p>
    <w:bookmarkEnd w:id="390"/>
    <w:bookmarkStart w:id="391" w:name="การพสจนตวตน-verification"/>
    <w:p>
      <w:pPr>
        <w:pStyle w:val="Heading2"/>
      </w:pPr>
      <w:r>
        <w:t xml:space="preserve">4. การพิสูจน์ตัวตน (Verification)</w:t>
      </w:r>
    </w:p>
    <w:p>
      <w:pPr>
        <w:pStyle w:val="FirstParagraph"/>
      </w:pPr>
      <w:r>
        <w:t xml:space="preserve">การพิสูจน์ตัวตนใช้แนวทาง</w:t>
      </w:r>
      <w:r>
        <w:t xml:space="preserve"> </w:t>
      </w:r>
      <w:r>
        <w:rPr>
          <w:b/>
          <w:bCs/>
        </w:rPr>
        <w:t xml:space="preserve">risk-based</w:t>
      </w:r>
      <w:r>
        <w:t xml:space="preserve"> </w:t>
      </w:r>
      <w:r>
        <w:t xml:space="preserve">— ยิ่งข้อมูลอ่อนไหว/ปริมาณมาก ยิ่งเข้มขึ้น เพื่อป้องกันการปลอมตัว (impersonation) ซึ่งเป็นความเสี่ยงหลักของ DSAR</w:t>
      </w:r>
    </w:p>
    <w:tbl>
      <w:tblPr>
        <w:tblStyle w:val="Table"/>
        <w:tblW w:type="pct" w:w="5000"/>
        <w:tblLayout w:type="fixed"/>
        <w:tblLook w:firstRow="1" w:lastRow="0" w:firstColumn="0" w:lastColumn="0" w:noHBand="0" w:noVBand="0" w:val="0020"/>
      </w:tblPr>
      <w:tblGrid>
        <w:gridCol w:w="1630"/>
        <w:gridCol w:w="1863"/>
        <w:gridCol w:w="4425"/>
      </w:tblGrid>
      <w:tr>
        <w:trPr>
          <w:tblHeader w:val="on"/>
        </w:trPr>
        <w:tc>
          <w:tcPr/>
          <w:p>
            <w:pPr>
              <w:pStyle w:val="Compact"/>
            </w:pPr>
            <w:r>
              <w:t xml:space="preserve">ระดับ</w:t>
            </w:r>
          </w:p>
        </w:tc>
        <w:tc>
          <w:tcPr/>
          <w:p>
            <w:pPr>
              <w:pStyle w:val="Compact"/>
            </w:pPr>
            <w:r>
              <w:t xml:space="preserve">เมื่อใด</w:t>
            </w:r>
          </w:p>
        </w:tc>
        <w:tc>
          <w:tcPr/>
          <w:p>
            <w:pPr>
              <w:pStyle w:val="Compact"/>
            </w:pPr>
            <w:r>
              <w:t xml:space="preserve">หลักฐานที่ต้องใช้</w:t>
            </w:r>
          </w:p>
        </w:tc>
      </w:tr>
      <w:tr>
        <w:tc>
          <w:tcPr/>
          <w:p>
            <w:pPr>
              <w:pStyle w:val="Compact"/>
            </w:pPr>
            <w:r>
              <w:rPr>
                <w:b/>
                <w:bCs/>
              </w:rPr>
              <w:t xml:space="preserve">L1 — พื้นฐาน</w:t>
            </w:r>
          </w:p>
        </w:tc>
        <w:tc>
          <w:tcPr/>
          <w:p>
            <w:pPr>
              <w:pStyle w:val="Compact"/>
            </w:pPr>
            <w:r>
              <w:t xml:space="preserve">คำขอเข้าถึง/แก้ไขข้อมูลติดต่อทั่วไป</w:t>
            </w:r>
          </w:p>
        </w:tc>
        <w:tc>
          <w:tcPr/>
          <w:p>
            <w:pPr>
              <w:pStyle w:val="Compact"/>
            </w:pPr>
            <w:r>
              <w:t xml:space="preserve">ยืนยันการควบคุมอีเมล/เบอร์ที่ลงทะเบียน (OTP)</w:t>
            </w:r>
          </w:p>
        </w:tc>
      </w:tr>
      <w:tr>
        <w:tc>
          <w:tcPr/>
          <w:p>
            <w:pPr>
              <w:pStyle w:val="Compact"/>
            </w:pPr>
            <w:r>
              <w:rPr>
                <w:b/>
                <w:bCs/>
              </w:rPr>
              <w:t xml:space="preserve">L2 — ยกระดับ</w:t>
            </w:r>
          </w:p>
        </w:tc>
        <w:tc>
          <w:tcPr/>
          <w:p>
            <w:pPr>
              <w:pStyle w:val="Compact"/>
            </w:pPr>
            <w:r>
              <w:t xml:space="preserve">ข้อมูลธุรกรรมบัตร, portability, erasure</w:t>
            </w:r>
          </w:p>
        </w:tc>
        <w:tc>
          <w:tcPr/>
          <w:p>
            <w:pPr>
              <w:pStyle w:val="Compact"/>
            </w:pPr>
            <w:r>
              <w:t xml:space="preserve">L1 + สำเนาบัตรประชาชน (ปิดบังเลขที่ไม่จำเป็น) + จับคู่ข้อมูลในระบบ เช่น</w:t>
            </w:r>
            <w:r>
              <w:t xml:space="preserve"> </w:t>
            </w:r>
            <w:r>
              <w:rPr>
                <w:rStyle w:val="VerbatimChar"/>
              </w:rPr>
              <w:t xml:space="preserve">card_last4</w:t>
            </w:r>
            <w:r>
              <w:t xml:space="preserve"> </w:t>
            </w:r>
            <w:r>
              <w:t xml:space="preserve">+ วันที่/ยอดธุรกรรม</w:t>
            </w:r>
          </w:p>
        </w:tc>
      </w:tr>
      <w:tr>
        <w:tc>
          <w:tcPr/>
          <w:p>
            <w:pPr>
              <w:pStyle w:val="Compact"/>
            </w:pPr>
            <w:r>
              <w:rPr>
                <w:b/>
                <w:bCs/>
              </w:rPr>
              <w:t xml:space="preserve">L3 — เข้มสุด</w:t>
            </w:r>
          </w:p>
        </w:tc>
        <w:tc>
          <w:tcPr/>
          <w:p>
            <w:pPr>
              <w:pStyle w:val="Compact"/>
            </w:pPr>
            <w:r>
              <w:t xml:space="preserve">ข้อมูลจำนวนมาก / ข้อมูลอ่อนไหว / มีข้อสงสัยว่าปลอมตัว</w:t>
            </w:r>
          </w:p>
        </w:tc>
        <w:tc>
          <w:tcPr/>
          <w:p>
            <w:pPr>
              <w:pStyle w:val="Compact"/>
            </w:pPr>
            <w:r>
              <w:t xml:space="preserve">L2 + video KYC หรือยืนยันผ่านช่องทางที่ลงทะเบียนไว้ 2 ทาง</w:t>
            </w:r>
          </w:p>
        </w:tc>
      </w:tr>
    </w:tbl>
    <w:p>
      <w:pPr>
        <w:pStyle w:val="BodyText"/>
      </w:pPr>
      <w:r>
        <w:rPr>
          <w:b/>
          <w:bCs/>
        </w:rPr>
        <w:t xml:space="preserve">หลักปฏิบัติ:</w:t>
      </w:r>
      <w:r>
        <w:t xml:space="preserve"> </w:t>
      </w:r>
      <w:r>
        <w:t xml:space="preserve">-</w:t>
      </w:r>
      <w:r>
        <w:t xml:space="preserve"> </w:t>
      </w:r>
      <w:r>
        <w:rPr>
          <w:b/>
          <w:bCs/>
        </w:rPr>
        <w:t xml:space="preserve">ห้าม</w:t>
      </w:r>
      <w:r>
        <w:t xml:space="preserve"> </w:t>
      </w:r>
      <w:r>
        <w:t xml:space="preserve">ใช้ข้อมูลบัตรเต็ม (full PAN/CVV) เป็นหลักฐานพิสูจน์ตัวตนเด็ดขาด — ขัด PCI-DSS v4.0</w:t>
      </w:r>
      <w:r>
        <w:t xml:space="preserve"> </w:t>
      </w:r>
      <w:r>
        <w:t xml:space="preserve">- ผู้ยื่นแทน (ผู้แทนโดยชอบธรรม/ผู้รับมอบอำนาจ) ต้องแนบหนังสือมอบอำนาจ + บัตรของทั้งสองฝ่าย</w:t>
      </w:r>
      <w:r>
        <w:t xml:space="preserve"> </w:t>
      </w:r>
      <w:r>
        <w:t xml:space="preserve">- หากพิสูจน์ตัวตนไม่ผ่านภายใน</w:t>
      </w:r>
      <w:r>
        <w:t xml:space="preserve"> </w:t>
      </w:r>
      <w:r>
        <w:rPr>
          <w:b/>
          <w:bCs/>
        </w:rPr>
        <w:t xml:space="preserve">14 วัน</w:t>
      </w:r>
      <w:r>
        <w:t xml:space="preserve"> </w:t>
      </w:r>
      <w:r>
        <w:t xml:space="preserve">หลังร้องขอเอกสารเพิ่ม → ปิดคำขอชั่วคราวและแจ้งเหตุ (นาฬิกา SLA หยุดระหว่างรอเอกสารจากผู้ยื่น — clock-stop)</w:t>
      </w:r>
      <w:r>
        <w:t xml:space="preserve"> </w:t>
      </w:r>
      <w:r>
        <w:t xml:space="preserve">- เอกสารพิสูจน์ตัวตนเก็บแยก เข้ารหัส และ</w:t>
      </w:r>
      <w:r>
        <w:rPr>
          <w:b/>
          <w:bCs/>
        </w:rPr>
        <w:t xml:space="preserve">ทำลายภายใน 90 วัน</w:t>
      </w:r>
      <w:r>
        <w:t xml:space="preserve">หลังปิดคำขอ (data minimization)</w:t>
      </w:r>
    </w:p>
    <w:p>
      <w:r>
        <w:pict>
          <v:rect style="width:0;height:1.5pt" o:hralign="center" o:hrstd="t" o:hr="t"/>
        </w:pict>
      </w:r>
    </w:p>
    <w:bookmarkEnd w:id="391"/>
    <w:bookmarkStart w:id="392" w:name="กรอบเวลาดำเนนการ-fulfillment-sla"/>
    <w:p>
      <w:pPr>
        <w:pStyle w:val="Heading2"/>
      </w:pPr>
      <w:r>
        <w:t xml:space="preserve">5. กรอบเวลาดำเนินการ (Fulfillment SLA)</w:t>
      </w:r>
    </w:p>
    <w:p>
      <w:pPr>
        <w:pStyle w:val="FirstParagraph"/>
      </w:pPr>
      <w:r>
        <w:rPr>
          <w:b/>
          <w:bCs/>
        </w:rPr>
        <w:t xml:space="preserve">มาตรฐาน:</w:t>
      </w:r>
      <w:r>
        <w:t xml:space="preserve"> </w:t>
      </w:r>
      <w:r>
        <w:t xml:space="preserve">ตอบสนองคำขอโดยไม่ชักช้าและ</w:t>
      </w:r>
      <w:r>
        <w:rPr>
          <w:b/>
          <w:bCs/>
        </w:rPr>
        <w:t xml:space="preserve">ภายใน 30 วัน</w:t>
      </w:r>
      <w:r>
        <w:t xml:space="preserve">นับแต่วันที่พิสูจน์ตัวตนสำเร็จ ขยายได้อีก</w:t>
      </w:r>
      <w:r>
        <w:t xml:space="preserve"> </w:t>
      </w:r>
      <w:r>
        <w:rPr>
          <w:b/>
          <w:bCs/>
        </w:rPr>
        <w:t xml:space="preserve">ไม่เกิน 30 วัน</w:t>
      </w:r>
      <w:r>
        <w:t xml:space="preserve"> </w:t>
      </w:r>
      <w:r>
        <w:t xml:space="preserve">สำหรับคำขอที่ซับซ้อน/จำนวนมาก โดยต้องแจ้งเหตุผลเป็นหนังสือก่อนครบกำหนดเดิม</w:t>
      </w:r>
    </w:p>
    <w:tbl>
      <w:tblPr>
        <w:tblStyle w:val="Table"/>
        <w:tblW w:type="pct" w:w="5000"/>
        <w:tblLayout w:type="fixed"/>
        <w:tblLook w:firstRow="1" w:lastRow="0" w:firstColumn="0" w:lastColumn="0" w:noHBand="0" w:noVBand="0" w:val="0020"/>
      </w:tblPr>
      <w:tblGrid>
        <w:gridCol w:w="1634"/>
        <w:gridCol w:w="3897"/>
        <w:gridCol w:w="2388"/>
      </w:tblGrid>
      <w:tr>
        <w:trPr>
          <w:tblHeader w:val="on"/>
        </w:trPr>
        <w:tc>
          <w:tcPr/>
          <w:p>
            <w:pPr>
              <w:pStyle w:val="Compact"/>
            </w:pPr>
            <w:r>
              <w:t xml:space="preserve">ประเภทสิทธิ</w:t>
            </w:r>
          </w:p>
        </w:tc>
        <w:tc>
          <w:tcPr/>
          <w:p>
            <w:pPr>
              <w:pStyle w:val="Compact"/>
            </w:pPr>
            <w:r>
              <w:t xml:space="preserve">เป้าหมายภายใน (internal target)</w:t>
            </w:r>
          </w:p>
        </w:tc>
        <w:tc>
          <w:tcPr/>
          <w:p>
            <w:pPr>
              <w:pStyle w:val="Compact"/>
            </w:pPr>
            <w:r>
              <w:t xml:space="preserve">ผลลัพธ์ที่ส่งมอบ</w:t>
            </w:r>
          </w:p>
        </w:tc>
      </w:tr>
      <w:tr>
        <w:tc>
          <w:tcPr/>
          <w:p>
            <w:pPr>
              <w:pStyle w:val="Compact"/>
            </w:pPr>
            <w:r>
              <w:t xml:space="preserve">เข้าถึง/ขอสำเนา (Access)</w:t>
            </w:r>
          </w:p>
        </w:tc>
        <w:tc>
          <w:tcPr/>
          <w:p>
            <w:pPr>
              <w:pStyle w:val="Compact"/>
            </w:pPr>
            <w:r>
              <w:t xml:space="preserve">20 วัน</w:t>
            </w:r>
          </w:p>
        </w:tc>
        <w:tc>
          <w:tcPr/>
          <w:p>
            <w:pPr>
              <w:pStyle w:val="Compact"/>
            </w:pPr>
            <w:r>
              <w:t xml:space="preserve">รายงานข้อมูล + ที่มา + วัตถุประสงค์ + ผู้รับข้อมูล + ระยะเก็บรักษา</w:t>
            </w:r>
          </w:p>
        </w:tc>
      </w:tr>
      <w:tr>
        <w:tc>
          <w:tcPr/>
          <w:p>
            <w:pPr>
              <w:pStyle w:val="Compact"/>
            </w:pPr>
            <w:r>
              <w:t xml:space="preserve">โอนย้าย (Portability)</w:t>
            </w:r>
          </w:p>
        </w:tc>
        <w:tc>
          <w:tcPr/>
          <w:p>
            <w:pPr>
              <w:pStyle w:val="Compact"/>
            </w:pPr>
            <w:r>
              <w:t xml:space="preserve">20 วัน</w:t>
            </w:r>
          </w:p>
        </w:tc>
        <w:tc>
          <w:tcPr/>
          <w:p>
            <w:pPr>
              <w:pStyle w:val="Compact"/>
            </w:pPr>
            <w:r>
              <w:t xml:space="preserve">ไฟล์ machine-readable (JSON/CSV)</w:t>
            </w:r>
          </w:p>
        </w:tc>
      </w:tr>
      <w:tr>
        <w:tc>
          <w:tcPr/>
          <w:p>
            <w:pPr>
              <w:pStyle w:val="Compact"/>
            </w:pPr>
            <w:r>
              <w:t xml:space="preserve">แก้ไข (Rectification)</w:t>
            </w:r>
          </w:p>
        </w:tc>
        <w:tc>
          <w:tcPr/>
          <w:p>
            <w:pPr>
              <w:pStyle w:val="Compact"/>
            </w:pPr>
            <w:r>
              <w:t xml:space="preserve">15 วัน</w:t>
            </w:r>
          </w:p>
        </w:tc>
        <w:tc>
          <w:tcPr/>
          <w:p>
            <w:pPr>
              <w:pStyle w:val="Compact"/>
            </w:pPr>
            <w:r>
              <w:t xml:space="preserve">ยืนยันการแก้ไข + แจ้งผู้รับข้อมูลปลายทางที่เกี่ยวข้อง</w:t>
            </w:r>
          </w:p>
        </w:tc>
      </w:tr>
      <w:tr>
        <w:tc>
          <w:tcPr/>
          <w:p>
            <w:pPr>
              <w:pStyle w:val="Compact"/>
            </w:pPr>
            <w:r>
              <w:t xml:space="preserve">ลบ/ทำลาย (Erasure)</w:t>
            </w:r>
          </w:p>
        </w:tc>
        <w:tc>
          <w:tcPr/>
          <w:p>
            <w:pPr>
              <w:pStyle w:val="Compact"/>
            </w:pPr>
            <w:r>
              <w:t xml:space="preserve">25 วัน</w:t>
            </w:r>
          </w:p>
        </w:tc>
        <w:tc>
          <w:tcPr/>
          <w:p>
            <w:pPr>
              <w:pStyle w:val="Compact"/>
            </w:pPr>
            <w:r>
              <w:t xml:space="preserve">ยืนยันการลบ/anonymize + รายการที่คงไว้ตามข้อยกเว้น</w:t>
            </w:r>
          </w:p>
        </w:tc>
      </w:tr>
      <w:tr>
        <w:tc>
          <w:tcPr/>
          <w:p>
            <w:pPr>
              <w:pStyle w:val="Compact"/>
            </w:pPr>
            <w:r>
              <w:t xml:space="preserve">ระงับ/คัดค้าน (Restriction/Object)</w:t>
            </w:r>
          </w:p>
        </w:tc>
        <w:tc>
          <w:tcPr/>
          <w:p>
            <w:pPr>
              <w:pStyle w:val="Compact"/>
            </w:pPr>
            <w:r>
              <w:t xml:space="preserve">15 วัน</w:t>
            </w:r>
          </w:p>
        </w:tc>
        <w:tc>
          <w:tcPr/>
          <w:p>
            <w:pPr>
              <w:pStyle w:val="Compact"/>
            </w:pPr>
            <w:r>
              <w:t xml:space="preserve">ยืนยันการระงับ/ยุติการประมวลผล</w:t>
            </w:r>
          </w:p>
        </w:tc>
      </w:tr>
      <w:tr>
        <w:tc>
          <w:tcPr/>
          <w:p>
            <w:pPr>
              <w:pStyle w:val="Compact"/>
            </w:pPr>
            <w:r>
              <w:t xml:space="preserve">ถอนความยินยอม</w:t>
            </w:r>
          </w:p>
        </w:tc>
        <w:tc>
          <w:tcPr/>
          <w:p>
            <w:pPr>
              <w:pStyle w:val="Compact"/>
            </w:pPr>
            <w:r>
              <w:t xml:space="preserve">7 วัน</w:t>
            </w:r>
          </w:p>
        </w:tc>
        <w:tc>
          <w:tcPr/>
          <w:p>
            <w:pPr>
              <w:pStyle w:val="Compact"/>
            </w:pPr>
            <w:r>
              <w:t xml:space="preserve">ยืนยันการถอน + ผลกระทบต่อบริการ</w:t>
            </w:r>
          </w:p>
        </w:tc>
      </w:tr>
    </w:tbl>
    <w:p>
      <w:pPr>
        <w:pStyle w:val="BodyText"/>
      </w:pPr>
      <w:r>
        <w:rPr>
          <w:b/>
          <w:bCs/>
        </w:rPr>
        <w:t xml:space="preserve">การส่งมอบอย่างปลอดภัย:</w:t>
      </w:r>
      <w:r>
        <w:t xml:space="preserve"> </w:t>
      </w:r>
      <w:r>
        <w:t xml:space="preserve">ผลลัพธ์ส่งผ่านช่องทางเข้ารหัส (portal ที่ต้อง authenticate หรือไฟล์เข้ารหัสรหัสผ่านส่งแยกช่องทาง) —</w:t>
      </w:r>
      <w:r>
        <w:t xml:space="preserve"> </w:t>
      </w:r>
      <w:r>
        <w:rPr>
          <w:b/>
          <w:bCs/>
        </w:rPr>
        <w:t xml:space="preserve">ไม่ส่งข้อมูลส่วนบุคคลเป็น attachment แบบ plaintext</w:t>
      </w:r>
      <w:r>
        <w:t xml:space="preserve"> </w:t>
      </w:r>
      <w:r>
        <w:t xml:space="preserve">และ export ต้องผ่าน redaction ให้ไม่มี CHD ตาม PCI-DSS v4.0</w:t>
      </w:r>
    </w:p>
    <w:p>
      <w:pPr>
        <w:pStyle w:val="BodyText"/>
      </w:pPr>
      <w:r>
        <w:rPr>
          <w:b/>
          <w:bCs/>
        </w:rPr>
        <w:t xml:space="preserve">ค่าบริการ:</w:t>
      </w:r>
      <w:r>
        <w:t xml:space="preserve"> </w:t>
      </w:r>
      <w:r>
        <w:t xml:space="preserve">ครั้งแรก</w:t>
      </w:r>
      <w:r>
        <w:rPr>
          <w:b/>
          <w:bCs/>
        </w:rPr>
        <w:t xml:space="preserve">ไม่คิดค่าใช้จ่าย</w:t>
      </w:r>
      <w:r>
        <w:t xml:space="preserve">; คำขอซ้ำ ๆ หรือเกินสมควร (excessive) อาจคิดค่าธรรมเนียมตามต้นทุนจริงที่สมเหตุสมผล หรือปฏิเสธพร้อมเหตุผล</w:t>
      </w:r>
    </w:p>
    <w:p>
      <w:pPr>
        <w:pStyle w:val="BodyText"/>
      </w:pPr>
      <w:r>
        <w:rPr>
          <w:b/>
          <w:bCs/>
        </w:rPr>
        <w:t xml:space="preserve">การหยุดนาฬิกา (clock-stop):</w:t>
      </w:r>
      <w:r>
        <w:t xml:space="preserve"> </w:t>
      </w:r>
      <w:r>
        <w:t xml:space="preserve">SLA หยุดนับระหว่างรอข้อมูลเพิ่มจากผู้ยื่น และนับต่อเมื่อได้รับครบ</w:t>
      </w:r>
    </w:p>
    <w:p>
      <w:r>
        <w:pict>
          <v:rect style="width:0;height:1.5pt" o:hralign="center" o:hrstd="t" o:hr="t"/>
        </w:pict>
      </w:r>
    </w:p>
    <w:bookmarkEnd w:id="392"/>
    <w:bookmarkStart w:id="393" w:name="ขนตอนปฏบตแบบ-end-to-end"/>
    <w:p>
      <w:pPr>
        <w:pStyle w:val="Heading2"/>
      </w:pPr>
      <w:r>
        <w:t xml:space="preserve">6. ขั้นตอนปฏิบัติแบบ end-to-end</w:t>
      </w:r>
    </w:p>
    <w:p>
      <w:pPr>
        <w:pStyle w:val="SourceCode"/>
      </w:pPr>
      <w:r>
        <w:rPr>
          <w:rStyle w:val="VerbatimChar"/>
        </w:rPr>
        <w:t xml:space="preserve">รับคำขอ (intake) ──▶ ลงทะเบียน DSAR Register (request_id) ──▶ acknowledge ผู้ยื่น</w:t>
      </w:r>
      <w:r>
        <w:br/>
      </w:r>
      <w:r>
        <w:rPr>
          <w:rStyle w:val="VerbatimChar"/>
        </w:rPr>
        <w:t xml:space="preserve">     │</w:t>
      </w:r>
      <w:r>
        <w:br/>
      </w:r>
      <w:r>
        <w:rPr>
          <w:rStyle w:val="VerbatimChar"/>
        </w:rPr>
        <w:t xml:space="preserve">     ▼</w:t>
      </w:r>
      <w:r>
        <w:br/>
      </w:r>
      <w:r>
        <w:rPr>
          <w:rStyle w:val="VerbatimChar"/>
        </w:rPr>
        <w:t xml:space="preserve">พิสูจน์ตัวตน (L1/L2/L3) ──ไม่ผ่าน──▶ ขอเอกสารเพิ่ม (clock-stop) ──เกิน 14 วัน──▶ ปิดชั่วคราว</w:t>
      </w:r>
      <w:r>
        <w:br/>
      </w:r>
      <w:r>
        <w:rPr>
          <w:rStyle w:val="VerbatimChar"/>
        </w:rPr>
        <w:t xml:space="preserve">     │ ผ่าน</w:t>
      </w:r>
      <w:r>
        <w:br/>
      </w:r>
      <w:r>
        <w:rPr>
          <w:rStyle w:val="VerbatimChar"/>
        </w:rPr>
        <w:t xml:space="preserve">     ▼</w:t>
      </w:r>
      <w:r>
        <w:br/>
      </w:r>
      <w:r>
        <w:rPr>
          <w:rStyle w:val="VerbatimChar"/>
        </w:rPr>
        <w:t xml:space="preserve">ค้นหา/รวบรวมข้อมูล (payments, merchants, audit_log, logs, backups)</w:t>
      </w:r>
      <w:r>
        <w:br/>
      </w:r>
      <w:r>
        <w:rPr>
          <w:rStyle w:val="VerbatimChar"/>
        </w:rPr>
        <w:t xml:space="preserve">     │</w:t>
      </w:r>
      <w:r>
        <w:br/>
      </w:r>
      <w:r>
        <w:rPr>
          <w:rStyle w:val="VerbatimChar"/>
        </w:rPr>
        <w:t xml:space="preserve">     ▼</w:t>
      </w:r>
      <w:r>
        <w:br/>
      </w:r>
      <w:r>
        <w:rPr>
          <w:rStyle w:val="VerbatimChar"/>
        </w:rPr>
        <w:t xml:space="preserve">ตรวจข้อยกเว้น (AML/ธปท. retention, สิทธิบุคคลที่สาม, PCI) ── Legal/Compliance review</w:t>
      </w:r>
      <w:r>
        <w:br/>
      </w:r>
      <w:r>
        <w:rPr>
          <w:rStyle w:val="VerbatimChar"/>
        </w:rPr>
        <w:t xml:space="preserve">     │</w:t>
      </w:r>
      <w:r>
        <w:br/>
      </w:r>
      <w:r>
        <w:rPr>
          <w:rStyle w:val="VerbatimChar"/>
        </w:rPr>
        <w:t xml:space="preserve">     ▼</w:t>
      </w:r>
      <w:r>
        <w:br/>
      </w:r>
      <w:r>
        <w:rPr>
          <w:rStyle w:val="VerbatimChar"/>
        </w:rPr>
        <w:t xml:space="preserve">DPO อนุมัติ ──▶ ส่งมอบผ่านช่องทางเข้ารหัส ──▶ ปิดคำขอ + บันทึกผลใน Register + audit_log</w:t>
      </w:r>
    </w:p>
    <w:p>
      <w:pPr>
        <w:pStyle w:val="FirstParagraph"/>
      </w:pPr>
      <w:r>
        <w:rPr>
          <w:b/>
          <w:bCs/>
        </w:rPr>
        <w:t xml:space="preserve">การค้นหาข้อมูล</w:t>
      </w:r>
      <w:r>
        <w:t xml:space="preserve"> </w:t>
      </w:r>
      <w:r>
        <w:t xml:space="preserve">ครอบคลุมทุกที่จัดเก็บ: ฐานข้อมูลปฏิบัติการ (</w:t>
      </w:r>
      <w:r>
        <w:rPr>
          <w:rStyle w:val="VerbatimChar"/>
        </w:rPr>
        <w:t xml:space="preserve">payments</w:t>
      </w:r>
      <w:r>
        <w:t xml:space="preserve">,</w:t>
      </w:r>
      <w:r>
        <w:t xml:space="preserve"> </w:t>
      </w:r>
      <w:r>
        <w:rPr>
          <w:rStyle w:val="VerbatimChar"/>
        </w:rPr>
        <w:t xml:space="preserve">merchants</w:t>
      </w:r>
      <w:r>
        <w:t xml:space="preserve">,</w:t>
      </w:r>
      <w:r>
        <w:t xml:space="preserve"> </w:t>
      </w:r>
      <w:r>
        <w:rPr>
          <w:rStyle w:val="VerbatimChar"/>
        </w:rPr>
        <w:t xml:space="preserve">refunds</w:t>
      </w:r>
      <w:r>
        <w:t xml:space="preserve">,</w:t>
      </w:r>
      <w:r>
        <w:t xml:space="preserve"> </w:t>
      </w:r>
      <w:r>
        <w:rPr>
          <w:rStyle w:val="VerbatimChar"/>
        </w:rPr>
        <w:t xml:space="preserve">webhook_events</w:t>
      </w:r>
      <w:r>
        <w:t xml:space="preserve">,</w:t>
      </w:r>
      <w:r>
        <w:t xml:space="preserve"> </w:t>
      </w:r>
      <w:r>
        <w:rPr>
          <w:rStyle w:val="VerbatimChar"/>
        </w:rPr>
        <w:t xml:space="preserve">audit_log</w:t>
      </w:r>
      <w:r>
        <w:t xml:space="preserve">), log/observability store, สำเนาสำรอง (backups/replica), และข้อมูลที่อยู่กับผู้ประมวลผลภายนอก (processors เช่น 3DS/vault vendor) — ต้องแจ้ง processor ให้ดำเนินการตามสัญญา DPA</w:t>
      </w:r>
    </w:p>
    <w:p>
      <w:r>
        <w:pict>
          <v:rect style="width:0;height:1.5pt" o:hralign="center" o:hrstd="t" o:hr="t"/>
        </w:pict>
      </w:r>
    </w:p>
    <w:bookmarkEnd w:id="393"/>
    <w:bookmarkStart w:id="394" w:name="ขอยกเวนและการปฏเสธ-exceptions"/>
    <w:p>
      <w:pPr>
        <w:pStyle w:val="Heading2"/>
      </w:pPr>
      <w:r>
        <w:t xml:space="preserve">7. ข้อยกเว้นและการปฏิเสธ (Exceptions)</w:t>
      </w:r>
    </w:p>
    <w:p>
      <w:pPr>
        <w:pStyle w:val="FirstParagraph"/>
      </w:pPr>
      <w:r>
        <w:t xml:space="preserve">การใช้สิทธิบางกรณี</w:t>
      </w:r>
      <w:r>
        <w:t xml:space="preserve"> </w:t>
      </w:r>
      <w:r>
        <w:rPr>
          <w:b/>
          <w:bCs/>
        </w:rPr>
        <w:t xml:space="preserve">ถูกจำกัดหรือปฏิเสธได้โดยชอบด้วยกฎหมาย</w:t>
      </w:r>
      <w:r>
        <w:t xml:space="preserve"> </w:t>
      </w:r>
      <w:r>
        <w:t xml:space="preserve">โดยเฉพาะเมื่อชนกับหน้าที่เก็บรักษาข้อมูลของสถาบันการชำระเงิน:</w:t>
      </w:r>
    </w:p>
    <w:tbl>
      <w:tblPr>
        <w:tblStyle w:val="Table"/>
        <w:tblW w:type="pct" w:w="5000"/>
        <w:tblLayout w:type="fixed"/>
        <w:tblLook w:firstRow="1" w:lastRow="0" w:firstColumn="0" w:lastColumn="0" w:noHBand="0" w:noVBand="0" w:val="0020"/>
      </w:tblPr>
      <w:tblGrid>
        <w:gridCol w:w="3226"/>
        <w:gridCol w:w="1466"/>
        <w:gridCol w:w="3226"/>
      </w:tblGrid>
      <w:tr>
        <w:trPr>
          <w:tblHeader w:val="on"/>
        </w:trPr>
        <w:tc>
          <w:tcPr/>
          <w:p>
            <w:pPr>
              <w:pStyle w:val="Compact"/>
            </w:pPr>
            <w:r>
              <w:t xml:space="preserve">ข้อยกเว้น</w:t>
            </w:r>
          </w:p>
        </w:tc>
        <w:tc>
          <w:tcPr/>
          <w:p>
            <w:pPr>
              <w:pStyle w:val="Compact"/>
            </w:pPr>
            <w:r>
              <w:t xml:space="preserve">ฐาน</w:t>
            </w:r>
          </w:p>
        </w:tc>
        <w:tc>
          <w:tcPr/>
          <w:p>
            <w:pPr>
              <w:pStyle w:val="Compact"/>
            </w:pPr>
            <w:r>
              <w:t xml:space="preserve">ผลต่อสิทธิ</w:t>
            </w:r>
          </w:p>
        </w:tc>
      </w:tr>
      <w:tr>
        <w:tc>
          <w:tcPr/>
          <w:p>
            <w:pPr>
              <w:pStyle w:val="Compact"/>
            </w:pPr>
            <w:r>
              <w:rPr>
                <w:b/>
                <w:bCs/>
              </w:rPr>
              <w:t xml:space="preserve">หน้าที่เก็บข้อมูลตาม ปปง./AMLO</w:t>
            </w:r>
          </w:p>
        </w:tc>
        <w:tc>
          <w:tcPr/>
          <w:p>
            <w:pPr>
              <w:pStyle w:val="Compact"/>
            </w:pPr>
            <w:r>
              <w:t xml:space="preserve">พ.ร.บ. ป้องกันและปราบปรามการฟอกเงิน (KYC/CDD, บันทึกธุรกรรม เก็บ ≥ 5 ปีหลังยุติความสัมพันธ์)</w:t>
            </w:r>
          </w:p>
        </w:tc>
        <w:tc>
          <w:tcPr/>
          <w:p>
            <w:pPr>
              <w:pStyle w:val="Compact"/>
            </w:pPr>
            <w:r>
              <w:rPr>
                <w:b/>
                <w:bCs/>
              </w:rPr>
              <w:t xml:space="preserve">ปฏิเสธการลบ</w:t>
            </w:r>
            <w:r>
              <w:t xml:space="preserve">ในส่วนนี้ได้ — anonymize ส่วนที่ลบได้เท่านั้น</w:t>
            </w:r>
          </w:p>
        </w:tc>
      </w:tr>
      <w:tr>
        <w:tc>
          <w:tcPr/>
          <w:p>
            <w:pPr>
              <w:pStyle w:val="Compact"/>
            </w:pPr>
            <w:r>
              <w:rPr>
                <w:b/>
                <w:bCs/>
              </w:rPr>
              <w:t xml:space="preserve">หน้าที่รายงาน/เก็บหลักฐานตาม ธปท.</w:t>
            </w:r>
          </w:p>
        </w:tc>
        <w:tc>
          <w:tcPr/>
          <w:p>
            <w:pPr>
              <w:pStyle w:val="Compact"/>
            </w:pPr>
            <w:r>
              <w:t xml:space="preserve">พ.ร.บ. ระบบการชำระเงิน 2560 + ประกาศ ธปท. (audit trail, reconciliation, settlement)</w:t>
            </w:r>
          </w:p>
        </w:tc>
        <w:tc>
          <w:tcPr/>
          <w:p>
            <w:pPr>
              <w:pStyle w:val="Compact"/>
            </w:pPr>
            <w:r>
              <w:t xml:space="preserve">คงไว้ตามระยะที่ ธปท. กำหนด</w:t>
            </w:r>
          </w:p>
        </w:tc>
      </w:tr>
      <w:tr>
        <w:tc>
          <w:tcPr/>
          <w:p>
            <w:pPr>
              <w:pStyle w:val="Compact"/>
            </w:pPr>
            <w:r>
              <w:rPr>
                <w:b/>
                <w:bCs/>
              </w:rPr>
              <w:t xml:space="preserve">บันทึกที่ PCI-DSS บังคับ</w:t>
            </w:r>
          </w:p>
        </w:tc>
        <w:tc>
          <w:tcPr/>
          <w:p>
            <w:pPr>
              <w:pStyle w:val="Compact"/>
            </w:pPr>
            <w:r>
              <w:t xml:space="preserve">PCI-DSS v4.0 Req 10 (audit log ≥ 1 ปี, 3 เดือนพร้อมใช้ทันที)</w:t>
            </w:r>
          </w:p>
        </w:tc>
        <w:tc>
          <w:tcPr/>
          <w:p>
            <w:pPr>
              <w:pStyle w:val="Compact"/>
            </w:pPr>
            <w:r>
              <w:t xml:space="preserve">คงไว้ตามมาตรฐาน</w:t>
            </w:r>
          </w:p>
        </w:tc>
      </w:tr>
      <w:tr>
        <w:tc>
          <w:tcPr/>
          <w:p>
            <w:pPr>
              <w:pStyle w:val="Compact"/>
            </w:pPr>
            <w:r>
              <w:rPr>
                <w:b/>
                <w:bCs/>
              </w:rPr>
              <w:t xml:space="preserve">สิทธิของบุคคลที่สาม</w:t>
            </w:r>
          </w:p>
        </w:tc>
        <w:tc>
          <w:tcPr/>
          <w:p>
            <w:pPr>
              <w:pStyle w:val="Compact"/>
            </w:pPr>
            <w:r>
              <w:t xml:space="preserve">PDPA</w:t>
            </w:r>
          </w:p>
        </w:tc>
        <w:tc>
          <w:tcPr/>
          <w:p>
            <w:pPr>
              <w:pStyle w:val="Compact"/>
            </w:pPr>
            <w:r>
              <w:t xml:space="preserve">redact ส่วนที่กระทบผู้อื่น</w:t>
            </w:r>
          </w:p>
        </w:tc>
      </w:tr>
      <w:tr>
        <w:tc>
          <w:tcPr/>
          <w:p>
            <w:pPr>
              <w:pStyle w:val="Compact"/>
            </w:pPr>
            <w:r>
              <w:rPr>
                <w:b/>
                <w:bCs/>
              </w:rPr>
              <w:t xml:space="preserve">การก่อตั้ง/ใช้สิทธิเรียกร้องตามกฎหมาย</w:t>
            </w:r>
          </w:p>
        </w:tc>
        <w:tc>
          <w:tcPr/>
          <w:p>
            <w:pPr>
              <w:pStyle w:val="Compact"/>
            </w:pPr>
            <w:r>
              <w:t xml:space="preserve">PDPA ม.33</w:t>
            </w:r>
          </w:p>
        </w:tc>
        <w:tc>
          <w:tcPr/>
          <w:p>
            <w:pPr>
              <w:pStyle w:val="Compact"/>
            </w:pPr>
            <w:r>
              <w:t xml:space="preserve">คงข้อมูลเท่าที่จำเป็น (dispute/chargeback)</w:t>
            </w:r>
          </w:p>
        </w:tc>
      </w:tr>
      <w:tr>
        <w:tc>
          <w:tcPr/>
          <w:p>
            <w:pPr>
              <w:pStyle w:val="Compact"/>
            </w:pPr>
            <w:r>
              <w:rPr>
                <w:b/>
                <w:bCs/>
              </w:rPr>
              <w:t xml:space="preserve">คำขอที่ไม่มีมูล/เกินสมควร</w:t>
            </w:r>
          </w:p>
        </w:tc>
        <w:tc>
          <w:tcPr/>
          <w:p>
            <w:pPr>
              <w:pStyle w:val="Compact"/>
            </w:pPr>
            <w:r>
              <w:t xml:space="preserve">PDPA</w:t>
            </w:r>
          </w:p>
        </w:tc>
        <w:tc>
          <w:tcPr/>
          <w:p>
            <w:pPr>
              <w:pStyle w:val="Compact"/>
            </w:pPr>
            <w:r>
              <w:t xml:space="preserve">คิดค่าธรรมเนียม หรือปฏิเสธพร้อมเหตุผล</w:t>
            </w:r>
          </w:p>
        </w:tc>
      </w:tr>
    </w:tbl>
    <w:p>
      <w:pPr>
        <w:pStyle w:val="BodyText"/>
      </w:pPr>
      <w:r>
        <w:rPr>
          <w:b/>
          <w:bCs/>
        </w:rPr>
        <w:t xml:space="preserve">หลักปฏิบัติเมื่อปฏิเสธ (บางส่วนหรือทั้งหมด):</w:t>
      </w:r>
      <w:r>
        <w:t xml:space="preserve"> </w:t>
      </w:r>
      <w:r>
        <w:t xml:space="preserve">- แจ้ง</w:t>
      </w:r>
      <w:r>
        <w:rPr>
          <w:b/>
          <w:bCs/>
        </w:rPr>
        <w:t xml:space="preserve">เป็นหนังสือ</w:t>
      </w:r>
      <w:r>
        <w:t xml:space="preserve"> </w:t>
      </w:r>
      <w:r>
        <w:t xml:space="preserve">พร้อมเหตุผลและฐานกฎหมายที่ชัดเจน</w:t>
      </w:r>
      <w:r>
        <w:t xml:space="preserve"> </w:t>
      </w:r>
      <w:r>
        <w:t xml:space="preserve">- แจ้งสิทธิ</w:t>
      </w:r>
      <w:r>
        <w:rPr>
          <w:b/>
          <w:bCs/>
        </w:rPr>
        <w:t xml:space="preserve">ร้องเรียนต่อคณะกรรมการคุ้มครองข้อมูลส่วนบุคคล (PDPC)</w:t>
      </w:r>
      <w:r>
        <w:t xml:space="preserve"> </w:t>
      </w:r>
      <w:r>
        <w:t xml:space="preserve">- บันทึกเหตุผลการปฏิเสธใน DSAR Register และ</w:t>
      </w:r>
      <w:r>
        <w:t xml:space="preserve"> </w:t>
      </w:r>
      <w:r>
        <w:rPr>
          <w:rStyle w:val="VerbatimChar"/>
        </w:rPr>
        <w:t xml:space="preserve">audit_log</w:t>
      </w:r>
      <w:r>
        <w:t xml:space="preserve"> </w:t>
      </w:r>
      <w:r>
        <w:t xml:space="preserve">- กรณีลบไม่ได้เพราะ AML/ธปท. → ดำเนินการ</w:t>
      </w:r>
      <w:r>
        <w:t xml:space="preserve"> </w:t>
      </w:r>
      <w:r>
        <w:rPr>
          <w:b/>
          <w:bCs/>
        </w:rPr>
        <w:t xml:space="preserve">restriction/anonymization</w:t>
      </w:r>
      <w:r>
        <w:t xml:space="preserve"> </w:t>
      </w:r>
      <w:r>
        <w:t xml:space="preserve">เท่าที่ทำได้แทนการลบทั้งหมด</w:t>
      </w:r>
    </w:p>
    <w:p>
      <w:pPr>
        <w:pStyle w:val="BlockText"/>
      </w:pPr>
      <w:r>
        <w:rPr>
          <w:b/>
          <w:bCs/>
        </w:rPr>
        <w:t xml:space="preserve">หมายเหตุสำคัญ (callout):</w:t>
      </w:r>
      <w:r>
        <w:t xml:space="preserve"> </w:t>
      </w:r>
      <w:r>
        <w:t xml:space="preserve">เมื่อ</w:t>
      </w:r>
      <w:r>
        <w:t xml:space="preserve"> </w:t>
      </w:r>
      <w:r>
        <w:rPr>
          <w:b/>
          <w:bCs/>
        </w:rPr>
        <w:t xml:space="preserve">สิทธิลบข้อมูล (erasure)</w:t>
      </w:r>
      <w:r>
        <w:t xml:space="preserve"> </w:t>
      </w:r>
      <w:r>
        <w:t xml:space="preserve">ชนกับ</w:t>
      </w:r>
      <w:r>
        <w:t xml:space="preserve"> </w:t>
      </w:r>
      <w:r>
        <w:rPr>
          <w:b/>
          <w:bCs/>
        </w:rPr>
        <w:t xml:space="preserve">หน้าที่เก็บรักษาข้อมูลตาม ปปง./ธปท./PCI</w:t>
      </w:r>
      <w:r>
        <w:t xml:space="preserve"> </w:t>
      </w:r>
      <w:r>
        <w:t xml:space="preserve">ให้หน้าที่ตามกฎหมาย/มาตรฐานเหล่านี้</w:t>
      </w:r>
      <w:r>
        <w:t xml:space="preserve"> </w:t>
      </w:r>
      <w:r>
        <w:rPr>
          <w:b/>
          <w:bCs/>
        </w:rPr>
        <w:t xml:space="preserve">มีน้ำหนักเหนือกว่า</w:t>
      </w:r>
      <w:r>
        <w:t xml:space="preserve"> </w:t>
      </w:r>
      <w:r>
        <w:t xml:space="preserve">เฉพาะขอบเขตข้อมูลที่กฎหมายบังคับ ส่วนข้อมูลนอกเหนือหน้าที่บังคับต้องดำเนินการลบตามคำขอ — Legal + Compliance ต้องระบุเป็นลายลักษณ์อักษรว่าข้อมูลใดคงไว้ด้วยฐานใด</w:t>
      </w:r>
    </w:p>
    <w:p>
      <w:r>
        <w:pict>
          <v:rect style="width:0;height:1.5pt" o:hralign="center" o:hrstd="t" o:hr="t"/>
        </w:pict>
      </w:r>
    </w:p>
    <w:bookmarkEnd w:id="394"/>
    <w:bookmarkStart w:id="395" w:name="เหตการณละเมดขอมลทเกยวของ"/>
    <w:p>
      <w:pPr>
        <w:pStyle w:val="Heading2"/>
      </w:pPr>
      <w:r>
        <w:t xml:space="preserve">8. เหตุการณ์ละเมิดข้อมูลที่เกี่ยวข้อง</w:t>
      </w:r>
    </w:p>
    <w:p>
      <w:pPr>
        <w:pStyle w:val="FirstParagraph"/>
      </w:pPr>
      <w:r>
        <w:t xml:space="preserve">หากระหว่างดำเนินการ DSAR พบการละเมิดข้อมูลส่วนบุคคล ให้เข้าสู่กระบวนการ</w:t>
      </w:r>
      <w:r>
        <w:t xml:space="preserve"> </w:t>
      </w:r>
      <w:r>
        <w:rPr>
          <w:b/>
          <w:bCs/>
        </w:rPr>
        <w:t xml:space="preserve">แจ้งเหตุต่อ PDPC ภายใน 72 ชั่วโมง</w:t>
      </w:r>
      <w:r>
        <w:t xml:space="preserve"> </w:t>
      </w:r>
      <w:r>
        <w:t xml:space="preserve">ตาม PDPA และแจ้งเจ้าของข้อมูลหากมีความเสี่ยงสูง พร้อมพิจารณาแจ้ง ธปท. ตามประกาศด้าน cyber resilience (ดูเอกสาร incident response แยกในชุด compliance)</w:t>
      </w:r>
    </w:p>
    <w:p>
      <w:r>
        <w:pict>
          <v:rect style="width:0;height:1.5pt" o:hralign="center" o:hrstd="t" o:hr="t"/>
        </w:pict>
      </w:r>
    </w:p>
    <w:bookmarkEnd w:id="395"/>
    <w:bookmarkStart w:id="396" w:name="การวดผลและทบทวน-metrics-review"/>
    <w:p>
      <w:pPr>
        <w:pStyle w:val="Heading2"/>
      </w:pPr>
      <w:r>
        <w:t xml:space="preserve">9. การวัดผลและทบทวน (Metrics &amp;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ตัวชี้วัด</w:t>
            </w:r>
          </w:p>
        </w:tc>
        <w:tc>
          <w:tcPr/>
          <w:p>
            <w:pPr>
              <w:pStyle w:val="Compact"/>
            </w:pPr>
            <w:r>
              <w:t xml:space="preserve">เป้าหมาย</w:t>
            </w:r>
          </w:p>
        </w:tc>
      </w:tr>
      <w:tr>
        <w:tc>
          <w:tcPr/>
          <w:p>
            <w:pPr>
              <w:pStyle w:val="Compact"/>
            </w:pPr>
            <w:r>
              <w:t xml:space="preserve">% คำขอที่ตอบภายใน SLA</w:t>
            </w:r>
          </w:p>
        </w:tc>
        <w:tc>
          <w:tcPr/>
          <w:p>
            <w:pPr>
              <w:pStyle w:val="Compact"/>
            </w:pPr>
            <w:r>
              <w:t xml:space="preserve">≥ 98%</w:t>
            </w:r>
          </w:p>
        </w:tc>
      </w:tr>
      <w:tr>
        <w:tc>
          <w:tcPr/>
          <w:p>
            <w:pPr>
              <w:pStyle w:val="Compact"/>
            </w:pPr>
            <w:r>
              <w:t xml:space="preserve">เวลาเฉลี่ยในการปิดคำขอ</w:t>
            </w:r>
          </w:p>
        </w:tc>
        <w:tc>
          <w:tcPr/>
          <w:p>
            <w:pPr>
              <w:pStyle w:val="Compact"/>
            </w:pPr>
            <w:r>
              <w:t xml:space="preserve">≤ 20 วัน</w:t>
            </w:r>
          </w:p>
        </w:tc>
      </w:tr>
      <w:tr>
        <w:tc>
          <w:tcPr/>
          <w:p>
            <w:pPr>
              <w:pStyle w:val="Compact"/>
            </w:pPr>
            <w:r>
              <w:t xml:space="preserve">จำนวนคำขอที่ต้องขยายเวลา</w:t>
            </w:r>
          </w:p>
        </w:tc>
        <w:tc>
          <w:tcPr/>
          <w:p>
            <w:pPr>
              <w:pStyle w:val="Compact"/>
            </w:pPr>
            <w:r>
              <w:t xml:space="preserve">รายงานทุกไตรมาส</w:t>
            </w:r>
          </w:p>
        </w:tc>
      </w:tr>
      <w:tr>
        <w:tc>
          <w:tcPr/>
          <w:p>
            <w:pPr>
              <w:pStyle w:val="Compact"/>
            </w:pPr>
            <w:r>
              <w:t xml:space="preserve">ข้อร้องเรียนที่ยกระดับถึง PDPC</w:t>
            </w:r>
          </w:p>
        </w:tc>
        <w:tc>
          <w:tcPr/>
          <w:p>
            <w:pPr>
              <w:pStyle w:val="Compact"/>
            </w:pPr>
            <w:r>
              <w:t xml:space="preserve">0 (เป้าหมาย)</w:t>
            </w:r>
          </w:p>
        </w:tc>
      </w:tr>
    </w:tbl>
    <w:p>
      <w:pPr>
        <w:pStyle w:val="BodyText"/>
      </w:pPr>
      <w:r>
        <w:t xml:space="preserve">ทบทวนกระบวนการนี้</w:t>
      </w:r>
      <w:r>
        <w:rPr>
          <w:b/>
          <w:bCs/>
        </w:rPr>
        <w:t xml:space="preserve">อย่างน้อยปีละครั้ง</w:t>
      </w:r>
      <w:r>
        <w:t xml:space="preserve"> </w:t>
      </w:r>
      <w:r>
        <w:t xml:space="preserve">หรือเมื่อกฎหมาย/ประกาศ PDPC/ธปท. เปลี่ยน โดย DPO เป็นผู้รับผิดชอบ</w:t>
      </w:r>
    </w:p>
    <w:p>
      <w:r>
        <w:pict>
          <v:rect style="width:0;height:1.5pt" o:hralign="center" o:hrstd="t" o:hr="t"/>
        </w:pict>
      </w:r>
    </w:p>
    <w:bookmarkEnd w:id="396"/>
    <w:bookmarkStart w:id="397" w:name="สรปสมมตฐานสงทตองยนยนกอนยน-todo"/>
    <w:p>
      <w:pPr>
        <w:pStyle w:val="Heading2"/>
      </w:pPr>
      <w:r>
        <w:t xml:space="preserve">10. สรุปสมมติฐาน/สิ่งที่ต้องยืนยันก่อนยื่น (TODO)</w:t>
      </w:r>
    </w:p>
    <w:p>
      <w:pPr>
        <w:pStyle w:val="Compact"/>
        <w:numPr>
          <w:ilvl w:val="0"/>
          <w:numId w:val="1161"/>
        </w:numPr>
      </w:pPr>
      <w:r>
        <w:t xml:space="preserve">แต่งตั้ง</w:t>
      </w:r>
      <w:r>
        <w:t xml:space="preserve"> </w:t>
      </w:r>
      <w:r>
        <w:rPr>
          <w:b/>
          <w:bCs/>
        </w:rPr>
        <w:t xml:space="preserve">DPO</w:t>
      </w:r>
      <w:r>
        <w:t xml:space="preserve"> </w:t>
      </w:r>
      <w:r>
        <w:t xml:space="preserve">และระบุช่องทางติดต่อ (อีเมล/โทรศัพท์) จริง</w:t>
      </w:r>
    </w:p>
    <w:p>
      <w:pPr>
        <w:pStyle w:val="Compact"/>
        <w:numPr>
          <w:ilvl w:val="0"/>
          <w:numId w:val="1162"/>
        </w:numPr>
      </w:pPr>
      <w:r>
        <w:t xml:space="preserve">จัดตั้ง</w:t>
      </w:r>
      <w:r>
        <w:t xml:space="preserve"> </w:t>
      </w:r>
      <w:r>
        <w:rPr>
          <w:b/>
          <w:bCs/>
        </w:rPr>
        <w:t xml:space="preserve">privacy portal</w:t>
      </w:r>
      <w:r>
        <w:t xml:space="preserve"> </w:t>
      </w:r>
      <w:r>
        <w:t xml:space="preserve">และอีเมล</w:t>
      </w:r>
      <w:r>
        <w:t xml:space="preserve"> </w:t>
      </w:r>
      <w:r>
        <w:rPr>
          <w:rStyle w:val="VerbatimChar"/>
        </w:rPr>
        <w:t xml:space="preserve">dpo@[บริษัท / Company]</w:t>
      </w:r>
    </w:p>
    <w:p>
      <w:pPr>
        <w:pStyle w:val="Compact"/>
        <w:numPr>
          <w:ilvl w:val="0"/>
          <w:numId w:val="1163"/>
        </w:numPr>
      </w:pPr>
      <w:r>
        <w:t xml:space="preserve">จัดทำ</w:t>
      </w:r>
      <w:r>
        <w:t xml:space="preserve"> </w:t>
      </w:r>
      <w:r>
        <w:rPr>
          <w:b/>
          <w:bCs/>
        </w:rPr>
        <w:t xml:space="preserve">DPA</w:t>
      </w:r>
      <w:r>
        <w:t xml:space="preserve"> </w:t>
      </w:r>
      <w:r>
        <w:t xml:space="preserve">กับ processors ทุกราย (3DS vendor, vault, cloud) ให้ครอบคลุมหน้าที่สนับสนุน DSAR</w:t>
      </w:r>
    </w:p>
    <w:p>
      <w:pPr>
        <w:pStyle w:val="Compact"/>
        <w:numPr>
          <w:ilvl w:val="0"/>
          <w:numId w:val="1164"/>
        </w:numPr>
      </w:pPr>
      <w:r>
        <w:t xml:space="preserve">ยืนยันระยะเก็บรักษาข้อมูลตาม ปปง./ธปท. กับที่ปรึกษากฎหมาย (ตัวเลข ≥ 5 ปีเป็นค่าอ้างอิง ต้องยืนยัน)</w:t>
      </w:r>
    </w:p>
    <w:p>
      <w:pPr>
        <w:pStyle w:val="Compact"/>
        <w:numPr>
          <w:ilvl w:val="0"/>
          <w:numId w:val="1165"/>
        </w:numPr>
      </w:pPr>
      <w:r>
        <w:t xml:space="preserve">เชื่อม DSAR Register เข้ากับ</w:t>
      </w:r>
      <w:r>
        <w:t xml:space="preserve"> </w:t>
      </w:r>
      <w:r>
        <w:rPr>
          <w:rStyle w:val="VerbatimChar"/>
        </w:rPr>
        <w:t xml:space="preserve">audit_log</w:t>
      </w:r>
      <w:r>
        <w:t xml:space="preserve"> </w:t>
      </w:r>
      <w:r>
        <w:t xml:space="preserve">และกำหนด retention ของเอกสารพิสูจน์ตัวตน</w:t>
      </w:r>
    </w:p>
    <w:bookmarkEnd w:id="397"/>
    <w:bookmarkEnd w:id="398"/>
    <w:bookmarkStart w:id="409" w:name="Xdfdd2b0629e62da37515ac00e13ee9d76edf514"/>
    <w:p>
      <w:pPr>
        <w:pStyle w:val="Heading1"/>
      </w:pPr>
      <w:r>
        <w:t xml:space="preserve">Data Subject Access Request workflow: intake, verification, fulfillment SLA, exceptions (English)</w:t>
      </w:r>
    </w:p>
    <w:p>
      <w:pPr>
        <w:pStyle w:val="BlockText"/>
      </w:pPr>
      <w:r>
        <w:t xml:space="preserve">Document ID</w:t>
      </w:r>
      <w:r>
        <w:t xml:space="preserve"> </w:t>
      </w:r>
      <w:r>
        <w:rPr>
          <w:rStyle w:val="VerbatimChar"/>
        </w:rPr>
        <w:t xml:space="preserve">docs/compliance/12-dsar-workflow.md</w:t>
      </w:r>
      <w:r>
        <w:t xml:space="preserve"> </w:t>
      </w:r>
      <w:r>
        <w:t xml:space="preserve">· Version 0.1 · Dated 22 Jul 2026</w:t>
      </w:r>
      <w:r>
        <w:t xml:space="preserve"> </w:t>
      </w:r>
      <w:r>
        <w:t xml:space="preserve">Application type:</w:t>
      </w:r>
      <w:r>
        <w:t xml:space="preserve"> </w:t>
      </w:r>
      <w:r>
        <w:rPr>
          <w:b/>
          <w:bCs/>
        </w:rPr>
        <w:t xml:space="preserve">Full Acquiring Service license</w:t>
      </w:r>
      <w:r>
        <w:t xml:space="preserve"> </w:t>
      </w:r>
      <w:r>
        <w:t xml:space="preserve">under the</w:t>
      </w:r>
      <w:r>
        <w:t xml:space="preserve"> </w:t>
      </w:r>
      <w:r>
        <w:rPr>
          <w:b/>
          <w:bCs/>
        </w:rPr>
        <w:t xml:space="preserve">Payment Systems Act B.E. 2560 (2017)</w:t>
      </w:r>
      <w:r>
        <w:t xml:space="preserve">, supervised by the</w:t>
      </w:r>
      <w:r>
        <w:t xml:space="preserve"> </w:t>
      </w:r>
      <w:r>
        <w:rPr>
          <w:b/>
          <w:bCs/>
        </w:rPr>
        <w:t xml:space="preserve">Bank of Thailand (BOT / ธปท.)</w:t>
      </w:r>
      <w:r>
        <w:t xml:space="preserve"> </w:t>
      </w:r>
      <w:r>
        <w:t xml:space="preserve">Applicant:</w:t>
      </w:r>
      <w:r>
        <w:t xml:space="preserve"> </w:t>
      </w:r>
      <w:r>
        <w:rPr>
          <w:b/>
          <w:bCs/>
        </w:rPr>
        <w:t xml:space="preserve">[บริษัท / Company]</w:t>
      </w:r>
      <w:r>
        <w:t xml:space="preserve"> </w:t>
      </w:r>
      <w:r>
        <w:t xml:space="preserve">· Paid-up registered capital:</w:t>
      </w:r>
      <w:r>
        <w:t xml:space="preserve"> </w:t>
      </w:r>
      <w:r>
        <w:rPr>
          <w:b/>
          <w:bCs/>
        </w:rPr>
        <w:t xml:space="preserve">THB 50,000,000</w:t>
      </w:r>
    </w:p>
    <w:p>
      <w:pPr>
        <w:pStyle w:val="BlockText"/>
      </w:pPr>
      <w:r>
        <w:rPr>
          <w:b/>
          <w:bCs/>
        </w:rPr>
        <w:t xml:space="preserve">Document status:</w:t>
      </w:r>
      <w:r>
        <w:t xml:space="preserve"> </w:t>
      </w:r>
      <w:r>
        <w:t xml:space="preserve">internal pre-submission draft — must be reviewed by legal counsel / the DPO and a PDPA advisor before it is operational. This is an operating procedure, not legal advice.</w:t>
      </w:r>
    </w:p>
    <w:p>
      <w:pPr>
        <w:pStyle w:val="BlockText"/>
      </w:pPr>
      <w:r>
        <w:t xml:space="preserve">Related docs:</w:t>
      </w:r>
      <w:r>
        <w:t xml:space="preserve"> </w:t>
      </w:r>
      <w:r>
        <w:rPr>
          <w:rStyle w:val="VerbatimChar"/>
        </w:rPr>
        <w:t xml:space="preserve">COMPLIANCE-TH.md</w:t>
      </w:r>
      <w:r>
        <w:t xml:space="preserve"> </w:t>
      </w:r>
      <w:r>
        <w:t xml:space="preserve">(law/licensing) ·</w:t>
      </w:r>
      <w:r>
        <w:t xml:space="preserve"> </w:t>
      </w:r>
      <w:r>
        <w:rPr>
          <w:rStyle w:val="VerbatimChar"/>
        </w:rPr>
        <w:t xml:space="preserve">ARCHITECTURE.md</w:t>
      </w:r>
      <w:r>
        <w:t xml:space="preserve"> </w:t>
      </w:r>
      <w:r>
        <w:t xml:space="preserve">(architecture/PCI scope) ·</w:t>
      </w:r>
      <w:r>
        <w:t xml:space="preserve"> </w:t>
      </w:r>
      <w:r>
        <w:rPr>
          <w:rStyle w:val="VerbatimChar"/>
        </w:rPr>
        <w:t xml:space="preserve">03-shareholder-board-fit-proper.md</w:t>
      </w:r>
      <w:r>
        <w:t xml:space="preserve"> </w:t>
      </w:r>
      <w:r>
        <w:t xml:space="preserve">·</w:t>
      </w:r>
      <w:r>
        <w:t xml:space="preserve"> </w:t>
      </w:r>
      <w:r>
        <w:rPr>
          <w:rStyle w:val="VerbatimChar"/>
        </w:rPr>
        <w:t xml:space="preserve">04-org-chart-governance.md</w:t>
      </w:r>
      <w:r>
        <w:t xml:space="preserve"> </w:t>
      </w:r>
      <w:r>
        <w:t xml:space="preserve">(roles and governance)</w:t>
      </w:r>
    </w:p>
    <w:p>
      <w:r>
        <w:pict>
          <v:rect style="width:0;height:1.5pt" o:hralign="center" o:hrstd="t" o:hr="t"/>
        </w:pict>
      </w:r>
    </w:p>
    <w:bookmarkStart w:id="399" w:name="purpose-and-scope-1"/>
    <w:p>
      <w:pPr>
        <w:pStyle w:val="Heading2"/>
      </w:pPr>
      <w:r>
        <w:t xml:space="preserve">1. Purpose and Scope</w:t>
      </w:r>
    </w:p>
    <w:p>
      <w:pPr>
        <w:pStyle w:val="FirstParagraph"/>
      </w:pPr>
      <w:r>
        <w:t xml:space="preserve">This document defines the standard workflow for receiving and handling</w:t>
      </w:r>
      <w:r>
        <w:t xml:space="preserve"> </w:t>
      </w:r>
      <w:r>
        <w:rPr>
          <w:b/>
          <w:bCs/>
        </w:rPr>
        <w:t xml:space="preserve">Data Subject Access Requests (DSAR)</w:t>
      </w:r>
      <w:r>
        <w:t xml:space="preserve"> </w:t>
      </w:r>
      <w:r>
        <w:t xml:space="preserve">under Thailand’s</w:t>
      </w:r>
      <w:r>
        <w:t xml:space="preserve"> </w:t>
      </w:r>
      <w:r>
        <w:rPr>
          <w:b/>
          <w:bCs/>
        </w:rPr>
        <w:t xml:space="preserve">Personal Data Protection Act B.E. 2562 (PDPA)</w:t>
      </w:r>
      <w:r>
        <w:t xml:space="preserve">, covering</w:t>
      </w:r>
      <w:r>
        <w:t xml:space="preserve"> </w:t>
      </w:r>
      <w:r>
        <w:rPr>
          <w:b/>
          <w:bCs/>
        </w:rPr>
        <w:t xml:space="preserve">intake → verification → fulfillment SLA → exceptions</w:t>
      </w:r>
      <w:r>
        <w:t xml:space="preserve">.</w:t>
      </w:r>
    </w:p>
    <w:p>
      <w:pPr>
        <w:pStyle w:val="BodyText"/>
      </w:pPr>
      <w:r>
        <w:rPr>
          <w:b/>
          <w:bCs/>
        </w:rPr>
        <w:t xml:space="preserve">Rights in scope</w:t>
      </w:r>
      <w:r>
        <w:t xml:space="preserve"> </w:t>
      </w:r>
      <w:r>
        <w:t xml:space="preserve">(PDPA sections 30–36):</w:t>
      </w:r>
    </w:p>
    <w:tbl>
      <w:tblPr>
        <w:tblStyle w:val="Table"/>
        <w:tblW w:type="pct" w:w="5000"/>
        <w:tblLayout w:type="fixed"/>
        <w:tblLook w:firstRow="1" w:lastRow="0" w:firstColumn="0" w:lastColumn="0" w:noHBand="0" w:noVBand="0" w:val="0020"/>
      </w:tblPr>
      <w:tblGrid>
        <w:gridCol w:w="1498"/>
        <w:gridCol w:w="4067"/>
        <w:gridCol w:w="2354"/>
      </w:tblGrid>
      <w:tr>
        <w:trPr>
          <w:tblHeader w:val="on"/>
        </w:trPr>
        <w:tc>
          <w:tcPr/>
          <w:p>
            <w:pPr>
              <w:pStyle w:val="Compact"/>
            </w:pPr>
            <w:r>
              <w:t xml:space="preserve">Right</w:t>
            </w:r>
          </w:p>
        </w:tc>
        <w:tc>
          <w:tcPr/>
          <w:p>
            <w:pPr>
              <w:pStyle w:val="Compact"/>
            </w:pPr>
            <w:r>
              <w:t xml:space="preserve">Section (approx.)</w:t>
            </w:r>
          </w:p>
        </w:tc>
        <w:tc>
          <w:tcPr/>
          <w:p>
            <w:pPr>
              <w:pStyle w:val="Compact"/>
            </w:pPr>
            <w:r>
              <w:t xml:space="preserve">Substance</w:t>
            </w:r>
          </w:p>
        </w:tc>
      </w:tr>
      <w:tr>
        <w:tc>
          <w:tcPr/>
          <w:p>
            <w:pPr>
              <w:pStyle w:val="Compact"/>
            </w:pPr>
            <w:r>
              <w:t xml:space="preserve">Access / obtain a copy</w:t>
            </w:r>
          </w:p>
        </w:tc>
        <w:tc>
          <w:tcPr/>
          <w:p>
            <w:pPr>
              <w:pStyle w:val="Compact"/>
            </w:pPr>
            <w:r>
              <w:t xml:space="preserve">s.30</w:t>
            </w:r>
          </w:p>
        </w:tc>
        <w:tc>
          <w:tcPr/>
          <w:p>
            <w:pPr>
              <w:pStyle w:val="Compact"/>
            </w:pPr>
            <w:r>
              <w:t xml:space="preserve">Access and receive a copy of one’s data plus its source</w:t>
            </w:r>
          </w:p>
        </w:tc>
      </w:tr>
      <w:tr>
        <w:tc>
          <w:tcPr/>
          <w:p>
            <w:pPr>
              <w:pStyle w:val="Compact"/>
            </w:pPr>
            <w:r>
              <w:t xml:space="preserve">Data portability</w:t>
            </w:r>
          </w:p>
        </w:tc>
        <w:tc>
          <w:tcPr/>
          <w:p>
            <w:pPr>
              <w:pStyle w:val="Compact"/>
            </w:pPr>
            <w:r>
              <w:t xml:space="preserve">s.31</w:t>
            </w:r>
          </w:p>
        </w:tc>
        <w:tc>
          <w:tcPr/>
          <w:p>
            <w:pPr>
              <w:pStyle w:val="Compact"/>
            </w:pPr>
            <w:r>
              <w:t xml:space="preserve">Receive data in a machine-readable format</w:t>
            </w:r>
          </w:p>
        </w:tc>
      </w:tr>
      <w:tr>
        <w:tc>
          <w:tcPr/>
          <w:p>
            <w:pPr>
              <w:pStyle w:val="Compact"/>
            </w:pPr>
            <w:r>
              <w:t xml:space="preserve">Object</w:t>
            </w:r>
          </w:p>
        </w:tc>
        <w:tc>
          <w:tcPr/>
          <w:p>
            <w:pPr>
              <w:pStyle w:val="Compact"/>
            </w:pPr>
            <w:r>
              <w:t xml:space="preserve">s.32</w:t>
            </w:r>
          </w:p>
        </w:tc>
        <w:tc>
          <w:tcPr/>
          <w:p>
            <w:pPr>
              <w:pStyle w:val="Compact"/>
            </w:pPr>
            <w:r>
              <w:t xml:space="preserve">Object to collection/use/disclosure</w:t>
            </w:r>
          </w:p>
        </w:tc>
      </w:tr>
      <w:tr>
        <w:tc>
          <w:tcPr/>
          <w:p>
            <w:pPr>
              <w:pStyle w:val="Compact"/>
            </w:pPr>
            <w:r>
              <w:t xml:space="preserve">Erasure</w:t>
            </w:r>
          </w:p>
        </w:tc>
        <w:tc>
          <w:tcPr/>
          <w:p>
            <w:pPr>
              <w:pStyle w:val="Compact"/>
            </w:pPr>
            <w:r>
              <w:t xml:space="preserve">s.33</w:t>
            </w:r>
          </w:p>
        </w:tc>
        <w:tc>
          <w:tcPr/>
          <w:p>
            <w:pPr>
              <w:pStyle w:val="Compact"/>
            </w:pPr>
            <w:r>
              <w:t xml:space="preserve">Request deletion, destruction, or anonymization</w:t>
            </w:r>
          </w:p>
        </w:tc>
      </w:tr>
      <w:tr>
        <w:tc>
          <w:tcPr/>
          <w:p>
            <w:pPr>
              <w:pStyle w:val="Compact"/>
            </w:pPr>
            <w:r>
              <w:t xml:space="preserve">Restriction</w:t>
            </w:r>
          </w:p>
        </w:tc>
        <w:tc>
          <w:tcPr/>
          <w:p>
            <w:pPr>
              <w:pStyle w:val="Compact"/>
            </w:pPr>
            <w:r>
              <w:t xml:space="preserve">s.34</w:t>
            </w:r>
          </w:p>
        </w:tc>
        <w:tc>
          <w:tcPr/>
          <w:p>
            <w:pPr>
              <w:pStyle w:val="Compact"/>
            </w:pPr>
            <w:r>
              <w:t xml:space="preserve">Request temporary suspension of use</w:t>
            </w:r>
          </w:p>
        </w:tc>
      </w:tr>
      <w:tr>
        <w:tc>
          <w:tcPr/>
          <w:p>
            <w:pPr>
              <w:pStyle w:val="Compact"/>
            </w:pPr>
            <w:r>
              <w:t xml:space="preserve">Rectification</w:t>
            </w:r>
          </w:p>
        </w:tc>
        <w:tc>
          <w:tcPr/>
          <w:p>
            <w:pPr>
              <w:pStyle w:val="Compact"/>
            </w:pPr>
            <w:r>
              <w:t xml:space="preserve">s.35–36</w:t>
            </w:r>
          </w:p>
        </w:tc>
        <w:tc>
          <w:tcPr/>
          <w:p>
            <w:pPr>
              <w:pStyle w:val="Compact"/>
            </w:pPr>
            <w:r>
              <w:t xml:space="preserve">Request correction to be accurate, current, complete</w:t>
            </w:r>
          </w:p>
        </w:tc>
      </w:tr>
      <w:tr>
        <w:tc>
          <w:tcPr/>
          <w:p>
            <w:pPr>
              <w:pStyle w:val="Compact"/>
            </w:pPr>
            <w:r>
              <w:t xml:space="preserve">Withdraw consent</w:t>
            </w:r>
          </w:p>
        </w:tc>
        <w:tc>
          <w:tcPr/>
          <w:p>
            <w:pPr>
              <w:pStyle w:val="Compact"/>
            </w:pPr>
            <w:r>
              <w:t xml:space="preserve">s.19</w:t>
            </w:r>
          </w:p>
        </w:tc>
        <w:tc>
          <w:tcPr/>
          <w:p>
            <w:pPr>
              <w:pStyle w:val="Compact"/>
            </w:pPr>
            <w:r>
              <w:t xml:space="preserve">Withdraw consent at any time (where no other lawful basis applies)</w:t>
            </w:r>
          </w:p>
        </w:tc>
      </w:tr>
    </w:tbl>
    <w:p>
      <w:pPr>
        <w:pStyle w:val="BodyText"/>
      </w:pPr>
      <w:r>
        <w:rPr>
          <w:b/>
          <w:bCs/>
        </w:rPr>
        <w:t xml:space="preserve">Data scope:</w:t>
      </w:r>
      <w:r>
        <w:t xml:space="preserve"> </w:t>
      </w:r>
      <w:r>
        <w:t xml:space="preserve">data of (a) cardholders/payers, (b) merchant contacts, (c) website/app visitors, and (d) employees/applicants.</w:t>
      </w:r>
    </w:p>
    <w:p>
      <w:pPr>
        <w:pStyle w:val="BodyText"/>
      </w:pPr>
      <w:r>
        <w:rPr>
          <w:b/>
          <w:bCs/>
        </w:rPr>
        <w:t xml:space="preserve">Out of scope:</w:t>
      </w:r>
      <w:r>
        <w:t xml:space="preserve"> </w:t>
      </w:r>
      <w:r>
        <w:t xml:space="preserve">full card data (full PAN/CVV/PIN/track) — the core system</w:t>
      </w:r>
      <w:r>
        <w:t xml:space="preserve"> </w:t>
      </w:r>
      <w:r>
        <w:rPr>
          <w:b/>
          <w:bCs/>
        </w:rPr>
        <w:t xml:space="preserve">does not store</w:t>
      </w:r>
      <w:r>
        <w:t xml:space="preserve"> </w:t>
      </w:r>
      <w:r>
        <w:t xml:space="preserve">it per the scope-minimization principle in</w:t>
      </w:r>
      <w:r>
        <w:t xml:space="preserve"> </w:t>
      </w:r>
      <w:r>
        <w:rPr>
          <w:rStyle w:val="VerbatimChar"/>
        </w:rPr>
        <w:t xml:space="preserve">ARCHITECTURE.md</w:t>
      </w:r>
      <w:r>
        <w:t xml:space="preserve"> </w:t>
      </w:r>
      <w:r>
        <w:t xml:space="preserve">§6 (only</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w:t>
      </w:r>
      <w:r>
        <w:t xml:space="preserve">are retained).</w:t>
      </w:r>
    </w:p>
    <w:p>
      <w:r>
        <w:pict>
          <v:rect style="width:0;height:1.5pt" o:hralign="center" o:hrstd="t" o:hr="t"/>
        </w:pict>
      </w:r>
    </w:p>
    <w:bookmarkEnd w:id="399"/>
    <w:bookmarkStart w:id="400" w:name="roles-and-responsibilities-raci"/>
    <w:p>
      <w:pPr>
        <w:pStyle w:val="Heading2"/>
      </w:pPr>
      <w:r>
        <w:t xml:space="preserve">2. Roles and Responsibilities (RACI)</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r>
              <w:t xml:space="preserve">Role</w:t>
            </w:r>
          </w:p>
        </w:tc>
        <w:tc>
          <w:tcPr/>
          <w:p>
            <w:pPr>
              <w:pStyle w:val="Compact"/>
            </w:pPr>
            <w:r>
              <w:t xml:space="preserve">Responsibility in the DSAR process</w:t>
            </w:r>
          </w:p>
        </w:tc>
      </w:tr>
      <w:tr>
        <w:tc>
          <w:tcPr/>
          <w:p>
            <w:pPr>
              <w:pStyle w:val="Compact"/>
            </w:pPr>
            <w:r>
              <w:rPr>
                <w:b/>
                <w:bCs/>
              </w:rPr>
              <w:t xml:space="preserve">DPO</w:t>
            </w:r>
          </w:p>
        </w:tc>
        <w:tc>
          <w:tcPr/>
          <w:p>
            <w:pPr>
              <w:pStyle w:val="Compact"/>
            </w:pPr>
            <w:r>
              <w:t xml:space="preserve">Process owner; approves responses; adjudicates exceptions; PDPC point of contact</w:t>
            </w:r>
          </w:p>
        </w:tc>
      </w:tr>
      <w:tr>
        <w:tc>
          <w:tcPr/>
          <w:p>
            <w:pPr>
              <w:pStyle w:val="Compact"/>
            </w:pPr>
            <w:r>
              <w:rPr>
                <w:b/>
                <w:bCs/>
              </w:rPr>
              <w:t xml:space="preserve">DSAR Coordinator</w:t>
            </w:r>
          </w:p>
        </w:tc>
        <w:tc>
          <w:tcPr/>
          <w:p>
            <w:pPr>
              <w:pStyle w:val="Compact"/>
            </w:pPr>
            <w:r>
              <w:t xml:space="preserve">Receives, logs, tracks SLA, coordinates teams, drafts response letters</w:t>
            </w:r>
          </w:p>
        </w:tc>
      </w:tr>
      <w:tr>
        <w:tc>
          <w:tcPr/>
          <w:p>
            <w:pPr>
              <w:pStyle w:val="Compact"/>
            </w:pPr>
            <w:r>
              <w:rPr>
                <w:b/>
                <w:bCs/>
              </w:rPr>
              <w:t xml:space="preserve">Identity Verification (IAM/Support)</w:t>
            </w:r>
          </w:p>
        </w:tc>
        <w:tc>
          <w:tcPr/>
          <w:p>
            <w:pPr>
              <w:pStyle w:val="Compact"/>
            </w:pPr>
            <w:r>
              <w:t xml:space="preserve">Verifies the requester’s identity</w:t>
            </w:r>
          </w:p>
        </w:tc>
      </w:tr>
      <w:tr>
        <w:tc>
          <w:tcPr/>
          <w:p>
            <w:pPr>
              <w:pStyle w:val="Compact"/>
            </w:pPr>
            <w:r>
              <w:rPr>
                <w:b/>
                <w:bCs/>
              </w:rPr>
              <w:t xml:space="preserve">Engineering / Data Team</w:t>
            </w:r>
          </w:p>
        </w:tc>
        <w:tc>
          <w:tcPr/>
          <w:p>
            <w:pPr>
              <w:pStyle w:val="Compact"/>
            </w:pPr>
            <w:r>
              <w:t xml:space="preserve">Searches, extracts, deletes/rectifies data across systems (payments, merchants, audit_log, logs)</w:t>
            </w:r>
          </w:p>
        </w:tc>
      </w:tr>
      <w:tr>
        <w:tc>
          <w:tcPr/>
          <w:p>
            <w:pPr>
              <w:pStyle w:val="Compact"/>
            </w:pPr>
            <w:r>
              <w:rPr>
                <w:b/>
                <w:bCs/>
              </w:rPr>
              <w:t xml:space="preserve">Legal Counsel</w:t>
            </w:r>
          </w:p>
        </w:tc>
        <w:tc>
          <w:tcPr/>
          <w:p>
            <w:pPr>
              <w:pStyle w:val="Compact"/>
            </w:pPr>
            <w:r>
              <w:t xml:space="preserve">Assesses legal exceptions and conflicts with AML/BOT obligations</w:t>
            </w:r>
          </w:p>
        </w:tc>
      </w:tr>
      <w:tr>
        <w:tc>
          <w:tcPr/>
          <w:p>
            <w:pPr>
              <w:pStyle w:val="Compact"/>
            </w:pPr>
            <w:r>
              <w:rPr>
                <w:b/>
                <w:bCs/>
              </w:rPr>
              <w:t xml:space="preserve">Security (DevSecOps)</w:t>
            </w:r>
          </w:p>
        </w:tc>
        <w:tc>
          <w:tcPr/>
          <w:p>
            <w:pPr>
              <w:pStyle w:val="Compact"/>
            </w:pPr>
            <w:r>
              <w:t xml:space="preserve">Encrypted delivery, access logging, PCI-scope check on exports</w:t>
            </w:r>
          </w:p>
        </w:tc>
      </w:tr>
      <w:tr>
        <w:tc>
          <w:tcPr/>
          <w:p>
            <w:pPr>
              <w:pStyle w:val="Compact"/>
            </w:pPr>
            <w:r>
              <w:rPr>
                <w:b/>
                <w:bCs/>
              </w:rPr>
              <w:t xml:space="preserve">Compliance / AMLO Liaison</w:t>
            </w:r>
          </w:p>
        </w:tc>
        <w:tc>
          <w:tcPr/>
          <w:p>
            <w:pPr>
              <w:pStyle w:val="Compact"/>
            </w:pPr>
            <w:r>
              <w:t xml:space="preserve">Checks conflicts with AMLO/BOT record-retention duties</w:t>
            </w:r>
          </w:p>
        </w:tc>
      </w:tr>
    </w:tbl>
    <w:p>
      <w:pPr>
        <w:pStyle w:val="BodyText"/>
      </w:pPr>
      <w:r>
        <w:rPr>
          <w:b/>
          <w:bCs/>
        </w:rPr>
        <w:t xml:space="preserve">Separation of duties:</w:t>
      </w:r>
      <w:r>
        <w:t xml:space="preserve"> </w:t>
      </w:r>
      <w:r>
        <w:t xml:space="preserve">for sensitive or high-volume requests, the identity verifier, data extractor, and export approver must not be the same person (consistent with dual control, PCI Req 7).</w:t>
      </w:r>
    </w:p>
    <w:p>
      <w:pPr>
        <w:pStyle w:val="BlockText"/>
      </w:pPr>
      <w:r>
        <w:rPr>
          <w:b/>
          <w:bCs/>
        </w:rPr>
        <w:t xml:space="preserve">[Assumption / TODO]</w:t>
      </w:r>
      <w:r>
        <w:t xml:space="preserve"> </w:t>
      </w:r>
      <w:r>
        <w:t xml:space="preserve">A</w:t>
      </w:r>
      <w:r>
        <w:t xml:space="preserve"> </w:t>
      </w:r>
      <w:r>
        <w:rPr>
          <w:b/>
          <w:bCs/>
        </w:rPr>
        <w:t xml:space="preserve">DPO</w:t>
      </w:r>
      <w:r>
        <w:t xml:space="preserve"> </w:t>
      </w:r>
      <w:r>
        <w:t xml:space="preserve">has not yet been formally appointed, and named individuals for DSAR Coordinator / Legal Counsel are not yet fixed. Names, titles, contact channels, and appointment letters must be filled in before this is operational and before BOT submission (aligns with</w:t>
      </w:r>
      <w:r>
        <w:t xml:space="preserve"> </w:t>
      </w:r>
      <w:r>
        <w:rPr>
          <w:rStyle w:val="VerbatimChar"/>
        </w:rPr>
        <w:t xml:space="preserve">04-org-chart-governance.md</w:t>
      </w:r>
      <w:r>
        <w:t xml:space="preserve">).</w:t>
      </w:r>
    </w:p>
    <w:p>
      <w:r>
        <w:pict>
          <v:rect style="width:0;height:1.5pt" o:hralign="center" o:hrstd="t" o:hr="t"/>
        </w:pict>
      </w:r>
    </w:p>
    <w:bookmarkEnd w:id="400"/>
    <w:bookmarkStart w:id="401" w:name="intake-channels"/>
    <w:p>
      <w:pPr>
        <w:pStyle w:val="Heading2"/>
      </w:pPr>
      <w:r>
        <w:t xml:space="preserve">3. Intake Channels</w:t>
      </w:r>
    </w:p>
    <w:tbl>
      <w:tblPr>
        <w:tblStyle w:val="Table"/>
        <w:tblW w:type="pct" w:w="5000"/>
        <w:tblLayout w:type="fixed"/>
        <w:tblLook w:firstRow="1" w:lastRow="0" w:firstColumn="0" w:lastColumn="0" w:noHBand="0" w:noVBand="0" w:val="0020"/>
      </w:tblPr>
      <w:tblGrid>
        <w:gridCol w:w="1875"/>
        <w:gridCol w:w="1667"/>
        <w:gridCol w:w="4376"/>
      </w:tblGrid>
      <w:tr>
        <w:trPr>
          <w:tblHeader w:val="on"/>
        </w:trPr>
        <w:tc>
          <w:tcPr/>
          <w:p>
            <w:pPr>
              <w:pStyle w:val="Compact"/>
            </w:pPr>
            <w:r>
              <w:t xml:space="preserve">Channel</w:t>
            </w:r>
          </w:p>
        </w:tc>
        <w:tc>
          <w:tcPr/>
          <w:p>
            <w:pPr>
              <w:pStyle w:val="Compact"/>
            </w:pPr>
            <w:r>
              <w:t xml:space="preserve">Detail</w:t>
            </w:r>
          </w:p>
        </w:tc>
        <w:tc>
          <w:tcPr/>
          <w:p>
            <w:pPr>
              <w:pStyle w:val="Compact"/>
            </w:pPr>
            <w:r>
              <w:t xml:space="preserve">Acknowledgement SLA</w:t>
            </w:r>
          </w:p>
        </w:tc>
      </w:tr>
      <w:tr>
        <w:tc>
          <w:tcPr/>
          <w:p>
            <w:pPr>
              <w:pStyle w:val="Compact"/>
            </w:pPr>
            <w:r>
              <w:t xml:space="preserve">Dedicated DPO email</w:t>
            </w:r>
          </w:p>
        </w:tc>
        <w:tc>
          <w:tcPr/>
          <w:p>
            <w:pPr>
              <w:pStyle w:val="Compact"/>
            </w:pPr>
            <w:r>
              <w:rPr>
                <w:rStyle w:val="VerbatimChar"/>
              </w:rPr>
              <w:t xml:space="preserve">[TODO: dpo@company.co.th]</w:t>
            </w:r>
          </w:p>
        </w:tc>
        <w:tc>
          <w:tcPr/>
          <w:p>
            <w:pPr>
              <w:pStyle w:val="Compact"/>
            </w:pPr>
            <w:r>
              <w:t xml:space="preserve">Within 3 business days</w:t>
            </w:r>
          </w:p>
        </w:tc>
      </w:tr>
      <w:tr>
        <w:tc>
          <w:tcPr/>
          <w:p>
            <w:pPr>
              <w:pStyle w:val="Compact"/>
            </w:pPr>
            <w:r>
              <w:t xml:space="preserve">Online form (privacy portal)</w:t>
            </w:r>
          </w:p>
        </w:tc>
        <w:tc>
          <w:tcPr/>
          <w:p>
            <w:pPr>
              <w:pStyle w:val="Compact"/>
            </w:pPr>
            <w:r>
              <w:t xml:space="preserve">Web/app form + reCAPTCHA</w:t>
            </w:r>
          </w:p>
        </w:tc>
        <w:tc>
          <w:tcPr/>
          <w:p>
            <w:pPr>
              <w:pStyle w:val="Compact"/>
            </w:pPr>
            <w:r>
              <w:t xml:space="preserve">Immediate (auto-issues request ID)</w:t>
            </w:r>
          </w:p>
        </w:tc>
      </w:tr>
      <w:tr>
        <w:tc>
          <w:tcPr/>
          <w:p>
            <w:pPr>
              <w:pStyle w:val="Compact"/>
            </w:pPr>
            <w:r>
              <w:t xml:space="preserve">Registered mail</w:t>
            </w:r>
          </w:p>
        </w:tc>
        <w:tc>
          <w:tcPr/>
          <w:p>
            <w:pPr>
              <w:pStyle w:val="Compact"/>
            </w:pPr>
            <w:r>
              <w:t xml:space="preserve">Registered office address</w:t>
            </w:r>
          </w:p>
        </w:tc>
        <w:tc>
          <w:tcPr/>
          <w:p>
            <w:pPr>
              <w:pStyle w:val="Compact"/>
            </w:pPr>
            <w:r>
              <w:t xml:space="preserve">Within 5 business days of receipt</w:t>
            </w:r>
          </w:p>
        </w:tc>
      </w:tr>
      <w:tr>
        <w:tc>
          <w:tcPr/>
          <w:p>
            <w:pPr>
              <w:pStyle w:val="Compact"/>
            </w:pPr>
            <w:r>
              <w:t xml:space="preserve">Via merchant (for cardholders)</w:t>
            </w:r>
          </w:p>
        </w:tc>
        <w:tc>
          <w:tcPr/>
          <w:p>
            <w:pPr>
              <w:pStyle w:val="Compact"/>
            </w:pPr>
            <w:r>
              <w:t xml:space="preserve">Merchant forwards to DPO within 2 business days</w:t>
            </w:r>
          </w:p>
        </w:tc>
        <w:tc>
          <w:tcPr/>
          <w:p>
            <w:pPr>
              <w:pStyle w:val="Compact"/>
            </w:pPr>
            <w:r>
              <w:t xml:space="preserve">SLA counts from DPO receipt</w:t>
            </w:r>
          </w:p>
        </w:tc>
      </w:tr>
    </w:tbl>
    <w:p>
      <w:pPr>
        <w:pStyle w:val="BodyText"/>
      </w:pPr>
      <w:r>
        <w:rPr>
          <w:b/>
          <w:bCs/>
        </w:rPr>
        <w:t xml:space="preserve">Minimum information required:</w:t>
      </w:r>
      <w:r>
        <w:t xml:space="preserve"> </w:t>
      </w:r>
      <w:r>
        <w:t xml:space="preserve">(1) full name and reply channel; (2) relationship to [บริษัท / Company] (cardholder / merchant / employee); (3) the right invoked; (4) data scope/time range (if known); (5) identity evidence.</w:t>
      </w:r>
    </w:p>
    <w:p>
      <w:pPr>
        <w:pStyle w:val="BodyText"/>
      </w:pPr>
      <w:r>
        <w:rPr>
          <w:b/>
          <w:bCs/>
        </w:rPr>
        <w:t xml:space="preserve">Logging:</w:t>
      </w:r>
      <w:r>
        <w:t xml:space="preserve"> </w:t>
      </w:r>
      <w:r>
        <w:t xml:space="preserve">every request is recorded in the</w:t>
      </w:r>
      <w:r>
        <w:t xml:space="preserve"> </w:t>
      </w:r>
      <w:r>
        <w:rPr>
          <w:b/>
          <w:bCs/>
        </w:rPr>
        <w:t xml:space="preserve">DSAR Register</w:t>
      </w:r>
      <w:r>
        <w:t xml:space="preserve"> </w:t>
      </w:r>
      <w:r>
        <w:t xml:space="preserve">with a</w:t>
      </w:r>
      <w:r>
        <w:t xml:space="preserve"> </w:t>
      </w:r>
      <w:r>
        <w:rPr>
          <w:rStyle w:val="VerbatimChar"/>
        </w:rPr>
        <w:t xml:space="preserve">request_id</w:t>
      </w:r>
      <w:r>
        <w:t xml:space="preserve"> </w:t>
      </w:r>
      <w:r>
        <w:t xml:space="preserve">(format</w:t>
      </w:r>
      <w:r>
        <w:t xml:space="preserve"> </w:t>
      </w:r>
      <w:r>
        <w:rPr>
          <w:rStyle w:val="VerbatimChar"/>
        </w:rPr>
        <w:t xml:space="preserve">DSAR-YYYY-NNNN</w:t>
      </w:r>
      <w:r>
        <w:t xml:space="preserve">), receipt date, right type, status, deadline, owner, and outcome — retained as PDPA compliance evidence and producible to PDPC/BOT on request. Every access to the register is written to</w:t>
      </w:r>
      <w:r>
        <w:t xml:space="preserve"> </w:t>
      </w:r>
      <w:r>
        <w:rPr>
          <w:rStyle w:val="VerbatimChar"/>
        </w:rPr>
        <w:t xml:space="preserve">audit_log</w:t>
      </w:r>
      <w:r>
        <w:t xml:space="preserve"> </w:t>
      </w:r>
      <w:r>
        <w:t xml:space="preserve">(append-only per</w:t>
      </w:r>
      <w:r>
        <w:t xml:space="preserve"> </w:t>
      </w:r>
      <w:r>
        <w:rPr>
          <w:rStyle w:val="VerbatimChar"/>
        </w:rPr>
        <w:t xml:space="preserve">ARCHITECTURE.md</w:t>
      </w:r>
      <w:r>
        <w:t xml:space="preserve">).</w:t>
      </w:r>
    </w:p>
    <w:p>
      <w:r>
        <w:pict>
          <v:rect style="width:0;height:1.5pt" o:hralign="center" o:hrstd="t" o:hr="t"/>
        </w:pict>
      </w:r>
    </w:p>
    <w:bookmarkEnd w:id="401"/>
    <w:bookmarkStart w:id="402" w:name="identity-verification"/>
    <w:p>
      <w:pPr>
        <w:pStyle w:val="Heading2"/>
      </w:pPr>
      <w:r>
        <w:t xml:space="preserve">4. Identity Verification</w:t>
      </w:r>
    </w:p>
    <w:p>
      <w:pPr>
        <w:pStyle w:val="FirstParagraph"/>
      </w:pPr>
      <w:r>
        <w:t xml:space="preserve">Verification is</w:t>
      </w:r>
      <w:r>
        <w:t xml:space="preserve"> </w:t>
      </w:r>
      <w:r>
        <w:rPr>
          <w:b/>
          <w:bCs/>
        </w:rPr>
        <w:t xml:space="preserve">risk-based</w:t>
      </w:r>
      <w:r>
        <w:t xml:space="preserve"> </w:t>
      </w:r>
      <w:r>
        <w:t xml:space="preserve">— the more sensitive/voluminous the data, the stronger the check — to prevent impersonation, the primary DSAR risk.</w:t>
      </w:r>
    </w:p>
    <w:tbl>
      <w:tblPr>
        <w:tblStyle w:val="Table"/>
        <w:tblW w:type="pct" w:w="5000"/>
        <w:tblLayout w:type="fixed"/>
        <w:tblLook w:firstRow="1" w:lastRow="0" w:firstColumn="0" w:lastColumn="0" w:noHBand="0" w:noVBand="0" w:val="0020"/>
      </w:tblPr>
      <w:tblGrid>
        <w:gridCol w:w="1532"/>
        <w:gridCol w:w="1532"/>
        <w:gridCol w:w="4854"/>
      </w:tblGrid>
      <w:tr>
        <w:trPr>
          <w:tblHeader w:val="on"/>
        </w:trPr>
        <w:tc>
          <w:tcPr/>
          <w:p>
            <w:pPr>
              <w:pStyle w:val="Compact"/>
            </w:pPr>
            <w:r>
              <w:t xml:space="preserve">Tier</w:t>
            </w:r>
          </w:p>
        </w:tc>
        <w:tc>
          <w:tcPr/>
          <w:p>
            <w:pPr>
              <w:pStyle w:val="Compact"/>
            </w:pPr>
            <w:r>
              <w:t xml:space="preserve">When</w:t>
            </w:r>
          </w:p>
        </w:tc>
        <w:tc>
          <w:tcPr/>
          <w:p>
            <w:pPr>
              <w:pStyle w:val="Compact"/>
            </w:pPr>
            <w:r>
              <w:t xml:space="preserve">Evidence required</w:t>
            </w:r>
          </w:p>
        </w:tc>
      </w:tr>
      <w:tr>
        <w:tc>
          <w:tcPr/>
          <w:p>
            <w:pPr>
              <w:pStyle w:val="Compact"/>
            </w:pPr>
            <w:r>
              <w:rPr>
                <w:b/>
                <w:bCs/>
              </w:rPr>
              <w:t xml:space="preserve">L1 — Basic</w:t>
            </w:r>
          </w:p>
        </w:tc>
        <w:tc>
          <w:tcPr/>
          <w:p>
            <w:pPr>
              <w:pStyle w:val="Compact"/>
            </w:pPr>
            <w:r>
              <w:t xml:space="preserve">Access/rectify ordinary contact data</w:t>
            </w:r>
          </w:p>
        </w:tc>
        <w:tc>
          <w:tcPr/>
          <w:p>
            <w:pPr>
              <w:pStyle w:val="Compact"/>
            </w:pPr>
            <w:r>
              <w:t xml:space="preserve">Prove control of the registered email/phone (OTP)</w:t>
            </w:r>
          </w:p>
        </w:tc>
      </w:tr>
      <w:tr>
        <w:tc>
          <w:tcPr/>
          <w:p>
            <w:pPr>
              <w:pStyle w:val="Compact"/>
            </w:pPr>
            <w:r>
              <w:rPr>
                <w:b/>
                <w:bCs/>
              </w:rPr>
              <w:t xml:space="preserve">L2 — Elevated</w:t>
            </w:r>
          </w:p>
        </w:tc>
        <w:tc>
          <w:tcPr/>
          <w:p>
            <w:pPr>
              <w:pStyle w:val="Compact"/>
            </w:pPr>
            <w:r>
              <w:t xml:space="preserve">Card transaction data, portability, erasure</w:t>
            </w:r>
          </w:p>
        </w:tc>
        <w:tc>
          <w:tcPr/>
          <w:p>
            <w:pPr>
              <w:pStyle w:val="Compact"/>
            </w:pPr>
            <w:r>
              <w:t xml:space="preserve">L1 + national ID copy (redact non-essential digits) + match in-system data such as</w:t>
            </w:r>
            <w:r>
              <w:t xml:space="preserve"> </w:t>
            </w:r>
            <w:r>
              <w:rPr>
                <w:rStyle w:val="VerbatimChar"/>
              </w:rPr>
              <w:t xml:space="preserve">card_last4</w:t>
            </w:r>
            <w:r>
              <w:t xml:space="preserve"> </w:t>
            </w:r>
            <w:r>
              <w:t xml:space="preserve">+ transaction date/amount</w:t>
            </w:r>
          </w:p>
        </w:tc>
      </w:tr>
      <w:tr>
        <w:tc>
          <w:tcPr/>
          <w:p>
            <w:pPr>
              <w:pStyle w:val="Compact"/>
            </w:pPr>
            <w:r>
              <w:rPr>
                <w:b/>
                <w:bCs/>
              </w:rPr>
              <w:t xml:space="preserve">L3 — Strongest</w:t>
            </w:r>
          </w:p>
        </w:tc>
        <w:tc>
          <w:tcPr/>
          <w:p>
            <w:pPr>
              <w:pStyle w:val="Compact"/>
            </w:pPr>
            <w:r>
              <w:t xml:space="preserve">High-volume / sensitive data / suspected impersonation</w:t>
            </w:r>
          </w:p>
        </w:tc>
        <w:tc>
          <w:tcPr/>
          <w:p>
            <w:pPr>
              <w:pStyle w:val="Compact"/>
            </w:pPr>
            <w:r>
              <w:t xml:space="preserve">L2 + video KYC or confirmation via two registered channels</w:t>
            </w:r>
          </w:p>
        </w:tc>
      </w:tr>
    </w:tbl>
    <w:p>
      <w:pPr>
        <w:pStyle w:val="BodyText"/>
      </w:pPr>
      <w:r>
        <w:rPr>
          <w:b/>
          <w:bCs/>
        </w:rPr>
        <w:t xml:space="preserve">Rules:</w:t>
      </w:r>
      <w:r>
        <w:t xml:space="preserve"> </w:t>
      </w:r>
      <w:r>
        <w:t xml:space="preserve">-</w:t>
      </w:r>
      <w:r>
        <w:t xml:space="preserve"> </w:t>
      </w:r>
      <w:r>
        <w:rPr>
          <w:b/>
          <w:bCs/>
        </w:rPr>
        <w:t xml:space="preserve">Never</w:t>
      </w:r>
      <w:r>
        <w:t xml:space="preserve"> </w:t>
      </w:r>
      <w:r>
        <w:t xml:space="preserve">use full card data (full PAN/CVV) as identity evidence — violates PCI-DSS v4.0.</w:t>
      </w:r>
      <w:r>
        <w:t xml:space="preserve"> </w:t>
      </w:r>
      <w:r>
        <w:t xml:space="preserve">- Requests by a representative (legal guardian / attorney-in-fact) require a power of attorney plus IDs of both parties.</w:t>
      </w:r>
      <w:r>
        <w:t xml:space="preserve"> </w:t>
      </w:r>
      <w:r>
        <w:t xml:space="preserve">- If verification is not completed within</w:t>
      </w:r>
      <w:r>
        <w:t xml:space="preserve"> </w:t>
      </w:r>
      <w:r>
        <w:rPr>
          <w:b/>
          <w:bCs/>
        </w:rPr>
        <w:t xml:space="preserve">14 days</w:t>
      </w:r>
      <w:r>
        <w:t xml:space="preserve"> </w:t>
      </w:r>
      <w:r>
        <w:t xml:space="preserve">of requesting additional documents, the request is provisionally closed with notice (SLA clock stops while awaiting the requester’s documents — clock-stop).</w:t>
      </w:r>
      <w:r>
        <w:t xml:space="preserve"> </w:t>
      </w:r>
      <w:r>
        <w:t xml:space="preserve">- Verification documents are stored separately, encrypted, and</w:t>
      </w:r>
      <w:r>
        <w:t xml:space="preserve"> </w:t>
      </w:r>
      <w:r>
        <w:rPr>
          <w:b/>
          <w:bCs/>
        </w:rPr>
        <w:t xml:space="preserve">destroyed within 90 days</w:t>
      </w:r>
      <w:r>
        <w:t xml:space="preserve"> </w:t>
      </w:r>
      <w:r>
        <w:t xml:space="preserve">of closure (data minimization).</w:t>
      </w:r>
    </w:p>
    <w:p>
      <w:r>
        <w:pict>
          <v:rect style="width:0;height:1.5pt" o:hralign="center" o:hrstd="t" o:hr="t"/>
        </w:pict>
      </w:r>
    </w:p>
    <w:bookmarkEnd w:id="402"/>
    <w:bookmarkStart w:id="403" w:name="fulfillment-sla"/>
    <w:p>
      <w:pPr>
        <w:pStyle w:val="Heading2"/>
      </w:pPr>
      <w:r>
        <w:t xml:space="preserve">5. Fulfillment SLA</w:t>
      </w:r>
    </w:p>
    <w:p>
      <w:pPr>
        <w:pStyle w:val="FirstParagraph"/>
      </w:pPr>
      <w:r>
        <w:rPr>
          <w:b/>
          <w:bCs/>
        </w:rPr>
        <w:t xml:space="preserve">Standard:</w:t>
      </w:r>
      <w:r>
        <w:t xml:space="preserve"> </w:t>
      </w:r>
      <w:r>
        <w:t xml:space="preserve">respond without undue delay and</w:t>
      </w:r>
      <w:r>
        <w:t xml:space="preserve"> </w:t>
      </w:r>
      <w:r>
        <w:rPr>
          <w:b/>
          <w:bCs/>
        </w:rPr>
        <w:t xml:space="preserve">within 30 days</w:t>
      </w:r>
      <w:r>
        <w:t xml:space="preserve"> </w:t>
      </w:r>
      <w:r>
        <w:t xml:space="preserve">of successful verification, extendable by</w:t>
      </w:r>
      <w:r>
        <w:t xml:space="preserve"> </w:t>
      </w:r>
      <w:r>
        <w:rPr>
          <w:b/>
          <w:bCs/>
        </w:rPr>
        <w:t xml:space="preserve">no more than 30 additional days</w:t>
      </w:r>
      <w:r>
        <w:t xml:space="preserve"> </w:t>
      </w:r>
      <w:r>
        <w:t xml:space="preserve">for complex/high-volume requests, with written justification given before the original deadline.</w:t>
      </w:r>
    </w:p>
    <w:tbl>
      <w:tblPr>
        <w:tblStyle w:val="Table"/>
        <w:tblW w:type="pct" w:w="5000"/>
        <w:tblLayout w:type="fixed"/>
        <w:tblLook w:firstRow="1" w:lastRow="0" w:firstColumn="0" w:lastColumn="0" w:noHBand="0" w:noVBand="0" w:val="0020"/>
      </w:tblPr>
      <w:tblGrid>
        <w:gridCol w:w="1498"/>
        <w:gridCol w:w="3638"/>
        <w:gridCol w:w="2782"/>
      </w:tblGrid>
      <w:tr>
        <w:trPr>
          <w:tblHeader w:val="on"/>
        </w:trPr>
        <w:tc>
          <w:tcPr/>
          <w:p>
            <w:pPr>
              <w:pStyle w:val="Compact"/>
            </w:pPr>
            <w:r>
              <w:t xml:space="preserve">Right</w:t>
            </w:r>
          </w:p>
        </w:tc>
        <w:tc>
          <w:tcPr/>
          <w:p>
            <w:pPr>
              <w:pStyle w:val="Compact"/>
            </w:pPr>
            <w:r>
              <w:t xml:space="preserve">Internal target</w:t>
            </w:r>
          </w:p>
        </w:tc>
        <w:tc>
          <w:tcPr/>
          <w:p>
            <w:pPr>
              <w:pStyle w:val="Compact"/>
            </w:pPr>
            <w:r>
              <w:t xml:space="preserve">Deliverable</w:t>
            </w:r>
          </w:p>
        </w:tc>
      </w:tr>
      <w:tr>
        <w:tc>
          <w:tcPr/>
          <w:p>
            <w:pPr>
              <w:pStyle w:val="Compact"/>
            </w:pPr>
            <w:r>
              <w:t xml:space="preserve">Access / copy</w:t>
            </w:r>
          </w:p>
        </w:tc>
        <w:tc>
          <w:tcPr/>
          <w:p>
            <w:pPr>
              <w:pStyle w:val="Compact"/>
            </w:pPr>
            <w:r>
              <w:t xml:space="preserve">20 days</w:t>
            </w:r>
          </w:p>
        </w:tc>
        <w:tc>
          <w:tcPr/>
          <w:p>
            <w:pPr>
              <w:pStyle w:val="Compact"/>
            </w:pPr>
            <w:r>
              <w:t xml:space="preserve">Data report + source + purpose + recipients + retention period</w:t>
            </w:r>
          </w:p>
        </w:tc>
      </w:tr>
      <w:tr>
        <w:tc>
          <w:tcPr/>
          <w:p>
            <w:pPr>
              <w:pStyle w:val="Compact"/>
            </w:pPr>
            <w:r>
              <w:t xml:space="preserve">Portability</w:t>
            </w:r>
          </w:p>
        </w:tc>
        <w:tc>
          <w:tcPr/>
          <w:p>
            <w:pPr>
              <w:pStyle w:val="Compact"/>
            </w:pPr>
            <w:r>
              <w:t xml:space="preserve">20 days</w:t>
            </w:r>
          </w:p>
        </w:tc>
        <w:tc>
          <w:tcPr/>
          <w:p>
            <w:pPr>
              <w:pStyle w:val="Compact"/>
            </w:pPr>
            <w:r>
              <w:t xml:space="preserve">Machine-readable file (JSON/CSV)</w:t>
            </w:r>
          </w:p>
        </w:tc>
      </w:tr>
      <w:tr>
        <w:tc>
          <w:tcPr/>
          <w:p>
            <w:pPr>
              <w:pStyle w:val="Compact"/>
            </w:pPr>
            <w:r>
              <w:t xml:space="preserve">Rectification</w:t>
            </w:r>
          </w:p>
        </w:tc>
        <w:tc>
          <w:tcPr/>
          <w:p>
            <w:pPr>
              <w:pStyle w:val="Compact"/>
            </w:pPr>
            <w:r>
              <w:t xml:space="preserve">15 days</w:t>
            </w:r>
          </w:p>
        </w:tc>
        <w:tc>
          <w:tcPr/>
          <w:p>
            <w:pPr>
              <w:pStyle w:val="Compact"/>
            </w:pPr>
            <w:r>
              <w:t xml:space="preserve">Confirmation of correction + notice to relevant downstream recipients</w:t>
            </w:r>
          </w:p>
        </w:tc>
      </w:tr>
      <w:tr>
        <w:tc>
          <w:tcPr/>
          <w:p>
            <w:pPr>
              <w:pStyle w:val="Compact"/>
            </w:pPr>
            <w:r>
              <w:t xml:space="preserve">Erasure</w:t>
            </w:r>
          </w:p>
        </w:tc>
        <w:tc>
          <w:tcPr/>
          <w:p>
            <w:pPr>
              <w:pStyle w:val="Compact"/>
            </w:pPr>
            <w:r>
              <w:t xml:space="preserve">25 days</w:t>
            </w:r>
          </w:p>
        </w:tc>
        <w:tc>
          <w:tcPr/>
          <w:p>
            <w:pPr>
              <w:pStyle w:val="Compact"/>
            </w:pPr>
            <w:r>
              <w:t xml:space="preserve">Confirmation of deletion/anonymization + list of items retained under exceptions</w:t>
            </w:r>
          </w:p>
        </w:tc>
      </w:tr>
      <w:tr>
        <w:tc>
          <w:tcPr/>
          <w:p>
            <w:pPr>
              <w:pStyle w:val="Compact"/>
            </w:pPr>
            <w:r>
              <w:t xml:space="preserve">Restriction / Object</w:t>
            </w:r>
          </w:p>
        </w:tc>
        <w:tc>
          <w:tcPr/>
          <w:p>
            <w:pPr>
              <w:pStyle w:val="Compact"/>
            </w:pPr>
            <w:r>
              <w:t xml:space="preserve">15 days</w:t>
            </w:r>
          </w:p>
        </w:tc>
        <w:tc>
          <w:tcPr/>
          <w:p>
            <w:pPr>
              <w:pStyle w:val="Compact"/>
            </w:pPr>
            <w:r>
              <w:t xml:space="preserve">Confirmation of suspension/cessation of processing</w:t>
            </w:r>
          </w:p>
        </w:tc>
      </w:tr>
      <w:tr>
        <w:tc>
          <w:tcPr/>
          <w:p>
            <w:pPr>
              <w:pStyle w:val="Compact"/>
            </w:pPr>
            <w:r>
              <w:t xml:space="preserve">Withdraw consent</w:t>
            </w:r>
          </w:p>
        </w:tc>
        <w:tc>
          <w:tcPr/>
          <w:p>
            <w:pPr>
              <w:pStyle w:val="Compact"/>
            </w:pPr>
            <w:r>
              <w:t xml:space="preserve">7 days</w:t>
            </w:r>
          </w:p>
        </w:tc>
        <w:tc>
          <w:tcPr/>
          <w:p>
            <w:pPr>
              <w:pStyle w:val="Compact"/>
            </w:pPr>
            <w:r>
              <w:t xml:space="preserve">Confirmation of withdrawal + service impact</w:t>
            </w:r>
          </w:p>
        </w:tc>
      </w:tr>
    </w:tbl>
    <w:p>
      <w:pPr>
        <w:pStyle w:val="BodyText"/>
      </w:pPr>
      <w:r>
        <w:rPr>
          <w:b/>
          <w:bCs/>
        </w:rPr>
        <w:t xml:space="preserve">Secure delivery:</w:t>
      </w:r>
      <w:r>
        <w:t xml:space="preserve"> </w:t>
      </w:r>
      <w:r>
        <w:t xml:space="preserve">results are delivered over an encrypted channel (an authenticated portal, or a password-protected file with the password sent out of band) —</w:t>
      </w:r>
      <w:r>
        <w:t xml:space="preserve"> </w:t>
      </w:r>
      <w:r>
        <w:rPr>
          <w:b/>
          <w:bCs/>
        </w:rPr>
        <w:t xml:space="preserve">no plaintext personal-data attachments</w:t>
      </w:r>
      <w:r>
        <w:t xml:space="preserve"> </w:t>
      </w:r>
      <w:r>
        <w:t xml:space="preserve">— and every export is redacted to contain no CHD per PCI-DSS v4.0.</w:t>
      </w:r>
    </w:p>
    <w:p>
      <w:pPr>
        <w:pStyle w:val="BodyText"/>
      </w:pPr>
      <w:r>
        <w:rPr>
          <w:b/>
          <w:bCs/>
        </w:rPr>
        <w:t xml:space="preserve">Fees:</w:t>
      </w:r>
      <w:r>
        <w:t xml:space="preserve"> </w:t>
      </w:r>
      <w:r>
        <w:t xml:space="preserve">the first request is</w:t>
      </w:r>
      <w:r>
        <w:t xml:space="preserve"> </w:t>
      </w:r>
      <w:r>
        <w:rPr>
          <w:b/>
          <w:bCs/>
        </w:rPr>
        <w:t xml:space="preserve">free of charge</w:t>
      </w:r>
      <w:r>
        <w:t xml:space="preserve">; repetitive or excessive requests may attract a reasonable cost-based fee or be refused with reasons.</w:t>
      </w:r>
    </w:p>
    <w:p>
      <w:pPr>
        <w:pStyle w:val="BodyText"/>
      </w:pPr>
      <w:r>
        <w:rPr>
          <w:b/>
          <w:bCs/>
        </w:rPr>
        <w:t xml:space="preserve">Clock-stop:</w:t>
      </w:r>
      <w:r>
        <w:t xml:space="preserve"> </w:t>
      </w:r>
      <w:r>
        <w:t xml:space="preserve">the SLA is paused while awaiting further information from the requester and resumes once received.</w:t>
      </w:r>
    </w:p>
    <w:p>
      <w:r>
        <w:pict>
          <v:rect style="width:0;height:1.5pt" o:hralign="center" o:hrstd="t" o:hr="t"/>
        </w:pict>
      </w:r>
    </w:p>
    <w:bookmarkEnd w:id="403"/>
    <w:bookmarkStart w:id="404" w:name="end-to-end-procedure"/>
    <w:p>
      <w:pPr>
        <w:pStyle w:val="Heading2"/>
      </w:pPr>
      <w:r>
        <w:t xml:space="preserve">6. End-to-end Procedure</w:t>
      </w:r>
    </w:p>
    <w:p>
      <w:pPr>
        <w:pStyle w:val="SourceCode"/>
      </w:pPr>
      <w:r>
        <w:rPr>
          <w:rStyle w:val="VerbatimChar"/>
        </w:rPr>
        <w:t xml:space="preserve">Intake ──▶ Log in DSAR Register (request_id) ──▶ Acknowledge requester</w:t>
      </w:r>
      <w:r>
        <w:br/>
      </w:r>
      <w:r>
        <w:rPr>
          <w:rStyle w:val="VerbatimChar"/>
        </w:rPr>
        <w:t xml:space="preserve">     │</w:t>
      </w:r>
      <w:r>
        <w:br/>
      </w:r>
      <w:r>
        <w:rPr>
          <w:rStyle w:val="VerbatimChar"/>
        </w:rPr>
        <w:t xml:space="preserve">     ▼</w:t>
      </w:r>
      <w:r>
        <w:br/>
      </w:r>
      <w:r>
        <w:rPr>
          <w:rStyle w:val="VerbatimChar"/>
        </w:rPr>
        <w:t xml:space="preserve">Verify identity (L1/L2/L3) ──fail──▶ Request more docs (clock-stop) ──&gt;14 days──▶ Provisional close</w:t>
      </w:r>
      <w:r>
        <w:br/>
      </w:r>
      <w:r>
        <w:rPr>
          <w:rStyle w:val="VerbatimChar"/>
        </w:rPr>
        <w:t xml:space="preserve">     │ pass</w:t>
      </w:r>
      <w:r>
        <w:br/>
      </w:r>
      <w:r>
        <w:rPr>
          <w:rStyle w:val="VerbatimChar"/>
        </w:rPr>
        <w:t xml:space="preserve">     ▼</w:t>
      </w:r>
      <w:r>
        <w:br/>
      </w:r>
      <w:r>
        <w:rPr>
          <w:rStyle w:val="VerbatimChar"/>
        </w:rPr>
        <w:t xml:space="preserve">Search / assemble data (payments, merchants, audit_log, logs, backups)</w:t>
      </w:r>
      <w:r>
        <w:br/>
      </w:r>
      <w:r>
        <w:rPr>
          <w:rStyle w:val="VerbatimChar"/>
        </w:rPr>
        <w:t xml:space="preserve">     │</w:t>
      </w:r>
      <w:r>
        <w:br/>
      </w:r>
      <w:r>
        <w:rPr>
          <w:rStyle w:val="VerbatimChar"/>
        </w:rPr>
        <w:t xml:space="preserve">     ▼</w:t>
      </w:r>
      <w:r>
        <w:br/>
      </w:r>
      <w:r>
        <w:rPr>
          <w:rStyle w:val="VerbatimChar"/>
        </w:rPr>
        <w:t xml:space="preserve">Check exceptions (AML/BOT retention, third-party rights, PCI) ── Legal/Compliance review</w:t>
      </w:r>
      <w:r>
        <w:br/>
      </w:r>
      <w:r>
        <w:rPr>
          <w:rStyle w:val="VerbatimChar"/>
        </w:rPr>
        <w:t xml:space="preserve">     │</w:t>
      </w:r>
      <w:r>
        <w:br/>
      </w:r>
      <w:r>
        <w:rPr>
          <w:rStyle w:val="VerbatimChar"/>
        </w:rPr>
        <w:t xml:space="preserve">     ▼</w:t>
      </w:r>
      <w:r>
        <w:br/>
      </w:r>
      <w:r>
        <w:rPr>
          <w:rStyle w:val="VerbatimChar"/>
        </w:rPr>
        <w:t xml:space="preserve">DPO approves ──▶ Deliver over encrypted channel ──▶ Close + record outcome in Register + audit_log</w:t>
      </w:r>
    </w:p>
    <w:p>
      <w:pPr>
        <w:pStyle w:val="FirstParagraph"/>
      </w:pPr>
      <w:r>
        <w:rPr>
          <w:b/>
          <w:bCs/>
        </w:rPr>
        <w:t xml:space="preserve">Data search</w:t>
      </w:r>
      <w:r>
        <w:t xml:space="preserve"> </w:t>
      </w:r>
      <w:r>
        <w:t xml:space="preserve">covers every store: operational databases (</w:t>
      </w:r>
      <w:r>
        <w:rPr>
          <w:rStyle w:val="VerbatimChar"/>
        </w:rPr>
        <w:t xml:space="preserve">payments</w:t>
      </w:r>
      <w:r>
        <w:t xml:space="preserve">,</w:t>
      </w:r>
      <w:r>
        <w:t xml:space="preserve"> </w:t>
      </w:r>
      <w:r>
        <w:rPr>
          <w:rStyle w:val="VerbatimChar"/>
        </w:rPr>
        <w:t xml:space="preserve">merchants</w:t>
      </w:r>
      <w:r>
        <w:t xml:space="preserve">,</w:t>
      </w:r>
      <w:r>
        <w:t xml:space="preserve"> </w:t>
      </w:r>
      <w:r>
        <w:rPr>
          <w:rStyle w:val="VerbatimChar"/>
        </w:rPr>
        <w:t xml:space="preserve">refunds</w:t>
      </w:r>
      <w:r>
        <w:t xml:space="preserve">,</w:t>
      </w:r>
      <w:r>
        <w:t xml:space="preserve"> </w:t>
      </w:r>
      <w:r>
        <w:rPr>
          <w:rStyle w:val="VerbatimChar"/>
        </w:rPr>
        <w:t xml:space="preserve">webhook_events</w:t>
      </w:r>
      <w:r>
        <w:t xml:space="preserve">,</w:t>
      </w:r>
      <w:r>
        <w:t xml:space="preserve"> </w:t>
      </w:r>
      <w:r>
        <w:rPr>
          <w:rStyle w:val="VerbatimChar"/>
        </w:rPr>
        <w:t xml:space="preserve">audit_log</w:t>
      </w:r>
      <w:r>
        <w:t xml:space="preserve">), log/observability stores, backups/replicas, and data held by external processors (e.g. 3DS/vault vendors) — processors must be instructed to act per their DPA.</w:t>
      </w:r>
    </w:p>
    <w:p>
      <w:r>
        <w:pict>
          <v:rect style="width:0;height:1.5pt" o:hralign="center" o:hrstd="t" o:hr="t"/>
        </w:pict>
      </w:r>
    </w:p>
    <w:bookmarkEnd w:id="404"/>
    <w:bookmarkStart w:id="405" w:name="exceptions-and-refusals"/>
    <w:p>
      <w:pPr>
        <w:pStyle w:val="Heading2"/>
      </w:pPr>
      <w:r>
        <w:t xml:space="preserve">7. Exceptions and Refusals</w:t>
      </w:r>
    </w:p>
    <w:p>
      <w:pPr>
        <w:pStyle w:val="FirstParagraph"/>
      </w:pPr>
      <w:r>
        <w:t xml:space="preserve">Certain rights may be</w:t>
      </w:r>
      <w:r>
        <w:t xml:space="preserve"> </w:t>
      </w:r>
      <w:r>
        <w:rPr>
          <w:b/>
          <w:bCs/>
        </w:rPr>
        <w:t xml:space="preserve">lawfully limited or refused</w:t>
      </w:r>
      <w:r>
        <w:t xml:space="preserve">, particularly where they conflict with a payment institution’s record-retention duties:</w:t>
      </w:r>
    </w:p>
    <w:tbl>
      <w:tblPr>
        <w:tblStyle w:val="Table"/>
        <w:tblW w:type="pct" w:w="5000"/>
        <w:tblLayout w:type="fixed"/>
        <w:tblLook w:firstRow="1" w:lastRow="0" w:firstColumn="0" w:lastColumn="0" w:noHBand="0" w:noVBand="0" w:val="0020"/>
      </w:tblPr>
      <w:tblGrid>
        <w:gridCol w:w="2233"/>
        <w:gridCol w:w="1421"/>
        <w:gridCol w:w="4264"/>
      </w:tblGrid>
      <w:tr>
        <w:trPr>
          <w:tblHeader w:val="on"/>
        </w:trPr>
        <w:tc>
          <w:tcPr/>
          <w:p>
            <w:pPr>
              <w:pStyle w:val="Compact"/>
            </w:pPr>
            <w:r>
              <w:t xml:space="preserve">Exception</w:t>
            </w:r>
          </w:p>
        </w:tc>
        <w:tc>
          <w:tcPr/>
          <w:p>
            <w:pPr>
              <w:pStyle w:val="Compact"/>
            </w:pPr>
            <w:r>
              <w:t xml:space="preserve">Basis</w:t>
            </w:r>
          </w:p>
        </w:tc>
        <w:tc>
          <w:tcPr/>
          <w:p>
            <w:pPr>
              <w:pStyle w:val="Compact"/>
            </w:pPr>
            <w:r>
              <w:t xml:space="preserve">Effect on the right</w:t>
            </w:r>
          </w:p>
        </w:tc>
      </w:tr>
      <w:tr>
        <w:tc>
          <w:tcPr/>
          <w:p>
            <w:pPr>
              <w:pStyle w:val="Compact"/>
            </w:pPr>
            <w:r>
              <w:rPr>
                <w:b/>
                <w:bCs/>
              </w:rPr>
              <w:t xml:space="preserve">AMLO retention duty</w:t>
            </w:r>
          </w:p>
        </w:tc>
        <w:tc>
          <w:tcPr/>
          <w:p>
            <w:pPr>
              <w:pStyle w:val="Compact"/>
            </w:pPr>
            <w:r>
              <w:t xml:space="preserve">Anti-Money Laundering Act (KYC/CDD, transaction records kept ≥ 5 years after relationship ends)</w:t>
            </w:r>
          </w:p>
        </w:tc>
        <w:tc>
          <w:tcPr/>
          <w:p>
            <w:pPr>
              <w:pStyle w:val="Compact"/>
            </w:pPr>
            <w:r>
              <w:rPr>
                <w:b/>
                <w:bCs/>
              </w:rPr>
              <w:t xml:space="preserve">Erasure may be refused</w:t>
            </w:r>
            <w:r>
              <w:t xml:space="preserve"> </w:t>
            </w:r>
            <w:r>
              <w:t xml:space="preserve">for that data — anonymize only what can be removed</w:t>
            </w:r>
          </w:p>
        </w:tc>
      </w:tr>
      <w:tr>
        <w:tc>
          <w:tcPr/>
          <w:p>
            <w:pPr>
              <w:pStyle w:val="Compact"/>
            </w:pPr>
            <w:r>
              <w:rPr>
                <w:b/>
                <w:bCs/>
              </w:rPr>
              <w:t xml:space="preserve">BOT reporting/evidence duty</w:t>
            </w:r>
          </w:p>
        </w:tc>
        <w:tc>
          <w:tcPr/>
          <w:p>
            <w:pPr>
              <w:pStyle w:val="Compact"/>
            </w:pPr>
            <w:r>
              <w:t xml:space="preserve">Payment Systems Act 2560 + BOT notifications (audit trail, reconciliation, settlement)</w:t>
            </w:r>
          </w:p>
        </w:tc>
        <w:tc>
          <w:tcPr/>
          <w:p>
            <w:pPr>
              <w:pStyle w:val="Compact"/>
            </w:pPr>
            <w:r>
              <w:t xml:space="preserve">Retain per BOT-mandated period</w:t>
            </w:r>
          </w:p>
        </w:tc>
      </w:tr>
      <w:tr>
        <w:tc>
          <w:tcPr/>
          <w:p>
            <w:pPr>
              <w:pStyle w:val="Compact"/>
            </w:pPr>
            <w:r>
              <w:rPr>
                <w:b/>
                <w:bCs/>
              </w:rPr>
              <w:t xml:space="preserve">PCI-DSS-mandated records</w:t>
            </w:r>
          </w:p>
        </w:tc>
        <w:tc>
          <w:tcPr/>
          <w:p>
            <w:pPr>
              <w:pStyle w:val="Compact"/>
            </w:pPr>
            <w:r>
              <w:t xml:space="preserve">PCI-DSS v4.0 Req 10 (audit logs ≥ 1 year, 3 months immediately available)</w:t>
            </w:r>
          </w:p>
        </w:tc>
        <w:tc>
          <w:tcPr/>
          <w:p>
            <w:pPr>
              <w:pStyle w:val="Compact"/>
            </w:pPr>
            <w:r>
              <w:t xml:space="preserve">Retain per standard</w:t>
            </w:r>
          </w:p>
        </w:tc>
      </w:tr>
      <w:tr>
        <w:tc>
          <w:tcPr/>
          <w:p>
            <w:pPr>
              <w:pStyle w:val="Compact"/>
            </w:pPr>
            <w:r>
              <w:rPr>
                <w:b/>
                <w:bCs/>
              </w:rPr>
              <w:t xml:space="preserve">Third-party rights</w:t>
            </w:r>
          </w:p>
        </w:tc>
        <w:tc>
          <w:tcPr/>
          <w:p>
            <w:pPr>
              <w:pStyle w:val="Compact"/>
            </w:pPr>
            <w:r>
              <w:t xml:space="preserve">PDPA</w:t>
            </w:r>
          </w:p>
        </w:tc>
        <w:tc>
          <w:tcPr/>
          <w:p>
            <w:pPr>
              <w:pStyle w:val="Compact"/>
            </w:pPr>
            <w:r>
              <w:t xml:space="preserve">Redact portions affecting others</w:t>
            </w:r>
          </w:p>
        </w:tc>
      </w:tr>
      <w:tr>
        <w:tc>
          <w:tcPr/>
          <w:p>
            <w:pPr>
              <w:pStyle w:val="Compact"/>
            </w:pPr>
            <w:r>
              <w:rPr>
                <w:b/>
                <w:bCs/>
              </w:rPr>
              <w:t xml:space="preserve">Establishment/exercise of legal claims</w:t>
            </w:r>
          </w:p>
        </w:tc>
        <w:tc>
          <w:tcPr/>
          <w:p>
            <w:pPr>
              <w:pStyle w:val="Compact"/>
            </w:pPr>
            <w:r>
              <w:t xml:space="preserve">PDPA s.33</w:t>
            </w:r>
          </w:p>
        </w:tc>
        <w:tc>
          <w:tcPr/>
          <w:p>
            <w:pPr>
              <w:pStyle w:val="Compact"/>
            </w:pPr>
            <w:r>
              <w:t xml:space="preserve">Retain data as necessary (dispute/chargeback)</w:t>
            </w:r>
          </w:p>
        </w:tc>
      </w:tr>
      <w:tr>
        <w:tc>
          <w:tcPr/>
          <w:p>
            <w:pPr>
              <w:pStyle w:val="Compact"/>
            </w:pPr>
            <w:r>
              <w:rPr>
                <w:b/>
                <w:bCs/>
              </w:rPr>
              <w:t xml:space="preserve">Manifestly unfounded/excessive requests</w:t>
            </w:r>
          </w:p>
        </w:tc>
        <w:tc>
          <w:tcPr/>
          <w:p>
            <w:pPr>
              <w:pStyle w:val="Compact"/>
            </w:pPr>
            <w:r>
              <w:t xml:space="preserve">PDPA</w:t>
            </w:r>
          </w:p>
        </w:tc>
        <w:tc>
          <w:tcPr/>
          <w:p>
            <w:pPr>
              <w:pStyle w:val="Compact"/>
            </w:pPr>
            <w:r>
              <w:t xml:space="preserve">Charge a fee or refuse with reasons</w:t>
            </w:r>
          </w:p>
        </w:tc>
      </w:tr>
    </w:tbl>
    <w:p>
      <w:pPr>
        <w:pStyle w:val="BodyText"/>
      </w:pPr>
      <w:r>
        <w:rPr>
          <w:b/>
          <w:bCs/>
        </w:rPr>
        <w:t xml:space="preserve">Practice on refusal (partial or full):</w:t>
      </w:r>
      <w:r>
        <w:t xml:space="preserve"> </w:t>
      </w:r>
      <w:r>
        <w:t xml:space="preserve">- Notify</w:t>
      </w:r>
      <w:r>
        <w:t xml:space="preserve"> </w:t>
      </w:r>
      <w:r>
        <w:rPr>
          <w:b/>
          <w:bCs/>
        </w:rPr>
        <w:t xml:space="preserve">in writing</w:t>
      </w:r>
      <w:r>
        <w:t xml:space="preserve"> </w:t>
      </w:r>
      <w:r>
        <w:t xml:space="preserve">with a clear reason and legal basis.</w:t>
      </w:r>
      <w:r>
        <w:t xml:space="preserve"> </w:t>
      </w:r>
      <w:r>
        <w:t xml:space="preserve">- Inform the requester of the right to</w:t>
      </w:r>
      <w:r>
        <w:t xml:space="preserve"> </w:t>
      </w:r>
      <w:r>
        <w:rPr>
          <w:b/>
          <w:bCs/>
        </w:rPr>
        <w:t xml:space="preserve">complain to the PDPC</w:t>
      </w:r>
      <w:r>
        <w:t xml:space="preserve"> </w:t>
      </w:r>
      <w:r>
        <w:t xml:space="preserve">(Personal Data Protection Committee).</w:t>
      </w:r>
      <w:r>
        <w:t xml:space="preserve"> </w:t>
      </w:r>
      <w:r>
        <w:t xml:space="preserve">- Record the refusal rationale in the DSAR Register and</w:t>
      </w:r>
      <w:r>
        <w:t xml:space="preserve"> </w:t>
      </w:r>
      <w:r>
        <w:rPr>
          <w:rStyle w:val="VerbatimChar"/>
        </w:rPr>
        <w:t xml:space="preserve">audit_log</w:t>
      </w:r>
      <w:r>
        <w:t xml:space="preserve">.</w:t>
      </w:r>
      <w:r>
        <w:t xml:space="preserve"> </w:t>
      </w:r>
      <w:r>
        <w:t xml:space="preserve">- Where erasure is impossible due to AML/BOT duties, apply</w:t>
      </w:r>
      <w:r>
        <w:t xml:space="preserve"> </w:t>
      </w:r>
      <w:r>
        <w:rPr>
          <w:b/>
          <w:bCs/>
        </w:rPr>
        <w:t xml:space="preserve">restriction/anonymization</w:t>
      </w:r>
      <w:r>
        <w:t xml:space="preserve"> </w:t>
      </w:r>
      <w:r>
        <w:t xml:space="preserve">to the extent possible instead of full deletion.</w:t>
      </w:r>
    </w:p>
    <w:p>
      <w:pPr>
        <w:pStyle w:val="BlockText"/>
      </w:pPr>
      <w:r>
        <w:rPr>
          <w:b/>
          <w:bCs/>
        </w:rPr>
        <w:t xml:space="preserve">Important callout:</w:t>
      </w:r>
      <w:r>
        <w:t xml:space="preserve"> </w:t>
      </w:r>
      <w:r>
        <w:t xml:space="preserve">where the</w:t>
      </w:r>
      <w:r>
        <w:t xml:space="preserve"> </w:t>
      </w:r>
      <w:r>
        <w:rPr>
          <w:b/>
          <w:bCs/>
        </w:rPr>
        <w:t xml:space="preserve">right to erasure</w:t>
      </w:r>
      <w:r>
        <w:t xml:space="preserve"> </w:t>
      </w:r>
      <w:r>
        <w:t xml:space="preserve">conflicts with</w:t>
      </w:r>
      <w:r>
        <w:t xml:space="preserve"> </w:t>
      </w:r>
      <w:r>
        <w:rPr>
          <w:b/>
          <w:bCs/>
        </w:rPr>
        <w:t xml:space="preserve">AMLO/BOT/PCI retention duties</w:t>
      </w:r>
      <w:r>
        <w:t xml:space="preserve">, those legal/standard obligations</w:t>
      </w:r>
      <w:r>
        <w:t xml:space="preserve"> </w:t>
      </w:r>
      <w:r>
        <w:rPr>
          <w:b/>
          <w:bCs/>
        </w:rPr>
        <w:t xml:space="preserve">prevail</w:t>
      </w:r>
      <w:r>
        <w:t xml:space="preserve"> </w:t>
      </w:r>
      <w:r>
        <w:t xml:space="preserve">only for the exact data they mandate; data beyond the mandated scope must still be deleted per the request. Legal + Compliance must document, in writing, which data is retained and under which basis.</w:t>
      </w:r>
    </w:p>
    <w:p>
      <w:r>
        <w:pict>
          <v:rect style="width:0;height:1.5pt" o:hralign="center" o:hrstd="t" o:hr="t"/>
        </w:pict>
      </w:r>
    </w:p>
    <w:bookmarkEnd w:id="405"/>
    <w:bookmarkStart w:id="406" w:name="related-data-breaches"/>
    <w:p>
      <w:pPr>
        <w:pStyle w:val="Heading2"/>
      </w:pPr>
      <w:r>
        <w:t xml:space="preserve">8. Related Data Breaches</w:t>
      </w:r>
    </w:p>
    <w:p>
      <w:pPr>
        <w:pStyle w:val="FirstParagraph"/>
      </w:pPr>
      <w:r>
        <w:t xml:space="preserve">If a personal-data breach is discovered while handling a DSAR, enter the breach process:</w:t>
      </w:r>
      <w:r>
        <w:t xml:space="preserve"> </w:t>
      </w:r>
      <w:r>
        <w:rPr>
          <w:b/>
          <w:bCs/>
        </w:rPr>
        <w:t xml:space="preserve">notify the PDPC within 72 hours</w:t>
      </w:r>
      <w:r>
        <w:t xml:space="preserve"> </w:t>
      </w:r>
      <w:r>
        <w:t xml:space="preserve">per the PDPA, notify affected data subjects where the risk is high, and assess BOT notification under cyber-resilience notifications (see the separate incident-response document in this compliance set).</w:t>
      </w:r>
    </w:p>
    <w:p>
      <w:r>
        <w:pict>
          <v:rect style="width:0;height:1.5pt" o:hralign="center" o:hrstd="t" o:hr="t"/>
        </w:pict>
      </w:r>
    </w:p>
    <w:bookmarkEnd w:id="406"/>
    <w:bookmarkStart w:id="407" w:name="metrics-and-review"/>
    <w:p>
      <w:pPr>
        <w:pStyle w:val="Heading2"/>
      </w:pPr>
      <w:r>
        <w:t xml:space="preserve">9. Metrics and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 of requests answered within SLA</w:t>
            </w:r>
          </w:p>
        </w:tc>
        <w:tc>
          <w:tcPr/>
          <w:p>
            <w:pPr>
              <w:pStyle w:val="Compact"/>
            </w:pPr>
            <w:r>
              <w:t xml:space="preserve">≥ 98%</w:t>
            </w:r>
          </w:p>
        </w:tc>
      </w:tr>
      <w:tr>
        <w:tc>
          <w:tcPr/>
          <w:p>
            <w:pPr>
              <w:pStyle w:val="Compact"/>
            </w:pPr>
            <w:r>
              <w:t xml:space="preserve">Average time to close a request</w:t>
            </w:r>
          </w:p>
        </w:tc>
        <w:tc>
          <w:tcPr/>
          <w:p>
            <w:pPr>
              <w:pStyle w:val="Compact"/>
            </w:pPr>
            <w:r>
              <w:t xml:space="preserve">≤ 20 days</w:t>
            </w:r>
          </w:p>
        </w:tc>
      </w:tr>
      <w:tr>
        <w:tc>
          <w:tcPr/>
          <w:p>
            <w:pPr>
              <w:pStyle w:val="Compact"/>
            </w:pPr>
            <w:r>
              <w:t xml:space="preserve">Requests requiring an extension</w:t>
            </w:r>
          </w:p>
        </w:tc>
        <w:tc>
          <w:tcPr/>
          <w:p>
            <w:pPr>
              <w:pStyle w:val="Compact"/>
            </w:pPr>
            <w:r>
              <w:t xml:space="preserve">Reported quarterly</w:t>
            </w:r>
          </w:p>
        </w:tc>
      </w:tr>
      <w:tr>
        <w:tc>
          <w:tcPr/>
          <w:p>
            <w:pPr>
              <w:pStyle w:val="Compact"/>
            </w:pPr>
            <w:r>
              <w:t xml:space="preserve">Complaints escalated to PDPC</w:t>
            </w:r>
          </w:p>
        </w:tc>
        <w:tc>
          <w:tcPr/>
          <w:p>
            <w:pPr>
              <w:pStyle w:val="Compact"/>
            </w:pPr>
            <w:r>
              <w:t xml:space="preserve">0 (target)</w:t>
            </w:r>
          </w:p>
        </w:tc>
      </w:tr>
    </w:tbl>
    <w:p>
      <w:pPr>
        <w:pStyle w:val="BodyText"/>
      </w:pPr>
      <w:r>
        <w:t xml:space="preserve">This process is reviewed</w:t>
      </w:r>
      <w:r>
        <w:t xml:space="preserve"> </w:t>
      </w:r>
      <w:r>
        <w:rPr>
          <w:b/>
          <w:bCs/>
        </w:rPr>
        <w:t xml:space="preserve">at least annually</w:t>
      </w:r>
      <w:r>
        <w:t xml:space="preserve"> </w:t>
      </w:r>
      <w:r>
        <w:t xml:space="preserve">or whenever the law/PDPC/BOT notifications change; the DPO is accountable.</w:t>
      </w:r>
    </w:p>
    <w:p>
      <w:r>
        <w:pict>
          <v:rect style="width:0;height:1.5pt" o:hralign="center" o:hrstd="t" o:hr="t"/>
        </w:pict>
      </w:r>
    </w:p>
    <w:bookmarkEnd w:id="407"/>
    <w:bookmarkStart w:id="408" w:name="assumptions-pre-submission-todo"/>
    <w:p>
      <w:pPr>
        <w:pStyle w:val="Heading2"/>
      </w:pPr>
      <w:r>
        <w:t xml:space="preserve">10. Assumptions / Pre-submission TODO</w:t>
      </w:r>
    </w:p>
    <w:p>
      <w:pPr>
        <w:pStyle w:val="Compact"/>
        <w:numPr>
          <w:ilvl w:val="0"/>
          <w:numId w:val="1166"/>
        </w:numPr>
      </w:pPr>
      <w:r>
        <w:t xml:space="preserve">Formally appoint a</w:t>
      </w:r>
      <w:r>
        <w:t xml:space="preserve"> </w:t>
      </w:r>
      <w:r>
        <w:rPr>
          <w:b/>
          <w:bCs/>
        </w:rPr>
        <w:t xml:space="preserve">DPO</w:t>
      </w:r>
      <w:r>
        <w:t xml:space="preserve"> </w:t>
      </w:r>
      <w:r>
        <w:t xml:space="preserve">and publish real contact details (email/phone).</w:t>
      </w:r>
    </w:p>
    <w:p>
      <w:pPr>
        <w:pStyle w:val="Compact"/>
        <w:numPr>
          <w:ilvl w:val="0"/>
          <w:numId w:val="1167"/>
        </w:numPr>
      </w:pPr>
      <w:r>
        <w:t xml:space="preserve">Stand up a</w:t>
      </w:r>
      <w:r>
        <w:t xml:space="preserve"> </w:t>
      </w:r>
      <w:r>
        <w:rPr>
          <w:b/>
          <w:bCs/>
        </w:rPr>
        <w:t xml:space="preserve">privacy portal</w:t>
      </w:r>
      <w:r>
        <w:t xml:space="preserve"> </w:t>
      </w:r>
      <w:r>
        <w:t xml:space="preserve">and a</w:t>
      </w:r>
      <w:r>
        <w:t xml:space="preserve"> </w:t>
      </w:r>
      <w:r>
        <w:rPr>
          <w:rStyle w:val="VerbatimChar"/>
        </w:rPr>
        <w:t xml:space="preserve">dpo@[บริษัท / Company]</w:t>
      </w:r>
      <w:r>
        <w:t xml:space="preserve"> </w:t>
      </w:r>
      <w:r>
        <w:t xml:space="preserve">mailbox.</w:t>
      </w:r>
    </w:p>
    <w:p>
      <w:pPr>
        <w:pStyle w:val="Compact"/>
        <w:numPr>
          <w:ilvl w:val="0"/>
          <w:numId w:val="1168"/>
        </w:numPr>
      </w:pPr>
      <w:r>
        <w:t xml:space="preserve">Execute</w:t>
      </w:r>
      <w:r>
        <w:t xml:space="preserve"> </w:t>
      </w:r>
      <w:r>
        <w:rPr>
          <w:b/>
          <w:bCs/>
        </w:rPr>
        <w:t xml:space="preserve">DPAs</w:t>
      </w:r>
      <w:r>
        <w:t xml:space="preserve"> </w:t>
      </w:r>
      <w:r>
        <w:t xml:space="preserve">with all processors (3DS vendor, vault, cloud) covering DSAR support duties.</w:t>
      </w:r>
    </w:p>
    <w:p>
      <w:pPr>
        <w:pStyle w:val="Compact"/>
        <w:numPr>
          <w:ilvl w:val="0"/>
          <w:numId w:val="1169"/>
        </w:numPr>
      </w:pPr>
      <w:r>
        <w:t xml:space="preserve">Confirm AMLO/BOT retention periods with legal counsel (the ≥ 5-year figure is indicative and must be confirmed).</w:t>
      </w:r>
    </w:p>
    <w:p>
      <w:pPr>
        <w:pStyle w:val="Compact"/>
        <w:numPr>
          <w:ilvl w:val="0"/>
          <w:numId w:val="1170"/>
        </w:numPr>
      </w:pPr>
      <w:r>
        <w:t xml:space="preserve">Wire the DSAR Register into</w:t>
      </w:r>
      <w:r>
        <w:t xml:space="preserve"> </w:t>
      </w:r>
      <w:r>
        <w:rPr>
          <w:rStyle w:val="VerbatimChar"/>
        </w:rPr>
        <w:t xml:space="preserve">audit_log</w:t>
      </w:r>
      <w:r>
        <w:t xml:space="preserve"> </w:t>
      </w:r>
      <w:r>
        <w:t xml:space="preserve">and set the retention period for verification documents.</w:t>
      </w:r>
    </w:p>
    <w:p>
      <w:r>
        <w:br w:type="page"/>
      </w:r>
    </w:p>
    <w:bookmarkEnd w:id="408"/>
    <w:bookmarkEnd w:id="409"/>
    <w:bookmarkStart w:id="431" w:name="Xba199612969cdd2e9f11bc3da6deb5433efec25"/>
    <w:p>
      <w:pPr>
        <w:pStyle w:val="Heading1"/>
      </w:pPr>
      <w:r>
        <w:t xml:space="preserve">นโยบายบริหารความเสี่ยงด้านเทคโนโลยีสารสนเทศ (ไทย)</w:t>
      </w:r>
    </w:p>
    <w:p>
      <w:pPr>
        <w:pStyle w:val="BlockText"/>
      </w:pPr>
      <w:r>
        <w:t xml:space="preserve">เอกสารเลขที่</w:t>
      </w:r>
      <w:r>
        <w:t xml:space="preserve"> </w:t>
      </w:r>
      <w:r>
        <w:rPr>
          <w:b/>
          <w:bCs/>
        </w:rPr>
        <w:t xml:space="preserve">13</w:t>
      </w:r>
      <w:r>
        <w:t xml:space="preserve"> </w:t>
      </w:r>
      <w:r>
        <w:t xml:space="preserve">ในชุดเอกสาร Compliance สำหรับการยื่นขอใบอนุญาต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และคู่ขนานกับ</w:t>
      </w:r>
      <w:r>
        <w:t xml:space="preserve"> </w:t>
      </w:r>
      <w:r>
        <w:rPr>
          <w:b/>
          <w:bCs/>
        </w:rPr>
        <w:t xml:space="preserve">PCI-DSS Level 1</w:t>
      </w:r>
    </w:p>
    <w:p>
      <w:pPr>
        <w:pStyle w:val="BlockText"/>
      </w:pPr>
      <w:r>
        <w:rPr>
          <w:b/>
          <w:bCs/>
        </w:rPr>
        <w:t xml:space="preserve">สถานะเอกสาร:</w:t>
      </w:r>
      <w:r>
        <w:t xml:space="preserve"> </w:t>
      </w:r>
      <w:r>
        <w:t xml:space="preserve">ฉบับร่างเพื่อยื่นขออนุมัติ (submission draft) · เวอร์ชัน 0.1 · วันที่ปรับปรุง 2026-07-22</w:t>
      </w:r>
      <w:r>
        <w:t xml:space="preserve"> </w:t>
      </w:r>
      <w:r>
        <w:rPr>
          <w:b/>
          <w:bCs/>
        </w:rPr>
        <w:t xml:space="preserve">เจ้าของเอกสาร:</w:t>
      </w:r>
      <w:r>
        <w:t xml:space="preserve"> </w:t>
      </w:r>
      <w:r>
        <w:t xml:space="preserve">ประธานเจ้าหน้าที่ด้านความมั่นคงปลอดภัยสารสนเทศ (CISO) และคณะกรรมการบริหารความเสี่ยงด้านเทคโนโลยีสารสนเทศ (IT Risk Committee) ของ</w:t>
      </w:r>
      <w:r>
        <w:t xml:space="preserve"> </w:t>
      </w:r>
      <w:r>
        <w:rPr>
          <w:b/>
          <w:bCs/>
        </w:rPr>
        <w:t xml:space="preserve">[บริษัท / Company]</w:t>
      </w:r>
    </w:p>
    <w:p>
      <w:pPr>
        <w:pStyle w:val="BlockText"/>
      </w:pPr>
      <w:r>
        <w:t xml:space="preserve">เอกสารนี้เป็นนโยบายภายในและเอกสารประกอบคำขอใบอนุญาต</w:t>
      </w:r>
      <w:r>
        <w:t xml:space="preserve"> </w:t>
      </w:r>
      <w:r>
        <w:rPr>
          <w:b/>
          <w:bCs/>
        </w:rPr>
        <w:t xml:space="preserve">มิใช่คำแนะนำทางกฎหมาย</w:t>
      </w:r>
      <w:r>
        <w:t xml:space="preserve"> </w:t>
      </w:r>
      <w:r>
        <w:t xml:space="preserve">— ต้องผ่านการตรวจทานโดยที่ปรึกษากฎหมาย, CISO และ QSA ก่อนบังคับใช้จริง เนื่องจากประกาศ/หลักเกณฑ์ด้าน IT risk และ cyber resilience ของ ธปท. อาจปรับปรุงได้</w:t>
      </w:r>
    </w:p>
    <w:p>
      <w:r>
        <w:pict>
          <v:rect style="width:0;height:1.5pt" o:hralign="center" o:hrstd="t" o:hr="t"/>
        </w:pict>
      </w:r>
    </w:p>
    <w:bookmarkStart w:id="410" w:name="บทสรปสำหรบผบรหาร-executive-summary-1"/>
    <w:p>
      <w:pPr>
        <w:pStyle w:val="Heading2"/>
      </w:pPr>
      <w:r>
        <w:t xml:space="preserve">บทสรุปสำหรับผู้บริหาร (Executive Summary)</w:t>
      </w:r>
    </w:p>
    <w:p>
      <w:pPr>
        <w:pStyle w:val="FirstParagraph"/>
      </w:pPr>
      <w:r>
        <w:t xml:space="preserve">[บริษัท / Company] ในฐานะผู้ให้บริการรับชำระเงินด้วยบัตร (acquiring payment gateway) ที่ประมวลผลข้อมูลบัตร (cardholder data) และดำเนินธุรกรรมทางการเงินแบบเรียลไทม์ ถือว่า</w:t>
      </w:r>
      <w:r>
        <w:t xml:space="preserve"> </w:t>
      </w:r>
      <w:r>
        <w:rPr>
          <w:b/>
          <w:bCs/>
        </w:rPr>
        <w:t xml:space="preserve">ความเสี่ยงด้านเทคโนโลยีสารสนเทศ (IT Risk) และภัยคุกคามทางไซเบอร์ (Cyber Risk) เป็นความเสี่ยงหลักในระดับองค์กร (enterprise-level principal risk)</w:t>
      </w:r>
      <w:r>
        <w:t xml:space="preserve"> </w:t>
      </w:r>
      <w:r>
        <w:t xml:space="preserve">นโยบายฉบับนี้กำหนดกรอบการกำกับดูแล การประเมิน การควบคุม และการรายงานความเสี่ยงด้าน IT ให้สอดคล้องกับ:</w:t>
      </w:r>
    </w:p>
    <w:p>
      <w:pPr>
        <w:pStyle w:val="Compact"/>
        <w:numPr>
          <w:ilvl w:val="0"/>
          <w:numId w:val="1171"/>
        </w:numPr>
      </w:pPr>
      <w:r>
        <w:rPr>
          <w:b/>
          <w:bCs/>
        </w:rPr>
        <w:t xml:space="preserve">แนวปฏิบัติด้านการบริหารความเสี่ยงด้านเทคโนโลยีสารสนเทศ (IT Risk) และการรักษาความมั่นคงปลอดภัยไซเบอร์ (Cyber Resilience) ของ ธปท.</w:t>
      </w:r>
    </w:p>
    <w:p>
      <w:pPr>
        <w:pStyle w:val="Compact"/>
        <w:numPr>
          <w:ilvl w:val="0"/>
          <w:numId w:val="1171"/>
        </w:numPr>
      </w:pPr>
      <w:r>
        <w:rPr>
          <w:b/>
          <w:bCs/>
        </w:rPr>
        <w:t xml:space="preserve">PCI-DSS v4.0</w:t>
      </w:r>
      <w:r>
        <w:t xml:space="preserve"> </w:t>
      </w:r>
      <w:r>
        <w:t xml:space="preserve">(12 requirements) สำหรับการคุ้มครองข้อมูลบัตร</w:t>
      </w:r>
    </w:p>
    <w:p>
      <w:pPr>
        <w:pStyle w:val="Compact"/>
        <w:numPr>
          <w:ilvl w:val="0"/>
          <w:numId w:val="1171"/>
        </w:numPr>
      </w:pPr>
      <w:r>
        <w:rPr>
          <w:b/>
          <w:bCs/>
        </w:rPr>
        <w:t xml:space="preserve">พ.ร.บ. คุ้มครองข้อมูลส่วนบุคคล พ.ศ. 2562 (PDPA)</w:t>
      </w:r>
      <w:r>
        <w:t xml:space="preserve"> </w:t>
      </w:r>
      <w:r>
        <w:t xml:space="preserve">กำกับโดย</w:t>
      </w:r>
      <w:r>
        <w:t xml:space="preserve"> </w:t>
      </w:r>
      <w:r>
        <w:rPr>
          <w:b/>
          <w:bCs/>
        </w:rPr>
        <w:t xml:space="preserve">PDPC</w:t>
      </w:r>
    </w:p>
    <w:p>
      <w:pPr>
        <w:pStyle w:val="Compact"/>
        <w:numPr>
          <w:ilvl w:val="0"/>
          <w:numId w:val="1171"/>
        </w:numPr>
      </w:pPr>
      <w:r>
        <w:rPr>
          <w:b/>
          <w:bCs/>
        </w:rPr>
        <w:t xml:space="preserve">พ.ร.บ. การรักษาความมั่นคงปลอดภัยไซเบอร์ พ.ศ. 2562</w:t>
      </w:r>
      <w:r>
        <w:t xml:space="preserve"> </w:t>
      </w:r>
      <w:r>
        <w:t xml:space="preserve">(Cybersecurity Act) — เนื่องจากบริการชำระเงินอาจถูกจัดเป็นโครงสร้างพื้นฐานสำคัญทางสารสนเทศ (CII)</w:t>
      </w:r>
    </w:p>
    <w:p>
      <w:pPr>
        <w:pStyle w:val="Compact"/>
        <w:numPr>
          <w:ilvl w:val="0"/>
          <w:numId w:val="1171"/>
        </w:numPr>
      </w:pPr>
      <w:r>
        <w:t xml:space="preserve">มาตรฐานสากลที่ใช้อ้างอิง:</w:t>
      </w:r>
      <w:r>
        <w:t xml:space="preserve"> </w:t>
      </w:r>
      <w:r>
        <w:rPr>
          <w:b/>
          <w:bCs/>
        </w:rPr>
        <w:t xml:space="preserve">ISO/IEC 27001:2022, NIST CSF 2.0, ISO 22301 (BCM)</w:t>
      </w:r>
    </w:p>
    <w:p>
      <w:pPr>
        <w:pStyle w:val="FirstParagraph"/>
      </w:pPr>
      <w:r>
        <w:t xml:space="preserve">นโยบายนี้ครอบคลุมกรอบการทำงาน</w:t>
      </w:r>
      <w:r>
        <w:t xml:space="preserve"> </w:t>
      </w:r>
      <w:r>
        <w:rPr>
          <w:b/>
          <w:bCs/>
        </w:rPr>
        <w:t xml:space="preserve">Three Lines of Defense</w:t>
      </w:r>
      <w:r>
        <w:t xml:space="preserve">, การประเมินความเสี่ยงเชิงระบบ, การควบคุม (controls) ที่ผูกกับความเสี่ยง, ตัวชี้วัดความเสี่ยงหลัก (KRIs) พร้อมเกณฑ์ (thresholds), และกลไกการรายงานถึงคณะกรรมการบริษัท</w:t>
      </w:r>
    </w:p>
    <w:p>
      <w:pPr>
        <w:pStyle w:val="BlockText"/>
      </w:pPr>
      <w:r>
        <w:rPr>
          <w:b/>
          <w:bCs/>
        </w:rPr>
        <w:t xml:space="preserve">ความเชื่อมโยงกับสถาปัตยกรรม:</w:t>
      </w:r>
      <w:r>
        <w:t xml:space="preserve"> </w:t>
      </w:r>
      <w:r>
        <w:t xml:space="preserve">นโยบายนี้อ้างอิงการควบคุมทางเทคนิคที่ได้ออกแบบไว้ในเอกสาร</w:t>
      </w:r>
      <w:r>
        <w:t xml:space="preserve"> </w:t>
      </w:r>
      <w:r>
        <w:rPr>
          <w:rStyle w:val="VerbatimChar"/>
        </w:rPr>
        <w:t xml:space="preserve">ARCHITECTURE.md</w:t>
      </w:r>
      <w:r>
        <w:t xml:space="preserve"> </w:t>
      </w:r>
      <w:r>
        <w:t xml:space="preserve">(tokenization vault แยก scope, ledger แบบ append-only, idempotency, audit_log, mTLS ภายใน, HSM/KMS) — นโยบายนี้เป็นชั้นการกำกับดูแล (governance layer) ที่ครอบการควบคุมเหล่านั้น</w:t>
      </w:r>
    </w:p>
    <w:p>
      <w:r>
        <w:pict>
          <v:rect style="width:0;height:1.5pt" o:hralign="center" o:hrstd="t" o:hr="t"/>
        </w:pict>
      </w:r>
    </w:p>
    <w:bookmarkEnd w:id="410"/>
    <w:bookmarkStart w:id="411" w:name="ฐานกฎหมายและมาตรฐานอางอง-1"/>
    <w:p>
      <w:pPr>
        <w:pStyle w:val="Heading2"/>
      </w:pPr>
      <w:r>
        <w:t xml:space="preserve">1. ฐานกฎหมายและมาตรฐานอ้างอิง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กฎหมาย / มาตรฐาน</w:t>
            </w:r>
          </w:p>
        </w:tc>
        <w:tc>
          <w:tcPr/>
          <w:p>
            <w:pPr>
              <w:pStyle w:val="Compact"/>
            </w:pPr>
            <w:r>
              <w:t xml:space="preserve">สาระสำคัญที่เกี่ยวข้องกับนโยบายนี้</w:t>
            </w:r>
          </w:p>
        </w:tc>
      </w:tr>
      <w:tr>
        <w:tc>
          <w:tcPr/>
          <w:p>
            <w:pPr>
              <w:pStyle w:val="Compact"/>
            </w:pPr>
            <w:r>
              <w:rPr>
                <w:b/>
                <w:bCs/>
              </w:rPr>
              <w:t xml:space="preserve">พ.ร.บ. ระบบการชำระเงิน พ.ศ. 2560</w:t>
            </w:r>
          </w:p>
        </w:tc>
        <w:tc>
          <w:tcPr/>
          <w:p>
            <w:pPr>
              <w:pStyle w:val="Compact"/>
            </w:pPr>
            <w:r>
              <w:t xml:space="preserve">เงื่อนไขใบอนุญาตกำหนดให้ต้องมีระบบบริหารความเสี่ยงด้าน IT และการควบคุมภายในที่ได้มาตรฐาน กำกับโดย</w:t>
            </w:r>
            <w:r>
              <w:t xml:space="preserve"> </w:t>
            </w:r>
            <w:r>
              <w:rPr>
                <w:b/>
                <w:bCs/>
              </w:rPr>
              <w:t xml:space="preserve">ธปท.</w:t>
            </w:r>
          </w:p>
        </w:tc>
      </w:tr>
      <w:tr>
        <w:tc>
          <w:tcPr/>
          <w:p>
            <w:pPr>
              <w:pStyle w:val="Compact"/>
            </w:pPr>
            <w:r>
              <w:rPr>
                <w:b/>
                <w:bCs/>
              </w:rPr>
              <w:t xml:space="preserve">แนวนโยบาย/ประกาศ ธปท. ด้าน IT Risk &amp; Cyber Resilience</w:t>
            </w:r>
          </w:p>
        </w:tc>
        <w:tc>
          <w:tcPr/>
          <w:p>
            <w:pPr>
              <w:pStyle w:val="Compact"/>
            </w:pPr>
            <w:r>
              <w:t xml:space="preserve">การกำกับดูแลโดยคณะกรรมการ, การประเมินความเสี่ยง, การควบคุมการเข้าถึง, การบริหารเหตุการณ์, การทดสอบเจาะระบบ, การบริหารผู้ให้บริการภายนอก</w:t>
            </w:r>
          </w:p>
        </w:tc>
      </w:tr>
      <w:tr>
        <w:tc>
          <w:tcPr/>
          <w:p>
            <w:pPr>
              <w:pStyle w:val="Compact"/>
            </w:pPr>
            <w:r>
              <w:rPr>
                <w:b/>
                <w:bCs/>
              </w:rPr>
              <w:t xml:space="preserve">PCI-DSS v4.0</w:t>
            </w:r>
          </w:p>
        </w:tc>
        <w:tc>
          <w:tcPr/>
          <w:p>
            <w:pPr>
              <w:pStyle w:val="Compact"/>
            </w:pPr>
            <w:r>
              <w:t xml:space="preserve">Req 1-12 การคุ้มครองข้อมูลบัตร (CHD/SAD), network security, encryption, access control, logging, vulnerability &amp; risk management, incident response</w:t>
            </w:r>
          </w:p>
        </w:tc>
      </w:tr>
      <w:tr>
        <w:tc>
          <w:tcPr/>
          <w:p>
            <w:pPr>
              <w:pStyle w:val="Compact"/>
            </w:pPr>
            <w:r>
              <w:rPr>
                <w:b/>
                <w:bCs/>
              </w:rPr>
              <w:t xml:space="preserve">พ.ร.บ. คุ้มครองข้อมูลส่วนบุคคล พ.ศ. 2562 (PDPA)</w:t>
            </w:r>
            <w:r>
              <w:t xml:space="preserve"> </w:t>
            </w:r>
            <w:r>
              <w:t xml:space="preserve">—</w:t>
            </w:r>
            <w:r>
              <w:t xml:space="preserve"> </w:t>
            </w:r>
            <w:r>
              <w:rPr>
                <w:b/>
                <w:bCs/>
              </w:rPr>
              <w:t xml:space="preserve">PDPC</w:t>
            </w:r>
          </w:p>
        </w:tc>
        <w:tc>
          <w:tcPr/>
          <w:p>
            <w:pPr>
              <w:pStyle w:val="Compact"/>
            </w:pPr>
            <w:r>
              <w:t xml:space="preserve">มาตรการรักษาความมั่นคงปลอดภัยของข้อมูลส่วนบุคคล, การแจ้งเหตุละเมิดข้อมูลภายใน 72 ชั่วโมง</w:t>
            </w:r>
          </w:p>
        </w:tc>
      </w:tr>
      <w:tr>
        <w:tc>
          <w:tcPr/>
          <w:p>
            <w:pPr>
              <w:pStyle w:val="Compact"/>
            </w:pPr>
            <w:r>
              <w:rPr>
                <w:b/>
                <w:bCs/>
              </w:rPr>
              <w:t xml:space="preserve">พ.ร.บ. การรักษาความมั่นคงปลอดภัยไซเบอร์ พ.ศ. 2562</w:t>
            </w:r>
          </w:p>
        </w:tc>
        <w:tc>
          <w:tcPr/>
          <w:p>
            <w:pPr>
              <w:pStyle w:val="Compact"/>
            </w:pPr>
            <w:r>
              <w:t xml:space="preserve">การเตรียมความพร้อม รับมือ และรายงานภัยคุกคามไซเบอร์ (กรณีเข้าข่าย CII)</w:t>
            </w:r>
          </w:p>
        </w:tc>
      </w:tr>
      <w:tr>
        <w:tc>
          <w:tcPr/>
          <w:p>
            <w:pPr>
              <w:pStyle w:val="Compact"/>
            </w:pPr>
            <w:r>
              <w:rPr>
                <w:b/>
                <w:bCs/>
              </w:rPr>
              <w:t xml:space="preserve">พ.ร.บ. ป้องกันและปราบปรามการฟอกเงิน (ปปง./AMLO)</w:t>
            </w:r>
          </w:p>
        </w:tc>
        <w:tc>
          <w:tcPr/>
          <w:p>
            <w:pPr>
              <w:pStyle w:val="Compact"/>
            </w:pPr>
            <w:r>
              <w:t xml:space="preserve">ความเสี่ยงด้าน IT ที่กระทบความสมบูรณ์ของระบบ AML/screening (เชื่อมกับเอกสาร 05)</w:t>
            </w:r>
          </w:p>
        </w:tc>
      </w:tr>
      <w:tr>
        <w:tc>
          <w:tcPr/>
          <w:p>
            <w:pPr>
              <w:pStyle w:val="Compact"/>
            </w:pPr>
            <w:r>
              <w:rPr>
                <w:b/>
                <w:bCs/>
              </w:rPr>
              <w:t xml:space="preserve">ISO/IEC 27001:2022 / 27002</w:t>
            </w:r>
          </w:p>
        </w:tc>
        <w:tc>
          <w:tcPr/>
          <w:p>
            <w:pPr>
              <w:pStyle w:val="Compact"/>
            </w:pPr>
            <w:r>
              <w:t xml:space="preserve">กรอบระบบบริหารความมั่นคงปลอดภัยสารสนเทศ (ISMS) และชุดการควบคุม</w:t>
            </w:r>
          </w:p>
        </w:tc>
      </w:tr>
      <w:tr>
        <w:tc>
          <w:tcPr/>
          <w:p>
            <w:pPr>
              <w:pStyle w:val="Compact"/>
            </w:pPr>
            <w:r>
              <w:rPr>
                <w:b/>
                <w:bCs/>
              </w:rPr>
              <w:t xml:space="preserve">NIST Cybersecurity Framework 2.0</w:t>
            </w:r>
          </w:p>
        </w:tc>
        <w:tc>
          <w:tcPr/>
          <w:p>
            <w:pPr>
              <w:pStyle w:val="Compact"/>
            </w:pPr>
            <w:r>
              <w:t xml:space="preserve">ฟังก์ชัน Govern–Identify–Protect–Detect–Respond–Recover</w:t>
            </w:r>
          </w:p>
        </w:tc>
      </w:tr>
      <w:tr>
        <w:tc>
          <w:tcPr/>
          <w:p>
            <w:pPr>
              <w:pStyle w:val="Compact"/>
            </w:pPr>
            <w:r>
              <w:rPr>
                <w:b/>
                <w:bCs/>
              </w:rPr>
              <w:t xml:space="preserve">ISO 22301</w:t>
            </w:r>
          </w:p>
        </w:tc>
        <w:tc>
          <w:tcPr/>
          <w:p>
            <w:pPr>
              <w:pStyle w:val="Compact"/>
            </w:pPr>
            <w:r>
              <w:t xml:space="preserve">การบริหารความต่อเนื่องทางธุรกิจ (เชื่อมกับเอกสาร BCP/DR)</w:t>
            </w:r>
          </w:p>
        </w:tc>
      </w:tr>
      <w:tr>
        <w:tc>
          <w:tcPr/>
          <w:p>
            <w:pPr>
              <w:pStyle w:val="Compact"/>
            </w:pPr>
            <w:r>
              <w:rPr>
                <w:b/>
                <w:bCs/>
              </w:rPr>
              <w:t xml:space="preserve">EMV 3-D Secure (3DS) 2.x</w:t>
            </w:r>
          </w:p>
        </w:tc>
        <w:tc>
          <w:tcPr/>
          <w:p>
            <w:pPr>
              <w:pStyle w:val="Compact"/>
            </w:pPr>
            <w:r>
              <w:t xml:space="preserve">การควบคุมความเสี่ยงการฉ้อโกงธุรกรรมด้วยการยืนยันตัวตนผู้ถือบัตร</w:t>
            </w:r>
          </w:p>
        </w:tc>
      </w:tr>
    </w:tbl>
    <w:p>
      <w:pPr>
        <w:pStyle w:val="BlockText"/>
      </w:pPr>
      <w:r>
        <w:rPr>
          <w:b/>
          <w:bCs/>
        </w:rPr>
        <w:t xml:space="preserve">[TODO/ข้อสมมติ]</w:t>
      </w:r>
      <w:r>
        <w:t xml:space="preserve"> </w:t>
      </w:r>
      <w:r>
        <w:t xml:space="preserve">ต้องยืนยันกับที่ปรึกษากฎหมายและ ธปท. ว่าประกาศ/แนวปฏิบัติด้าน IT risk และ cyber resilience ฉบับล่าสุด ณ วันยื่นคำขอ มีเลขที่/ปีใด และปรับอ้างอิงให้ตรง รวมถึงยืนยันสถานะการเป็น CII ภายใต้ พ.ร.บ. ไซเบอร์ฯ</w:t>
      </w:r>
    </w:p>
    <w:p>
      <w:r>
        <w:pict>
          <v:rect style="width:0;height:1.5pt" o:hralign="center" o:hrstd="t" o:hr="t"/>
        </w:pict>
      </w:r>
    </w:p>
    <w:bookmarkEnd w:id="411"/>
    <w:bookmarkStart w:id="412" w:name="ขอบเขตและนยาม-scope-definitions"/>
    <w:p>
      <w:pPr>
        <w:pStyle w:val="Heading2"/>
      </w:pPr>
      <w:r>
        <w:t xml:space="preserve">2. ขอบเขตและนิยาม (Scope &amp; Definitions)</w:t>
      </w:r>
    </w:p>
    <w:p>
      <w:pPr>
        <w:pStyle w:val="FirstParagraph"/>
      </w:pPr>
      <w:r>
        <w:rPr>
          <w:b/>
          <w:bCs/>
        </w:rPr>
        <w:t xml:space="preserve">ขอบเขต:</w:t>
      </w:r>
      <w:r>
        <w:t xml:space="preserve"> </w:t>
      </w:r>
      <w:r>
        <w:t xml:space="preserve">ครอบคลุมสินทรัพย์สารสนเทศทั้งหมดของ [บริษัท / Company] ได้แก่ ระบบ payment core (Go/Fiber), tokenization vault, ledger, ฐานข้อมูล, HSM/KMS, โครงสร้างพื้นฐานคลาวด์/on-prem, เครือข่าย, endpoint, ซอฟต์แวร์ที่พัฒนาเอง, ผู้ให้บริการภายนอก (acquirer, sponsor bank, 3DS provider, cloud) และบุคลากรที่เข้าถึงระบบ</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คำ</w:t>
            </w:r>
          </w:p>
        </w:tc>
        <w:tc>
          <w:tcPr/>
          <w:p>
            <w:pPr>
              <w:pStyle w:val="Compact"/>
            </w:pPr>
            <w:r>
              <w:t xml:space="preserve">นิยาม</w:t>
            </w:r>
          </w:p>
        </w:tc>
      </w:tr>
      <w:tr>
        <w:tc>
          <w:tcPr/>
          <w:p>
            <w:pPr>
              <w:pStyle w:val="Compact"/>
            </w:pPr>
            <w:r>
              <w:rPr>
                <w:b/>
                <w:bCs/>
              </w:rPr>
              <w:t xml:space="preserve">IT Risk</w:t>
            </w:r>
          </w:p>
        </w:tc>
        <w:tc>
          <w:tcPr/>
          <w:p>
            <w:pPr>
              <w:pStyle w:val="Compact"/>
            </w:pPr>
            <w:r>
              <w:t xml:space="preserve">ความเสี่ยงที่เกิดจากความล้มเหลว/ไม่เพียงพอของกระบวนการ ระบบ หรือบุคลากรด้าน IT รวมถึงเหตุการณ์ภายนอก ที่กระทบความลับ (Confidentiality) ความถูกต้อง (Integrity) และความพร้อมใช้ (Availability) — CIA</w:t>
            </w:r>
          </w:p>
        </w:tc>
      </w:tr>
      <w:tr>
        <w:tc>
          <w:tcPr/>
          <w:p>
            <w:pPr>
              <w:pStyle w:val="Compact"/>
            </w:pPr>
            <w:r>
              <w:rPr>
                <w:b/>
                <w:bCs/>
              </w:rPr>
              <w:t xml:space="preserve">Cyber Risk</w:t>
            </w:r>
          </w:p>
        </w:tc>
        <w:tc>
          <w:tcPr/>
          <w:p>
            <w:pPr>
              <w:pStyle w:val="Compact"/>
            </w:pPr>
            <w:r>
              <w:t xml:space="preserve">ส่วนย่อยของ IT Risk ที่เกิดจากภัยคุกคามโดยเจตนา (attack) หรือช่องโหว่ที่ถูกใช้ประโยชน์</w:t>
            </w:r>
          </w:p>
        </w:tc>
      </w:tr>
      <w:tr>
        <w:tc>
          <w:tcPr/>
          <w:p>
            <w:pPr>
              <w:pStyle w:val="Compact"/>
            </w:pPr>
            <w:r>
              <w:rPr>
                <w:b/>
                <w:bCs/>
              </w:rPr>
              <w:t xml:space="preserve">Inherent Risk</w:t>
            </w:r>
          </w:p>
        </w:tc>
        <w:tc>
          <w:tcPr/>
          <w:p>
            <w:pPr>
              <w:pStyle w:val="Compact"/>
            </w:pPr>
            <w:r>
              <w:t xml:space="preserve">ระดับความเสี่ยงก่อนใช้การควบคุม</w:t>
            </w:r>
          </w:p>
        </w:tc>
      </w:tr>
      <w:tr>
        <w:tc>
          <w:tcPr/>
          <w:p>
            <w:pPr>
              <w:pStyle w:val="Compact"/>
            </w:pPr>
            <w:r>
              <w:rPr>
                <w:b/>
                <w:bCs/>
              </w:rPr>
              <w:t xml:space="preserve">Residual Risk</w:t>
            </w:r>
          </w:p>
        </w:tc>
        <w:tc>
          <w:tcPr/>
          <w:p>
            <w:pPr>
              <w:pStyle w:val="Compact"/>
            </w:pPr>
            <w:r>
              <w:t xml:space="preserve">ระดับความเสี่ยงหลังใช้การควบคุม</w:t>
            </w:r>
          </w:p>
        </w:tc>
      </w:tr>
      <w:tr>
        <w:tc>
          <w:tcPr/>
          <w:p>
            <w:pPr>
              <w:pStyle w:val="Compact"/>
            </w:pPr>
            <w:r>
              <w:rPr>
                <w:b/>
                <w:bCs/>
              </w:rPr>
              <w:t xml:space="preserve">Risk Appetite</w:t>
            </w:r>
          </w:p>
        </w:tc>
        <w:tc>
          <w:tcPr/>
          <w:p>
            <w:pPr>
              <w:pStyle w:val="Compact"/>
            </w:pPr>
            <w:r>
              <w:t xml:space="preserve">ระดับความเสี่ยงที่องค์กรยอมรับได้ กำหนดโดยคณะกรรมการบริษัท</w:t>
            </w:r>
          </w:p>
        </w:tc>
      </w:tr>
      <w:tr>
        <w:tc>
          <w:tcPr/>
          <w:p>
            <w:pPr>
              <w:pStyle w:val="Compact"/>
            </w:pPr>
            <w:r>
              <w:rPr>
                <w:b/>
                <w:bCs/>
              </w:rPr>
              <w:t xml:space="preserve">KRI</w:t>
            </w:r>
          </w:p>
        </w:tc>
        <w:tc>
          <w:tcPr/>
          <w:p>
            <w:pPr>
              <w:pStyle w:val="Compact"/>
            </w:pPr>
            <w:r>
              <w:t xml:space="preserve">Key Risk Indicator — ตัวชี้วัดเชิงปริมาณที่ส่งสัญญาณเตือนล่วงหน้าก่อนความเสี่ยงจะกลายเป็นเหตุการณ์จริง</w:t>
            </w:r>
          </w:p>
        </w:tc>
      </w:tr>
      <w:tr>
        <w:tc>
          <w:tcPr/>
          <w:p>
            <w:pPr>
              <w:pStyle w:val="Compact"/>
            </w:pPr>
            <w:r>
              <w:rPr>
                <w:b/>
                <w:bCs/>
              </w:rPr>
              <w:t xml:space="preserve">CDE</w:t>
            </w:r>
          </w:p>
        </w:tc>
        <w:tc>
          <w:tcPr/>
          <w:p>
            <w:pPr>
              <w:pStyle w:val="Compact"/>
            </w:pPr>
            <w:r>
              <w:t xml:space="preserve">Cardholder Data Environment — สภาพแวดล้อมที่จัดเก็บ/ประมวลผล/ส่งข้อมูลบัตร ตาม PCI-DSS</w:t>
            </w:r>
          </w:p>
        </w:tc>
      </w:tr>
    </w:tbl>
    <w:p>
      <w:r>
        <w:pict>
          <v:rect style="width:0;height:1.5pt" o:hralign="center" o:hrstd="t" o:hr="t"/>
        </w:pict>
      </w:r>
    </w:p>
    <w:bookmarkEnd w:id="412"/>
    <w:bookmarkStart w:id="414" w:name="X61460d4e40f481d9eacd34887f336677db780c7"/>
    <w:p>
      <w:pPr>
        <w:pStyle w:val="Heading2"/>
      </w:pPr>
      <w:r>
        <w:t xml:space="preserve">3. โครงสร้างการกำกับดูแล (Governance) — Three Lines of Defense</w:t>
      </w:r>
    </w:p>
    <w:p>
      <w:pPr>
        <w:pStyle w:val="FirstParagraph"/>
      </w:pPr>
      <w:r>
        <w:t xml:space="preserve">[บริษัท / Company] ใช้แบบจำลอง</w:t>
      </w:r>
      <w:r>
        <w:t xml:space="preserve"> </w:t>
      </w:r>
      <w:r>
        <w:rPr>
          <w:b/>
          <w:bCs/>
        </w:rPr>
        <w:t xml:space="preserve">Three Lines of Defense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แนวป้องกัน</w:t>
            </w:r>
          </w:p>
        </w:tc>
        <w:tc>
          <w:tcPr/>
          <w:p>
            <w:pPr>
              <w:pStyle w:val="Compact"/>
            </w:pPr>
            <w:r>
              <w:t xml:space="preserve">ผู้รับผิดชอบ</w:t>
            </w:r>
          </w:p>
        </w:tc>
        <w:tc>
          <w:tcPr/>
          <w:p>
            <w:pPr>
              <w:pStyle w:val="Compact"/>
            </w:pPr>
            <w:r>
              <w:t xml:space="preserve">หน้าที่ด้าน IT Risk</w:t>
            </w:r>
          </w:p>
        </w:tc>
      </w:tr>
      <w:tr>
        <w:tc>
          <w:tcPr/>
          <w:p>
            <w:pPr>
              <w:pStyle w:val="Compact"/>
            </w:pPr>
            <w:r>
              <w:rPr>
                <w:b/>
                <w:bCs/>
              </w:rPr>
              <w:t xml:space="preserve">แนวที่ 1 (Risk Ownership)</w:t>
            </w:r>
          </w:p>
        </w:tc>
        <w:tc>
          <w:tcPr/>
          <w:p>
            <w:pPr>
              <w:pStyle w:val="Compact"/>
            </w:pPr>
            <w:r>
              <w:t xml:space="preserve">ทีม Engineering, SRE/Infra, DevSecOps, Product</w:t>
            </w:r>
          </w:p>
        </w:tc>
        <w:tc>
          <w:tcPr/>
          <w:p>
            <w:pPr>
              <w:pStyle w:val="Compact"/>
            </w:pPr>
            <w:r>
              <w:t xml:space="preserve">เป็นเจ้าของความเสี่ยง ดำเนินการควบคุมในกระบวนการประจำวัน (secure SDLC, patching, monitoring)</w:t>
            </w:r>
          </w:p>
        </w:tc>
      </w:tr>
      <w:tr>
        <w:tc>
          <w:tcPr/>
          <w:p>
            <w:pPr>
              <w:pStyle w:val="Compact"/>
            </w:pPr>
            <w:r>
              <w:rPr>
                <w:b/>
                <w:bCs/>
              </w:rPr>
              <w:t xml:space="preserve">แนวที่ 2 (Risk Oversight)</w:t>
            </w:r>
          </w:p>
        </w:tc>
        <w:tc>
          <w:tcPr/>
          <w:p>
            <w:pPr>
              <w:pStyle w:val="Compact"/>
            </w:pPr>
            <w:r>
              <w:rPr>
                <w:b/>
                <w:bCs/>
              </w:rPr>
              <w:t xml:space="preserve">CISO</w:t>
            </w:r>
            <w:r>
              <w:t xml:space="preserve">, IT Risk &amp; Compliance Function, DPO</w:t>
            </w:r>
          </w:p>
        </w:tc>
        <w:tc>
          <w:tcPr/>
          <w:p>
            <w:pPr>
              <w:pStyle w:val="Compact"/>
            </w:pPr>
            <w:r>
              <w:t xml:space="preserve">กำหนดนโยบาย/กรอบ ประเมินอิสระ ติดตาม KRI ท้าทายแนวที่ 1</w:t>
            </w:r>
          </w:p>
        </w:tc>
      </w:tr>
      <w:tr>
        <w:tc>
          <w:tcPr/>
          <w:p>
            <w:pPr>
              <w:pStyle w:val="Compact"/>
            </w:pPr>
            <w:r>
              <w:rPr>
                <w:b/>
                <w:bCs/>
              </w:rPr>
              <w:t xml:space="preserve">แนวที่ 3 (Independent Assurance)</w:t>
            </w:r>
          </w:p>
        </w:tc>
        <w:tc>
          <w:tcPr/>
          <w:p>
            <w:pPr>
              <w:pStyle w:val="Compact"/>
            </w:pPr>
            <w:r>
              <w:rPr>
                <w:b/>
                <w:bCs/>
              </w:rPr>
              <w:t xml:space="preserve">Internal Audit</w:t>
            </w:r>
            <w:r>
              <w:t xml:space="preserve"> </w:t>
            </w:r>
            <w:r>
              <w:t xml:space="preserve">(+ QSA/ผู้ตรวจภายนอก)</w:t>
            </w:r>
          </w:p>
        </w:tc>
        <w:tc>
          <w:tcPr/>
          <w:p>
            <w:pPr>
              <w:pStyle w:val="Compact"/>
            </w:pPr>
            <w:r>
              <w:t xml:space="preserve">ตรวจสอบอิสระต่อคณะกรรมการตรวจสอบ ยืนยันประสิทธิผลของการควบคุม</w:t>
            </w:r>
          </w:p>
        </w:tc>
      </w:tr>
    </w:tbl>
    <w:bookmarkStart w:id="413" w:name="คณะกรรมการและบทบาท"/>
    <w:p>
      <w:pPr>
        <w:pStyle w:val="Heading3"/>
      </w:pPr>
      <w:r>
        <w:t xml:space="preserve">3.1 คณะกรรมการและบทบาท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หน่วยงาน</w:t>
            </w:r>
          </w:p>
        </w:tc>
        <w:tc>
          <w:tcPr/>
          <w:p>
            <w:pPr>
              <w:pStyle w:val="Compact"/>
            </w:pPr>
            <w:r>
              <w:t xml:space="preserve">องค์ประกอบ</w:t>
            </w:r>
          </w:p>
        </w:tc>
        <w:tc>
          <w:tcPr/>
          <w:p>
            <w:pPr>
              <w:pStyle w:val="Compact"/>
            </w:pPr>
            <w:r>
              <w:t xml:space="preserve">ความถี่ประชุม</w:t>
            </w:r>
          </w:p>
        </w:tc>
        <w:tc>
          <w:tcPr/>
          <w:p>
            <w:pPr>
              <w:pStyle w:val="Compact"/>
            </w:pPr>
            <w:r>
              <w:t xml:space="preserve">ความรับผิดชอบหลัก</w:t>
            </w:r>
          </w:p>
        </w:tc>
      </w:tr>
      <w:tr>
        <w:tc>
          <w:tcPr/>
          <w:p>
            <w:pPr>
              <w:pStyle w:val="Compact"/>
            </w:pPr>
            <w:r>
              <w:rPr>
                <w:b/>
                <w:bCs/>
              </w:rPr>
              <w:t xml:space="preserve">คณะกรรมการบริษัท (Board)</w:t>
            </w:r>
          </w:p>
        </w:tc>
        <w:tc>
          <w:tcPr/>
          <w:p>
            <w:pPr>
              <w:pStyle w:val="Compact"/>
            </w:pPr>
            <w:r>
              <w:t xml:space="preserve">กรรมการทั้งหมด</w:t>
            </w:r>
          </w:p>
        </w:tc>
        <w:tc>
          <w:tcPr/>
          <w:p>
            <w:pPr>
              <w:pStyle w:val="Compact"/>
            </w:pPr>
            <w:r>
              <w:t xml:space="preserve">รายไตรมาส</w:t>
            </w:r>
          </w:p>
        </w:tc>
        <w:tc>
          <w:tcPr/>
          <w:p>
            <w:pPr>
              <w:pStyle w:val="Compact"/>
            </w:pPr>
            <w:r>
              <w:t xml:space="preserve">อนุมัติ Risk Appetite, รับรองนโยบาย, รับรายงานความเสี่ยง IT</w:t>
            </w:r>
          </w:p>
        </w:tc>
      </w:tr>
      <w:tr>
        <w:tc>
          <w:tcPr/>
          <w:p>
            <w:pPr>
              <w:pStyle w:val="Compact"/>
            </w:pPr>
            <w:r>
              <w:rPr>
                <w:b/>
                <w:bCs/>
              </w:rPr>
              <w:t xml:space="preserve">คณะกรรมการบริหารความเสี่ยง (Risk Committee)</w:t>
            </w:r>
          </w:p>
        </w:tc>
        <w:tc>
          <w:tcPr/>
          <w:p>
            <w:pPr>
              <w:pStyle w:val="Compact"/>
            </w:pPr>
            <w:r>
              <w:t xml:space="preserve">กรรมการอิสระ + ผู้บริหารระดับสูง</w:t>
            </w:r>
          </w:p>
        </w:tc>
        <w:tc>
          <w:tcPr/>
          <w:p>
            <w:pPr>
              <w:pStyle w:val="Compact"/>
            </w:pPr>
            <w:r>
              <w:t xml:space="preserve">รายไตรมาส (หรือเมื่อมีเหตุ)</w:t>
            </w:r>
          </w:p>
        </w:tc>
        <w:tc>
          <w:tcPr/>
          <w:p>
            <w:pPr>
              <w:pStyle w:val="Compact"/>
            </w:pPr>
            <w:r>
              <w:t xml:space="preserve">กำกับกรอบ ERM/IT Risk, ทบทวน risk register</w:t>
            </w:r>
          </w:p>
        </w:tc>
      </w:tr>
      <w:tr>
        <w:tc>
          <w:tcPr/>
          <w:p>
            <w:pPr>
              <w:pStyle w:val="Compact"/>
            </w:pPr>
            <w:r>
              <w:rPr>
                <w:b/>
                <w:bCs/>
              </w:rPr>
              <w:t xml:space="preserve">คณะทำงาน IT Risk &amp; Security (IT Risk Committee)</w:t>
            </w:r>
          </w:p>
        </w:tc>
        <w:tc>
          <w:tcPr/>
          <w:p>
            <w:pPr>
              <w:pStyle w:val="Compact"/>
            </w:pPr>
            <w:r>
              <w:t xml:space="preserve">CISO (ประธาน), CTO, Head of SRE, DPO, MLRO, Compliance</w:t>
            </w:r>
          </w:p>
        </w:tc>
        <w:tc>
          <w:tcPr/>
          <w:p>
            <w:pPr>
              <w:pStyle w:val="Compact"/>
            </w:pPr>
            <w:r>
              <w:rPr>
                <w:b/>
                <w:bCs/>
              </w:rPr>
              <w:t xml:space="preserve">รายเดือน</w:t>
            </w:r>
          </w:p>
        </w:tc>
        <w:tc>
          <w:tcPr/>
          <w:p>
            <w:pPr>
              <w:pStyle w:val="Compact"/>
            </w:pPr>
            <w:r>
              <w:t xml:space="preserve">ทบทวน KRI, เหตุการณ์, ผลสแกน/pentest, การยกเว้นความเสี่ยง (risk acceptance)</w:t>
            </w:r>
          </w:p>
        </w:tc>
      </w:tr>
      <w:tr>
        <w:tc>
          <w:tcPr/>
          <w:p>
            <w:pPr>
              <w:pStyle w:val="Compact"/>
            </w:pPr>
            <w:r>
              <w:rPr>
                <w:b/>
                <w:bCs/>
              </w:rPr>
              <w:t xml:space="preserve">คณะกรรมการตรวจสอบ (Audit Committee)</w:t>
            </w:r>
          </w:p>
        </w:tc>
        <w:tc>
          <w:tcPr/>
          <w:p>
            <w:pPr>
              <w:pStyle w:val="Compact"/>
            </w:pPr>
            <w:r>
              <w:t xml:space="preserve">กรรมการอิสระ</w:t>
            </w:r>
          </w:p>
        </w:tc>
        <w:tc>
          <w:tcPr/>
          <w:p>
            <w:pPr>
              <w:pStyle w:val="Compact"/>
            </w:pPr>
            <w:r>
              <w:t xml:space="preserve">รายไตรมาส</w:t>
            </w:r>
          </w:p>
        </w:tc>
        <w:tc>
          <w:tcPr/>
          <w:p>
            <w:pPr>
              <w:pStyle w:val="Compact"/>
            </w:pPr>
            <w:r>
              <w:t xml:space="preserve">กำกับ Internal Audit, ผลการตรวจ, การแก้ไขข้อบกพร่อง</w:t>
            </w:r>
          </w:p>
        </w:tc>
      </w:tr>
    </w:tbl>
    <w:p>
      <w:pPr>
        <w:pStyle w:val="BlockText"/>
      </w:pPr>
      <w:r>
        <w:rPr>
          <w:b/>
          <w:bCs/>
        </w:rPr>
        <w:t xml:space="preserve">RACI แบบย่อ:</w:t>
      </w:r>
      <w:r>
        <w:t xml:space="preserve"> </w:t>
      </w:r>
      <w:r>
        <w:t xml:space="preserve">CISO =</w:t>
      </w:r>
      <w:r>
        <w:t xml:space="preserve"> </w:t>
      </w:r>
      <w:r>
        <w:rPr>
          <w:b/>
          <w:bCs/>
        </w:rPr>
        <w:t xml:space="preserve">Accountable</w:t>
      </w:r>
      <w:r>
        <w:t xml:space="preserve"> </w:t>
      </w:r>
      <w:r>
        <w:t xml:space="preserve">สำหรับ IT Risk Framework · Head of Engineering/SRE =</w:t>
      </w:r>
      <w:r>
        <w:t xml:space="preserve"> </w:t>
      </w:r>
      <w:r>
        <w:rPr>
          <w:b/>
          <w:bCs/>
        </w:rPr>
        <w:t xml:space="preserve">Responsible</w:t>
      </w:r>
      <w:r>
        <w:t xml:space="preserve"> </w:t>
      </w:r>
      <w:r>
        <w:t xml:space="preserve">สำหรับการควบคุมทางเทคนิค · Risk Committee =</w:t>
      </w:r>
      <w:r>
        <w:t xml:space="preserve"> </w:t>
      </w:r>
      <w:r>
        <w:rPr>
          <w:b/>
          <w:bCs/>
        </w:rPr>
        <w:t xml:space="preserve">Consulted</w:t>
      </w:r>
      <w:r>
        <w:t xml:space="preserve"> </w:t>
      </w:r>
      <w:r>
        <w:t xml:space="preserve">· Board =</w:t>
      </w:r>
      <w:r>
        <w:t xml:space="preserve"> </w:t>
      </w:r>
      <w:r>
        <w:rPr>
          <w:b/>
          <w:bCs/>
        </w:rPr>
        <w:t xml:space="preserve">Informed/Approve</w:t>
      </w:r>
    </w:p>
    <w:p>
      <w:pPr>
        <w:pStyle w:val="BlockText"/>
      </w:pPr>
      <w:r>
        <w:rPr>
          <w:b/>
          <w:bCs/>
        </w:rPr>
        <w:t xml:space="preserve">[TODO/ข้อสมมติ]</w:t>
      </w:r>
      <w:r>
        <w:t xml:space="preserve"> </w:t>
      </w:r>
      <w:r>
        <w:t xml:space="preserve">ต้องแต่งตั้ง CISO และ DPO อย่างเป็นทางการ พร้อมมติคณะกรรมการ และระบุชื่อในเอกสารก่อนยื่น — ปัจจุบันเป็นบทบาทที่ออกแบบไว้ตามโครงสร้างในเอกสาร 04 (org chart)</w:t>
      </w:r>
    </w:p>
    <w:p>
      <w:r>
        <w:pict>
          <v:rect style="width:0;height:1.5pt" o:hralign="center" o:hrstd="t" o:hr="t"/>
        </w:pict>
      </w:r>
    </w:p>
    <w:bookmarkEnd w:id="413"/>
    <w:bookmarkEnd w:id="414"/>
    <w:bookmarkStart w:id="420" w:name="กระบวนการประเมนความเสยง-risk-assessment"/>
    <w:p>
      <w:pPr>
        <w:pStyle w:val="Heading2"/>
      </w:pPr>
      <w:r>
        <w:t xml:space="preserve">4. กระบวนการประเมินความเสี่ยง (Risk Assessment)</w:t>
      </w:r>
    </w:p>
    <w:bookmarkStart w:id="415" w:name="วงจรการประเมน"/>
    <w:p>
      <w:pPr>
        <w:pStyle w:val="Heading3"/>
      </w:pPr>
      <w:r>
        <w:t xml:space="preserve">4.1 วงจรการประเมิน</w:t>
      </w:r>
    </w:p>
    <w:p>
      <w:pPr>
        <w:pStyle w:val="Compact"/>
        <w:numPr>
          <w:ilvl w:val="0"/>
          <w:numId w:val="1172"/>
        </w:numPr>
      </w:pPr>
      <w:r>
        <w:rPr>
          <w:b/>
          <w:bCs/>
        </w:rPr>
        <w:t xml:space="preserve">Identify</w:t>
      </w:r>
      <w:r>
        <w:t xml:space="preserve"> </w:t>
      </w:r>
      <w:r>
        <w:t xml:space="preserve">— ระบุสินทรัพย์ (asset inventory + data classification) และภัยคุกคาม/ช่องโหว่</w:t>
      </w:r>
    </w:p>
    <w:p>
      <w:pPr>
        <w:pStyle w:val="Compact"/>
        <w:numPr>
          <w:ilvl w:val="0"/>
          <w:numId w:val="1172"/>
        </w:numPr>
      </w:pPr>
      <w:r>
        <w:rPr>
          <w:b/>
          <w:bCs/>
        </w:rPr>
        <w:t xml:space="preserve">Analyze</w:t>
      </w:r>
      <w:r>
        <w:t xml:space="preserve"> </w:t>
      </w:r>
      <w:r>
        <w:t xml:space="preserve">— ประเมิน</w:t>
      </w:r>
      <w:r>
        <w:t xml:space="preserve"> </w:t>
      </w:r>
      <w:r>
        <w:rPr>
          <w:b/>
          <w:bCs/>
        </w:rPr>
        <w:t xml:space="preserve">Likelihood × Impact</w:t>
      </w:r>
      <w:r>
        <w:t xml:space="preserve"> </w:t>
      </w:r>
      <w:r>
        <w:t xml:space="preserve">ได้ inherent risk</w:t>
      </w:r>
    </w:p>
    <w:p>
      <w:pPr>
        <w:pStyle w:val="Compact"/>
        <w:numPr>
          <w:ilvl w:val="0"/>
          <w:numId w:val="1172"/>
        </w:numPr>
      </w:pPr>
      <w:r>
        <w:rPr>
          <w:b/>
          <w:bCs/>
        </w:rPr>
        <w:t xml:space="preserve">Evaluate</w:t>
      </w:r>
      <w:r>
        <w:t xml:space="preserve"> </w:t>
      </w:r>
      <w:r>
        <w:t xml:space="preserve">— เทียบกับ risk appetite และ threshold</w:t>
      </w:r>
    </w:p>
    <w:p>
      <w:pPr>
        <w:pStyle w:val="Compact"/>
        <w:numPr>
          <w:ilvl w:val="0"/>
          <w:numId w:val="1172"/>
        </w:numPr>
      </w:pPr>
      <w:r>
        <w:rPr>
          <w:b/>
          <w:bCs/>
        </w:rPr>
        <w:t xml:space="preserve">Treat</w:t>
      </w:r>
      <w:r>
        <w:t xml:space="preserve"> </w:t>
      </w:r>
      <w:r>
        <w:t xml:space="preserve">— เลือกวิธีจัดการ (Mitigate / Transfer / Avoid / Accept)</w:t>
      </w:r>
    </w:p>
    <w:p>
      <w:pPr>
        <w:pStyle w:val="Compact"/>
        <w:numPr>
          <w:ilvl w:val="0"/>
          <w:numId w:val="1172"/>
        </w:numPr>
      </w:pPr>
      <w:r>
        <w:rPr>
          <w:b/>
          <w:bCs/>
        </w:rPr>
        <w:t xml:space="preserve">Monitor &amp; Review</w:t>
      </w:r>
      <w:r>
        <w:t xml:space="preserve"> </w:t>
      </w:r>
      <w:r>
        <w:t xml:space="preserve">— ติดตามผ่าน KRI และทบทวนตามรอบ</w:t>
      </w:r>
    </w:p>
    <w:p>
      <w:pPr>
        <w:pStyle w:val="FirstParagraph"/>
      </w:pPr>
      <w:r>
        <w:rPr>
          <w:b/>
          <w:bCs/>
        </w:rPr>
        <w:t xml:space="preserve">ความถี่:</w:t>
      </w:r>
      <w:r>
        <w:t xml:space="preserve"> </w:t>
      </w:r>
      <w:r>
        <w:t xml:space="preserve">ประเมินระดับองค์กร</w:t>
      </w:r>
      <w:r>
        <w:t xml:space="preserve"> </w:t>
      </w:r>
      <w:r>
        <w:rPr>
          <w:b/>
          <w:bCs/>
        </w:rPr>
        <w:t xml:space="preserve">อย่างน้อยปีละ 1 ครั้ง</w:t>
      </w:r>
      <w:r>
        <w:t xml:space="preserve"> </w:t>
      </w:r>
      <w:r>
        <w:t xml:space="preserve">และประเมินเฉพาะกิจ (event-driven) เมื่อ: มีการเปลี่ยนแปลงสถาปัตยกรรมสำคัญ, ก่อน go-live ฟีเจอร์ที่ขยับเงิน, มีเหตุการณ์ความมั่นคงปลอดภัยรุนแรง, หรือมีการเปลี่ยนผู้ให้บริการภายนอกใน CDE</w:t>
      </w:r>
    </w:p>
    <w:bookmarkEnd w:id="415"/>
    <w:bookmarkStart w:id="416" w:name="เกณฑโอกาสเกด-likelihood"/>
    <w:p>
      <w:pPr>
        <w:pStyle w:val="Heading3"/>
      </w:pPr>
      <w:r>
        <w:t xml:space="preserve">4.2 เกณฑ์โอกาสเกิด (Likelihood)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ระดับ</w:t>
            </w:r>
          </w:p>
        </w:tc>
        <w:tc>
          <w:tcPr/>
          <w:p>
            <w:pPr>
              <w:pStyle w:val="Compact"/>
            </w:pPr>
            <w:r>
              <w:t xml:space="preserve">คำอธิบาย</w:t>
            </w:r>
          </w:p>
        </w:tc>
        <w:tc>
          <w:tcPr/>
          <w:p>
            <w:pPr>
              <w:pStyle w:val="Compact"/>
            </w:pPr>
            <w:r>
              <w:t xml:space="preserve">ความถี่โดยประมาณ</w:t>
            </w:r>
          </w:p>
        </w:tc>
      </w:tr>
      <w:tr>
        <w:tc>
          <w:tcPr/>
          <w:p>
            <w:pPr>
              <w:pStyle w:val="Compact"/>
            </w:pPr>
            <w:r>
              <w:t xml:space="preserve">5 – Almost Certain</w:t>
            </w:r>
          </w:p>
        </w:tc>
        <w:tc>
          <w:tcPr/>
          <w:p>
            <w:pPr>
              <w:pStyle w:val="Compact"/>
            </w:pPr>
            <w:r>
              <w:t xml:space="preserve">คาดว่าเกิดได้ตลอด</w:t>
            </w:r>
          </w:p>
        </w:tc>
        <w:tc>
          <w:tcPr/>
          <w:p>
            <w:pPr>
              <w:pStyle w:val="Compact"/>
            </w:pPr>
            <w:r>
              <w:t xml:space="preserve">&gt; 1 ครั้ง/เดือน</w:t>
            </w:r>
          </w:p>
        </w:tc>
      </w:tr>
      <w:tr>
        <w:tc>
          <w:tcPr/>
          <w:p>
            <w:pPr>
              <w:pStyle w:val="Compact"/>
            </w:pPr>
            <w:r>
              <w:t xml:space="preserve">4 – Likely</w:t>
            </w:r>
          </w:p>
        </w:tc>
        <w:tc>
          <w:tcPr/>
          <w:p>
            <w:pPr>
              <w:pStyle w:val="Compact"/>
            </w:pPr>
            <w:r>
              <w:t xml:space="preserve">น่าจะเกิด</w:t>
            </w:r>
          </w:p>
        </w:tc>
        <w:tc>
          <w:tcPr/>
          <w:p>
            <w:pPr>
              <w:pStyle w:val="Compact"/>
            </w:pPr>
            <w:r>
              <w:t xml:space="preserve">1 ครั้ง/ไตรมาส</w:t>
            </w:r>
          </w:p>
        </w:tc>
      </w:tr>
      <w:tr>
        <w:tc>
          <w:tcPr/>
          <w:p>
            <w:pPr>
              <w:pStyle w:val="Compact"/>
            </w:pPr>
            <w:r>
              <w:t xml:space="preserve">3 – Possible</w:t>
            </w:r>
          </w:p>
        </w:tc>
        <w:tc>
          <w:tcPr/>
          <w:p>
            <w:pPr>
              <w:pStyle w:val="Compact"/>
            </w:pPr>
            <w:r>
              <w:t xml:space="preserve">อาจเกิด</w:t>
            </w:r>
          </w:p>
        </w:tc>
        <w:tc>
          <w:tcPr/>
          <w:p>
            <w:pPr>
              <w:pStyle w:val="Compact"/>
            </w:pPr>
            <w:r>
              <w:t xml:space="preserve">1 ครั้ง/ปี</w:t>
            </w:r>
          </w:p>
        </w:tc>
      </w:tr>
      <w:tr>
        <w:tc>
          <w:tcPr/>
          <w:p>
            <w:pPr>
              <w:pStyle w:val="Compact"/>
            </w:pPr>
            <w:r>
              <w:t xml:space="preserve">2 – Unlikely</w:t>
            </w:r>
          </w:p>
        </w:tc>
        <w:tc>
          <w:tcPr/>
          <w:p>
            <w:pPr>
              <w:pStyle w:val="Compact"/>
            </w:pPr>
            <w:r>
              <w:t xml:space="preserve">ไม่น่าเกิด</w:t>
            </w:r>
          </w:p>
        </w:tc>
        <w:tc>
          <w:tcPr/>
          <w:p>
            <w:pPr>
              <w:pStyle w:val="Compact"/>
            </w:pPr>
            <w:r>
              <w:t xml:space="preserve">1 ครั้ง/1-3 ปี</w:t>
            </w:r>
          </w:p>
        </w:tc>
      </w:tr>
      <w:tr>
        <w:tc>
          <w:tcPr/>
          <w:p>
            <w:pPr>
              <w:pStyle w:val="Compact"/>
            </w:pPr>
            <w:r>
              <w:t xml:space="preserve">1 – Rare</w:t>
            </w:r>
          </w:p>
        </w:tc>
        <w:tc>
          <w:tcPr/>
          <w:p>
            <w:pPr>
              <w:pStyle w:val="Compact"/>
            </w:pPr>
            <w:r>
              <w:t xml:space="preserve">เกิดยากมาก</w:t>
            </w:r>
          </w:p>
        </w:tc>
        <w:tc>
          <w:tcPr/>
          <w:p>
            <w:pPr>
              <w:pStyle w:val="Compact"/>
            </w:pPr>
            <w:r>
              <w:t xml:space="preserve">&lt; 1 ครั้ง/3 ปี</w:t>
            </w:r>
          </w:p>
        </w:tc>
      </w:tr>
    </w:tbl>
    <w:bookmarkEnd w:id="416"/>
    <w:bookmarkStart w:id="417" w:name="เกณฑผลกระทบ-impact"/>
    <w:p>
      <w:pPr>
        <w:pStyle w:val="Heading3"/>
      </w:pPr>
      <w:r>
        <w:t xml:space="preserve">4.3 เกณฑ์ผลกระทบ (Impact)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ระดับ</w:t>
            </w:r>
          </w:p>
        </w:tc>
        <w:tc>
          <w:tcPr/>
          <w:p>
            <w:pPr>
              <w:pStyle w:val="Compact"/>
            </w:pPr>
            <w:r>
              <w:t xml:space="preserve">การเงิน</w:t>
            </w:r>
          </w:p>
        </w:tc>
        <w:tc>
          <w:tcPr/>
          <w:p>
            <w:pPr>
              <w:pStyle w:val="Compact"/>
            </w:pPr>
            <w:r>
              <w:t xml:space="preserve">การดำเนินงาน</w:t>
            </w:r>
          </w:p>
        </w:tc>
        <w:tc>
          <w:tcPr/>
          <w:p>
            <w:pPr>
              <w:pStyle w:val="Compact"/>
            </w:pPr>
            <w:r>
              <w:t xml:space="preserve">กฎเกณฑ์/ชื่อเสียง</w:t>
            </w:r>
          </w:p>
        </w:tc>
        <w:tc>
          <w:tcPr/>
          <w:p>
            <w:pPr>
              <w:pStyle w:val="Compact"/>
            </w:pPr>
            <w:r>
              <w:t xml:space="preserve">ข้อมูล</w:t>
            </w:r>
          </w:p>
        </w:tc>
      </w:tr>
      <w:tr>
        <w:tc>
          <w:tcPr/>
          <w:p>
            <w:pPr>
              <w:pStyle w:val="Compact"/>
            </w:pPr>
            <w:r>
              <w:t xml:space="preserve">5 – Critical</w:t>
            </w:r>
          </w:p>
        </w:tc>
        <w:tc>
          <w:tcPr/>
          <w:p>
            <w:pPr>
              <w:pStyle w:val="Compact"/>
            </w:pPr>
            <w:r>
              <w:t xml:space="preserve">&gt; 20 ล้านบาท</w:t>
            </w:r>
          </w:p>
        </w:tc>
        <w:tc>
          <w:tcPr/>
          <w:p>
            <w:pPr>
              <w:pStyle w:val="Compact"/>
            </w:pPr>
            <w:r>
              <w:t xml:space="preserve">หยุดบริการ &gt; 4 ชม.</w:t>
            </w:r>
          </w:p>
        </w:tc>
        <w:tc>
          <w:tcPr/>
          <w:p>
            <w:pPr>
              <w:pStyle w:val="Compact"/>
            </w:pPr>
            <w:r>
              <w:t xml:space="preserve">เพิกถอนใบอนุญาต/PCI, ข่าวเชิงลบวงกว้าง</w:t>
            </w:r>
          </w:p>
        </w:tc>
        <w:tc>
          <w:tcPr/>
          <w:p>
            <w:pPr>
              <w:pStyle w:val="Compact"/>
            </w:pPr>
            <w:r>
              <w:t xml:space="preserve">ข้อมูลบัตร/PII รั่วไหลจำนวนมาก</w:t>
            </w:r>
          </w:p>
        </w:tc>
      </w:tr>
      <w:tr>
        <w:tc>
          <w:tcPr/>
          <w:p>
            <w:pPr>
              <w:pStyle w:val="Compact"/>
            </w:pPr>
            <w:r>
              <w:t xml:space="preserve">4 – Major</w:t>
            </w:r>
          </w:p>
        </w:tc>
        <w:tc>
          <w:tcPr/>
          <w:p>
            <w:pPr>
              <w:pStyle w:val="Compact"/>
            </w:pPr>
            <w:r>
              <w:t xml:space="preserve">5–20 ล้านบาท</w:t>
            </w:r>
          </w:p>
        </w:tc>
        <w:tc>
          <w:tcPr/>
          <w:p>
            <w:pPr>
              <w:pStyle w:val="Compact"/>
            </w:pPr>
            <w:r>
              <w:t xml:space="preserve">หยุด 1–4 ชม.</w:t>
            </w:r>
          </w:p>
        </w:tc>
        <w:tc>
          <w:tcPr/>
          <w:p>
            <w:pPr>
              <w:pStyle w:val="Compact"/>
            </w:pPr>
            <w:r>
              <w:t xml:space="preserve">ธปท./PDPC สั่งการ, ปรับ</w:t>
            </w:r>
          </w:p>
        </w:tc>
        <w:tc>
          <w:tcPr/>
          <w:p>
            <w:pPr>
              <w:pStyle w:val="Compact"/>
            </w:pPr>
            <w:r>
              <w:t xml:space="preserve">รั่วไหลจำกัด</w:t>
            </w:r>
          </w:p>
        </w:tc>
      </w:tr>
      <w:tr>
        <w:tc>
          <w:tcPr/>
          <w:p>
            <w:pPr>
              <w:pStyle w:val="Compact"/>
            </w:pPr>
            <w:r>
              <w:t xml:space="preserve">3 – Moderate</w:t>
            </w:r>
          </w:p>
        </w:tc>
        <w:tc>
          <w:tcPr/>
          <w:p>
            <w:pPr>
              <w:pStyle w:val="Compact"/>
            </w:pPr>
            <w:r>
              <w:t xml:space="preserve">1–5 ล้านบาท</w:t>
            </w:r>
          </w:p>
        </w:tc>
        <w:tc>
          <w:tcPr/>
          <w:p>
            <w:pPr>
              <w:pStyle w:val="Compact"/>
            </w:pPr>
            <w:r>
              <w:t xml:space="preserve">เสื่อมประสิทธิภาพ</w:t>
            </w:r>
          </w:p>
        </w:tc>
        <w:tc>
          <w:tcPr/>
          <w:p>
            <w:pPr>
              <w:pStyle w:val="Compact"/>
            </w:pPr>
            <w:r>
              <w:t xml:space="preserve">ต้องรายงานหน่วยงานกำกับ</w:t>
            </w:r>
          </w:p>
        </w:tc>
        <w:tc>
          <w:tcPr/>
          <w:p>
            <w:pPr>
              <w:pStyle w:val="Compact"/>
            </w:pPr>
            <w:r>
              <w:t xml:space="preserve">เข้าถึงโดยไม่ได้รับอนุญาต (contained)</w:t>
            </w:r>
          </w:p>
        </w:tc>
      </w:tr>
      <w:tr>
        <w:tc>
          <w:tcPr/>
          <w:p>
            <w:pPr>
              <w:pStyle w:val="Compact"/>
            </w:pPr>
            <w:r>
              <w:t xml:space="preserve">2 – Minor</w:t>
            </w:r>
          </w:p>
        </w:tc>
        <w:tc>
          <w:tcPr/>
          <w:p>
            <w:pPr>
              <w:pStyle w:val="Compact"/>
            </w:pPr>
            <w:r>
              <w:t xml:space="preserve">0.1–1 ล้านบาท</w:t>
            </w:r>
          </w:p>
        </w:tc>
        <w:tc>
          <w:tcPr/>
          <w:p>
            <w:pPr>
              <w:pStyle w:val="Compact"/>
            </w:pPr>
            <w:r>
              <w:t xml:space="preserve">กระทบผู้ใช้บางส่วน</w:t>
            </w:r>
          </w:p>
        </w:tc>
        <w:tc>
          <w:tcPr/>
          <w:p>
            <w:pPr>
              <w:pStyle w:val="Compact"/>
            </w:pPr>
            <w:r>
              <w:t xml:space="preserve">ข้อสังเกตภายใน</w:t>
            </w:r>
          </w:p>
        </w:tc>
        <w:tc>
          <w:tcPr/>
          <w:p>
            <w:pPr>
              <w:pStyle w:val="Compact"/>
            </w:pPr>
            <w:r>
              <w:t xml:space="preserve">เกือบเกิด (near miss)</w:t>
            </w:r>
          </w:p>
        </w:tc>
      </w:tr>
      <w:tr>
        <w:tc>
          <w:tcPr/>
          <w:p>
            <w:pPr>
              <w:pStyle w:val="Compact"/>
            </w:pPr>
            <w:r>
              <w:t xml:space="preserve">1 – Insignificant</w:t>
            </w:r>
          </w:p>
        </w:tc>
        <w:tc>
          <w:tcPr/>
          <w:p>
            <w:pPr>
              <w:pStyle w:val="Compact"/>
            </w:pPr>
            <w:r>
              <w:t xml:space="preserve">&lt; 0.1 ล้านบาท</w:t>
            </w:r>
          </w:p>
        </w:tc>
        <w:tc>
          <w:tcPr/>
          <w:p>
            <w:pPr>
              <w:pStyle w:val="Compact"/>
            </w:pPr>
            <w:r>
              <w:t xml:space="preserve">แทบไม่กระทบ</w:t>
            </w:r>
          </w:p>
        </w:tc>
        <w:tc>
          <w:tcPr/>
          <w:p>
            <w:pPr>
              <w:pStyle w:val="Compact"/>
            </w:pPr>
            <w:r>
              <w:t xml:space="preserve">ไม่มี</w:t>
            </w:r>
          </w:p>
        </w:tc>
        <w:tc>
          <w:tcPr/>
          <w:p>
            <w:pPr>
              <w:pStyle w:val="Compact"/>
            </w:pPr>
            <w:r>
              <w:t xml:space="preserve">ไม่มี</w:t>
            </w:r>
          </w:p>
        </w:tc>
      </w:tr>
    </w:tbl>
    <w:bookmarkEnd w:id="417"/>
    <w:bookmarkStart w:id="418" w:name="risk-matrix-55-และระดบความเสยง"/>
    <w:p>
      <w:pPr>
        <w:pStyle w:val="Heading3"/>
      </w:pPr>
      <w:r>
        <w:t xml:space="preserve">4.4 Risk Matrix (5×5) และระดับความเสี่ยง</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Likelihood  Impact</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rPr>
                <w:b/>
                <w:bCs/>
              </w:rPr>
              <w:t xml:space="preserve">5</w:t>
            </w:r>
          </w:p>
        </w:tc>
        <w:tc>
          <w:tcPr/>
          <w:p>
            <w:pPr>
              <w:pStyle w:val="Compact"/>
            </w:pPr>
            <w:r>
              <w:t xml:space="preserve">M</w:t>
            </w:r>
          </w:p>
        </w:tc>
        <w:tc>
          <w:tcPr/>
          <w:p>
            <w:pPr>
              <w:pStyle w:val="Compact"/>
            </w:pPr>
            <w:r>
              <w:t xml:space="preserve">H</w:t>
            </w:r>
          </w:p>
        </w:tc>
        <w:tc>
          <w:tcPr/>
          <w:p>
            <w:pPr>
              <w:pStyle w:val="Compact"/>
            </w:pPr>
            <w:r>
              <w:t xml:space="preserve">H</w:t>
            </w:r>
          </w:p>
        </w:tc>
        <w:tc>
          <w:tcPr/>
          <w:p>
            <w:pPr>
              <w:pStyle w:val="Compact"/>
            </w:pPr>
            <w:r>
              <w:t xml:space="preserve">E</w:t>
            </w:r>
          </w:p>
        </w:tc>
        <w:tc>
          <w:tcPr/>
          <w:p>
            <w:pPr>
              <w:pStyle w:val="Compact"/>
            </w:pPr>
            <w:r>
              <w:t xml:space="preserve">E</w:t>
            </w:r>
          </w:p>
        </w:tc>
      </w:tr>
      <w:tr>
        <w:tc>
          <w:tcPr/>
          <w:p>
            <w:pPr>
              <w:pStyle w:val="Compact"/>
            </w:pPr>
            <w:r>
              <w:rPr>
                <w:b/>
                <w:bCs/>
              </w:rPr>
              <w:t xml:space="preserve">4</w:t>
            </w:r>
          </w:p>
        </w:tc>
        <w:tc>
          <w:tcPr/>
          <w:p>
            <w:pPr>
              <w:pStyle w:val="Compact"/>
            </w:pPr>
            <w:r>
              <w:t xml:space="preserve">M</w:t>
            </w:r>
          </w:p>
        </w:tc>
        <w:tc>
          <w:tcPr/>
          <w:p>
            <w:pPr>
              <w:pStyle w:val="Compact"/>
            </w:pPr>
            <w:r>
              <w:t xml:space="preserve">M</w:t>
            </w:r>
          </w:p>
        </w:tc>
        <w:tc>
          <w:tcPr/>
          <w:p>
            <w:pPr>
              <w:pStyle w:val="Compact"/>
            </w:pPr>
            <w:r>
              <w:t xml:space="preserve">H</w:t>
            </w:r>
          </w:p>
        </w:tc>
        <w:tc>
          <w:tcPr/>
          <w:p>
            <w:pPr>
              <w:pStyle w:val="Compact"/>
            </w:pPr>
            <w:r>
              <w:t xml:space="preserve">H</w:t>
            </w:r>
          </w:p>
        </w:tc>
        <w:tc>
          <w:tcPr/>
          <w:p>
            <w:pPr>
              <w:pStyle w:val="Compact"/>
            </w:pPr>
            <w:r>
              <w:t xml:space="preserve">E</w:t>
            </w:r>
          </w:p>
        </w:tc>
      </w:tr>
      <w:tr>
        <w:tc>
          <w:tcPr/>
          <w:p>
            <w:pPr>
              <w:pStyle w:val="Compact"/>
            </w:pPr>
            <w:r>
              <w:rPr>
                <w:b/>
                <w:bCs/>
              </w:rPr>
              <w:t xml:space="preserve">3</w:t>
            </w:r>
          </w:p>
        </w:tc>
        <w:tc>
          <w:tcPr/>
          <w:p>
            <w:pPr>
              <w:pStyle w:val="Compact"/>
            </w:pPr>
            <w:r>
              <w:t xml:space="preserve">L</w:t>
            </w:r>
          </w:p>
        </w:tc>
        <w:tc>
          <w:tcPr/>
          <w:p>
            <w:pPr>
              <w:pStyle w:val="Compact"/>
            </w:pPr>
            <w:r>
              <w:t xml:space="preserve">M</w:t>
            </w:r>
          </w:p>
        </w:tc>
        <w:tc>
          <w:tcPr/>
          <w:p>
            <w:pPr>
              <w:pStyle w:val="Compact"/>
            </w:pPr>
            <w:r>
              <w:t xml:space="preserve">M</w:t>
            </w:r>
          </w:p>
        </w:tc>
        <w:tc>
          <w:tcPr/>
          <w:p>
            <w:pPr>
              <w:pStyle w:val="Compact"/>
            </w:pPr>
            <w:r>
              <w:t xml:space="preserve">H</w:t>
            </w:r>
          </w:p>
        </w:tc>
        <w:tc>
          <w:tcPr/>
          <w:p>
            <w:pPr>
              <w:pStyle w:val="Compact"/>
            </w:pPr>
            <w:r>
              <w:t xml:space="preserve">H</w:t>
            </w:r>
          </w:p>
        </w:tc>
      </w:tr>
      <w:tr>
        <w:tc>
          <w:tcPr/>
          <w:p>
            <w:pPr>
              <w:pStyle w:val="Compact"/>
            </w:pPr>
            <w:r>
              <w:rPr>
                <w:b/>
                <w:bCs/>
              </w:rPr>
              <w:t xml:space="preserve">2</w:t>
            </w:r>
          </w:p>
        </w:tc>
        <w:tc>
          <w:tcPr/>
          <w:p>
            <w:pPr>
              <w:pStyle w:val="Compact"/>
            </w:pPr>
            <w:r>
              <w:t xml:space="preserve">L</w:t>
            </w:r>
          </w:p>
        </w:tc>
        <w:tc>
          <w:tcPr/>
          <w:p>
            <w:pPr>
              <w:pStyle w:val="Compact"/>
            </w:pPr>
            <w:r>
              <w:t xml:space="preserve">L</w:t>
            </w:r>
          </w:p>
        </w:tc>
        <w:tc>
          <w:tcPr/>
          <w:p>
            <w:pPr>
              <w:pStyle w:val="Compact"/>
            </w:pPr>
            <w:r>
              <w:t xml:space="preserve">M</w:t>
            </w:r>
          </w:p>
        </w:tc>
        <w:tc>
          <w:tcPr/>
          <w:p>
            <w:pPr>
              <w:pStyle w:val="Compact"/>
            </w:pPr>
            <w:r>
              <w:t xml:space="preserve">M</w:t>
            </w:r>
          </w:p>
        </w:tc>
        <w:tc>
          <w:tcPr/>
          <w:p>
            <w:pPr>
              <w:pStyle w:val="Compact"/>
            </w:pPr>
            <w:r>
              <w:t xml:space="preserve">H</w:t>
            </w:r>
          </w:p>
        </w:tc>
      </w:tr>
      <w:tr>
        <w:tc>
          <w:tcPr/>
          <w:p>
            <w:pPr>
              <w:pStyle w:val="Compact"/>
            </w:pPr>
            <w:r>
              <w:rPr>
                <w:b/>
                <w:bCs/>
              </w:rPr>
              <w:t xml:space="preserve">1</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M</w:t>
            </w:r>
          </w:p>
        </w:tc>
        <w:tc>
          <w:tcPr/>
          <w:p>
            <w:pPr>
              <w:pStyle w:val="Compact"/>
            </w:pPr>
            <w:r>
              <w:t xml:space="preserve">M</w:t>
            </w:r>
          </w:p>
        </w:tc>
      </w:tr>
    </w:tbl>
    <w:p>
      <w:pPr>
        <w:pStyle w:val="BodyText"/>
      </w:pPr>
      <w:r>
        <w:rPr>
          <w:b/>
          <w:bCs/>
        </w:rPr>
        <w:t xml:space="preserve">เกณฑ์การจัดการตามระดับ (Risk Appetite):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ระดับ</w:t>
            </w:r>
          </w:p>
        </w:tc>
        <w:tc>
          <w:tcPr/>
          <w:p>
            <w:pPr>
              <w:pStyle w:val="Compact"/>
            </w:pPr>
            <w:r>
              <w:t xml:space="preserve">ชื่อ</w:t>
            </w:r>
          </w:p>
        </w:tc>
        <w:tc>
          <w:tcPr/>
          <w:p>
            <w:pPr>
              <w:pStyle w:val="Compact"/>
            </w:pPr>
            <w:r>
              <w:t xml:space="preserve">การอนุมัติ/จัดการ</w:t>
            </w:r>
          </w:p>
        </w:tc>
        <w:tc>
          <w:tcPr/>
          <w:p>
            <w:pPr>
              <w:pStyle w:val="Compact"/>
            </w:pPr>
            <w:r>
              <w:t xml:space="preserve">SLA แก้ไข</w:t>
            </w:r>
          </w:p>
        </w:tc>
      </w:tr>
      <w:tr>
        <w:tc>
          <w:tcPr/>
          <w:p>
            <w:pPr>
              <w:pStyle w:val="Compact"/>
            </w:pPr>
            <w:r>
              <w:rPr>
                <w:b/>
                <w:bCs/>
              </w:rPr>
              <w:t xml:space="preserve">E</w:t>
            </w:r>
          </w:p>
        </w:tc>
        <w:tc>
          <w:tcPr/>
          <w:p>
            <w:pPr>
              <w:pStyle w:val="Compact"/>
            </w:pPr>
            <w:r>
              <w:t xml:space="preserve">Extreme</w:t>
            </w:r>
          </w:p>
        </w:tc>
        <w:tc>
          <w:tcPr/>
          <w:p>
            <w:pPr>
              <w:pStyle w:val="Compact"/>
            </w:pPr>
            <w:r>
              <w:t xml:space="preserve">ต้องแจ้ง Board/Risk Committee ทันที, จัดการทันที</w:t>
            </w:r>
          </w:p>
        </w:tc>
        <w:tc>
          <w:tcPr/>
          <w:p>
            <w:pPr>
              <w:pStyle w:val="Compact"/>
            </w:pPr>
            <w:r>
              <w:t xml:space="preserve">ทันที / ≤ 24 ชม.</w:t>
            </w:r>
          </w:p>
        </w:tc>
      </w:tr>
      <w:tr>
        <w:tc>
          <w:tcPr/>
          <w:p>
            <w:pPr>
              <w:pStyle w:val="Compact"/>
            </w:pPr>
            <w:r>
              <w:rPr>
                <w:b/>
                <w:bCs/>
              </w:rPr>
              <w:t xml:space="preserve">H</w:t>
            </w:r>
          </w:p>
        </w:tc>
        <w:tc>
          <w:tcPr/>
          <w:p>
            <w:pPr>
              <w:pStyle w:val="Compact"/>
            </w:pPr>
            <w:r>
              <w:t xml:space="preserve">High</w:t>
            </w:r>
          </w:p>
        </w:tc>
        <w:tc>
          <w:tcPr/>
          <w:p>
            <w:pPr>
              <w:pStyle w:val="Compact"/>
            </w:pPr>
            <w:r>
              <w:t xml:space="preserve">อนุมัติแผนโดย CISO + Risk Committee</w:t>
            </w:r>
          </w:p>
        </w:tc>
        <w:tc>
          <w:tcPr/>
          <w:p>
            <w:pPr>
              <w:pStyle w:val="Compact"/>
            </w:pPr>
            <w:r>
              <w:t xml:space="preserve">≤ 30 วัน</w:t>
            </w:r>
          </w:p>
        </w:tc>
      </w:tr>
      <w:tr>
        <w:tc>
          <w:tcPr/>
          <w:p>
            <w:pPr>
              <w:pStyle w:val="Compact"/>
            </w:pPr>
            <w:r>
              <w:rPr>
                <w:b/>
                <w:bCs/>
              </w:rPr>
              <w:t xml:space="preserve">M</w:t>
            </w:r>
          </w:p>
        </w:tc>
        <w:tc>
          <w:tcPr/>
          <w:p>
            <w:pPr>
              <w:pStyle w:val="Compact"/>
            </w:pPr>
            <w:r>
              <w:t xml:space="preserve">Medium</w:t>
            </w:r>
          </w:p>
        </w:tc>
        <w:tc>
          <w:tcPr/>
          <w:p>
            <w:pPr>
              <w:pStyle w:val="Compact"/>
            </w:pPr>
            <w:r>
              <w:t xml:space="preserve">เจ้าของความเสี่ยงจัดการ, ติดตามโดย IT Risk Committee</w:t>
            </w:r>
          </w:p>
        </w:tc>
        <w:tc>
          <w:tcPr/>
          <w:p>
            <w:pPr>
              <w:pStyle w:val="Compact"/>
            </w:pPr>
            <w:r>
              <w:t xml:space="preserve">≤ 90 วัน</w:t>
            </w:r>
          </w:p>
        </w:tc>
      </w:tr>
      <w:tr>
        <w:tc>
          <w:tcPr/>
          <w:p>
            <w:pPr>
              <w:pStyle w:val="Compact"/>
            </w:pPr>
            <w:r>
              <w:rPr>
                <w:b/>
                <w:bCs/>
              </w:rPr>
              <w:t xml:space="preserve">L</w:t>
            </w:r>
          </w:p>
        </w:tc>
        <w:tc>
          <w:tcPr/>
          <w:p>
            <w:pPr>
              <w:pStyle w:val="Compact"/>
            </w:pPr>
            <w:r>
              <w:t xml:space="preserve">Low</w:t>
            </w:r>
          </w:p>
        </w:tc>
        <w:tc>
          <w:tcPr/>
          <w:p>
            <w:pPr>
              <w:pStyle w:val="Compact"/>
            </w:pPr>
            <w:r>
              <w:t xml:space="preserve">ยอมรับได้ ทบทวนตามรอบปกติ</w:t>
            </w:r>
          </w:p>
        </w:tc>
        <w:tc>
          <w:tcPr/>
          <w:p>
            <w:pPr>
              <w:pStyle w:val="Compact"/>
            </w:pPr>
            <w:r>
              <w:t xml:space="preserve">รอบประเมินถัดไป</w:t>
            </w:r>
          </w:p>
        </w:tc>
      </w:tr>
    </w:tbl>
    <w:p>
      <w:pPr>
        <w:pStyle w:val="BlockText"/>
      </w:pPr>
      <w:r>
        <w:rPr>
          <w:b/>
          <w:bCs/>
        </w:rPr>
        <w:t xml:space="preserve">Risk Appetite Statement:</w:t>
      </w:r>
      <w:r>
        <w:t xml:space="preserve"> </w:t>
      </w:r>
      <w:r>
        <w:t xml:space="preserve">[บริษัท / Company] มี</w:t>
      </w:r>
      <w:r>
        <w:t xml:space="preserve"> </w:t>
      </w:r>
      <w:r>
        <w:rPr>
          <w:b/>
          <w:bCs/>
        </w:rPr>
        <w:t xml:space="preserve">zero tolerance</w:t>
      </w:r>
      <w:r>
        <w:t xml:space="preserve"> </w:t>
      </w:r>
      <w:r>
        <w:t xml:space="preserve">ต่อการจัดเก็บ full PAN/CVV/PIN นอก vault, ต่อการเข้าถึง CDE โดยไม่มี MFA, และต่อการไม่รายงานเหตุละเมิดข้อมูลตามกำหนดเวลาของกฎหมาย</w:t>
      </w:r>
    </w:p>
    <w:bookmarkEnd w:id="418"/>
    <w:bookmarkStart w:id="419" w:name="X6b1fa1125c13b78d32d08639444ca37f96984d0"/>
    <w:p>
      <w:pPr>
        <w:pStyle w:val="Heading3"/>
      </w:pPr>
      <w:r>
        <w:t xml:space="preserve">4.5 ทะเบียนความเสี่ยง (Risk Register) — ตัวอย่างรายการหลัก</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ความเสี่ยง</w:t>
            </w:r>
          </w:p>
        </w:tc>
        <w:tc>
          <w:tcPr/>
          <w:p>
            <w:pPr>
              <w:pStyle w:val="Compact"/>
            </w:pPr>
            <w:r>
              <w:t xml:space="preserve">หมวด</w:t>
            </w:r>
          </w:p>
        </w:tc>
        <w:tc>
          <w:tcPr/>
          <w:p>
            <w:pPr>
              <w:pStyle w:val="Compact"/>
            </w:pPr>
            <w:r>
              <w:t xml:space="preserve">Inherent</w:t>
            </w:r>
          </w:p>
        </w:tc>
        <w:tc>
          <w:tcPr/>
          <w:p>
            <w:pPr>
              <w:pStyle w:val="Compact"/>
            </w:pPr>
            <w:r>
              <w:t xml:space="preserve">การควบคุมหลัก</w:t>
            </w:r>
          </w:p>
        </w:tc>
        <w:tc>
          <w:tcPr/>
          <w:p>
            <w:pPr>
              <w:pStyle w:val="Compact"/>
            </w:pPr>
            <w:r>
              <w:t xml:space="preserve">Residual</w:t>
            </w:r>
          </w:p>
        </w:tc>
        <w:tc>
          <w:tcPr/>
          <w:p>
            <w:pPr>
              <w:pStyle w:val="Compact"/>
            </w:pPr>
            <w:r>
              <w:t xml:space="preserve">เจ้าของ</w:t>
            </w:r>
          </w:p>
        </w:tc>
      </w:tr>
      <w:tr>
        <w:tc>
          <w:tcPr/>
          <w:p>
            <w:pPr>
              <w:pStyle w:val="Compact"/>
            </w:pPr>
            <w:r>
              <w:t xml:space="preserve">R-01</w:t>
            </w:r>
          </w:p>
        </w:tc>
        <w:tc>
          <w:tcPr/>
          <w:p>
            <w:pPr>
              <w:pStyle w:val="Compact"/>
            </w:pPr>
            <w:r>
              <w:t xml:space="preserve">ข้อมูลบัตร (CHD) รั่วไหลจาก CDE</w:t>
            </w:r>
          </w:p>
        </w:tc>
        <w:tc>
          <w:tcPr/>
          <w:p>
            <w:pPr>
              <w:pStyle w:val="Compact"/>
            </w:pPr>
            <w:r>
              <w:t xml:space="preserve">Cyber/Data</w:t>
            </w:r>
          </w:p>
        </w:tc>
        <w:tc>
          <w:tcPr/>
          <w:p>
            <w:pPr>
              <w:pStyle w:val="Compact"/>
            </w:pPr>
            <w:r>
              <w:t xml:space="preserve">E (5×4)</w:t>
            </w:r>
          </w:p>
        </w:tc>
        <w:tc>
          <w:tcPr/>
          <w:p>
            <w:pPr>
              <w:pStyle w:val="Compact"/>
            </w:pPr>
            <w:r>
              <w:t xml:space="preserve">Tokenization vault แยก segment, envelope encryption, HSM, DLP, PCI Req 3/4</w:t>
            </w:r>
          </w:p>
        </w:tc>
        <w:tc>
          <w:tcPr/>
          <w:p>
            <w:pPr>
              <w:pStyle w:val="Compact"/>
            </w:pPr>
            <w:r>
              <w:t xml:space="preserve">H</w:t>
            </w:r>
          </w:p>
        </w:tc>
        <w:tc>
          <w:tcPr/>
          <w:p>
            <w:pPr>
              <w:pStyle w:val="Compact"/>
            </w:pPr>
            <w:r>
              <w:t xml:space="preserve">CISO</w:t>
            </w:r>
          </w:p>
        </w:tc>
      </w:tr>
      <w:tr>
        <w:tc>
          <w:tcPr/>
          <w:p>
            <w:pPr>
              <w:pStyle w:val="Compact"/>
            </w:pPr>
            <w:r>
              <w:t xml:space="preserve">R-02</w:t>
            </w:r>
          </w:p>
        </w:tc>
        <w:tc>
          <w:tcPr/>
          <w:p>
            <w:pPr>
              <w:pStyle w:val="Compact"/>
            </w:pPr>
            <w:r>
              <w:t xml:space="preserve">บัญชี admin ถูกยึด (account takeover)</w:t>
            </w:r>
          </w:p>
        </w:tc>
        <w:tc>
          <w:tcPr/>
          <w:p>
            <w:pPr>
              <w:pStyle w:val="Compact"/>
            </w:pPr>
            <w:r>
              <w:t xml:space="preserve">Access</w:t>
            </w:r>
          </w:p>
        </w:tc>
        <w:tc>
          <w:tcPr/>
          <w:p>
            <w:pPr>
              <w:pStyle w:val="Compact"/>
            </w:pPr>
            <w:r>
              <w:t xml:space="preserve">H (4×4)</w:t>
            </w:r>
          </w:p>
        </w:tc>
        <w:tc>
          <w:tcPr/>
          <w:p>
            <w:pPr>
              <w:pStyle w:val="Compact"/>
            </w:pPr>
            <w:r>
              <w:t xml:space="preserve">MFA, RBAC least-privilege, PAM, session timeout (PCI Req 7/8)</w:t>
            </w:r>
          </w:p>
        </w:tc>
        <w:tc>
          <w:tcPr/>
          <w:p>
            <w:pPr>
              <w:pStyle w:val="Compact"/>
            </w:pPr>
            <w:r>
              <w:t xml:space="preserve">M</w:t>
            </w:r>
          </w:p>
        </w:tc>
        <w:tc>
          <w:tcPr/>
          <w:p>
            <w:pPr>
              <w:pStyle w:val="Compact"/>
            </w:pPr>
            <w:r>
              <w:t xml:space="preserve">Head of SRE</w:t>
            </w:r>
          </w:p>
        </w:tc>
      </w:tr>
      <w:tr>
        <w:tc>
          <w:tcPr/>
          <w:p>
            <w:pPr>
              <w:pStyle w:val="Compact"/>
            </w:pPr>
            <w:r>
              <w:t xml:space="preserve">R-03</w:t>
            </w:r>
          </w:p>
        </w:tc>
        <w:tc>
          <w:tcPr/>
          <w:p>
            <w:pPr>
              <w:pStyle w:val="Compact"/>
            </w:pPr>
            <w:r>
              <w:t xml:space="preserve">ระบบ authorization ล่ม (availability)</w:t>
            </w:r>
          </w:p>
        </w:tc>
        <w:tc>
          <w:tcPr/>
          <w:p>
            <w:pPr>
              <w:pStyle w:val="Compact"/>
            </w:pPr>
            <w:r>
              <w:t xml:space="preserve">Operational</w:t>
            </w:r>
          </w:p>
        </w:tc>
        <w:tc>
          <w:tcPr/>
          <w:p>
            <w:pPr>
              <w:pStyle w:val="Compact"/>
            </w:pPr>
            <w:r>
              <w:t xml:space="preserve">H (3×5)</w:t>
            </w:r>
          </w:p>
        </w:tc>
        <w:tc>
          <w:tcPr/>
          <w:p>
            <w:pPr>
              <w:pStyle w:val="Compact"/>
            </w:pPr>
            <w:r>
              <w:t xml:space="preserve">HA multi-AZ, auto-scaling, circuit breaker, RPO≤5m/RTO≤30m</w:t>
            </w:r>
          </w:p>
        </w:tc>
        <w:tc>
          <w:tcPr/>
          <w:p>
            <w:pPr>
              <w:pStyle w:val="Compact"/>
            </w:pPr>
            <w:r>
              <w:t xml:space="preserve">M</w:t>
            </w:r>
          </w:p>
        </w:tc>
        <w:tc>
          <w:tcPr/>
          <w:p>
            <w:pPr>
              <w:pStyle w:val="Compact"/>
            </w:pPr>
            <w:r>
              <w:t xml:space="preserve">Head of SRE</w:t>
            </w:r>
          </w:p>
        </w:tc>
      </w:tr>
      <w:tr>
        <w:tc>
          <w:tcPr/>
          <w:p>
            <w:pPr>
              <w:pStyle w:val="Compact"/>
            </w:pPr>
            <w:r>
              <w:t xml:space="preserve">R-04</w:t>
            </w:r>
          </w:p>
        </w:tc>
        <w:tc>
          <w:tcPr/>
          <w:p>
            <w:pPr>
              <w:pStyle w:val="Compact"/>
            </w:pPr>
            <w:r>
              <w:t xml:space="preserve">ช่องโหว่ในโค้ด/dependency (SQLi, RCE)</w:t>
            </w:r>
          </w:p>
        </w:tc>
        <w:tc>
          <w:tcPr/>
          <w:p>
            <w:pPr>
              <w:pStyle w:val="Compact"/>
            </w:pPr>
            <w:r>
              <w:t xml:space="preserve">AppSec</w:t>
            </w:r>
          </w:p>
        </w:tc>
        <w:tc>
          <w:tcPr/>
          <w:p>
            <w:pPr>
              <w:pStyle w:val="Compact"/>
            </w:pPr>
            <w:r>
              <w:t xml:space="preserve">H (4×4)</w:t>
            </w:r>
          </w:p>
        </w:tc>
        <w:tc>
          <w:tcPr/>
          <w:p>
            <w:pPr>
              <w:pStyle w:val="Compact"/>
            </w:pPr>
            <w:r>
              <w:t xml:space="preserve">sqlc parameterized, SAST/DAST, govulncheck, code review, WAF</w:t>
            </w:r>
          </w:p>
        </w:tc>
        <w:tc>
          <w:tcPr/>
          <w:p>
            <w:pPr>
              <w:pStyle w:val="Compact"/>
            </w:pPr>
            <w:r>
              <w:t xml:space="preserve">M</w:t>
            </w:r>
          </w:p>
        </w:tc>
        <w:tc>
          <w:tcPr/>
          <w:p>
            <w:pPr>
              <w:pStyle w:val="Compact"/>
            </w:pPr>
            <w:r>
              <w:t xml:space="preserve">DevSecOps</w:t>
            </w:r>
          </w:p>
        </w:tc>
      </w:tr>
      <w:tr>
        <w:tc>
          <w:tcPr/>
          <w:p>
            <w:pPr>
              <w:pStyle w:val="Compact"/>
            </w:pPr>
            <w:r>
              <w:t xml:space="preserve">R-05</w:t>
            </w:r>
          </w:p>
        </w:tc>
        <w:tc>
          <w:tcPr/>
          <w:p>
            <w:pPr>
              <w:pStyle w:val="Compact"/>
            </w:pPr>
            <w:r>
              <w:t xml:space="preserve">Fraud/chargeback เกินเกณฑ์</w:t>
            </w:r>
          </w:p>
        </w:tc>
        <w:tc>
          <w:tcPr/>
          <w:p>
            <w:pPr>
              <w:pStyle w:val="Compact"/>
            </w:pPr>
            <w:r>
              <w:t xml:space="preserve">Fraud</w:t>
            </w:r>
          </w:p>
        </w:tc>
        <w:tc>
          <w:tcPr/>
          <w:p>
            <w:pPr>
              <w:pStyle w:val="Compact"/>
            </w:pPr>
            <w:r>
              <w:t xml:space="preserve">H (4×3)</w:t>
            </w:r>
          </w:p>
        </w:tc>
        <w:tc>
          <w:tcPr/>
          <w:p>
            <w:pPr>
              <w:pStyle w:val="Compact"/>
            </w:pPr>
            <w:r>
              <w:t xml:space="preserve">3DS 2.x, velocity check, risk scoring, blacklist</w:t>
            </w:r>
          </w:p>
        </w:tc>
        <w:tc>
          <w:tcPr/>
          <w:p>
            <w:pPr>
              <w:pStyle w:val="Compact"/>
            </w:pPr>
            <w:r>
              <w:t xml:space="preserve">M</w:t>
            </w:r>
          </w:p>
        </w:tc>
        <w:tc>
          <w:tcPr/>
          <w:p>
            <w:pPr>
              <w:pStyle w:val="Compact"/>
            </w:pPr>
            <w:r>
              <w:t xml:space="preserve">Risk/Fraud Lead</w:t>
            </w:r>
          </w:p>
        </w:tc>
      </w:tr>
      <w:tr>
        <w:tc>
          <w:tcPr/>
          <w:p>
            <w:pPr>
              <w:pStyle w:val="Compact"/>
            </w:pPr>
            <w:r>
              <w:t xml:space="preserve">R-06</w:t>
            </w:r>
          </w:p>
        </w:tc>
        <w:tc>
          <w:tcPr/>
          <w:p>
            <w:pPr>
              <w:pStyle w:val="Compact"/>
            </w:pPr>
            <w:r>
              <w:t xml:space="preserve">ผู้ให้บริการภายนอก (acquirer/cloud) ขัดข้อง</w:t>
            </w:r>
          </w:p>
        </w:tc>
        <w:tc>
          <w:tcPr/>
          <w:p>
            <w:pPr>
              <w:pStyle w:val="Compact"/>
            </w:pPr>
            <w:r>
              <w:t xml:space="preserve">Third-party</w:t>
            </w:r>
          </w:p>
        </w:tc>
        <w:tc>
          <w:tcPr/>
          <w:p>
            <w:pPr>
              <w:pStyle w:val="Compact"/>
            </w:pPr>
            <w:r>
              <w:t xml:space="preserve">H (3×4)</w:t>
            </w:r>
          </w:p>
        </w:tc>
        <w:tc>
          <w:tcPr/>
          <w:p>
            <w:pPr>
              <w:pStyle w:val="Compact"/>
            </w:pPr>
            <w:r>
              <w:t xml:space="preserve">สัญญา/SLA, exit plan, การประเมิน vendor, multi-region</w:t>
            </w:r>
          </w:p>
        </w:tc>
        <w:tc>
          <w:tcPr/>
          <w:p>
            <w:pPr>
              <w:pStyle w:val="Compact"/>
            </w:pPr>
            <w:r>
              <w:t xml:space="preserve">M</w:t>
            </w:r>
          </w:p>
        </w:tc>
        <w:tc>
          <w:tcPr/>
          <w:p>
            <w:pPr>
              <w:pStyle w:val="Compact"/>
            </w:pPr>
            <w:r>
              <w:t xml:space="preserve">CTO</w:t>
            </w:r>
          </w:p>
        </w:tc>
      </w:tr>
      <w:tr>
        <w:tc>
          <w:tcPr/>
          <w:p>
            <w:pPr>
              <w:pStyle w:val="Compact"/>
            </w:pPr>
            <w:r>
              <w:t xml:space="preserve">R-07</w:t>
            </w:r>
          </w:p>
        </w:tc>
        <w:tc>
          <w:tcPr/>
          <w:p>
            <w:pPr>
              <w:pStyle w:val="Compact"/>
            </w:pPr>
            <w:r>
              <w:t xml:space="preserve">Ransomware / มัลแวร์</w:t>
            </w:r>
          </w:p>
        </w:tc>
        <w:tc>
          <w:tcPr/>
          <w:p>
            <w:pPr>
              <w:pStyle w:val="Compact"/>
            </w:pPr>
            <w:r>
              <w:t xml:space="preserve">Cyber</w:t>
            </w:r>
          </w:p>
        </w:tc>
        <w:tc>
          <w:tcPr/>
          <w:p>
            <w:pPr>
              <w:pStyle w:val="Compact"/>
            </w:pPr>
            <w:r>
              <w:t xml:space="preserve">H (3×5)</w:t>
            </w:r>
          </w:p>
        </w:tc>
        <w:tc>
          <w:tcPr/>
          <w:p>
            <w:pPr>
              <w:pStyle w:val="Compact"/>
            </w:pPr>
            <w:r>
              <w:t xml:space="preserve">EDR, backup แบบ immutable/offline, network segmentation, patching</w:t>
            </w:r>
          </w:p>
        </w:tc>
        <w:tc>
          <w:tcPr/>
          <w:p>
            <w:pPr>
              <w:pStyle w:val="Compact"/>
            </w:pPr>
            <w:r>
              <w:t xml:space="preserve">M</w:t>
            </w:r>
          </w:p>
        </w:tc>
        <w:tc>
          <w:tcPr/>
          <w:p>
            <w:pPr>
              <w:pStyle w:val="Compact"/>
            </w:pPr>
            <w:r>
              <w:t xml:space="preserve">CISO</w:t>
            </w:r>
          </w:p>
        </w:tc>
      </w:tr>
      <w:tr>
        <w:tc>
          <w:tcPr/>
          <w:p>
            <w:pPr>
              <w:pStyle w:val="Compact"/>
            </w:pPr>
            <w:r>
              <w:t xml:space="preserve">R-08</w:t>
            </w:r>
          </w:p>
        </w:tc>
        <w:tc>
          <w:tcPr/>
          <w:p>
            <w:pPr>
              <w:pStyle w:val="Compact"/>
            </w:pPr>
            <w:r>
              <w:t xml:space="preserve">Insider threat / การใช้สิทธิ์เกิน</w:t>
            </w:r>
          </w:p>
        </w:tc>
        <w:tc>
          <w:tcPr/>
          <w:p>
            <w:pPr>
              <w:pStyle w:val="Compact"/>
            </w:pPr>
            <w:r>
              <w:t xml:space="preserve">People</w:t>
            </w:r>
          </w:p>
        </w:tc>
        <w:tc>
          <w:tcPr/>
          <w:p>
            <w:pPr>
              <w:pStyle w:val="Compact"/>
            </w:pPr>
            <w:r>
              <w:t xml:space="preserve">M (2×4)</w:t>
            </w:r>
          </w:p>
        </w:tc>
        <w:tc>
          <w:tcPr/>
          <w:p>
            <w:pPr>
              <w:pStyle w:val="Compact"/>
            </w:pPr>
            <w:r>
              <w:t xml:space="preserve">Segregation of duties, dual control, log monitoring, background check</w:t>
            </w:r>
          </w:p>
        </w:tc>
        <w:tc>
          <w:tcPr/>
          <w:p>
            <w:pPr>
              <w:pStyle w:val="Compact"/>
            </w:pPr>
            <w:r>
              <w:t xml:space="preserve">M</w:t>
            </w:r>
          </w:p>
        </w:tc>
        <w:tc>
          <w:tcPr/>
          <w:p>
            <w:pPr>
              <w:pStyle w:val="Compact"/>
            </w:pPr>
            <w:r>
              <w:t xml:space="preserve">HR + CISO</w:t>
            </w:r>
          </w:p>
        </w:tc>
      </w:tr>
      <w:tr>
        <w:tc>
          <w:tcPr/>
          <w:p>
            <w:pPr>
              <w:pStyle w:val="Compact"/>
            </w:pPr>
            <w:r>
              <w:t xml:space="preserve">R-09</w:t>
            </w:r>
          </w:p>
        </w:tc>
        <w:tc>
          <w:tcPr/>
          <w:p>
            <w:pPr>
              <w:pStyle w:val="Compact"/>
            </w:pPr>
            <w:r>
              <w:t xml:space="preserve">Data residency / PDPA non-compliance</w:t>
            </w:r>
          </w:p>
        </w:tc>
        <w:tc>
          <w:tcPr/>
          <w:p>
            <w:pPr>
              <w:pStyle w:val="Compact"/>
            </w:pPr>
            <w:r>
              <w:t xml:space="preserve">Compliance</w:t>
            </w:r>
          </w:p>
        </w:tc>
        <w:tc>
          <w:tcPr/>
          <w:p>
            <w:pPr>
              <w:pStyle w:val="Compact"/>
            </w:pPr>
            <w:r>
              <w:t xml:space="preserve">H (3×4)</w:t>
            </w:r>
          </w:p>
        </w:tc>
        <w:tc>
          <w:tcPr/>
          <w:p>
            <w:pPr>
              <w:pStyle w:val="Compact"/>
            </w:pPr>
            <w:r>
              <w:t xml:space="preserve">เก็บข้อมูลในไทย, consent, DPA กับ vendor, breach notification</w:t>
            </w:r>
          </w:p>
        </w:tc>
        <w:tc>
          <w:tcPr/>
          <w:p>
            <w:pPr>
              <w:pStyle w:val="Compact"/>
            </w:pPr>
            <w:r>
              <w:t xml:space="preserve">M</w:t>
            </w:r>
          </w:p>
        </w:tc>
        <w:tc>
          <w:tcPr/>
          <w:p>
            <w:pPr>
              <w:pStyle w:val="Compact"/>
            </w:pPr>
            <w:r>
              <w:t xml:space="preserve">DPO</w:t>
            </w:r>
          </w:p>
        </w:tc>
      </w:tr>
      <w:tr>
        <w:tc>
          <w:tcPr/>
          <w:p>
            <w:pPr>
              <w:pStyle w:val="Compact"/>
            </w:pPr>
            <w:r>
              <w:t xml:space="preserve">R-10</w:t>
            </w:r>
          </w:p>
        </w:tc>
        <w:tc>
          <w:tcPr/>
          <w:p>
            <w:pPr>
              <w:pStyle w:val="Compact"/>
            </w:pPr>
            <w:r>
              <w:t xml:space="preserve">Key compromise (HSM/KMS)</w:t>
            </w:r>
          </w:p>
        </w:tc>
        <w:tc>
          <w:tcPr/>
          <w:p>
            <w:pPr>
              <w:pStyle w:val="Compact"/>
            </w:pPr>
            <w:r>
              <w:t xml:space="preserve">Crypto</w:t>
            </w:r>
          </w:p>
        </w:tc>
        <w:tc>
          <w:tcPr/>
          <w:p>
            <w:pPr>
              <w:pStyle w:val="Compact"/>
            </w:pPr>
            <w:r>
              <w:t xml:space="preserve">M (2×5)</w:t>
            </w:r>
          </w:p>
        </w:tc>
        <w:tc>
          <w:tcPr/>
          <w:p>
            <w:pPr>
              <w:pStyle w:val="Compact"/>
            </w:pPr>
            <w:r>
              <w:t xml:space="preserve">Dual control, split knowledge, key rotation, HSM FIPS 140-2/3</w:t>
            </w:r>
          </w:p>
        </w:tc>
        <w:tc>
          <w:tcPr/>
          <w:p>
            <w:pPr>
              <w:pStyle w:val="Compact"/>
            </w:pPr>
            <w:r>
              <w:t xml:space="preserve">L</w:t>
            </w:r>
          </w:p>
        </w:tc>
        <w:tc>
          <w:tcPr/>
          <w:p>
            <w:pPr>
              <w:pStyle w:val="Compact"/>
            </w:pPr>
            <w:r>
              <w:t xml:space="preserve">CISO</w:t>
            </w:r>
          </w:p>
        </w:tc>
      </w:tr>
    </w:tbl>
    <w:p>
      <w:r>
        <w:pict>
          <v:rect style="width:0;height:1.5pt" o:hralign="center" o:hrstd="t" o:hr="t"/>
        </w:pict>
      </w:r>
    </w:p>
    <w:bookmarkEnd w:id="419"/>
    <w:bookmarkEnd w:id="420"/>
    <w:bookmarkStart w:id="422" w:name="Xe21546194301d9462336448f8e704e87df19afb"/>
    <w:p>
      <w:pPr>
        <w:pStyle w:val="Heading2"/>
      </w:pPr>
      <w:r>
        <w:t xml:space="preserve">5. การควบคุม (Controls) — ผูกกับ PCI-DSS v4.0 และ ธปท.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โดเมนการควบคุม</w:t>
            </w:r>
          </w:p>
        </w:tc>
        <w:tc>
          <w:tcPr/>
          <w:p>
            <w:pPr>
              <w:pStyle w:val="Compact"/>
            </w:pPr>
            <w:r>
              <w:t xml:space="preserve">มาตรการหลัก</w:t>
            </w:r>
          </w:p>
        </w:tc>
        <w:tc>
          <w:tcPr/>
          <w:p>
            <w:pPr>
              <w:pStyle w:val="Compact"/>
            </w:pPr>
            <w:r>
              <w:t xml:space="preserve">อ้างอิงมาตรฐาน</w:t>
            </w:r>
          </w:p>
        </w:tc>
      </w:tr>
      <w:tr>
        <w:tc>
          <w:tcPr/>
          <w:p>
            <w:pPr>
              <w:pStyle w:val="Compact"/>
            </w:pPr>
            <w:r>
              <w:rPr>
                <w:b/>
                <w:bCs/>
              </w:rPr>
              <w:t xml:space="preserve">การจำแนกและปกป้องข้อมูล</w:t>
            </w:r>
          </w:p>
        </w:tc>
        <w:tc>
          <w:tcPr/>
          <w:p>
            <w:pPr>
              <w:pStyle w:val="Compact"/>
            </w:pPr>
            <w:r>
              <w:t xml:space="preserve">Data classification, tokenization, envelope encryption, ห้ามเก็บ SAD หลัง authorization</w:t>
            </w:r>
          </w:p>
        </w:tc>
        <w:tc>
          <w:tcPr/>
          <w:p>
            <w:pPr>
              <w:pStyle w:val="Compact"/>
            </w:pPr>
            <w:r>
              <w:t xml:space="preserve">PCI Req 3, PDPA</w:t>
            </w:r>
          </w:p>
        </w:tc>
      </w:tr>
      <w:tr>
        <w:tc>
          <w:tcPr/>
          <w:p>
            <w:pPr>
              <w:pStyle w:val="Compact"/>
            </w:pPr>
            <w:r>
              <w:rPr>
                <w:b/>
                <w:bCs/>
              </w:rPr>
              <w:t xml:space="preserve">การเข้ารหัสข้อมูลระหว่างส่ง</w:t>
            </w:r>
          </w:p>
        </w:tc>
        <w:tc>
          <w:tcPr/>
          <w:p>
            <w:pPr>
              <w:pStyle w:val="Compact"/>
            </w:pPr>
            <w:r>
              <w:t xml:space="preserve">TLS 1.2+/1.3, mTLS ระหว่าง service ภายใน, ห้าม protocol ที่อ่อนแอ</w:t>
            </w:r>
          </w:p>
        </w:tc>
        <w:tc>
          <w:tcPr/>
          <w:p>
            <w:pPr>
              <w:pStyle w:val="Compact"/>
            </w:pPr>
            <w:r>
              <w:t xml:space="preserve">PCI Req 4</w:t>
            </w:r>
          </w:p>
        </w:tc>
      </w:tr>
      <w:tr>
        <w:tc>
          <w:tcPr/>
          <w:p>
            <w:pPr>
              <w:pStyle w:val="Compact"/>
            </w:pPr>
            <w:r>
              <w:rPr>
                <w:b/>
                <w:bCs/>
              </w:rPr>
              <w:t xml:space="preserve">ความปลอดภัยเครือข่าย</w:t>
            </w:r>
          </w:p>
        </w:tc>
        <w:tc>
          <w:tcPr/>
          <w:p>
            <w:pPr>
              <w:pStyle w:val="Compact"/>
            </w:pPr>
            <w:r>
              <w:t xml:space="preserve">Network segmentation แยก CDE, firewall/WAF, DDoS protection, IDS/IPS, deny-by-default</w:t>
            </w:r>
          </w:p>
        </w:tc>
        <w:tc>
          <w:tcPr/>
          <w:p>
            <w:pPr>
              <w:pStyle w:val="Compact"/>
            </w:pPr>
            <w:r>
              <w:t xml:space="preserve">PCI Req 1, 11</w:t>
            </w:r>
          </w:p>
        </w:tc>
      </w:tr>
      <w:tr>
        <w:tc>
          <w:tcPr/>
          <w:p>
            <w:pPr>
              <w:pStyle w:val="Compact"/>
            </w:pPr>
            <w:r>
              <w:rPr>
                <w:b/>
                <w:bCs/>
              </w:rPr>
              <w:t xml:space="preserve">การควบคุมการเข้าถึง</w:t>
            </w:r>
          </w:p>
        </w:tc>
        <w:tc>
          <w:tcPr/>
          <w:p>
            <w:pPr>
              <w:pStyle w:val="Compact"/>
            </w:pPr>
            <w:r>
              <w:t xml:space="preserve">RBAC least-privilege,</w:t>
            </w:r>
            <w:r>
              <w:t xml:space="preserve"> </w:t>
            </w:r>
            <w:r>
              <w:rPr>
                <w:b/>
                <w:bCs/>
              </w:rPr>
              <w:t xml:space="preserve">MFA บังคับสำหรับทุกการเข้าถึง CDE และ admin</w:t>
            </w:r>
            <w:r>
              <w:t xml:space="preserve">, PAM, JIT access</w:t>
            </w:r>
          </w:p>
        </w:tc>
        <w:tc>
          <w:tcPr/>
          <w:p>
            <w:pPr>
              <w:pStyle w:val="Compact"/>
            </w:pPr>
            <w:r>
              <w:t xml:space="preserve">PCI Req 7, 8</w:t>
            </w:r>
          </w:p>
        </w:tc>
      </w:tr>
      <w:tr>
        <w:tc>
          <w:tcPr/>
          <w:p>
            <w:pPr>
              <w:pStyle w:val="Compact"/>
            </w:pPr>
            <w:r>
              <w:rPr>
                <w:b/>
                <w:bCs/>
              </w:rPr>
              <w:t xml:space="preserve">การบริหารกุญแจเข้ารหัส</w:t>
            </w:r>
          </w:p>
        </w:tc>
        <w:tc>
          <w:tcPr/>
          <w:p>
            <w:pPr>
              <w:pStyle w:val="Compact"/>
            </w:pPr>
            <w:r>
              <w:t xml:space="preserve">HSM/KMS, dual control, split knowledge, key rotation ตามรอบ, ไม่มีคีย์ใน code/config</w:t>
            </w:r>
          </w:p>
        </w:tc>
        <w:tc>
          <w:tcPr/>
          <w:p>
            <w:pPr>
              <w:pStyle w:val="Compact"/>
            </w:pPr>
            <w:r>
              <w:t xml:space="preserve">PCI Req 3</w:t>
            </w:r>
          </w:p>
        </w:tc>
      </w:tr>
      <w:tr>
        <w:tc>
          <w:tcPr/>
          <w:p>
            <w:pPr>
              <w:pStyle w:val="Compact"/>
            </w:pPr>
            <w:r>
              <w:rPr>
                <w:b/>
                <w:bCs/>
              </w:rPr>
              <w:t xml:space="preserve">Secure SDLC</w:t>
            </w:r>
          </w:p>
        </w:tc>
        <w:tc>
          <w:tcPr/>
          <w:p>
            <w:pPr>
              <w:pStyle w:val="Compact"/>
            </w:pPr>
            <w:r>
              <w:t xml:space="preserve">Threat modeling, secure coding, peer review, SAST/DAST/SCA ใน CI/CD, ไม่มี secret ใน repo</w:t>
            </w:r>
          </w:p>
        </w:tc>
        <w:tc>
          <w:tcPr/>
          <w:p>
            <w:pPr>
              <w:pStyle w:val="Compact"/>
            </w:pPr>
            <w:r>
              <w:t xml:space="preserve">PCI Req 6</w:t>
            </w:r>
          </w:p>
        </w:tc>
      </w:tr>
      <w:tr>
        <w:tc>
          <w:tcPr/>
          <w:p>
            <w:pPr>
              <w:pStyle w:val="Compact"/>
            </w:pPr>
            <w:r>
              <w:rPr>
                <w:b/>
                <w:bCs/>
              </w:rPr>
              <w:t xml:space="preserve">การบริหารช่องโหว่</w:t>
            </w:r>
          </w:p>
        </w:tc>
        <w:tc>
          <w:tcPr/>
          <w:p>
            <w:pPr>
              <w:pStyle w:val="Compact"/>
            </w:pPr>
            <w:r>
              <w:rPr>
                <w:rStyle w:val="VerbatimChar"/>
              </w:rPr>
              <w:t xml:space="preserve">govulncheck</w:t>
            </w:r>
            <w:r>
              <w:t xml:space="preserve">, dependency scan,</w:t>
            </w:r>
            <w:r>
              <w:t xml:space="preserve"> </w:t>
            </w:r>
            <w:r>
              <w:rPr>
                <w:b/>
                <w:bCs/>
              </w:rPr>
              <w:t xml:space="preserve">quarterly ASV scan</w:t>
            </w:r>
            <w:r>
              <w:t xml:space="preserve">,</w:t>
            </w:r>
            <w:r>
              <w:t xml:space="preserve"> </w:t>
            </w:r>
            <w:r>
              <w:rPr>
                <w:b/>
                <w:bCs/>
              </w:rPr>
              <w:t xml:space="preserve">annual penetration test</w:t>
            </w:r>
            <w:r>
              <w:t xml:space="preserve">, patch SLA</w:t>
            </w:r>
          </w:p>
        </w:tc>
        <w:tc>
          <w:tcPr/>
          <w:p>
            <w:pPr>
              <w:pStyle w:val="Compact"/>
            </w:pPr>
            <w:r>
              <w:t xml:space="preserve">PCI Req 6, 11</w:t>
            </w:r>
          </w:p>
        </w:tc>
      </w:tr>
      <w:tr>
        <w:tc>
          <w:tcPr/>
          <w:p>
            <w:pPr>
              <w:pStyle w:val="Compact"/>
            </w:pPr>
            <w:r>
              <w:rPr>
                <w:b/>
                <w:bCs/>
              </w:rPr>
              <w:t xml:space="preserve">Logging &amp; Monitoring</w:t>
            </w:r>
          </w:p>
        </w:tc>
        <w:tc>
          <w:tcPr/>
          <w:p>
            <w:pPr>
              <w:pStyle w:val="Compact"/>
            </w:pPr>
            <w:r>
              <w:t xml:space="preserve">Structured log (ไม่มี card data), centralized SIEM, alerting, log retention ≥ 1 ปี (3 เดือน online)</w:t>
            </w:r>
          </w:p>
        </w:tc>
        <w:tc>
          <w:tcPr/>
          <w:p>
            <w:pPr>
              <w:pStyle w:val="Compact"/>
            </w:pPr>
            <w:r>
              <w:t xml:space="preserve">PCI Req 10</w:t>
            </w:r>
          </w:p>
        </w:tc>
      </w:tr>
      <w:tr>
        <w:tc>
          <w:tcPr/>
          <w:p>
            <w:pPr>
              <w:pStyle w:val="Compact"/>
            </w:pPr>
            <w:r>
              <w:rPr>
                <w:b/>
                <w:bCs/>
              </w:rPr>
              <w:t xml:space="preserve">การบริหารเหตุการณ์</w:t>
            </w:r>
          </w:p>
        </w:tc>
        <w:tc>
          <w:tcPr/>
          <w:p>
            <w:pPr>
              <w:pStyle w:val="Compact"/>
            </w:pPr>
            <w:r>
              <w:t xml:space="preserve">Incident Response Plan, on-call, runbook, forensic readiness</w:t>
            </w:r>
          </w:p>
        </w:tc>
        <w:tc>
          <w:tcPr/>
          <w:p>
            <w:pPr>
              <w:pStyle w:val="Compact"/>
            </w:pPr>
            <w:r>
              <w:t xml:space="preserve">PCI Req 12.10</w:t>
            </w:r>
          </w:p>
        </w:tc>
      </w:tr>
      <w:tr>
        <w:tc>
          <w:tcPr/>
          <w:p>
            <w:pPr>
              <w:pStyle w:val="Compact"/>
            </w:pPr>
            <w:r>
              <w:rPr>
                <w:b/>
                <w:bCs/>
              </w:rPr>
              <w:t xml:space="preserve">การควบคุมการเปลี่ยนแปลง</w:t>
            </w:r>
          </w:p>
        </w:tc>
        <w:tc>
          <w:tcPr/>
          <w:p>
            <w:pPr>
              <w:pStyle w:val="Compact"/>
            </w:pPr>
            <w:r>
              <w:t xml:space="preserve">Change management, approval gate, rollback plan, ห้ามเปลี่ยนแปลง prod โดยไม่ผ่านกระบวนการ</w:t>
            </w:r>
          </w:p>
        </w:tc>
        <w:tc>
          <w:tcPr/>
          <w:p>
            <w:pPr>
              <w:pStyle w:val="Compact"/>
            </w:pPr>
            <w:r>
              <w:t xml:space="preserve">ธปท. / ITIL</w:t>
            </w:r>
          </w:p>
        </w:tc>
      </w:tr>
      <w:tr>
        <w:tc>
          <w:tcPr/>
          <w:p>
            <w:pPr>
              <w:pStyle w:val="Compact"/>
            </w:pPr>
            <w:r>
              <w:rPr>
                <w:b/>
                <w:bCs/>
              </w:rPr>
              <w:t xml:space="preserve">การบริหารผู้ให้บริการภายนอก</w:t>
            </w:r>
          </w:p>
        </w:tc>
        <w:tc>
          <w:tcPr/>
          <w:p>
            <w:pPr>
              <w:pStyle w:val="Compact"/>
            </w:pPr>
            <w:r>
              <w:t xml:space="preserve">Due diligence, DPA/สัญญา, PCI AoC ของ vendor, การติดตามต่อเนื่อง</w:t>
            </w:r>
          </w:p>
        </w:tc>
        <w:tc>
          <w:tcPr/>
          <w:p>
            <w:pPr>
              <w:pStyle w:val="Compact"/>
            </w:pPr>
            <w:r>
              <w:t xml:space="preserve">PCI Req 12.8, ธปท. Outsourcing</w:t>
            </w:r>
          </w:p>
        </w:tc>
      </w:tr>
      <w:tr>
        <w:tc>
          <w:tcPr/>
          <w:p>
            <w:pPr>
              <w:pStyle w:val="Compact"/>
            </w:pPr>
            <w:r>
              <w:rPr>
                <w:b/>
                <w:bCs/>
              </w:rPr>
              <w:t xml:space="preserve">ความต่อเนื่องทางธุรกิจ</w:t>
            </w:r>
          </w:p>
        </w:tc>
        <w:tc>
          <w:tcPr/>
          <w:p>
            <w:pPr>
              <w:pStyle w:val="Compact"/>
            </w:pPr>
            <w:r>
              <w:t xml:space="preserve">BCP/DR, backup immutable, DR drill ≥ ปีละ 1 ครั้ง</w:t>
            </w:r>
          </w:p>
        </w:tc>
        <w:tc>
          <w:tcPr/>
          <w:p>
            <w:pPr>
              <w:pStyle w:val="Compact"/>
            </w:pPr>
            <w:r>
              <w:t xml:space="preserve">ISO 22301</w:t>
            </w:r>
          </w:p>
        </w:tc>
      </w:tr>
    </w:tbl>
    <w:bookmarkStart w:id="421" w:name="Xfdd9cbf0dbc22d24e2a804757a6a15a30cb4798"/>
    <w:p>
      <w:pPr>
        <w:pStyle w:val="Heading3"/>
      </w:pPr>
      <w:r>
        <w:t xml:space="preserve">5.1 การจัดการ Patch / Vulnerability ตามความรุนแรง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ความรุนแรง (CVSS)</w:t>
            </w:r>
          </w:p>
        </w:tc>
        <w:tc>
          <w:tcPr/>
          <w:p>
            <w:pPr>
              <w:pStyle w:val="Compact"/>
            </w:pPr>
            <w:r>
              <w:t xml:space="preserve">SLA ติดตั้ง patch</w:t>
            </w:r>
          </w:p>
        </w:tc>
      </w:tr>
      <w:tr>
        <w:tc>
          <w:tcPr/>
          <w:p>
            <w:pPr>
              <w:pStyle w:val="Compact"/>
            </w:pPr>
            <w:r>
              <w:t xml:space="preserve">Critical (9.0–10.0)</w:t>
            </w:r>
          </w:p>
        </w:tc>
        <w:tc>
          <w:tcPr/>
          <w:p>
            <w:pPr>
              <w:pStyle w:val="Compact"/>
            </w:pPr>
            <w:r>
              <w:t xml:space="preserve">ภายใน</w:t>
            </w:r>
            <w:r>
              <w:t xml:space="preserve"> </w:t>
            </w:r>
            <w:r>
              <w:rPr>
                <w:b/>
                <w:bCs/>
              </w:rPr>
              <w:t xml:space="preserve">72 ชั่วโมง</w:t>
            </w:r>
            <w:r>
              <w:t xml:space="preserve"> </w:t>
            </w:r>
            <w:r>
              <w:t xml:space="preserve">(emergency change)</w:t>
            </w:r>
          </w:p>
        </w:tc>
      </w:tr>
      <w:tr>
        <w:tc>
          <w:tcPr/>
          <w:p>
            <w:pPr>
              <w:pStyle w:val="Compact"/>
            </w:pPr>
            <w:r>
              <w:t xml:space="preserve">High (7.0–8.9)</w:t>
            </w:r>
          </w:p>
        </w:tc>
        <w:tc>
          <w:tcPr/>
          <w:p>
            <w:pPr>
              <w:pStyle w:val="Compact"/>
            </w:pPr>
            <w:r>
              <w:t xml:space="preserve">ภายใน</w:t>
            </w:r>
            <w:r>
              <w:t xml:space="preserve"> </w:t>
            </w:r>
            <w:r>
              <w:rPr>
                <w:b/>
                <w:bCs/>
              </w:rPr>
              <w:t xml:space="preserve">30 วัน</w:t>
            </w:r>
          </w:p>
        </w:tc>
      </w:tr>
      <w:tr>
        <w:tc>
          <w:tcPr/>
          <w:p>
            <w:pPr>
              <w:pStyle w:val="Compact"/>
            </w:pPr>
            <w:r>
              <w:t xml:space="preserve">Medium (4.0–6.9)</w:t>
            </w:r>
          </w:p>
        </w:tc>
        <w:tc>
          <w:tcPr/>
          <w:p>
            <w:pPr>
              <w:pStyle w:val="Compact"/>
            </w:pPr>
            <w:r>
              <w:t xml:space="preserve">ภายใน</w:t>
            </w:r>
            <w:r>
              <w:t xml:space="preserve"> </w:t>
            </w:r>
            <w:r>
              <w:rPr>
                <w:b/>
                <w:bCs/>
              </w:rPr>
              <w:t xml:space="preserve">90 วัน</w:t>
            </w:r>
          </w:p>
        </w:tc>
      </w:tr>
      <w:tr>
        <w:tc>
          <w:tcPr/>
          <w:p>
            <w:pPr>
              <w:pStyle w:val="Compact"/>
            </w:pPr>
            <w:r>
              <w:t xml:space="preserve">Low (&lt; 4.0)</w:t>
            </w:r>
          </w:p>
        </w:tc>
        <w:tc>
          <w:tcPr/>
          <w:p>
            <w:pPr>
              <w:pStyle w:val="Compact"/>
            </w:pPr>
            <w:r>
              <w:t xml:space="preserve">ตามรอบ maintenance</w:t>
            </w:r>
          </w:p>
        </w:tc>
      </w:tr>
    </w:tbl>
    <w:p>
      <w:r>
        <w:pict>
          <v:rect style="width:0;height:1.5pt" o:hralign="center" o:hrstd="t" o:hr="t"/>
        </w:pict>
      </w:r>
    </w:p>
    <w:bookmarkEnd w:id="421"/>
    <w:bookmarkEnd w:id="422"/>
    <w:bookmarkStart w:id="423" w:name="X7eddb9b97e55c3cf552ac5351490ecaae7c573c"/>
    <w:p>
      <w:pPr>
        <w:pStyle w:val="Heading2"/>
      </w:pPr>
      <w:r>
        <w:t xml:space="preserve">6. ตัวชี้วัดความเสี่ยงหลัก (Key Risk Indicators — KRIs)</w:t>
      </w:r>
    </w:p>
    <w:p>
      <w:pPr>
        <w:pStyle w:val="FirstParagraph"/>
      </w:pPr>
      <w:r>
        <w:t xml:space="preserve">KRI ทุกตัวถูกวัดอัตโนมัติจาก observability stack (Prometheus/SIEM) และรายงานใน dashboard ของ IT Risk Committee รายเดือน โดยใช้ระบบสัญญาณ</w:t>
      </w:r>
      <w:r>
        <w:t xml:space="preserve"> </w:t>
      </w:r>
      <w:r>
        <w:rPr>
          <w:b/>
          <w:bCs/>
        </w:rPr>
        <w:t xml:space="preserve">เขียว/เหลือง/แดง (RAG)</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KRI</w:t>
            </w:r>
          </w:p>
        </w:tc>
        <w:tc>
          <w:tcPr/>
          <w:p>
            <w:pPr>
              <w:pStyle w:val="Compact"/>
            </w:pPr>
            <w:r>
              <w:t xml:space="preserve">เขียว (ปกติ)</w:t>
            </w:r>
          </w:p>
        </w:tc>
        <w:tc>
          <w:tcPr/>
          <w:p>
            <w:pPr>
              <w:pStyle w:val="Compact"/>
            </w:pPr>
            <w:r>
              <w:t xml:space="preserve">เหลือง (เฝ้าระวัง)</w:t>
            </w:r>
          </w:p>
        </w:tc>
        <w:tc>
          <w:tcPr/>
          <w:p>
            <w:pPr>
              <w:pStyle w:val="Compact"/>
            </w:pPr>
            <w:r>
              <w:t xml:space="preserve">แดง (เกินเกณฑ์ → escalate)</w:t>
            </w:r>
          </w:p>
        </w:tc>
        <w:tc>
          <w:tcPr/>
          <w:p>
            <w:pPr>
              <w:pStyle w:val="Compact"/>
            </w:pPr>
            <w:r>
              <w:t xml:space="preserve">รอบวัด</w:t>
            </w:r>
          </w:p>
        </w:tc>
      </w:tr>
      <w:tr>
        <w:tc>
          <w:tcPr/>
          <w:p>
            <w:pPr>
              <w:pStyle w:val="Compact"/>
            </w:pPr>
            <w:r>
              <w:t xml:space="preserve">K-01</w:t>
            </w:r>
          </w:p>
        </w:tc>
        <w:tc>
          <w:tcPr/>
          <w:p>
            <w:pPr>
              <w:pStyle w:val="Compact"/>
            </w:pPr>
            <w:r>
              <w:t xml:space="preserve">Availability ของ payment core</w:t>
            </w:r>
          </w:p>
        </w:tc>
        <w:tc>
          <w:tcPr/>
          <w:p>
            <w:pPr>
              <w:pStyle w:val="Compact"/>
            </w:pPr>
            <w:r>
              <w:t xml:space="preserve">≥ 99.95%</w:t>
            </w:r>
          </w:p>
        </w:tc>
        <w:tc>
          <w:tcPr/>
          <w:p>
            <w:pPr>
              <w:pStyle w:val="Compact"/>
            </w:pPr>
            <w:r>
              <w:t xml:space="preserve">99.9–99.95%</w:t>
            </w:r>
          </w:p>
        </w:tc>
        <w:tc>
          <w:tcPr/>
          <w:p>
            <w:pPr>
              <w:pStyle w:val="Compact"/>
            </w:pPr>
            <w:r>
              <w:t xml:space="preserve">&lt; 99.9%</w:t>
            </w:r>
          </w:p>
        </w:tc>
        <w:tc>
          <w:tcPr/>
          <w:p>
            <w:pPr>
              <w:pStyle w:val="Compact"/>
            </w:pPr>
            <w:r>
              <w:t xml:space="preserve">รายเดือน</w:t>
            </w:r>
          </w:p>
        </w:tc>
      </w:tr>
      <w:tr>
        <w:tc>
          <w:tcPr/>
          <w:p>
            <w:pPr>
              <w:pStyle w:val="Compact"/>
            </w:pPr>
            <w:r>
              <w:t xml:space="preserve">K-02</w:t>
            </w:r>
          </w:p>
        </w:tc>
        <w:tc>
          <w:tcPr/>
          <w:p>
            <w:pPr>
              <w:pStyle w:val="Compact"/>
            </w:pPr>
            <w:r>
              <w:t xml:space="preserve">Authorization latency (p99)</w:t>
            </w:r>
          </w:p>
        </w:tc>
        <w:tc>
          <w:tcPr/>
          <w:p>
            <w:pPr>
              <w:pStyle w:val="Compact"/>
            </w:pPr>
            <w:r>
              <w:t xml:space="preserve">&lt; 800 ms</w:t>
            </w:r>
          </w:p>
        </w:tc>
        <w:tc>
          <w:tcPr/>
          <w:p>
            <w:pPr>
              <w:pStyle w:val="Compact"/>
            </w:pPr>
            <w:r>
              <w:t xml:space="preserve">800–1200 ms</w:t>
            </w:r>
          </w:p>
        </w:tc>
        <w:tc>
          <w:tcPr/>
          <w:p>
            <w:pPr>
              <w:pStyle w:val="Compact"/>
            </w:pPr>
            <w:r>
              <w:t xml:space="preserve">&gt; 1200 ms</w:t>
            </w:r>
          </w:p>
        </w:tc>
        <w:tc>
          <w:tcPr/>
          <w:p>
            <w:pPr>
              <w:pStyle w:val="Compact"/>
            </w:pPr>
            <w:r>
              <w:t xml:space="preserve">รายวัน</w:t>
            </w:r>
          </w:p>
        </w:tc>
      </w:tr>
      <w:tr>
        <w:tc>
          <w:tcPr/>
          <w:p>
            <w:pPr>
              <w:pStyle w:val="Compact"/>
            </w:pPr>
            <w:r>
              <w:t xml:space="preserve">K-03</w:t>
            </w:r>
          </w:p>
        </w:tc>
        <w:tc>
          <w:tcPr/>
          <w:p>
            <w:pPr>
              <w:pStyle w:val="Compact"/>
            </w:pPr>
            <w:r>
              <w:t xml:space="preserve">จำนวน critical/high vuln ที่เกิน SLA</w:t>
            </w:r>
          </w:p>
        </w:tc>
        <w:tc>
          <w:tcPr/>
          <w:p>
            <w:pPr>
              <w:pStyle w:val="Compact"/>
            </w:pPr>
            <w:r>
              <w:t xml:space="preserve">0</w:t>
            </w:r>
          </w:p>
        </w:tc>
        <w:tc>
          <w:tcPr/>
          <w:p>
            <w:pPr>
              <w:pStyle w:val="Compact"/>
            </w:pPr>
            <w:r>
              <w:t xml:space="preserve">1–2</w:t>
            </w:r>
          </w:p>
        </w:tc>
        <w:tc>
          <w:tcPr/>
          <w:p>
            <w:pPr>
              <w:pStyle w:val="Compact"/>
            </w:pPr>
            <w:r>
              <w:t xml:space="preserve">≥ 3</w:t>
            </w:r>
          </w:p>
        </w:tc>
        <w:tc>
          <w:tcPr/>
          <w:p>
            <w:pPr>
              <w:pStyle w:val="Compact"/>
            </w:pPr>
            <w:r>
              <w:t xml:space="preserve">รายสัปดาห์</w:t>
            </w:r>
          </w:p>
        </w:tc>
      </w:tr>
      <w:tr>
        <w:tc>
          <w:tcPr/>
          <w:p>
            <w:pPr>
              <w:pStyle w:val="Compact"/>
            </w:pPr>
            <w:r>
              <w:t xml:space="preserve">K-04</w:t>
            </w:r>
          </w:p>
        </w:tc>
        <w:tc>
          <w:tcPr/>
          <w:p>
            <w:pPr>
              <w:pStyle w:val="Compact"/>
            </w:pPr>
            <w:r>
              <w:t xml:space="preserve">% ระบบใน CDE ที่ patch เป็นปัจจุบัน</w:t>
            </w:r>
          </w:p>
        </w:tc>
        <w:tc>
          <w:tcPr/>
          <w:p>
            <w:pPr>
              <w:pStyle w:val="Compact"/>
            </w:pPr>
            <w:r>
              <w:t xml:space="preserve">≥ 99%</w:t>
            </w:r>
          </w:p>
        </w:tc>
        <w:tc>
          <w:tcPr/>
          <w:p>
            <w:pPr>
              <w:pStyle w:val="Compact"/>
            </w:pPr>
            <w:r>
              <w:t xml:space="preserve">95–99%</w:t>
            </w:r>
          </w:p>
        </w:tc>
        <w:tc>
          <w:tcPr/>
          <w:p>
            <w:pPr>
              <w:pStyle w:val="Compact"/>
            </w:pPr>
            <w:r>
              <w:t xml:space="preserve">&lt; 95%</w:t>
            </w:r>
          </w:p>
        </w:tc>
        <w:tc>
          <w:tcPr/>
          <w:p>
            <w:pPr>
              <w:pStyle w:val="Compact"/>
            </w:pPr>
            <w:r>
              <w:t xml:space="preserve">รายสัปดาห์</w:t>
            </w:r>
          </w:p>
        </w:tc>
      </w:tr>
      <w:tr>
        <w:tc>
          <w:tcPr/>
          <w:p>
            <w:pPr>
              <w:pStyle w:val="Compact"/>
            </w:pPr>
            <w:r>
              <w:t xml:space="preserve">K-05</w:t>
            </w:r>
          </w:p>
        </w:tc>
        <w:tc>
          <w:tcPr/>
          <w:p>
            <w:pPr>
              <w:pStyle w:val="Compact"/>
            </w:pPr>
            <w:r>
              <w:t xml:space="preserve">Failed login / brute-force ต่อ admin</w:t>
            </w:r>
          </w:p>
        </w:tc>
        <w:tc>
          <w:tcPr/>
          <w:p>
            <w:pPr>
              <w:pStyle w:val="Compact"/>
            </w:pPr>
            <w:r>
              <w:t xml:space="preserve">baseline</w:t>
            </w:r>
          </w:p>
        </w:tc>
        <w:tc>
          <w:tcPr/>
          <w:p>
            <w:pPr>
              <w:pStyle w:val="Compact"/>
            </w:pPr>
            <w:r>
              <w:t xml:space="preserve">+50% เหนือ baseline</w:t>
            </w:r>
          </w:p>
        </w:tc>
        <w:tc>
          <w:tcPr/>
          <w:p>
            <w:pPr>
              <w:pStyle w:val="Compact"/>
            </w:pPr>
            <w:r>
              <w:t xml:space="preserve">+100% หรือมี lockout</w:t>
            </w:r>
          </w:p>
        </w:tc>
        <w:tc>
          <w:tcPr/>
          <w:p>
            <w:pPr>
              <w:pStyle w:val="Compact"/>
            </w:pPr>
            <w:r>
              <w:t xml:space="preserve">เรียลไทม์</w:t>
            </w:r>
          </w:p>
        </w:tc>
      </w:tr>
      <w:tr>
        <w:tc>
          <w:tcPr/>
          <w:p>
            <w:pPr>
              <w:pStyle w:val="Compact"/>
            </w:pPr>
            <w:r>
              <w:t xml:space="preserve">K-06</w:t>
            </w:r>
          </w:p>
        </w:tc>
        <w:tc>
          <w:tcPr/>
          <w:p>
            <w:pPr>
              <w:pStyle w:val="Compact"/>
            </w:pPr>
            <w:r>
              <w:t xml:space="preserve">Fraud rate (มูลค่า)</w:t>
            </w:r>
          </w:p>
        </w:tc>
        <w:tc>
          <w:tcPr/>
          <w:p>
            <w:pPr>
              <w:pStyle w:val="Compact"/>
            </w:pPr>
            <w:r>
              <w:t xml:space="preserve">&lt; 0.10%</w:t>
            </w:r>
          </w:p>
        </w:tc>
        <w:tc>
          <w:tcPr/>
          <w:p>
            <w:pPr>
              <w:pStyle w:val="Compact"/>
            </w:pPr>
            <w:r>
              <w:t xml:space="preserve">0.10–0.20%</w:t>
            </w:r>
          </w:p>
        </w:tc>
        <w:tc>
          <w:tcPr/>
          <w:p>
            <w:pPr>
              <w:pStyle w:val="Compact"/>
            </w:pPr>
            <w:r>
              <w:t xml:space="preserve">&gt; 0.20%</w:t>
            </w:r>
          </w:p>
        </w:tc>
        <w:tc>
          <w:tcPr/>
          <w:p>
            <w:pPr>
              <w:pStyle w:val="Compact"/>
            </w:pPr>
            <w:r>
              <w:t xml:space="preserve">รายวัน</w:t>
            </w:r>
          </w:p>
        </w:tc>
      </w:tr>
      <w:tr>
        <w:tc>
          <w:tcPr/>
          <w:p>
            <w:pPr>
              <w:pStyle w:val="Compact"/>
            </w:pPr>
            <w:r>
              <w:t xml:space="preserve">K-07</w:t>
            </w:r>
          </w:p>
        </w:tc>
        <w:tc>
          <w:tcPr/>
          <w:p>
            <w:pPr>
              <w:pStyle w:val="Compact"/>
            </w:pPr>
            <w:r>
              <w:t xml:space="preserve">Chargeback ratio</w:t>
            </w:r>
          </w:p>
        </w:tc>
        <w:tc>
          <w:tcPr/>
          <w:p>
            <w:pPr>
              <w:pStyle w:val="Compact"/>
            </w:pPr>
            <w:r>
              <w:t xml:space="preserve">&lt; 0.65%</w:t>
            </w:r>
          </w:p>
        </w:tc>
        <w:tc>
          <w:tcPr/>
          <w:p>
            <w:pPr>
              <w:pStyle w:val="Compact"/>
            </w:pPr>
            <w:r>
              <w:t xml:space="preserve">0.65–0.90%</w:t>
            </w:r>
          </w:p>
        </w:tc>
        <w:tc>
          <w:tcPr/>
          <w:p>
            <w:pPr>
              <w:pStyle w:val="Compact"/>
            </w:pPr>
            <w:r>
              <w:t xml:space="preserve">&gt; 0.90% (เกณฑ์ scheme)</w:t>
            </w:r>
          </w:p>
        </w:tc>
        <w:tc>
          <w:tcPr/>
          <w:p>
            <w:pPr>
              <w:pStyle w:val="Compact"/>
            </w:pPr>
            <w:r>
              <w:t xml:space="preserve">รายเดือน</w:t>
            </w:r>
          </w:p>
        </w:tc>
      </w:tr>
      <w:tr>
        <w:tc>
          <w:tcPr/>
          <w:p>
            <w:pPr>
              <w:pStyle w:val="Compact"/>
            </w:pPr>
            <w:r>
              <w:t xml:space="preserve">K-08</w:t>
            </w:r>
          </w:p>
        </w:tc>
        <w:tc>
          <w:tcPr/>
          <w:p>
            <w:pPr>
              <w:pStyle w:val="Compact"/>
            </w:pPr>
            <w:r>
              <w:t xml:space="preserve">จำนวน security incident (Sev1/Sev2)</w:t>
            </w:r>
          </w:p>
        </w:tc>
        <w:tc>
          <w:tcPr/>
          <w:p>
            <w:pPr>
              <w:pStyle w:val="Compact"/>
            </w:pPr>
            <w:r>
              <w:t xml:space="preserve">0</w:t>
            </w:r>
          </w:p>
        </w:tc>
        <w:tc>
          <w:tcPr/>
          <w:p>
            <w:pPr>
              <w:pStyle w:val="Compact"/>
            </w:pPr>
            <w:r>
              <w:t xml:space="preserve">1</w:t>
            </w:r>
          </w:p>
        </w:tc>
        <w:tc>
          <w:tcPr/>
          <w:p>
            <w:pPr>
              <w:pStyle w:val="Compact"/>
            </w:pPr>
            <w:r>
              <w:t xml:space="preserve">≥ 2</w:t>
            </w:r>
          </w:p>
        </w:tc>
        <w:tc>
          <w:tcPr/>
          <w:p>
            <w:pPr>
              <w:pStyle w:val="Compact"/>
            </w:pPr>
            <w:r>
              <w:t xml:space="preserve">รายเดือน</w:t>
            </w:r>
          </w:p>
        </w:tc>
      </w:tr>
      <w:tr>
        <w:tc>
          <w:tcPr/>
          <w:p>
            <w:pPr>
              <w:pStyle w:val="Compact"/>
            </w:pPr>
            <w:r>
              <w:t xml:space="preserve">K-09</w:t>
            </w:r>
          </w:p>
        </w:tc>
        <w:tc>
          <w:tcPr/>
          <w:p>
            <w:pPr>
              <w:pStyle w:val="Compact"/>
            </w:pPr>
            <w:r>
              <w:t xml:space="preserve">Mean Time To Detect (MTTD)</w:t>
            </w:r>
          </w:p>
        </w:tc>
        <w:tc>
          <w:tcPr/>
          <w:p>
            <w:pPr>
              <w:pStyle w:val="Compact"/>
            </w:pPr>
            <w:r>
              <w:t xml:space="preserve">&lt; 15 นาที</w:t>
            </w:r>
          </w:p>
        </w:tc>
        <w:tc>
          <w:tcPr/>
          <w:p>
            <w:pPr>
              <w:pStyle w:val="Compact"/>
            </w:pPr>
            <w:r>
              <w:t xml:space="preserve">15–60 นาที</w:t>
            </w:r>
          </w:p>
        </w:tc>
        <w:tc>
          <w:tcPr/>
          <w:p>
            <w:pPr>
              <w:pStyle w:val="Compact"/>
            </w:pPr>
            <w:r>
              <w:t xml:space="preserve">&gt; 60 นาที</w:t>
            </w:r>
          </w:p>
        </w:tc>
        <w:tc>
          <w:tcPr/>
          <w:p>
            <w:pPr>
              <w:pStyle w:val="Compact"/>
            </w:pPr>
            <w:r>
              <w:t xml:space="preserve">ต่อเหตุการณ์</w:t>
            </w:r>
          </w:p>
        </w:tc>
      </w:tr>
      <w:tr>
        <w:tc>
          <w:tcPr/>
          <w:p>
            <w:pPr>
              <w:pStyle w:val="Compact"/>
            </w:pPr>
            <w:r>
              <w:t xml:space="preserve">K-10</w:t>
            </w:r>
          </w:p>
        </w:tc>
        <w:tc>
          <w:tcPr/>
          <w:p>
            <w:pPr>
              <w:pStyle w:val="Compact"/>
            </w:pPr>
            <w:r>
              <w:t xml:space="preserve">Mean Time To Respond/Recover (MTTR)</w:t>
            </w:r>
          </w:p>
        </w:tc>
        <w:tc>
          <w:tcPr/>
          <w:p>
            <w:pPr>
              <w:pStyle w:val="Compact"/>
            </w:pPr>
            <w:r>
              <w:t xml:space="preserve">&lt; 30 นาที</w:t>
            </w:r>
          </w:p>
        </w:tc>
        <w:tc>
          <w:tcPr/>
          <w:p>
            <w:pPr>
              <w:pStyle w:val="Compact"/>
            </w:pPr>
            <w:r>
              <w:t xml:space="preserve">30–120 นาที</w:t>
            </w:r>
          </w:p>
        </w:tc>
        <w:tc>
          <w:tcPr/>
          <w:p>
            <w:pPr>
              <w:pStyle w:val="Compact"/>
            </w:pPr>
            <w:r>
              <w:t xml:space="preserve">&gt; 120 นาที</w:t>
            </w:r>
          </w:p>
        </w:tc>
        <w:tc>
          <w:tcPr/>
          <w:p>
            <w:pPr>
              <w:pStyle w:val="Compact"/>
            </w:pPr>
            <w:r>
              <w:t xml:space="preserve">ต่อเหตุการณ์</w:t>
            </w:r>
          </w:p>
        </w:tc>
      </w:tr>
      <w:tr>
        <w:tc>
          <w:tcPr/>
          <w:p>
            <w:pPr>
              <w:pStyle w:val="Compact"/>
            </w:pPr>
            <w:r>
              <w:t xml:space="preserve">K-11</w:t>
            </w:r>
          </w:p>
        </w:tc>
        <w:tc>
          <w:tcPr/>
          <w:p>
            <w:pPr>
              <w:pStyle w:val="Compact"/>
            </w:pPr>
            <w:r>
              <w:t xml:space="preserve">% พนักงานผ่าน security awareness training</w:t>
            </w:r>
          </w:p>
        </w:tc>
        <w:tc>
          <w:tcPr/>
          <w:p>
            <w:pPr>
              <w:pStyle w:val="Compact"/>
            </w:pPr>
            <w:r>
              <w:t xml:space="preserve">100%</w:t>
            </w:r>
          </w:p>
        </w:tc>
        <w:tc>
          <w:tcPr/>
          <w:p>
            <w:pPr>
              <w:pStyle w:val="Compact"/>
            </w:pPr>
            <w:r>
              <w:t xml:space="preserve">90–99%</w:t>
            </w:r>
          </w:p>
        </w:tc>
        <w:tc>
          <w:tcPr/>
          <w:p>
            <w:pPr>
              <w:pStyle w:val="Compact"/>
            </w:pPr>
            <w:r>
              <w:t xml:space="preserve">&lt; 90%</w:t>
            </w:r>
          </w:p>
        </w:tc>
        <w:tc>
          <w:tcPr/>
          <w:p>
            <w:pPr>
              <w:pStyle w:val="Compact"/>
            </w:pPr>
            <w:r>
              <w:t xml:space="preserve">รายไตรมาส</w:t>
            </w:r>
          </w:p>
        </w:tc>
      </w:tr>
      <w:tr>
        <w:tc>
          <w:tcPr/>
          <w:p>
            <w:pPr>
              <w:pStyle w:val="Compact"/>
            </w:pPr>
            <w:r>
              <w:t xml:space="preserve">K-12</w:t>
            </w:r>
          </w:p>
        </w:tc>
        <w:tc>
          <w:tcPr/>
          <w:p>
            <w:pPr>
              <w:pStyle w:val="Compact"/>
            </w:pPr>
            <w:r>
              <w:t xml:space="preserve">Privileged access ที่ไม่มี MFA</w:t>
            </w:r>
          </w:p>
        </w:tc>
        <w:tc>
          <w:tcPr/>
          <w:p>
            <w:pPr>
              <w:pStyle w:val="Compact"/>
            </w:pPr>
            <w:r>
              <w:t xml:space="preserve">0</w:t>
            </w:r>
          </w:p>
        </w:tc>
        <w:tc>
          <w:tcPr/>
          <w:p>
            <w:pPr>
              <w:pStyle w:val="Compact"/>
            </w:pPr>
            <w:r>
              <w:t xml:space="preserve">—</w:t>
            </w:r>
          </w:p>
        </w:tc>
        <w:tc>
          <w:tcPr/>
          <w:p>
            <w:pPr>
              <w:pStyle w:val="Compact"/>
            </w:pPr>
            <w:r>
              <w:t xml:space="preserve">≥ 1 (zero tolerance)</w:t>
            </w:r>
          </w:p>
        </w:tc>
        <w:tc>
          <w:tcPr/>
          <w:p>
            <w:pPr>
              <w:pStyle w:val="Compact"/>
            </w:pPr>
            <w:r>
              <w:t xml:space="preserve">เรียลไทม์</w:t>
            </w:r>
          </w:p>
        </w:tc>
      </w:tr>
      <w:tr>
        <w:tc>
          <w:tcPr/>
          <w:p>
            <w:pPr>
              <w:pStyle w:val="Compact"/>
            </w:pPr>
            <w:r>
              <w:t xml:space="preserve">K-13</w:t>
            </w:r>
          </w:p>
        </w:tc>
        <w:tc>
          <w:tcPr/>
          <w:p>
            <w:pPr>
              <w:pStyle w:val="Compact"/>
            </w:pPr>
            <w:r>
              <w:t xml:space="preserve">Backup/DR restore test สำเร็จ</w:t>
            </w:r>
          </w:p>
        </w:tc>
        <w:tc>
          <w:tcPr/>
          <w:p>
            <w:pPr>
              <w:pStyle w:val="Compact"/>
            </w:pPr>
            <w:r>
              <w:t xml:space="preserve">100%</w:t>
            </w:r>
          </w:p>
        </w:tc>
        <w:tc>
          <w:tcPr/>
          <w:p>
            <w:pPr>
              <w:pStyle w:val="Compact"/>
            </w:pPr>
            <w:r>
              <w:t xml:space="preserve">—</w:t>
            </w:r>
          </w:p>
        </w:tc>
        <w:tc>
          <w:tcPr/>
          <w:p>
            <w:pPr>
              <w:pStyle w:val="Compact"/>
            </w:pPr>
            <w:r>
              <w:t xml:space="preserve">ล้มเหลว</w:t>
            </w:r>
          </w:p>
        </w:tc>
        <w:tc>
          <w:tcPr/>
          <w:p>
            <w:pPr>
              <w:pStyle w:val="Compact"/>
            </w:pPr>
            <w:r>
              <w:t xml:space="preserve">รายไตรมาส</w:t>
            </w:r>
          </w:p>
        </w:tc>
      </w:tr>
      <w:tr>
        <w:tc>
          <w:tcPr/>
          <w:p>
            <w:pPr>
              <w:pStyle w:val="Compact"/>
            </w:pPr>
            <w:r>
              <w:t xml:space="preserve">K-14</w:t>
            </w:r>
          </w:p>
        </w:tc>
        <w:tc>
          <w:tcPr/>
          <w:p>
            <w:pPr>
              <w:pStyle w:val="Compact"/>
            </w:pPr>
            <w:r>
              <w:t xml:space="preserve">Reconciliation mismatch ค้างเกิน T+1</w:t>
            </w:r>
          </w:p>
        </w:tc>
        <w:tc>
          <w:tcPr/>
          <w:p>
            <w:pPr>
              <w:pStyle w:val="Compact"/>
            </w:pPr>
            <w:r>
              <w:t xml:space="preserve">0</w:t>
            </w:r>
          </w:p>
        </w:tc>
        <w:tc>
          <w:tcPr/>
          <w:p>
            <w:pPr>
              <w:pStyle w:val="Compact"/>
            </w:pPr>
            <w:r>
              <w:t xml:space="preserve">1–5 รายการ</w:t>
            </w:r>
          </w:p>
        </w:tc>
        <w:tc>
          <w:tcPr/>
          <w:p>
            <w:pPr>
              <w:pStyle w:val="Compact"/>
            </w:pPr>
            <w:r>
              <w:t xml:space="preserve">&gt; 5 รายการ</w:t>
            </w:r>
          </w:p>
        </w:tc>
        <w:tc>
          <w:tcPr/>
          <w:p>
            <w:pPr>
              <w:pStyle w:val="Compact"/>
            </w:pPr>
            <w:r>
              <w:t xml:space="preserve">รายวัน</w:t>
            </w:r>
          </w:p>
        </w:tc>
      </w:tr>
    </w:tbl>
    <w:p>
      <w:pPr>
        <w:pStyle w:val="BlockText"/>
      </w:pPr>
      <w:r>
        <w:t xml:space="preserve">เมื่อ KRI เข้าเขต</w:t>
      </w:r>
      <w:r>
        <w:t xml:space="preserve"> </w:t>
      </w:r>
      <w:r>
        <w:rPr>
          <w:b/>
          <w:bCs/>
        </w:rPr>
        <w:t xml:space="preserve">แดง</w:t>
      </w:r>
      <w:r>
        <w:t xml:space="preserve"> </w:t>
      </w:r>
      <w:r>
        <w:t xml:space="preserve">ระบบต้องสร้าง alert อัตโนมัติไปยัง on-call และ CISO และเปิด case ติดตามจนปิด (พร้อม root cause)</w:t>
      </w:r>
    </w:p>
    <w:p>
      <w:r>
        <w:pict>
          <v:rect style="width:0;height:1.5pt" o:hralign="center" o:hrstd="t" o:hr="t"/>
        </w:pict>
      </w:r>
    </w:p>
    <w:bookmarkEnd w:id="423"/>
    <w:bookmarkStart w:id="427" w:name="Xa89e2100ea099252e180eb2457adfd1cc0433a4"/>
    <w:p>
      <w:pPr>
        <w:pStyle w:val="Heading2"/>
      </w:pPr>
      <w:r>
        <w:t xml:space="preserve">7. การบริหารเหตุการณ์ (Incident Management) และการรายงานตามกฎหมาย</w:t>
      </w:r>
    </w:p>
    <w:bookmarkStart w:id="424" w:name="การจดระดบเหตการณ"/>
    <w:p>
      <w:pPr>
        <w:pStyle w:val="Heading3"/>
      </w:pPr>
      <w:r>
        <w:t xml:space="preserve">7.1 การจัดระดับเหตุการณ์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ระดับ</w:t>
            </w:r>
          </w:p>
        </w:tc>
        <w:tc>
          <w:tcPr/>
          <w:p>
            <w:pPr>
              <w:pStyle w:val="Compact"/>
            </w:pPr>
            <w:r>
              <w:t xml:space="preserve">นิยาม</w:t>
            </w:r>
          </w:p>
        </w:tc>
        <w:tc>
          <w:tcPr/>
          <w:p>
            <w:pPr>
              <w:pStyle w:val="Compact"/>
            </w:pPr>
            <w:r>
              <w:t xml:space="preserve">ตัวอย่าง</w:t>
            </w:r>
          </w:p>
        </w:tc>
      </w:tr>
      <w:tr>
        <w:tc>
          <w:tcPr/>
          <w:p>
            <w:pPr>
              <w:pStyle w:val="Compact"/>
            </w:pPr>
            <w:r>
              <w:rPr>
                <w:b/>
                <w:bCs/>
              </w:rPr>
              <w:t xml:space="preserve">Sev1 (Critical)</w:t>
            </w:r>
          </w:p>
        </w:tc>
        <w:tc>
          <w:tcPr/>
          <w:p>
            <w:pPr>
              <w:pStyle w:val="Compact"/>
            </w:pPr>
            <w:r>
              <w:t xml:space="preserve">กระทบบริการทั้งระบบ / ข้อมูลบัตร-PII รั่วไหล</w:t>
            </w:r>
          </w:p>
        </w:tc>
        <w:tc>
          <w:tcPr/>
          <w:p>
            <w:pPr>
              <w:pStyle w:val="Compact"/>
            </w:pPr>
            <w:r>
              <w:t xml:space="preserve">CDE ถูกเจาะ, ระบบล่มทั้งหมด, ransomware</w:t>
            </w:r>
          </w:p>
        </w:tc>
      </w:tr>
      <w:tr>
        <w:tc>
          <w:tcPr/>
          <w:p>
            <w:pPr>
              <w:pStyle w:val="Compact"/>
            </w:pPr>
            <w:r>
              <w:rPr>
                <w:b/>
                <w:bCs/>
              </w:rPr>
              <w:t xml:space="preserve">Sev2 (High)</w:t>
            </w:r>
          </w:p>
        </w:tc>
        <w:tc>
          <w:tcPr/>
          <w:p>
            <w:pPr>
              <w:pStyle w:val="Compact"/>
            </w:pPr>
            <w:r>
              <w:t xml:space="preserve">กระทบบางส่วน / เสี่ยงบานปลาย</w:t>
            </w:r>
          </w:p>
        </w:tc>
        <w:tc>
          <w:tcPr/>
          <w:p>
            <w:pPr>
              <w:pStyle w:val="Compact"/>
            </w:pPr>
            <w:r>
              <w:t xml:space="preserve">latency spike รุนแรง, การเข้าถึงผิดปกติ</w:t>
            </w:r>
          </w:p>
        </w:tc>
      </w:tr>
      <w:tr>
        <w:tc>
          <w:tcPr/>
          <w:p>
            <w:pPr>
              <w:pStyle w:val="Compact"/>
            </w:pPr>
            <w:r>
              <w:rPr>
                <w:b/>
                <w:bCs/>
              </w:rPr>
              <w:t xml:space="preserve">Sev3 (Medium)</w:t>
            </w:r>
          </w:p>
        </w:tc>
        <w:tc>
          <w:tcPr/>
          <w:p>
            <w:pPr>
              <w:pStyle w:val="Compact"/>
            </w:pPr>
            <w:r>
              <w:t xml:space="preserve">กระทบจำกัด</w:t>
            </w:r>
          </w:p>
        </w:tc>
        <w:tc>
          <w:tcPr/>
          <w:p>
            <w:pPr>
              <w:pStyle w:val="Compact"/>
            </w:pPr>
            <w:r>
              <w:t xml:space="preserve">เสื่อมประสิทธิภาพบางฟีเจอร์</w:t>
            </w:r>
          </w:p>
        </w:tc>
      </w:tr>
      <w:tr>
        <w:tc>
          <w:tcPr/>
          <w:p>
            <w:pPr>
              <w:pStyle w:val="Compact"/>
            </w:pPr>
            <w:r>
              <w:rPr>
                <w:b/>
                <w:bCs/>
              </w:rPr>
              <w:t xml:space="preserve">Sev4 (Low)</w:t>
            </w:r>
          </w:p>
        </w:tc>
        <w:tc>
          <w:tcPr/>
          <w:p>
            <w:pPr>
              <w:pStyle w:val="Compact"/>
            </w:pPr>
            <w:r>
              <w:t xml:space="preserve">ไม่กระทบผู้ใช้</w:t>
            </w:r>
          </w:p>
        </w:tc>
        <w:tc>
          <w:tcPr/>
          <w:p>
            <w:pPr>
              <w:pStyle w:val="Compact"/>
            </w:pPr>
            <w:r>
              <w:t xml:space="preserve">near miss, ข้อสังเกตจาก log</w:t>
            </w:r>
          </w:p>
        </w:tc>
      </w:tr>
    </w:tbl>
    <w:bookmarkEnd w:id="424"/>
    <w:bookmarkStart w:id="425" w:name="Xdab13519e8f206988103fa85d850dbde5a356df"/>
    <w:p>
      <w:pPr>
        <w:pStyle w:val="Heading3"/>
      </w:pPr>
      <w:r>
        <w:t xml:space="preserve">7.2 กระบวนการ (NIST CSF: Detect → Respond → Recover)</w:t>
      </w:r>
    </w:p>
    <w:p>
      <w:pPr>
        <w:pStyle w:val="FirstParagraph"/>
      </w:pPr>
      <w:r>
        <w:t xml:space="preserve">Detect → Triage/จัดระดับ → Contain → Eradicate → Recover →</w:t>
      </w:r>
      <w:r>
        <w:t xml:space="preserve"> </w:t>
      </w:r>
      <w:r>
        <w:rPr>
          <w:b/>
          <w:bCs/>
        </w:rPr>
        <w:t xml:space="preserve">Post-Incident Review (blameless) ภายใน 5 วันทำการ</w:t>
      </w:r>
    </w:p>
    <w:bookmarkEnd w:id="425"/>
    <w:bookmarkStart w:id="426" w:name="กรอบเวลาการแจงเหตตามกฎหมาย-สำคญมาก"/>
    <w:p>
      <w:pPr>
        <w:pStyle w:val="Heading3"/>
      </w:pPr>
      <w:r>
        <w:t xml:space="preserve">7.3 กรอบเวลาการแจ้งเหตุตามกฎหมาย (สำคัญมาก)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หน่วยงาน</w:t>
            </w:r>
          </w:p>
        </w:tc>
        <w:tc>
          <w:tcPr/>
          <w:p>
            <w:pPr>
              <w:pStyle w:val="Compact"/>
            </w:pPr>
            <w:r>
              <w:t xml:space="preserve">เงื่อนไข</w:t>
            </w:r>
          </w:p>
        </w:tc>
        <w:tc>
          <w:tcPr/>
          <w:p>
            <w:pPr>
              <w:pStyle w:val="Compact"/>
            </w:pPr>
            <w:r>
              <w:t xml:space="preserve">กรอบเวลา</w:t>
            </w:r>
          </w:p>
        </w:tc>
      </w:tr>
      <w:tr>
        <w:tc>
          <w:tcPr/>
          <w:p>
            <w:pPr>
              <w:pStyle w:val="Compact"/>
            </w:pPr>
            <w:r>
              <w:rPr>
                <w:b/>
                <w:bCs/>
              </w:rPr>
              <w:t xml:space="preserve">PDPC</w:t>
            </w:r>
          </w:p>
        </w:tc>
        <w:tc>
          <w:tcPr/>
          <w:p>
            <w:pPr>
              <w:pStyle w:val="Compact"/>
            </w:pPr>
            <w:r>
              <w:t xml:space="preserve">เหตุละเมิดข้อมูลส่วนบุคคลที่เสี่ยงต่อสิทธิเสรีภาพ</w:t>
            </w:r>
          </w:p>
        </w:tc>
        <w:tc>
          <w:tcPr/>
          <w:p>
            <w:pPr>
              <w:pStyle w:val="Compact"/>
            </w:pPr>
            <w:r>
              <w:rPr>
                <w:b/>
                <w:bCs/>
              </w:rPr>
              <w:t xml:space="preserve">ภายใน 72 ชั่วโมง</w:t>
            </w:r>
            <w:r>
              <w:t xml:space="preserve"> </w:t>
            </w:r>
            <w:r>
              <w:t xml:space="preserve">นับแต่ทราบเหตุ (ตาม PDPA)</w:t>
            </w:r>
          </w:p>
        </w:tc>
      </w:tr>
      <w:tr>
        <w:tc>
          <w:tcPr/>
          <w:p>
            <w:pPr>
              <w:pStyle w:val="Compact"/>
            </w:pPr>
            <w:r>
              <w:rPr>
                <w:b/>
                <w:bCs/>
              </w:rPr>
              <w:t xml:space="preserve">เจ้าของข้อมูล (Data Subject)</w:t>
            </w:r>
          </w:p>
        </w:tc>
        <w:tc>
          <w:tcPr/>
          <w:p>
            <w:pPr>
              <w:pStyle w:val="Compact"/>
            </w:pPr>
            <w:r>
              <w:t xml:space="preserve">กรณีเสี่ยงสูงต่อบุคคล</w:t>
            </w:r>
          </w:p>
        </w:tc>
        <w:tc>
          <w:tcPr/>
          <w:p>
            <w:pPr>
              <w:pStyle w:val="Compact"/>
            </w:pPr>
            <w:r>
              <w:t xml:space="preserve">โดยไม่ชักช้า</w:t>
            </w:r>
          </w:p>
        </w:tc>
      </w:tr>
      <w:tr>
        <w:tc>
          <w:tcPr/>
          <w:p>
            <w:pPr>
              <w:pStyle w:val="Compact"/>
            </w:pPr>
            <w:r>
              <w:rPr>
                <w:b/>
                <w:bCs/>
              </w:rPr>
              <w:t xml:space="preserve">ธปท.</w:t>
            </w:r>
          </w:p>
        </w:tc>
        <w:tc>
          <w:tcPr/>
          <w:p>
            <w:pPr>
              <w:pStyle w:val="Compact"/>
            </w:pPr>
            <w:r>
              <w:t xml:space="preserve">เหตุการณ์ IT/cyber ที่กระทบบริการชำระเงินอย่างมีนัยสำคัญ</w:t>
            </w:r>
          </w:p>
        </w:tc>
        <w:tc>
          <w:tcPr/>
          <w:p>
            <w:pPr>
              <w:pStyle w:val="Compact"/>
            </w:pPr>
            <w:r>
              <w:t xml:space="preserve">ตามกรอบเวลาที่ประกาศ ธปท. กำหนด (</w:t>
            </w:r>
            <w:r>
              <w:rPr>
                <w:b/>
                <w:bCs/>
              </w:rPr>
              <w:t xml:space="preserve">[TODO/ยืนยันชั่วโมงที่แน่นอน]</w:t>
            </w:r>
            <w:r>
              <w:t xml:space="preserve">)</w:t>
            </w:r>
          </w:p>
        </w:tc>
      </w:tr>
      <w:tr>
        <w:tc>
          <w:tcPr/>
          <w:p>
            <w:pPr>
              <w:pStyle w:val="Compact"/>
            </w:pPr>
            <w:r>
              <w:rPr>
                <w:b/>
                <w:bCs/>
              </w:rPr>
              <w:t xml:space="preserve">card scheme / sponsor bank</w:t>
            </w:r>
          </w:p>
        </w:tc>
        <w:tc>
          <w:tcPr/>
          <w:p>
            <w:pPr>
              <w:pStyle w:val="Compact"/>
            </w:pPr>
            <w:r>
              <w:t xml:space="preserve">สงสัยข้อมูลบัตรรั่ว (suspected account data compromise)</w:t>
            </w:r>
          </w:p>
        </w:tc>
        <w:tc>
          <w:tcPr/>
          <w:p>
            <w:pPr>
              <w:pStyle w:val="Compact"/>
            </w:pPr>
            <w:r>
              <w:t xml:space="preserve">ตามกฎ Visa/Mastercard (โดยทันที)</w:t>
            </w:r>
          </w:p>
        </w:tc>
      </w:tr>
      <w:tr>
        <w:tc>
          <w:tcPr/>
          <w:p>
            <w:pPr>
              <w:pStyle w:val="Compact"/>
            </w:pPr>
            <w:r>
              <w:rPr>
                <w:b/>
                <w:bCs/>
              </w:rPr>
              <w:t xml:space="preserve">ปปง./AMLO</w:t>
            </w:r>
          </w:p>
        </w:tc>
        <w:tc>
          <w:tcPr/>
          <w:p>
            <w:pPr>
              <w:pStyle w:val="Compact"/>
            </w:pPr>
            <w:r>
              <w:t xml:space="preserve">หากเหตุกระทบความสมบูรณ์ของธุรกรรม/ระบบ AML</w:t>
            </w:r>
          </w:p>
        </w:tc>
        <w:tc>
          <w:tcPr/>
          <w:p>
            <w:pPr>
              <w:pStyle w:val="Compact"/>
            </w:pPr>
            <w:r>
              <w:t xml:space="preserve">ตามที่กฎหมายกำหนด</w:t>
            </w:r>
          </w:p>
        </w:tc>
      </w:tr>
    </w:tbl>
    <w:p>
      <w:pPr>
        <w:pStyle w:val="BlockText"/>
      </w:pPr>
      <w:r>
        <w:rPr>
          <w:b/>
          <w:bCs/>
        </w:rPr>
        <w:t xml:space="preserve">[TODO/ข้อสมมติ]</w:t>
      </w:r>
      <w:r>
        <w:t xml:space="preserve"> </w:t>
      </w:r>
      <w:r>
        <w:t xml:space="preserve">ต้องยืนยันกรอบเวลาการรายงานเหตุ IT/cyber ต่อ ธปท. และช่องทางที่แน่นอน (จำนวนชั่วโมง/แบบฟอร์ม) กับที่ปรึกษากฎหมายก่อนยื่น</w:t>
      </w:r>
    </w:p>
    <w:p>
      <w:r>
        <w:pict>
          <v:rect style="width:0;height:1.5pt" o:hralign="center" o:hrstd="t" o:hr="t"/>
        </w:pict>
      </w:r>
    </w:p>
    <w:bookmarkEnd w:id="426"/>
    <w:bookmarkEnd w:id="427"/>
    <w:bookmarkStart w:id="428" w:name="การรายงาน-reporting-cadence"/>
    <w:p>
      <w:pPr>
        <w:pStyle w:val="Heading2"/>
      </w:pPr>
      <w:r>
        <w:t xml:space="preserve">8. การรายงาน (Reporting Cadence)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รายงาน</w:t>
            </w:r>
          </w:p>
        </w:tc>
        <w:tc>
          <w:tcPr/>
          <w:p>
            <w:pPr>
              <w:pStyle w:val="Compact"/>
            </w:pPr>
            <w:r>
              <w:t xml:space="preserve">ผู้จัดทำ</w:t>
            </w:r>
          </w:p>
        </w:tc>
        <w:tc>
          <w:tcPr/>
          <w:p>
            <w:pPr>
              <w:pStyle w:val="Compact"/>
            </w:pPr>
            <w:r>
              <w:t xml:space="preserve">ผู้รับ</w:t>
            </w:r>
          </w:p>
        </w:tc>
        <w:tc>
          <w:tcPr/>
          <w:p>
            <w:pPr>
              <w:pStyle w:val="Compact"/>
            </w:pPr>
            <w:r>
              <w:t xml:space="preserve">ความถี่</w:t>
            </w:r>
          </w:p>
        </w:tc>
      </w:tr>
      <w:tr>
        <w:tc>
          <w:tcPr/>
          <w:p>
            <w:pPr>
              <w:pStyle w:val="Compact"/>
            </w:pPr>
            <w:r>
              <w:t xml:space="preserve">IT Risk &amp; Security Dashboard (KRI RAG)</w:t>
            </w:r>
          </w:p>
        </w:tc>
        <w:tc>
          <w:tcPr/>
          <w:p>
            <w:pPr>
              <w:pStyle w:val="Compact"/>
            </w:pPr>
            <w:r>
              <w:t xml:space="preserve">CISO</w:t>
            </w:r>
          </w:p>
        </w:tc>
        <w:tc>
          <w:tcPr/>
          <w:p>
            <w:pPr>
              <w:pStyle w:val="Compact"/>
            </w:pPr>
            <w:r>
              <w:t xml:space="preserve">IT Risk Committee</w:t>
            </w:r>
          </w:p>
        </w:tc>
        <w:tc>
          <w:tcPr/>
          <w:p>
            <w:pPr>
              <w:pStyle w:val="Compact"/>
            </w:pPr>
            <w:r>
              <w:rPr>
                <w:b/>
                <w:bCs/>
              </w:rPr>
              <w:t xml:space="preserve">รายเดือน</w:t>
            </w:r>
          </w:p>
        </w:tc>
      </w:tr>
      <w:tr>
        <w:tc>
          <w:tcPr/>
          <w:p>
            <w:pPr>
              <w:pStyle w:val="Compact"/>
            </w:pPr>
            <w:r>
              <w:t xml:space="preserve">รายงานความเสี่ยง IT + risk register</w:t>
            </w:r>
          </w:p>
        </w:tc>
        <w:tc>
          <w:tcPr/>
          <w:p>
            <w:pPr>
              <w:pStyle w:val="Compact"/>
            </w:pPr>
            <w:r>
              <w:t xml:space="preserve">CISO</w:t>
            </w:r>
          </w:p>
        </w:tc>
        <w:tc>
          <w:tcPr/>
          <w:p>
            <w:pPr>
              <w:pStyle w:val="Compact"/>
            </w:pPr>
            <w:r>
              <w:t xml:space="preserve">Risk Committee</w:t>
            </w:r>
          </w:p>
        </w:tc>
        <w:tc>
          <w:tcPr/>
          <w:p>
            <w:pPr>
              <w:pStyle w:val="Compact"/>
            </w:pPr>
            <w:r>
              <w:rPr>
                <w:b/>
                <w:bCs/>
              </w:rPr>
              <w:t xml:space="preserve">รายไตรมาส</w:t>
            </w:r>
          </w:p>
        </w:tc>
      </w:tr>
      <w:tr>
        <w:tc>
          <w:tcPr/>
          <w:p>
            <w:pPr>
              <w:pStyle w:val="Compact"/>
            </w:pPr>
            <w:r>
              <w:t xml:space="preserve">รายงานต่อคณะกรรมการบริษัท</w:t>
            </w:r>
          </w:p>
        </w:tc>
        <w:tc>
          <w:tcPr/>
          <w:p>
            <w:pPr>
              <w:pStyle w:val="Compact"/>
            </w:pPr>
            <w:r>
              <w:t xml:space="preserve">Risk Committee</w:t>
            </w:r>
          </w:p>
        </w:tc>
        <w:tc>
          <w:tcPr/>
          <w:p>
            <w:pPr>
              <w:pStyle w:val="Compact"/>
            </w:pPr>
            <w:r>
              <w:t xml:space="preserve">Board</w:t>
            </w:r>
          </w:p>
        </w:tc>
        <w:tc>
          <w:tcPr/>
          <w:p>
            <w:pPr>
              <w:pStyle w:val="Compact"/>
            </w:pPr>
            <w:r>
              <w:rPr>
                <w:b/>
                <w:bCs/>
              </w:rPr>
              <w:t xml:space="preserve">รายไตรมาส</w:t>
            </w:r>
          </w:p>
        </w:tc>
      </w:tr>
      <w:tr>
        <w:tc>
          <w:tcPr/>
          <w:p>
            <w:pPr>
              <w:pStyle w:val="Compact"/>
            </w:pPr>
            <w:r>
              <w:t xml:space="preserve">Incident report (Sev1/Sev2)</w:t>
            </w:r>
          </w:p>
        </w:tc>
        <w:tc>
          <w:tcPr/>
          <w:p>
            <w:pPr>
              <w:pStyle w:val="Compact"/>
            </w:pPr>
            <w:r>
              <w:t xml:space="preserve">Incident Commander</w:t>
            </w:r>
          </w:p>
        </w:tc>
        <w:tc>
          <w:tcPr/>
          <w:p>
            <w:pPr>
              <w:pStyle w:val="Compact"/>
            </w:pPr>
            <w:r>
              <w:t xml:space="preserve">CISO → Board (Sev1)</w:t>
            </w:r>
          </w:p>
        </w:tc>
        <w:tc>
          <w:tcPr/>
          <w:p>
            <w:pPr>
              <w:pStyle w:val="Compact"/>
            </w:pPr>
            <w:r>
              <w:t xml:space="preserve">ต่อเหตุการณ์ + สรุปรายเดือน</w:t>
            </w:r>
          </w:p>
        </w:tc>
      </w:tr>
      <w:tr>
        <w:tc>
          <w:tcPr/>
          <w:p>
            <w:pPr>
              <w:pStyle w:val="Compact"/>
            </w:pPr>
            <w:r>
              <w:t xml:space="preserve">ผลสแกน ASV</w:t>
            </w:r>
          </w:p>
        </w:tc>
        <w:tc>
          <w:tcPr/>
          <w:p>
            <w:pPr>
              <w:pStyle w:val="Compact"/>
            </w:pPr>
            <w:r>
              <w:t xml:space="preserve">ASV vendor</w:t>
            </w:r>
          </w:p>
        </w:tc>
        <w:tc>
          <w:tcPr/>
          <w:p>
            <w:pPr>
              <w:pStyle w:val="Compact"/>
            </w:pPr>
            <w:r>
              <w:t xml:space="preserve">CISO</w:t>
            </w:r>
          </w:p>
        </w:tc>
        <w:tc>
          <w:tcPr/>
          <w:p>
            <w:pPr>
              <w:pStyle w:val="Compact"/>
            </w:pPr>
            <w:r>
              <w:rPr>
                <w:b/>
                <w:bCs/>
              </w:rPr>
              <w:t xml:space="preserve">รายไตรมาส</w:t>
            </w:r>
          </w:p>
        </w:tc>
      </w:tr>
      <w:tr>
        <w:tc>
          <w:tcPr/>
          <w:p>
            <w:pPr>
              <w:pStyle w:val="Compact"/>
            </w:pPr>
            <w:r>
              <w:t xml:space="preserve">ผล penetration test</w:t>
            </w:r>
          </w:p>
        </w:tc>
        <w:tc>
          <w:tcPr/>
          <w:p>
            <w:pPr>
              <w:pStyle w:val="Compact"/>
            </w:pPr>
            <w:r>
              <w:t xml:space="preserve">ผู้ตรวจ + CISO</w:t>
            </w:r>
          </w:p>
        </w:tc>
        <w:tc>
          <w:tcPr/>
          <w:p>
            <w:pPr>
              <w:pStyle w:val="Compact"/>
            </w:pPr>
            <w:r>
              <w:t xml:space="preserve">Risk/Audit Committee</w:t>
            </w:r>
          </w:p>
        </w:tc>
        <w:tc>
          <w:tcPr/>
          <w:p>
            <w:pPr>
              <w:pStyle w:val="Compact"/>
            </w:pPr>
            <w:r>
              <w:rPr>
                <w:b/>
                <w:bCs/>
              </w:rPr>
              <w:t xml:space="preserve">รายปี</w:t>
            </w:r>
            <w:r>
              <w:t xml:space="preserve"> </w:t>
            </w:r>
            <w:r>
              <w:t xml:space="preserve">(+ เมื่อเปลี่ยนแปลงสำคัญ)</w:t>
            </w:r>
          </w:p>
        </w:tc>
      </w:tr>
      <w:tr>
        <w:tc>
          <w:tcPr/>
          <w:p>
            <w:pPr>
              <w:pStyle w:val="Compact"/>
            </w:pPr>
            <w:r>
              <w:t xml:space="preserve">PCI-DSS RoC / AoC</w:t>
            </w:r>
          </w:p>
        </w:tc>
        <w:tc>
          <w:tcPr/>
          <w:p>
            <w:pPr>
              <w:pStyle w:val="Compact"/>
            </w:pPr>
            <w:r>
              <w:rPr>
                <w:b/>
                <w:bCs/>
              </w:rPr>
              <w:t xml:space="preserve">QSA</w:t>
            </w:r>
          </w:p>
        </w:tc>
        <w:tc>
          <w:tcPr/>
          <w:p>
            <w:pPr>
              <w:pStyle w:val="Compact"/>
            </w:pPr>
            <w:r>
              <w:t xml:space="preserve">ธปท. / scheme / Board</w:t>
            </w:r>
          </w:p>
        </w:tc>
        <w:tc>
          <w:tcPr/>
          <w:p>
            <w:pPr>
              <w:pStyle w:val="Compact"/>
            </w:pPr>
            <w:r>
              <w:rPr>
                <w:b/>
                <w:bCs/>
              </w:rPr>
              <w:t xml:space="preserve">รายปี</w:t>
            </w:r>
          </w:p>
        </w:tc>
      </w:tr>
      <w:tr>
        <w:tc>
          <w:tcPr/>
          <w:p>
            <w:pPr>
              <w:pStyle w:val="Compact"/>
            </w:pPr>
            <w:r>
              <w:t xml:space="preserve">รายงานเชิงกำกับดูแลต่อ ธปท.</w:t>
            </w:r>
          </w:p>
        </w:tc>
        <w:tc>
          <w:tcPr/>
          <w:p>
            <w:pPr>
              <w:pStyle w:val="Compact"/>
            </w:pPr>
            <w:r>
              <w:t xml:space="preserve">Compliance + CISO</w:t>
            </w:r>
          </w:p>
        </w:tc>
        <w:tc>
          <w:tcPr/>
          <w:p>
            <w:pPr>
              <w:pStyle w:val="Compact"/>
            </w:pPr>
            <w:r>
              <w:t xml:space="preserve">ธปท.</w:t>
            </w:r>
          </w:p>
        </w:tc>
        <w:tc>
          <w:tcPr/>
          <w:p>
            <w:pPr>
              <w:pStyle w:val="Compact"/>
            </w:pPr>
            <w:r>
              <w:t xml:space="preserve">ตามงวดที่ ธปท. กำหนด</w:t>
            </w:r>
          </w:p>
        </w:tc>
      </w:tr>
    </w:tbl>
    <w:p>
      <w:r>
        <w:pict>
          <v:rect style="width:0;height:1.5pt" o:hralign="center" o:hrstd="t" o:hr="t"/>
        </w:pict>
      </w:r>
    </w:p>
    <w:bookmarkEnd w:id="428"/>
    <w:bookmarkStart w:id="430" w:name="การทบทวนนโยบายและขอสมมตทยงไมปด"/>
    <w:p>
      <w:pPr>
        <w:pStyle w:val="Heading2"/>
      </w:pPr>
      <w:r>
        <w:t xml:space="preserve">9. การทบทวนนโยบายและข้อสมมติที่ยังไม่ปิด</w:t>
      </w:r>
    </w:p>
    <w:p>
      <w:pPr>
        <w:pStyle w:val="Compact"/>
        <w:numPr>
          <w:ilvl w:val="0"/>
          <w:numId w:val="1173"/>
        </w:numPr>
      </w:pPr>
      <w:r>
        <w:rPr>
          <w:b/>
          <w:bCs/>
        </w:rPr>
        <w:t xml:space="preserve">รอบทบทวน:</w:t>
      </w:r>
      <w:r>
        <w:t xml:space="preserve"> </w:t>
      </w:r>
      <w:r>
        <w:t xml:space="preserve">นโยบายนี้ทบทวน</w:t>
      </w:r>
      <w:r>
        <w:t xml:space="preserve"> </w:t>
      </w:r>
      <w:r>
        <w:rPr>
          <w:b/>
          <w:bCs/>
        </w:rPr>
        <w:t xml:space="preserve">อย่างน้อยปีละ 1 ครั้ง</w:t>
      </w:r>
      <w:r>
        <w:t xml:space="preserve"> </w:t>
      </w:r>
      <w:r>
        <w:t xml:space="preserve">และเมื่อมีการเปลี่ยนแปลงกฎเกณฑ์/สถาปัตยกรรมสำคัญ อนุมัติโดยคณะกรรมการบริษัท</w:t>
      </w:r>
    </w:p>
    <w:bookmarkStart w:id="429" w:name="สรปขอสมมต-todo-ทตองปดกอนยนจรง"/>
    <w:p>
      <w:pPr>
        <w:pStyle w:val="Heading3"/>
      </w:pPr>
      <w:r>
        <w:t xml:space="preserve">สรุปข้อสมมติ / TODO ที่ต้องปิดก่อนยื่นจริง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ประเด็นที่ยังไม่ resolve</w:t>
            </w:r>
          </w:p>
        </w:tc>
        <w:tc>
          <w:tcPr/>
          <w:p>
            <w:pPr>
              <w:pStyle w:val="Compact"/>
            </w:pPr>
            <w:r>
              <w:t xml:space="preserve">ผู้รับผิดชอบปิด</w:t>
            </w:r>
          </w:p>
        </w:tc>
      </w:tr>
      <w:tr>
        <w:tc>
          <w:tcPr/>
          <w:p>
            <w:pPr>
              <w:pStyle w:val="Compact"/>
            </w:pPr>
            <w:r>
              <w:t xml:space="preserve">A-1</w:t>
            </w:r>
          </w:p>
        </w:tc>
        <w:tc>
          <w:tcPr/>
          <w:p>
            <w:pPr>
              <w:pStyle w:val="Compact"/>
            </w:pPr>
            <w:r>
              <w:rPr>
                <w:b/>
                <w:bCs/>
              </w:rPr>
              <w:t xml:space="preserve">Sponsor bank / acquirer</w:t>
            </w:r>
            <w:r>
              <w:t xml:space="preserve"> </w:t>
            </w:r>
            <w:r>
              <w:t xml:space="preserve">ยังไม่ลงนาม → ยังไม่มี SLA/exit terms จริง สำหรับ R-06</w:t>
            </w:r>
          </w:p>
        </w:tc>
        <w:tc>
          <w:tcPr/>
          <w:p>
            <w:pPr>
              <w:pStyle w:val="Compact"/>
            </w:pPr>
            <w:r>
              <w:t xml:space="preserve">CTO / Legal</w:t>
            </w:r>
          </w:p>
        </w:tc>
      </w:tr>
      <w:tr>
        <w:tc>
          <w:tcPr/>
          <w:p>
            <w:pPr>
              <w:pStyle w:val="Compact"/>
            </w:pPr>
            <w:r>
              <w:t xml:space="preserve">A-2</w:t>
            </w:r>
          </w:p>
        </w:tc>
        <w:tc>
          <w:tcPr/>
          <w:p>
            <w:pPr>
              <w:pStyle w:val="Compact"/>
            </w:pPr>
            <w:r>
              <w:rPr>
                <w:b/>
                <w:bCs/>
              </w:rPr>
              <w:t xml:space="preserve">QSA vendor</w:t>
            </w:r>
            <w:r>
              <w:t xml:space="preserve"> </w:t>
            </w:r>
            <w:r>
              <w:t xml:space="preserve">ยังไม่ว่าจ้าง → กำหนดการ RoC และ scope validation ยังเป็นประมาณการ</w:t>
            </w:r>
          </w:p>
        </w:tc>
        <w:tc>
          <w:tcPr/>
          <w:p>
            <w:pPr>
              <w:pStyle w:val="Compact"/>
            </w:pPr>
            <w:r>
              <w:t xml:space="preserve">CISO</w:t>
            </w:r>
          </w:p>
        </w:tc>
      </w:tr>
      <w:tr>
        <w:tc>
          <w:tcPr/>
          <w:p>
            <w:pPr>
              <w:pStyle w:val="Compact"/>
            </w:pPr>
            <w:r>
              <w:t xml:space="preserve">A-3</w:t>
            </w:r>
          </w:p>
        </w:tc>
        <w:tc>
          <w:tcPr/>
          <w:p>
            <w:pPr>
              <w:pStyle w:val="Compact"/>
            </w:pPr>
            <w:r>
              <w:rPr>
                <w:b/>
                <w:bCs/>
              </w:rPr>
              <w:t xml:space="preserve">ASV vendor</w:t>
            </w:r>
            <w:r>
              <w:t xml:space="preserve"> </w:t>
            </w:r>
            <w:r>
              <w:t xml:space="preserve">และผู้ให้บริการ pentest ยังไม่เลือก</w:t>
            </w:r>
          </w:p>
        </w:tc>
        <w:tc>
          <w:tcPr/>
          <w:p>
            <w:pPr>
              <w:pStyle w:val="Compact"/>
            </w:pPr>
            <w:r>
              <w:t xml:space="preserve">CISO</w:t>
            </w:r>
          </w:p>
        </w:tc>
      </w:tr>
      <w:tr>
        <w:tc>
          <w:tcPr/>
          <w:p>
            <w:pPr>
              <w:pStyle w:val="Compact"/>
            </w:pPr>
            <w:r>
              <w:t xml:space="preserve">A-4</w:t>
            </w:r>
          </w:p>
        </w:tc>
        <w:tc>
          <w:tcPr/>
          <w:p>
            <w:pPr>
              <w:pStyle w:val="Compact"/>
            </w:pPr>
            <w:r>
              <w:rPr>
                <w:b/>
                <w:bCs/>
              </w:rPr>
              <w:t xml:space="preserve">ทุนจดทะเบียนชำระแล้ว 50 ล้านบาท</w:t>
            </w:r>
            <w:r>
              <w:t xml:space="preserve"> </w:t>
            </w:r>
            <w:r>
              <w:t xml:space="preserve">ต้องยืนยันชำระจริงและคงไว้ ≥ 75% (เชื่อมเอกสาร 02)</w:t>
            </w:r>
          </w:p>
        </w:tc>
        <w:tc>
          <w:tcPr/>
          <w:p>
            <w:pPr>
              <w:pStyle w:val="Compact"/>
            </w:pPr>
            <w:r>
              <w:t xml:space="preserve">CFO</w:t>
            </w:r>
          </w:p>
        </w:tc>
      </w:tr>
      <w:tr>
        <w:tc>
          <w:tcPr/>
          <w:p>
            <w:pPr>
              <w:pStyle w:val="Compact"/>
            </w:pPr>
            <w:r>
              <w:t xml:space="preserve">A-5</w:t>
            </w:r>
          </w:p>
        </w:tc>
        <w:tc>
          <w:tcPr/>
          <w:p>
            <w:pPr>
              <w:pStyle w:val="Compact"/>
            </w:pPr>
            <w:r>
              <w:t xml:space="preserve">การแต่งตั้ง</w:t>
            </w:r>
            <w:r>
              <w:t xml:space="preserve"> </w:t>
            </w:r>
            <w:r>
              <w:rPr>
                <w:b/>
                <w:bCs/>
              </w:rPr>
              <w:t xml:space="preserve">CISO/DPO</w:t>
            </w:r>
            <w:r>
              <w:t xml:space="preserve"> </w:t>
            </w:r>
            <w:r>
              <w:t xml:space="preserve">อย่างเป็นทางการพร้อมมติคณะกรรมการ</w:t>
            </w:r>
          </w:p>
        </w:tc>
        <w:tc>
          <w:tcPr/>
          <w:p>
            <w:pPr>
              <w:pStyle w:val="Compact"/>
            </w:pPr>
            <w:r>
              <w:t xml:space="preserve">Board / HR</w:t>
            </w:r>
          </w:p>
        </w:tc>
      </w:tr>
      <w:tr>
        <w:tc>
          <w:tcPr/>
          <w:p>
            <w:pPr>
              <w:pStyle w:val="Compact"/>
            </w:pPr>
            <w:r>
              <w:t xml:space="preserve">A-6</w:t>
            </w:r>
          </w:p>
        </w:tc>
        <w:tc>
          <w:tcPr/>
          <w:p>
            <w:pPr>
              <w:pStyle w:val="Compact"/>
            </w:pPr>
            <w:r>
              <w:t xml:space="preserve">กรอบเวลารายงานเหตุ cyber ต่อ</w:t>
            </w:r>
            <w:r>
              <w:t xml:space="preserve"> </w:t>
            </w:r>
            <w:r>
              <w:rPr>
                <w:b/>
                <w:bCs/>
              </w:rPr>
              <w:t xml:space="preserve">ธปท.</w:t>
            </w:r>
            <w:r>
              <w:t xml:space="preserve"> </w:t>
            </w:r>
            <w:r>
              <w:t xml:space="preserve">และสถานะ</w:t>
            </w:r>
            <w:r>
              <w:t xml:space="preserve"> </w:t>
            </w:r>
            <w:r>
              <w:rPr>
                <w:b/>
                <w:bCs/>
              </w:rPr>
              <w:t xml:space="preserve">CII</w:t>
            </w:r>
            <w:r>
              <w:t xml:space="preserve"> </w:t>
            </w:r>
            <w:r>
              <w:t xml:space="preserve">ภายใต้ พ.ร.บ. ไซเบอร์ฯ</w:t>
            </w:r>
          </w:p>
        </w:tc>
        <w:tc>
          <w:tcPr/>
          <w:p>
            <w:pPr>
              <w:pStyle w:val="Compact"/>
            </w:pPr>
            <w:r>
              <w:t xml:space="preserve">Legal</w:t>
            </w:r>
          </w:p>
        </w:tc>
      </w:tr>
    </w:tbl>
    <w:p>
      <w:r>
        <w:pict>
          <v:rect style="width:0;height:1.5pt" o:hralign="center" o:hrstd="t" o:hr="t"/>
        </w:pict>
      </w:r>
    </w:p>
    <w:bookmarkEnd w:id="429"/>
    <w:bookmarkEnd w:id="430"/>
    <w:bookmarkEnd w:id="431"/>
    <w:bookmarkStart w:id="453" w:name="Xd9f5b4db3a0e70730ce1f36c88702b40515812f"/>
    <w:p>
      <w:pPr>
        <w:pStyle w:val="Heading1"/>
      </w:pPr>
      <w:r>
        <w:t xml:space="preserve">IT Risk Management policy per BOT IT-risk guidelines: risk assessment, controls, KRIs, reporting (English)</w:t>
      </w:r>
    </w:p>
    <w:p>
      <w:pPr>
        <w:pStyle w:val="BlockText"/>
      </w:pPr>
      <w:r>
        <w:t xml:space="preserve">Document</w:t>
      </w:r>
      <w:r>
        <w:t xml:space="preserve"> </w:t>
      </w:r>
      <w:r>
        <w:rPr>
          <w:b/>
          <w:bCs/>
        </w:rPr>
        <w:t xml:space="preserve">#13</w:t>
      </w:r>
      <w:r>
        <w:t xml:space="preserve"> </w:t>
      </w:r>
      <w:r>
        <w:t xml:space="preserve">in the Compliance document set for the license application for</w:t>
      </w:r>
      <w:r>
        <w:t xml:space="preserve"> </w:t>
      </w:r>
      <w:r>
        <w:rPr>
          <w:b/>
          <w:bCs/>
        </w:rPr>
        <w:t xml:space="preserve">Acquiring Payment Service (Full Acquiring)</w:t>
      </w:r>
      <w:r>
        <w:t xml:space="preserve"> </w:t>
      </w:r>
      <w:r>
        <w:t xml:space="preserve">under the</w:t>
      </w:r>
      <w:r>
        <w:t xml:space="preserve"> </w:t>
      </w:r>
      <w:r>
        <w:rPr>
          <w:b/>
          <w:bCs/>
        </w:rPr>
        <w:t xml:space="preserve">Payment Systems Act B.E. 2560 (2017)</w:t>
      </w:r>
      <w:r>
        <w:t xml:space="preserve">, supervised by the</w:t>
      </w:r>
      <w:r>
        <w:t xml:space="preserve"> </w:t>
      </w:r>
      <w:r>
        <w:rPr>
          <w:b/>
          <w:bCs/>
        </w:rPr>
        <w:t xml:space="preserve">Bank of Thailand (BOT)</w:t>
      </w:r>
      <w:r>
        <w:t xml:space="preserve">, in parallel with</w:t>
      </w:r>
      <w:r>
        <w:t xml:space="preserve"> </w:t>
      </w:r>
      <w:r>
        <w:rPr>
          <w:b/>
          <w:bCs/>
        </w:rPr>
        <w:t xml:space="preserve">PCI-DSS Level 1</w:t>
      </w:r>
      <w:r>
        <w:t xml:space="preserve">.</w:t>
      </w:r>
    </w:p>
    <w:p>
      <w:pPr>
        <w:pStyle w:val="BlockText"/>
      </w:pPr>
      <w:r>
        <w:rPr>
          <w:b/>
          <w:bCs/>
        </w:rPr>
        <w:t xml:space="preserve">Status:</w:t>
      </w:r>
      <w:r>
        <w:t xml:space="preserve"> </w:t>
      </w:r>
      <w:r>
        <w:t xml:space="preserve">submission draft · v0.1 · updated 2026-07-22</w:t>
      </w:r>
      <w:r>
        <w:t xml:space="preserve"> </w:t>
      </w:r>
      <w:r>
        <w:rPr>
          <w:b/>
          <w:bCs/>
        </w:rPr>
        <w:t xml:space="preserve">Owner:</w:t>
      </w:r>
      <w:r>
        <w:t xml:space="preserve"> </w:t>
      </w:r>
      <w:r>
        <w:t xml:space="preserve">Chief Information Security Officer (CISO) and the IT Risk Committee of</w:t>
      </w:r>
      <w:r>
        <w:t xml:space="preserve"> </w:t>
      </w:r>
      <w:r>
        <w:rPr>
          <w:b/>
          <w:bCs/>
        </w:rPr>
        <w:t xml:space="preserve">[บริษัท / Company]</w:t>
      </w:r>
    </w:p>
    <w:p>
      <w:pPr>
        <w:pStyle w:val="BlockText"/>
      </w:pPr>
      <w:r>
        <w:t xml:space="preserve">This is an internal policy and a license-application supporting document.</w:t>
      </w:r>
      <w:r>
        <w:t xml:space="preserve"> </w:t>
      </w:r>
      <w:r>
        <w:rPr>
          <w:b/>
          <w:bCs/>
        </w:rPr>
        <w:t xml:space="preserve">It is not legal advice</w:t>
      </w:r>
      <w:r>
        <w:t xml:space="preserve"> </w:t>
      </w:r>
      <w:r>
        <w:t xml:space="preserve">— it must be reviewed by legal counsel, the CISO, and the QSA before it takes effect, as BOT’s IT-risk and cyber-resilience notifications may be revised.</w:t>
      </w:r>
    </w:p>
    <w:p>
      <w:r>
        <w:pict>
          <v:rect style="width:0;height:1.5pt" o:hralign="center" o:hrstd="t" o:hr="t"/>
        </w:pict>
      </w:r>
    </w:p>
    <w:bookmarkStart w:id="432" w:name="executive-summary-3"/>
    <w:p>
      <w:pPr>
        <w:pStyle w:val="Heading2"/>
      </w:pPr>
      <w:r>
        <w:t xml:space="preserve">Executive Summary</w:t>
      </w:r>
    </w:p>
    <w:p>
      <w:pPr>
        <w:pStyle w:val="FirstParagraph"/>
      </w:pPr>
      <w:r>
        <w:t xml:space="preserve">As an acquiring payment gateway that processes cardholder data and executes real-time financial transactions,</w:t>
      </w:r>
      <w:r>
        <w:t xml:space="preserve"> </w:t>
      </w:r>
      <w:r>
        <w:rPr>
          <w:b/>
          <w:bCs/>
        </w:rPr>
        <w:t xml:space="preserve">[บริษัท / Company]</w:t>
      </w:r>
      <w:r>
        <w:t xml:space="preserve"> </w:t>
      </w:r>
      <w:r>
        <w:t xml:space="preserve">treats</w:t>
      </w:r>
      <w:r>
        <w:t xml:space="preserve"> </w:t>
      </w:r>
      <w:r>
        <w:rPr>
          <w:b/>
          <w:bCs/>
        </w:rPr>
        <w:t xml:space="preserve">IT Risk and Cyber Risk as an enterprise-level principal risk</w:t>
      </w:r>
      <w:r>
        <w:t xml:space="preserve">. This policy establishes the governance, assessment, control, and reporting framework for IT risk, aligned with:</w:t>
      </w:r>
    </w:p>
    <w:p>
      <w:pPr>
        <w:pStyle w:val="Compact"/>
        <w:numPr>
          <w:ilvl w:val="0"/>
          <w:numId w:val="1174"/>
        </w:numPr>
      </w:pPr>
      <w:r>
        <w:rPr>
          <w:b/>
          <w:bCs/>
        </w:rPr>
        <w:t xml:space="preserve">BOT IT-risk management and cyber-resilience guidelines</w:t>
      </w:r>
    </w:p>
    <w:p>
      <w:pPr>
        <w:pStyle w:val="Compact"/>
        <w:numPr>
          <w:ilvl w:val="0"/>
          <w:numId w:val="1174"/>
        </w:numPr>
      </w:pPr>
      <w:r>
        <w:rPr>
          <w:b/>
          <w:bCs/>
        </w:rPr>
        <w:t xml:space="preserve">PCI-DSS v4.0</w:t>
      </w:r>
      <w:r>
        <w:t xml:space="preserve"> </w:t>
      </w:r>
      <w:r>
        <w:t xml:space="preserve">(12 requirements) for cardholder data protection</w:t>
      </w:r>
    </w:p>
    <w:p>
      <w:pPr>
        <w:pStyle w:val="Compact"/>
        <w:numPr>
          <w:ilvl w:val="0"/>
          <w:numId w:val="1174"/>
        </w:numPr>
      </w:pPr>
      <w:r>
        <w:rPr>
          <w:b/>
          <w:bCs/>
        </w:rPr>
        <w:t xml:space="preserve">Personal Data Protection Act B.E. 2562 (PDPA)</w:t>
      </w:r>
      <w:r>
        <w:t xml:space="preserve">, supervised by the</w:t>
      </w:r>
      <w:r>
        <w:t xml:space="preserve"> </w:t>
      </w:r>
      <w:r>
        <w:rPr>
          <w:b/>
          <w:bCs/>
        </w:rPr>
        <w:t xml:space="preserve">PDPC</w:t>
      </w:r>
    </w:p>
    <w:p>
      <w:pPr>
        <w:pStyle w:val="Compact"/>
        <w:numPr>
          <w:ilvl w:val="0"/>
          <w:numId w:val="1174"/>
        </w:numPr>
      </w:pPr>
      <w:r>
        <w:rPr>
          <w:b/>
          <w:bCs/>
        </w:rPr>
        <w:t xml:space="preserve">Cybersecurity Act B.E. 2562</w:t>
      </w:r>
      <w:r>
        <w:t xml:space="preserve"> </w:t>
      </w:r>
      <w:r>
        <w:t xml:space="preserve">— as payment services may be designated Critical Information Infrastructure (CII)</w:t>
      </w:r>
    </w:p>
    <w:p>
      <w:pPr>
        <w:pStyle w:val="Compact"/>
        <w:numPr>
          <w:ilvl w:val="0"/>
          <w:numId w:val="1174"/>
        </w:numPr>
      </w:pPr>
      <w:r>
        <w:t xml:space="preserve">International reference standards:</w:t>
      </w:r>
      <w:r>
        <w:t xml:space="preserve"> </w:t>
      </w:r>
      <w:r>
        <w:rPr>
          <w:b/>
          <w:bCs/>
        </w:rPr>
        <w:t xml:space="preserve">ISO/IEC 27001:2022, NIST CSF 2.0, ISO 22301 (BCM)</w:t>
      </w:r>
    </w:p>
    <w:p>
      <w:pPr>
        <w:pStyle w:val="FirstParagraph"/>
      </w:pPr>
      <w:r>
        <w:t xml:space="preserve">It covers the</w:t>
      </w:r>
      <w:r>
        <w:t xml:space="preserve"> </w:t>
      </w:r>
      <w:r>
        <w:rPr>
          <w:b/>
          <w:bCs/>
        </w:rPr>
        <w:t xml:space="preserve">Three Lines of Defense</w:t>
      </w:r>
      <w:r>
        <w:t xml:space="preserve"> </w:t>
      </w:r>
      <w:r>
        <w:t xml:space="preserve">model, systematic risk assessment, risk-linked controls, Key Risk Indicators (KRIs) with defined thresholds, and reporting to the Board.</w:t>
      </w:r>
    </w:p>
    <w:p>
      <w:pPr>
        <w:pStyle w:val="BlockText"/>
      </w:pPr>
      <w:r>
        <w:rPr>
          <w:b/>
          <w:bCs/>
        </w:rPr>
        <w:t xml:space="preserve">Architecture linkage:</w:t>
      </w:r>
      <w:r>
        <w:t xml:space="preserve"> </w:t>
      </w:r>
      <w:r>
        <w:t xml:space="preserve">This policy governs the technical controls already designed in</w:t>
      </w:r>
      <w:r>
        <w:t xml:space="preserve"> </w:t>
      </w:r>
      <w:r>
        <w:rPr>
          <w:rStyle w:val="VerbatimChar"/>
        </w:rPr>
        <w:t xml:space="preserve">ARCHITECTURE.md</w:t>
      </w:r>
      <w:r>
        <w:t xml:space="preserve"> </w:t>
      </w:r>
      <w:r>
        <w:t xml:space="preserve">(segregated tokenization vault, append-only ledger, idempotency, audit_log, internal mTLS, HSM/KMS). It is the governance layer wrapping those controls.</w:t>
      </w:r>
    </w:p>
    <w:p>
      <w:r>
        <w:pict>
          <v:rect style="width:0;height:1.5pt" o:hralign="center" o:hrstd="t" o:hr="t"/>
        </w:pict>
      </w:r>
    </w:p>
    <w:bookmarkEnd w:id="432"/>
    <w:bookmarkStart w:id="433" w:name="legal-standards-basis"/>
    <w:p>
      <w:pPr>
        <w:pStyle w:val="Heading2"/>
      </w:pPr>
      <w:r>
        <w:t xml:space="preserve">1. Legal &amp; Standards Basis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Law / Standard</w:t>
            </w:r>
          </w:p>
        </w:tc>
        <w:tc>
          <w:tcPr/>
          <w:p>
            <w:pPr>
              <w:pStyle w:val="Compact"/>
            </w:pPr>
            <w:r>
              <w:t xml:space="preserve">Relevance to this policy</w:t>
            </w:r>
          </w:p>
        </w:tc>
      </w:tr>
      <w:tr>
        <w:tc>
          <w:tcPr/>
          <w:p>
            <w:pPr>
              <w:pStyle w:val="Compact"/>
            </w:pPr>
            <w:r>
              <w:rPr>
                <w:b/>
                <w:bCs/>
              </w:rPr>
              <w:t xml:space="preserve">Payment Systems Act B.E. 2560</w:t>
            </w:r>
          </w:p>
        </w:tc>
        <w:tc>
          <w:tcPr/>
          <w:p>
            <w:pPr>
              <w:pStyle w:val="Compact"/>
            </w:pPr>
            <w:r>
              <w:t xml:space="preserve">License conditions require a standards-grade IT risk-management and internal-control system; supervised by</w:t>
            </w:r>
            <w:r>
              <w:t xml:space="preserve"> </w:t>
            </w:r>
            <w:r>
              <w:rPr>
                <w:b/>
                <w:bCs/>
              </w:rPr>
              <w:t xml:space="preserve">BOT</w:t>
            </w:r>
          </w:p>
        </w:tc>
      </w:tr>
      <w:tr>
        <w:tc>
          <w:tcPr/>
          <w:p>
            <w:pPr>
              <w:pStyle w:val="Compact"/>
            </w:pPr>
            <w:r>
              <w:rPr>
                <w:b/>
                <w:bCs/>
              </w:rPr>
              <w:t xml:space="preserve">BOT IT-risk &amp; cyber-resilience notifications</w:t>
            </w:r>
          </w:p>
        </w:tc>
        <w:tc>
          <w:tcPr/>
          <w:p>
            <w:pPr>
              <w:pStyle w:val="Compact"/>
            </w:pPr>
            <w:r>
              <w:t xml:space="preserve">Board oversight, risk assessment, access control, incident management, penetration testing, third-party management</w:t>
            </w:r>
          </w:p>
        </w:tc>
      </w:tr>
      <w:tr>
        <w:tc>
          <w:tcPr/>
          <w:p>
            <w:pPr>
              <w:pStyle w:val="Compact"/>
            </w:pPr>
            <w:r>
              <w:rPr>
                <w:b/>
                <w:bCs/>
              </w:rPr>
              <w:t xml:space="preserve">PCI-DSS v4.0</w:t>
            </w:r>
          </w:p>
        </w:tc>
        <w:tc>
          <w:tcPr/>
          <w:p>
            <w:pPr>
              <w:pStyle w:val="Compact"/>
            </w:pPr>
            <w:r>
              <w:t xml:space="preserve">Req 1-12: CHD/SAD protection, network security, encryption, access control, logging, vulnerability &amp; risk management, incident response</w:t>
            </w:r>
          </w:p>
        </w:tc>
      </w:tr>
      <w:tr>
        <w:tc>
          <w:tcPr/>
          <w:p>
            <w:pPr>
              <w:pStyle w:val="Compact"/>
            </w:pPr>
            <w:r>
              <w:rPr>
                <w:b/>
                <w:bCs/>
              </w:rPr>
              <w:t xml:space="preserve">PDPA B.E. 2562</w:t>
            </w:r>
            <w:r>
              <w:t xml:space="preserve"> </w:t>
            </w:r>
            <w:r>
              <w:t xml:space="preserve">—</w:t>
            </w:r>
            <w:r>
              <w:t xml:space="preserve"> </w:t>
            </w:r>
            <w:r>
              <w:rPr>
                <w:b/>
                <w:bCs/>
              </w:rPr>
              <w:t xml:space="preserve">PDPC</w:t>
            </w:r>
          </w:p>
        </w:tc>
        <w:tc>
          <w:tcPr/>
          <w:p>
            <w:pPr>
              <w:pStyle w:val="Compact"/>
            </w:pPr>
            <w:r>
              <w:t xml:space="preserve">Security measures for personal data; breach notification within 72 hours</w:t>
            </w:r>
          </w:p>
        </w:tc>
      </w:tr>
      <w:tr>
        <w:tc>
          <w:tcPr/>
          <w:p>
            <w:pPr>
              <w:pStyle w:val="Compact"/>
            </w:pPr>
            <w:r>
              <w:rPr>
                <w:b/>
                <w:bCs/>
              </w:rPr>
              <w:t xml:space="preserve">Cybersecurity Act B.E. 2562</w:t>
            </w:r>
          </w:p>
        </w:tc>
        <w:tc>
          <w:tcPr/>
          <w:p>
            <w:pPr>
              <w:pStyle w:val="Compact"/>
            </w:pPr>
            <w:r>
              <w:t xml:space="preserve">Preparedness, response, and reporting of cyber threats (if designated CII)</w:t>
            </w:r>
          </w:p>
        </w:tc>
      </w:tr>
      <w:tr>
        <w:tc>
          <w:tcPr/>
          <w:p>
            <w:pPr>
              <w:pStyle w:val="Compact"/>
            </w:pPr>
            <w:r>
              <w:rPr>
                <w:b/>
                <w:bCs/>
              </w:rPr>
              <w:t xml:space="preserve">AML Act (AMLO)</w:t>
            </w:r>
          </w:p>
        </w:tc>
        <w:tc>
          <w:tcPr/>
          <w:p>
            <w:pPr>
              <w:pStyle w:val="Compact"/>
            </w:pPr>
            <w:r>
              <w:t xml:space="preserve">IT risks affecting integrity of AML/screening systems (links to Doc 05)</w:t>
            </w:r>
          </w:p>
        </w:tc>
      </w:tr>
      <w:tr>
        <w:tc>
          <w:tcPr/>
          <w:p>
            <w:pPr>
              <w:pStyle w:val="Compact"/>
            </w:pPr>
            <w:r>
              <w:rPr>
                <w:b/>
                <w:bCs/>
              </w:rPr>
              <w:t xml:space="preserve">ISO/IEC 27001:2022 / 27002</w:t>
            </w:r>
          </w:p>
        </w:tc>
        <w:tc>
          <w:tcPr/>
          <w:p>
            <w:pPr>
              <w:pStyle w:val="Compact"/>
            </w:pPr>
            <w:r>
              <w:t xml:space="preserve">ISMS framework and control set</w:t>
            </w:r>
          </w:p>
        </w:tc>
      </w:tr>
      <w:tr>
        <w:tc>
          <w:tcPr/>
          <w:p>
            <w:pPr>
              <w:pStyle w:val="Compact"/>
            </w:pPr>
            <w:r>
              <w:rPr>
                <w:b/>
                <w:bCs/>
              </w:rPr>
              <w:t xml:space="preserve">NIST CSF 2.0</w:t>
            </w:r>
          </w:p>
        </w:tc>
        <w:tc>
          <w:tcPr/>
          <w:p>
            <w:pPr>
              <w:pStyle w:val="Compact"/>
            </w:pPr>
            <w:r>
              <w:t xml:space="preserve">Govern–Identify–Protect–Detect–Respond–Recover functions</w:t>
            </w:r>
          </w:p>
        </w:tc>
      </w:tr>
      <w:tr>
        <w:tc>
          <w:tcPr/>
          <w:p>
            <w:pPr>
              <w:pStyle w:val="Compact"/>
            </w:pPr>
            <w:r>
              <w:rPr>
                <w:b/>
                <w:bCs/>
              </w:rPr>
              <w:t xml:space="preserve">ISO 22301</w:t>
            </w:r>
          </w:p>
        </w:tc>
        <w:tc>
          <w:tcPr/>
          <w:p>
            <w:pPr>
              <w:pStyle w:val="Compact"/>
            </w:pPr>
            <w:r>
              <w:t xml:space="preserve">Business continuity management (links to BCP/DR doc)</w:t>
            </w:r>
          </w:p>
        </w:tc>
      </w:tr>
      <w:tr>
        <w:tc>
          <w:tcPr/>
          <w:p>
            <w:pPr>
              <w:pStyle w:val="Compact"/>
            </w:pPr>
            <w:r>
              <w:rPr>
                <w:b/>
                <w:bCs/>
              </w:rPr>
              <w:t xml:space="preserve">EMV 3-D Secure (3DS) 2.x</w:t>
            </w:r>
          </w:p>
        </w:tc>
        <w:tc>
          <w:tcPr/>
          <w:p>
            <w:pPr>
              <w:pStyle w:val="Compact"/>
            </w:pPr>
            <w:r>
              <w:t xml:space="preserve">Fraud risk control via cardholder authentication</w:t>
            </w:r>
          </w:p>
        </w:tc>
      </w:tr>
    </w:tbl>
    <w:p>
      <w:pPr>
        <w:pStyle w:val="BlockText"/>
      </w:pPr>
      <w:r>
        <w:rPr>
          <w:b/>
          <w:bCs/>
        </w:rPr>
        <w:t xml:space="preserve">[TODO/ASSUMPTION]</w:t>
      </w:r>
      <w:r>
        <w:t xml:space="preserve"> </w:t>
      </w:r>
      <w:r>
        <w:t xml:space="preserve">Confirm with legal counsel and BOT the exact number/year of the latest IT-risk and cyber-resilience notifications as of filing, and confirm CII status under the Cybersecurity Act.</w:t>
      </w:r>
    </w:p>
    <w:p>
      <w:r>
        <w:pict>
          <v:rect style="width:0;height:1.5pt" o:hralign="center" o:hrstd="t" o:hr="t"/>
        </w:pict>
      </w:r>
    </w:p>
    <w:bookmarkEnd w:id="433"/>
    <w:bookmarkStart w:id="434" w:name="scope-definitions"/>
    <w:p>
      <w:pPr>
        <w:pStyle w:val="Heading2"/>
      </w:pPr>
      <w:r>
        <w:t xml:space="preserve">2. Scope &amp; Definitions</w:t>
      </w:r>
    </w:p>
    <w:p>
      <w:pPr>
        <w:pStyle w:val="FirstParagraph"/>
      </w:pPr>
      <w:r>
        <w:rPr>
          <w:b/>
          <w:bCs/>
        </w:rPr>
        <w:t xml:space="preserve">Scope:</w:t>
      </w:r>
      <w:r>
        <w:t xml:space="preserve"> </w:t>
      </w:r>
      <w:r>
        <w:t xml:space="preserve">All information assets of [บริษัท / Company] — the payment core (Go/Fiber), tokenization vault, ledger, databases, HSM/KMS, cloud/on-prem infrastructure, network, endpoints, in-house software, third parties (acquirer, sponsor bank, 3DS provider, cloud), and personnel with system access.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IT Risk</w:t>
            </w:r>
          </w:p>
        </w:tc>
        <w:tc>
          <w:tcPr/>
          <w:p>
            <w:pPr>
              <w:pStyle w:val="Compact"/>
            </w:pPr>
            <w:r>
              <w:t xml:space="preserve">Risk from inadequate/failed IT processes, systems, or people, plus external events, affecting Confidentiality, Integrity, Availability (CIA)</w:t>
            </w:r>
          </w:p>
        </w:tc>
      </w:tr>
      <w:tr>
        <w:tc>
          <w:tcPr/>
          <w:p>
            <w:pPr>
              <w:pStyle w:val="Compact"/>
            </w:pPr>
            <w:r>
              <w:rPr>
                <w:b/>
                <w:bCs/>
              </w:rPr>
              <w:t xml:space="preserve">Cyber Risk</w:t>
            </w:r>
          </w:p>
        </w:tc>
        <w:tc>
          <w:tcPr/>
          <w:p>
            <w:pPr>
              <w:pStyle w:val="Compact"/>
            </w:pPr>
            <w:r>
              <w:t xml:space="preserve">Subset of IT Risk arising from intentional threats or exploited vulnerabilities</w:t>
            </w:r>
          </w:p>
        </w:tc>
      </w:tr>
      <w:tr>
        <w:tc>
          <w:tcPr/>
          <w:p>
            <w:pPr>
              <w:pStyle w:val="Compact"/>
            </w:pPr>
            <w:r>
              <w:rPr>
                <w:b/>
                <w:bCs/>
              </w:rPr>
              <w:t xml:space="preserve">Inherent Risk</w:t>
            </w:r>
          </w:p>
        </w:tc>
        <w:tc>
          <w:tcPr/>
          <w:p>
            <w:pPr>
              <w:pStyle w:val="Compact"/>
            </w:pPr>
            <w:r>
              <w:t xml:space="preserve">Risk level before controls</w:t>
            </w:r>
          </w:p>
        </w:tc>
      </w:tr>
      <w:tr>
        <w:tc>
          <w:tcPr/>
          <w:p>
            <w:pPr>
              <w:pStyle w:val="Compact"/>
            </w:pPr>
            <w:r>
              <w:rPr>
                <w:b/>
                <w:bCs/>
              </w:rPr>
              <w:t xml:space="preserve">Residual Risk</w:t>
            </w:r>
          </w:p>
        </w:tc>
        <w:tc>
          <w:tcPr/>
          <w:p>
            <w:pPr>
              <w:pStyle w:val="Compact"/>
            </w:pPr>
            <w:r>
              <w:t xml:space="preserve">Risk level after controls</w:t>
            </w:r>
          </w:p>
        </w:tc>
      </w:tr>
      <w:tr>
        <w:tc>
          <w:tcPr/>
          <w:p>
            <w:pPr>
              <w:pStyle w:val="Compact"/>
            </w:pPr>
            <w:r>
              <w:rPr>
                <w:b/>
                <w:bCs/>
              </w:rPr>
              <w:t xml:space="preserve">Risk Appetite</w:t>
            </w:r>
          </w:p>
        </w:tc>
        <w:tc>
          <w:tcPr/>
          <w:p>
            <w:pPr>
              <w:pStyle w:val="Compact"/>
            </w:pPr>
            <w:r>
              <w:t xml:space="preserve">Risk level the organization accepts, set by the Board</w:t>
            </w:r>
          </w:p>
        </w:tc>
      </w:tr>
      <w:tr>
        <w:tc>
          <w:tcPr/>
          <w:p>
            <w:pPr>
              <w:pStyle w:val="Compact"/>
            </w:pPr>
            <w:r>
              <w:rPr>
                <w:b/>
                <w:bCs/>
              </w:rPr>
              <w:t xml:space="preserve">KRI</w:t>
            </w:r>
          </w:p>
        </w:tc>
        <w:tc>
          <w:tcPr/>
          <w:p>
            <w:pPr>
              <w:pStyle w:val="Compact"/>
            </w:pPr>
            <w:r>
              <w:t xml:space="preserve">Key Risk Indicator — quantitative early-warning metric</w:t>
            </w:r>
          </w:p>
        </w:tc>
      </w:tr>
      <w:tr>
        <w:tc>
          <w:tcPr/>
          <w:p>
            <w:pPr>
              <w:pStyle w:val="Compact"/>
            </w:pPr>
            <w:r>
              <w:rPr>
                <w:b/>
                <w:bCs/>
              </w:rPr>
              <w:t xml:space="preserve">CDE</w:t>
            </w:r>
          </w:p>
        </w:tc>
        <w:tc>
          <w:tcPr/>
          <w:p>
            <w:pPr>
              <w:pStyle w:val="Compact"/>
            </w:pPr>
            <w:r>
              <w:t xml:space="preserve">Cardholder Data Environment (per PCI-DSS)</w:t>
            </w:r>
          </w:p>
        </w:tc>
      </w:tr>
    </w:tbl>
    <w:p>
      <w:r>
        <w:pict>
          <v:rect style="width:0;height:1.5pt" o:hralign="center" o:hrstd="t" o:hr="t"/>
        </w:pict>
      </w:r>
    </w:p>
    <w:bookmarkEnd w:id="434"/>
    <w:bookmarkStart w:id="436" w:name="governance-three-lines-of-defense"/>
    <w:p>
      <w:pPr>
        <w:pStyle w:val="Heading2"/>
      </w:pPr>
      <w:r>
        <w:t xml:space="preserve">3. Governance — Three Lines of Defense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Owner</w:t>
            </w:r>
          </w:p>
        </w:tc>
        <w:tc>
          <w:tcPr/>
          <w:p>
            <w:pPr>
              <w:pStyle w:val="Compact"/>
            </w:pPr>
            <w:r>
              <w:t xml:space="preserve">IT Risk role</w:t>
            </w:r>
          </w:p>
        </w:tc>
      </w:tr>
      <w:tr>
        <w:tc>
          <w:tcPr/>
          <w:p>
            <w:pPr>
              <w:pStyle w:val="Compact"/>
            </w:pPr>
            <w:r>
              <w:rPr>
                <w:b/>
                <w:bCs/>
              </w:rPr>
              <w:t xml:space="preserve">1st (Risk Ownership)</w:t>
            </w:r>
          </w:p>
        </w:tc>
        <w:tc>
          <w:tcPr/>
          <w:p>
            <w:pPr>
              <w:pStyle w:val="Compact"/>
            </w:pPr>
            <w:r>
              <w:t xml:space="preserve">Engineering, SRE/Infra, DevSecOps, Product</w:t>
            </w:r>
          </w:p>
        </w:tc>
        <w:tc>
          <w:tcPr/>
          <w:p>
            <w:pPr>
              <w:pStyle w:val="Compact"/>
            </w:pPr>
            <w:r>
              <w:t xml:space="preserve">Own risks; operate day-to-day controls (secure SDLC, patching, monitoring)</w:t>
            </w:r>
          </w:p>
        </w:tc>
      </w:tr>
      <w:tr>
        <w:tc>
          <w:tcPr/>
          <w:p>
            <w:pPr>
              <w:pStyle w:val="Compact"/>
            </w:pPr>
            <w:r>
              <w:rPr>
                <w:b/>
                <w:bCs/>
              </w:rPr>
              <w:t xml:space="preserve">2nd (Risk Oversight)</w:t>
            </w:r>
          </w:p>
        </w:tc>
        <w:tc>
          <w:tcPr/>
          <w:p>
            <w:pPr>
              <w:pStyle w:val="Compact"/>
            </w:pPr>
            <w:r>
              <w:rPr>
                <w:b/>
                <w:bCs/>
              </w:rPr>
              <w:t xml:space="preserve">CISO</w:t>
            </w:r>
            <w:r>
              <w:t xml:space="preserve">, IT Risk &amp; Compliance, DPO</w:t>
            </w:r>
          </w:p>
        </w:tc>
        <w:tc>
          <w:tcPr/>
          <w:p>
            <w:pPr>
              <w:pStyle w:val="Compact"/>
            </w:pPr>
            <w:r>
              <w:t xml:space="preserve">Set policy/framework, independent assessment, KRI monitoring, challenge Line 1</w:t>
            </w:r>
          </w:p>
        </w:tc>
      </w:tr>
      <w:tr>
        <w:tc>
          <w:tcPr/>
          <w:p>
            <w:pPr>
              <w:pStyle w:val="Compact"/>
            </w:pPr>
            <w:r>
              <w:rPr>
                <w:b/>
                <w:bCs/>
              </w:rPr>
              <w:t xml:space="preserve">3rd (Independent Assurance)</w:t>
            </w:r>
          </w:p>
        </w:tc>
        <w:tc>
          <w:tcPr/>
          <w:p>
            <w:pPr>
              <w:pStyle w:val="Compact"/>
            </w:pPr>
            <w:r>
              <w:rPr>
                <w:b/>
                <w:bCs/>
              </w:rPr>
              <w:t xml:space="preserve">Internal Audit</w:t>
            </w:r>
            <w:r>
              <w:t xml:space="preserve"> </w:t>
            </w:r>
            <w:r>
              <w:t xml:space="preserve">(+ QSA/external)</w:t>
            </w:r>
          </w:p>
        </w:tc>
        <w:tc>
          <w:tcPr/>
          <w:p>
            <w:pPr>
              <w:pStyle w:val="Compact"/>
            </w:pPr>
            <w:r>
              <w:t xml:space="preserve">Independent assurance to the Audit Committee</w:t>
            </w:r>
          </w:p>
        </w:tc>
      </w:tr>
    </w:tbl>
    <w:bookmarkStart w:id="435" w:name="committees-roles"/>
    <w:p>
      <w:pPr>
        <w:pStyle w:val="Heading3"/>
      </w:pPr>
      <w:r>
        <w:t xml:space="preserve">3.1 Committees &amp; Roles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Body</w:t>
            </w:r>
          </w:p>
        </w:tc>
        <w:tc>
          <w:tcPr/>
          <w:p>
            <w:pPr>
              <w:pStyle w:val="Compact"/>
            </w:pPr>
            <w:r>
              <w:t xml:space="preserve">Composition</w:t>
            </w:r>
          </w:p>
        </w:tc>
        <w:tc>
          <w:tcPr/>
          <w:p>
            <w:pPr>
              <w:pStyle w:val="Compact"/>
            </w:pPr>
            <w:r>
              <w:t xml:space="preserve">Cadence</w:t>
            </w:r>
          </w:p>
        </w:tc>
        <w:tc>
          <w:tcPr/>
          <w:p>
            <w:pPr>
              <w:pStyle w:val="Compact"/>
            </w:pPr>
            <w:r>
              <w:t xml:space="preserve">Core responsibility</w:t>
            </w:r>
          </w:p>
        </w:tc>
      </w:tr>
      <w:tr>
        <w:tc>
          <w:tcPr/>
          <w:p>
            <w:pPr>
              <w:pStyle w:val="Compact"/>
            </w:pPr>
            <w:r>
              <w:rPr>
                <w:b/>
                <w:bCs/>
              </w:rPr>
              <w:t xml:space="preserve">Board</w:t>
            </w:r>
          </w:p>
        </w:tc>
        <w:tc>
          <w:tcPr/>
          <w:p>
            <w:pPr>
              <w:pStyle w:val="Compact"/>
            </w:pPr>
            <w:r>
              <w:t xml:space="preserve">All directors</w:t>
            </w:r>
          </w:p>
        </w:tc>
        <w:tc>
          <w:tcPr/>
          <w:p>
            <w:pPr>
              <w:pStyle w:val="Compact"/>
            </w:pPr>
            <w:r>
              <w:t xml:space="preserve">Quarterly</w:t>
            </w:r>
          </w:p>
        </w:tc>
        <w:tc>
          <w:tcPr/>
          <w:p>
            <w:pPr>
              <w:pStyle w:val="Compact"/>
            </w:pPr>
            <w:r>
              <w:t xml:space="preserve">Approve Risk Appetite, endorse policy, receive IT risk reports</w:t>
            </w:r>
          </w:p>
        </w:tc>
      </w:tr>
      <w:tr>
        <w:tc>
          <w:tcPr/>
          <w:p>
            <w:pPr>
              <w:pStyle w:val="Compact"/>
            </w:pPr>
            <w:r>
              <w:rPr>
                <w:b/>
                <w:bCs/>
              </w:rPr>
              <w:t xml:space="preserve">Risk Committee</w:t>
            </w:r>
          </w:p>
        </w:tc>
        <w:tc>
          <w:tcPr/>
          <w:p>
            <w:pPr>
              <w:pStyle w:val="Compact"/>
            </w:pPr>
            <w:r>
              <w:t xml:space="preserve">Independent directors + senior mgmt</w:t>
            </w:r>
          </w:p>
        </w:tc>
        <w:tc>
          <w:tcPr/>
          <w:p>
            <w:pPr>
              <w:pStyle w:val="Compact"/>
            </w:pPr>
            <w:r>
              <w:t xml:space="preserve">Quarterly (or ad hoc)</w:t>
            </w:r>
          </w:p>
        </w:tc>
        <w:tc>
          <w:tcPr/>
          <w:p>
            <w:pPr>
              <w:pStyle w:val="Compact"/>
            </w:pPr>
            <w:r>
              <w:t xml:space="preserve">Oversee ERM/IT Risk framework, review risk register</w:t>
            </w:r>
          </w:p>
        </w:tc>
      </w:tr>
      <w:tr>
        <w:tc>
          <w:tcPr/>
          <w:p>
            <w:pPr>
              <w:pStyle w:val="Compact"/>
            </w:pPr>
            <w:r>
              <w:rPr>
                <w:b/>
                <w:bCs/>
              </w:rPr>
              <w:t xml:space="preserve">IT Risk &amp; Security Committee</w:t>
            </w:r>
          </w:p>
        </w:tc>
        <w:tc>
          <w:tcPr/>
          <w:p>
            <w:pPr>
              <w:pStyle w:val="Compact"/>
            </w:pPr>
            <w:r>
              <w:t xml:space="preserve">CISO (chair), CTO, Head of SRE, DPO, MLRO, Compliance</w:t>
            </w:r>
          </w:p>
        </w:tc>
        <w:tc>
          <w:tcPr/>
          <w:p>
            <w:pPr>
              <w:pStyle w:val="Compact"/>
            </w:pPr>
            <w:r>
              <w:rPr>
                <w:b/>
                <w:bCs/>
              </w:rPr>
              <w:t xml:space="preserve">Monthly</w:t>
            </w:r>
          </w:p>
        </w:tc>
        <w:tc>
          <w:tcPr/>
          <w:p>
            <w:pPr>
              <w:pStyle w:val="Compact"/>
            </w:pPr>
            <w:r>
              <w:t xml:space="preserve">Review KRIs, incidents, scan/pentest results, risk acceptances</w:t>
            </w:r>
          </w:p>
        </w:tc>
      </w:tr>
      <w:tr>
        <w:tc>
          <w:tcPr/>
          <w:p>
            <w:pPr>
              <w:pStyle w:val="Compact"/>
            </w:pPr>
            <w:r>
              <w:rPr>
                <w:b/>
                <w:bCs/>
              </w:rPr>
              <w:t xml:space="preserve">Audit Committee</w:t>
            </w:r>
          </w:p>
        </w:tc>
        <w:tc>
          <w:tcPr/>
          <w:p>
            <w:pPr>
              <w:pStyle w:val="Compact"/>
            </w:pPr>
            <w:r>
              <w:t xml:space="preserve">Independent directors</w:t>
            </w:r>
          </w:p>
        </w:tc>
        <w:tc>
          <w:tcPr/>
          <w:p>
            <w:pPr>
              <w:pStyle w:val="Compact"/>
            </w:pPr>
            <w:r>
              <w:t xml:space="preserve">Quarterly</w:t>
            </w:r>
          </w:p>
        </w:tc>
        <w:tc>
          <w:tcPr/>
          <w:p>
            <w:pPr>
              <w:pStyle w:val="Compact"/>
            </w:pPr>
            <w:r>
              <w:t xml:space="preserve">Oversee Internal Audit, findings, remediation</w:t>
            </w:r>
          </w:p>
        </w:tc>
      </w:tr>
    </w:tbl>
    <w:p>
      <w:pPr>
        <w:pStyle w:val="BlockText"/>
      </w:pPr>
      <w:r>
        <w:rPr>
          <w:b/>
          <w:bCs/>
        </w:rPr>
        <w:t xml:space="preserve">RACI (condensed):</w:t>
      </w:r>
      <w:r>
        <w:t xml:space="preserve"> </w:t>
      </w:r>
      <w:r>
        <w:t xml:space="preserve">CISO =</w:t>
      </w:r>
      <w:r>
        <w:t xml:space="preserve"> </w:t>
      </w:r>
      <w:r>
        <w:rPr>
          <w:b/>
          <w:bCs/>
        </w:rPr>
        <w:t xml:space="preserve">Accountable</w:t>
      </w:r>
      <w:r>
        <w:t xml:space="preserve"> </w:t>
      </w:r>
      <w:r>
        <w:t xml:space="preserve">for the IT Risk Framework · Head of Engineering/SRE =</w:t>
      </w:r>
      <w:r>
        <w:t xml:space="preserve"> </w:t>
      </w:r>
      <w:r>
        <w:rPr>
          <w:b/>
          <w:bCs/>
        </w:rPr>
        <w:t xml:space="preserve">Responsible</w:t>
      </w:r>
      <w:r>
        <w:t xml:space="preserve"> </w:t>
      </w:r>
      <w:r>
        <w:t xml:space="preserve">for technical controls · Risk Committee =</w:t>
      </w:r>
      <w:r>
        <w:t xml:space="preserve"> </w:t>
      </w:r>
      <w:r>
        <w:rPr>
          <w:b/>
          <w:bCs/>
        </w:rPr>
        <w:t xml:space="preserve">Consulted</w:t>
      </w:r>
      <w:r>
        <w:t xml:space="preserve"> </w:t>
      </w:r>
      <w:r>
        <w:t xml:space="preserve">· Board =</w:t>
      </w:r>
      <w:r>
        <w:t xml:space="preserve"> </w:t>
      </w:r>
      <w:r>
        <w:rPr>
          <w:b/>
          <w:bCs/>
        </w:rPr>
        <w:t xml:space="preserve">Informed/Approve</w:t>
      </w:r>
    </w:p>
    <w:p>
      <w:pPr>
        <w:pStyle w:val="BlockText"/>
      </w:pPr>
      <w:r>
        <w:rPr>
          <w:b/>
          <w:bCs/>
        </w:rPr>
        <w:t xml:space="preserve">[TODO/ASSUMPTION]</w:t>
      </w:r>
      <w:r>
        <w:t xml:space="preserve"> </w:t>
      </w:r>
      <w:r>
        <w:t xml:space="preserve">CISO and DPO must be formally appointed by board resolution and named before filing; currently designed per Doc 04 (org chart).</w:t>
      </w:r>
    </w:p>
    <w:p>
      <w:r>
        <w:pict>
          <v:rect style="width:0;height:1.5pt" o:hralign="center" o:hrstd="t" o:hr="t"/>
        </w:pict>
      </w:r>
    </w:p>
    <w:bookmarkEnd w:id="435"/>
    <w:bookmarkEnd w:id="436"/>
    <w:bookmarkStart w:id="442" w:name="risk-assessment-process"/>
    <w:p>
      <w:pPr>
        <w:pStyle w:val="Heading2"/>
      </w:pPr>
      <w:r>
        <w:t xml:space="preserve">4. Risk Assessment Process</w:t>
      </w:r>
    </w:p>
    <w:bookmarkStart w:id="437" w:name="cycle"/>
    <w:p>
      <w:pPr>
        <w:pStyle w:val="Heading3"/>
      </w:pPr>
      <w:r>
        <w:t xml:space="preserve">4.1 Cycle</w:t>
      </w:r>
    </w:p>
    <w:p>
      <w:pPr>
        <w:pStyle w:val="Compact"/>
        <w:numPr>
          <w:ilvl w:val="0"/>
          <w:numId w:val="1175"/>
        </w:numPr>
      </w:pPr>
      <w:r>
        <w:rPr>
          <w:b/>
          <w:bCs/>
        </w:rPr>
        <w:t xml:space="preserve">Identify</w:t>
      </w:r>
      <w:r>
        <w:t xml:space="preserve"> </w:t>
      </w:r>
      <w:r>
        <w:t xml:space="preserve">— asset inventory + data classification; threats/vulnerabilities</w:t>
      </w:r>
    </w:p>
    <w:p>
      <w:pPr>
        <w:pStyle w:val="Compact"/>
        <w:numPr>
          <w:ilvl w:val="0"/>
          <w:numId w:val="1175"/>
        </w:numPr>
      </w:pPr>
      <w:r>
        <w:rPr>
          <w:b/>
          <w:bCs/>
        </w:rPr>
        <w:t xml:space="preserve">Analyze</w:t>
      </w:r>
      <w:r>
        <w:t xml:space="preserve"> </w:t>
      </w:r>
      <w:r>
        <w:t xml:space="preserve">— Likelihood × Impact → inherent risk</w:t>
      </w:r>
    </w:p>
    <w:p>
      <w:pPr>
        <w:pStyle w:val="Compact"/>
        <w:numPr>
          <w:ilvl w:val="0"/>
          <w:numId w:val="1175"/>
        </w:numPr>
      </w:pPr>
      <w:r>
        <w:rPr>
          <w:b/>
          <w:bCs/>
        </w:rPr>
        <w:t xml:space="preserve">Evaluate</w:t>
      </w:r>
      <w:r>
        <w:t xml:space="preserve"> </w:t>
      </w:r>
      <w:r>
        <w:t xml:space="preserve">— compare against appetite/thresholds</w:t>
      </w:r>
    </w:p>
    <w:p>
      <w:pPr>
        <w:pStyle w:val="Compact"/>
        <w:numPr>
          <w:ilvl w:val="0"/>
          <w:numId w:val="1175"/>
        </w:numPr>
      </w:pPr>
      <w:r>
        <w:rPr>
          <w:b/>
          <w:bCs/>
        </w:rPr>
        <w:t xml:space="preserve">Treat</w:t>
      </w:r>
      <w:r>
        <w:t xml:space="preserve"> </w:t>
      </w:r>
      <w:r>
        <w:t xml:space="preserve">— Mitigate / Transfer / Avoid / Accept</w:t>
      </w:r>
    </w:p>
    <w:p>
      <w:pPr>
        <w:pStyle w:val="Compact"/>
        <w:numPr>
          <w:ilvl w:val="0"/>
          <w:numId w:val="1175"/>
        </w:numPr>
      </w:pPr>
      <w:r>
        <w:rPr>
          <w:b/>
          <w:bCs/>
        </w:rPr>
        <w:t xml:space="preserve">Monitor &amp; Review</w:t>
      </w:r>
      <w:r>
        <w:t xml:space="preserve"> </w:t>
      </w:r>
      <w:r>
        <w:t xml:space="preserve">— via KRIs and scheduled reviews</w:t>
      </w:r>
    </w:p>
    <w:p>
      <w:pPr>
        <w:pStyle w:val="FirstParagraph"/>
      </w:pPr>
      <w:r>
        <w:rPr>
          <w:b/>
          <w:bCs/>
        </w:rPr>
        <w:t xml:space="preserve">Frequency:</w:t>
      </w:r>
      <w:r>
        <w:t xml:space="preserve"> </w:t>
      </w:r>
      <w:r>
        <w:t xml:space="preserve">Enterprise-wide</w:t>
      </w:r>
      <w:r>
        <w:t xml:space="preserve"> </w:t>
      </w:r>
      <w:r>
        <w:rPr>
          <w:b/>
          <w:bCs/>
        </w:rPr>
        <w:t xml:space="preserve">at least annually</w:t>
      </w:r>
      <w:r>
        <w:t xml:space="preserve">, plus event-driven assessments on major architecture changes, before go-live of money-moving features, after a severe security event, or on changing a third party in the CDE.</w:t>
      </w:r>
    </w:p>
    <w:bookmarkEnd w:id="437"/>
    <w:bookmarkStart w:id="438" w:name="likelihood"/>
    <w:p>
      <w:pPr>
        <w:pStyle w:val="Heading3"/>
      </w:pPr>
      <w:r>
        <w:t xml:space="preserve">4.2 Likelihood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Approx. frequency</w:t>
            </w:r>
          </w:p>
        </w:tc>
      </w:tr>
      <w:tr>
        <w:tc>
          <w:tcPr/>
          <w:p>
            <w:pPr>
              <w:pStyle w:val="Compact"/>
            </w:pPr>
            <w:r>
              <w:t xml:space="preserve">5 – Almost Certain</w:t>
            </w:r>
          </w:p>
        </w:tc>
        <w:tc>
          <w:tcPr/>
          <w:p>
            <w:pPr>
              <w:pStyle w:val="Compact"/>
            </w:pPr>
            <w:r>
              <w:t xml:space="preserve">Expected constantly</w:t>
            </w:r>
          </w:p>
        </w:tc>
        <w:tc>
          <w:tcPr/>
          <w:p>
            <w:pPr>
              <w:pStyle w:val="Compact"/>
            </w:pPr>
            <w:r>
              <w:t xml:space="preserve">&gt; 1/month</w:t>
            </w:r>
          </w:p>
        </w:tc>
      </w:tr>
      <w:tr>
        <w:tc>
          <w:tcPr/>
          <w:p>
            <w:pPr>
              <w:pStyle w:val="Compact"/>
            </w:pPr>
            <w:r>
              <w:t xml:space="preserve">4 – Likely</w:t>
            </w:r>
          </w:p>
        </w:tc>
        <w:tc>
          <w:tcPr/>
          <w:p>
            <w:pPr>
              <w:pStyle w:val="Compact"/>
            </w:pPr>
            <w:r>
              <w:t xml:space="preserve">Probably occurs</w:t>
            </w:r>
          </w:p>
        </w:tc>
        <w:tc>
          <w:tcPr/>
          <w:p>
            <w:pPr>
              <w:pStyle w:val="Compact"/>
            </w:pPr>
            <w:r>
              <w:t xml:space="preserve">1/quarter</w:t>
            </w:r>
          </w:p>
        </w:tc>
      </w:tr>
      <w:tr>
        <w:tc>
          <w:tcPr/>
          <w:p>
            <w:pPr>
              <w:pStyle w:val="Compact"/>
            </w:pPr>
            <w:r>
              <w:t xml:space="preserve">3 – Possible</w:t>
            </w:r>
          </w:p>
        </w:tc>
        <w:tc>
          <w:tcPr/>
          <w:p>
            <w:pPr>
              <w:pStyle w:val="Compact"/>
            </w:pPr>
            <w:r>
              <w:t xml:space="preserve">May occur</w:t>
            </w:r>
          </w:p>
        </w:tc>
        <w:tc>
          <w:tcPr/>
          <w:p>
            <w:pPr>
              <w:pStyle w:val="Compact"/>
            </w:pPr>
            <w:r>
              <w:t xml:space="preserve">1/year</w:t>
            </w:r>
          </w:p>
        </w:tc>
      </w:tr>
      <w:tr>
        <w:tc>
          <w:tcPr/>
          <w:p>
            <w:pPr>
              <w:pStyle w:val="Compact"/>
            </w:pPr>
            <w:r>
              <w:t xml:space="preserve">2 – Unlikely</w:t>
            </w:r>
          </w:p>
        </w:tc>
        <w:tc>
          <w:tcPr/>
          <w:p>
            <w:pPr>
              <w:pStyle w:val="Compact"/>
            </w:pPr>
            <w:r>
              <w:t xml:space="preserve">Improbable</w:t>
            </w:r>
          </w:p>
        </w:tc>
        <w:tc>
          <w:tcPr/>
          <w:p>
            <w:pPr>
              <w:pStyle w:val="Compact"/>
            </w:pPr>
            <w:r>
              <w:t xml:space="preserve">1/1–3 years</w:t>
            </w:r>
          </w:p>
        </w:tc>
      </w:tr>
      <w:tr>
        <w:tc>
          <w:tcPr/>
          <w:p>
            <w:pPr>
              <w:pStyle w:val="Compact"/>
            </w:pPr>
            <w:r>
              <w:t xml:space="preserve">1 – Rare</w:t>
            </w:r>
          </w:p>
        </w:tc>
        <w:tc>
          <w:tcPr/>
          <w:p>
            <w:pPr>
              <w:pStyle w:val="Compact"/>
            </w:pPr>
            <w:r>
              <w:t xml:space="preserve">Very unlikely</w:t>
            </w:r>
          </w:p>
        </w:tc>
        <w:tc>
          <w:tcPr/>
          <w:p>
            <w:pPr>
              <w:pStyle w:val="Compact"/>
            </w:pPr>
            <w:r>
              <w:t xml:space="preserve">&lt; 1/3 years</w:t>
            </w:r>
          </w:p>
        </w:tc>
      </w:tr>
    </w:tbl>
    <w:bookmarkEnd w:id="438"/>
    <w:bookmarkStart w:id="439" w:name="impact"/>
    <w:p>
      <w:pPr>
        <w:pStyle w:val="Heading3"/>
      </w:pPr>
      <w:r>
        <w:t xml:space="preserve">4.3 Impact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Financial</w:t>
            </w:r>
          </w:p>
        </w:tc>
        <w:tc>
          <w:tcPr/>
          <w:p>
            <w:pPr>
              <w:pStyle w:val="Compact"/>
            </w:pPr>
            <w:r>
              <w:t xml:space="preserve">Operational</w:t>
            </w:r>
          </w:p>
        </w:tc>
        <w:tc>
          <w:tcPr/>
          <w:p>
            <w:pPr>
              <w:pStyle w:val="Compact"/>
            </w:pPr>
            <w:r>
              <w:t xml:space="preserve">Regulatory/Reputation</w:t>
            </w:r>
          </w:p>
        </w:tc>
        <w:tc>
          <w:tcPr/>
          <w:p>
            <w:pPr>
              <w:pStyle w:val="Compact"/>
            </w:pPr>
            <w:r>
              <w:t xml:space="preserve">Data</w:t>
            </w:r>
          </w:p>
        </w:tc>
      </w:tr>
      <w:tr>
        <w:tc>
          <w:tcPr/>
          <w:p>
            <w:pPr>
              <w:pStyle w:val="Compact"/>
            </w:pPr>
            <w:r>
              <w:t xml:space="preserve">5 – Critical</w:t>
            </w:r>
          </w:p>
        </w:tc>
        <w:tc>
          <w:tcPr/>
          <w:p>
            <w:pPr>
              <w:pStyle w:val="Compact"/>
            </w:pPr>
            <w:r>
              <w:t xml:space="preserve">&gt; THB 20M</w:t>
            </w:r>
          </w:p>
        </w:tc>
        <w:tc>
          <w:tcPr/>
          <w:p>
            <w:pPr>
              <w:pStyle w:val="Compact"/>
            </w:pPr>
            <w:r>
              <w:t xml:space="preserve">Outage &gt; 4h</w:t>
            </w:r>
          </w:p>
        </w:tc>
        <w:tc>
          <w:tcPr/>
          <w:p>
            <w:pPr>
              <w:pStyle w:val="Compact"/>
            </w:pPr>
            <w:r>
              <w:t xml:space="preserve">License/PCI revocation, wide negative press</w:t>
            </w:r>
          </w:p>
        </w:tc>
        <w:tc>
          <w:tcPr/>
          <w:p>
            <w:pPr>
              <w:pStyle w:val="Compact"/>
            </w:pPr>
            <w:r>
              <w:t xml:space="preserve">Large CHD/PII breach</w:t>
            </w:r>
          </w:p>
        </w:tc>
      </w:tr>
      <w:tr>
        <w:tc>
          <w:tcPr/>
          <w:p>
            <w:pPr>
              <w:pStyle w:val="Compact"/>
            </w:pPr>
            <w:r>
              <w:t xml:space="preserve">4 – Major</w:t>
            </w:r>
          </w:p>
        </w:tc>
        <w:tc>
          <w:tcPr/>
          <w:p>
            <w:pPr>
              <w:pStyle w:val="Compact"/>
            </w:pPr>
            <w:r>
              <w:t xml:space="preserve">THB 5–20M</w:t>
            </w:r>
          </w:p>
        </w:tc>
        <w:tc>
          <w:tcPr/>
          <w:p>
            <w:pPr>
              <w:pStyle w:val="Compact"/>
            </w:pPr>
            <w:r>
              <w:t xml:space="preserve">Outage 1–4h</w:t>
            </w:r>
          </w:p>
        </w:tc>
        <w:tc>
          <w:tcPr/>
          <w:p>
            <w:pPr>
              <w:pStyle w:val="Compact"/>
            </w:pPr>
            <w:r>
              <w:t xml:space="preserve">BOT/PDPC action, fines</w:t>
            </w:r>
          </w:p>
        </w:tc>
        <w:tc>
          <w:tcPr/>
          <w:p>
            <w:pPr>
              <w:pStyle w:val="Compact"/>
            </w:pPr>
            <w:r>
              <w:t xml:space="preserve">Limited breach</w:t>
            </w:r>
          </w:p>
        </w:tc>
      </w:tr>
      <w:tr>
        <w:tc>
          <w:tcPr/>
          <w:p>
            <w:pPr>
              <w:pStyle w:val="Compact"/>
            </w:pPr>
            <w:r>
              <w:t xml:space="preserve">3 – Moderate</w:t>
            </w:r>
          </w:p>
        </w:tc>
        <w:tc>
          <w:tcPr/>
          <w:p>
            <w:pPr>
              <w:pStyle w:val="Compact"/>
            </w:pPr>
            <w:r>
              <w:t xml:space="preserve">THB 1–5M</w:t>
            </w:r>
          </w:p>
        </w:tc>
        <w:tc>
          <w:tcPr/>
          <w:p>
            <w:pPr>
              <w:pStyle w:val="Compact"/>
            </w:pPr>
            <w:r>
              <w:t xml:space="preserve">Degradation</w:t>
            </w:r>
          </w:p>
        </w:tc>
        <w:tc>
          <w:tcPr/>
          <w:p>
            <w:pPr>
              <w:pStyle w:val="Compact"/>
            </w:pPr>
            <w:r>
              <w:t xml:space="preserve">Reportable to regulator</w:t>
            </w:r>
          </w:p>
        </w:tc>
        <w:tc>
          <w:tcPr/>
          <w:p>
            <w:pPr>
              <w:pStyle w:val="Compact"/>
            </w:pPr>
            <w:r>
              <w:t xml:space="preserve">Contained unauthorized access</w:t>
            </w:r>
          </w:p>
        </w:tc>
      </w:tr>
      <w:tr>
        <w:tc>
          <w:tcPr/>
          <w:p>
            <w:pPr>
              <w:pStyle w:val="Compact"/>
            </w:pPr>
            <w:r>
              <w:t xml:space="preserve">2 – Minor</w:t>
            </w:r>
          </w:p>
        </w:tc>
        <w:tc>
          <w:tcPr/>
          <w:p>
            <w:pPr>
              <w:pStyle w:val="Compact"/>
            </w:pPr>
            <w:r>
              <w:t xml:space="preserve">THB 0.1–1M</w:t>
            </w:r>
          </w:p>
        </w:tc>
        <w:tc>
          <w:tcPr/>
          <w:p>
            <w:pPr>
              <w:pStyle w:val="Compact"/>
            </w:pPr>
            <w:r>
              <w:t xml:space="preserve">Some users affected</w:t>
            </w:r>
          </w:p>
        </w:tc>
        <w:tc>
          <w:tcPr/>
          <w:p>
            <w:pPr>
              <w:pStyle w:val="Compact"/>
            </w:pPr>
            <w:r>
              <w:t xml:space="preserve">Internal finding</w:t>
            </w:r>
          </w:p>
        </w:tc>
        <w:tc>
          <w:tcPr/>
          <w:p>
            <w:pPr>
              <w:pStyle w:val="Compact"/>
            </w:pPr>
            <w:r>
              <w:t xml:space="preserve">Near miss</w:t>
            </w:r>
          </w:p>
        </w:tc>
      </w:tr>
      <w:tr>
        <w:tc>
          <w:tcPr/>
          <w:p>
            <w:pPr>
              <w:pStyle w:val="Compact"/>
            </w:pPr>
            <w:r>
              <w:t xml:space="preserve">1 – Insignificant</w:t>
            </w:r>
          </w:p>
        </w:tc>
        <w:tc>
          <w:tcPr/>
          <w:p>
            <w:pPr>
              <w:pStyle w:val="Compact"/>
            </w:pPr>
            <w:r>
              <w:t xml:space="preserve">&lt; THB 0.1M</w:t>
            </w:r>
          </w:p>
        </w:tc>
        <w:tc>
          <w:tcPr/>
          <w:p>
            <w:pPr>
              <w:pStyle w:val="Compact"/>
            </w:pPr>
            <w:r>
              <w:t xml:space="preserve">Negligible</w:t>
            </w:r>
          </w:p>
        </w:tc>
        <w:tc>
          <w:tcPr/>
          <w:p>
            <w:pPr>
              <w:pStyle w:val="Compact"/>
            </w:pPr>
            <w:r>
              <w:t xml:space="preserve">None</w:t>
            </w:r>
          </w:p>
        </w:tc>
        <w:tc>
          <w:tcPr/>
          <w:p>
            <w:pPr>
              <w:pStyle w:val="Compact"/>
            </w:pPr>
            <w:r>
              <w:t xml:space="preserve">None</w:t>
            </w:r>
          </w:p>
        </w:tc>
      </w:tr>
    </w:tbl>
    <w:bookmarkEnd w:id="439"/>
    <w:bookmarkStart w:id="440" w:name="risk-matrix-55"/>
    <w:p>
      <w:pPr>
        <w:pStyle w:val="Heading3"/>
      </w:pPr>
      <w:r>
        <w:t xml:space="preserve">4.4 Risk Matrix (5×5)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Likelihood  Impact</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rPr>
                <w:b/>
                <w:bCs/>
              </w:rPr>
              <w:t xml:space="preserve">5</w:t>
            </w:r>
          </w:p>
        </w:tc>
        <w:tc>
          <w:tcPr/>
          <w:p>
            <w:pPr>
              <w:pStyle w:val="Compact"/>
            </w:pPr>
            <w:r>
              <w:t xml:space="preserve">M</w:t>
            </w:r>
          </w:p>
        </w:tc>
        <w:tc>
          <w:tcPr/>
          <w:p>
            <w:pPr>
              <w:pStyle w:val="Compact"/>
            </w:pPr>
            <w:r>
              <w:t xml:space="preserve">H</w:t>
            </w:r>
          </w:p>
        </w:tc>
        <w:tc>
          <w:tcPr/>
          <w:p>
            <w:pPr>
              <w:pStyle w:val="Compact"/>
            </w:pPr>
            <w:r>
              <w:t xml:space="preserve">H</w:t>
            </w:r>
          </w:p>
        </w:tc>
        <w:tc>
          <w:tcPr/>
          <w:p>
            <w:pPr>
              <w:pStyle w:val="Compact"/>
            </w:pPr>
            <w:r>
              <w:t xml:space="preserve">E</w:t>
            </w:r>
          </w:p>
        </w:tc>
        <w:tc>
          <w:tcPr/>
          <w:p>
            <w:pPr>
              <w:pStyle w:val="Compact"/>
            </w:pPr>
            <w:r>
              <w:t xml:space="preserve">E</w:t>
            </w:r>
          </w:p>
        </w:tc>
      </w:tr>
      <w:tr>
        <w:tc>
          <w:tcPr/>
          <w:p>
            <w:pPr>
              <w:pStyle w:val="Compact"/>
            </w:pPr>
            <w:r>
              <w:rPr>
                <w:b/>
                <w:bCs/>
              </w:rPr>
              <w:t xml:space="preserve">4</w:t>
            </w:r>
          </w:p>
        </w:tc>
        <w:tc>
          <w:tcPr/>
          <w:p>
            <w:pPr>
              <w:pStyle w:val="Compact"/>
            </w:pPr>
            <w:r>
              <w:t xml:space="preserve">M</w:t>
            </w:r>
          </w:p>
        </w:tc>
        <w:tc>
          <w:tcPr/>
          <w:p>
            <w:pPr>
              <w:pStyle w:val="Compact"/>
            </w:pPr>
            <w:r>
              <w:t xml:space="preserve">M</w:t>
            </w:r>
          </w:p>
        </w:tc>
        <w:tc>
          <w:tcPr/>
          <w:p>
            <w:pPr>
              <w:pStyle w:val="Compact"/>
            </w:pPr>
            <w:r>
              <w:t xml:space="preserve">H</w:t>
            </w:r>
          </w:p>
        </w:tc>
        <w:tc>
          <w:tcPr/>
          <w:p>
            <w:pPr>
              <w:pStyle w:val="Compact"/>
            </w:pPr>
            <w:r>
              <w:t xml:space="preserve">H</w:t>
            </w:r>
          </w:p>
        </w:tc>
        <w:tc>
          <w:tcPr/>
          <w:p>
            <w:pPr>
              <w:pStyle w:val="Compact"/>
            </w:pPr>
            <w:r>
              <w:t xml:space="preserve">E</w:t>
            </w:r>
          </w:p>
        </w:tc>
      </w:tr>
      <w:tr>
        <w:tc>
          <w:tcPr/>
          <w:p>
            <w:pPr>
              <w:pStyle w:val="Compact"/>
            </w:pPr>
            <w:r>
              <w:rPr>
                <w:b/>
                <w:bCs/>
              </w:rPr>
              <w:t xml:space="preserve">3</w:t>
            </w:r>
          </w:p>
        </w:tc>
        <w:tc>
          <w:tcPr/>
          <w:p>
            <w:pPr>
              <w:pStyle w:val="Compact"/>
            </w:pPr>
            <w:r>
              <w:t xml:space="preserve">L</w:t>
            </w:r>
          </w:p>
        </w:tc>
        <w:tc>
          <w:tcPr/>
          <w:p>
            <w:pPr>
              <w:pStyle w:val="Compact"/>
            </w:pPr>
            <w:r>
              <w:t xml:space="preserve">M</w:t>
            </w:r>
          </w:p>
        </w:tc>
        <w:tc>
          <w:tcPr/>
          <w:p>
            <w:pPr>
              <w:pStyle w:val="Compact"/>
            </w:pPr>
            <w:r>
              <w:t xml:space="preserve">M</w:t>
            </w:r>
          </w:p>
        </w:tc>
        <w:tc>
          <w:tcPr/>
          <w:p>
            <w:pPr>
              <w:pStyle w:val="Compact"/>
            </w:pPr>
            <w:r>
              <w:t xml:space="preserve">H</w:t>
            </w:r>
          </w:p>
        </w:tc>
        <w:tc>
          <w:tcPr/>
          <w:p>
            <w:pPr>
              <w:pStyle w:val="Compact"/>
            </w:pPr>
            <w:r>
              <w:t xml:space="preserve">H</w:t>
            </w:r>
          </w:p>
        </w:tc>
      </w:tr>
      <w:tr>
        <w:tc>
          <w:tcPr/>
          <w:p>
            <w:pPr>
              <w:pStyle w:val="Compact"/>
            </w:pPr>
            <w:r>
              <w:rPr>
                <w:b/>
                <w:bCs/>
              </w:rPr>
              <w:t xml:space="preserve">2</w:t>
            </w:r>
          </w:p>
        </w:tc>
        <w:tc>
          <w:tcPr/>
          <w:p>
            <w:pPr>
              <w:pStyle w:val="Compact"/>
            </w:pPr>
            <w:r>
              <w:t xml:space="preserve">L</w:t>
            </w:r>
          </w:p>
        </w:tc>
        <w:tc>
          <w:tcPr/>
          <w:p>
            <w:pPr>
              <w:pStyle w:val="Compact"/>
            </w:pPr>
            <w:r>
              <w:t xml:space="preserve">L</w:t>
            </w:r>
          </w:p>
        </w:tc>
        <w:tc>
          <w:tcPr/>
          <w:p>
            <w:pPr>
              <w:pStyle w:val="Compact"/>
            </w:pPr>
            <w:r>
              <w:t xml:space="preserve">M</w:t>
            </w:r>
          </w:p>
        </w:tc>
        <w:tc>
          <w:tcPr/>
          <w:p>
            <w:pPr>
              <w:pStyle w:val="Compact"/>
            </w:pPr>
            <w:r>
              <w:t xml:space="preserve">M</w:t>
            </w:r>
          </w:p>
        </w:tc>
        <w:tc>
          <w:tcPr/>
          <w:p>
            <w:pPr>
              <w:pStyle w:val="Compact"/>
            </w:pPr>
            <w:r>
              <w:t xml:space="preserve">H</w:t>
            </w:r>
          </w:p>
        </w:tc>
      </w:tr>
      <w:tr>
        <w:tc>
          <w:tcPr/>
          <w:p>
            <w:pPr>
              <w:pStyle w:val="Compact"/>
            </w:pPr>
            <w:r>
              <w:rPr>
                <w:b/>
                <w:bCs/>
              </w:rPr>
              <w:t xml:space="preserve">1</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M</w:t>
            </w:r>
          </w:p>
        </w:tc>
        <w:tc>
          <w:tcPr/>
          <w:p>
            <w:pPr>
              <w:pStyle w:val="Compact"/>
            </w:pPr>
            <w:r>
              <w:t xml:space="preserve">M</w:t>
            </w:r>
          </w:p>
        </w:tc>
      </w:tr>
    </w:tbl>
    <w:p>
      <w:pPr>
        <w:pStyle w:val="BodyText"/>
      </w:pPr>
      <w:r>
        <w:rPr>
          <w:b/>
          <w:bCs/>
        </w:rPr>
        <w:t xml:space="preserve">Treatment by level (Risk Appetite):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Name</w:t>
            </w:r>
          </w:p>
        </w:tc>
        <w:tc>
          <w:tcPr/>
          <w:p>
            <w:pPr>
              <w:pStyle w:val="Compact"/>
            </w:pPr>
            <w:r>
              <w:t xml:space="preserve">Approval / treatment</w:t>
            </w:r>
          </w:p>
        </w:tc>
        <w:tc>
          <w:tcPr/>
          <w:p>
            <w:pPr>
              <w:pStyle w:val="Compact"/>
            </w:pPr>
            <w:r>
              <w:t xml:space="preserve">Remediation SLA</w:t>
            </w:r>
          </w:p>
        </w:tc>
      </w:tr>
      <w:tr>
        <w:tc>
          <w:tcPr/>
          <w:p>
            <w:pPr>
              <w:pStyle w:val="Compact"/>
            </w:pPr>
            <w:r>
              <w:rPr>
                <w:b/>
                <w:bCs/>
              </w:rPr>
              <w:t xml:space="preserve">E</w:t>
            </w:r>
          </w:p>
        </w:tc>
        <w:tc>
          <w:tcPr/>
          <w:p>
            <w:pPr>
              <w:pStyle w:val="Compact"/>
            </w:pPr>
            <w:r>
              <w:t xml:space="preserve">Extreme</w:t>
            </w:r>
          </w:p>
        </w:tc>
        <w:tc>
          <w:tcPr/>
          <w:p>
            <w:pPr>
              <w:pStyle w:val="Compact"/>
            </w:pPr>
            <w:r>
              <w:t xml:space="preserve">Notify Board/Risk Committee immediately; treat now</w:t>
            </w:r>
          </w:p>
        </w:tc>
        <w:tc>
          <w:tcPr/>
          <w:p>
            <w:pPr>
              <w:pStyle w:val="Compact"/>
            </w:pPr>
            <w:r>
              <w:t xml:space="preserve">Immediate / ≤ 24h</w:t>
            </w:r>
          </w:p>
        </w:tc>
      </w:tr>
      <w:tr>
        <w:tc>
          <w:tcPr/>
          <w:p>
            <w:pPr>
              <w:pStyle w:val="Compact"/>
            </w:pPr>
            <w:r>
              <w:rPr>
                <w:b/>
                <w:bCs/>
              </w:rPr>
              <w:t xml:space="preserve">H</w:t>
            </w:r>
          </w:p>
        </w:tc>
        <w:tc>
          <w:tcPr/>
          <w:p>
            <w:pPr>
              <w:pStyle w:val="Compact"/>
            </w:pPr>
            <w:r>
              <w:t xml:space="preserve">High</w:t>
            </w:r>
          </w:p>
        </w:tc>
        <w:tc>
          <w:tcPr/>
          <w:p>
            <w:pPr>
              <w:pStyle w:val="Compact"/>
            </w:pPr>
            <w:r>
              <w:t xml:space="preserve">Plan approved by CISO + Risk Committee</w:t>
            </w:r>
          </w:p>
        </w:tc>
        <w:tc>
          <w:tcPr/>
          <w:p>
            <w:pPr>
              <w:pStyle w:val="Compact"/>
            </w:pPr>
            <w:r>
              <w:t xml:space="preserve">≤ 30 days</w:t>
            </w:r>
          </w:p>
        </w:tc>
      </w:tr>
      <w:tr>
        <w:tc>
          <w:tcPr/>
          <w:p>
            <w:pPr>
              <w:pStyle w:val="Compact"/>
            </w:pPr>
            <w:r>
              <w:rPr>
                <w:b/>
                <w:bCs/>
              </w:rPr>
              <w:t xml:space="preserve">M</w:t>
            </w:r>
          </w:p>
        </w:tc>
        <w:tc>
          <w:tcPr/>
          <w:p>
            <w:pPr>
              <w:pStyle w:val="Compact"/>
            </w:pPr>
            <w:r>
              <w:t xml:space="preserve">Medium</w:t>
            </w:r>
          </w:p>
        </w:tc>
        <w:tc>
          <w:tcPr/>
          <w:p>
            <w:pPr>
              <w:pStyle w:val="Compact"/>
            </w:pPr>
            <w:r>
              <w:t xml:space="preserve">Risk owner treats; tracked by IT Risk Committee</w:t>
            </w:r>
          </w:p>
        </w:tc>
        <w:tc>
          <w:tcPr/>
          <w:p>
            <w:pPr>
              <w:pStyle w:val="Compact"/>
            </w:pPr>
            <w:r>
              <w:t xml:space="preserve">≤ 90 days</w:t>
            </w:r>
          </w:p>
        </w:tc>
      </w:tr>
      <w:tr>
        <w:tc>
          <w:tcPr/>
          <w:p>
            <w:pPr>
              <w:pStyle w:val="Compact"/>
            </w:pPr>
            <w:r>
              <w:rPr>
                <w:b/>
                <w:bCs/>
              </w:rPr>
              <w:t xml:space="preserve">L</w:t>
            </w:r>
          </w:p>
        </w:tc>
        <w:tc>
          <w:tcPr/>
          <w:p>
            <w:pPr>
              <w:pStyle w:val="Compact"/>
            </w:pPr>
            <w:r>
              <w:t xml:space="preserve">Low</w:t>
            </w:r>
          </w:p>
        </w:tc>
        <w:tc>
          <w:tcPr/>
          <w:p>
            <w:pPr>
              <w:pStyle w:val="Compact"/>
            </w:pPr>
            <w:r>
              <w:t xml:space="preserve">Acceptable; review at next cycle</w:t>
            </w:r>
          </w:p>
        </w:tc>
        <w:tc>
          <w:tcPr/>
          <w:p>
            <w:pPr>
              <w:pStyle w:val="Compact"/>
            </w:pPr>
            <w:r>
              <w:t xml:space="preserve">Next assessment</w:t>
            </w:r>
          </w:p>
        </w:tc>
      </w:tr>
    </w:tbl>
    <w:p>
      <w:pPr>
        <w:pStyle w:val="BlockText"/>
      </w:pPr>
      <w:r>
        <w:rPr>
          <w:b/>
          <w:bCs/>
        </w:rPr>
        <w:t xml:space="preserve">Risk Appetite Statement:</w:t>
      </w:r>
      <w:r>
        <w:t xml:space="preserve"> </w:t>
      </w:r>
      <w:r>
        <w:t xml:space="preserve">[บริษัท / Company] holds</w:t>
      </w:r>
      <w:r>
        <w:t xml:space="preserve"> </w:t>
      </w:r>
      <w:r>
        <w:rPr>
          <w:b/>
          <w:bCs/>
        </w:rPr>
        <w:t xml:space="preserve">zero tolerance</w:t>
      </w:r>
      <w:r>
        <w:t xml:space="preserve"> </w:t>
      </w:r>
      <w:r>
        <w:t xml:space="preserve">for storing full PAN/CVV/PIN outside the vault, for CDE access without MFA, and for failing to report a data breach within statutory deadlines.</w:t>
      </w:r>
    </w:p>
    <w:bookmarkEnd w:id="440"/>
    <w:bookmarkStart w:id="441" w:name="risk-register-key-entries"/>
    <w:p>
      <w:pPr>
        <w:pStyle w:val="Heading3"/>
      </w:pPr>
      <w:r>
        <w:t xml:space="preserve">4.5 Risk Register (key entries)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Risk</w:t>
            </w:r>
          </w:p>
        </w:tc>
        <w:tc>
          <w:tcPr/>
          <w:p>
            <w:pPr>
              <w:pStyle w:val="Compact"/>
            </w:pPr>
            <w:r>
              <w:t xml:space="preserve">Category</w:t>
            </w:r>
          </w:p>
        </w:tc>
        <w:tc>
          <w:tcPr/>
          <w:p>
            <w:pPr>
              <w:pStyle w:val="Compact"/>
            </w:pPr>
            <w:r>
              <w:t xml:space="preserve">Inherent</w:t>
            </w:r>
          </w:p>
        </w:tc>
        <w:tc>
          <w:tcPr/>
          <w:p>
            <w:pPr>
              <w:pStyle w:val="Compact"/>
            </w:pPr>
            <w:r>
              <w:t xml:space="preserve">Key controls</w:t>
            </w:r>
          </w:p>
        </w:tc>
        <w:tc>
          <w:tcPr/>
          <w:p>
            <w:pPr>
              <w:pStyle w:val="Compact"/>
            </w:pPr>
            <w:r>
              <w:t xml:space="preserve">Residual</w:t>
            </w:r>
          </w:p>
        </w:tc>
        <w:tc>
          <w:tcPr/>
          <w:p>
            <w:pPr>
              <w:pStyle w:val="Compact"/>
            </w:pPr>
            <w:r>
              <w:t xml:space="preserve">Owner</w:t>
            </w:r>
          </w:p>
        </w:tc>
      </w:tr>
      <w:tr>
        <w:tc>
          <w:tcPr/>
          <w:p>
            <w:pPr>
              <w:pStyle w:val="Compact"/>
            </w:pPr>
            <w:r>
              <w:t xml:space="preserve">R-01</w:t>
            </w:r>
          </w:p>
        </w:tc>
        <w:tc>
          <w:tcPr/>
          <w:p>
            <w:pPr>
              <w:pStyle w:val="Compact"/>
            </w:pPr>
            <w:r>
              <w:t xml:space="preserve">CHD leakage from CDE</w:t>
            </w:r>
          </w:p>
        </w:tc>
        <w:tc>
          <w:tcPr/>
          <w:p>
            <w:pPr>
              <w:pStyle w:val="Compact"/>
            </w:pPr>
            <w:r>
              <w:t xml:space="preserve">Cyber/Data</w:t>
            </w:r>
          </w:p>
        </w:tc>
        <w:tc>
          <w:tcPr/>
          <w:p>
            <w:pPr>
              <w:pStyle w:val="Compact"/>
            </w:pPr>
            <w:r>
              <w:t xml:space="preserve">E (5×4)</w:t>
            </w:r>
          </w:p>
        </w:tc>
        <w:tc>
          <w:tcPr/>
          <w:p>
            <w:pPr>
              <w:pStyle w:val="Compact"/>
            </w:pPr>
            <w:r>
              <w:t xml:space="preserve">Segregated tokenization vault, envelope encryption, HSM, DLP, PCI Req 3/4</w:t>
            </w:r>
          </w:p>
        </w:tc>
        <w:tc>
          <w:tcPr/>
          <w:p>
            <w:pPr>
              <w:pStyle w:val="Compact"/>
            </w:pPr>
            <w:r>
              <w:t xml:space="preserve">H</w:t>
            </w:r>
          </w:p>
        </w:tc>
        <w:tc>
          <w:tcPr/>
          <w:p>
            <w:pPr>
              <w:pStyle w:val="Compact"/>
            </w:pPr>
            <w:r>
              <w:t xml:space="preserve">CISO</w:t>
            </w:r>
          </w:p>
        </w:tc>
      </w:tr>
      <w:tr>
        <w:tc>
          <w:tcPr/>
          <w:p>
            <w:pPr>
              <w:pStyle w:val="Compact"/>
            </w:pPr>
            <w:r>
              <w:t xml:space="preserve">R-02</w:t>
            </w:r>
          </w:p>
        </w:tc>
        <w:tc>
          <w:tcPr/>
          <w:p>
            <w:pPr>
              <w:pStyle w:val="Compact"/>
            </w:pPr>
            <w:r>
              <w:t xml:space="preserve">Admin account takeover</w:t>
            </w:r>
          </w:p>
        </w:tc>
        <w:tc>
          <w:tcPr/>
          <w:p>
            <w:pPr>
              <w:pStyle w:val="Compact"/>
            </w:pPr>
            <w:r>
              <w:t xml:space="preserve">Access</w:t>
            </w:r>
          </w:p>
        </w:tc>
        <w:tc>
          <w:tcPr/>
          <w:p>
            <w:pPr>
              <w:pStyle w:val="Compact"/>
            </w:pPr>
            <w:r>
              <w:t xml:space="preserve">H (4×4)</w:t>
            </w:r>
          </w:p>
        </w:tc>
        <w:tc>
          <w:tcPr/>
          <w:p>
            <w:pPr>
              <w:pStyle w:val="Compact"/>
            </w:pPr>
            <w:r>
              <w:t xml:space="preserve">MFA, least-privilege RBAC, PAM, session timeout (PCI Req 7/8)</w:t>
            </w:r>
          </w:p>
        </w:tc>
        <w:tc>
          <w:tcPr/>
          <w:p>
            <w:pPr>
              <w:pStyle w:val="Compact"/>
            </w:pPr>
            <w:r>
              <w:t xml:space="preserve">M</w:t>
            </w:r>
          </w:p>
        </w:tc>
        <w:tc>
          <w:tcPr/>
          <w:p>
            <w:pPr>
              <w:pStyle w:val="Compact"/>
            </w:pPr>
            <w:r>
              <w:t xml:space="preserve">Head of SRE</w:t>
            </w:r>
          </w:p>
        </w:tc>
      </w:tr>
      <w:tr>
        <w:tc>
          <w:tcPr/>
          <w:p>
            <w:pPr>
              <w:pStyle w:val="Compact"/>
            </w:pPr>
            <w:r>
              <w:t xml:space="preserve">R-03</w:t>
            </w:r>
          </w:p>
        </w:tc>
        <w:tc>
          <w:tcPr/>
          <w:p>
            <w:pPr>
              <w:pStyle w:val="Compact"/>
            </w:pPr>
            <w:r>
              <w:t xml:space="preserve">Authorization outage (availability)</w:t>
            </w:r>
          </w:p>
        </w:tc>
        <w:tc>
          <w:tcPr/>
          <w:p>
            <w:pPr>
              <w:pStyle w:val="Compact"/>
            </w:pPr>
            <w:r>
              <w:t xml:space="preserve">Operational</w:t>
            </w:r>
          </w:p>
        </w:tc>
        <w:tc>
          <w:tcPr/>
          <w:p>
            <w:pPr>
              <w:pStyle w:val="Compact"/>
            </w:pPr>
            <w:r>
              <w:t xml:space="preserve">H (3×5)</w:t>
            </w:r>
          </w:p>
        </w:tc>
        <w:tc>
          <w:tcPr/>
          <w:p>
            <w:pPr>
              <w:pStyle w:val="Compact"/>
            </w:pPr>
            <w:r>
              <w:t xml:space="preserve">HA multi-AZ, auto-scaling, circuit breaker, RPO≤5m/RTO≤30m</w:t>
            </w:r>
          </w:p>
        </w:tc>
        <w:tc>
          <w:tcPr/>
          <w:p>
            <w:pPr>
              <w:pStyle w:val="Compact"/>
            </w:pPr>
            <w:r>
              <w:t xml:space="preserve">M</w:t>
            </w:r>
          </w:p>
        </w:tc>
        <w:tc>
          <w:tcPr/>
          <w:p>
            <w:pPr>
              <w:pStyle w:val="Compact"/>
            </w:pPr>
            <w:r>
              <w:t xml:space="preserve">Head of SRE</w:t>
            </w:r>
          </w:p>
        </w:tc>
      </w:tr>
      <w:tr>
        <w:tc>
          <w:tcPr/>
          <w:p>
            <w:pPr>
              <w:pStyle w:val="Compact"/>
            </w:pPr>
            <w:r>
              <w:t xml:space="preserve">R-04</w:t>
            </w:r>
          </w:p>
        </w:tc>
        <w:tc>
          <w:tcPr/>
          <w:p>
            <w:pPr>
              <w:pStyle w:val="Compact"/>
            </w:pPr>
            <w:r>
              <w:t xml:space="preserve">Code/dependency vulns (SQLi, RCE)</w:t>
            </w:r>
          </w:p>
        </w:tc>
        <w:tc>
          <w:tcPr/>
          <w:p>
            <w:pPr>
              <w:pStyle w:val="Compact"/>
            </w:pPr>
            <w:r>
              <w:t xml:space="preserve">AppSec</w:t>
            </w:r>
          </w:p>
        </w:tc>
        <w:tc>
          <w:tcPr/>
          <w:p>
            <w:pPr>
              <w:pStyle w:val="Compact"/>
            </w:pPr>
            <w:r>
              <w:t xml:space="preserve">H (4×4)</w:t>
            </w:r>
          </w:p>
        </w:tc>
        <w:tc>
          <w:tcPr/>
          <w:p>
            <w:pPr>
              <w:pStyle w:val="Compact"/>
            </w:pPr>
            <w:r>
              <w:t xml:space="preserve">sqlc parameterized, SAST/DAST, govulncheck, code review, WAF</w:t>
            </w:r>
          </w:p>
        </w:tc>
        <w:tc>
          <w:tcPr/>
          <w:p>
            <w:pPr>
              <w:pStyle w:val="Compact"/>
            </w:pPr>
            <w:r>
              <w:t xml:space="preserve">M</w:t>
            </w:r>
          </w:p>
        </w:tc>
        <w:tc>
          <w:tcPr/>
          <w:p>
            <w:pPr>
              <w:pStyle w:val="Compact"/>
            </w:pPr>
            <w:r>
              <w:t xml:space="preserve">DevSecOps</w:t>
            </w:r>
          </w:p>
        </w:tc>
      </w:tr>
      <w:tr>
        <w:tc>
          <w:tcPr/>
          <w:p>
            <w:pPr>
              <w:pStyle w:val="Compact"/>
            </w:pPr>
            <w:r>
              <w:t xml:space="preserve">R-05</w:t>
            </w:r>
          </w:p>
        </w:tc>
        <w:tc>
          <w:tcPr/>
          <w:p>
            <w:pPr>
              <w:pStyle w:val="Compact"/>
            </w:pPr>
            <w:r>
              <w:t xml:space="preserve">Fraud/chargeback over threshold</w:t>
            </w:r>
          </w:p>
        </w:tc>
        <w:tc>
          <w:tcPr/>
          <w:p>
            <w:pPr>
              <w:pStyle w:val="Compact"/>
            </w:pPr>
            <w:r>
              <w:t xml:space="preserve">Fraud</w:t>
            </w:r>
          </w:p>
        </w:tc>
        <w:tc>
          <w:tcPr/>
          <w:p>
            <w:pPr>
              <w:pStyle w:val="Compact"/>
            </w:pPr>
            <w:r>
              <w:t xml:space="preserve">H (4×3)</w:t>
            </w:r>
          </w:p>
        </w:tc>
        <w:tc>
          <w:tcPr/>
          <w:p>
            <w:pPr>
              <w:pStyle w:val="Compact"/>
            </w:pPr>
            <w:r>
              <w:t xml:space="preserve">3DS 2.x, velocity checks, risk scoring, blacklist</w:t>
            </w:r>
          </w:p>
        </w:tc>
        <w:tc>
          <w:tcPr/>
          <w:p>
            <w:pPr>
              <w:pStyle w:val="Compact"/>
            </w:pPr>
            <w:r>
              <w:t xml:space="preserve">M</w:t>
            </w:r>
          </w:p>
        </w:tc>
        <w:tc>
          <w:tcPr/>
          <w:p>
            <w:pPr>
              <w:pStyle w:val="Compact"/>
            </w:pPr>
            <w:r>
              <w:t xml:space="preserve">Risk/Fraud Lead</w:t>
            </w:r>
          </w:p>
        </w:tc>
      </w:tr>
      <w:tr>
        <w:tc>
          <w:tcPr/>
          <w:p>
            <w:pPr>
              <w:pStyle w:val="Compact"/>
            </w:pPr>
            <w:r>
              <w:t xml:space="preserve">R-06</w:t>
            </w:r>
          </w:p>
        </w:tc>
        <w:tc>
          <w:tcPr/>
          <w:p>
            <w:pPr>
              <w:pStyle w:val="Compact"/>
            </w:pPr>
            <w:r>
              <w:t xml:space="preserve">Third-party (acquirer/cloud) outage</w:t>
            </w:r>
          </w:p>
        </w:tc>
        <w:tc>
          <w:tcPr/>
          <w:p>
            <w:pPr>
              <w:pStyle w:val="Compact"/>
            </w:pPr>
            <w:r>
              <w:t xml:space="preserve">Third-party</w:t>
            </w:r>
          </w:p>
        </w:tc>
        <w:tc>
          <w:tcPr/>
          <w:p>
            <w:pPr>
              <w:pStyle w:val="Compact"/>
            </w:pPr>
            <w:r>
              <w:t xml:space="preserve">H (3×4)</w:t>
            </w:r>
          </w:p>
        </w:tc>
        <w:tc>
          <w:tcPr/>
          <w:p>
            <w:pPr>
              <w:pStyle w:val="Compact"/>
            </w:pPr>
            <w:r>
              <w:t xml:space="preserve">Contracts/SLA, exit plan, vendor assessment, multi-region</w:t>
            </w:r>
          </w:p>
        </w:tc>
        <w:tc>
          <w:tcPr/>
          <w:p>
            <w:pPr>
              <w:pStyle w:val="Compact"/>
            </w:pPr>
            <w:r>
              <w:t xml:space="preserve">M</w:t>
            </w:r>
          </w:p>
        </w:tc>
        <w:tc>
          <w:tcPr/>
          <w:p>
            <w:pPr>
              <w:pStyle w:val="Compact"/>
            </w:pPr>
            <w:r>
              <w:t xml:space="preserve">CTO</w:t>
            </w:r>
          </w:p>
        </w:tc>
      </w:tr>
      <w:tr>
        <w:tc>
          <w:tcPr/>
          <w:p>
            <w:pPr>
              <w:pStyle w:val="Compact"/>
            </w:pPr>
            <w:r>
              <w:t xml:space="preserve">R-07</w:t>
            </w:r>
          </w:p>
        </w:tc>
        <w:tc>
          <w:tcPr/>
          <w:p>
            <w:pPr>
              <w:pStyle w:val="Compact"/>
            </w:pPr>
            <w:r>
              <w:t xml:space="preserve">Ransomware / malware</w:t>
            </w:r>
          </w:p>
        </w:tc>
        <w:tc>
          <w:tcPr/>
          <w:p>
            <w:pPr>
              <w:pStyle w:val="Compact"/>
            </w:pPr>
            <w:r>
              <w:t xml:space="preserve">Cyber</w:t>
            </w:r>
          </w:p>
        </w:tc>
        <w:tc>
          <w:tcPr/>
          <w:p>
            <w:pPr>
              <w:pStyle w:val="Compact"/>
            </w:pPr>
            <w:r>
              <w:t xml:space="preserve">H (3×5)</w:t>
            </w:r>
          </w:p>
        </w:tc>
        <w:tc>
          <w:tcPr/>
          <w:p>
            <w:pPr>
              <w:pStyle w:val="Compact"/>
            </w:pPr>
            <w:r>
              <w:t xml:space="preserve">EDR, immutable/offline backups, segmentation, patching</w:t>
            </w:r>
          </w:p>
        </w:tc>
        <w:tc>
          <w:tcPr/>
          <w:p>
            <w:pPr>
              <w:pStyle w:val="Compact"/>
            </w:pPr>
            <w:r>
              <w:t xml:space="preserve">M</w:t>
            </w:r>
          </w:p>
        </w:tc>
        <w:tc>
          <w:tcPr/>
          <w:p>
            <w:pPr>
              <w:pStyle w:val="Compact"/>
            </w:pPr>
            <w:r>
              <w:t xml:space="preserve">CISO</w:t>
            </w:r>
          </w:p>
        </w:tc>
      </w:tr>
      <w:tr>
        <w:tc>
          <w:tcPr/>
          <w:p>
            <w:pPr>
              <w:pStyle w:val="Compact"/>
            </w:pPr>
            <w:r>
              <w:t xml:space="preserve">R-08</w:t>
            </w:r>
          </w:p>
        </w:tc>
        <w:tc>
          <w:tcPr/>
          <w:p>
            <w:pPr>
              <w:pStyle w:val="Compact"/>
            </w:pPr>
            <w:r>
              <w:t xml:space="preserve">Insider threat / privilege misuse</w:t>
            </w:r>
          </w:p>
        </w:tc>
        <w:tc>
          <w:tcPr/>
          <w:p>
            <w:pPr>
              <w:pStyle w:val="Compact"/>
            </w:pPr>
            <w:r>
              <w:t xml:space="preserve">People</w:t>
            </w:r>
          </w:p>
        </w:tc>
        <w:tc>
          <w:tcPr/>
          <w:p>
            <w:pPr>
              <w:pStyle w:val="Compact"/>
            </w:pPr>
            <w:r>
              <w:t xml:space="preserve">M (2×4)</w:t>
            </w:r>
          </w:p>
        </w:tc>
        <w:tc>
          <w:tcPr/>
          <w:p>
            <w:pPr>
              <w:pStyle w:val="Compact"/>
            </w:pPr>
            <w:r>
              <w:t xml:space="preserve">Segregation of duties, dual control, log monitoring, background checks</w:t>
            </w:r>
          </w:p>
        </w:tc>
        <w:tc>
          <w:tcPr/>
          <w:p>
            <w:pPr>
              <w:pStyle w:val="Compact"/>
            </w:pPr>
            <w:r>
              <w:t xml:space="preserve">M</w:t>
            </w:r>
          </w:p>
        </w:tc>
        <w:tc>
          <w:tcPr/>
          <w:p>
            <w:pPr>
              <w:pStyle w:val="Compact"/>
            </w:pPr>
            <w:r>
              <w:t xml:space="preserve">HR + CISO</w:t>
            </w:r>
          </w:p>
        </w:tc>
      </w:tr>
      <w:tr>
        <w:tc>
          <w:tcPr/>
          <w:p>
            <w:pPr>
              <w:pStyle w:val="Compact"/>
            </w:pPr>
            <w:r>
              <w:t xml:space="preserve">R-09</w:t>
            </w:r>
          </w:p>
        </w:tc>
        <w:tc>
          <w:tcPr/>
          <w:p>
            <w:pPr>
              <w:pStyle w:val="Compact"/>
            </w:pPr>
            <w:r>
              <w:t xml:space="preserve">Data residency / PDPA non-compliance</w:t>
            </w:r>
          </w:p>
        </w:tc>
        <w:tc>
          <w:tcPr/>
          <w:p>
            <w:pPr>
              <w:pStyle w:val="Compact"/>
            </w:pPr>
            <w:r>
              <w:t xml:space="preserve">Compliance</w:t>
            </w:r>
          </w:p>
        </w:tc>
        <w:tc>
          <w:tcPr/>
          <w:p>
            <w:pPr>
              <w:pStyle w:val="Compact"/>
            </w:pPr>
            <w:r>
              <w:t xml:space="preserve">H (3×4)</w:t>
            </w:r>
          </w:p>
        </w:tc>
        <w:tc>
          <w:tcPr/>
          <w:p>
            <w:pPr>
              <w:pStyle w:val="Compact"/>
            </w:pPr>
            <w:r>
              <w:t xml:space="preserve">In-Thailand data storage, consent, vendor DPA, breach notification</w:t>
            </w:r>
          </w:p>
        </w:tc>
        <w:tc>
          <w:tcPr/>
          <w:p>
            <w:pPr>
              <w:pStyle w:val="Compact"/>
            </w:pPr>
            <w:r>
              <w:t xml:space="preserve">M</w:t>
            </w:r>
          </w:p>
        </w:tc>
        <w:tc>
          <w:tcPr/>
          <w:p>
            <w:pPr>
              <w:pStyle w:val="Compact"/>
            </w:pPr>
            <w:r>
              <w:t xml:space="preserve">DPO</w:t>
            </w:r>
          </w:p>
        </w:tc>
      </w:tr>
      <w:tr>
        <w:tc>
          <w:tcPr/>
          <w:p>
            <w:pPr>
              <w:pStyle w:val="Compact"/>
            </w:pPr>
            <w:r>
              <w:t xml:space="preserve">R-10</w:t>
            </w:r>
          </w:p>
        </w:tc>
        <w:tc>
          <w:tcPr/>
          <w:p>
            <w:pPr>
              <w:pStyle w:val="Compact"/>
            </w:pPr>
            <w:r>
              <w:t xml:space="preserve">Key compromise (HSM/KMS)</w:t>
            </w:r>
          </w:p>
        </w:tc>
        <w:tc>
          <w:tcPr/>
          <w:p>
            <w:pPr>
              <w:pStyle w:val="Compact"/>
            </w:pPr>
            <w:r>
              <w:t xml:space="preserve">Crypto</w:t>
            </w:r>
          </w:p>
        </w:tc>
        <w:tc>
          <w:tcPr/>
          <w:p>
            <w:pPr>
              <w:pStyle w:val="Compact"/>
            </w:pPr>
            <w:r>
              <w:t xml:space="preserve">M (2×5)</w:t>
            </w:r>
          </w:p>
        </w:tc>
        <w:tc>
          <w:tcPr/>
          <w:p>
            <w:pPr>
              <w:pStyle w:val="Compact"/>
            </w:pPr>
            <w:r>
              <w:t xml:space="preserve">Dual control, split knowledge, key rotation, FIPS 140-2/3 HSM</w:t>
            </w:r>
          </w:p>
        </w:tc>
        <w:tc>
          <w:tcPr/>
          <w:p>
            <w:pPr>
              <w:pStyle w:val="Compact"/>
            </w:pPr>
            <w:r>
              <w:t xml:space="preserve">L</w:t>
            </w:r>
          </w:p>
        </w:tc>
        <w:tc>
          <w:tcPr/>
          <w:p>
            <w:pPr>
              <w:pStyle w:val="Compact"/>
            </w:pPr>
            <w:r>
              <w:t xml:space="preserve">CISO</w:t>
            </w:r>
          </w:p>
        </w:tc>
      </w:tr>
    </w:tbl>
    <w:p>
      <w:r>
        <w:pict>
          <v:rect style="width:0;height:1.5pt" o:hralign="center" o:hrstd="t" o:hr="t"/>
        </w:pict>
      </w:r>
    </w:p>
    <w:bookmarkEnd w:id="441"/>
    <w:bookmarkEnd w:id="442"/>
    <w:bookmarkStart w:id="444" w:name="controls-mapped-to-pci-dss-v4.0-and-bot"/>
    <w:p>
      <w:pPr>
        <w:pStyle w:val="Heading2"/>
      </w:pPr>
      <w:r>
        <w:t xml:space="preserve">5. Controls — mapped to PCI-DSS v4.0 and BOT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 domain</w:t>
            </w:r>
          </w:p>
        </w:tc>
        <w:tc>
          <w:tcPr/>
          <w:p>
            <w:pPr>
              <w:pStyle w:val="Compact"/>
            </w:pPr>
            <w:r>
              <w:t xml:space="preserve">Key measures</w:t>
            </w:r>
          </w:p>
        </w:tc>
        <w:tc>
          <w:tcPr/>
          <w:p>
            <w:pPr>
              <w:pStyle w:val="Compact"/>
            </w:pPr>
            <w:r>
              <w:t xml:space="preserve">Standard ref.</w:t>
            </w:r>
          </w:p>
        </w:tc>
      </w:tr>
      <w:tr>
        <w:tc>
          <w:tcPr/>
          <w:p>
            <w:pPr>
              <w:pStyle w:val="Compact"/>
            </w:pPr>
            <w:r>
              <w:rPr>
                <w:b/>
                <w:bCs/>
              </w:rPr>
              <w:t xml:space="preserve">Data classification &amp; protection</w:t>
            </w:r>
          </w:p>
        </w:tc>
        <w:tc>
          <w:tcPr/>
          <w:p>
            <w:pPr>
              <w:pStyle w:val="Compact"/>
            </w:pPr>
            <w:r>
              <w:t xml:space="preserve">Classification, tokenization, envelope encryption, no SAD retention post-auth</w:t>
            </w:r>
          </w:p>
        </w:tc>
        <w:tc>
          <w:tcPr/>
          <w:p>
            <w:pPr>
              <w:pStyle w:val="Compact"/>
            </w:pPr>
            <w:r>
              <w:t xml:space="preserve">PCI Req 3, PDPA</w:t>
            </w:r>
          </w:p>
        </w:tc>
      </w:tr>
      <w:tr>
        <w:tc>
          <w:tcPr/>
          <w:p>
            <w:pPr>
              <w:pStyle w:val="Compact"/>
            </w:pPr>
            <w:r>
              <w:rPr>
                <w:b/>
                <w:bCs/>
              </w:rPr>
              <w:t xml:space="preserve">Encryption in transit</w:t>
            </w:r>
          </w:p>
        </w:tc>
        <w:tc>
          <w:tcPr/>
          <w:p>
            <w:pPr>
              <w:pStyle w:val="Compact"/>
            </w:pPr>
            <w:r>
              <w:t xml:space="preserve">TLS 1.2+/1.3, internal mTLS, no weak protocols</w:t>
            </w:r>
          </w:p>
        </w:tc>
        <w:tc>
          <w:tcPr/>
          <w:p>
            <w:pPr>
              <w:pStyle w:val="Compact"/>
            </w:pPr>
            <w:r>
              <w:t xml:space="preserve">PCI Req 4</w:t>
            </w:r>
          </w:p>
        </w:tc>
      </w:tr>
      <w:tr>
        <w:tc>
          <w:tcPr/>
          <w:p>
            <w:pPr>
              <w:pStyle w:val="Compact"/>
            </w:pPr>
            <w:r>
              <w:rPr>
                <w:b/>
                <w:bCs/>
              </w:rPr>
              <w:t xml:space="preserve">Network security</w:t>
            </w:r>
          </w:p>
        </w:tc>
        <w:tc>
          <w:tcPr/>
          <w:p>
            <w:pPr>
              <w:pStyle w:val="Compact"/>
            </w:pPr>
            <w:r>
              <w:t xml:space="preserve">CDE segmentation, firewall/WAF, DDoS protection, IDS/IPS, deny-by-default</w:t>
            </w:r>
          </w:p>
        </w:tc>
        <w:tc>
          <w:tcPr/>
          <w:p>
            <w:pPr>
              <w:pStyle w:val="Compact"/>
            </w:pPr>
            <w:r>
              <w:t xml:space="preserve">PCI Req 1, 11</w:t>
            </w:r>
          </w:p>
        </w:tc>
      </w:tr>
      <w:tr>
        <w:tc>
          <w:tcPr/>
          <w:p>
            <w:pPr>
              <w:pStyle w:val="Compact"/>
            </w:pPr>
            <w:r>
              <w:rPr>
                <w:b/>
                <w:bCs/>
              </w:rPr>
              <w:t xml:space="preserve">Access control</w:t>
            </w:r>
          </w:p>
        </w:tc>
        <w:tc>
          <w:tcPr/>
          <w:p>
            <w:pPr>
              <w:pStyle w:val="Compact"/>
            </w:pPr>
            <w:r>
              <w:t xml:space="preserve">Least-privilege RBAC,</w:t>
            </w:r>
            <w:r>
              <w:t xml:space="preserve"> </w:t>
            </w:r>
            <w:r>
              <w:rPr>
                <w:b/>
                <w:bCs/>
              </w:rPr>
              <w:t xml:space="preserve">MFA mandatory for all CDE and admin access</w:t>
            </w:r>
            <w:r>
              <w:t xml:space="preserve">, PAM, JIT access</w:t>
            </w:r>
          </w:p>
        </w:tc>
        <w:tc>
          <w:tcPr/>
          <w:p>
            <w:pPr>
              <w:pStyle w:val="Compact"/>
            </w:pPr>
            <w:r>
              <w:t xml:space="preserve">PCI Req 7, 8</w:t>
            </w:r>
          </w:p>
        </w:tc>
      </w:tr>
      <w:tr>
        <w:tc>
          <w:tcPr/>
          <w:p>
            <w:pPr>
              <w:pStyle w:val="Compact"/>
            </w:pPr>
            <w:r>
              <w:rPr>
                <w:b/>
                <w:bCs/>
              </w:rPr>
              <w:t xml:space="preserve">Key management</w:t>
            </w:r>
          </w:p>
        </w:tc>
        <w:tc>
          <w:tcPr/>
          <w:p>
            <w:pPr>
              <w:pStyle w:val="Compact"/>
            </w:pPr>
            <w:r>
              <w:t xml:space="preserve">HSM/KMS, dual control, split knowledge, key rotation, no keys in code/config</w:t>
            </w:r>
          </w:p>
        </w:tc>
        <w:tc>
          <w:tcPr/>
          <w:p>
            <w:pPr>
              <w:pStyle w:val="Compact"/>
            </w:pPr>
            <w:r>
              <w:t xml:space="preserve">PCI Req 3</w:t>
            </w:r>
          </w:p>
        </w:tc>
      </w:tr>
      <w:tr>
        <w:tc>
          <w:tcPr/>
          <w:p>
            <w:pPr>
              <w:pStyle w:val="Compact"/>
            </w:pPr>
            <w:r>
              <w:rPr>
                <w:b/>
                <w:bCs/>
              </w:rPr>
              <w:t xml:space="preserve">Secure SDLC</w:t>
            </w:r>
          </w:p>
        </w:tc>
        <w:tc>
          <w:tcPr/>
          <w:p>
            <w:pPr>
              <w:pStyle w:val="Compact"/>
            </w:pPr>
            <w:r>
              <w:t xml:space="preserve">Threat modeling, secure coding, peer review, SAST/DAST/SCA in CI/CD, no secrets in repo</w:t>
            </w:r>
          </w:p>
        </w:tc>
        <w:tc>
          <w:tcPr/>
          <w:p>
            <w:pPr>
              <w:pStyle w:val="Compact"/>
            </w:pPr>
            <w:r>
              <w:t xml:space="preserve">PCI Req 6</w:t>
            </w:r>
          </w:p>
        </w:tc>
      </w:tr>
      <w:tr>
        <w:tc>
          <w:tcPr/>
          <w:p>
            <w:pPr>
              <w:pStyle w:val="Compact"/>
            </w:pPr>
            <w:r>
              <w:rPr>
                <w:b/>
                <w:bCs/>
              </w:rPr>
              <w:t xml:space="preserve">Vulnerability management</w:t>
            </w:r>
          </w:p>
        </w:tc>
        <w:tc>
          <w:tcPr/>
          <w:p>
            <w:pPr>
              <w:pStyle w:val="Compact"/>
            </w:pPr>
            <w:r>
              <w:t xml:space="preserve">govulncheck, dependency scan,</w:t>
            </w:r>
            <w:r>
              <w:t xml:space="preserve"> </w:t>
            </w:r>
            <w:r>
              <w:rPr>
                <w:b/>
                <w:bCs/>
              </w:rPr>
              <w:t xml:space="preserve">quarterly ASV scan</w:t>
            </w:r>
            <w:r>
              <w:t xml:space="preserve">,</w:t>
            </w:r>
            <w:r>
              <w:t xml:space="preserve"> </w:t>
            </w:r>
            <w:r>
              <w:rPr>
                <w:b/>
                <w:bCs/>
              </w:rPr>
              <w:t xml:space="preserve">annual penetration test</w:t>
            </w:r>
            <w:r>
              <w:t xml:space="preserve">, patch SLA</w:t>
            </w:r>
          </w:p>
        </w:tc>
        <w:tc>
          <w:tcPr/>
          <w:p>
            <w:pPr>
              <w:pStyle w:val="Compact"/>
            </w:pPr>
            <w:r>
              <w:t xml:space="preserve">PCI Req 6, 11</w:t>
            </w:r>
          </w:p>
        </w:tc>
      </w:tr>
      <w:tr>
        <w:tc>
          <w:tcPr/>
          <w:p>
            <w:pPr>
              <w:pStyle w:val="Compact"/>
            </w:pPr>
            <w:r>
              <w:rPr>
                <w:b/>
                <w:bCs/>
              </w:rPr>
              <w:t xml:space="preserve">Logging &amp; monitoring</w:t>
            </w:r>
          </w:p>
        </w:tc>
        <w:tc>
          <w:tcPr/>
          <w:p>
            <w:pPr>
              <w:pStyle w:val="Compact"/>
            </w:pPr>
            <w:r>
              <w:t xml:space="preserve">Structured logs (no card data), centralized SIEM, alerting, retention ≥ 1 year (3 months online)</w:t>
            </w:r>
          </w:p>
        </w:tc>
        <w:tc>
          <w:tcPr/>
          <w:p>
            <w:pPr>
              <w:pStyle w:val="Compact"/>
            </w:pPr>
            <w:r>
              <w:t xml:space="preserve">PCI Req 10</w:t>
            </w:r>
          </w:p>
        </w:tc>
      </w:tr>
      <w:tr>
        <w:tc>
          <w:tcPr/>
          <w:p>
            <w:pPr>
              <w:pStyle w:val="Compact"/>
            </w:pPr>
            <w:r>
              <w:rPr>
                <w:b/>
                <w:bCs/>
              </w:rPr>
              <w:t xml:space="preserve">Incident management</w:t>
            </w:r>
          </w:p>
        </w:tc>
        <w:tc>
          <w:tcPr/>
          <w:p>
            <w:pPr>
              <w:pStyle w:val="Compact"/>
            </w:pPr>
            <w:r>
              <w:t xml:space="preserve">IR plan, on-call, runbooks, forensic readiness</w:t>
            </w:r>
          </w:p>
        </w:tc>
        <w:tc>
          <w:tcPr/>
          <w:p>
            <w:pPr>
              <w:pStyle w:val="Compact"/>
            </w:pPr>
            <w:r>
              <w:t xml:space="preserve">PCI Req 12.10</w:t>
            </w:r>
          </w:p>
        </w:tc>
      </w:tr>
      <w:tr>
        <w:tc>
          <w:tcPr/>
          <w:p>
            <w:pPr>
              <w:pStyle w:val="Compact"/>
            </w:pPr>
            <w:r>
              <w:rPr>
                <w:b/>
                <w:bCs/>
              </w:rPr>
              <w:t xml:space="preserve">Change management</w:t>
            </w:r>
          </w:p>
        </w:tc>
        <w:tc>
          <w:tcPr/>
          <w:p>
            <w:pPr>
              <w:pStyle w:val="Compact"/>
            </w:pPr>
            <w:r>
              <w:t xml:space="preserve">Approval gates, rollback plans, no unapproved prod changes</w:t>
            </w:r>
          </w:p>
        </w:tc>
        <w:tc>
          <w:tcPr/>
          <w:p>
            <w:pPr>
              <w:pStyle w:val="Compact"/>
            </w:pPr>
            <w:r>
              <w:t xml:space="preserve">BOT / ITIL</w:t>
            </w:r>
          </w:p>
        </w:tc>
      </w:tr>
      <w:tr>
        <w:tc>
          <w:tcPr/>
          <w:p>
            <w:pPr>
              <w:pStyle w:val="Compact"/>
            </w:pPr>
            <w:r>
              <w:rPr>
                <w:b/>
                <w:bCs/>
              </w:rPr>
              <w:t xml:space="preserve">Third-party management</w:t>
            </w:r>
          </w:p>
        </w:tc>
        <w:tc>
          <w:tcPr/>
          <w:p>
            <w:pPr>
              <w:pStyle w:val="Compact"/>
            </w:pPr>
            <w:r>
              <w:t xml:space="preserve">Due diligence, DPA/contracts, vendor PCI AoC, ongoing monitoring</w:t>
            </w:r>
          </w:p>
        </w:tc>
        <w:tc>
          <w:tcPr/>
          <w:p>
            <w:pPr>
              <w:pStyle w:val="Compact"/>
            </w:pPr>
            <w:r>
              <w:t xml:space="preserve">PCI Req 12.8, BOT Outsourcing</w:t>
            </w:r>
          </w:p>
        </w:tc>
      </w:tr>
      <w:tr>
        <w:tc>
          <w:tcPr/>
          <w:p>
            <w:pPr>
              <w:pStyle w:val="Compact"/>
            </w:pPr>
            <w:r>
              <w:rPr>
                <w:b/>
                <w:bCs/>
              </w:rPr>
              <w:t xml:space="preserve">Business continuity</w:t>
            </w:r>
          </w:p>
        </w:tc>
        <w:tc>
          <w:tcPr/>
          <w:p>
            <w:pPr>
              <w:pStyle w:val="Compact"/>
            </w:pPr>
            <w:r>
              <w:t xml:space="preserve">BCP/DR, immutable backups, DR drill ≥ annually</w:t>
            </w:r>
          </w:p>
        </w:tc>
        <w:tc>
          <w:tcPr/>
          <w:p>
            <w:pPr>
              <w:pStyle w:val="Compact"/>
            </w:pPr>
            <w:r>
              <w:t xml:space="preserve">ISO 22301</w:t>
            </w:r>
          </w:p>
        </w:tc>
      </w:tr>
    </w:tbl>
    <w:bookmarkStart w:id="443" w:name="patch-vulnerability-sla-by-severity"/>
    <w:p>
      <w:pPr>
        <w:pStyle w:val="Heading3"/>
      </w:pPr>
      <w:r>
        <w:t xml:space="preserve">5.1 Patch / Vulnerability SLA by severity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 (CVSS)</w:t>
            </w:r>
          </w:p>
        </w:tc>
        <w:tc>
          <w:tcPr/>
          <w:p>
            <w:pPr>
              <w:pStyle w:val="Compact"/>
            </w:pPr>
            <w:r>
              <w:t xml:space="preserve">Patch SLA</w:t>
            </w:r>
          </w:p>
        </w:tc>
      </w:tr>
      <w:tr>
        <w:tc>
          <w:tcPr/>
          <w:p>
            <w:pPr>
              <w:pStyle w:val="Compact"/>
            </w:pPr>
            <w:r>
              <w:t xml:space="preserve">Critical (9.0–10.0)</w:t>
            </w:r>
          </w:p>
        </w:tc>
        <w:tc>
          <w:tcPr/>
          <w:p>
            <w:pPr>
              <w:pStyle w:val="Compact"/>
            </w:pPr>
            <w:r>
              <w:t xml:space="preserve">Within</w:t>
            </w:r>
            <w:r>
              <w:t xml:space="preserve"> </w:t>
            </w:r>
            <w:r>
              <w:rPr>
                <w:b/>
                <w:bCs/>
              </w:rPr>
              <w:t xml:space="preserve">72 hours</w:t>
            </w:r>
            <w:r>
              <w:t xml:space="preserve"> </w:t>
            </w:r>
            <w:r>
              <w:t xml:space="preserve">(emergency change)</w:t>
            </w:r>
          </w:p>
        </w:tc>
      </w:tr>
      <w:tr>
        <w:tc>
          <w:tcPr/>
          <w:p>
            <w:pPr>
              <w:pStyle w:val="Compact"/>
            </w:pPr>
            <w:r>
              <w:t xml:space="preserve">High (7.0–8.9)</w:t>
            </w:r>
          </w:p>
        </w:tc>
        <w:tc>
          <w:tcPr/>
          <w:p>
            <w:pPr>
              <w:pStyle w:val="Compact"/>
            </w:pPr>
            <w:r>
              <w:t xml:space="preserve">Within</w:t>
            </w:r>
            <w:r>
              <w:t xml:space="preserve"> </w:t>
            </w:r>
            <w:r>
              <w:rPr>
                <w:b/>
                <w:bCs/>
              </w:rPr>
              <w:t xml:space="preserve">30 days</w:t>
            </w:r>
          </w:p>
        </w:tc>
      </w:tr>
      <w:tr>
        <w:tc>
          <w:tcPr/>
          <w:p>
            <w:pPr>
              <w:pStyle w:val="Compact"/>
            </w:pPr>
            <w:r>
              <w:t xml:space="preserve">Medium (4.0–6.9)</w:t>
            </w:r>
          </w:p>
        </w:tc>
        <w:tc>
          <w:tcPr/>
          <w:p>
            <w:pPr>
              <w:pStyle w:val="Compact"/>
            </w:pPr>
            <w:r>
              <w:t xml:space="preserve">Within</w:t>
            </w:r>
            <w:r>
              <w:t xml:space="preserve"> </w:t>
            </w:r>
            <w:r>
              <w:rPr>
                <w:b/>
                <w:bCs/>
              </w:rPr>
              <w:t xml:space="preserve">90 days</w:t>
            </w:r>
          </w:p>
        </w:tc>
      </w:tr>
      <w:tr>
        <w:tc>
          <w:tcPr/>
          <w:p>
            <w:pPr>
              <w:pStyle w:val="Compact"/>
            </w:pPr>
            <w:r>
              <w:t xml:space="preserve">Low (&lt; 4.0)</w:t>
            </w:r>
          </w:p>
        </w:tc>
        <w:tc>
          <w:tcPr/>
          <w:p>
            <w:pPr>
              <w:pStyle w:val="Compact"/>
            </w:pPr>
            <w:r>
              <w:t xml:space="preserve">Next maintenance cycle</w:t>
            </w:r>
          </w:p>
        </w:tc>
      </w:tr>
    </w:tbl>
    <w:p>
      <w:r>
        <w:pict>
          <v:rect style="width:0;height:1.5pt" o:hralign="center" o:hrstd="t" o:hr="t"/>
        </w:pict>
      </w:r>
    </w:p>
    <w:bookmarkEnd w:id="443"/>
    <w:bookmarkEnd w:id="444"/>
    <w:bookmarkStart w:id="445" w:name="key-risk-indicators-kris"/>
    <w:p>
      <w:pPr>
        <w:pStyle w:val="Heading2"/>
      </w:pPr>
      <w:r>
        <w:t xml:space="preserve">6. Key Risk Indicators (KRIs)</w:t>
      </w:r>
    </w:p>
    <w:p>
      <w:pPr>
        <w:pStyle w:val="FirstParagraph"/>
      </w:pPr>
      <w:r>
        <w:t xml:space="preserve">All KRIs are measured automatically from the observability stack (Prometheus/SIEM) and reported on the IT Risk Committee’s monthly dashboard using a</w:t>
      </w:r>
      <w:r>
        <w:t xml:space="preserve"> </w:t>
      </w:r>
      <w:r>
        <w:rPr>
          <w:b/>
          <w:bCs/>
        </w:rPr>
        <w:t xml:space="preserve">Red/Amber/Green (RAG)</w:t>
      </w:r>
      <w:r>
        <w:t xml:space="preserve"> </w:t>
      </w:r>
      <w:r>
        <w:t xml:space="preserve">scheme: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KRI</w:t>
            </w:r>
          </w:p>
        </w:tc>
        <w:tc>
          <w:tcPr/>
          <w:p>
            <w:pPr>
              <w:pStyle w:val="Compact"/>
            </w:pPr>
            <w:r>
              <w:t xml:space="preserve">Green</w:t>
            </w:r>
          </w:p>
        </w:tc>
        <w:tc>
          <w:tcPr/>
          <w:p>
            <w:pPr>
              <w:pStyle w:val="Compact"/>
            </w:pPr>
            <w:r>
              <w:t xml:space="preserve">Amber</w:t>
            </w:r>
          </w:p>
        </w:tc>
        <w:tc>
          <w:tcPr/>
          <w:p>
            <w:pPr>
              <w:pStyle w:val="Compact"/>
            </w:pPr>
            <w:r>
              <w:t xml:space="preserve">Red (escalate)</w:t>
            </w:r>
          </w:p>
        </w:tc>
        <w:tc>
          <w:tcPr/>
          <w:p>
            <w:pPr>
              <w:pStyle w:val="Compact"/>
            </w:pPr>
            <w:r>
              <w:t xml:space="preserve">Cadence</w:t>
            </w:r>
          </w:p>
        </w:tc>
      </w:tr>
      <w:tr>
        <w:tc>
          <w:tcPr/>
          <w:p>
            <w:pPr>
              <w:pStyle w:val="Compact"/>
            </w:pPr>
            <w:r>
              <w:t xml:space="preserve">K-01</w:t>
            </w:r>
          </w:p>
        </w:tc>
        <w:tc>
          <w:tcPr/>
          <w:p>
            <w:pPr>
              <w:pStyle w:val="Compact"/>
            </w:pPr>
            <w:r>
              <w:t xml:space="preserve">Payment core availability</w:t>
            </w:r>
          </w:p>
        </w:tc>
        <w:tc>
          <w:tcPr/>
          <w:p>
            <w:pPr>
              <w:pStyle w:val="Compact"/>
            </w:pPr>
            <w:r>
              <w:t xml:space="preserve">≥ 99.95%</w:t>
            </w:r>
          </w:p>
        </w:tc>
        <w:tc>
          <w:tcPr/>
          <w:p>
            <w:pPr>
              <w:pStyle w:val="Compact"/>
            </w:pPr>
            <w:r>
              <w:t xml:space="preserve">99.9–99.95%</w:t>
            </w:r>
          </w:p>
        </w:tc>
        <w:tc>
          <w:tcPr/>
          <w:p>
            <w:pPr>
              <w:pStyle w:val="Compact"/>
            </w:pPr>
            <w:r>
              <w:t xml:space="preserve">&lt; 99.9%</w:t>
            </w:r>
          </w:p>
        </w:tc>
        <w:tc>
          <w:tcPr/>
          <w:p>
            <w:pPr>
              <w:pStyle w:val="Compact"/>
            </w:pPr>
            <w:r>
              <w:t xml:space="preserve">Monthly</w:t>
            </w:r>
          </w:p>
        </w:tc>
      </w:tr>
      <w:tr>
        <w:tc>
          <w:tcPr/>
          <w:p>
            <w:pPr>
              <w:pStyle w:val="Compact"/>
            </w:pPr>
            <w:r>
              <w:t xml:space="preserve">K-02</w:t>
            </w:r>
          </w:p>
        </w:tc>
        <w:tc>
          <w:tcPr/>
          <w:p>
            <w:pPr>
              <w:pStyle w:val="Compact"/>
            </w:pPr>
            <w:r>
              <w:t xml:space="preserve">Authorization latency (p99)</w:t>
            </w:r>
          </w:p>
        </w:tc>
        <w:tc>
          <w:tcPr/>
          <w:p>
            <w:pPr>
              <w:pStyle w:val="Compact"/>
            </w:pPr>
            <w:r>
              <w:t xml:space="preserve">&lt; 800 ms</w:t>
            </w:r>
          </w:p>
        </w:tc>
        <w:tc>
          <w:tcPr/>
          <w:p>
            <w:pPr>
              <w:pStyle w:val="Compact"/>
            </w:pPr>
            <w:r>
              <w:t xml:space="preserve">800–1200 ms</w:t>
            </w:r>
          </w:p>
        </w:tc>
        <w:tc>
          <w:tcPr/>
          <w:p>
            <w:pPr>
              <w:pStyle w:val="Compact"/>
            </w:pPr>
            <w:r>
              <w:t xml:space="preserve">&gt; 1200 ms</w:t>
            </w:r>
          </w:p>
        </w:tc>
        <w:tc>
          <w:tcPr/>
          <w:p>
            <w:pPr>
              <w:pStyle w:val="Compact"/>
            </w:pPr>
            <w:r>
              <w:t xml:space="preserve">Daily</w:t>
            </w:r>
          </w:p>
        </w:tc>
      </w:tr>
      <w:tr>
        <w:tc>
          <w:tcPr/>
          <w:p>
            <w:pPr>
              <w:pStyle w:val="Compact"/>
            </w:pPr>
            <w:r>
              <w:t xml:space="preserve">K-03</w:t>
            </w:r>
          </w:p>
        </w:tc>
        <w:tc>
          <w:tcPr/>
          <w:p>
            <w:pPr>
              <w:pStyle w:val="Compact"/>
            </w:pPr>
            <w:r>
              <w:t xml:space="preserve">Critical/high vulns past SLA</w:t>
            </w:r>
          </w:p>
        </w:tc>
        <w:tc>
          <w:tcPr/>
          <w:p>
            <w:pPr>
              <w:pStyle w:val="Compact"/>
            </w:pPr>
            <w:r>
              <w:t xml:space="preserve">0</w:t>
            </w:r>
          </w:p>
        </w:tc>
        <w:tc>
          <w:tcPr/>
          <w:p>
            <w:pPr>
              <w:pStyle w:val="Compact"/>
            </w:pPr>
            <w:r>
              <w:t xml:space="preserve">1–2</w:t>
            </w:r>
          </w:p>
        </w:tc>
        <w:tc>
          <w:tcPr/>
          <w:p>
            <w:pPr>
              <w:pStyle w:val="Compact"/>
            </w:pPr>
            <w:r>
              <w:t xml:space="preserve">≥ 3</w:t>
            </w:r>
          </w:p>
        </w:tc>
        <w:tc>
          <w:tcPr/>
          <w:p>
            <w:pPr>
              <w:pStyle w:val="Compact"/>
            </w:pPr>
            <w:r>
              <w:t xml:space="preserve">Weekly</w:t>
            </w:r>
          </w:p>
        </w:tc>
      </w:tr>
      <w:tr>
        <w:tc>
          <w:tcPr/>
          <w:p>
            <w:pPr>
              <w:pStyle w:val="Compact"/>
            </w:pPr>
            <w:r>
              <w:t xml:space="preserve">K-04</w:t>
            </w:r>
          </w:p>
        </w:tc>
        <w:tc>
          <w:tcPr/>
          <w:p>
            <w:pPr>
              <w:pStyle w:val="Compact"/>
            </w:pPr>
            <w:r>
              <w:t xml:space="preserve">% CDE systems fully patched</w:t>
            </w:r>
          </w:p>
        </w:tc>
        <w:tc>
          <w:tcPr/>
          <w:p>
            <w:pPr>
              <w:pStyle w:val="Compact"/>
            </w:pPr>
            <w:r>
              <w:t xml:space="preserve">≥ 99%</w:t>
            </w:r>
          </w:p>
        </w:tc>
        <w:tc>
          <w:tcPr/>
          <w:p>
            <w:pPr>
              <w:pStyle w:val="Compact"/>
            </w:pPr>
            <w:r>
              <w:t xml:space="preserve">95–99%</w:t>
            </w:r>
          </w:p>
        </w:tc>
        <w:tc>
          <w:tcPr/>
          <w:p>
            <w:pPr>
              <w:pStyle w:val="Compact"/>
            </w:pPr>
            <w:r>
              <w:t xml:space="preserve">&lt; 95%</w:t>
            </w:r>
          </w:p>
        </w:tc>
        <w:tc>
          <w:tcPr/>
          <w:p>
            <w:pPr>
              <w:pStyle w:val="Compact"/>
            </w:pPr>
            <w:r>
              <w:t xml:space="preserve">Weekly</w:t>
            </w:r>
          </w:p>
        </w:tc>
      </w:tr>
      <w:tr>
        <w:tc>
          <w:tcPr/>
          <w:p>
            <w:pPr>
              <w:pStyle w:val="Compact"/>
            </w:pPr>
            <w:r>
              <w:t xml:space="preserve">K-05</w:t>
            </w:r>
          </w:p>
        </w:tc>
        <w:tc>
          <w:tcPr/>
          <w:p>
            <w:pPr>
              <w:pStyle w:val="Compact"/>
            </w:pPr>
            <w:r>
              <w:t xml:space="preserve">Failed/brute-force admin logins</w:t>
            </w:r>
          </w:p>
        </w:tc>
        <w:tc>
          <w:tcPr/>
          <w:p>
            <w:pPr>
              <w:pStyle w:val="Compact"/>
            </w:pPr>
            <w:r>
              <w:t xml:space="preserve">baseline</w:t>
            </w:r>
          </w:p>
        </w:tc>
        <w:tc>
          <w:tcPr/>
          <w:p>
            <w:pPr>
              <w:pStyle w:val="Compact"/>
            </w:pPr>
            <w:r>
              <w:t xml:space="preserve">+50% over baseline</w:t>
            </w:r>
          </w:p>
        </w:tc>
        <w:tc>
          <w:tcPr/>
          <w:p>
            <w:pPr>
              <w:pStyle w:val="Compact"/>
            </w:pPr>
            <w:r>
              <w:t xml:space="preserve">+100% or lockout</w:t>
            </w:r>
          </w:p>
        </w:tc>
        <w:tc>
          <w:tcPr/>
          <w:p>
            <w:pPr>
              <w:pStyle w:val="Compact"/>
            </w:pPr>
            <w:r>
              <w:t xml:space="preserve">Real-time</w:t>
            </w:r>
          </w:p>
        </w:tc>
      </w:tr>
      <w:tr>
        <w:tc>
          <w:tcPr/>
          <w:p>
            <w:pPr>
              <w:pStyle w:val="Compact"/>
            </w:pPr>
            <w:r>
              <w:t xml:space="preserve">K-06</w:t>
            </w:r>
          </w:p>
        </w:tc>
        <w:tc>
          <w:tcPr/>
          <w:p>
            <w:pPr>
              <w:pStyle w:val="Compact"/>
            </w:pPr>
            <w:r>
              <w:t xml:space="preserve">Fraud rate (value)</w:t>
            </w:r>
          </w:p>
        </w:tc>
        <w:tc>
          <w:tcPr/>
          <w:p>
            <w:pPr>
              <w:pStyle w:val="Compact"/>
            </w:pPr>
            <w:r>
              <w:t xml:space="preserve">&lt; 0.10%</w:t>
            </w:r>
          </w:p>
        </w:tc>
        <w:tc>
          <w:tcPr/>
          <w:p>
            <w:pPr>
              <w:pStyle w:val="Compact"/>
            </w:pPr>
            <w:r>
              <w:t xml:space="preserve">0.10–0.20%</w:t>
            </w:r>
          </w:p>
        </w:tc>
        <w:tc>
          <w:tcPr/>
          <w:p>
            <w:pPr>
              <w:pStyle w:val="Compact"/>
            </w:pPr>
            <w:r>
              <w:t xml:space="preserve">&gt; 0.20%</w:t>
            </w:r>
          </w:p>
        </w:tc>
        <w:tc>
          <w:tcPr/>
          <w:p>
            <w:pPr>
              <w:pStyle w:val="Compact"/>
            </w:pPr>
            <w:r>
              <w:t xml:space="preserve">Daily</w:t>
            </w:r>
          </w:p>
        </w:tc>
      </w:tr>
      <w:tr>
        <w:tc>
          <w:tcPr/>
          <w:p>
            <w:pPr>
              <w:pStyle w:val="Compact"/>
            </w:pPr>
            <w:r>
              <w:t xml:space="preserve">K-07</w:t>
            </w:r>
          </w:p>
        </w:tc>
        <w:tc>
          <w:tcPr/>
          <w:p>
            <w:pPr>
              <w:pStyle w:val="Compact"/>
            </w:pPr>
            <w:r>
              <w:t xml:space="preserve">Chargeback ratio</w:t>
            </w:r>
          </w:p>
        </w:tc>
        <w:tc>
          <w:tcPr/>
          <w:p>
            <w:pPr>
              <w:pStyle w:val="Compact"/>
            </w:pPr>
            <w:r>
              <w:t xml:space="preserve">&lt; 0.65%</w:t>
            </w:r>
          </w:p>
        </w:tc>
        <w:tc>
          <w:tcPr/>
          <w:p>
            <w:pPr>
              <w:pStyle w:val="Compact"/>
            </w:pPr>
            <w:r>
              <w:t xml:space="preserve">0.65–0.90%</w:t>
            </w:r>
          </w:p>
        </w:tc>
        <w:tc>
          <w:tcPr/>
          <w:p>
            <w:pPr>
              <w:pStyle w:val="Compact"/>
            </w:pPr>
            <w:r>
              <w:t xml:space="preserve">&gt; 0.90% (scheme threshold)</w:t>
            </w:r>
          </w:p>
        </w:tc>
        <w:tc>
          <w:tcPr/>
          <w:p>
            <w:pPr>
              <w:pStyle w:val="Compact"/>
            </w:pPr>
            <w:r>
              <w:t xml:space="preserve">Monthly</w:t>
            </w:r>
          </w:p>
        </w:tc>
      </w:tr>
      <w:tr>
        <w:tc>
          <w:tcPr/>
          <w:p>
            <w:pPr>
              <w:pStyle w:val="Compact"/>
            </w:pPr>
            <w:r>
              <w:t xml:space="preserve">K-08</w:t>
            </w:r>
          </w:p>
        </w:tc>
        <w:tc>
          <w:tcPr/>
          <w:p>
            <w:pPr>
              <w:pStyle w:val="Compact"/>
            </w:pPr>
            <w:r>
              <w:t xml:space="preserve">Security incidents (Sev1/Sev2)</w:t>
            </w:r>
          </w:p>
        </w:tc>
        <w:tc>
          <w:tcPr/>
          <w:p>
            <w:pPr>
              <w:pStyle w:val="Compact"/>
            </w:pPr>
            <w:r>
              <w:t xml:space="preserve">0</w:t>
            </w:r>
          </w:p>
        </w:tc>
        <w:tc>
          <w:tcPr/>
          <w:p>
            <w:pPr>
              <w:pStyle w:val="Compact"/>
            </w:pPr>
            <w:r>
              <w:t xml:space="preserve">1</w:t>
            </w:r>
          </w:p>
        </w:tc>
        <w:tc>
          <w:tcPr/>
          <w:p>
            <w:pPr>
              <w:pStyle w:val="Compact"/>
            </w:pPr>
            <w:r>
              <w:t xml:space="preserve">≥ 2</w:t>
            </w:r>
          </w:p>
        </w:tc>
        <w:tc>
          <w:tcPr/>
          <w:p>
            <w:pPr>
              <w:pStyle w:val="Compact"/>
            </w:pPr>
            <w:r>
              <w:t xml:space="preserve">Monthly</w:t>
            </w:r>
          </w:p>
        </w:tc>
      </w:tr>
      <w:tr>
        <w:tc>
          <w:tcPr/>
          <w:p>
            <w:pPr>
              <w:pStyle w:val="Compact"/>
            </w:pPr>
            <w:r>
              <w:t xml:space="preserve">K-09</w:t>
            </w:r>
          </w:p>
        </w:tc>
        <w:tc>
          <w:tcPr/>
          <w:p>
            <w:pPr>
              <w:pStyle w:val="Compact"/>
            </w:pPr>
            <w:r>
              <w:t xml:space="preserve">Mean Time To Detect (MTTD)</w:t>
            </w:r>
          </w:p>
        </w:tc>
        <w:tc>
          <w:tcPr/>
          <w:p>
            <w:pPr>
              <w:pStyle w:val="Compact"/>
            </w:pPr>
            <w:r>
              <w:t xml:space="preserve">&lt; 15 min</w:t>
            </w:r>
          </w:p>
        </w:tc>
        <w:tc>
          <w:tcPr/>
          <w:p>
            <w:pPr>
              <w:pStyle w:val="Compact"/>
            </w:pPr>
            <w:r>
              <w:t xml:space="preserve">15–60 min</w:t>
            </w:r>
          </w:p>
        </w:tc>
        <w:tc>
          <w:tcPr/>
          <w:p>
            <w:pPr>
              <w:pStyle w:val="Compact"/>
            </w:pPr>
            <w:r>
              <w:t xml:space="preserve">&gt; 60 min</w:t>
            </w:r>
          </w:p>
        </w:tc>
        <w:tc>
          <w:tcPr/>
          <w:p>
            <w:pPr>
              <w:pStyle w:val="Compact"/>
            </w:pPr>
            <w:r>
              <w:t xml:space="preserve">Per event</w:t>
            </w:r>
          </w:p>
        </w:tc>
      </w:tr>
      <w:tr>
        <w:tc>
          <w:tcPr/>
          <w:p>
            <w:pPr>
              <w:pStyle w:val="Compact"/>
            </w:pPr>
            <w:r>
              <w:t xml:space="preserve">K-10</w:t>
            </w:r>
          </w:p>
        </w:tc>
        <w:tc>
          <w:tcPr/>
          <w:p>
            <w:pPr>
              <w:pStyle w:val="Compact"/>
            </w:pPr>
            <w:r>
              <w:t xml:space="preserve">Mean Time To Respond/Recover (MTTR)</w:t>
            </w:r>
          </w:p>
        </w:tc>
        <w:tc>
          <w:tcPr/>
          <w:p>
            <w:pPr>
              <w:pStyle w:val="Compact"/>
            </w:pPr>
            <w:r>
              <w:t xml:space="preserve">&lt; 30 min</w:t>
            </w:r>
          </w:p>
        </w:tc>
        <w:tc>
          <w:tcPr/>
          <w:p>
            <w:pPr>
              <w:pStyle w:val="Compact"/>
            </w:pPr>
            <w:r>
              <w:t xml:space="preserve">30–120 min</w:t>
            </w:r>
          </w:p>
        </w:tc>
        <w:tc>
          <w:tcPr/>
          <w:p>
            <w:pPr>
              <w:pStyle w:val="Compact"/>
            </w:pPr>
            <w:r>
              <w:t xml:space="preserve">&gt; 120 min</w:t>
            </w:r>
          </w:p>
        </w:tc>
        <w:tc>
          <w:tcPr/>
          <w:p>
            <w:pPr>
              <w:pStyle w:val="Compact"/>
            </w:pPr>
            <w:r>
              <w:t xml:space="preserve">Per event</w:t>
            </w:r>
          </w:p>
        </w:tc>
      </w:tr>
      <w:tr>
        <w:tc>
          <w:tcPr/>
          <w:p>
            <w:pPr>
              <w:pStyle w:val="Compact"/>
            </w:pPr>
            <w:r>
              <w:t xml:space="preserve">K-11</w:t>
            </w:r>
          </w:p>
        </w:tc>
        <w:tc>
          <w:tcPr/>
          <w:p>
            <w:pPr>
              <w:pStyle w:val="Compact"/>
            </w:pPr>
            <w:r>
              <w:t xml:space="preserve">% staff completing security awareness training</w:t>
            </w:r>
          </w:p>
        </w:tc>
        <w:tc>
          <w:tcPr/>
          <w:p>
            <w:pPr>
              <w:pStyle w:val="Compact"/>
            </w:pPr>
            <w:r>
              <w:t xml:space="preserve">100%</w:t>
            </w:r>
          </w:p>
        </w:tc>
        <w:tc>
          <w:tcPr/>
          <w:p>
            <w:pPr>
              <w:pStyle w:val="Compact"/>
            </w:pPr>
            <w:r>
              <w:t xml:space="preserve">90–99%</w:t>
            </w:r>
          </w:p>
        </w:tc>
        <w:tc>
          <w:tcPr/>
          <w:p>
            <w:pPr>
              <w:pStyle w:val="Compact"/>
            </w:pPr>
            <w:r>
              <w:t xml:space="preserve">&lt; 90%</w:t>
            </w:r>
          </w:p>
        </w:tc>
        <w:tc>
          <w:tcPr/>
          <w:p>
            <w:pPr>
              <w:pStyle w:val="Compact"/>
            </w:pPr>
            <w:r>
              <w:t xml:space="preserve">Quarterly</w:t>
            </w:r>
          </w:p>
        </w:tc>
      </w:tr>
      <w:tr>
        <w:tc>
          <w:tcPr/>
          <w:p>
            <w:pPr>
              <w:pStyle w:val="Compact"/>
            </w:pPr>
            <w:r>
              <w:t xml:space="preserve">K-12</w:t>
            </w:r>
          </w:p>
        </w:tc>
        <w:tc>
          <w:tcPr/>
          <w:p>
            <w:pPr>
              <w:pStyle w:val="Compact"/>
            </w:pPr>
            <w:r>
              <w:t xml:space="preserve">Privileged access without MFA</w:t>
            </w:r>
          </w:p>
        </w:tc>
        <w:tc>
          <w:tcPr/>
          <w:p>
            <w:pPr>
              <w:pStyle w:val="Compact"/>
            </w:pPr>
            <w:r>
              <w:t xml:space="preserve">0</w:t>
            </w:r>
          </w:p>
        </w:tc>
        <w:tc>
          <w:tcPr/>
          <w:p>
            <w:pPr>
              <w:pStyle w:val="Compact"/>
            </w:pPr>
            <w:r>
              <w:t xml:space="preserve">—</w:t>
            </w:r>
          </w:p>
        </w:tc>
        <w:tc>
          <w:tcPr/>
          <w:p>
            <w:pPr>
              <w:pStyle w:val="Compact"/>
            </w:pPr>
            <w:r>
              <w:t xml:space="preserve">≥ 1 (zero tolerance)</w:t>
            </w:r>
          </w:p>
        </w:tc>
        <w:tc>
          <w:tcPr/>
          <w:p>
            <w:pPr>
              <w:pStyle w:val="Compact"/>
            </w:pPr>
            <w:r>
              <w:t xml:space="preserve">Real-time</w:t>
            </w:r>
          </w:p>
        </w:tc>
      </w:tr>
      <w:tr>
        <w:tc>
          <w:tcPr/>
          <w:p>
            <w:pPr>
              <w:pStyle w:val="Compact"/>
            </w:pPr>
            <w:r>
              <w:t xml:space="preserve">K-13</w:t>
            </w:r>
          </w:p>
        </w:tc>
        <w:tc>
          <w:tcPr/>
          <w:p>
            <w:pPr>
              <w:pStyle w:val="Compact"/>
            </w:pPr>
            <w:r>
              <w:t xml:space="preserve">Backup/DR restore test success</w:t>
            </w:r>
          </w:p>
        </w:tc>
        <w:tc>
          <w:tcPr/>
          <w:p>
            <w:pPr>
              <w:pStyle w:val="Compact"/>
            </w:pPr>
            <w:r>
              <w:t xml:space="preserve">100%</w:t>
            </w:r>
          </w:p>
        </w:tc>
        <w:tc>
          <w:tcPr/>
          <w:p>
            <w:pPr>
              <w:pStyle w:val="Compact"/>
            </w:pPr>
            <w:r>
              <w:t xml:space="preserve">—</w:t>
            </w:r>
          </w:p>
        </w:tc>
        <w:tc>
          <w:tcPr/>
          <w:p>
            <w:pPr>
              <w:pStyle w:val="Compact"/>
            </w:pPr>
            <w:r>
              <w:t xml:space="preserve">Failed</w:t>
            </w:r>
          </w:p>
        </w:tc>
        <w:tc>
          <w:tcPr/>
          <w:p>
            <w:pPr>
              <w:pStyle w:val="Compact"/>
            </w:pPr>
            <w:r>
              <w:t xml:space="preserve">Quarterly</w:t>
            </w:r>
          </w:p>
        </w:tc>
      </w:tr>
      <w:tr>
        <w:tc>
          <w:tcPr/>
          <w:p>
            <w:pPr>
              <w:pStyle w:val="Compact"/>
            </w:pPr>
            <w:r>
              <w:t xml:space="preserve">K-14</w:t>
            </w:r>
          </w:p>
        </w:tc>
        <w:tc>
          <w:tcPr/>
          <w:p>
            <w:pPr>
              <w:pStyle w:val="Compact"/>
            </w:pPr>
            <w:r>
              <w:t xml:space="preserve">Reconciliation mismatches aged &gt; T+1</w:t>
            </w:r>
          </w:p>
        </w:tc>
        <w:tc>
          <w:tcPr/>
          <w:p>
            <w:pPr>
              <w:pStyle w:val="Compact"/>
            </w:pPr>
            <w:r>
              <w:t xml:space="preserve">0</w:t>
            </w:r>
          </w:p>
        </w:tc>
        <w:tc>
          <w:tcPr/>
          <w:p>
            <w:pPr>
              <w:pStyle w:val="Compact"/>
            </w:pPr>
            <w:r>
              <w:t xml:space="preserve">1–5</w:t>
            </w:r>
          </w:p>
        </w:tc>
        <w:tc>
          <w:tcPr/>
          <w:p>
            <w:pPr>
              <w:pStyle w:val="Compact"/>
            </w:pPr>
            <w:r>
              <w:t xml:space="preserve">&gt; 5</w:t>
            </w:r>
          </w:p>
        </w:tc>
        <w:tc>
          <w:tcPr/>
          <w:p>
            <w:pPr>
              <w:pStyle w:val="Compact"/>
            </w:pPr>
            <w:r>
              <w:t xml:space="preserve">Daily</w:t>
            </w:r>
          </w:p>
        </w:tc>
      </w:tr>
    </w:tbl>
    <w:p>
      <w:pPr>
        <w:pStyle w:val="BlockText"/>
      </w:pPr>
      <w:r>
        <w:t xml:space="preserve">On a</w:t>
      </w:r>
      <w:r>
        <w:t xml:space="preserve"> </w:t>
      </w:r>
      <w:r>
        <w:rPr>
          <w:b/>
          <w:bCs/>
        </w:rPr>
        <w:t xml:space="preserve">Red</w:t>
      </w:r>
      <w:r>
        <w:t xml:space="preserve"> </w:t>
      </w:r>
      <w:r>
        <w:t xml:space="preserve">breach, the system must auto-alert on-call and the CISO and open a tracked case until closure with root cause.</w:t>
      </w:r>
    </w:p>
    <w:p>
      <w:r>
        <w:pict>
          <v:rect style="width:0;height:1.5pt" o:hralign="center" o:hrstd="t" o:hr="t"/>
        </w:pict>
      </w:r>
    </w:p>
    <w:bookmarkEnd w:id="445"/>
    <w:bookmarkStart w:id="449" w:name="incident-management-statutory-reporting"/>
    <w:p>
      <w:pPr>
        <w:pStyle w:val="Heading2"/>
      </w:pPr>
      <w:r>
        <w:t xml:space="preserve">7. Incident Management &amp; Statutory Reporting</w:t>
      </w:r>
    </w:p>
    <w:bookmarkStart w:id="446" w:name="severity-classification"/>
    <w:p>
      <w:pPr>
        <w:pStyle w:val="Heading3"/>
      </w:pPr>
      <w:r>
        <w:t xml:space="preserve">7.1 Severity classification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Definition</w:t>
            </w:r>
          </w:p>
        </w:tc>
        <w:tc>
          <w:tcPr/>
          <w:p>
            <w:pPr>
              <w:pStyle w:val="Compact"/>
            </w:pPr>
            <w:r>
              <w:t xml:space="preserve">Example</w:t>
            </w:r>
          </w:p>
        </w:tc>
      </w:tr>
      <w:tr>
        <w:tc>
          <w:tcPr/>
          <w:p>
            <w:pPr>
              <w:pStyle w:val="Compact"/>
            </w:pPr>
            <w:r>
              <w:rPr>
                <w:b/>
                <w:bCs/>
              </w:rPr>
              <w:t xml:space="preserve">Sev1 (Critical)</w:t>
            </w:r>
          </w:p>
        </w:tc>
        <w:tc>
          <w:tcPr/>
          <w:p>
            <w:pPr>
              <w:pStyle w:val="Compact"/>
            </w:pPr>
            <w:r>
              <w:t xml:space="preserve">System-wide impact / CHD-PII breach</w:t>
            </w:r>
          </w:p>
        </w:tc>
        <w:tc>
          <w:tcPr/>
          <w:p>
            <w:pPr>
              <w:pStyle w:val="Compact"/>
            </w:pPr>
            <w:r>
              <w:t xml:space="preserve">CDE breach, full outage, ransomware</w:t>
            </w:r>
          </w:p>
        </w:tc>
      </w:tr>
      <w:tr>
        <w:tc>
          <w:tcPr/>
          <w:p>
            <w:pPr>
              <w:pStyle w:val="Compact"/>
            </w:pPr>
            <w:r>
              <w:rPr>
                <w:b/>
                <w:bCs/>
              </w:rPr>
              <w:t xml:space="preserve">Sev2 (High)</w:t>
            </w:r>
          </w:p>
        </w:tc>
        <w:tc>
          <w:tcPr/>
          <w:p>
            <w:pPr>
              <w:pStyle w:val="Compact"/>
            </w:pPr>
            <w:r>
              <w:t xml:space="preserve">Partial impact / escalation risk</w:t>
            </w:r>
          </w:p>
        </w:tc>
        <w:tc>
          <w:tcPr/>
          <w:p>
            <w:pPr>
              <w:pStyle w:val="Compact"/>
            </w:pPr>
            <w:r>
              <w:t xml:space="preserve">Severe latency spike, anomalous access</w:t>
            </w:r>
          </w:p>
        </w:tc>
      </w:tr>
      <w:tr>
        <w:tc>
          <w:tcPr/>
          <w:p>
            <w:pPr>
              <w:pStyle w:val="Compact"/>
            </w:pPr>
            <w:r>
              <w:rPr>
                <w:b/>
                <w:bCs/>
              </w:rPr>
              <w:t xml:space="preserve">Sev3 (Medium)</w:t>
            </w:r>
          </w:p>
        </w:tc>
        <w:tc>
          <w:tcPr/>
          <w:p>
            <w:pPr>
              <w:pStyle w:val="Compact"/>
            </w:pPr>
            <w:r>
              <w:t xml:space="preserve">Limited impact</w:t>
            </w:r>
          </w:p>
        </w:tc>
        <w:tc>
          <w:tcPr/>
          <w:p>
            <w:pPr>
              <w:pStyle w:val="Compact"/>
            </w:pPr>
            <w:r>
              <w:t xml:space="preserve">Feature degradation</w:t>
            </w:r>
          </w:p>
        </w:tc>
      </w:tr>
      <w:tr>
        <w:tc>
          <w:tcPr/>
          <w:p>
            <w:pPr>
              <w:pStyle w:val="Compact"/>
            </w:pPr>
            <w:r>
              <w:rPr>
                <w:b/>
                <w:bCs/>
              </w:rPr>
              <w:t xml:space="preserve">Sev4 (Low)</w:t>
            </w:r>
          </w:p>
        </w:tc>
        <w:tc>
          <w:tcPr/>
          <w:p>
            <w:pPr>
              <w:pStyle w:val="Compact"/>
            </w:pPr>
            <w:r>
              <w:t xml:space="preserve">No user impact</w:t>
            </w:r>
          </w:p>
        </w:tc>
        <w:tc>
          <w:tcPr/>
          <w:p>
            <w:pPr>
              <w:pStyle w:val="Compact"/>
            </w:pPr>
            <w:r>
              <w:t xml:space="preserve">Near miss, log finding</w:t>
            </w:r>
          </w:p>
        </w:tc>
      </w:tr>
    </w:tbl>
    <w:bookmarkEnd w:id="446"/>
    <w:bookmarkStart w:id="447" w:name="process-nist-csf-detect-respond-recover"/>
    <w:p>
      <w:pPr>
        <w:pStyle w:val="Heading3"/>
      </w:pPr>
      <w:r>
        <w:t xml:space="preserve">7.2 Process (NIST CSF: Detect → Respond → Recover)</w:t>
      </w:r>
    </w:p>
    <w:p>
      <w:pPr>
        <w:pStyle w:val="FirstParagraph"/>
      </w:pPr>
      <w:r>
        <w:t xml:space="preserve">Detect → Triage/classify → Contain → Eradicate → Recover →</w:t>
      </w:r>
      <w:r>
        <w:t xml:space="preserve"> </w:t>
      </w:r>
      <w:r>
        <w:rPr>
          <w:b/>
          <w:bCs/>
        </w:rPr>
        <w:t xml:space="preserve">Blameless post-incident review within 5 business days</w:t>
      </w:r>
    </w:p>
    <w:bookmarkEnd w:id="447"/>
    <w:bookmarkStart w:id="448" w:name="statutory-reporting-timelines-critical"/>
    <w:p>
      <w:pPr>
        <w:pStyle w:val="Heading3"/>
      </w:pPr>
      <w:r>
        <w:t xml:space="preserve">7.3 Statutory reporting timelines (critical)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Authority</w:t>
            </w:r>
          </w:p>
        </w:tc>
        <w:tc>
          <w:tcPr/>
          <w:p>
            <w:pPr>
              <w:pStyle w:val="Compact"/>
            </w:pPr>
            <w:r>
              <w:t xml:space="preserve">Trigger</w:t>
            </w:r>
          </w:p>
        </w:tc>
        <w:tc>
          <w:tcPr/>
          <w:p>
            <w:pPr>
              <w:pStyle w:val="Compact"/>
            </w:pPr>
            <w:r>
              <w:t xml:space="preserve">Timeline</w:t>
            </w:r>
          </w:p>
        </w:tc>
      </w:tr>
      <w:tr>
        <w:tc>
          <w:tcPr/>
          <w:p>
            <w:pPr>
              <w:pStyle w:val="Compact"/>
            </w:pPr>
            <w:r>
              <w:rPr>
                <w:b/>
                <w:bCs/>
              </w:rPr>
              <w:t xml:space="preserve">PDPC</w:t>
            </w:r>
          </w:p>
        </w:tc>
        <w:tc>
          <w:tcPr/>
          <w:p>
            <w:pPr>
              <w:pStyle w:val="Compact"/>
            </w:pPr>
            <w:r>
              <w:t xml:space="preserve">Personal-data breach risking rights/freedoms</w:t>
            </w:r>
          </w:p>
        </w:tc>
        <w:tc>
          <w:tcPr/>
          <w:p>
            <w:pPr>
              <w:pStyle w:val="Compact"/>
            </w:pPr>
            <w:r>
              <w:rPr>
                <w:b/>
                <w:bCs/>
              </w:rPr>
              <w:t xml:space="preserve">Within 72 hours</w:t>
            </w:r>
            <w:r>
              <w:t xml:space="preserve"> </w:t>
            </w:r>
            <w:r>
              <w:t xml:space="preserve">of becoming aware (PDPA)</w:t>
            </w:r>
          </w:p>
        </w:tc>
      </w:tr>
      <w:tr>
        <w:tc>
          <w:tcPr/>
          <w:p>
            <w:pPr>
              <w:pStyle w:val="Compact"/>
            </w:pPr>
            <w:r>
              <w:rPr>
                <w:b/>
                <w:bCs/>
              </w:rPr>
              <w:t xml:space="preserve">Data Subject</w:t>
            </w:r>
          </w:p>
        </w:tc>
        <w:tc>
          <w:tcPr/>
          <w:p>
            <w:pPr>
              <w:pStyle w:val="Compact"/>
            </w:pPr>
            <w:r>
              <w:t xml:space="preserve">High risk to individuals</w:t>
            </w:r>
          </w:p>
        </w:tc>
        <w:tc>
          <w:tcPr/>
          <w:p>
            <w:pPr>
              <w:pStyle w:val="Compact"/>
            </w:pPr>
            <w:r>
              <w:t xml:space="preserve">Without delay</w:t>
            </w:r>
          </w:p>
        </w:tc>
      </w:tr>
      <w:tr>
        <w:tc>
          <w:tcPr/>
          <w:p>
            <w:pPr>
              <w:pStyle w:val="Compact"/>
            </w:pPr>
            <w:r>
              <w:rPr>
                <w:b/>
                <w:bCs/>
              </w:rPr>
              <w:t xml:space="preserve">BOT</w:t>
            </w:r>
          </w:p>
        </w:tc>
        <w:tc>
          <w:tcPr/>
          <w:p>
            <w:pPr>
              <w:pStyle w:val="Compact"/>
            </w:pPr>
            <w:r>
              <w:t xml:space="preserve">Significant IT/cyber event impacting payment service</w:t>
            </w:r>
          </w:p>
        </w:tc>
        <w:tc>
          <w:tcPr/>
          <w:p>
            <w:pPr>
              <w:pStyle w:val="Compact"/>
            </w:pPr>
            <w:r>
              <w:t xml:space="preserve">Per BOT-defined timeline (</w:t>
            </w:r>
            <w:r>
              <w:rPr>
                <w:b/>
                <w:bCs/>
              </w:rPr>
              <w:t xml:space="preserve">[TODO/confirm exact hours]</w:t>
            </w:r>
            <w:r>
              <w:t xml:space="preserve">)</w:t>
            </w:r>
          </w:p>
        </w:tc>
      </w:tr>
      <w:tr>
        <w:tc>
          <w:tcPr/>
          <w:p>
            <w:pPr>
              <w:pStyle w:val="Compact"/>
            </w:pPr>
            <w:r>
              <w:rPr>
                <w:b/>
                <w:bCs/>
              </w:rPr>
              <w:t xml:space="preserve">Card scheme / sponsor bank</w:t>
            </w:r>
          </w:p>
        </w:tc>
        <w:tc>
          <w:tcPr/>
          <w:p>
            <w:pPr>
              <w:pStyle w:val="Compact"/>
            </w:pPr>
            <w:r>
              <w:t xml:space="preserve">Suspected account data compromise</w:t>
            </w:r>
          </w:p>
        </w:tc>
        <w:tc>
          <w:tcPr/>
          <w:p>
            <w:pPr>
              <w:pStyle w:val="Compact"/>
            </w:pPr>
            <w:r>
              <w:t xml:space="preserve">Per Visa/Mastercard rules (immediately)</w:t>
            </w:r>
          </w:p>
        </w:tc>
      </w:tr>
      <w:tr>
        <w:tc>
          <w:tcPr/>
          <w:p>
            <w:pPr>
              <w:pStyle w:val="Compact"/>
            </w:pPr>
            <w:r>
              <w:rPr>
                <w:b/>
                <w:bCs/>
              </w:rPr>
              <w:t xml:space="preserve">AMLO</w:t>
            </w:r>
          </w:p>
        </w:tc>
        <w:tc>
          <w:tcPr/>
          <w:p>
            <w:pPr>
              <w:pStyle w:val="Compact"/>
            </w:pPr>
            <w:r>
              <w:t xml:space="preserve">Event affecting transaction/AML system integrity</w:t>
            </w:r>
          </w:p>
        </w:tc>
        <w:tc>
          <w:tcPr/>
          <w:p>
            <w:pPr>
              <w:pStyle w:val="Compact"/>
            </w:pPr>
            <w:r>
              <w:t xml:space="preserve">As required by law</w:t>
            </w:r>
          </w:p>
        </w:tc>
      </w:tr>
    </w:tbl>
    <w:p>
      <w:pPr>
        <w:pStyle w:val="BlockText"/>
      </w:pPr>
      <w:r>
        <w:rPr>
          <w:b/>
          <w:bCs/>
        </w:rPr>
        <w:t xml:space="preserve">[TODO/ASSUMPTION]</w:t>
      </w:r>
      <w:r>
        <w:t xml:space="preserve"> </w:t>
      </w:r>
      <w:r>
        <w:t xml:space="preserve">Confirm the exact BOT reporting timeline and channel for IT/cyber events (hours/form) with legal counsel before filing.</w:t>
      </w:r>
    </w:p>
    <w:p>
      <w:r>
        <w:pict>
          <v:rect style="width:0;height:1.5pt" o:hralign="center" o:hrstd="t" o:hr="t"/>
        </w:pict>
      </w:r>
    </w:p>
    <w:bookmarkEnd w:id="448"/>
    <w:bookmarkEnd w:id="449"/>
    <w:bookmarkStart w:id="450" w:name="reporting-cadence"/>
    <w:p>
      <w:pPr>
        <w:pStyle w:val="Heading2"/>
      </w:pPr>
      <w:r>
        <w:t xml:space="preserve">8. Reporting Cadence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Report</w:t>
            </w:r>
          </w:p>
        </w:tc>
        <w:tc>
          <w:tcPr/>
          <w:p>
            <w:pPr>
              <w:pStyle w:val="Compact"/>
            </w:pPr>
            <w:r>
              <w:t xml:space="preserve">Prepared by</w:t>
            </w:r>
          </w:p>
        </w:tc>
        <w:tc>
          <w:tcPr/>
          <w:p>
            <w:pPr>
              <w:pStyle w:val="Compact"/>
            </w:pPr>
            <w:r>
              <w:t xml:space="preserve">Recipient</w:t>
            </w:r>
          </w:p>
        </w:tc>
        <w:tc>
          <w:tcPr/>
          <w:p>
            <w:pPr>
              <w:pStyle w:val="Compact"/>
            </w:pPr>
            <w:r>
              <w:t xml:space="preserve">Frequency</w:t>
            </w:r>
          </w:p>
        </w:tc>
      </w:tr>
      <w:tr>
        <w:tc>
          <w:tcPr/>
          <w:p>
            <w:pPr>
              <w:pStyle w:val="Compact"/>
            </w:pPr>
            <w:r>
              <w:t xml:space="preserve">IT Risk &amp; Security Dashboard (KRI RAG)</w:t>
            </w:r>
          </w:p>
        </w:tc>
        <w:tc>
          <w:tcPr/>
          <w:p>
            <w:pPr>
              <w:pStyle w:val="Compact"/>
            </w:pPr>
            <w:r>
              <w:t xml:space="preserve">CISO</w:t>
            </w:r>
          </w:p>
        </w:tc>
        <w:tc>
          <w:tcPr/>
          <w:p>
            <w:pPr>
              <w:pStyle w:val="Compact"/>
            </w:pPr>
            <w:r>
              <w:t xml:space="preserve">IT Risk Committee</w:t>
            </w:r>
          </w:p>
        </w:tc>
        <w:tc>
          <w:tcPr/>
          <w:p>
            <w:pPr>
              <w:pStyle w:val="Compact"/>
            </w:pPr>
            <w:r>
              <w:rPr>
                <w:b/>
                <w:bCs/>
              </w:rPr>
              <w:t xml:space="preserve">Monthly</w:t>
            </w:r>
          </w:p>
        </w:tc>
      </w:tr>
      <w:tr>
        <w:tc>
          <w:tcPr/>
          <w:p>
            <w:pPr>
              <w:pStyle w:val="Compact"/>
            </w:pPr>
            <w:r>
              <w:t xml:space="preserve">IT risk report + risk register</w:t>
            </w:r>
          </w:p>
        </w:tc>
        <w:tc>
          <w:tcPr/>
          <w:p>
            <w:pPr>
              <w:pStyle w:val="Compact"/>
            </w:pPr>
            <w:r>
              <w:t xml:space="preserve">CISO</w:t>
            </w:r>
          </w:p>
        </w:tc>
        <w:tc>
          <w:tcPr/>
          <w:p>
            <w:pPr>
              <w:pStyle w:val="Compact"/>
            </w:pPr>
            <w:r>
              <w:t xml:space="preserve">Risk Committee</w:t>
            </w:r>
          </w:p>
        </w:tc>
        <w:tc>
          <w:tcPr/>
          <w:p>
            <w:pPr>
              <w:pStyle w:val="Compact"/>
            </w:pPr>
            <w:r>
              <w:rPr>
                <w:b/>
                <w:bCs/>
              </w:rPr>
              <w:t xml:space="preserve">Quarterly</w:t>
            </w:r>
          </w:p>
        </w:tc>
      </w:tr>
      <w:tr>
        <w:tc>
          <w:tcPr/>
          <w:p>
            <w:pPr>
              <w:pStyle w:val="Compact"/>
            </w:pPr>
            <w:r>
              <w:t xml:space="preserve">Board report</w:t>
            </w:r>
          </w:p>
        </w:tc>
        <w:tc>
          <w:tcPr/>
          <w:p>
            <w:pPr>
              <w:pStyle w:val="Compact"/>
            </w:pPr>
            <w:r>
              <w:t xml:space="preserve">Risk Committee</w:t>
            </w:r>
          </w:p>
        </w:tc>
        <w:tc>
          <w:tcPr/>
          <w:p>
            <w:pPr>
              <w:pStyle w:val="Compact"/>
            </w:pPr>
            <w:r>
              <w:t xml:space="preserve">Board</w:t>
            </w:r>
          </w:p>
        </w:tc>
        <w:tc>
          <w:tcPr/>
          <w:p>
            <w:pPr>
              <w:pStyle w:val="Compact"/>
            </w:pPr>
            <w:r>
              <w:rPr>
                <w:b/>
                <w:bCs/>
              </w:rPr>
              <w:t xml:space="preserve">Quarterly</w:t>
            </w:r>
          </w:p>
        </w:tc>
      </w:tr>
      <w:tr>
        <w:tc>
          <w:tcPr/>
          <w:p>
            <w:pPr>
              <w:pStyle w:val="Compact"/>
            </w:pPr>
            <w:r>
              <w:t xml:space="preserve">Incident report (Sev1/Sev2)</w:t>
            </w:r>
          </w:p>
        </w:tc>
        <w:tc>
          <w:tcPr/>
          <w:p>
            <w:pPr>
              <w:pStyle w:val="Compact"/>
            </w:pPr>
            <w:r>
              <w:t xml:space="preserve">Incident Commander</w:t>
            </w:r>
          </w:p>
        </w:tc>
        <w:tc>
          <w:tcPr/>
          <w:p>
            <w:pPr>
              <w:pStyle w:val="Compact"/>
            </w:pPr>
            <w:r>
              <w:t xml:space="preserve">CISO → Board (Sev1)</w:t>
            </w:r>
          </w:p>
        </w:tc>
        <w:tc>
          <w:tcPr/>
          <w:p>
            <w:pPr>
              <w:pStyle w:val="Compact"/>
            </w:pPr>
            <w:r>
              <w:t xml:space="preserve">Per event + monthly summary</w:t>
            </w:r>
          </w:p>
        </w:tc>
      </w:tr>
      <w:tr>
        <w:tc>
          <w:tcPr/>
          <w:p>
            <w:pPr>
              <w:pStyle w:val="Compact"/>
            </w:pPr>
            <w:r>
              <w:t xml:space="preserve">ASV scan results</w:t>
            </w:r>
          </w:p>
        </w:tc>
        <w:tc>
          <w:tcPr/>
          <w:p>
            <w:pPr>
              <w:pStyle w:val="Compact"/>
            </w:pPr>
            <w:r>
              <w:t xml:space="preserve">ASV vendor</w:t>
            </w:r>
          </w:p>
        </w:tc>
        <w:tc>
          <w:tcPr/>
          <w:p>
            <w:pPr>
              <w:pStyle w:val="Compact"/>
            </w:pPr>
            <w:r>
              <w:t xml:space="preserve">CISO</w:t>
            </w:r>
          </w:p>
        </w:tc>
        <w:tc>
          <w:tcPr/>
          <w:p>
            <w:pPr>
              <w:pStyle w:val="Compact"/>
            </w:pPr>
            <w:r>
              <w:rPr>
                <w:b/>
                <w:bCs/>
              </w:rPr>
              <w:t xml:space="preserve">Quarterly</w:t>
            </w:r>
          </w:p>
        </w:tc>
      </w:tr>
      <w:tr>
        <w:tc>
          <w:tcPr/>
          <w:p>
            <w:pPr>
              <w:pStyle w:val="Compact"/>
            </w:pPr>
            <w:r>
              <w:t xml:space="preserve">Penetration test results</w:t>
            </w:r>
          </w:p>
        </w:tc>
        <w:tc>
          <w:tcPr/>
          <w:p>
            <w:pPr>
              <w:pStyle w:val="Compact"/>
            </w:pPr>
            <w:r>
              <w:t xml:space="preserve">Tester + CISO</w:t>
            </w:r>
          </w:p>
        </w:tc>
        <w:tc>
          <w:tcPr/>
          <w:p>
            <w:pPr>
              <w:pStyle w:val="Compact"/>
            </w:pPr>
            <w:r>
              <w:t xml:space="preserve">Risk/Audit Committee</w:t>
            </w:r>
          </w:p>
        </w:tc>
        <w:tc>
          <w:tcPr/>
          <w:p>
            <w:pPr>
              <w:pStyle w:val="Compact"/>
            </w:pPr>
            <w:r>
              <w:rPr>
                <w:b/>
                <w:bCs/>
              </w:rPr>
              <w:t xml:space="preserve">Annually</w:t>
            </w:r>
            <w:r>
              <w:t xml:space="preserve"> </w:t>
            </w:r>
            <w:r>
              <w:t xml:space="preserve">(+ on major change)</w:t>
            </w:r>
          </w:p>
        </w:tc>
      </w:tr>
      <w:tr>
        <w:tc>
          <w:tcPr/>
          <w:p>
            <w:pPr>
              <w:pStyle w:val="Compact"/>
            </w:pPr>
            <w:r>
              <w:t xml:space="preserve">PCI-DSS RoC / AoC</w:t>
            </w:r>
          </w:p>
        </w:tc>
        <w:tc>
          <w:tcPr/>
          <w:p>
            <w:pPr>
              <w:pStyle w:val="Compact"/>
            </w:pPr>
            <w:r>
              <w:rPr>
                <w:b/>
                <w:bCs/>
              </w:rPr>
              <w:t xml:space="preserve">QSA</w:t>
            </w:r>
          </w:p>
        </w:tc>
        <w:tc>
          <w:tcPr/>
          <w:p>
            <w:pPr>
              <w:pStyle w:val="Compact"/>
            </w:pPr>
            <w:r>
              <w:t xml:space="preserve">BOT / scheme / Board</w:t>
            </w:r>
          </w:p>
        </w:tc>
        <w:tc>
          <w:tcPr/>
          <w:p>
            <w:pPr>
              <w:pStyle w:val="Compact"/>
            </w:pPr>
            <w:r>
              <w:rPr>
                <w:b/>
                <w:bCs/>
              </w:rPr>
              <w:t xml:space="preserve">Annually</w:t>
            </w:r>
          </w:p>
        </w:tc>
      </w:tr>
      <w:tr>
        <w:tc>
          <w:tcPr/>
          <w:p>
            <w:pPr>
              <w:pStyle w:val="Compact"/>
            </w:pPr>
            <w:r>
              <w:t xml:space="preserve">Regulatory reporting to BOT</w:t>
            </w:r>
          </w:p>
        </w:tc>
        <w:tc>
          <w:tcPr/>
          <w:p>
            <w:pPr>
              <w:pStyle w:val="Compact"/>
            </w:pPr>
            <w:r>
              <w:t xml:space="preserve">Compliance + CISO</w:t>
            </w:r>
          </w:p>
        </w:tc>
        <w:tc>
          <w:tcPr/>
          <w:p>
            <w:pPr>
              <w:pStyle w:val="Compact"/>
            </w:pPr>
            <w:r>
              <w:t xml:space="preserve">BOT</w:t>
            </w:r>
          </w:p>
        </w:tc>
        <w:tc>
          <w:tcPr/>
          <w:p>
            <w:pPr>
              <w:pStyle w:val="Compact"/>
            </w:pPr>
            <w:r>
              <w:t xml:space="preserve">Per BOT-defined periods</w:t>
            </w:r>
          </w:p>
        </w:tc>
      </w:tr>
    </w:tbl>
    <w:p>
      <w:r>
        <w:pict>
          <v:rect style="width:0;height:1.5pt" o:hralign="center" o:hrstd="t" o:hr="t"/>
        </w:pict>
      </w:r>
    </w:p>
    <w:bookmarkEnd w:id="450"/>
    <w:bookmarkStart w:id="452" w:name="policy-review-open-assumptions"/>
    <w:p>
      <w:pPr>
        <w:pStyle w:val="Heading2"/>
      </w:pPr>
      <w:r>
        <w:t xml:space="preserve">9. Policy Review &amp; Open Assumptions</w:t>
      </w:r>
    </w:p>
    <w:p>
      <w:pPr>
        <w:pStyle w:val="Compact"/>
        <w:numPr>
          <w:ilvl w:val="0"/>
          <w:numId w:val="1176"/>
        </w:numPr>
      </w:pPr>
      <w:r>
        <w:rPr>
          <w:b/>
          <w:bCs/>
        </w:rPr>
        <w:t xml:space="preserve">Review cycle:</w:t>
      </w:r>
      <w:r>
        <w:t xml:space="preserve"> </w:t>
      </w:r>
      <w:r>
        <w:t xml:space="preserve">Reviewed</w:t>
      </w:r>
      <w:r>
        <w:t xml:space="preserve"> </w:t>
      </w:r>
      <w:r>
        <w:rPr>
          <w:b/>
          <w:bCs/>
        </w:rPr>
        <w:t xml:space="preserve">at least annually</w:t>
      </w:r>
      <w:r>
        <w:t xml:space="preserve"> </w:t>
      </w:r>
      <w:r>
        <w:t xml:space="preserve">and upon material regulatory/architecture change; approved by the Board.</w:t>
      </w:r>
    </w:p>
    <w:bookmarkStart w:id="451" w:name="X13498b3ccb9ac48acf530f5494e19dcfa5a6299"/>
    <w:p>
      <w:pPr>
        <w:pStyle w:val="Heading3"/>
      </w:pPr>
      <w:r>
        <w:t xml:space="preserve">Open assumptions / TODOs to close before filing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Unresolved item</w:t>
            </w:r>
          </w:p>
        </w:tc>
        <w:tc>
          <w:tcPr/>
          <w:p>
            <w:pPr>
              <w:pStyle w:val="Compact"/>
            </w:pPr>
            <w:r>
              <w:t xml:space="preserve">Owner to close</w:t>
            </w:r>
          </w:p>
        </w:tc>
      </w:tr>
      <w:tr>
        <w:tc>
          <w:tcPr/>
          <w:p>
            <w:pPr>
              <w:pStyle w:val="Compact"/>
            </w:pPr>
            <w:r>
              <w:t xml:space="preserve">A-1</w:t>
            </w:r>
          </w:p>
        </w:tc>
        <w:tc>
          <w:tcPr/>
          <w:p>
            <w:pPr>
              <w:pStyle w:val="Compact"/>
            </w:pPr>
            <w:r>
              <w:rPr>
                <w:b/>
                <w:bCs/>
              </w:rPr>
              <w:t xml:space="preserve">Sponsor bank / acquirer</w:t>
            </w:r>
            <w:r>
              <w:t xml:space="preserve"> </w:t>
            </w:r>
            <w:r>
              <w:t xml:space="preserve">not yet signed → no real SLA/exit terms for R-06</w:t>
            </w:r>
          </w:p>
        </w:tc>
        <w:tc>
          <w:tcPr/>
          <w:p>
            <w:pPr>
              <w:pStyle w:val="Compact"/>
            </w:pPr>
            <w:r>
              <w:t xml:space="preserve">CTO / Legal</w:t>
            </w:r>
          </w:p>
        </w:tc>
      </w:tr>
      <w:tr>
        <w:tc>
          <w:tcPr/>
          <w:p>
            <w:pPr>
              <w:pStyle w:val="Compact"/>
            </w:pPr>
            <w:r>
              <w:t xml:space="preserve">A-2</w:t>
            </w:r>
          </w:p>
        </w:tc>
        <w:tc>
          <w:tcPr/>
          <w:p>
            <w:pPr>
              <w:pStyle w:val="Compact"/>
            </w:pPr>
            <w:r>
              <w:rPr>
                <w:b/>
                <w:bCs/>
              </w:rPr>
              <w:t xml:space="preserve">QSA vendor</w:t>
            </w:r>
            <w:r>
              <w:t xml:space="preserve"> </w:t>
            </w:r>
            <w:r>
              <w:t xml:space="preserve">not engaged → RoC schedule and scope validation are estimates</w:t>
            </w:r>
          </w:p>
        </w:tc>
        <w:tc>
          <w:tcPr/>
          <w:p>
            <w:pPr>
              <w:pStyle w:val="Compact"/>
            </w:pPr>
            <w:r>
              <w:t xml:space="preserve">CISO</w:t>
            </w:r>
          </w:p>
        </w:tc>
      </w:tr>
      <w:tr>
        <w:tc>
          <w:tcPr/>
          <w:p>
            <w:pPr>
              <w:pStyle w:val="Compact"/>
            </w:pPr>
            <w:r>
              <w:t xml:space="preserve">A-3</w:t>
            </w:r>
          </w:p>
        </w:tc>
        <w:tc>
          <w:tcPr/>
          <w:p>
            <w:pPr>
              <w:pStyle w:val="Compact"/>
            </w:pPr>
            <w:r>
              <w:rPr>
                <w:b/>
                <w:bCs/>
              </w:rPr>
              <w:t xml:space="preserve">ASV vendor</w:t>
            </w:r>
            <w:r>
              <w:t xml:space="preserve"> </w:t>
            </w:r>
            <w:r>
              <w:t xml:space="preserve">and pentest provider not selected</w:t>
            </w:r>
          </w:p>
        </w:tc>
        <w:tc>
          <w:tcPr/>
          <w:p>
            <w:pPr>
              <w:pStyle w:val="Compact"/>
            </w:pPr>
            <w:r>
              <w:t xml:space="preserve">CISO</w:t>
            </w:r>
          </w:p>
        </w:tc>
      </w:tr>
      <w:tr>
        <w:tc>
          <w:tcPr/>
          <w:p>
            <w:pPr>
              <w:pStyle w:val="Compact"/>
            </w:pPr>
            <w:r>
              <w:t xml:space="preserve">A-4</w:t>
            </w:r>
          </w:p>
        </w:tc>
        <w:tc>
          <w:tcPr/>
          <w:p>
            <w:pPr>
              <w:pStyle w:val="Compact"/>
            </w:pPr>
            <w:r>
              <w:rPr>
                <w:b/>
                <w:bCs/>
              </w:rPr>
              <w:t xml:space="preserve">Paid-up capital THB 50M</w:t>
            </w:r>
            <w:r>
              <w:t xml:space="preserve"> </w:t>
            </w:r>
            <w:r>
              <w:t xml:space="preserve">must be confirmed as actually paid and maintained ≥ 75% (links to Doc 02)</w:t>
            </w:r>
          </w:p>
        </w:tc>
        <w:tc>
          <w:tcPr/>
          <w:p>
            <w:pPr>
              <w:pStyle w:val="Compact"/>
            </w:pPr>
            <w:r>
              <w:t xml:space="preserve">CFO</w:t>
            </w:r>
          </w:p>
        </w:tc>
      </w:tr>
      <w:tr>
        <w:tc>
          <w:tcPr/>
          <w:p>
            <w:pPr>
              <w:pStyle w:val="Compact"/>
            </w:pPr>
            <w:r>
              <w:t xml:space="preserve">A-5</w:t>
            </w:r>
          </w:p>
        </w:tc>
        <w:tc>
          <w:tcPr/>
          <w:p>
            <w:pPr>
              <w:pStyle w:val="Compact"/>
            </w:pPr>
            <w:r>
              <w:t xml:space="preserve">Formal</w:t>
            </w:r>
            <w:r>
              <w:t xml:space="preserve"> </w:t>
            </w:r>
            <w:r>
              <w:rPr>
                <w:b/>
                <w:bCs/>
              </w:rPr>
              <w:t xml:space="preserve">CISO/DPO</w:t>
            </w:r>
            <w:r>
              <w:t xml:space="preserve"> </w:t>
            </w:r>
            <w:r>
              <w:t xml:space="preserve">appointment by board resolution</w:t>
            </w:r>
          </w:p>
        </w:tc>
        <w:tc>
          <w:tcPr/>
          <w:p>
            <w:pPr>
              <w:pStyle w:val="Compact"/>
            </w:pPr>
            <w:r>
              <w:t xml:space="preserve">Board / HR</w:t>
            </w:r>
          </w:p>
        </w:tc>
      </w:tr>
      <w:tr>
        <w:tc>
          <w:tcPr/>
          <w:p>
            <w:pPr>
              <w:pStyle w:val="Compact"/>
            </w:pPr>
            <w:r>
              <w:t xml:space="preserve">A-6</w:t>
            </w:r>
          </w:p>
        </w:tc>
        <w:tc>
          <w:tcPr/>
          <w:p>
            <w:pPr>
              <w:pStyle w:val="Compact"/>
            </w:pPr>
            <w:r>
              <w:t xml:space="preserve">BOT cyber-incident reporting timeline and</w:t>
            </w:r>
            <w:r>
              <w:t xml:space="preserve"> </w:t>
            </w:r>
            <w:r>
              <w:rPr>
                <w:b/>
                <w:bCs/>
              </w:rPr>
              <w:t xml:space="preserve">CII</w:t>
            </w:r>
            <w:r>
              <w:t xml:space="preserve"> </w:t>
            </w:r>
            <w:r>
              <w:t xml:space="preserve">status under the Cybersecurity Act</w:t>
            </w:r>
          </w:p>
        </w:tc>
        <w:tc>
          <w:tcPr/>
          <w:p>
            <w:pPr>
              <w:pStyle w:val="Compact"/>
            </w:pPr>
            <w:r>
              <w:t xml:space="preserve">Legal</w:t>
            </w:r>
          </w:p>
        </w:tc>
      </w:tr>
    </w:tbl>
    <w:p>
      <w:r>
        <w:br w:type="page"/>
      </w:r>
    </w:p>
    <w:bookmarkEnd w:id="451"/>
    <w:bookmarkEnd w:id="452"/>
    <w:bookmarkEnd w:id="453"/>
    <w:bookmarkStart w:id="483" w:name="X4a5f73570eb77aa6bac711206fefc1bb1ff1ad0"/>
    <w:p>
      <w:pPr>
        <w:pStyle w:val="Heading1"/>
      </w:pPr>
      <w:r>
        <w:t xml:space="preserve">แผนความมั่นคงปลอดภัยไซเบอร์ (Cyber Resilience) (ไทย)</w:t>
      </w:r>
    </w:p>
    <w:p>
      <w:pPr>
        <w:pStyle w:val="BlockText"/>
      </w:pPr>
      <w:r>
        <w:t xml:space="preserve">เอกสารเลขที่</w:t>
      </w:r>
      <w:r>
        <w:t xml:space="preserve"> </w:t>
      </w:r>
      <w:r>
        <w:rPr>
          <w:b/>
          <w:bCs/>
        </w:rPr>
        <w:t xml:space="preserve">14</w:t>
      </w:r>
      <w:r>
        <w:t xml:space="preserve"> </w:t>
      </w:r>
      <w:r>
        <w:t xml:space="preserve">ในชุดเอกสาร Compliance สำหรับการยื่นขอใบอนุญาต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และคู่ขนานกับ</w:t>
      </w:r>
      <w:r>
        <w:t xml:space="preserve"> </w:t>
      </w:r>
      <w:r>
        <w:rPr>
          <w:b/>
          <w:bCs/>
        </w:rPr>
        <w:t xml:space="preserve">PCI-DSS Level 1</w:t>
      </w:r>
    </w:p>
    <w:p>
      <w:pPr>
        <w:pStyle w:val="BlockText"/>
      </w:pPr>
      <w:r>
        <w:rPr>
          <w:b/>
          <w:bCs/>
        </w:rPr>
        <w:t xml:space="preserve">สถานะเอกสาร:</w:t>
      </w:r>
      <w:r>
        <w:t xml:space="preserve"> </w:t>
      </w:r>
      <w:r>
        <w:t xml:space="preserve">ฉบับร่างเพื่อยื่นขออนุมัติ (submission draft) · เวอร์ชัน 0.1 · วันที่ปรับปรุง 2026-07-22</w:t>
      </w:r>
      <w:r>
        <w:t xml:space="preserve"> </w:t>
      </w:r>
      <w:r>
        <w:rPr>
          <w:b/>
          <w:bCs/>
        </w:rPr>
        <w:t xml:space="preserve">เจ้าของเอกสาร:</w:t>
      </w:r>
      <w:r>
        <w:t xml:space="preserve"> </w:t>
      </w:r>
      <w:r>
        <w:t xml:space="preserve">ประธานเจ้าหน้าที่ความมั่นคงปลอดภัยสารสนเทศ (CISO) ของ</w:t>
      </w:r>
      <w:r>
        <w:t xml:space="preserve"> </w:t>
      </w:r>
      <w:r>
        <w:rPr>
          <w:b/>
          <w:bCs/>
        </w:rPr>
        <w:t xml:space="preserve">[บริษัท / Company]</w:t>
      </w:r>
      <w:r>
        <w:t xml:space="preserve"> </w:t>
      </w:r>
      <w:r>
        <w:t xml:space="preserve">โดยรายงานต่อคณะกรรมการบริหารความเสี่ยง (Risk Committee)</w:t>
      </w:r>
    </w:p>
    <w:p>
      <w:pPr>
        <w:pStyle w:val="BlockText"/>
      </w:pPr>
      <w:r>
        <w:t xml:space="preserve">เอกสารนี้เป็นนโยบายภายในและเอกสารประกอบคำขอใบอนุญาต</w:t>
      </w:r>
      <w:r>
        <w:t xml:space="preserve"> </w:t>
      </w:r>
      <w:r>
        <w:rPr>
          <w:b/>
          <w:bCs/>
        </w:rPr>
        <w:t xml:space="preserve">มิใช่คำแนะนำทางกฎหมาย</w:t>
      </w:r>
      <w:r>
        <w:t xml:space="preserve"> </w:t>
      </w:r>
      <w:r>
        <w:t xml:space="preserve">— ต้องผ่านการตรวจทานโดยที่ปรึกษากฎหมาย, CISO และ QSA ก่อนบังคับใช้จริง เนื่องจากประกาศ/หลักเกณฑ์ของ ธปท. และมาตรฐาน PCI-DSS อาจปรับปรุงได้</w:t>
      </w:r>
    </w:p>
    <w:p>
      <w:r>
        <w:pict>
          <v:rect style="width:0;height:1.5pt" o:hralign="center" o:hrstd="t" o:hr="t"/>
        </w:pict>
      </w:r>
    </w:p>
    <w:bookmarkStart w:id="454" w:name="บทสรปสำหรบผบรหาร-executive-summary-2"/>
    <w:p>
      <w:pPr>
        <w:pStyle w:val="Heading2"/>
      </w:pPr>
      <w:r>
        <w:t xml:space="preserve">บทสรุปสำหรับผู้บริหาร (Executive Summary)</w:t>
      </w:r>
    </w:p>
    <w:p>
      <w:pPr>
        <w:pStyle w:val="FirstParagraph"/>
      </w:pPr>
      <w:r>
        <w:t xml:space="preserve">[บริษัท / Company] ในฐานะผู้ให้บริการรับชำระเงินด้วยบัตร (acquiring payment gateway) ถือครองข้อมูลบัตร (Cardholder Data — CHD) และประมวลผลธุรกรรมทางการเงินปริมาณสูง จึงตกเป็นเป้าหมายลำดับต้นของภัยคุกคามไซเบอร์ เอกสารฉบับนี้กำหนด</w:t>
      </w:r>
      <w:r>
        <w:t xml:space="preserve"> </w:t>
      </w:r>
      <w:r>
        <w:rPr>
          <w:b/>
          <w:bCs/>
        </w:rPr>
        <w:t xml:space="preserve">แผนความมั่นคงปลอดภัยไซเบอร์ (Cyber Resilience Plan)</w:t>
      </w:r>
      <w:r>
        <w:t xml:space="preserve"> </w:t>
      </w:r>
      <w:r>
        <w:t xml:space="preserve">ที่ครอบคลุมวงจรครบถ้วนตามหลัก</w:t>
      </w:r>
      <w:r>
        <w:t xml:space="preserve"> </w:t>
      </w:r>
      <w:r>
        <w:rPr>
          <w:b/>
          <w:bCs/>
        </w:rPr>
        <w:t xml:space="preserve">Identify → Protect → Detect → Respond → Recover</w:t>
      </w:r>
      <w:r>
        <w:t xml:space="preserve"> </w:t>
      </w:r>
      <w:r>
        <w:t xml:space="preserve">(NIST CSF 2.0) และสอดคล้องกับ</w:t>
      </w:r>
      <w:r>
        <w:t xml:space="preserve"> </w:t>
      </w:r>
      <w:r>
        <w:rPr>
          <w:b/>
          <w:bCs/>
        </w:rPr>
        <w:t xml:space="preserve">PCI-DSS v4.0</w:t>
      </w:r>
      <w:r>
        <w:t xml:space="preserve"> </w:t>
      </w:r>
      <w:r>
        <w:t xml:space="preserve">และแนวปฏิบัติด้าน IT Risk / Cyber Resilience ของ ธปท. โดยมี 5 เสาหลัก:</w:t>
      </w:r>
    </w:p>
    <w:p>
      <w:pPr>
        <w:pStyle w:val="Compact"/>
        <w:numPr>
          <w:ilvl w:val="0"/>
          <w:numId w:val="1177"/>
        </w:numPr>
      </w:pPr>
      <w:r>
        <w:rPr>
          <w:b/>
          <w:bCs/>
        </w:rPr>
        <w:t xml:space="preserve">การบริหารจัดการภัยคุกคาม (Threat Management)</w:t>
      </w:r>
      <w:r>
        <w:t xml:space="preserve"> </w:t>
      </w:r>
      <w:r>
        <w:t xml:space="preserve">— threat intelligence, threat modeling, การบริหารพื้นผิวการโจมตี (attack surface)</w:t>
      </w:r>
    </w:p>
    <w:p>
      <w:pPr>
        <w:pStyle w:val="Compact"/>
        <w:numPr>
          <w:ilvl w:val="0"/>
          <w:numId w:val="1177"/>
        </w:numPr>
      </w:pPr>
      <w:r>
        <w:rPr>
          <w:b/>
          <w:bCs/>
        </w:rPr>
        <w:t xml:space="preserve">ศูนย์เฝ้าระวังความมั่นคงปลอดภัย (SOC) และการเฝ้าติดตาม (Monitoring)</w:t>
      </w:r>
      <w:r>
        <w:t xml:space="preserve"> </w:t>
      </w:r>
      <w:r>
        <w:t xml:space="preserve">— SIEM, log ครบตาม PCI Req 10, การเฝ้าระวัง 24×7</w:t>
      </w:r>
    </w:p>
    <w:p>
      <w:pPr>
        <w:pStyle w:val="Compact"/>
        <w:numPr>
          <w:ilvl w:val="0"/>
          <w:numId w:val="1177"/>
        </w:numPr>
      </w:pPr>
      <w:r>
        <w:rPr>
          <w:b/>
          <w:bCs/>
        </w:rPr>
        <w:t xml:space="preserve">การบริหารจัดการช่องโหว่ (Vulnerability Management)</w:t>
      </w:r>
      <w:r>
        <w:t xml:space="preserve"> </w:t>
      </w:r>
      <w:r>
        <w:t xml:space="preserve">— scan, ASV, patch SLA, การจัดลำดับความรุนแรง</w:t>
      </w:r>
    </w:p>
    <w:p>
      <w:pPr>
        <w:pStyle w:val="Compact"/>
        <w:numPr>
          <w:ilvl w:val="0"/>
          <w:numId w:val="1177"/>
        </w:numPr>
      </w:pPr>
      <w:r>
        <w:rPr>
          <w:b/>
          <w:bCs/>
        </w:rPr>
        <w:t xml:space="preserve">การทดสอบเจาะระบบและ Red Team</w:t>
      </w:r>
      <w:r>
        <w:t xml:space="preserve"> </w:t>
      </w:r>
      <w:r>
        <w:t xml:space="preserve">— penetration test ประจำปี, purple team, breach &amp; attack simulation</w:t>
      </w:r>
    </w:p>
    <w:p>
      <w:pPr>
        <w:pStyle w:val="Compact"/>
        <w:numPr>
          <w:ilvl w:val="0"/>
          <w:numId w:val="1177"/>
        </w:numPr>
      </w:pPr>
      <w:r>
        <w:rPr>
          <w:b/>
          <w:bCs/>
        </w:rPr>
        <w:t xml:space="preserve">การกู้คืนและความต่อเนื่อง (Recovery &amp; Resilience)</w:t>
      </w:r>
      <w:r>
        <w:t xml:space="preserve"> </w:t>
      </w:r>
      <w:r>
        <w:t xml:space="preserve">— incident response, RTO/RPO, DR drill, ransomware playbook</w:t>
      </w:r>
    </w:p>
    <w:p>
      <w:pPr>
        <w:pStyle w:val="BlockText"/>
      </w:pPr>
      <w:r>
        <w:rPr>
          <w:b/>
          <w:bCs/>
        </w:rPr>
        <w:t xml:space="preserve">หลักการชี้นำ (Guiding Principle):</w:t>
      </w:r>
      <w:r>
        <w:t xml:space="preserve"> </w:t>
      </w:r>
      <w:r>
        <w:rPr>
          <w:i/>
          <w:iCs/>
        </w:rPr>
        <w:t xml:space="preserve">Assume breach</w:t>
      </w:r>
      <w:r>
        <w:t xml:space="preserve"> </w:t>
      </w:r>
      <w:r>
        <w:t xml:space="preserve">— ออกแบบระบบโดยสมมติว่าถูกเจาะได้เสมอ เน้น defense-in-depth, least privilege, การตรวจจับที่รวดเร็ว และความสามารถในการกู้คืนที่พิสูจน์ได้ (proven recoverability)</w:t>
      </w:r>
    </w:p>
    <w:p>
      <w:r>
        <w:pict>
          <v:rect style="width:0;height:1.5pt" o:hralign="center" o:hrstd="t" o:hr="t"/>
        </w:pict>
      </w:r>
    </w:p>
    <w:bookmarkEnd w:id="454"/>
    <w:bookmarkStart w:id="455" w:name="ฐานกฎหมายและมาตรฐานอางอง-2"/>
    <w:p>
      <w:pPr>
        <w:pStyle w:val="Heading2"/>
      </w:pPr>
      <w:r>
        <w:t xml:space="preserve">1. ฐานกฎหมายและมาตรฐานอ้างอิง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กฎหมาย / มาตรฐาน</w:t>
            </w:r>
          </w:p>
        </w:tc>
        <w:tc>
          <w:tcPr/>
          <w:p>
            <w:pPr>
              <w:pStyle w:val="Compact"/>
            </w:pPr>
            <w:r>
              <w:t xml:space="preserve">สาระสำคัญที่เกี่ยวข้องกับแผนนี้</w:t>
            </w:r>
          </w:p>
        </w:tc>
      </w:tr>
      <w:tr>
        <w:tc>
          <w:tcPr/>
          <w:p>
            <w:pPr>
              <w:pStyle w:val="Compact"/>
            </w:pPr>
            <w:r>
              <w:rPr>
                <w:b/>
                <w:bCs/>
              </w:rPr>
              <w:t xml:space="preserve">พ.ร.บ. ระบบการชำระเงิน พ.ศ. 2560</w:t>
            </w:r>
          </w:p>
        </w:tc>
        <w:tc>
          <w:tcPr/>
          <w:p>
            <w:pPr>
              <w:pStyle w:val="Compact"/>
            </w:pPr>
            <w:r>
              <w:t xml:space="preserve">เงื่อนไขการมีระบบบริหารความเสี่ยงด้าน IT และ cyber resilience เป็นเงื่อนไขใบอนุญาต กำกับโดย</w:t>
            </w:r>
            <w:r>
              <w:t xml:space="preserve"> </w:t>
            </w:r>
            <w:r>
              <w:rPr>
                <w:b/>
                <w:bCs/>
              </w:rPr>
              <w:t xml:space="preserve">ธปท.</w:t>
            </w:r>
          </w:p>
        </w:tc>
      </w:tr>
      <w:tr>
        <w:tc>
          <w:tcPr/>
          <w:p>
            <w:pPr>
              <w:pStyle w:val="Compact"/>
            </w:pPr>
            <w:r>
              <w:rPr>
                <w:b/>
                <w:bCs/>
              </w:rPr>
              <w:t xml:space="preserve">ประกาศ ธปท. ว่าด้วยหลักเกณฑ์การกำกับดูแลความเสี่ยงด้านเทคโนโลยีสารสนเทศ (IT Risk) และ Cyber Resilience</w:t>
            </w:r>
          </w:p>
        </w:tc>
        <w:tc>
          <w:tcPr/>
          <w:p>
            <w:pPr>
              <w:pStyle w:val="Compact"/>
            </w:pPr>
            <w:r>
              <w:t xml:space="preserve">การกำกับดูแล (governance), การควบคุมภายใน, การรายงานเหตุการณ์ทางไซเบอร์ต่อ ธปท.</w:t>
            </w:r>
          </w:p>
        </w:tc>
      </w:tr>
      <w:tr>
        <w:tc>
          <w:tcPr/>
          <w:p>
            <w:pPr>
              <w:pStyle w:val="Compact"/>
            </w:pPr>
            <w:r>
              <w:rPr>
                <w:b/>
                <w:bCs/>
              </w:rPr>
              <w:t xml:space="preserve">PCI-DSS v4.0</w:t>
            </w:r>
          </w:p>
        </w:tc>
        <w:tc>
          <w:tcPr/>
          <w:p>
            <w:pPr>
              <w:pStyle w:val="Compact"/>
            </w:pPr>
            <w:r>
              <w:t xml:space="preserve">Req 1 (network security), Req 5 (anti-malware), Req 6 (secure development/patch), Req 10 (logging &amp; monitoring), Req 11 (scan/pentest), Req 12.10 (incident response)</w:t>
            </w:r>
          </w:p>
        </w:tc>
      </w:tr>
      <w:tr>
        <w:tc>
          <w:tcPr/>
          <w:p>
            <w:pPr>
              <w:pStyle w:val="Compact"/>
            </w:pPr>
            <w:r>
              <w:rPr>
                <w:b/>
                <w:bCs/>
              </w:rPr>
              <w:t xml:space="preserve">พ.ร.บ. คุ้มครองข้อมูลส่วนบุคคล พ.ศ. 2562 (PDPA)</w:t>
            </w:r>
            <w:r>
              <w:t xml:space="preserve"> </w:t>
            </w:r>
            <w:r>
              <w:t xml:space="preserve">— กำกับโดย</w:t>
            </w:r>
            <w:r>
              <w:t xml:space="preserve"> </w:t>
            </w:r>
            <w:r>
              <w:rPr>
                <w:b/>
                <w:bCs/>
              </w:rPr>
              <w:t xml:space="preserve">คณะกรรมการคุ้มครองข้อมูลส่วนบุคคล (PDPC)</w:t>
            </w:r>
          </w:p>
        </w:tc>
        <w:tc>
          <w:tcPr/>
          <w:p>
            <w:pPr>
              <w:pStyle w:val="Compact"/>
            </w:pPr>
            <w:r>
              <w:t xml:space="preserve">การแจ้งเหตุละเมิดข้อมูลส่วนบุคคลต่อ PDPC ภายใน 72 ชั่วโมง (มาตรา 37(4))</w:t>
            </w:r>
          </w:p>
        </w:tc>
      </w:tr>
      <w:tr>
        <w:tc>
          <w:tcPr/>
          <w:p>
            <w:pPr>
              <w:pStyle w:val="Compact"/>
            </w:pPr>
            <w:r>
              <w:rPr>
                <w:b/>
                <w:bCs/>
              </w:rPr>
              <w:t xml:space="preserve">พ.ร.บ. การรักษาความมั่นคงปลอดภัยไซเบอร์ พ.ศ. 2562</w:t>
            </w:r>
          </w:p>
        </w:tc>
        <w:tc>
          <w:tcPr/>
          <w:p>
            <w:pPr>
              <w:pStyle w:val="Compact"/>
            </w:pPr>
            <w:r>
              <w:t xml:space="preserve">กรอบการจัดการภัยคุกคามไซเบอร์และการประสานงานกับหน่วยงานที่เกี่ยวข้อง (สกมช./NCSA) หากเข้าข่าย CII</w:t>
            </w:r>
          </w:p>
        </w:tc>
      </w:tr>
      <w:tr>
        <w:tc>
          <w:tcPr/>
          <w:p>
            <w:pPr>
              <w:pStyle w:val="Compact"/>
            </w:pPr>
            <w:r>
              <w:rPr>
                <w:b/>
                <w:bCs/>
              </w:rPr>
              <w:t xml:space="preserve">พ.ร.บ. ป้องกันและปราบปรามการฟอกเงิน (ปปง./AMLO)</w:t>
            </w:r>
          </w:p>
        </w:tc>
        <w:tc>
          <w:tcPr/>
          <w:p>
            <w:pPr>
              <w:pStyle w:val="Compact"/>
            </w:pPr>
            <w:r>
              <w:t xml:space="preserve">ความเชื่อมโยงกับการเฝ้าระวังธุรกรรมและการรักษาความสมบูรณ์ของ audit trail</w:t>
            </w:r>
          </w:p>
        </w:tc>
      </w:tr>
      <w:tr>
        <w:tc>
          <w:tcPr/>
          <w:p>
            <w:pPr>
              <w:pStyle w:val="Compact"/>
            </w:pPr>
            <w:r>
              <w:rPr>
                <w:b/>
                <w:bCs/>
              </w:rPr>
              <w:t xml:space="preserve">NIST CSF 2.0 / NIST SP 800-61r2 / ISO/IEC 27001:2022 / ISO 22301</w:t>
            </w:r>
          </w:p>
        </w:tc>
        <w:tc>
          <w:tcPr/>
          <w:p>
            <w:pPr>
              <w:pStyle w:val="Compact"/>
            </w:pPr>
            <w:r>
              <w:t xml:space="preserve">กรอบอ้างอิงสากลด้าน cyber resilience, incident handling และ business continuity</w:t>
            </w:r>
          </w:p>
        </w:tc>
      </w:tr>
      <w:tr>
        <w:tc>
          <w:tcPr/>
          <w:p>
            <w:pPr>
              <w:pStyle w:val="Compact"/>
            </w:pPr>
            <w:r>
              <w:rPr>
                <w:b/>
                <w:bCs/>
              </w:rPr>
              <w:t xml:space="preserve">EMV 3-D Secure (3DS) 2.x</w:t>
            </w:r>
          </w:p>
        </w:tc>
        <w:tc>
          <w:tcPr/>
          <w:p>
            <w:pPr>
              <w:pStyle w:val="Compact"/>
            </w:pPr>
            <w:r>
              <w:t xml:space="preserve">การควบคุมความเสี่ยงการฉ้อโกงในชั้น authentication ของธุรกรรมบัตร</w:t>
            </w:r>
          </w:p>
        </w:tc>
      </w:tr>
    </w:tbl>
    <w:p>
      <w:pPr>
        <w:pStyle w:val="BlockText"/>
      </w:pPr>
      <w:r>
        <w:rPr>
          <w:b/>
          <w:bCs/>
        </w:rPr>
        <w:t xml:space="preserve">[TODO/ข้อสมมติ]</w:t>
      </w:r>
      <w:r>
        <w:t xml:space="preserve"> </w:t>
      </w:r>
      <w:r>
        <w:t xml:space="preserve">ต้องยืนยันกับที่ปรึกษากฎหมายว่าประกาศ ธปท. ด้าน IT Risk / Cyber Resilience ฉบับล่าสุด ณ วันยื่นคำขอ มีเลขที่/ปีใด และปรับอ้างอิงให้ตรง รวมถึงพิจารณาว่า [บริษัท / Company] เข้าข่ายเป็นโครงสร้างพื้นฐานสำคัญทางสารสนเทศ (CII) ตาม พ.ร.บ. ไซเบอร์ฯ หรือไม่</w:t>
      </w:r>
    </w:p>
    <w:p>
      <w:r>
        <w:pict>
          <v:rect style="width:0;height:1.5pt" o:hralign="center" o:hrstd="t" o:hr="t"/>
        </w:pict>
      </w:r>
    </w:p>
    <w:bookmarkEnd w:id="455"/>
    <w:bookmarkStart w:id="456" w:name="X817ff617adb17ce95537f5cc4b9c9e761a549fd"/>
    <w:p>
      <w:pPr>
        <w:pStyle w:val="Heading2"/>
      </w:pPr>
      <w:r>
        <w:t xml:space="preserve">2. โครงสร้างการกำกับดูแลและบทบาทหน้าที่ (Governance &amp; Roles)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บทบาท</w:t>
            </w:r>
          </w:p>
        </w:tc>
        <w:tc>
          <w:tcPr/>
          <w:p>
            <w:pPr>
              <w:pStyle w:val="Compact"/>
            </w:pPr>
            <w:r>
              <w:t xml:space="preserve">ความรับผิดชอบหลักด้าน Cyber Resilience</w:t>
            </w:r>
          </w:p>
        </w:tc>
      </w:tr>
      <w:tr>
        <w:tc>
          <w:tcPr/>
          <w:p>
            <w:pPr>
              <w:pStyle w:val="Compact"/>
            </w:pPr>
            <w:r>
              <w:rPr>
                <w:b/>
                <w:bCs/>
              </w:rPr>
              <w:t xml:space="preserve">คณะกรรมการบริษัท (Board)</w:t>
            </w:r>
          </w:p>
        </w:tc>
        <w:tc>
          <w:tcPr/>
          <w:p>
            <w:pPr>
              <w:pStyle w:val="Compact"/>
            </w:pPr>
            <w:r>
              <w:t xml:space="preserve">อนุมัตินโยบายความมั่นคงปลอดภัยไซเบอร์, รับทราบรายงานความเสี่ยงระดับสูงรายไตรมาส</w:t>
            </w:r>
          </w:p>
        </w:tc>
      </w:tr>
      <w:tr>
        <w:tc>
          <w:tcPr/>
          <w:p>
            <w:pPr>
              <w:pStyle w:val="Compact"/>
            </w:pPr>
            <w:r>
              <w:rPr>
                <w:b/>
                <w:bCs/>
              </w:rPr>
              <w:t xml:space="preserve">คณะกรรมการบริหารความเสี่ยง (Risk Committee)</w:t>
            </w:r>
          </w:p>
        </w:tc>
        <w:tc>
          <w:tcPr/>
          <w:p>
            <w:pPr>
              <w:pStyle w:val="Compact"/>
            </w:pPr>
            <w:r>
              <w:t xml:space="preserve">กำกับ risk appetite, ทบทวน KRI, อนุมัติแผน remediation ของช่องโหว่ระดับ Critical</w:t>
            </w:r>
          </w:p>
        </w:tc>
      </w:tr>
      <w:tr>
        <w:tc>
          <w:tcPr/>
          <w:p>
            <w:pPr>
              <w:pStyle w:val="Compact"/>
            </w:pPr>
            <w:r>
              <w:rPr>
                <w:b/>
                <w:bCs/>
              </w:rPr>
              <w:t xml:space="preserve">CISO</w:t>
            </w:r>
          </w:p>
        </w:tc>
        <w:tc>
          <w:tcPr/>
          <w:p>
            <w:pPr>
              <w:pStyle w:val="Compact"/>
            </w:pPr>
            <w:r>
              <w:t xml:space="preserve">เจ้าของแผนฉบับนี้, กำกับ SOC, VM, red team, IR; รายงานตรงต่อ Risk Committee (แยกสายจาก CTO เพื่อ segregation of duties)</w:t>
            </w:r>
          </w:p>
        </w:tc>
      </w:tr>
      <w:tr>
        <w:tc>
          <w:tcPr/>
          <w:p>
            <w:pPr>
              <w:pStyle w:val="Compact"/>
            </w:pPr>
            <w:r>
              <w:rPr>
                <w:b/>
                <w:bCs/>
              </w:rPr>
              <w:t xml:space="preserve">SOC Lead / SecOps</w:t>
            </w:r>
          </w:p>
        </w:tc>
        <w:tc>
          <w:tcPr/>
          <w:p>
            <w:pPr>
              <w:pStyle w:val="Compact"/>
            </w:pPr>
            <w:r>
              <w:t xml:space="preserve">เฝ้าระวัง 24×7, triage alert, จัดการ incident ระดับ L1–L2</w:t>
            </w:r>
          </w:p>
        </w:tc>
      </w:tr>
      <w:tr>
        <w:tc>
          <w:tcPr/>
          <w:p>
            <w:pPr>
              <w:pStyle w:val="Compact"/>
            </w:pPr>
            <w:r>
              <w:rPr>
                <w:b/>
                <w:bCs/>
              </w:rPr>
              <w:t xml:space="preserve">Vulnerability Management Lead</w:t>
            </w:r>
          </w:p>
        </w:tc>
        <w:tc>
          <w:tcPr/>
          <w:p>
            <w:pPr>
              <w:pStyle w:val="Compact"/>
            </w:pPr>
            <w:r>
              <w:t xml:space="preserve">บริหาร scan, patch SLA, ประสาน ASV และ QSA</w:t>
            </w:r>
          </w:p>
        </w:tc>
      </w:tr>
      <w:tr>
        <w:tc>
          <w:tcPr/>
          <w:p>
            <w:pPr>
              <w:pStyle w:val="Compact"/>
            </w:pPr>
            <w:r>
              <w:rPr>
                <w:b/>
                <w:bCs/>
              </w:rPr>
              <w:t xml:space="preserve">Incident Response Manager (IRM)</w:t>
            </w:r>
          </w:p>
        </w:tc>
        <w:tc>
          <w:tcPr/>
          <w:p>
            <w:pPr>
              <w:pStyle w:val="Compact"/>
            </w:pPr>
            <w:r>
              <w:t xml:space="preserve">สั่งการ CSIRT, ตัดสินใจ containment, ประสาน ธปท./PDPC/ปปง.</w:t>
            </w:r>
          </w:p>
        </w:tc>
      </w:tr>
      <w:tr>
        <w:tc>
          <w:tcPr/>
          <w:p>
            <w:pPr>
              <w:pStyle w:val="Compact"/>
            </w:pPr>
            <w:r>
              <w:rPr>
                <w:b/>
                <w:bCs/>
              </w:rPr>
              <w:t xml:space="preserve">DPO (Data Protection Officer)</w:t>
            </w:r>
          </w:p>
        </w:tc>
        <w:tc>
          <w:tcPr/>
          <w:p>
            <w:pPr>
              <w:pStyle w:val="Compact"/>
            </w:pPr>
            <w:r>
              <w:t xml:space="preserve">ประเมินและแจ้งเหตุละเมิดข้อมูลส่วนบุคคลต่อ PDPC (มาตรา 37(4))</w:t>
            </w:r>
          </w:p>
        </w:tc>
      </w:tr>
      <w:tr>
        <w:tc>
          <w:tcPr/>
          <w:p>
            <w:pPr>
              <w:pStyle w:val="Compact"/>
            </w:pPr>
            <w:r>
              <w:rPr>
                <w:b/>
                <w:bCs/>
              </w:rPr>
              <w:t xml:space="preserve">DevSecOps / SRE</w:t>
            </w:r>
          </w:p>
        </w:tc>
        <w:tc>
          <w:tcPr/>
          <w:p>
            <w:pPr>
              <w:pStyle w:val="Compact"/>
            </w:pPr>
            <w:r>
              <w:t xml:space="preserve">ฝัง security ใน CI/CD, จัดการ patch โครงสร้างพื้นฐาน, ดำเนิน DR drill</w:t>
            </w:r>
          </w:p>
        </w:tc>
      </w:tr>
      <w:tr>
        <w:tc>
          <w:tcPr/>
          <w:p>
            <w:pPr>
              <w:pStyle w:val="Compact"/>
            </w:pPr>
            <w:r>
              <w:rPr>
                <w:b/>
                <w:bCs/>
              </w:rPr>
              <w:t xml:space="preserve">QSA (ภายนอก)</w:t>
            </w:r>
          </w:p>
        </w:tc>
        <w:tc>
          <w:tcPr/>
          <w:p>
            <w:pPr>
              <w:pStyle w:val="Compact"/>
            </w:pPr>
            <w:r>
              <w:t xml:space="preserve">ตรวจประเมิน PCI-DSS ประจำปี, ออก RoC</w:t>
            </w:r>
          </w:p>
        </w:tc>
      </w:tr>
    </w:tbl>
    <w:p>
      <w:pPr>
        <w:pStyle w:val="BlockText"/>
      </w:pPr>
      <w:r>
        <w:rPr>
          <w:b/>
          <w:bCs/>
        </w:rPr>
        <w:t xml:space="preserve">หลักการแยกหน้าที่:</w:t>
      </w:r>
      <w:r>
        <w:t xml:space="preserve"> </w:t>
      </w:r>
      <w:r>
        <w:t xml:space="preserve">CISO ต้องมีสายรายงานที่เป็นอิสระจากทีมพัฒนา/ปฏิบัติการ (independent reporting line) เพื่อไม่ให้เกิดผลประโยชน์ทับซ้อนในการรายงานความเสี่ยง</w:t>
      </w:r>
    </w:p>
    <w:p>
      <w:r>
        <w:pict>
          <v:rect style="width:0;height:1.5pt" o:hralign="center" o:hrstd="t" o:hr="t"/>
        </w:pict>
      </w:r>
    </w:p>
    <w:bookmarkEnd w:id="456"/>
    <w:bookmarkStart w:id="461" w:name="X80310a1106fa0c15ede800b23046d8b09152f57"/>
    <w:p>
      <w:pPr>
        <w:pStyle w:val="Heading2"/>
      </w:pPr>
      <w:r>
        <w:t xml:space="preserve">3. เสาที่ 1 — การบริหารจัดการภัยคุกคาม (Threat Management)</w:t>
      </w:r>
    </w:p>
    <w:bookmarkStart w:id="457" w:name="threat-intelligence-ti"/>
    <w:p>
      <w:pPr>
        <w:pStyle w:val="Heading3"/>
      </w:pPr>
      <w:r>
        <w:t xml:space="preserve">3.1 Threat Intelligence (TI)</w:t>
      </w:r>
    </w:p>
    <w:p>
      <w:pPr>
        <w:pStyle w:val="Compact"/>
        <w:numPr>
          <w:ilvl w:val="0"/>
          <w:numId w:val="1178"/>
        </w:numPr>
      </w:pPr>
      <w:r>
        <w:t xml:space="preserve">สมัครแหล่งข่าวกรองภัยคุกคาม:</w:t>
      </w:r>
      <w:r>
        <w:t xml:space="preserve"> </w:t>
      </w:r>
      <w:r>
        <w:rPr>
          <w:b/>
          <w:bCs/>
        </w:rPr>
        <w:t xml:space="preserve">FS-ISAC</w:t>
      </w:r>
      <w:r>
        <w:t xml:space="preserve"> </w:t>
      </w:r>
      <w:r>
        <w:t xml:space="preserve">(ภาคการเงิน), card scheme alerts (Visa/Mastercard), CERT ในประเทศ (</w:t>
      </w:r>
      <w:r>
        <w:rPr>
          <w:b/>
          <w:bCs/>
        </w:rPr>
        <w:t xml:space="preserve">ThaiCERT/สกมช.</w:t>
      </w:r>
      <w:r>
        <w:t xml:space="preserve">), commercial TI feed</w:t>
      </w:r>
    </w:p>
    <w:p>
      <w:pPr>
        <w:pStyle w:val="Compact"/>
        <w:numPr>
          <w:ilvl w:val="0"/>
          <w:numId w:val="1178"/>
        </w:numPr>
      </w:pPr>
      <w:r>
        <w:t xml:space="preserve">นำ Indicator of Compromise (IOC) เข้าสู่ SIEM และ firewall/WAF แบบอัตโนมัติผ่าน threat feed (STIX/TAXII)</w:t>
      </w:r>
    </w:p>
    <w:p>
      <w:pPr>
        <w:pStyle w:val="Compact"/>
        <w:numPr>
          <w:ilvl w:val="0"/>
          <w:numId w:val="1178"/>
        </w:numPr>
      </w:pPr>
      <w:r>
        <w:t xml:space="preserve">ประเมินภัยคุกคามเฉพาะภาคชำระเงิน:</w:t>
      </w:r>
      <w:r>
        <w:t xml:space="preserve"> </w:t>
      </w:r>
      <w:r>
        <w:rPr>
          <w:b/>
          <w:bCs/>
        </w:rPr>
        <w:t xml:space="preserve">Magecart/e-skimming, credential stuffing, BIN attack, account takeover, ransomware, supply-chain attack, API abuse</w:t>
      </w:r>
    </w:p>
    <w:bookmarkEnd w:id="457"/>
    <w:bookmarkStart w:id="458" w:name="threat-modeling"/>
    <w:p>
      <w:pPr>
        <w:pStyle w:val="Heading3"/>
      </w:pPr>
      <w:r>
        <w:t xml:space="preserve">3.2 Threat Modeling</w:t>
      </w:r>
    </w:p>
    <w:p>
      <w:pPr>
        <w:pStyle w:val="Compact"/>
        <w:numPr>
          <w:ilvl w:val="0"/>
          <w:numId w:val="1179"/>
        </w:numPr>
      </w:pPr>
      <w:r>
        <w:t xml:space="preserve">ทำ threat modeling (แนวทาง</w:t>
      </w:r>
      <w:r>
        <w:t xml:space="preserve"> </w:t>
      </w:r>
      <w:r>
        <w:rPr>
          <w:b/>
          <w:bCs/>
        </w:rPr>
        <w:t xml:space="preserve">STRIDE</w:t>
      </w:r>
      <w:r>
        <w:t xml:space="preserve">) ทุกครั้งที่ออกแบบ feature ใหม่ที่แตะเงินหรือ CHD ก่อนขึ้น production</w:t>
      </w:r>
    </w:p>
    <w:p>
      <w:pPr>
        <w:pStyle w:val="Compact"/>
        <w:numPr>
          <w:ilvl w:val="0"/>
          <w:numId w:val="1179"/>
        </w:numPr>
      </w:pPr>
      <w:r>
        <w:t xml:space="preserve">รักษา data flow diagram ของ CHD environment (CDE) ให้เป็นปัจจุบันตาม PCI Req 1.2 / 12.5.2</w:t>
      </w:r>
    </w:p>
    <w:bookmarkEnd w:id="458"/>
    <w:bookmarkStart w:id="459" w:name="Xb576c26c6dcc55578ab0c419421720069efcd10"/>
    <w:p>
      <w:pPr>
        <w:pStyle w:val="Heading3"/>
      </w:pPr>
      <w:r>
        <w:t xml:space="preserve">3.3 การบริหารพื้นผิวการโจมตี (Attack Surface Management)</w:t>
      </w:r>
    </w:p>
    <w:p>
      <w:pPr>
        <w:pStyle w:val="Compact"/>
        <w:numPr>
          <w:ilvl w:val="0"/>
          <w:numId w:val="1180"/>
        </w:numPr>
      </w:pPr>
      <w:r>
        <w:t xml:space="preserve">จัดทำ asset inventory ครบถ้วน (PCI Req 12.5.1) — ทุก system component ใน CDE มีเจ้าของและระดับความสำคัญ</w:t>
      </w:r>
    </w:p>
    <w:p>
      <w:pPr>
        <w:pStyle w:val="Compact"/>
        <w:numPr>
          <w:ilvl w:val="0"/>
          <w:numId w:val="1180"/>
        </w:numPr>
      </w:pPr>
      <w:r>
        <w:t xml:space="preserve">External Attack Surface Management (EASM) สแกน external IP/domain อย่างน้อยทุกสัปดาห์เพื่อหา shadow IT / exposed service</w:t>
      </w:r>
    </w:p>
    <w:bookmarkEnd w:id="459"/>
    <w:bookmarkStart w:id="460" w:name="การจดระดบภยคกคาม-threat-severity-matrix"/>
    <w:p>
      <w:pPr>
        <w:pStyle w:val="Heading3"/>
      </w:pPr>
      <w:r>
        <w:t xml:space="preserve">3.4 การจัดระดับภัยคุกคาม (Threat Severity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ระดับ</w:t>
            </w:r>
          </w:p>
        </w:tc>
        <w:tc>
          <w:tcPr/>
          <w:p>
            <w:pPr>
              <w:pStyle w:val="Compact"/>
            </w:pPr>
            <w:r>
              <w:t xml:space="preserve">นิยาม</w:t>
            </w:r>
          </w:p>
        </w:tc>
        <w:tc>
          <w:tcPr/>
          <w:p>
            <w:pPr>
              <w:pStyle w:val="Compact"/>
            </w:pPr>
            <w:r>
              <w:t xml:space="preserve">ตัวอย่าง</w:t>
            </w:r>
          </w:p>
        </w:tc>
        <w:tc>
          <w:tcPr/>
          <w:p>
            <w:pPr>
              <w:pStyle w:val="Compact"/>
            </w:pPr>
            <w:r>
              <w:t xml:space="preserve">การตอบสนอง</w:t>
            </w:r>
          </w:p>
        </w:tc>
      </w:tr>
      <w:tr>
        <w:tc>
          <w:tcPr/>
          <w:p>
            <w:pPr>
              <w:pStyle w:val="Compact"/>
            </w:pPr>
            <w:r>
              <w:rPr>
                <w:b/>
                <w:bCs/>
              </w:rPr>
              <w:t xml:space="preserve">Critical (P1)</w:t>
            </w:r>
          </w:p>
        </w:tc>
        <w:tc>
          <w:tcPr/>
          <w:p>
            <w:pPr>
              <w:pStyle w:val="Compact"/>
            </w:pPr>
            <w:r>
              <w:t xml:space="preserve">กระทบ CHD / ระบบชำระเงินหลัก / มีการรั่วไหลข้อมูล</w:t>
            </w:r>
          </w:p>
        </w:tc>
        <w:tc>
          <w:tcPr/>
          <w:p>
            <w:pPr>
              <w:pStyle w:val="Compact"/>
            </w:pPr>
            <w:r>
              <w:t xml:space="preserve">ransomware active, PAN exfiltration, RCE บน CDE</w:t>
            </w:r>
          </w:p>
        </w:tc>
        <w:tc>
          <w:tcPr/>
          <w:p>
            <w:pPr>
              <w:pStyle w:val="Compact"/>
            </w:pPr>
            <w:r>
              <w:t xml:space="preserve">เรียก CSIRT ทันที, แจ้ง Board/ธปท.</w:t>
            </w:r>
          </w:p>
        </w:tc>
      </w:tr>
      <w:tr>
        <w:tc>
          <w:tcPr/>
          <w:p>
            <w:pPr>
              <w:pStyle w:val="Compact"/>
            </w:pPr>
            <w:r>
              <w:rPr>
                <w:b/>
                <w:bCs/>
              </w:rPr>
              <w:t xml:space="preserve">High (P2)</w:t>
            </w:r>
          </w:p>
        </w:tc>
        <w:tc>
          <w:tcPr/>
          <w:p>
            <w:pPr>
              <w:pStyle w:val="Compact"/>
            </w:pPr>
            <w:r>
              <w:t xml:space="preserve">ช่องโหว่รุนแรงที่ยัง exploit ไม่สำเร็จ</w:t>
            </w:r>
          </w:p>
        </w:tc>
        <w:tc>
          <w:tcPr/>
          <w:p>
            <w:pPr>
              <w:pStyle w:val="Compact"/>
            </w:pPr>
            <w:r>
              <w:t xml:space="preserve">exposed admin panel, exploitable CVE (CVSS ≥ 9.0)</w:t>
            </w:r>
          </w:p>
        </w:tc>
        <w:tc>
          <w:tcPr/>
          <w:p>
            <w:pPr>
              <w:pStyle w:val="Compact"/>
            </w:pPr>
            <w:r>
              <w:t xml:space="preserve">containment ภายใน 4 ชม.</w:t>
            </w:r>
          </w:p>
        </w:tc>
      </w:tr>
      <w:tr>
        <w:tc>
          <w:tcPr/>
          <w:p>
            <w:pPr>
              <w:pStyle w:val="Compact"/>
            </w:pPr>
            <w:r>
              <w:rPr>
                <w:b/>
                <w:bCs/>
              </w:rPr>
              <w:t xml:space="preserve">Medium (P3)</w:t>
            </w:r>
          </w:p>
        </w:tc>
        <w:tc>
          <w:tcPr/>
          <w:p>
            <w:pPr>
              <w:pStyle w:val="Compact"/>
            </w:pPr>
            <w:r>
              <w:t xml:space="preserve">ความเสี่ยงจำกัดวง</w:t>
            </w:r>
          </w:p>
        </w:tc>
        <w:tc>
          <w:tcPr/>
          <w:p>
            <w:pPr>
              <w:pStyle w:val="Compact"/>
            </w:pPr>
            <w:r>
              <w:t xml:space="preserve">phishing พนักงานเดี่ยว, misconfiguration ไม่กระทบ CDE</w:t>
            </w:r>
          </w:p>
        </w:tc>
        <w:tc>
          <w:tcPr/>
          <w:p>
            <w:pPr>
              <w:pStyle w:val="Compact"/>
            </w:pPr>
            <w:r>
              <w:t xml:space="preserve">ภายใน 24–72 ชม.</w:t>
            </w:r>
          </w:p>
        </w:tc>
      </w:tr>
      <w:tr>
        <w:tc>
          <w:tcPr/>
          <w:p>
            <w:pPr>
              <w:pStyle w:val="Compact"/>
            </w:pPr>
            <w:r>
              <w:rPr>
                <w:b/>
                <w:bCs/>
              </w:rPr>
              <w:t xml:space="preserve">Low (P4)</w:t>
            </w:r>
          </w:p>
        </w:tc>
        <w:tc>
          <w:tcPr/>
          <w:p>
            <w:pPr>
              <w:pStyle w:val="Compact"/>
            </w:pPr>
            <w:r>
              <w:t xml:space="preserve">ผลกระทบต่ำ</w:t>
            </w:r>
          </w:p>
        </w:tc>
        <w:tc>
          <w:tcPr/>
          <w:p>
            <w:pPr>
              <w:pStyle w:val="Compact"/>
            </w:pPr>
            <w:r>
              <w:t xml:space="preserve">port scan, ช่องโหว่ระดับ informational</w:t>
            </w:r>
          </w:p>
        </w:tc>
        <w:tc>
          <w:tcPr/>
          <w:p>
            <w:pPr>
              <w:pStyle w:val="Compact"/>
            </w:pPr>
            <w:r>
              <w:t xml:space="preserve">ตาม backlog</w:t>
            </w:r>
          </w:p>
        </w:tc>
      </w:tr>
    </w:tbl>
    <w:p>
      <w:r>
        <w:pict>
          <v:rect style="width:0;height:1.5pt" o:hralign="center" o:hrstd="t" o:hr="t"/>
        </w:pict>
      </w:r>
    </w:p>
    <w:bookmarkEnd w:id="460"/>
    <w:bookmarkEnd w:id="461"/>
    <w:bookmarkStart w:id="466" w:name="เสาท-2-soc-และการเฝาตดตาม-soc-monitoring"/>
    <w:p>
      <w:pPr>
        <w:pStyle w:val="Heading2"/>
      </w:pPr>
      <w:r>
        <w:t xml:space="preserve">4. เสาที่ 2 — SOC และการเฝ้าติดตาม (SOC / Monitoring)</w:t>
      </w:r>
    </w:p>
    <w:bookmarkStart w:id="462" w:name="รปแบบการดำเนนงาน-soc"/>
    <w:p>
      <w:pPr>
        <w:pStyle w:val="Heading3"/>
      </w:pPr>
      <w:r>
        <w:t xml:space="preserve">4.1 รูปแบบการดำเนินงาน SOC</w:t>
      </w:r>
    </w:p>
    <w:p>
      <w:pPr>
        <w:pStyle w:val="Compact"/>
        <w:numPr>
          <w:ilvl w:val="0"/>
          <w:numId w:val="1181"/>
        </w:numPr>
      </w:pPr>
      <w:r>
        <w:rPr>
          <w:b/>
          <w:bCs/>
        </w:rPr>
        <w:t xml:space="preserve">โหมดการทำงาน:</w:t>
      </w:r>
      <w:r>
        <w:t xml:space="preserve"> </w:t>
      </w:r>
      <w:r>
        <w:t xml:space="preserve">เฝ้าระวัง</w:t>
      </w:r>
      <w:r>
        <w:t xml:space="preserve"> </w:t>
      </w:r>
      <w:r>
        <w:rPr>
          <w:b/>
          <w:bCs/>
        </w:rPr>
        <w:t xml:space="preserve">24×7×365</w:t>
      </w:r>
      <w:r>
        <w:t xml:space="preserve"> </w:t>
      </w:r>
      <w:r>
        <w:t xml:space="preserve">ครอบคลุม CDE และระบบสนับสนุน</w:t>
      </w:r>
    </w:p>
    <w:p>
      <w:pPr>
        <w:pStyle w:val="Compact"/>
        <w:numPr>
          <w:ilvl w:val="0"/>
          <w:numId w:val="1181"/>
        </w:numPr>
      </w:pPr>
      <w:r>
        <w:rPr>
          <w:b/>
          <w:bCs/>
        </w:rPr>
        <w:t xml:space="preserve">[TODO/ข้อสมมติ]</w:t>
      </w:r>
      <w:r>
        <w:t xml:space="preserve"> </w:t>
      </w:r>
      <w:r>
        <w:t xml:space="preserve">ต้องตัดสินใจระหว่าง</w:t>
      </w:r>
      <w:r>
        <w:t xml:space="preserve"> </w:t>
      </w:r>
      <w:r>
        <w:rPr>
          <w:b/>
          <w:bCs/>
        </w:rPr>
        <w:t xml:space="preserve">in-house SOC</w:t>
      </w:r>
      <w:r>
        <w:t xml:space="preserve"> </w:t>
      </w:r>
      <w:r>
        <w:t xml:space="preserve">หรือ</w:t>
      </w:r>
      <w:r>
        <w:t xml:space="preserve"> </w:t>
      </w:r>
      <w:r>
        <w:rPr>
          <w:b/>
          <w:bCs/>
        </w:rPr>
        <w:t xml:space="preserve">MSSP (co-managed SOC)</w:t>
      </w:r>
      <w:r>
        <w:t xml:space="preserve"> </w:t>
      </w:r>
      <w:r>
        <w:t xml:space="preserve">— เอกสารนี้ตั้งสมมติฐานเป็น</w:t>
      </w:r>
      <w:r>
        <w:t xml:space="preserve"> </w:t>
      </w:r>
      <w:r>
        <w:rPr>
          <w:b/>
          <w:bCs/>
        </w:rPr>
        <w:t xml:space="preserve">hybrid</w:t>
      </w:r>
      <w:r>
        <w:t xml:space="preserve">: SIEM/analytics อยู่ในไทย (data residency) + MSSP เสริมเวรกลางคืน; ต้องระบุชื่อผู้ให้บริการจริงก่อนยื่น</w:t>
      </w:r>
    </w:p>
    <w:bookmarkEnd w:id="462"/>
    <w:bookmarkStart w:id="463" w:name="logging-สอดคลอง-pci-req-10"/>
    <w:p>
      <w:pPr>
        <w:pStyle w:val="Heading3"/>
      </w:pPr>
      <w:r>
        <w:t xml:space="preserve">4.2 Logging (สอดคล้อง PCI Req 10)</w:t>
      </w:r>
    </w:p>
    <w:p>
      <w:pPr>
        <w:pStyle w:val="Compact"/>
        <w:numPr>
          <w:ilvl w:val="0"/>
          <w:numId w:val="1182"/>
        </w:numPr>
      </w:pPr>
      <w:r>
        <w:t xml:space="preserve">เก็บ audit log ของทุก access ถึง CHD, ทุก admin action, ทุก authentication (สำเร็จ/ล้มเหลว), การเปลี่ยนแปลง config/สิทธิ์</w:t>
      </w:r>
    </w:p>
    <w:p>
      <w:pPr>
        <w:pStyle w:val="Compact"/>
        <w:numPr>
          <w:ilvl w:val="0"/>
          <w:numId w:val="1182"/>
        </w:numPr>
      </w:pPr>
      <w:r>
        <w:t xml:space="preserve">ตั้งเวลาให้ตรงกันด้วย</w:t>
      </w:r>
      <w:r>
        <w:t xml:space="preserve"> </w:t>
      </w:r>
      <w:r>
        <w:rPr>
          <w:b/>
          <w:bCs/>
        </w:rPr>
        <w:t xml:space="preserve">NTP</w:t>
      </w:r>
      <w:r>
        <w:t xml:space="preserve"> </w:t>
      </w:r>
      <w:r>
        <w:t xml:space="preserve">(Req 10.6) และ</w:t>
      </w:r>
      <w:r>
        <w:t xml:space="preserve"> </w:t>
      </w:r>
      <w:r>
        <w:rPr>
          <w:b/>
          <w:bCs/>
        </w:rPr>
        <w:t xml:space="preserve">ป้องกัน log ถูกแก้ไข</w:t>
      </w:r>
      <w:r>
        <w:t xml:space="preserve"> </w:t>
      </w:r>
      <w:r>
        <w:t xml:space="preserve">(write-once / append-only, ส่งไป log server แยก segment)</w:t>
      </w:r>
    </w:p>
    <w:p>
      <w:pPr>
        <w:pStyle w:val="Compact"/>
        <w:numPr>
          <w:ilvl w:val="0"/>
          <w:numId w:val="1182"/>
        </w:numPr>
      </w:pPr>
      <w:r>
        <w:rPr>
          <w:b/>
          <w:bCs/>
        </w:rPr>
        <w:t xml:space="preserve">ระยะเก็บ log:</w:t>
      </w:r>
      <w:r>
        <w:t xml:space="preserve"> </w:t>
      </w:r>
      <w:r>
        <w:t xml:space="preserve">อย่างน้อย</w:t>
      </w:r>
      <w:r>
        <w:t xml:space="preserve"> </w:t>
      </w:r>
      <w:r>
        <w:rPr>
          <w:b/>
          <w:bCs/>
        </w:rPr>
        <w:t xml:space="preserve">12 เดือน</w:t>
      </w:r>
      <w:r>
        <w:t xml:space="preserve"> </w:t>
      </w:r>
      <w:r>
        <w:t xml:space="preserve">โดย</w:t>
      </w:r>
      <w:r>
        <w:t xml:space="preserve"> </w:t>
      </w:r>
      <w:r>
        <w:rPr>
          <w:b/>
          <w:bCs/>
        </w:rPr>
        <w:t xml:space="preserve">3 เดือนล่าสุดพร้อมเรียกดูทันที (immediately available)</w:t>
      </w:r>
      <w:r>
        <w:t xml:space="preserve"> </w:t>
      </w:r>
      <w:r>
        <w:t xml:space="preserve">ตาม PCI Req 10.5.1</w:t>
      </w:r>
    </w:p>
    <w:p>
      <w:pPr>
        <w:pStyle w:val="Compact"/>
        <w:numPr>
          <w:ilvl w:val="0"/>
          <w:numId w:val="1182"/>
        </w:numPr>
      </w:pPr>
      <w:r>
        <w:rPr>
          <w:b/>
          <w:bCs/>
        </w:rPr>
        <w:t xml:space="preserve">ห้าม log ข้อมูลบัตร</w:t>
      </w:r>
      <w:r>
        <w:t xml:space="preserve"> </w:t>
      </w:r>
      <w:r>
        <w:t xml:space="preserve">— ไม่ log PAN เต็ม, CVV, track data, PIN (สอดคล้อง ARCHITECTURE.md §7)</w:t>
      </w:r>
    </w:p>
    <w:bookmarkEnd w:id="463"/>
    <w:bookmarkStart w:id="464" w:name="siem-detection"/>
    <w:p>
      <w:pPr>
        <w:pStyle w:val="Heading3"/>
      </w:pPr>
      <w:r>
        <w:t xml:space="preserve">4.3 SIEM &amp; Detection</w:t>
      </w:r>
    </w:p>
    <w:p>
      <w:pPr>
        <w:pStyle w:val="Compact"/>
        <w:numPr>
          <w:ilvl w:val="0"/>
          <w:numId w:val="1183"/>
        </w:numPr>
      </w:pPr>
      <w:r>
        <w:t xml:space="preserve">SIEM รวม log จาก WAF, IDS/IPS, firewall, application (Go/Fiber structured JSON log), database, HSM/KMS, cloud audit</w:t>
      </w:r>
    </w:p>
    <w:p>
      <w:pPr>
        <w:pStyle w:val="Compact"/>
        <w:numPr>
          <w:ilvl w:val="0"/>
          <w:numId w:val="1183"/>
        </w:numPr>
      </w:pPr>
      <w:r>
        <w:rPr>
          <w:b/>
          <w:bCs/>
        </w:rPr>
        <w:t xml:space="preserve">File Integrity Monitoring (FIM)</w:t>
      </w:r>
      <w:r>
        <w:t xml:space="preserve"> </w:t>
      </w:r>
      <w:r>
        <w:t xml:space="preserve">บนไฟล์สำคัญ (PCI Req 11.5) — แจ้งเตือนเมื่อมีการเปลี่ยนแปลงที่ไม่ได้รับอนุมัติ</w:t>
      </w:r>
    </w:p>
    <w:p>
      <w:pPr>
        <w:pStyle w:val="Compact"/>
        <w:numPr>
          <w:ilvl w:val="0"/>
          <w:numId w:val="1183"/>
        </w:numPr>
      </w:pPr>
      <w:r>
        <w:t xml:space="preserve">Detection rule ตาม</w:t>
      </w:r>
      <w:r>
        <w:t xml:space="preserve"> </w:t>
      </w:r>
      <w:r>
        <w:rPr>
          <w:b/>
          <w:bCs/>
        </w:rPr>
        <w:t xml:space="preserve">MITRE ATT&amp;CK</w:t>
      </w:r>
      <w:r>
        <w:t xml:space="preserve"> </w:t>
      </w:r>
      <w:r>
        <w:t xml:space="preserve">— ครอบคลุมอย่างน้อย: brute force, privilege escalation, data exfiltration, anomalous DB query, การเข้าถึง vault นอกเวลาปกติ</w:t>
      </w:r>
    </w:p>
    <w:bookmarkEnd w:id="464"/>
    <w:bookmarkStart w:id="465" w:name="sla-การตอบสนองตอ-alert"/>
    <w:p>
      <w:pPr>
        <w:pStyle w:val="Heading3"/>
      </w:pPr>
      <w:r>
        <w:t xml:space="preserve">4.4 SLA การตอบสนองต่อ Alert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ความรุนแรง</w:t>
            </w:r>
          </w:p>
        </w:tc>
        <w:tc>
          <w:tcPr/>
          <w:p>
            <w:pPr>
              <w:pStyle w:val="Compact"/>
            </w:pPr>
            <w:r>
              <w:t xml:space="preserve">เวลาตอบรับ (MTTA)</w:t>
            </w:r>
          </w:p>
        </w:tc>
        <w:tc>
          <w:tcPr/>
          <w:p>
            <w:pPr>
              <w:pStyle w:val="Compact"/>
            </w:pPr>
            <w:r>
              <w:t xml:space="preserve">เวลาเริ่ม containment</w:t>
            </w:r>
          </w:p>
        </w:tc>
        <w:tc>
          <w:tcPr/>
          <w:p>
            <w:pPr>
              <w:pStyle w:val="Compact"/>
            </w:pPr>
            <w:r>
              <w:t xml:space="preserve">ช่องทาง</w:t>
            </w:r>
          </w:p>
        </w:tc>
      </w:tr>
      <w:tr>
        <w:tc>
          <w:tcPr/>
          <w:p>
            <w:pPr>
              <w:pStyle w:val="Compact"/>
            </w:pPr>
            <w:r>
              <w:rPr>
                <w:b/>
                <w:bCs/>
              </w:rPr>
              <w:t xml:space="preserve">P1 Critical</w:t>
            </w:r>
          </w:p>
        </w:tc>
        <w:tc>
          <w:tcPr/>
          <w:p>
            <w:pPr>
              <w:pStyle w:val="Compact"/>
            </w:pPr>
            <w:r>
              <w:t xml:space="preserve">≤ 15 นาที</w:t>
            </w:r>
          </w:p>
        </w:tc>
        <w:tc>
          <w:tcPr/>
          <w:p>
            <w:pPr>
              <w:pStyle w:val="Compact"/>
            </w:pPr>
            <w:r>
              <w:t xml:space="preserve">≤ 1 ชม.</w:t>
            </w:r>
          </w:p>
        </w:tc>
        <w:tc>
          <w:tcPr/>
          <w:p>
            <w:pPr>
              <w:pStyle w:val="Compact"/>
            </w:pPr>
            <w:r>
              <w:t xml:space="preserve">on-call page + โทร IRM</w:t>
            </w:r>
          </w:p>
        </w:tc>
      </w:tr>
      <w:tr>
        <w:tc>
          <w:tcPr/>
          <w:p>
            <w:pPr>
              <w:pStyle w:val="Compact"/>
            </w:pPr>
            <w:r>
              <w:rPr>
                <w:b/>
                <w:bCs/>
              </w:rPr>
              <w:t xml:space="preserve">P2 High</w:t>
            </w:r>
          </w:p>
        </w:tc>
        <w:tc>
          <w:tcPr/>
          <w:p>
            <w:pPr>
              <w:pStyle w:val="Compact"/>
            </w:pPr>
            <w:r>
              <w:t xml:space="preserve">≤ 30 นาที</w:t>
            </w:r>
          </w:p>
        </w:tc>
        <w:tc>
          <w:tcPr/>
          <w:p>
            <w:pPr>
              <w:pStyle w:val="Compact"/>
            </w:pPr>
            <w:r>
              <w:t xml:space="preserve">≤ 4 ชม.</w:t>
            </w:r>
          </w:p>
        </w:tc>
        <w:tc>
          <w:tcPr/>
          <w:p>
            <w:pPr>
              <w:pStyle w:val="Compact"/>
            </w:pPr>
            <w:r>
              <w:t xml:space="preserve">on-call + ticket</w:t>
            </w:r>
          </w:p>
        </w:tc>
      </w:tr>
      <w:tr>
        <w:tc>
          <w:tcPr/>
          <w:p>
            <w:pPr>
              <w:pStyle w:val="Compact"/>
            </w:pPr>
            <w:r>
              <w:rPr>
                <w:b/>
                <w:bCs/>
              </w:rPr>
              <w:t xml:space="preserve">P3 Medium</w:t>
            </w:r>
          </w:p>
        </w:tc>
        <w:tc>
          <w:tcPr/>
          <w:p>
            <w:pPr>
              <w:pStyle w:val="Compact"/>
            </w:pPr>
            <w:r>
              <w:t xml:space="preserve">≤ 4 ชม.</w:t>
            </w:r>
          </w:p>
        </w:tc>
        <w:tc>
          <w:tcPr/>
          <w:p>
            <w:pPr>
              <w:pStyle w:val="Compact"/>
            </w:pPr>
            <w:r>
              <w:t xml:space="preserve">≤ 24 ชม.</w:t>
            </w:r>
          </w:p>
        </w:tc>
        <w:tc>
          <w:tcPr/>
          <w:p>
            <w:pPr>
              <w:pStyle w:val="Compact"/>
            </w:pPr>
            <w:r>
              <w:t xml:space="preserve">ticket</w:t>
            </w:r>
          </w:p>
        </w:tc>
      </w:tr>
      <w:tr>
        <w:tc>
          <w:tcPr/>
          <w:p>
            <w:pPr>
              <w:pStyle w:val="Compact"/>
            </w:pPr>
            <w:r>
              <w:rPr>
                <w:b/>
                <w:bCs/>
              </w:rPr>
              <w:t xml:space="preserve">P4 Low</w:t>
            </w:r>
          </w:p>
        </w:tc>
        <w:tc>
          <w:tcPr/>
          <w:p>
            <w:pPr>
              <w:pStyle w:val="Compact"/>
            </w:pPr>
            <w:r>
              <w:t xml:space="preserve">≤ 1 วันทำการ</w:t>
            </w:r>
          </w:p>
        </w:tc>
        <w:tc>
          <w:tcPr/>
          <w:p>
            <w:pPr>
              <w:pStyle w:val="Compact"/>
            </w:pPr>
            <w:r>
              <w:t xml:space="preserve">ตาม backlog</w:t>
            </w:r>
          </w:p>
        </w:tc>
        <w:tc>
          <w:tcPr/>
          <w:p>
            <w:pPr>
              <w:pStyle w:val="Compact"/>
            </w:pPr>
            <w:r>
              <w:t xml:space="preserve">ticket</w:t>
            </w:r>
          </w:p>
        </w:tc>
      </w:tr>
    </w:tbl>
    <w:p>
      <w:r>
        <w:pict>
          <v:rect style="width:0;height:1.5pt" o:hralign="center" o:hrstd="t" o:hr="t"/>
        </w:pict>
      </w:r>
    </w:p>
    <w:bookmarkEnd w:id="465"/>
    <w:bookmarkEnd w:id="466"/>
    <w:bookmarkStart w:id="470" w:name="X8b20baf49d84f3df23471f7ee733a1c3f87fe37"/>
    <w:p>
      <w:pPr>
        <w:pStyle w:val="Heading2"/>
      </w:pPr>
      <w:r>
        <w:t xml:space="preserve">5. เสาที่ 3 — การบริหารจัดการช่องโหว่ (Vulnerability Management)</w:t>
      </w:r>
    </w:p>
    <w:bookmarkStart w:id="467" w:name="กจกรรมและความถ"/>
    <w:p>
      <w:pPr>
        <w:pStyle w:val="Heading3"/>
      </w:pPr>
      <w:r>
        <w:t xml:space="preserve">5.1 กิจกรรมและความถี่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กิจกรรม</w:t>
            </w:r>
          </w:p>
        </w:tc>
        <w:tc>
          <w:tcPr/>
          <w:p>
            <w:pPr>
              <w:pStyle w:val="Compact"/>
            </w:pPr>
            <w:r>
              <w:t xml:space="preserve">ความถี่</w:t>
            </w:r>
          </w:p>
        </w:tc>
        <w:tc>
          <w:tcPr/>
          <w:p>
            <w:pPr>
              <w:pStyle w:val="Compact"/>
            </w:pPr>
            <w:r>
              <w:t xml:space="preserve">อ้างอิง</w:t>
            </w:r>
          </w:p>
        </w:tc>
      </w:tr>
      <w:tr>
        <w:tc>
          <w:tcPr/>
          <w:p>
            <w:pPr>
              <w:pStyle w:val="Compact"/>
            </w:pPr>
            <w:r>
              <w:rPr>
                <w:b/>
                <w:bCs/>
              </w:rPr>
              <w:t xml:space="preserve">Internal vulnerability scan</w:t>
            </w:r>
          </w:p>
        </w:tc>
        <w:tc>
          <w:tcPr/>
          <w:p>
            <w:pPr>
              <w:pStyle w:val="Compact"/>
            </w:pPr>
            <w:r>
              <w:t xml:space="preserve">อย่างน้อยทุก 3 เดือน + หลังการเปลี่ยนแปลงสำคัญ</w:t>
            </w:r>
          </w:p>
        </w:tc>
        <w:tc>
          <w:tcPr/>
          <w:p>
            <w:pPr>
              <w:pStyle w:val="Compact"/>
            </w:pPr>
            <w:r>
              <w:t xml:space="preserve">PCI Req 11.3.1</w:t>
            </w:r>
          </w:p>
        </w:tc>
      </w:tr>
      <w:tr>
        <w:tc>
          <w:tcPr/>
          <w:p>
            <w:pPr>
              <w:pStyle w:val="Compact"/>
            </w:pPr>
            <w:r>
              <w:rPr>
                <w:b/>
                <w:bCs/>
              </w:rPr>
              <w:t xml:space="preserve">External ASV scan</w:t>
            </w:r>
            <w:r>
              <w:t xml:space="preserve"> </w:t>
            </w:r>
            <w:r>
              <w:t xml:space="preserve">(ผู้ให้บริการที่ PCI SSC รับรอง)</w:t>
            </w:r>
          </w:p>
        </w:tc>
        <w:tc>
          <w:tcPr/>
          <w:p>
            <w:pPr>
              <w:pStyle w:val="Compact"/>
            </w:pPr>
            <w:r>
              <w:t xml:space="preserve">ทุกไตรมาส ต้องได้ผล</w:t>
            </w:r>
            <w:r>
              <w:t xml:space="preserve"> </w:t>
            </w:r>
            <w:r>
              <w:rPr>
                <w:b/>
                <w:bCs/>
              </w:rPr>
              <w:t xml:space="preserve">passing</w:t>
            </w:r>
          </w:p>
        </w:tc>
        <w:tc>
          <w:tcPr/>
          <w:p>
            <w:pPr>
              <w:pStyle w:val="Compact"/>
            </w:pPr>
            <w:r>
              <w:t xml:space="preserve">PCI Req 11.3.2</w:t>
            </w:r>
          </w:p>
        </w:tc>
      </w:tr>
      <w:tr>
        <w:tc>
          <w:tcPr/>
          <w:p>
            <w:pPr>
              <w:pStyle w:val="Compact"/>
            </w:pPr>
            <w:r>
              <w:rPr>
                <w:b/>
                <w:bCs/>
              </w:rPr>
              <w:t xml:space="preserve">Authenticated scan</w:t>
            </w:r>
          </w:p>
        </w:tc>
        <w:tc>
          <w:tcPr/>
          <w:p>
            <w:pPr>
              <w:pStyle w:val="Compact"/>
            </w:pPr>
            <w:r>
              <w:t xml:space="preserve">ทุก 3 เดือน</w:t>
            </w:r>
          </w:p>
        </w:tc>
        <w:tc>
          <w:tcPr/>
          <w:p>
            <w:pPr>
              <w:pStyle w:val="Compact"/>
            </w:pPr>
            <w:r>
              <w:t xml:space="preserve">PCI Req 11.3.1.1</w:t>
            </w:r>
          </w:p>
        </w:tc>
      </w:tr>
      <w:tr>
        <w:tc>
          <w:tcPr/>
          <w:p>
            <w:pPr>
              <w:pStyle w:val="Compact"/>
            </w:pPr>
            <w:r>
              <w:rPr>
                <w:b/>
                <w:bCs/>
              </w:rPr>
              <w:t xml:space="preserve">Dependency / SCA scan</w:t>
            </w:r>
            <w:r>
              <w:t xml:space="preserve"> </w:t>
            </w:r>
            <w:r>
              <w:t xml:space="preserve">(</w:t>
            </w:r>
            <w:r>
              <w:rPr>
                <w:rStyle w:val="VerbatimChar"/>
              </w:rPr>
              <w:t xml:space="preserve">govulncheck</w:t>
            </w:r>
            <w:r>
              <w:t xml:space="preserve">, SBOM)</w:t>
            </w:r>
          </w:p>
        </w:tc>
        <w:tc>
          <w:tcPr/>
          <w:p>
            <w:pPr>
              <w:pStyle w:val="Compact"/>
            </w:pPr>
            <w:r>
              <w:t xml:space="preserve">ทุก build ใน CI</w:t>
            </w:r>
          </w:p>
        </w:tc>
        <w:tc>
          <w:tcPr/>
          <w:p>
            <w:pPr>
              <w:pStyle w:val="Compact"/>
            </w:pPr>
            <w:r>
              <w:t xml:space="preserve">PCI Req 6.3.1</w:t>
            </w:r>
          </w:p>
        </w:tc>
      </w:tr>
      <w:tr>
        <w:tc>
          <w:tcPr/>
          <w:p>
            <w:pPr>
              <w:pStyle w:val="Compact"/>
            </w:pPr>
            <w:r>
              <w:rPr>
                <w:b/>
                <w:bCs/>
              </w:rPr>
              <w:t xml:space="preserve">SAST / DAST</w:t>
            </w:r>
          </w:p>
        </w:tc>
        <w:tc>
          <w:tcPr/>
          <w:p>
            <w:pPr>
              <w:pStyle w:val="Compact"/>
            </w:pPr>
            <w:r>
              <w:t xml:space="preserve">ทุก PR (SAST) / ทุก release (DAST)</w:t>
            </w:r>
          </w:p>
        </w:tc>
        <w:tc>
          <w:tcPr/>
          <w:p>
            <w:pPr>
              <w:pStyle w:val="Compact"/>
            </w:pPr>
            <w:r>
              <w:t xml:space="preserve">PCI Req 6.2.3</w:t>
            </w:r>
          </w:p>
        </w:tc>
      </w:tr>
      <w:tr>
        <w:tc>
          <w:tcPr/>
          <w:p>
            <w:pPr>
              <w:pStyle w:val="Compact"/>
            </w:pPr>
            <w:r>
              <w:rPr>
                <w:b/>
                <w:bCs/>
              </w:rPr>
              <w:t xml:space="preserve">Container image scan</w:t>
            </w:r>
          </w:p>
        </w:tc>
        <w:tc>
          <w:tcPr/>
          <w:p>
            <w:pPr>
              <w:pStyle w:val="Compact"/>
            </w:pPr>
            <w:r>
              <w:t xml:space="preserve">ทุก build (distroless base)</w:t>
            </w:r>
          </w:p>
        </w:tc>
        <w:tc>
          <w:tcPr/>
          <w:p>
            <w:pPr>
              <w:pStyle w:val="Compact"/>
            </w:pPr>
            <w:r>
              <w:t xml:space="preserve">PCI Req 6.3.1</w:t>
            </w:r>
          </w:p>
        </w:tc>
      </w:tr>
    </w:tbl>
    <w:bookmarkEnd w:id="467"/>
    <w:bookmarkStart w:id="468" w:name="sla-การแกไขชองโหว-patchremediation-sla"/>
    <w:p>
      <w:pPr>
        <w:pStyle w:val="Heading3"/>
      </w:pPr>
      <w:r>
        <w:t xml:space="preserve">5.2 SLA การแก้ไขช่องโหว่ (Patch/Remediation SLA)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ความรุนแรง (CVSS v3.1)</w:t>
            </w:r>
          </w:p>
        </w:tc>
        <w:tc>
          <w:tcPr/>
          <w:p>
            <w:pPr>
              <w:pStyle w:val="Compact"/>
            </w:pPr>
            <w:r>
              <w:t xml:space="preserve">SLA ในระบบ CDE</w:t>
            </w:r>
          </w:p>
        </w:tc>
        <w:tc>
          <w:tcPr/>
          <w:p>
            <w:pPr>
              <w:pStyle w:val="Compact"/>
            </w:pPr>
            <w:r>
              <w:t xml:space="preserve">SLA นอก CDE</w:t>
            </w:r>
          </w:p>
        </w:tc>
      </w:tr>
      <w:tr>
        <w:tc>
          <w:tcPr/>
          <w:p>
            <w:pPr>
              <w:pStyle w:val="Compact"/>
            </w:pPr>
            <w:r>
              <w:rPr>
                <w:b/>
                <w:bCs/>
              </w:rPr>
              <w:t xml:space="preserve">Critical (9.0–10.0)</w:t>
            </w:r>
          </w:p>
        </w:tc>
        <w:tc>
          <w:tcPr/>
          <w:p>
            <w:pPr>
              <w:pStyle w:val="Compact"/>
            </w:pPr>
            <w:r>
              <w:t xml:space="preserve">≤ 14 วัน (emergency patch ทันทีหากถูก exploit)</w:t>
            </w:r>
          </w:p>
        </w:tc>
        <w:tc>
          <w:tcPr/>
          <w:p>
            <w:pPr>
              <w:pStyle w:val="Compact"/>
            </w:pPr>
            <w:r>
              <w:t xml:space="preserve">≤ 30 วัน</w:t>
            </w:r>
          </w:p>
        </w:tc>
      </w:tr>
      <w:tr>
        <w:tc>
          <w:tcPr/>
          <w:p>
            <w:pPr>
              <w:pStyle w:val="Compact"/>
            </w:pPr>
            <w:r>
              <w:rPr>
                <w:b/>
                <w:bCs/>
              </w:rPr>
              <w:t xml:space="preserve">High (7.0–8.9)</w:t>
            </w:r>
          </w:p>
        </w:tc>
        <w:tc>
          <w:tcPr/>
          <w:p>
            <w:pPr>
              <w:pStyle w:val="Compact"/>
            </w:pPr>
            <w:r>
              <w:t xml:space="preserve">≤ 30 วัน</w:t>
            </w:r>
          </w:p>
        </w:tc>
        <w:tc>
          <w:tcPr/>
          <w:p>
            <w:pPr>
              <w:pStyle w:val="Compact"/>
            </w:pPr>
            <w:r>
              <w:t xml:space="preserve">≤ 60 วัน</w:t>
            </w:r>
          </w:p>
        </w:tc>
      </w:tr>
      <w:tr>
        <w:tc>
          <w:tcPr/>
          <w:p>
            <w:pPr>
              <w:pStyle w:val="Compact"/>
            </w:pPr>
            <w:r>
              <w:rPr>
                <w:b/>
                <w:bCs/>
              </w:rPr>
              <w:t xml:space="preserve">Medium (4.0–6.9)</w:t>
            </w:r>
          </w:p>
        </w:tc>
        <w:tc>
          <w:tcPr/>
          <w:p>
            <w:pPr>
              <w:pStyle w:val="Compact"/>
            </w:pPr>
            <w:r>
              <w:t xml:space="preserve">≤ 90 วัน</w:t>
            </w:r>
          </w:p>
        </w:tc>
        <w:tc>
          <w:tcPr/>
          <w:p>
            <w:pPr>
              <w:pStyle w:val="Compact"/>
            </w:pPr>
            <w:r>
              <w:t xml:space="preserve">≤ 90 วัน</w:t>
            </w:r>
          </w:p>
        </w:tc>
      </w:tr>
      <w:tr>
        <w:tc>
          <w:tcPr/>
          <w:p>
            <w:pPr>
              <w:pStyle w:val="Compact"/>
            </w:pPr>
            <w:r>
              <w:rPr>
                <w:b/>
                <w:bCs/>
              </w:rPr>
              <w:t xml:space="preserve">Low (0.1–3.9)</w:t>
            </w:r>
          </w:p>
        </w:tc>
        <w:tc>
          <w:tcPr/>
          <w:p>
            <w:pPr>
              <w:pStyle w:val="Compact"/>
            </w:pPr>
            <w:r>
              <w:t xml:space="preserve">ตาม risk-based (Req 6.3.3)</w:t>
            </w:r>
          </w:p>
        </w:tc>
        <w:tc>
          <w:tcPr/>
          <w:p>
            <w:pPr>
              <w:pStyle w:val="Compact"/>
            </w:pPr>
            <w:r>
              <w:t xml:space="preserve">ตาม backlog</w:t>
            </w:r>
          </w:p>
        </w:tc>
      </w:tr>
    </w:tbl>
    <w:p>
      <w:pPr>
        <w:pStyle w:val="BlockText"/>
      </w:pPr>
      <w:r>
        <w:t xml:space="preserve">การจัดลำดับความรุนแรงใช้</w:t>
      </w:r>
      <w:r>
        <w:t xml:space="preserve"> </w:t>
      </w:r>
      <w:r>
        <w:rPr>
          <w:b/>
          <w:bCs/>
        </w:rPr>
        <w:t xml:space="preserve">risk ranking</w:t>
      </w:r>
      <w:r>
        <w:t xml:space="preserve"> </w:t>
      </w:r>
      <w:r>
        <w:t xml:space="preserve">ตาม PCI Req 6.3.1 (พิจารณา CVSS + exploitability + ตำแหน่งใน CDE) หากไม่สามารถ patch ในเวลาได้ ต้องมี</w:t>
      </w:r>
      <w:r>
        <w:t xml:space="preserve"> </w:t>
      </w:r>
      <w:r>
        <w:rPr>
          <w:b/>
          <w:bCs/>
        </w:rPr>
        <w:t xml:space="preserve">compensating control</w:t>
      </w:r>
      <w:r>
        <w:t xml:space="preserve"> </w:t>
      </w:r>
      <w:r>
        <w:t xml:space="preserve">ที่บันทึกและอนุมัติโดย CISO</w:t>
      </w:r>
    </w:p>
    <w:bookmarkEnd w:id="468"/>
    <w:bookmarkStart w:id="469" w:name="secure-development-ssdlc"/>
    <w:p>
      <w:pPr>
        <w:pStyle w:val="Heading3"/>
      </w:pPr>
      <w:r>
        <w:t xml:space="preserve">5.3 Secure Development (SSDLC)</w:t>
      </w:r>
    </w:p>
    <w:p>
      <w:pPr>
        <w:pStyle w:val="Compact"/>
        <w:numPr>
          <w:ilvl w:val="0"/>
          <w:numId w:val="1184"/>
        </w:numPr>
      </w:pPr>
      <w:r>
        <w:t xml:space="preserve">Peer review ทุก PR, secret scanning ใน pre-commit + CI (ป้องกันคีย์หลุดตาม ARCHITECTURE.md §7)</w:t>
      </w:r>
    </w:p>
    <w:p>
      <w:pPr>
        <w:pStyle w:val="Compact"/>
        <w:numPr>
          <w:ilvl w:val="0"/>
          <w:numId w:val="1184"/>
        </w:numPr>
      </w:pPr>
      <w:r>
        <w:t xml:space="preserve">เทคนิคป้องกันตาม OWASP Top 10 / OWASP ASVS — parameterized SQL (sqlc), input validation, rate limit, idempotency</w:t>
      </w:r>
    </w:p>
    <w:p>
      <w:pPr>
        <w:pStyle w:val="Compact"/>
        <w:numPr>
          <w:ilvl w:val="0"/>
          <w:numId w:val="1184"/>
        </w:numPr>
      </w:pPr>
      <w:r>
        <w:t xml:space="preserve">แยก key management ผ่าน HSM/KMS, ไม่มีคีย์ในโค้ด/คอนฟิก (PCI Req 3, 6)</w:t>
      </w:r>
    </w:p>
    <w:p>
      <w:r>
        <w:pict>
          <v:rect style="width:0;height:1.5pt" o:hralign="center" o:hrstd="t" o:hr="t"/>
        </w:pict>
      </w:r>
    </w:p>
    <w:bookmarkEnd w:id="469"/>
    <w:bookmarkEnd w:id="470"/>
    <w:bookmarkStart w:id="473" w:name="เสาท-4-การทดสอบเจาะระบบและ-red-team"/>
    <w:p>
      <w:pPr>
        <w:pStyle w:val="Heading2"/>
      </w:pPr>
      <w:r>
        <w:t xml:space="preserve">6. เสาที่ 4 — การทดสอบเจาะระบบและ Red Team</w:t>
      </w:r>
    </w:p>
    <w:bookmarkStart w:id="471" w:name="โปรแกรมทดสอบ"/>
    <w:p>
      <w:pPr>
        <w:pStyle w:val="Heading3"/>
      </w:pPr>
      <w:r>
        <w:t xml:space="preserve">6.1 โปรแกรมทดสอบ</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ประเภทการทดสอบ</w:t>
            </w:r>
          </w:p>
        </w:tc>
        <w:tc>
          <w:tcPr/>
          <w:p>
            <w:pPr>
              <w:pStyle w:val="Compact"/>
            </w:pPr>
            <w:r>
              <w:t xml:space="preserve">ความถี่</w:t>
            </w:r>
          </w:p>
        </w:tc>
        <w:tc>
          <w:tcPr/>
          <w:p>
            <w:pPr>
              <w:pStyle w:val="Compact"/>
            </w:pPr>
            <w:r>
              <w:t xml:space="preserve">ขอบเขต</w:t>
            </w:r>
          </w:p>
        </w:tc>
        <w:tc>
          <w:tcPr/>
          <w:p>
            <w:pPr>
              <w:pStyle w:val="Compact"/>
            </w:pPr>
            <w:r>
              <w:t xml:space="preserve">ผู้ดำเนินการ</w:t>
            </w:r>
          </w:p>
        </w:tc>
      </w:tr>
      <w:tr>
        <w:tc>
          <w:tcPr/>
          <w:p>
            <w:pPr>
              <w:pStyle w:val="Compact"/>
            </w:pPr>
            <w:r>
              <w:rPr>
                <w:b/>
                <w:bCs/>
              </w:rPr>
              <w:t xml:space="preserve">External penetration test</w:t>
            </w:r>
          </w:p>
        </w:tc>
        <w:tc>
          <w:tcPr/>
          <w:p>
            <w:pPr>
              <w:pStyle w:val="Compact"/>
            </w:pPr>
            <w:r>
              <w:t xml:space="preserve">อย่างน้อยปีละครั้ง + หลังเปลี่ยนแปลงสำคัญ</w:t>
            </w:r>
          </w:p>
        </w:tc>
        <w:tc>
          <w:tcPr/>
          <w:p>
            <w:pPr>
              <w:pStyle w:val="Compact"/>
            </w:pPr>
            <w:r>
              <w:t xml:space="preserve">perimeter, public API, 3DS flow</w:t>
            </w:r>
          </w:p>
        </w:tc>
        <w:tc>
          <w:tcPr/>
          <w:p>
            <w:pPr>
              <w:pStyle w:val="Compact"/>
            </w:pPr>
            <w:r>
              <w:t xml:space="preserve">ผู้ทดสอบอิสระ (PCI Req 11.4.3)</w:t>
            </w:r>
          </w:p>
        </w:tc>
      </w:tr>
      <w:tr>
        <w:tc>
          <w:tcPr/>
          <w:p>
            <w:pPr>
              <w:pStyle w:val="Compact"/>
            </w:pPr>
            <w:r>
              <w:rPr>
                <w:b/>
                <w:bCs/>
              </w:rPr>
              <w:t xml:space="preserve">Internal penetration test</w:t>
            </w:r>
          </w:p>
        </w:tc>
        <w:tc>
          <w:tcPr/>
          <w:p>
            <w:pPr>
              <w:pStyle w:val="Compact"/>
            </w:pPr>
            <w:r>
              <w:t xml:space="preserve">ปีละครั้ง</w:t>
            </w:r>
          </w:p>
        </w:tc>
        <w:tc>
          <w:tcPr/>
          <w:p>
            <w:pPr>
              <w:pStyle w:val="Compact"/>
            </w:pPr>
            <w:r>
              <w:t xml:space="preserve">segmentation, lateral movement</w:t>
            </w:r>
          </w:p>
        </w:tc>
        <w:tc>
          <w:tcPr/>
          <w:p>
            <w:pPr>
              <w:pStyle w:val="Compact"/>
            </w:pPr>
            <w:r>
              <w:t xml:space="preserve">ทีมภายใน/บุคคลภายนอก (Req 11.4.2)</w:t>
            </w:r>
          </w:p>
        </w:tc>
      </w:tr>
      <w:tr>
        <w:tc>
          <w:tcPr/>
          <w:p>
            <w:pPr>
              <w:pStyle w:val="Compact"/>
            </w:pPr>
            <w:r>
              <w:rPr>
                <w:b/>
                <w:bCs/>
              </w:rPr>
              <w:t xml:space="preserve">Segmentation test</w:t>
            </w:r>
          </w:p>
        </w:tc>
        <w:tc>
          <w:tcPr/>
          <w:p>
            <w:pPr>
              <w:pStyle w:val="Compact"/>
            </w:pPr>
            <w:r>
              <w:t xml:space="preserve">อย่างน้อยทุก 6 เดือน</w:t>
            </w:r>
          </w:p>
        </w:tc>
        <w:tc>
          <w:tcPr/>
          <w:p>
            <w:pPr>
              <w:pStyle w:val="Compact"/>
            </w:pPr>
            <w:r>
              <w:t xml:space="preserve">พิสูจน์ว่า CDE ถูกแยกจริง</w:t>
            </w:r>
          </w:p>
        </w:tc>
        <w:tc>
          <w:tcPr/>
          <w:p>
            <w:pPr>
              <w:pStyle w:val="Compact"/>
            </w:pPr>
            <w:r>
              <w:t xml:space="preserve">Req 11.4.5</w:t>
            </w:r>
          </w:p>
        </w:tc>
      </w:tr>
      <w:tr>
        <w:tc>
          <w:tcPr/>
          <w:p>
            <w:pPr>
              <w:pStyle w:val="Compact"/>
            </w:pPr>
            <w:r>
              <w:rPr>
                <w:b/>
                <w:bCs/>
              </w:rPr>
              <w:t xml:space="preserve">Red team exercise</w:t>
            </w:r>
          </w:p>
        </w:tc>
        <w:tc>
          <w:tcPr/>
          <w:p>
            <w:pPr>
              <w:pStyle w:val="Compact"/>
            </w:pPr>
            <w:r>
              <w:t xml:space="preserve">ปีละครั้ง (objective-based)</w:t>
            </w:r>
          </w:p>
        </w:tc>
        <w:tc>
          <w:tcPr/>
          <w:p>
            <w:pPr>
              <w:pStyle w:val="Compact"/>
            </w:pPr>
            <w:r>
              <w:t xml:space="preserve">จำลอง APT: จาก phishing → CHD</w:t>
            </w:r>
          </w:p>
        </w:tc>
        <w:tc>
          <w:tcPr/>
          <w:p>
            <w:pPr>
              <w:pStyle w:val="Compact"/>
            </w:pPr>
            <w:r>
              <w:t xml:space="preserve">Red team อิสระ</w:t>
            </w:r>
          </w:p>
        </w:tc>
      </w:tr>
      <w:tr>
        <w:tc>
          <w:tcPr/>
          <w:p>
            <w:pPr>
              <w:pStyle w:val="Compact"/>
            </w:pPr>
            <w:r>
              <w:rPr>
                <w:b/>
                <w:bCs/>
              </w:rPr>
              <w:t xml:space="preserve">Purple team</w:t>
            </w:r>
          </w:p>
        </w:tc>
        <w:tc>
          <w:tcPr/>
          <w:p>
            <w:pPr>
              <w:pStyle w:val="Compact"/>
            </w:pPr>
            <w:r>
              <w:t xml:space="preserve">ทุกไตรมาส</w:t>
            </w:r>
          </w:p>
        </w:tc>
        <w:tc>
          <w:tcPr/>
          <w:p>
            <w:pPr>
              <w:pStyle w:val="Compact"/>
            </w:pPr>
            <w:r>
              <w:t xml:space="preserve">ปรับ detection rule ร่วมกับ SOC</w:t>
            </w:r>
          </w:p>
        </w:tc>
        <w:tc>
          <w:tcPr/>
          <w:p>
            <w:pPr>
              <w:pStyle w:val="Compact"/>
            </w:pPr>
            <w:r>
              <w:t xml:space="preserve">Red + Blue team</w:t>
            </w:r>
          </w:p>
        </w:tc>
      </w:tr>
      <w:tr>
        <w:tc>
          <w:tcPr/>
          <w:p>
            <w:pPr>
              <w:pStyle w:val="Compact"/>
            </w:pPr>
            <w:r>
              <w:rPr>
                <w:b/>
                <w:bCs/>
              </w:rPr>
              <w:t xml:space="preserve">Breach &amp; Attack Simulation (BAS)</w:t>
            </w:r>
          </w:p>
        </w:tc>
        <w:tc>
          <w:tcPr/>
          <w:p>
            <w:pPr>
              <w:pStyle w:val="Compact"/>
            </w:pPr>
            <w:r>
              <w:t xml:space="preserve">ต่อเนื่อง (automated)</w:t>
            </w:r>
          </w:p>
        </w:tc>
        <w:tc>
          <w:tcPr/>
          <w:p>
            <w:pPr>
              <w:pStyle w:val="Compact"/>
            </w:pPr>
            <w:r>
              <w:t xml:space="preserve">ทดสอบ control ตาม MITRE ATT&amp;CK</w:t>
            </w:r>
          </w:p>
        </w:tc>
        <w:tc>
          <w:tcPr/>
          <w:p>
            <w:pPr>
              <w:pStyle w:val="Compact"/>
            </w:pPr>
            <w:r>
              <w:t xml:space="preserve">เครื่องมืออัตโนมัติ</w:t>
            </w:r>
          </w:p>
        </w:tc>
      </w:tr>
    </w:tbl>
    <w:bookmarkEnd w:id="471"/>
    <w:bookmarkStart w:id="472" w:name="หลกการ-red-team"/>
    <w:p>
      <w:pPr>
        <w:pStyle w:val="Heading3"/>
      </w:pPr>
      <w:r>
        <w:t xml:space="preserve">6.2 หลักการ Red Team</w:t>
      </w:r>
    </w:p>
    <w:p>
      <w:pPr>
        <w:pStyle w:val="Compact"/>
        <w:numPr>
          <w:ilvl w:val="0"/>
          <w:numId w:val="1185"/>
        </w:numPr>
      </w:pPr>
      <w:r>
        <w:t xml:space="preserve">ใช้แนวทาง</w:t>
      </w:r>
      <w:r>
        <w:t xml:space="preserve"> </w:t>
      </w:r>
      <w:r>
        <w:rPr>
          <w:b/>
          <w:bCs/>
        </w:rPr>
        <w:t xml:space="preserve">objective-based / TIBER-EU-style</w:t>
      </w:r>
      <w:r>
        <w:t xml:space="preserve"> </w:t>
      </w:r>
      <w:r>
        <w:t xml:space="preserve">— สมมติเป้าหมาย เช่น</w:t>
      </w:r>
      <w:r>
        <w:t xml:space="preserve"> </w:t>
      </w:r>
      <w:r>
        <w:t xml:space="preserve">“เข้าถึง token vault และดึง test PAN 100 รายการ”</w:t>
      </w:r>
      <w:r>
        <w:t xml:space="preserve"> </w:t>
      </w:r>
      <w:r>
        <w:t xml:space="preserve">โดยไม่ถูกตรวจจับ</w:t>
      </w:r>
    </w:p>
    <w:p>
      <w:pPr>
        <w:pStyle w:val="Compact"/>
        <w:numPr>
          <w:ilvl w:val="0"/>
          <w:numId w:val="1185"/>
        </w:numPr>
      </w:pPr>
      <w:r>
        <w:t xml:space="preserve">ช่องโหว่ที่พบต้อง exploit ให้เห็นจริง (Req 11.4.4) แล้ว</w:t>
      </w:r>
      <w:r>
        <w:t xml:space="preserve"> </w:t>
      </w:r>
      <w:r>
        <w:rPr>
          <w:b/>
          <w:bCs/>
        </w:rPr>
        <w:t xml:space="preserve">retest</w:t>
      </w:r>
      <w:r>
        <w:t xml:space="preserve"> </w:t>
      </w:r>
      <w:r>
        <w:t xml:space="preserve">หลัง remediation จนปิดได้</w:t>
      </w:r>
    </w:p>
    <w:p>
      <w:pPr>
        <w:pStyle w:val="Compact"/>
        <w:numPr>
          <w:ilvl w:val="0"/>
          <w:numId w:val="1185"/>
        </w:numPr>
      </w:pPr>
      <w:r>
        <w:t xml:space="preserve">รายงานสรุปเสนอ CISO และ Risk Committee พร้อม remediation timeline</w:t>
      </w:r>
    </w:p>
    <w:p>
      <w:pPr>
        <w:pStyle w:val="BlockText"/>
      </w:pPr>
      <w:r>
        <w:rPr>
          <w:b/>
          <w:bCs/>
        </w:rPr>
        <w:t xml:space="preserve">[TODO/ข้อสมมติ]</w:t>
      </w:r>
      <w:r>
        <w:t xml:space="preserve"> </w:t>
      </w:r>
      <w:r>
        <w:t xml:space="preserve">ต้องคัดเลือกผู้ให้บริการ pentest/red team ที่มีคุณสมบัติ (เช่น CREST/OSCP) และเป็นอิสระจากทีมพัฒนา ยังไม่ล็อกผู้ให้บริการจริง</w:t>
      </w:r>
    </w:p>
    <w:p>
      <w:r>
        <w:pict>
          <v:rect style="width:0;height:1.5pt" o:hralign="center" o:hrstd="t" o:hr="t"/>
        </w:pict>
      </w:r>
    </w:p>
    <w:bookmarkEnd w:id="472"/>
    <w:bookmarkEnd w:id="473"/>
    <w:bookmarkStart w:id="479" w:name="X4387657c9eec3eb36b61bb51cd36bbd15aa98ca"/>
    <w:p>
      <w:pPr>
        <w:pStyle w:val="Heading2"/>
      </w:pPr>
      <w:r>
        <w:t xml:space="preserve">7. เสาที่ 5 — การตอบสนองเหตุการณ์และการกู้คืน (Incident Response &amp; Recovery)</w:t>
      </w:r>
    </w:p>
    <w:bookmarkStart w:id="474" w:name="X6cc567cbaf70413772cb343b5e597cbc08b5361"/>
    <w:p>
      <w:pPr>
        <w:pStyle w:val="Heading3"/>
      </w:pPr>
      <w:r>
        <w:t xml:space="preserve">7.1 กระบวนการตอบสนองเหตุการณ์ (IR — ตาม NIST SP 800-61 &amp; PCI Req 12.10)</w:t>
      </w:r>
    </w:p>
    <w:p>
      <w:pPr>
        <w:pStyle w:val="FirstParagraph"/>
      </w:pPr>
      <w:r>
        <w:rPr>
          <w:b/>
          <w:bCs/>
        </w:rPr>
        <w:t xml:space="preserve">Prepare → Detect → Analyze → Contain → Eradicate → Recover → Post-incident review</w:t>
      </w:r>
    </w:p>
    <w:p>
      <w:pPr>
        <w:pStyle w:val="Compact"/>
        <w:numPr>
          <w:ilvl w:val="0"/>
          <w:numId w:val="1186"/>
        </w:numPr>
      </w:pPr>
      <w:r>
        <w:rPr>
          <w:b/>
          <w:bCs/>
        </w:rPr>
        <w:t xml:space="preserve">CSIRT</w:t>
      </w:r>
      <w:r>
        <w:t xml:space="preserve"> </w:t>
      </w:r>
      <w:r>
        <w:t xml:space="preserve">พร้อมเรียกใช้ 24×7 มี IRM เป็นผู้บัญชาการเหตุการณ์ (Incident Commander)</w:t>
      </w:r>
    </w:p>
    <w:p>
      <w:pPr>
        <w:pStyle w:val="Compact"/>
        <w:numPr>
          <w:ilvl w:val="0"/>
          <w:numId w:val="1186"/>
        </w:numPr>
      </w:pPr>
      <w:r>
        <w:t xml:space="preserve">Playbook เฉพาะเรื่อง:</w:t>
      </w:r>
      <w:r>
        <w:t xml:space="preserve"> </w:t>
      </w:r>
      <w:r>
        <w:rPr>
          <w:b/>
          <w:bCs/>
        </w:rPr>
        <w:t xml:space="preserve">ransomware, PAN/data breach, DDoS, account takeover, insider threat, third-party/supply-chain compromise</w:t>
      </w:r>
    </w:p>
    <w:p>
      <w:pPr>
        <w:pStyle w:val="Compact"/>
        <w:numPr>
          <w:ilvl w:val="0"/>
          <w:numId w:val="1186"/>
        </w:numPr>
      </w:pPr>
      <w:r>
        <w:rPr>
          <w:b/>
          <w:bCs/>
        </w:rPr>
        <w:t xml:space="preserve">ทดสอบ IR plan อย่างน้อยปีละครั้ง</w:t>
      </w:r>
      <w:r>
        <w:t xml:space="preserve"> </w:t>
      </w:r>
      <w:r>
        <w:t xml:space="preserve">(tabletop + technical drill) ตาม PCI Req 12.10.2</w:t>
      </w:r>
    </w:p>
    <w:bookmarkEnd w:id="474"/>
    <w:bookmarkStart w:id="475" w:name="หนาทการแจงเหต-regulatory-notification"/>
    <w:p>
      <w:pPr>
        <w:pStyle w:val="Heading3"/>
      </w:pPr>
      <w:r>
        <w:t xml:space="preserve">7.2 หน้าที่การแจ้งเหตุ (Regulatory Notification)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หน่วยงาน</w:t>
            </w:r>
          </w:p>
        </w:tc>
        <w:tc>
          <w:tcPr/>
          <w:p>
            <w:pPr>
              <w:pStyle w:val="Compact"/>
            </w:pPr>
            <w:r>
              <w:t xml:space="preserve">เหตุการณ์ที่ต้องแจ้ง</w:t>
            </w:r>
          </w:p>
        </w:tc>
        <w:tc>
          <w:tcPr/>
          <w:p>
            <w:pPr>
              <w:pStyle w:val="Compact"/>
            </w:pPr>
            <w:r>
              <w:t xml:space="preserve">กรอบเวลา</w:t>
            </w:r>
          </w:p>
        </w:tc>
      </w:tr>
      <w:tr>
        <w:tc>
          <w:tcPr/>
          <w:p>
            <w:pPr>
              <w:pStyle w:val="Compact"/>
            </w:pPr>
            <w:r>
              <w:rPr>
                <w:b/>
                <w:bCs/>
              </w:rPr>
              <w:t xml:space="preserve">ธปท.</w:t>
            </w:r>
          </w:p>
        </w:tc>
        <w:tc>
          <w:tcPr/>
          <w:p>
            <w:pPr>
              <w:pStyle w:val="Compact"/>
            </w:pPr>
            <w:r>
              <w:t xml:space="preserve">เหตุการณ์ไซเบอร์/IT ที่กระทบบริการชำระเงินอย่างมีนัยสำคัญ</w:t>
            </w:r>
          </w:p>
        </w:tc>
        <w:tc>
          <w:tcPr/>
          <w:p>
            <w:pPr>
              <w:pStyle w:val="Compact"/>
            </w:pPr>
            <w:r>
              <w:t xml:space="preserve">โดยเร็วตามหลักเกณฑ์ ธปท. (</w:t>
            </w:r>
            <w:r>
              <w:rPr>
                <w:b/>
                <w:bCs/>
              </w:rPr>
              <w:t xml:space="preserve">[TODO]</w:t>
            </w:r>
            <w:r>
              <w:t xml:space="preserve"> </w:t>
            </w:r>
            <w:r>
              <w:t xml:space="preserve">ยืนยันกรอบเวลาตามประกาศฉบับล่าสุด)</w:t>
            </w:r>
          </w:p>
        </w:tc>
      </w:tr>
      <w:tr>
        <w:tc>
          <w:tcPr/>
          <w:p>
            <w:pPr>
              <w:pStyle w:val="Compact"/>
            </w:pPr>
            <w:r>
              <w:rPr>
                <w:b/>
                <w:bCs/>
              </w:rPr>
              <w:t xml:space="preserve">PDPC</w:t>
            </w:r>
          </w:p>
        </w:tc>
        <w:tc>
          <w:tcPr/>
          <w:p>
            <w:pPr>
              <w:pStyle w:val="Compact"/>
            </w:pPr>
            <w:r>
              <w:t xml:space="preserve">เหตุละเมิดข้อมูลส่วนบุคคลที่เสี่ยงต่อสิทธิเสรีภาพบุคคล</w:t>
            </w:r>
          </w:p>
        </w:tc>
        <w:tc>
          <w:tcPr/>
          <w:p>
            <w:pPr>
              <w:pStyle w:val="Compact"/>
            </w:pPr>
            <w:r>
              <w:t xml:space="preserve">ภายใน</w:t>
            </w:r>
            <w:r>
              <w:t xml:space="preserve"> </w:t>
            </w:r>
            <w:r>
              <w:rPr>
                <w:b/>
                <w:bCs/>
              </w:rPr>
              <w:t xml:space="preserve">72 ชั่วโมง</w:t>
            </w:r>
            <w:r>
              <w:t xml:space="preserve"> </w:t>
            </w:r>
            <w:r>
              <w:t xml:space="preserve">(PDPA มาตรา 37(4))</w:t>
            </w:r>
          </w:p>
        </w:tc>
      </w:tr>
      <w:tr>
        <w:tc>
          <w:tcPr/>
          <w:p>
            <w:pPr>
              <w:pStyle w:val="Compact"/>
            </w:pPr>
            <w:r>
              <w:rPr>
                <w:b/>
                <w:bCs/>
              </w:rPr>
              <w:t xml:space="preserve">ปปง. (AMLO)</w:t>
            </w:r>
          </w:p>
        </w:tc>
        <w:tc>
          <w:tcPr/>
          <w:p>
            <w:pPr>
              <w:pStyle w:val="Compact"/>
            </w:pPr>
            <w:r>
              <w:t xml:space="preserve">หากเหตุการณ์เชื่อมโยงกับธุรกรรมต้องสงสัย/ฟอกเงิน</w:t>
            </w:r>
          </w:p>
        </w:tc>
        <w:tc>
          <w:tcPr/>
          <w:p>
            <w:pPr>
              <w:pStyle w:val="Compact"/>
            </w:pPr>
            <w:r>
              <w:t xml:space="preserve">ตามหลักเกณฑ์ ปปง.</w:t>
            </w:r>
          </w:p>
        </w:tc>
      </w:tr>
      <w:tr>
        <w:tc>
          <w:tcPr/>
          <w:p>
            <w:pPr>
              <w:pStyle w:val="Compact"/>
            </w:pPr>
            <w:r>
              <w:rPr>
                <w:b/>
                <w:bCs/>
              </w:rPr>
              <w:t xml:space="preserve">Card schemes / Sponsor bank</w:t>
            </w:r>
          </w:p>
        </w:tc>
        <w:tc>
          <w:tcPr/>
          <w:p>
            <w:pPr>
              <w:pStyle w:val="Compact"/>
            </w:pPr>
            <w:r>
              <w:t xml:space="preserve">สงสัยว่ามีการรั่วไหลของ account data (ADC)</w:t>
            </w:r>
          </w:p>
        </w:tc>
        <w:tc>
          <w:tcPr/>
          <w:p>
            <w:pPr>
              <w:pStyle w:val="Compact"/>
            </w:pPr>
            <w:r>
              <w:t xml:space="preserve">ตามข้อกำหนด scheme (มักภายใน 24–72 ชม.)</w:t>
            </w:r>
          </w:p>
        </w:tc>
      </w:tr>
      <w:tr>
        <w:tc>
          <w:tcPr/>
          <w:p>
            <w:pPr>
              <w:pStyle w:val="Compact"/>
            </w:pPr>
            <w:r>
              <w:rPr>
                <w:b/>
                <w:bCs/>
              </w:rPr>
              <w:t xml:space="preserve">สกมช./ThaiCERT</w:t>
            </w:r>
          </w:p>
        </w:tc>
        <w:tc>
          <w:tcPr/>
          <w:p>
            <w:pPr>
              <w:pStyle w:val="Compact"/>
            </w:pPr>
            <w:r>
              <w:t xml:space="preserve">หากเข้าข่าย CII ตาม พ.ร.บ. ไซเบอร์ฯ</w:t>
            </w:r>
          </w:p>
        </w:tc>
        <w:tc>
          <w:tcPr/>
          <w:p>
            <w:pPr>
              <w:pStyle w:val="Compact"/>
            </w:pPr>
            <w:r>
              <w:t xml:space="preserve">ตามกฎหมาย</w:t>
            </w:r>
          </w:p>
        </w:tc>
      </w:tr>
    </w:tbl>
    <w:bookmarkEnd w:id="475"/>
    <w:bookmarkStart w:id="476" w:name="เปาหมายการกคน-recovery-objectives"/>
    <w:p>
      <w:pPr>
        <w:pStyle w:val="Heading3"/>
      </w:pPr>
      <w:r>
        <w:t xml:space="preserve">7.3 เป้าหมายการกู้คืน (Recovery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ตัวชี้วัด</w:t>
            </w:r>
          </w:p>
        </w:tc>
        <w:tc>
          <w:tcPr/>
          <w:p>
            <w:pPr>
              <w:pStyle w:val="Compact"/>
            </w:pPr>
            <w:r>
              <w:t xml:space="preserve">เป้าหมาย</w:t>
            </w:r>
          </w:p>
        </w:tc>
        <w:tc>
          <w:tcPr/>
          <w:p>
            <w:pPr>
              <w:pStyle w:val="Compact"/>
            </w:pPr>
            <w:r>
              <w:t xml:space="preserve">อ้างอิง</w:t>
            </w:r>
          </w:p>
        </w:tc>
      </w:tr>
      <w:tr>
        <w:tc>
          <w:tcPr/>
          <w:p>
            <w:pPr>
              <w:pStyle w:val="Compact"/>
            </w:pPr>
            <w:r>
              <w:rPr>
                <w:b/>
                <w:bCs/>
              </w:rPr>
              <w:t xml:space="preserve">RPO</w:t>
            </w:r>
            <w:r>
              <w:t xml:space="preserve"> </w:t>
            </w:r>
            <w:r>
              <w:t xml:space="preserve">(จุดกู้คืนข้อมูล)</w:t>
            </w:r>
          </w:p>
        </w:tc>
        <w:tc>
          <w:tcPr/>
          <w:p>
            <w:pPr>
              <w:pStyle w:val="Compact"/>
            </w:pPr>
            <w:r>
              <w:t xml:space="preserve">≤ 5 นาที (streaming replica)</w:t>
            </w:r>
          </w:p>
        </w:tc>
        <w:tc>
          <w:tcPr/>
          <w:p>
            <w:pPr>
              <w:pStyle w:val="Compact"/>
            </w:pPr>
            <w:r>
              <w:t xml:space="preserve">ARCHITECTURE.md §8</w:t>
            </w:r>
          </w:p>
        </w:tc>
      </w:tr>
      <w:tr>
        <w:tc>
          <w:tcPr/>
          <w:p>
            <w:pPr>
              <w:pStyle w:val="Compact"/>
            </w:pPr>
            <w:r>
              <w:rPr>
                <w:b/>
                <w:bCs/>
              </w:rPr>
              <w:t xml:space="preserve">RTO</w:t>
            </w:r>
            <w:r>
              <w:t xml:space="preserve"> </w:t>
            </w:r>
            <w:r>
              <w:t xml:space="preserve">(เวลากู้คืนบริการ)</w:t>
            </w:r>
          </w:p>
        </w:tc>
        <w:tc>
          <w:tcPr/>
          <w:p>
            <w:pPr>
              <w:pStyle w:val="Compact"/>
            </w:pPr>
            <w:r>
              <w:t xml:space="preserve">≤ 30 นาที (payment core)</w:t>
            </w:r>
          </w:p>
        </w:tc>
        <w:tc>
          <w:tcPr/>
          <w:p>
            <w:pPr>
              <w:pStyle w:val="Compact"/>
            </w:pPr>
            <w:r>
              <w:t xml:space="preserve">ARCHITECTURE.md §8</w:t>
            </w:r>
          </w:p>
        </w:tc>
      </w:tr>
      <w:tr>
        <w:tc>
          <w:tcPr/>
          <w:p>
            <w:pPr>
              <w:pStyle w:val="Compact"/>
            </w:pPr>
            <w:r>
              <w:rPr>
                <w:b/>
                <w:bCs/>
              </w:rPr>
              <w:t xml:space="preserve">Availability</w:t>
            </w:r>
          </w:p>
        </w:tc>
        <w:tc>
          <w:tcPr/>
          <w:p>
            <w:pPr>
              <w:pStyle w:val="Compact"/>
            </w:pPr>
            <w:r>
              <w:t xml:space="preserve">≥ 99.95% (payment core)</w:t>
            </w:r>
          </w:p>
        </w:tc>
        <w:tc>
          <w:tcPr/>
          <w:p>
            <w:pPr>
              <w:pStyle w:val="Compact"/>
            </w:pPr>
            <w:r>
              <w:t xml:space="preserve">ARCHITECTURE.md §8</w:t>
            </w:r>
          </w:p>
        </w:tc>
      </w:tr>
    </w:tbl>
    <w:bookmarkEnd w:id="476"/>
    <w:bookmarkStart w:id="477" w:name="X2594a237c9e42e85a017c3cf62d13e714ecb478"/>
    <w:p>
      <w:pPr>
        <w:pStyle w:val="Heading3"/>
      </w:pPr>
      <w:r>
        <w:t xml:space="preserve">7.4 ความยืดหยุ่นด้านโครงสร้างพื้นฐาน (Infrastructure Resilience)</w:t>
      </w:r>
    </w:p>
    <w:p>
      <w:pPr>
        <w:pStyle w:val="Compact"/>
        <w:numPr>
          <w:ilvl w:val="0"/>
          <w:numId w:val="1187"/>
        </w:numPr>
      </w:pPr>
      <w:r>
        <w:t xml:space="preserve">Multi-AZ deployment ในไทย (data residency ตาม ธปท./PDPA) + DR site</w:t>
      </w:r>
    </w:p>
    <w:p>
      <w:pPr>
        <w:pStyle w:val="Compact"/>
        <w:numPr>
          <w:ilvl w:val="0"/>
          <w:numId w:val="1187"/>
        </w:numPr>
      </w:pPr>
      <w:r>
        <w:rPr>
          <w:b/>
          <w:bCs/>
        </w:rPr>
        <w:t xml:space="preserve">Immutable / air-gapped backup</w:t>
      </w:r>
      <w:r>
        <w:t xml:space="preserve"> </w:t>
      </w:r>
      <w:r>
        <w:t xml:space="preserve">และทดสอบ restore เป็นระยะ (ป้องกัน ransomware เข้ารหัส backup)</w:t>
      </w:r>
    </w:p>
    <w:p>
      <w:pPr>
        <w:pStyle w:val="Compact"/>
        <w:numPr>
          <w:ilvl w:val="0"/>
          <w:numId w:val="1187"/>
        </w:numPr>
      </w:pPr>
      <w:r>
        <w:rPr>
          <w:b/>
          <w:bCs/>
        </w:rPr>
        <w:t xml:space="preserve">DR drill / failover test อย่างน้อยปีละครั้ง</w:t>
      </w:r>
      <w:r>
        <w:t xml:space="preserve"> </w:t>
      </w:r>
      <w:r>
        <w:t xml:space="preserve">พร้อมบันทึกผลและ RTO/RPO ที่วัดได้จริง</w:t>
      </w:r>
    </w:p>
    <w:p>
      <w:pPr>
        <w:pStyle w:val="Compact"/>
        <w:numPr>
          <w:ilvl w:val="0"/>
          <w:numId w:val="1187"/>
        </w:numPr>
      </w:pPr>
      <w:r>
        <w:t xml:space="preserve">Ledger แบบ append-only (double-entry) เป็น source of truth สำหรับ reconciliation หลังกู้คืน (สอดคล้อง ARCHITECTURE.md §2)</w:t>
      </w:r>
    </w:p>
    <w:p>
      <w:pPr>
        <w:pStyle w:val="Compact"/>
        <w:numPr>
          <w:ilvl w:val="0"/>
          <w:numId w:val="1187"/>
        </w:numPr>
      </w:pPr>
      <w:r>
        <w:rPr>
          <w:b/>
          <w:bCs/>
        </w:rPr>
        <w:t xml:space="preserve">Fail closed</w:t>
      </w:r>
      <w:r>
        <w:t xml:space="preserve"> </w:t>
      </w:r>
      <w:r>
        <w:t xml:space="preserve">— เมื่อสถานะธุรกรรมไม่แน่นอน ถือว่ายังไม่สำเร็จ และ reconcile ภายหลัง</w:t>
      </w:r>
    </w:p>
    <w:bookmarkEnd w:id="477"/>
    <w:bookmarkStart w:id="478" w:name="ransomware-readiness-เฉพาะเรอง"/>
    <w:p>
      <w:pPr>
        <w:pStyle w:val="Heading3"/>
      </w:pPr>
      <w:r>
        <w:t xml:space="preserve">7.5 Ransomware Readiness (เฉพาะเรื่อง)</w:t>
      </w:r>
    </w:p>
    <w:p>
      <w:pPr>
        <w:pStyle w:val="Compact"/>
        <w:numPr>
          <w:ilvl w:val="0"/>
          <w:numId w:val="1188"/>
        </w:numPr>
      </w:pPr>
      <w:r>
        <w:t xml:space="preserve">ตรวจจับพฤติกรรมเข้ารหัสจำนวนมากผ่าน SIEM/EDR</w:t>
      </w:r>
    </w:p>
    <w:p>
      <w:pPr>
        <w:pStyle w:val="Compact"/>
        <w:numPr>
          <w:ilvl w:val="0"/>
          <w:numId w:val="1188"/>
        </w:numPr>
      </w:pPr>
      <w:r>
        <w:t xml:space="preserve">แยกส่วนเครือข่าย (segmentation) เพื่อจำกัดการแพร่กระจาย</w:t>
      </w:r>
    </w:p>
    <w:p>
      <w:pPr>
        <w:pStyle w:val="Compact"/>
        <w:numPr>
          <w:ilvl w:val="0"/>
          <w:numId w:val="1188"/>
        </w:numPr>
      </w:pPr>
      <w:r>
        <w:t xml:space="preserve">นโยบาย</w:t>
      </w:r>
      <w:r>
        <w:t xml:space="preserve"> </w:t>
      </w:r>
      <w:r>
        <w:rPr>
          <w:b/>
          <w:bCs/>
        </w:rPr>
        <w:t xml:space="preserve">ไม่จ่ายค่าไถ่เป็นทางเลือกแรก</w:t>
      </w:r>
      <w:r>
        <w:t xml:space="preserve"> </w:t>
      </w:r>
      <w:r>
        <w:t xml:space="preserve">— ยึดการกู้คืนจาก backup ที่สะอาด และประสานหน่วยงานบังคับใช้กฎหมาย</w:t>
      </w:r>
    </w:p>
    <w:p>
      <w:r>
        <w:pict>
          <v:rect style="width:0;height:1.5pt" o:hralign="center" o:hrstd="t" o:hr="t"/>
        </w:pict>
      </w:r>
    </w:p>
    <w:bookmarkEnd w:id="478"/>
    <w:bookmarkEnd w:id="479"/>
    <w:bookmarkStart w:id="480" w:name="ตวชวดและการทบทวน-metrics-kri-review"/>
    <w:p>
      <w:pPr>
        <w:pStyle w:val="Heading2"/>
      </w:pPr>
      <w:r>
        <w:t xml:space="preserve">8. ตัวชี้วัดและการทบทวน (Metrics, KRI &amp;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ตัวชี้วัด (KRI/KPI)</w:t>
            </w:r>
          </w:p>
        </w:tc>
        <w:tc>
          <w:tcPr/>
          <w:p>
            <w:pPr>
              <w:pStyle w:val="Compact"/>
            </w:pPr>
            <w:r>
              <w:t xml:space="preserve">เป้าหมาย</w:t>
            </w:r>
          </w:p>
        </w:tc>
      </w:tr>
      <w:tr>
        <w:tc>
          <w:tcPr/>
          <w:p>
            <w:pPr>
              <w:pStyle w:val="Compact"/>
            </w:pPr>
            <w:r>
              <w:t xml:space="preserve">MTTA (Critical alert)</w:t>
            </w:r>
          </w:p>
        </w:tc>
        <w:tc>
          <w:tcPr/>
          <w:p>
            <w:pPr>
              <w:pStyle w:val="Compact"/>
            </w:pPr>
            <w:r>
              <w:t xml:space="preserve">≤ 15 นาที</w:t>
            </w:r>
          </w:p>
        </w:tc>
      </w:tr>
      <w:tr>
        <w:tc>
          <w:tcPr/>
          <w:p>
            <w:pPr>
              <w:pStyle w:val="Compact"/>
            </w:pPr>
            <w:r>
              <w:t xml:space="preserve">MTTR (Critical incident)</w:t>
            </w:r>
          </w:p>
        </w:tc>
        <w:tc>
          <w:tcPr/>
          <w:p>
            <w:pPr>
              <w:pStyle w:val="Compact"/>
            </w:pPr>
            <w:r>
              <w:t xml:space="preserve">≤ 4 ชม.</w:t>
            </w:r>
          </w:p>
        </w:tc>
      </w:tr>
      <w:tr>
        <w:tc>
          <w:tcPr/>
          <w:p>
            <w:pPr>
              <w:pStyle w:val="Compact"/>
            </w:pPr>
            <w:r>
              <w:t xml:space="preserve">Critical patch ภายใน SLA</w:t>
            </w:r>
          </w:p>
        </w:tc>
        <w:tc>
          <w:tcPr/>
          <w:p>
            <w:pPr>
              <w:pStyle w:val="Compact"/>
            </w:pPr>
            <w:r>
              <w:t xml:space="preserve">≥ 95%</w:t>
            </w:r>
          </w:p>
        </w:tc>
      </w:tr>
      <w:tr>
        <w:tc>
          <w:tcPr/>
          <w:p>
            <w:pPr>
              <w:pStyle w:val="Compact"/>
            </w:pPr>
            <w:r>
              <w:t xml:space="preserve">ASV quarterly scan</w:t>
            </w:r>
          </w:p>
        </w:tc>
        <w:tc>
          <w:tcPr/>
          <w:p>
            <w:pPr>
              <w:pStyle w:val="Compact"/>
            </w:pPr>
            <w:r>
              <w:t xml:space="preserve">ผ่าน (passing) ทุกไตรมาส</w:t>
            </w:r>
          </w:p>
        </w:tc>
      </w:tr>
      <w:tr>
        <w:tc>
          <w:tcPr/>
          <w:p>
            <w:pPr>
              <w:pStyle w:val="Compact"/>
            </w:pPr>
            <w:r>
              <w:t xml:space="preserve">Coverage log ของ system ใน CDE</w:t>
            </w:r>
          </w:p>
        </w:tc>
        <w:tc>
          <w:tcPr/>
          <w:p>
            <w:pPr>
              <w:pStyle w:val="Compact"/>
            </w:pPr>
            <w:r>
              <w:t xml:space="preserve">100%</w:t>
            </w:r>
          </w:p>
        </w:tc>
      </w:tr>
      <w:tr>
        <w:tc>
          <w:tcPr/>
          <w:p>
            <w:pPr>
              <w:pStyle w:val="Compact"/>
            </w:pPr>
            <w:r>
              <w:t xml:space="preserve">ผลการทดสอบ DR drill</w:t>
            </w:r>
          </w:p>
        </w:tc>
        <w:tc>
          <w:tcPr/>
          <w:p>
            <w:pPr>
              <w:pStyle w:val="Compact"/>
            </w:pPr>
            <w:r>
              <w:t xml:space="preserve">ผ่านตาม RTO/RPO</w:t>
            </w:r>
          </w:p>
        </w:tc>
      </w:tr>
    </w:tbl>
    <w:p>
      <w:pPr>
        <w:pStyle w:val="Compact"/>
        <w:numPr>
          <w:ilvl w:val="0"/>
          <w:numId w:val="1189"/>
        </w:numPr>
      </w:pPr>
      <w:r>
        <w:rPr>
          <w:b/>
          <w:bCs/>
        </w:rPr>
        <w:t xml:space="preserve">ทบทวนแผนอย่างน้อยปีละครั้ง</w:t>
      </w:r>
      <w:r>
        <w:t xml:space="preserve"> </w:t>
      </w:r>
      <w:r>
        <w:t xml:space="preserve">และหลังเหตุการณ์สำคัญ / การเปลี่ยนแปลงกฎหมาย</w:t>
      </w:r>
    </w:p>
    <w:p>
      <w:pPr>
        <w:pStyle w:val="Compact"/>
        <w:numPr>
          <w:ilvl w:val="0"/>
          <w:numId w:val="1189"/>
        </w:numPr>
      </w:pPr>
      <w:r>
        <w:t xml:space="preserve">รายงานสถานะ cyber resilience ต่อ Risk Committee รายไตรมาส และต่อ Board รายปี</w:t>
      </w:r>
    </w:p>
    <w:p>
      <w:r>
        <w:pict>
          <v:rect style="width:0;height:1.5pt" o:hralign="center" o:hrstd="t" o:hr="t"/>
        </w:pict>
      </w:r>
    </w:p>
    <w:bookmarkEnd w:id="480"/>
    <w:bookmarkStart w:id="481" w:name="X862acac7bf1df335f2d3e88a1fa15283390871a"/>
    <w:p>
      <w:pPr>
        <w:pStyle w:val="Heading2"/>
      </w:pPr>
      <w:r>
        <w:t xml:space="preserve">9. รายการข้อสมมติและสิ่งที่ต้องดำเนินการ (Assumptions &amp; TODO)</w:t>
      </w:r>
    </w:p>
    <w:p>
      <w:pPr>
        <w:pStyle w:val="BlockText"/>
      </w:pPr>
      <w:r>
        <w:t xml:space="preserve">รวมประเด็นที่ยังพึ่งพาปัจจัยภายนอกและต้องปิดก่อนยื่นจริง</w:t>
      </w:r>
    </w:p>
    <w:p>
      <w:pPr>
        <w:pStyle w:val="Compact"/>
        <w:numPr>
          <w:ilvl w:val="0"/>
          <w:numId w:val="1190"/>
        </w:numPr>
      </w:pPr>
      <w:r>
        <w:rPr>
          <w:b/>
          <w:bCs/>
        </w:rPr>
        <w:t xml:space="preserve">[TODO]</w:t>
      </w:r>
      <w:r>
        <w:t xml:space="preserve"> </w:t>
      </w:r>
      <w:r>
        <w:t xml:space="preserve">เลือกและระบุชื่อ</w:t>
      </w:r>
      <w:r>
        <w:t xml:space="preserve"> </w:t>
      </w:r>
      <w:r>
        <w:rPr>
          <w:b/>
          <w:bCs/>
        </w:rPr>
        <w:t xml:space="preserve">QSA</w:t>
      </w:r>
      <w:r>
        <w:t xml:space="preserve"> </w:t>
      </w:r>
      <w:r>
        <w:t xml:space="preserve">ที่จะออก RoC</w:t>
      </w:r>
    </w:p>
    <w:p>
      <w:pPr>
        <w:pStyle w:val="Compact"/>
        <w:numPr>
          <w:ilvl w:val="0"/>
          <w:numId w:val="1190"/>
        </w:numPr>
      </w:pPr>
      <w:r>
        <w:rPr>
          <w:b/>
          <w:bCs/>
        </w:rPr>
        <w:t xml:space="preserve">[TODO]</w:t>
      </w:r>
      <w:r>
        <w:t xml:space="preserve"> </w:t>
      </w:r>
      <w:r>
        <w:t xml:space="preserve">ตัดสินใจ</w:t>
      </w:r>
      <w:r>
        <w:t xml:space="preserve"> </w:t>
      </w:r>
      <w:r>
        <w:rPr>
          <w:b/>
          <w:bCs/>
        </w:rPr>
        <w:t xml:space="preserve">in-house SOC vs MSSP</w:t>
      </w:r>
      <w:r>
        <w:t xml:space="preserve"> </w:t>
      </w:r>
      <w:r>
        <w:t xml:space="preserve">และระบุผู้ให้บริการ (พร้อมข้อตกลง data residency)</w:t>
      </w:r>
    </w:p>
    <w:p>
      <w:pPr>
        <w:pStyle w:val="Compact"/>
        <w:numPr>
          <w:ilvl w:val="0"/>
          <w:numId w:val="1190"/>
        </w:numPr>
      </w:pPr>
      <w:r>
        <w:rPr>
          <w:b/>
          <w:bCs/>
        </w:rPr>
        <w:t xml:space="preserve">[TODO]</w:t>
      </w:r>
      <w:r>
        <w:t xml:space="preserve"> </w:t>
      </w:r>
      <w:r>
        <w:t xml:space="preserve">เลือกผู้ให้บริการ</w:t>
      </w:r>
      <w:r>
        <w:t xml:space="preserve"> </w:t>
      </w:r>
      <w:r>
        <w:rPr>
          <w:b/>
          <w:bCs/>
        </w:rPr>
        <w:t xml:space="preserve">pentest / red team</w:t>
      </w:r>
      <w:r>
        <w:t xml:space="preserve"> </w:t>
      </w:r>
      <w:r>
        <w:t xml:space="preserve">อิสระที่มีใบรับรอง</w:t>
      </w:r>
    </w:p>
    <w:p>
      <w:pPr>
        <w:pStyle w:val="Compact"/>
        <w:numPr>
          <w:ilvl w:val="0"/>
          <w:numId w:val="1190"/>
        </w:numPr>
      </w:pPr>
      <w:r>
        <w:rPr>
          <w:b/>
          <w:bCs/>
        </w:rPr>
        <w:t xml:space="preserve">[TODO]</w:t>
      </w:r>
      <w:r>
        <w:t xml:space="preserve"> </w:t>
      </w:r>
      <w:r>
        <w:t xml:space="preserve">ยืนยันเลขที่/ปีของ</w:t>
      </w:r>
      <w:r>
        <w:t xml:space="preserve"> </w:t>
      </w:r>
      <w:r>
        <w:rPr>
          <w:b/>
          <w:bCs/>
        </w:rPr>
        <w:t xml:space="preserve">ประกาศ ธปท.</w:t>
      </w:r>
      <w:r>
        <w:t xml:space="preserve"> </w:t>
      </w:r>
      <w:r>
        <w:t xml:space="preserve">ด้าน IT Risk / Cyber Resilience ฉบับล่าสุด และกรอบเวลาการแจ้งเหตุ</w:t>
      </w:r>
    </w:p>
    <w:p>
      <w:pPr>
        <w:pStyle w:val="Compact"/>
        <w:numPr>
          <w:ilvl w:val="0"/>
          <w:numId w:val="1190"/>
        </w:numPr>
      </w:pPr>
      <w:r>
        <w:rPr>
          <w:b/>
          <w:bCs/>
        </w:rPr>
        <w:t xml:space="preserve">[TODO]</w:t>
      </w:r>
      <w:r>
        <w:t xml:space="preserve"> </w:t>
      </w:r>
      <w:r>
        <w:t xml:space="preserve">ยืนยันข้อกำหนดการแจ้งเหตุกับ</w:t>
      </w:r>
      <w:r>
        <w:t xml:space="preserve"> </w:t>
      </w:r>
      <w:r>
        <w:rPr>
          <w:b/>
          <w:bCs/>
        </w:rPr>
        <w:t xml:space="preserve">sponsor bank / card scheme</w:t>
      </w:r>
      <w:r>
        <w:t xml:space="preserve"> </w:t>
      </w:r>
      <w:r>
        <w:t xml:space="preserve">(ยังไม่สรุป sponsor bank)</w:t>
      </w:r>
    </w:p>
    <w:p>
      <w:pPr>
        <w:pStyle w:val="Compact"/>
        <w:numPr>
          <w:ilvl w:val="0"/>
          <w:numId w:val="1190"/>
        </w:numPr>
      </w:pPr>
      <w:r>
        <w:rPr>
          <w:b/>
          <w:bCs/>
        </w:rPr>
        <w:t xml:space="preserve">[ข้อสมมติ]</w:t>
      </w:r>
      <w:r>
        <w:t xml:space="preserve"> </w:t>
      </w:r>
      <w:r>
        <w:t xml:space="preserve">ทุนจดทะเบียนชำระแล้ว</w:t>
      </w:r>
      <w:r>
        <w:t xml:space="preserve"> </w:t>
      </w:r>
      <w:r>
        <w:rPr>
          <w:b/>
          <w:bCs/>
        </w:rPr>
        <w:t xml:space="preserve">50 ล้านบาท</w:t>
      </w:r>
      <w:r>
        <w:t xml:space="preserve"> </w:t>
      </w:r>
      <w:r>
        <w:t xml:space="preserve">(ต้องยืนยันตัวเลขจริงกับเอกสารเลขที่ 02)</w:t>
      </w:r>
    </w:p>
    <w:p>
      <w:pPr>
        <w:pStyle w:val="Compact"/>
        <w:numPr>
          <w:ilvl w:val="0"/>
          <w:numId w:val="1190"/>
        </w:numPr>
      </w:pPr>
      <w:r>
        <w:rPr>
          <w:b/>
          <w:bCs/>
        </w:rPr>
        <w:t xml:space="preserve">[TODO]</w:t>
      </w:r>
      <w:r>
        <w:t xml:space="preserve"> </w:t>
      </w:r>
      <w:r>
        <w:t xml:space="preserve">ประเมินสถานะ</w:t>
      </w:r>
      <w:r>
        <w:t xml:space="preserve"> </w:t>
      </w:r>
      <w:r>
        <w:rPr>
          <w:b/>
          <w:bCs/>
        </w:rPr>
        <w:t xml:space="preserve">CII</w:t>
      </w:r>
      <w:r>
        <w:t xml:space="preserve"> </w:t>
      </w:r>
      <w:r>
        <w:t xml:space="preserve">ตาม พ.ร.บ. ไซเบอร์ฯ</w:t>
      </w:r>
    </w:p>
    <w:p>
      <w:r>
        <w:pict>
          <v:rect style="width:0;height:1.5pt" o:hralign="center" o:hrstd="t" o:hr="t"/>
        </w:pict>
      </w:r>
    </w:p>
    <w:bookmarkEnd w:id="481"/>
    <w:bookmarkStart w:id="482" w:name="เอกสารทเกยวของ"/>
    <w:p>
      <w:pPr>
        <w:pStyle w:val="Heading2"/>
      </w:pPr>
      <w:r>
        <w:t xml:space="preserve">10. เอกสารที่เกี่ยวข้อง</w:t>
      </w:r>
    </w:p>
    <w:p>
      <w:pPr>
        <w:pStyle w:val="Compact"/>
        <w:numPr>
          <w:ilvl w:val="0"/>
          <w:numId w:val="1191"/>
        </w:numPr>
      </w:pPr>
      <w:r>
        <w:rPr>
          <w:rStyle w:val="VerbatimChar"/>
        </w:rPr>
        <w:t xml:space="preserve">../COMPLIANCE-TH.md</w:t>
      </w:r>
      <w:r>
        <w:t xml:space="preserve"> </w:t>
      </w:r>
      <w:r>
        <w:t xml:space="preserve">— กฎหมายไทยและขั้นตอนยื่นขอใบอนุญาต</w:t>
      </w:r>
    </w:p>
    <w:p>
      <w:pPr>
        <w:pStyle w:val="Compact"/>
        <w:numPr>
          <w:ilvl w:val="0"/>
          <w:numId w:val="1191"/>
        </w:numPr>
      </w:pPr>
      <w:r>
        <w:rPr>
          <w:rStyle w:val="VerbatimChar"/>
        </w:rPr>
        <w:t xml:space="preserve">../ARCHITECTURE.md</w:t>
      </w:r>
      <w:r>
        <w:t xml:space="preserve"> </w:t>
      </w:r>
      <w:r>
        <w:t xml:space="preserve">— สถาปัตยกรรม, security/PCI, NFR (RPO/RTO)</w:t>
      </w:r>
    </w:p>
    <w:p>
      <w:pPr>
        <w:pStyle w:val="Compact"/>
        <w:numPr>
          <w:ilvl w:val="0"/>
          <w:numId w:val="1191"/>
        </w:numPr>
      </w:pPr>
      <w:r>
        <w:rPr>
          <w:rStyle w:val="VerbatimChar"/>
        </w:rPr>
        <w:t xml:space="preserve">../ROADMAP.md</w:t>
      </w:r>
      <w:r>
        <w:t xml:space="preserve"> </w:t>
      </w:r>
      <w:r>
        <w:t xml:space="preserve">— เฟส Phase 2 (Security), Phase 4 (Certification, pentest, DR drill)</w:t>
      </w:r>
    </w:p>
    <w:p>
      <w:pPr>
        <w:pStyle w:val="Compact"/>
        <w:numPr>
          <w:ilvl w:val="0"/>
          <w:numId w:val="1191"/>
        </w:numPr>
      </w:pPr>
      <w:r>
        <w:rPr>
          <w:rStyle w:val="VerbatimChar"/>
        </w:rPr>
        <w:t xml:space="preserve">05-aml-kyc-cdd-policy.md</w:t>
      </w:r>
      <w:r>
        <w:t xml:space="preserve">,</w:t>
      </w:r>
      <w:r>
        <w:t xml:space="preserve"> </w:t>
      </w:r>
      <w:r>
        <w:rPr>
          <w:rStyle w:val="VerbatimChar"/>
        </w:rPr>
        <w:t xml:space="preserve">06-sanctions-screening.md</w:t>
      </w:r>
      <w:r>
        <w:t xml:space="preserve"> </w:t>
      </w:r>
      <w:r>
        <w:t xml:space="preserve">— การเชื่อมโยงกับ AML/audit trail</w:t>
      </w:r>
    </w:p>
    <w:bookmarkEnd w:id="482"/>
    <w:bookmarkEnd w:id="483"/>
    <w:bookmarkStart w:id="513" w:name="Xc122ad0fc33f5d26e2d172e470c036ffb20b59e"/>
    <w:p>
      <w:pPr>
        <w:pStyle w:val="Heading1"/>
      </w:pPr>
      <w:r>
        <w:t xml:space="preserve">Cyber resilience plan: threat management, SOC/monitoring, vulnerability mgmt, red-team, recovery (English)</w:t>
      </w:r>
    </w:p>
    <w:p>
      <w:pPr>
        <w:pStyle w:val="BlockText"/>
      </w:pPr>
      <w:r>
        <w:t xml:space="preserve">Document</w:t>
      </w:r>
      <w:r>
        <w:t xml:space="preserve"> </w:t>
      </w:r>
      <w:r>
        <w:rPr>
          <w:b/>
          <w:bCs/>
        </w:rPr>
        <w:t xml:space="preserve">No. 14</w:t>
      </w:r>
      <w:r>
        <w:t xml:space="preserve"> </w:t>
      </w:r>
      <w:r>
        <w:t xml:space="preserve">in the Compliance set for the</w:t>
      </w:r>
      <w:r>
        <w:t xml:space="preserve"> </w:t>
      </w:r>
      <w:r>
        <w:rPr>
          <w:b/>
          <w:bCs/>
        </w:rPr>
        <w:t xml:space="preserve">Full Acquiring payment service</w:t>
      </w:r>
      <w:r>
        <w:t xml:space="preserve"> </w:t>
      </w:r>
      <w:r>
        <w:t xml:space="preserve">license application under the</w:t>
      </w:r>
      <w:r>
        <w:t xml:space="preserve"> </w:t>
      </w:r>
      <w:r>
        <w:rPr>
          <w:b/>
          <w:bCs/>
        </w:rPr>
        <w:t xml:space="preserve">Payment Systems Act B.E. 2560 (2017)</w:t>
      </w:r>
      <w:r>
        <w:t xml:space="preserve">, supervised by the</w:t>
      </w:r>
      <w:r>
        <w:t xml:space="preserve"> </w:t>
      </w:r>
      <w:r>
        <w:rPr>
          <w:b/>
          <w:bCs/>
        </w:rPr>
        <w:t xml:space="preserve">Bank of Thailand (BOT / ธปท.)</w:t>
      </w:r>
      <w:r>
        <w:t xml:space="preserve">, in parallel with</w:t>
      </w:r>
      <w:r>
        <w:t xml:space="preserve"> </w:t>
      </w:r>
      <w:r>
        <w:rPr>
          <w:b/>
          <w:bCs/>
        </w:rPr>
        <w:t xml:space="preserve">PCI-DSS Level 1</w:t>
      </w:r>
      <w:r>
        <w:t xml:space="preserve">.</w:t>
      </w:r>
    </w:p>
    <w:p>
      <w:pPr>
        <w:pStyle w:val="BlockText"/>
      </w:pPr>
      <w:r>
        <w:rPr>
          <w:b/>
          <w:bCs/>
        </w:rPr>
        <w:t xml:space="preserve">Status:</w:t>
      </w:r>
      <w:r>
        <w:t xml:space="preserve"> </w:t>
      </w:r>
      <w:r>
        <w:t xml:space="preserve">Submission draft · Version 0.1 · Last updated 2026-07-22</w:t>
      </w:r>
      <w:r>
        <w:t xml:space="preserve"> </w:t>
      </w:r>
      <w:r>
        <w:rPr>
          <w:b/>
          <w:bCs/>
        </w:rPr>
        <w:t xml:space="preserve">Owner:</w:t>
      </w:r>
      <w:r>
        <w:t xml:space="preserve"> </w:t>
      </w:r>
      <w:r>
        <w:t xml:space="preserve">Chief Information Security Officer (CISO) of</w:t>
      </w:r>
      <w:r>
        <w:t xml:space="preserve"> </w:t>
      </w:r>
      <w:r>
        <w:rPr>
          <w:b/>
          <w:bCs/>
        </w:rPr>
        <w:t xml:space="preserve">[บริษัท / Company]</w:t>
      </w:r>
      <w:r>
        <w:t xml:space="preserve">, reporting to the Risk Committee.</w:t>
      </w:r>
    </w:p>
    <w:p>
      <w:pPr>
        <w:pStyle w:val="BlockText"/>
      </w:pPr>
      <w:r>
        <w:t xml:space="preserve">This is an internal policy and a license-application supporting document —</w:t>
      </w:r>
      <w:r>
        <w:t xml:space="preserve"> </w:t>
      </w:r>
      <w:r>
        <w:rPr>
          <w:b/>
          <w:bCs/>
        </w:rPr>
        <w:t xml:space="preserve">not legal advice</w:t>
      </w:r>
      <w:r>
        <w:t xml:space="preserve">. It must be reviewed by legal counsel, the CISO, and the QSA before it takes effect, as BOT notifications and the PCI-DSS standard may be updated.</w:t>
      </w:r>
    </w:p>
    <w:p>
      <w:r>
        <w:pict>
          <v:rect style="width:0;height:1.5pt" o:hralign="center" o:hrstd="t" o:hr="t"/>
        </w:pict>
      </w:r>
    </w:p>
    <w:bookmarkStart w:id="484" w:name="executive-summary-4"/>
    <w:p>
      <w:pPr>
        <w:pStyle w:val="Heading2"/>
      </w:pPr>
      <w:r>
        <w:t xml:space="preserve">Executive Summary</w:t>
      </w:r>
    </w:p>
    <w:p>
      <w:pPr>
        <w:pStyle w:val="FirstParagraph"/>
      </w:pPr>
      <w:r>
        <w:t xml:space="preserve">As an acquiring payment gateway,</w:t>
      </w:r>
      <w:r>
        <w:t xml:space="preserve"> </w:t>
      </w:r>
      <w:r>
        <w:rPr>
          <w:b/>
          <w:bCs/>
        </w:rPr>
        <w:t xml:space="preserve">[บริษัท / Company]</w:t>
      </w:r>
      <w:r>
        <w:t xml:space="preserve"> </w:t>
      </w:r>
      <w:r>
        <w:t xml:space="preserve">holds Cardholder Data (CHD) and processes high-volume financial transactions, making it a priority target for cyber threats. This document sets out a</w:t>
      </w:r>
      <w:r>
        <w:t xml:space="preserve"> </w:t>
      </w:r>
      <w:r>
        <w:rPr>
          <w:b/>
          <w:bCs/>
        </w:rPr>
        <w:t xml:space="preserve">Cyber Resilience Plan</w:t>
      </w:r>
      <w:r>
        <w:t xml:space="preserve"> </w:t>
      </w:r>
      <w:r>
        <w:t xml:space="preserve">spanning the full</w:t>
      </w:r>
      <w:r>
        <w:t xml:space="preserve"> </w:t>
      </w:r>
      <w:r>
        <w:rPr>
          <w:b/>
          <w:bCs/>
        </w:rPr>
        <w:t xml:space="preserve">Identify → Protect → Detect → Respond → Recover</w:t>
      </w:r>
      <w:r>
        <w:t xml:space="preserve"> </w:t>
      </w:r>
      <w:r>
        <w:t xml:space="preserve">lifecycle (NIST CSF 2.0), aligned with</w:t>
      </w:r>
      <w:r>
        <w:t xml:space="preserve"> </w:t>
      </w:r>
      <w:r>
        <w:rPr>
          <w:b/>
          <w:bCs/>
        </w:rPr>
        <w:t xml:space="preserve">PCI-DSS v4.0</w:t>
      </w:r>
      <w:r>
        <w:t xml:space="preserve"> </w:t>
      </w:r>
      <w:r>
        <w:t xml:space="preserve">and BOT’s IT Risk / Cyber Resilience guidance, across five pillars:</w:t>
      </w:r>
    </w:p>
    <w:p>
      <w:pPr>
        <w:pStyle w:val="Compact"/>
        <w:numPr>
          <w:ilvl w:val="0"/>
          <w:numId w:val="1192"/>
        </w:numPr>
      </w:pPr>
      <w:r>
        <w:rPr>
          <w:b/>
          <w:bCs/>
        </w:rPr>
        <w:t xml:space="preserve">Threat Management</w:t>
      </w:r>
      <w:r>
        <w:t xml:space="preserve"> </w:t>
      </w:r>
      <w:r>
        <w:t xml:space="preserve">— threat intelligence, threat modeling, attack surface management</w:t>
      </w:r>
    </w:p>
    <w:p>
      <w:pPr>
        <w:pStyle w:val="Compact"/>
        <w:numPr>
          <w:ilvl w:val="0"/>
          <w:numId w:val="1192"/>
        </w:numPr>
      </w:pPr>
      <w:r>
        <w:rPr>
          <w:b/>
          <w:bCs/>
        </w:rPr>
        <w:t xml:space="preserve">SOC / Monitoring</w:t>
      </w:r>
      <w:r>
        <w:t xml:space="preserve"> </w:t>
      </w:r>
      <w:r>
        <w:t xml:space="preserve">— SIEM, logging per PCI Req 10, 24×7 monitoring</w:t>
      </w:r>
    </w:p>
    <w:p>
      <w:pPr>
        <w:pStyle w:val="Compact"/>
        <w:numPr>
          <w:ilvl w:val="0"/>
          <w:numId w:val="1192"/>
        </w:numPr>
      </w:pPr>
      <w:r>
        <w:rPr>
          <w:b/>
          <w:bCs/>
        </w:rPr>
        <w:t xml:space="preserve">Vulnerability Management</w:t>
      </w:r>
      <w:r>
        <w:t xml:space="preserve"> </w:t>
      </w:r>
      <w:r>
        <w:t xml:space="preserve">— scanning, ASV, patch SLAs, severity ranking</w:t>
      </w:r>
    </w:p>
    <w:p>
      <w:pPr>
        <w:pStyle w:val="Compact"/>
        <w:numPr>
          <w:ilvl w:val="0"/>
          <w:numId w:val="1192"/>
        </w:numPr>
      </w:pPr>
      <w:r>
        <w:rPr>
          <w:b/>
          <w:bCs/>
        </w:rPr>
        <w:t xml:space="preserve">Penetration Testing &amp; Red Team</w:t>
      </w:r>
      <w:r>
        <w:t xml:space="preserve"> </w:t>
      </w:r>
      <w:r>
        <w:t xml:space="preserve">— annual pentests, purple team, breach &amp; attack simulation</w:t>
      </w:r>
    </w:p>
    <w:p>
      <w:pPr>
        <w:pStyle w:val="Compact"/>
        <w:numPr>
          <w:ilvl w:val="0"/>
          <w:numId w:val="1192"/>
        </w:numPr>
      </w:pPr>
      <w:r>
        <w:rPr>
          <w:b/>
          <w:bCs/>
        </w:rPr>
        <w:t xml:space="preserve">Recovery &amp; Resilience</w:t>
      </w:r>
      <w:r>
        <w:t xml:space="preserve"> </w:t>
      </w:r>
      <w:r>
        <w:t xml:space="preserve">— incident response, RTO/RPO, DR drills, ransomware playbook</w:t>
      </w:r>
    </w:p>
    <w:p>
      <w:pPr>
        <w:pStyle w:val="BlockText"/>
      </w:pPr>
      <w:r>
        <w:rPr>
          <w:b/>
          <w:bCs/>
        </w:rPr>
        <w:t xml:space="preserve">Guiding Principle —</w:t>
      </w:r>
      <w:r>
        <w:rPr>
          <w:b/>
          <w:bCs/>
        </w:rPr>
        <w:t xml:space="preserve"> </w:t>
      </w:r>
      <w:r>
        <w:rPr>
          <w:b/>
          <w:bCs/>
          <w:i/>
          <w:iCs/>
        </w:rPr>
        <w:t xml:space="preserve">Assume breach</w:t>
      </w:r>
      <w:r>
        <w:rPr>
          <w:b/>
          <w:bCs/>
        </w:rPr>
        <w:t xml:space="preserve">:</w:t>
      </w:r>
      <w:r>
        <w:t xml:space="preserve"> </w:t>
      </w:r>
      <w:r>
        <w:t xml:space="preserve">design as if compromise is inevitable; emphasize defense-in-depth, least privilege, fast detection, and proven recoverability.</w:t>
      </w:r>
    </w:p>
    <w:p>
      <w:r>
        <w:pict>
          <v:rect style="width:0;height:1.5pt" o:hralign="center" o:hrstd="t" o:hr="t"/>
        </w:pict>
      </w:r>
    </w:p>
    <w:bookmarkEnd w:id="484"/>
    <w:bookmarkStart w:id="485" w:name="legal-basis-reference-standards"/>
    <w:p>
      <w:pPr>
        <w:pStyle w:val="Heading2"/>
      </w:pPr>
      <w:r>
        <w:t xml:space="preserve">1. Legal Basis &amp; Reference Standards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Law / Standard</w:t>
            </w:r>
          </w:p>
        </w:tc>
        <w:tc>
          <w:tcPr/>
          <w:p>
            <w:pPr>
              <w:pStyle w:val="Compact"/>
            </w:pPr>
            <w:r>
              <w:t xml:space="preserve">Relevance to this plan</w:t>
            </w:r>
          </w:p>
        </w:tc>
      </w:tr>
      <w:tr>
        <w:tc>
          <w:tcPr/>
          <w:p>
            <w:pPr>
              <w:pStyle w:val="Compact"/>
            </w:pPr>
            <w:r>
              <w:rPr>
                <w:b/>
                <w:bCs/>
              </w:rPr>
              <w:t xml:space="preserve">Payment Systems Act B.E. 2560</w:t>
            </w:r>
          </w:p>
        </w:tc>
        <w:tc>
          <w:tcPr/>
          <w:p>
            <w:pPr>
              <w:pStyle w:val="Compact"/>
            </w:pPr>
            <w:r>
              <w:t xml:space="preserve">Requires an IT risk and cyber resilience program as a licensing condition; supervised by</w:t>
            </w:r>
            <w:r>
              <w:t xml:space="preserve"> </w:t>
            </w:r>
            <w:r>
              <w:rPr>
                <w:b/>
                <w:bCs/>
              </w:rPr>
              <w:t xml:space="preserve">BOT (ธปท.)</w:t>
            </w:r>
          </w:p>
        </w:tc>
      </w:tr>
      <w:tr>
        <w:tc>
          <w:tcPr/>
          <w:p>
            <w:pPr>
              <w:pStyle w:val="Compact"/>
            </w:pPr>
            <w:r>
              <w:rPr>
                <w:b/>
                <w:bCs/>
              </w:rPr>
              <w:t xml:space="preserve">BOT notifications on IT Risk &amp; Cyber Resilience</w:t>
            </w:r>
          </w:p>
        </w:tc>
        <w:tc>
          <w:tcPr/>
          <w:p>
            <w:pPr>
              <w:pStyle w:val="Compact"/>
            </w:pPr>
            <w:r>
              <w:t xml:space="preserve">Governance, internal controls, cyber-incident reporting to BOT</w:t>
            </w:r>
          </w:p>
        </w:tc>
      </w:tr>
      <w:tr>
        <w:tc>
          <w:tcPr/>
          <w:p>
            <w:pPr>
              <w:pStyle w:val="Compact"/>
            </w:pPr>
            <w:r>
              <w:rPr>
                <w:b/>
                <w:bCs/>
              </w:rPr>
              <w:t xml:space="preserve">PCI-DSS v4.0</w:t>
            </w:r>
          </w:p>
        </w:tc>
        <w:tc>
          <w:tcPr/>
          <w:p>
            <w:pPr>
              <w:pStyle w:val="Compact"/>
            </w:pPr>
            <w:r>
              <w:t xml:space="preserve">Req 1 (network security), Req 5 (anti-malware), Req 6 (secure dev/patch), Req 10 (logging &amp; monitoring), Req 11 (scan/pentest), Req 12.10 (incident response)</w:t>
            </w:r>
          </w:p>
        </w:tc>
      </w:tr>
      <w:tr>
        <w:tc>
          <w:tcPr/>
          <w:p>
            <w:pPr>
              <w:pStyle w:val="Compact"/>
            </w:pPr>
            <w:r>
              <w:rPr>
                <w:b/>
                <w:bCs/>
              </w:rPr>
              <w:t xml:space="preserve">Personal Data Protection Act B.E. 2562 (PDPA)</w:t>
            </w:r>
            <w:r>
              <w:t xml:space="preserve"> </w:t>
            </w:r>
            <w:r>
              <w:t xml:space="preserve">— enforced by the</w:t>
            </w:r>
            <w:r>
              <w:t xml:space="preserve"> </w:t>
            </w:r>
            <w:r>
              <w:rPr>
                <w:b/>
                <w:bCs/>
              </w:rPr>
              <w:t xml:space="preserve">PDPC</w:t>
            </w:r>
          </w:p>
        </w:tc>
        <w:tc>
          <w:tcPr/>
          <w:p>
            <w:pPr>
              <w:pStyle w:val="Compact"/>
            </w:pPr>
            <w:r>
              <w:t xml:space="preserve">Personal-data breach notification to PDPC within 72 hours (Sec. 37(4))</w:t>
            </w:r>
          </w:p>
        </w:tc>
      </w:tr>
      <w:tr>
        <w:tc>
          <w:tcPr/>
          <w:p>
            <w:pPr>
              <w:pStyle w:val="Compact"/>
            </w:pPr>
            <w:r>
              <w:rPr>
                <w:b/>
                <w:bCs/>
              </w:rPr>
              <w:t xml:space="preserve">Cybersecurity Act B.E. 2562</w:t>
            </w:r>
          </w:p>
        </w:tc>
        <w:tc>
          <w:tcPr/>
          <w:p>
            <w:pPr>
              <w:pStyle w:val="Compact"/>
            </w:pPr>
            <w:r>
              <w:t xml:space="preserve">Threat-handling framework and coordination with authorities (NCSA/สกมช.) if classified as CII</w:t>
            </w:r>
          </w:p>
        </w:tc>
      </w:tr>
      <w:tr>
        <w:tc>
          <w:tcPr/>
          <w:p>
            <w:pPr>
              <w:pStyle w:val="Compact"/>
            </w:pPr>
            <w:r>
              <w:rPr>
                <w:b/>
                <w:bCs/>
              </w:rPr>
              <w:t xml:space="preserve">Anti-Money Laundering Act (AMLO / ปปง.)</w:t>
            </w:r>
          </w:p>
        </w:tc>
        <w:tc>
          <w:tcPr/>
          <w:p>
            <w:pPr>
              <w:pStyle w:val="Compact"/>
            </w:pPr>
            <w:r>
              <w:t xml:space="preserve">Linkage to transaction monitoring and integrity of the audit trail</w:t>
            </w:r>
          </w:p>
        </w:tc>
      </w:tr>
      <w:tr>
        <w:tc>
          <w:tcPr/>
          <w:p>
            <w:pPr>
              <w:pStyle w:val="Compact"/>
            </w:pPr>
            <w:r>
              <w:rPr>
                <w:b/>
                <w:bCs/>
              </w:rPr>
              <w:t xml:space="preserve">NIST CSF 2.0 / NIST SP 800-61r2 / ISO/IEC 27001:2022 / ISO 22301</w:t>
            </w:r>
          </w:p>
        </w:tc>
        <w:tc>
          <w:tcPr/>
          <w:p>
            <w:pPr>
              <w:pStyle w:val="Compact"/>
            </w:pPr>
            <w:r>
              <w:t xml:space="preserve">International references for cyber resilience, incident handling, and business continuity</w:t>
            </w:r>
          </w:p>
        </w:tc>
      </w:tr>
      <w:tr>
        <w:tc>
          <w:tcPr/>
          <w:p>
            <w:pPr>
              <w:pStyle w:val="Compact"/>
            </w:pPr>
            <w:r>
              <w:rPr>
                <w:b/>
                <w:bCs/>
              </w:rPr>
              <w:t xml:space="preserve">EMV 3-D Secure (3DS) 2.x</w:t>
            </w:r>
          </w:p>
        </w:tc>
        <w:tc>
          <w:tcPr/>
          <w:p>
            <w:pPr>
              <w:pStyle w:val="Compact"/>
            </w:pPr>
            <w:r>
              <w:t xml:space="preserve">Fraud risk control at the card-transaction authentication layer</w:t>
            </w:r>
          </w:p>
        </w:tc>
      </w:tr>
    </w:tbl>
    <w:p>
      <w:pPr>
        <w:pStyle w:val="BlockText"/>
      </w:pPr>
      <w:r>
        <w:rPr>
          <w:b/>
          <w:bCs/>
        </w:rPr>
        <w:t xml:space="preserve">[TODO/Assumption]</w:t>
      </w:r>
      <w:r>
        <w:t xml:space="preserve"> </w:t>
      </w:r>
      <w:r>
        <w:t xml:space="preserve">Confirm with legal counsel the number/year of the latest BOT IT Risk / Cyber Resilience notification at filing time and align references; assess whether</w:t>
      </w:r>
      <w:r>
        <w:t xml:space="preserve"> </w:t>
      </w:r>
      <w:r>
        <w:rPr>
          <w:b/>
          <w:bCs/>
        </w:rPr>
        <w:t xml:space="preserve">[บริษัท / Company]</w:t>
      </w:r>
      <w:r>
        <w:t xml:space="preserve"> </w:t>
      </w:r>
      <w:r>
        <w:t xml:space="preserve">qualifies as Critical Information Infrastructure (CII) under the Cybersecurity Act.</w:t>
      </w:r>
    </w:p>
    <w:p>
      <w:r>
        <w:pict>
          <v:rect style="width:0;height:1.5pt" o:hralign="center" o:hrstd="t" o:hr="t"/>
        </w:pict>
      </w:r>
    </w:p>
    <w:bookmarkEnd w:id="485"/>
    <w:bookmarkStart w:id="486" w:name="governance-roles"/>
    <w:p>
      <w:pPr>
        <w:pStyle w:val="Heading2"/>
      </w:pPr>
      <w:r>
        <w:t xml:space="preserve">2. Governance &amp; Roles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Key cyber-resilience responsibilities</w:t>
            </w:r>
          </w:p>
        </w:tc>
      </w:tr>
      <w:tr>
        <w:tc>
          <w:tcPr/>
          <w:p>
            <w:pPr>
              <w:pStyle w:val="Compact"/>
            </w:pPr>
            <w:r>
              <w:rPr>
                <w:b/>
                <w:bCs/>
              </w:rPr>
              <w:t xml:space="preserve">Board of Directors</w:t>
            </w:r>
          </w:p>
        </w:tc>
        <w:tc>
          <w:tcPr/>
          <w:p>
            <w:pPr>
              <w:pStyle w:val="Compact"/>
            </w:pPr>
            <w:r>
              <w:t xml:space="preserve">Approves the cybersecurity policy; receives quarterly top-risk reports</w:t>
            </w:r>
          </w:p>
        </w:tc>
      </w:tr>
      <w:tr>
        <w:tc>
          <w:tcPr/>
          <w:p>
            <w:pPr>
              <w:pStyle w:val="Compact"/>
            </w:pPr>
            <w:r>
              <w:rPr>
                <w:b/>
                <w:bCs/>
              </w:rPr>
              <w:t xml:space="preserve">Risk Committee</w:t>
            </w:r>
          </w:p>
        </w:tc>
        <w:tc>
          <w:tcPr/>
          <w:p>
            <w:pPr>
              <w:pStyle w:val="Compact"/>
            </w:pPr>
            <w:r>
              <w:t xml:space="preserve">Governs risk appetite, reviews KRIs, approves remediation of Critical findings</w:t>
            </w:r>
          </w:p>
        </w:tc>
      </w:tr>
      <w:tr>
        <w:tc>
          <w:tcPr/>
          <w:p>
            <w:pPr>
              <w:pStyle w:val="Compact"/>
            </w:pPr>
            <w:r>
              <w:rPr>
                <w:b/>
                <w:bCs/>
              </w:rPr>
              <w:t xml:space="preserve">CISO</w:t>
            </w:r>
          </w:p>
        </w:tc>
        <w:tc>
          <w:tcPr/>
          <w:p>
            <w:pPr>
              <w:pStyle w:val="Compact"/>
            </w:pPr>
            <w:r>
              <w:t xml:space="preserve">Owns this plan; oversees SOC, VM, red team, IR; reports directly to the Risk Committee (independent of the CTO for segregation of duties)</w:t>
            </w:r>
          </w:p>
        </w:tc>
      </w:tr>
      <w:tr>
        <w:tc>
          <w:tcPr/>
          <w:p>
            <w:pPr>
              <w:pStyle w:val="Compact"/>
            </w:pPr>
            <w:r>
              <w:rPr>
                <w:b/>
                <w:bCs/>
              </w:rPr>
              <w:t xml:space="preserve">SOC Lead / SecOps</w:t>
            </w:r>
          </w:p>
        </w:tc>
        <w:tc>
          <w:tcPr/>
          <w:p>
            <w:pPr>
              <w:pStyle w:val="Compact"/>
            </w:pPr>
            <w:r>
              <w:t xml:space="preserve">24×7 monitoring, alert triage, L1–L2 incident handling</w:t>
            </w:r>
          </w:p>
        </w:tc>
      </w:tr>
      <w:tr>
        <w:tc>
          <w:tcPr/>
          <w:p>
            <w:pPr>
              <w:pStyle w:val="Compact"/>
            </w:pPr>
            <w:r>
              <w:rPr>
                <w:b/>
                <w:bCs/>
              </w:rPr>
              <w:t xml:space="preserve">Vulnerability Management Lead</w:t>
            </w:r>
          </w:p>
        </w:tc>
        <w:tc>
          <w:tcPr/>
          <w:p>
            <w:pPr>
              <w:pStyle w:val="Compact"/>
            </w:pPr>
            <w:r>
              <w:t xml:space="preserve">Manages scanning, patch SLAs, liaises with ASV and QSA</w:t>
            </w:r>
          </w:p>
        </w:tc>
      </w:tr>
      <w:tr>
        <w:tc>
          <w:tcPr/>
          <w:p>
            <w:pPr>
              <w:pStyle w:val="Compact"/>
            </w:pPr>
            <w:r>
              <w:rPr>
                <w:b/>
                <w:bCs/>
              </w:rPr>
              <w:t xml:space="preserve">Incident Response Manager (IRM)</w:t>
            </w:r>
          </w:p>
        </w:tc>
        <w:tc>
          <w:tcPr/>
          <w:p>
            <w:pPr>
              <w:pStyle w:val="Compact"/>
            </w:pPr>
            <w:r>
              <w:t xml:space="preserve">Commands the CSIRT, decides containment, coordinates with BOT/PDPC/AMLO</w:t>
            </w:r>
          </w:p>
        </w:tc>
      </w:tr>
      <w:tr>
        <w:tc>
          <w:tcPr/>
          <w:p>
            <w:pPr>
              <w:pStyle w:val="Compact"/>
            </w:pPr>
            <w:r>
              <w:rPr>
                <w:b/>
                <w:bCs/>
              </w:rPr>
              <w:t xml:space="preserve">DPO</w:t>
            </w:r>
          </w:p>
        </w:tc>
        <w:tc>
          <w:tcPr/>
          <w:p>
            <w:pPr>
              <w:pStyle w:val="Compact"/>
            </w:pPr>
            <w:r>
              <w:t xml:space="preserve">Assesses and notifies personal-data breaches to PDPC (Sec. 37(4))</w:t>
            </w:r>
          </w:p>
        </w:tc>
      </w:tr>
      <w:tr>
        <w:tc>
          <w:tcPr/>
          <w:p>
            <w:pPr>
              <w:pStyle w:val="Compact"/>
            </w:pPr>
            <w:r>
              <w:rPr>
                <w:b/>
                <w:bCs/>
              </w:rPr>
              <w:t xml:space="preserve">DevSecOps / SRE</w:t>
            </w:r>
          </w:p>
        </w:tc>
        <w:tc>
          <w:tcPr/>
          <w:p>
            <w:pPr>
              <w:pStyle w:val="Compact"/>
            </w:pPr>
            <w:r>
              <w:t xml:space="preserve">Embeds security in CI/CD, patches infrastructure, runs DR drills</w:t>
            </w:r>
          </w:p>
        </w:tc>
      </w:tr>
      <w:tr>
        <w:tc>
          <w:tcPr/>
          <w:p>
            <w:pPr>
              <w:pStyle w:val="Compact"/>
            </w:pPr>
            <w:r>
              <w:rPr>
                <w:b/>
                <w:bCs/>
              </w:rPr>
              <w:t xml:space="preserve">QSA (external)</w:t>
            </w:r>
          </w:p>
        </w:tc>
        <w:tc>
          <w:tcPr/>
          <w:p>
            <w:pPr>
              <w:pStyle w:val="Compact"/>
            </w:pPr>
            <w:r>
              <w:t xml:space="preserve">Annual PCI-DSS assessment, issues the RoC</w:t>
            </w:r>
          </w:p>
        </w:tc>
      </w:tr>
    </w:tbl>
    <w:p>
      <w:pPr>
        <w:pStyle w:val="BlockText"/>
      </w:pPr>
      <w:r>
        <w:rPr>
          <w:b/>
          <w:bCs/>
        </w:rPr>
        <w:t xml:space="preserve">Segregation:</w:t>
      </w:r>
      <w:r>
        <w:t xml:space="preserve"> </w:t>
      </w:r>
      <w:r>
        <w:t xml:space="preserve">The CISO must have an independent reporting line separate from development/operations to avoid conflicts of interest in risk reporting.</w:t>
      </w:r>
    </w:p>
    <w:p>
      <w:r>
        <w:pict>
          <v:rect style="width:0;height:1.5pt" o:hralign="center" o:hrstd="t" o:hr="t"/>
        </w:pict>
      </w:r>
    </w:p>
    <w:bookmarkEnd w:id="486"/>
    <w:bookmarkStart w:id="491" w:name="pillar-1-threat-management"/>
    <w:p>
      <w:pPr>
        <w:pStyle w:val="Heading2"/>
      </w:pPr>
      <w:r>
        <w:t xml:space="preserve">3. Pillar 1 — Threat Management</w:t>
      </w:r>
    </w:p>
    <w:bookmarkStart w:id="487" w:name="threat-intelligence-ti-1"/>
    <w:p>
      <w:pPr>
        <w:pStyle w:val="Heading3"/>
      </w:pPr>
      <w:r>
        <w:t xml:space="preserve">3.1 Threat Intelligence (TI)</w:t>
      </w:r>
    </w:p>
    <w:p>
      <w:pPr>
        <w:pStyle w:val="Compact"/>
        <w:numPr>
          <w:ilvl w:val="0"/>
          <w:numId w:val="1193"/>
        </w:numPr>
      </w:pPr>
      <w:r>
        <w:t xml:space="preserve">Subscribe to threat feeds:</w:t>
      </w:r>
      <w:r>
        <w:t xml:space="preserve"> </w:t>
      </w:r>
      <w:r>
        <w:rPr>
          <w:b/>
          <w:bCs/>
        </w:rPr>
        <w:t xml:space="preserve">FS-ISAC</w:t>
      </w:r>
      <w:r>
        <w:t xml:space="preserve"> </w:t>
      </w:r>
      <w:r>
        <w:t xml:space="preserve">(financial sector), card-scheme alerts (Visa/Mastercard), local CERT (</w:t>
      </w:r>
      <w:r>
        <w:rPr>
          <w:b/>
          <w:bCs/>
        </w:rPr>
        <w:t xml:space="preserve">ThaiCERT/NCSA</w:t>
      </w:r>
      <w:r>
        <w:t xml:space="preserve">), commercial TI feeds</w:t>
      </w:r>
    </w:p>
    <w:p>
      <w:pPr>
        <w:pStyle w:val="Compact"/>
        <w:numPr>
          <w:ilvl w:val="0"/>
          <w:numId w:val="1193"/>
        </w:numPr>
      </w:pPr>
      <w:r>
        <w:t xml:space="preserve">Auto-ingest IOCs into SIEM and firewall/WAF via threat feeds (STIX/TAXII)</w:t>
      </w:r>
    </w:p>
    <w:p>
      <w:pPr>
        <w:pStyle w:val="Compact"/>
        <w:numPr>
          <w:ilvl w:val="0"/>
          <w:numId w:val="1193"/>
        </w:numPr>
      </w:pPr>
      <w:r>
        <w:t xml:space="preserve">Assess payment-specific threats:</w:t>
      </w:r>
      <w:r>
        <w:t xml:space="preserve"> </w:t>
      </w:r>
      <w:r>
        <w:rPr>
          <w:b/>
          <w:bCs/>
        </w:rPr>
        <w:t xml:space="preserve">Magecart/e-skimming, credential stuffing, BIN attacks, account takeover, ransomware, supply-chain attacks, API abuse</w:t>
      </w:r>
    </w:p>
    <w:bookmarkEnd w:id="487"/>
    <w:bookmarkStart w:id="488" w:name="threat-modeling-1"/>
    <w:p>
      <w:pPr>
        <w:pStyle w:val="Heading3"/>
      </w:pPr>
      <w:r>
        <w:t xml:space="preserve">3.2 Threat Modeling</w:t>
      </w:r>
    </w:p>
    <w:p>
      <w:pPr>
        <w:pStyle w:val="Compact"/>
        <w:numPr>
          <w:ilvl w:val="0"/>
          <w:numId w:val="1194"/>
        </w:numPr>
      </w:pPr>
      <w:r>
        <w:t xml:space="preserve">Perform threat modeling (</w:t>
      </w:r>
      <w:r>
        <w:rPr>
          <w:b/>
          <w:bCs/>
        </w:rPr>
        <w:t xml:space="preserve">STRIDE</w:t>
      </w:r>
      <w:r>
        <w:t xml:space="preserve">) for every new feature touching money or CHD before production</w:t>
      </w:r>
    </w:p>
    <w:p>
      <w:pPr>
        <w:pStyle w:val="Compact"/>
        <w:numPr>
          <w:ilvl w:val="0"/>
          <w:numId w:val="1194"/>
        </w:numPr>
      </w:pPr>
      <w:r>
        <w:t xml:space="preserve">Keep the CHD environment (CDE) data-flow diagram current per PCI Req 1.2 / 12.5.2</w:t>
      </w:r>
    </w:p>
    <w:bookmarkEnd w:id="488"/>
    <w:bookmarkStart w:id="489" w:name="attack-surface-management"/>
    <w:p>
      <w:pPr>
        <w:pStyle w:val="Heading3"/>
      </w:pPr>
      <w:r>
        <w:t xml:space="preserve">3.3 Attack Surface Management</w:t>
      </w:r>
    </w:p>
    <w:p>
      <w:pPr>
        <w:pStyle w:val="Compact"/>
        <w:numPr>
          <w:ilvl w:val="0"/>
          <w:numId w:val="1195"/>
        </w:numPr>
      </w:pPr>
      <w:r>
        <w:t xml:space="preserve">Maintain a complete asset inventory (PCI Req 12.5.1) — every CDE component has an owner and criticality</w:t>
      </w:r>
    </w:p>
    <w:p>
      <w:pPr>
        <w:pStyle w:val="Compact"/>
        <w:numPr>
          <w:ilvl w:val="0"/>
          <w:numId w:val="1195"/>
        </w:numPr>
      </w:pPr>
      <w:r>
        <w:t xml:space="preserve">Run External Attack Surface Management (EASM) weekly against external IPs/domains to detect shadow IT / exposed services</w:t>
      </w:r>
    </w:p>
    <w:bookmarkEnd w:id="489"/>
    <w:bookmarkStart w:id="490" w:name="threat-severity-matrix"/>
    <w:p>
      <w:pPr>
        <w:pStyle w:val="Heading3"/>
      </w:pPr>
      <w:r>
        <w:t xml:space="preserve">3.4 Threat Severity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Definition</w:t>
            </w:r>
          </w:p>
        </w:tc>
        <w:tc>
          <w:tcPr/>
          <w:p>
            <w:pPr>
              <w:pStyle w:val="Compact"/>
            </w:pPr>
            <w:r>
              <w:t xml:space="preserve">Example</w:t>
            </w:r>
          </w:p>
        </w:tc>
        <w:tc>
          <w:tcPr/>
          <w:p>
            <w:pPr>
              <w:pStyle w:val="Compact"/>
            </w:pPr>
            <w:r>
              <w:t xml:space="preserve">Response</w:t>
            </w:r>
          </w:p>
        </w:tc>
      </w:tr>
      <w:tr>
        <w:tc>
          <w:tcPr/>
          <w:p>
            <w:pPr>
              <w:pStyle w:val="Compact"/>
            </w:pPr>
            <w:r>
              <w:rPr>
                <w:b/>
                <w:bCs/>
              </w:rPr>
              <w:t xml:space="preserve">Critical (P1)</w:t>
            </w:r>
          </w:p>
        </w:tc>
        <w:tc>
          <w:tcPr/>
          <w:p>
            <w:pPr>
              <w:pStyle w:val="Compact"/>
            </w:pPr>
            <w:r>
              <w:t xml:space="preserve">Impacts CHD / core payments / data leakage</w:t>
            </w:r>
          </w:p>
        </w:tc>
        <w:tc>
          <w:tcPr/>
          <w:p>
            <w:pPr>
              <w:pStyle w:val="Compact"/>
            </w:pPr>
            <w:r>
              <w:t xml:space="preserve">active ransomware, PAN exfiltration, RCE in CDE</w:t>
            </w:r>
          </w:p>
        </w:tc>
        <w:tc>
          <w:tcPr/>
          <w:p>
            <w:pPr>
              <w:pStyle w:val="Compact"/>
            </w:pPr>
            <w:r>
              <w:t xml:space="preserve">Invoke CSIRT immediately; notify Board/BOT</w:t>
            </w:r>
          </w:p>
        </w:tc>
      </w:tr>
      <w:tr>
        <w:tc>
          <w:tcPr/>
          <w:p>
            <w:pPr>
              <w:pStyle w:val="Compact"/>
            </w:pPr>
            <w:r>
              <w:rPr>
                <w:b/>
                <w:bCs/>
              </w:rPr>
              <w:t xml:space="preserve">High (P2)</w:t>
            </w:r>
          </w:p>
        </w:tc>
        <w:tc>
          <w:tcPr/>
          <w:p>
            <w:pPr>
              <w:pStyle w:val="Compact"/>
            </w:pPr>
            <w:r>
              <w:t xml:space="preserve">Severe but not yet exploited</w:t>
            </w:r>
          </w:p>
        </w:tc>
        <w:tc>
          <w:tcPr/>
          <w:p>
            <w:pPr>
              <w:pStyle w:val="Compact"/>
            </w:pPr>
            <w:r>
              <w:t xml:space="preserve">exposed admin panel, exploitable CVE (CVSS ≥ 9.0)</w:t>
            </w:r>
          </w:p>
        </w:tc>
        <w:tc>
          <w:tcPr/>
          <w:p>
            <w:pPr>
              <w:pStyle w:val="Compact"/>
            </w:pPr>
            <w:r>
              <w:t xml:space="preserve">Contain within 4 hrs</w:t>
            </w:r>
          </w:p>
        </w:tc>
      </w:tr>
      <w:tr>
        <w:tc>
          <w:tcPr/>
          <w:p>
            <w:pPr>
              <w:pStyle w:val="Compact"/>
            </w:pPr>
            <w:r>
              <w:rPr>
                <w:b/>
                <w:bCs/>
              </w:rPr>
              <w:t xml:space="preserve">Medium (P3)</w:t>
            </w:r>
          </w:p>
        </w:tc>
        <w:tc>
          <w:tcPr/>
          <w:p>
            <w:pPr>
              <w:pStyle w:val="Compact"/>
            </w:pPr>
            <w:r>
              <w:t xml:space="preserve">Limited scope</w:t>
            </w:r>
          </w:p>
        </w:tc>
        <w:tc>
          <w:tcPr/>
          <w:p>
            <w:pPr>
              <w:pStyle w:val="Compact"/>
            </w:pPr>
            <w:r>
              <w:t xml:space="preserve">single-user phishing, misconfig outside CDE</w:t>
            </w:r>
          </w:p>
        </w:tc>
        <w:tc>
          <w:tcPr/>
          <w:p>
            <w:pPr>
              <w:pStyle w:val="Compact"/>
            </w:pPr>
            <w:r>
              <w:t xml:space="preserve">Within 24–72 hrs</w:t>
            </w:r>
          </w:p>
        </w:tc>
      </w:tr>
      <w:tr>
        <w:tc>
          <w:tcPr/>
          <w:p>
            <w:pPr>
              <w:pStyle w:val="Compact"/>
            </w:pPr>
            <w:r>
              <w:rPr>
                <w:b/>
                <w:bCs/>
              </w:rPr>
              <w:t xml:space="preserve">Low (P4)</w:t>
            </w:r>
          </w:p>
        </w:tc>
        <w:tc>
          <w:tcPr/>
          <w:p>
            <w:pPr>
              <w:pStyle w:val="Compact"/>
            </w:pPr>
            <w:r>
              <w:t xml:space="preserve">Low impact</w:t>
            </w:r>
          </w:p>
        </w:tc>
        <w:tc>
          <w:tcPr/>
          <w:p>
            <w:pPr>
              <w:pStyle w:val="Compact"/>
            </w:pPr>
            <w:r>
              <w:t xml:space="preserve">port scan, informational finding</w:t>
            </w:r>
          </w:p>
        </w:tc>
        <w:tc>
          <w:tcPr/>
          <w:p>
            <w:pPr>
              <w:pStyle w:val="Compact"/>
            </w:pPr>
            <w:r>
              <w:t xml:space="preserve">Per backlog</w:t>
            </w:r>
          </w:p>
        </w:tc>
      </w:tr>
    </w:tbl>
    <w:p>
      <w:r>
        <w:pict>
          <v:rect style="width:0;height:1.5pt" o:hralign="center" o:hrstd="t" o:hr="t"/>
        </w:pict>
      </w:r>
    </w:p>
    <w:bookmarkEnd w:id="490"/>
    <w:bookmarkEnd w:id="491"/>
    <w:bookmarkStart w:id="496" w:name="pillar-2-soc-monitoring"/>
    <w:p>
      <w:pPr>
        <w:pStyle w:val="Heading2"/>
      </w:pPr>
      <w:r>
        <w:t xml:space="preserve">4. Pillar 2 — SOC / Monitoring</w:t>
      </w:r>
    </w:p>
    <w:bookmarkStart w:id="492" w:name="soc-operating-model"/>
    <w:p>
      <w:pPr>
        <w:pStyle w:val="Heading3"/>
      </w:pPr>
      <w:r>
        <w:t xml:space="preserve">4.1 SOC Operating Model</w:t>
      </w:r>
    </w:p>
    <w:p>
      <w:pPr>
        <w:pStyle w:val="Compact"/>
        <w:numPr>
          <w:ilvl w:val="0"/>
          <w:numId w:val="1196"/>
        </w:numPr>
      </w:pPr>
      <w:r>
        <w:rPr>
          <w:b/>
          <w:bCs/>
        </w:rPr>
        <w:t xml:space="preserve">Coverage:</w:t>
      </w:r>
      <w:r>
        <w:t xml:space="preserve"> </w:t>
      </w:r>
      <w:r>
        <w:rPr>
          <w:b/>
          <w:bCs/>
        </w:rPr>
        <w:t xml:space="preserve">24×7×365</w:t>
      </w:r>
      <w:r>
        <w:t xml:space="preserve"> </w:t>
      </w:r>
      <w:r>
        <w:t xml:space="preserve">monitoring across the CDE and supporting systems</w:t>
      </w:r>
    </w:p>
    <w:p>
      <w:pPr>
        <w:pStyle w:val="Compact"/>
        <w:numPr>
          <w:ilvl w:val="0"/>
          <w:numId w:val="1196"/>
        </w:numPr>
      </w:pPr>
      <w:r>
        <w:rPr>
          <w:b/>
          <w:bCs/>
        </w:rPr>
        <w:t xml:space="preserve">[TODO/Assumption]</w:t>
      </w:r>
      <w:r>
        <w:t xml:space="preserve"> </w:t>
      </w:r>
      <w:r>
        <w:t xml:space="preserve">Decide between</w:t>
      </w:r>
      <w:r>
        <w:t xml:space="preserve"> </w:t>
      </w:r>
      <w:r>
        <w:rPr>
          <w:b/>
          <w:bCs/>
        </w:rPr>
        <w:t xml:space="preserve">in-house SOC</w:t>
      </w:r>
      <w:r>
        <w:t xml:space="preserve"> </w:t>
      </w:r>
      <w:r>
        <w:t xml:space="preserve">or</w:t>
      </w:r>
      <w:r>
        <w:t xml:space="preserve"> </w:t>
      </w:r>
      <w:r>
        <w:rPr>
          <w:b/>
          <w:bCs/>
        </w:rPr>
        <w:t xml:space="preserve">MSSP (co-managed SOC)</w:t>
      </w:r>
      <w:r>
        <w:t xml:space="preserve">. This document assumes a</w:t>
      </w:r>
      <w:r>
        <w:t xml:space="preserve"> </w:t>
      </w:r>
      <w:r>
        <w:rPr>
          <w:b/>
          <w:bCs/>
        </w:rPr>
        <w:t xml:space="preserve">hybrid</w:t>
      </w:r>
      <w:r>
        <w:t xml:space="preserve">: SIEM/analytics hosted in Thailand (data residency) with an MSSP augmenting overnight shifts; the actual provider must be named before filing.</w:t>
      </w:r>
    </w:p>
    <w:bookmarkEnd w:id="492"/>
    <w:bookmarkStart w:id="493" w:name="logging-pci-req-10"/>
    <w:p>
      <w:pPr>
        <w:pStyle w:val="Heading3"/>
      </w:pPr>
      <w:r>
        <w:t xml:space="preserve">4.2 Logging (PCI Req 10)</w:t>
      </w:r>
    </w:p>
    <w:p>
      <w:pPr>
        <w:pStyle w:val="Compact"/>
        <w:numPr>
          <w:ilvl w:val="0"/>
          <w:numId w:val="1197"/>
        </w:numPr>
      </w:pPr>
      <w:r>
        <w:t xml:space="preserve">Log all access to CHD, all admin actions, all authentications (success/failure), and all config/privilege changes</w:t>
      </w:r>
    </w:p>
    <w:p>
      <w:pPr>
        <w:pStyle w:val="Compact"/>
        <w:numPr>
          <w:ilvl w:val="0"/>
          <w:numId w:val="1197"/>
        </w:numPr>
      </w:pPr>
      <w:r>
        <w:t xml:space="preserve">Time-synchronize with</w:t>
      </w:r>
      <w:r>
        <w:t xml:space="preserve"> </w:t>
      </w:r>
      <w:r>
        <w:rPr>
          <w:b/>
          <w:bCs/>
        </w:rPr>
        <w:t xml:space="preserve">NTP</w:t>
      </w:r>
      <w:r>
        <w:t xml:space="preserve"> </w:t>
      </w:r>
      <w:r>
        <w:t xml:space="preserve">(Req 10.6) and</w:t>
      </w:r>
      <w:r>
        <w:t xml:space="preserve"> </w:t>
      </w:r>
      <w:r>
        <w:rPr>
          <w:b/>
          <w:bCs/>
        </w:rPr>
        <w:t xml:space="preserve">protect logs from tampering</w:t>
      </w:r>
      <w:r>
        <w:t xml:space="preserve"> </w:t>
      </w:r>
      <w:r>
        <w:t xml:space="preserve">(write-once / append-only, shipped to a segmented log server)</w:t>
      </w:r>
    </w:p>
    <w:p>
      <w:pPr>
        <w:pStyle w:val="Compact"/>
        <w:numPr>
          <w:ilvl w:val="0"/>
          <w:numId w:val="1197"/>
        </w:numPr>
      </w:pPr>
      <w:r>
        <w:rPr>
          <w:b/>
          <w:bCs/>
        </w:rPr>
        <w:t xml:space="preserve">Retention:</w:t>
      </w:r>
      <w:r>
        <w:t xml:space="preserve"> </w:t>
      </w:r>
      <w:r>
        <w:t xml:space="preserve">at least</w:t>
      </w:r>
      <w:r>
        <w:t xml:space="preserve"> </w:t>
      </w:r>
      <w:r>
        <w:rPr>
          <w:b/>
          <w:bCs/>
        </w:rPr>
        <w:t xml:space="preserve">12 months</w:t>
      </w:r>
      <w:r>
        <w:t xml:space="preserve">, with the</w:t>
      </w:r>
      <w:r>
        <w:t xml:space="preserve"> </w:t>
      </w:r>
      <w:r>
        <w:rPr>
          <w:b/>
          <w:bCs/>
        </w:rPr>
        <w:t xml:space="preserve">most recent 3 months immediately available</w:t>
      </w:r>
      <w:r>
        <w:t xml:space="preserve"> </w:t>
      </w:r>
      <w:r>
        <w:t xml:space="preserve">(PCI Req 10.5.1)</w:t>
      </w:r>
    </w:p>
    <w:p>
      <w:pPr>
        <w:pStyle w:val="Compact"/>
        <w:numPr>
          <w:ilvl w:val="0"/>
          <w:numId w:val="1197"/>
        </w:numPr>
      </w:pPr>
      <w:r>
        <w:rPr>
          <w:b/>
          <w:bCs/>
        </w:rPr>
        <w:t xml:space="preserve">Never log card data</w:t>
      </w:r>
      <w:r>
        <w:t xml:space="preserve"> </w:t>
      </w:r>
      <w:r>
        <w:t xml:space="preserve">— no full PAN, CVV, track data, or PIN (consistent with ARCHITECTURE.md §7)</w:t>
      </w:r>
    </w:p>
    <w:bookmarkEnd w:id="493"/>
    <w:bookmarkStart w:id="494" w:name="siem-detection-1"/>
    <w:p>
      <w:pPr>
        <w:pStyle w:val="Heading3"/>
      </w:pPr>
      <w:r>
        <w:t xml:space="preserve">4.3 SIEM &amp; Detection</w:t>
      </w:r>
    </w:p>
    <w:p>
      <w:pPr>
        <w:pStyle w:val="Compact"/>
        <w:numPr>
          <w:ilvl w:val="0"/>
          <w:numId w:val="1198"/>
        </w:numPr>
      </w:pPr>
      <w:r>
        <w:t xml:space="preserve">SIEM aggregates logs from WAF, IDS/IPS, firewall, application (Go/Fiber structured JSON logs), database, HSM/KMS, cloud audit</w:t>
      </w:r>
    </w:p>
    <w:p>
      <w:pPr>
        <w:pStyle w:val="Compact"/>
        <w:numPr>
          <w:ilvl w:val="0"/>
          <w:numId w:val="1198"/>
        </w:numPr>
      </w:pPr>
      <w:r>
        <w:rPr>
          <w:b/>
          <w:bCs/>
        </w:rPr>
        <w:t xml:space="preserve">File Integrity Monitoring (FIM)</w:t>
      </w:r>
      <w:r>
        <w:t xml:space="preserve"> </w:t>
      </w:r>
      <w:r>
        <w:t xml:space="preserve">on critical files (PCI Req 11.5) — alerts on unauthorized changes</w:t>
      </w:r>
    </w:p>
    <w:p>
      <w:pPr>
        <w:pStyle w:val="Compact"/>
        <w:numPr>
          <w:ilvl w:val="0"/>
          <w:numId w:val="1198"/>
        </w:numPr>
      </w:pPr>
      <w:r>
        <w:t xml:space="preserve">Detection rules mapped to</w:t>
      </w:r>
      <w:r>
        <w:t xml:space="preserve"> </w:t>
      </w:r>
      <w:r>
        <w:rPr>
          <w:b/>
          <w:bCs/>
        </w:rPr>
        <w:t xml:space="preserve">MITRE ATT&amp;CK</w:t>
      </w:r>
      <w:r>
        <w:t xml:space="preserve"> </w:t>
      </w:r>
      <w:r>
        <w:t xml:space="preserve">— at minimum: brute force, privilege escalation, data exfiltration, anomalous DB queries, out-of-hours vault access</w:t>
      </w:r>
    </w:p>
    <w:bookmarkEnd w:id="494"/>
    <w:bookmarkStart w:id="495" w:name="alert-response-slas"/>
    <w:p>
      <w:pPr>
        <w:pStyle w:val="Heading3"/>
      </w:pPr>
      <w:r>
        <w:t xml:space="preserve">4.4 Alert Response SLAs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Ack (MTTA)</w:t>
            </w:r>
          </w:p>
        </w:tc>
        <w:tc>
          <w:tcPr/>
          <w:p>
            <w:pPr>
              <w:pStyle w:val="Compact"/>
            </w:pPr>
            <w:r>
              <w:t xml:space="preserve">Containment start</w:t>
            </w:r>
          </w:p>
        </w:tc>
        <w:tc>
          <w:tcPr/>
          <w:p>
            <w:pPr>
              <w:pStyle w:val="Compact"/>
            </w:pPr>
            <w:r>
              <w:t xml:space="preserve">Channel</w:t>
            </w:r>
          </w:p>
        </w:tc>
      </w:tr>
      <w:tr>
        <w:tc>
          <w:tcPr/>
          <w:p>
            <w:pPr>
              <w:pStyle w:val="Compact"/>
            </w:pPr>
            <w:r>
              <w:rPr>
                <w:b/>
                <w:bCs/>
              </w:rPr>
              <w:t xml:space="preserve">P1 Critical</w:t>
            </w:r>
          </w:p>
        </w:tc>
        <w:tc>
          <w:tcPr/>
          <w:p>
            <w:pPr>
              <w:pStyle w:val="Compact"/>
            </w:pPr>
            <w:r>
              <w:t xml:space="preserve">≤ 15 min</w:t>
            </w:r>
          </w:p>
        </w:tc>
        <w:tc>
          <w:tcPr/>
          <w:p>
            <w:pPr>
              <w:pStyle w:val="Compact"/>
            </w:pPr>
            <w:r>
              <w:t xml:space="preserve">≤ 1 hr</w:t>
            </w:r>
          </w:p>
        </w:tc>
        <w:tc>
          <w:tcPr/>
          <w:p>
            <w:pPr>
              <w:pStyle w:val="Compact"/>
            </w:pPr>
            <w:r>
              <w:t xml:space="preserve">on-call page + call IRM</w:t>
            </w:r>
          </w:p>
        </w:tc>
      </w:tr>
      <w:tr>
        <w:tc>
          <w:tcPr/>
          <w:p>
            <w:pPr>
              <w:pStyle w:val="Compact"/>
            </w:pPr>
            <w:r>
              <w:rPr>
                <w:b/>
                <w:bCs/>
              </w:rPr>
              <w:t xml:space="preserve">P2 High</w:t>
            </w:r>
          </w:p>
        </w:tc>
        <w:tc>
          <w:tcPr/>
          <w:p>
            <w:pPr>
              <w:pStyle w:val="Compact"/>
            </w:pPr>
            <w:r>
              <w:t xml:space="preserve">≤ 30 min</w:t>
            </w:r>
          </w:p>
        </w:tc>
        <w:tc>
          <w:tcPr/>
          <w:p>
            <w:pPr>
              <w:pStyle w:val="Compact"/>
            </w:pPr>
            <w:r>
              <w:t xml:space="preserve">≤ 4 hrs</w:t>
            </w:r>
          </w:p>
        </w:tc>
        <w:tc>
          <w:tcPr/>
          <w:p>
            <w:pPr>
              <w:pStyle w:val="Compact"/>
            </w:pPr>
            <w:r>
              <w:t xml:space="preserve">on-call + ticket</w:t>
            </w:r>
          </w:p>
        </w:tc>
      </w:tr>
      <w:tr>
        <w:tc>
          <w:tcPr/>
          <w:p>
            <w:pPr>
              <w:pStyle w:val="Compact"/>
            </w:pPr>
            <w:r>
              <w:rPr>
                <w:b/>
                <w:bCs/>
              </w:rPr>
              <w:t xml:space="preserve">P3 Medium</w:t>
            </w:r>
          </w:p>
        </w:tc>
        <w:tc>
          <w:tcPr/>
          <w:p>
            <w:pPr>
              <w:pStyle w:val="Compact"/>
            </w:pPr>
            <w:r>
              <w:t xml:space="preserve">≤ 4 hrs</w:t>
            </w:r>
          </w:p>
        </w:tc>
        <w:tc>
          <w:tcPr/>
          <w:p>
            <w:pPr>
              <w:pStyle w:val="Compact"/>
            </w:pPr>
            <w:r>
              <w:t xml:space="preserve">≤ 24 hrs</w:t>
            </w:r>
          </w:p>
        </w:tc>
        <w:tc>
          <w:tcPr/>
          <w:p>
            <w:pPr>
              <w:pStyle w:val="Compact"/>
            </w:pPr>
            <w:r>
              <w:t xml:space="preserve">ticket</w:t>
            </w:r>
          </w:p>
        </w:tc>
      </w:tr>
      <w:tr>
        <w:tc>
          <w:tcPr/>
          <w:p>
            <w:pPr>
              <w:pStyle w:val="Compact"/>
            </w:pPr>
            <w:r>
              <w:rPr>
                <w:b/>
                <w:bCs/>
              </w:rPr>
              <w:t xml:space="preserve">P4 Low</w:t>
            </w:r>
          </w:p>
        </w:tc>
        <w:tc>
          <w:tcPr/>
          <w:p>
            <w:pPr>
              <w:pStyle w:val="Compact"/>
            </w:pPr>
            <w:r>
              <w:t xml:space="preserve">≤ 1 business day</w:t>
            </w:r>
          </w:p>
        </w:tc>
        <w:tc>
          <w:tcPr/>
          <w:p>
            <w:pPr>
              <w:pStyle w:val="Compact"/>
            </w:pPr>
            <w:r>
              <w:t xml:space="preserve">per backlog</w:t>
            </w:r>
          </w:p>
        </w:tc>
        <w:tc>
          <w:tcPr/>
          <w:p>
            <w:pPr>
              <w:pStyle w:val="Compact"/>
            </w:pPr>
            <w:r>
              <w:t xml:space="preserve">ticket</w:t>
            </w:r>
          </w:p>
        </w:tc>
      </w:tr>
    </w:tbl>
    <w:p>
      <w:r>
        <w:pict>
          <v:rect style="width:0;height:1.5pt" o:hralign="center" o:hrstd="t" o:hr="t"/>
        </w:pict>
      </w:r>
    </w:p>
    <w:bookmarkEnd w:id="495"/>
    <w:bookmarkEnd w:id="496"/>
    <w:bookmarkStart w:id="500" w:name="pillar-3-vulnerability-management"/>
    <w:p>
      <w:pPr>
        <w:pStyle w:val="Heading2"/>
      </w:pPr>
      <w:r>
        <w:t xml:space="preserve">5. Pillar 3 — Vulnerability Management</w:t>
      </w:r>
    </w:p>
    <w:bookmarkStart w:id="497" w:name="activities-frequency"/>
    <w:p>
      <w:pPr>
        <w:pStyle w:val="Heading3"/>
      </w:pPr>
      <w:r>
        <w:t xml:space="preserve">5.1 Activities &amp; Frequency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Reference</w:t>
            </w:r>
          </w:p>
        </w:tc>
      </w:tr>
      <w:tr>
        <w:tc>
          <w:tcPr/>
          <w:p>
            <w:pPr>
              <w:pStyle w:val="Compact"/>
            </w:pPr>
            <w:r>
              <w:rPr>
                <w:b/>
                <w:bCs/>
              </w:rPr>
              <w:t xml:space="preserve">Internal vulnerability scan</w:t>
            </w:r>
          </w:p>
        </w:tc>
        <w:tc>
          <w:tcPr/>
          <w:p>
            <w:pPr>
              <w:pStyle w:val="Compact"/>
            </w:pPr>
            <w:r>
              <w:t xml:space="preserve">At least quarterly + after significant changes</w:t>
            </w:r>
          </w:p>
        </w:tc>
        <w:tc>
          <w:tcPr/>
          <w:p>
            <w:pPr>
              <w:pStyle w:val="Compact"/>
            </w:pPr>
            <w:r>
              <w:t xml:space="preserve">PCI Req 11.3.1</w:t>
            </w:r>
          </w:p>
        </w:tc>
      </w:tr>
      <w:tr>
        <w:tc>
          <w:tcPr/>
          <w:p>
            <w:pPr>
              <w:pStyle w:val="Compact"/>
            </w:pPr>
            <w:r>
              <w:rPr>
                <w:b/>
                <w:bCs/>
              </w:rPr>
              <w:t xml:space="preserve">External ASV scan</w:t>
            </w:r>
            <w:r>
              <w:t xml:space="preserve"> </w:t>
            </w:r>
            <w:r>
              <w:t xml:space="preserve">(PCI SSC-approved vendor)</w:t>
            </w:r>
          </w:p>
        </w:tc>
        <w:tc>
          <w:tcPr/>
          <w:p>
            <w:pPr>
              <w:pStyle w:val="Compact"/>
            </w:pPr>
            <w:r>
              <w:t xml:space="preserve">Quarterly, must achieve a</w:t>
            </w:r>
            <w:r>
              <w:t xml:space="preserve"> </w:t>
            </w:r>
            <w:r>
              <w:rPr>
                <w:b/>
                <w:bCs/>
              </w:rPr>
              <w:t xml:space="preserve">passing</w:t>
            </w:r>
            <w:r>
              <w:t xml:space="preserve"> </w:t>
            </w:r>
            <w:r>
              <w:t xml:space="preserve">result</w:t>
            </w:r>
          </w:p>
        </w:tc>
        <w:tc>
          <w:tcPr/>
          <w:p>
            <w:pPr>
              <w:pStyle w:val="Compact"/>
            </w:pPr>
            <w:r>
              <w:t xml:space="preserve">PCI Req 11.3.2</w:t>
            </w:r>
          </w:p>
        </w:tc>
      </w:tr>
      <w:tr>
        <w:tc>
          <w:tcPr/>
          <w:p>
            <w:pPr>
              <w:pStyle w:val="Compact"/>
            </w:pPr>
            <w:r>
              <w:rPr>
                <w:b/>
                <w:bCs/>
              </w:rPr>
              <w:t xml:space="preserve">Authenticated scan</w:t>
            </w:r>
          </w:p>
        </w:tc>
        <w:tc>
          <w:tcPr/>
          <w:p>
            <w:pPr>
              <w:pStyle w:val="Compact"/>
            </w:pPr>
            <w:r>
              <w:t xml:space="preserve">Quarterly</w:t>
            </w:r>
          </w:p>
        </w:tc>
        <w:tc>
          <w:tcPr/>
          <w:p>
            <w:pPr>
              <w:pStyle w:val="Compact"/>
            </w:pPr>
            <w:r>
              <w:t xml:space="preserve">PCI Req 11.3.1.1</w:t>
            </w:r>
          </w:p>
        </w:tc>
      </w:tr>
      <w:tr>
        <w:tc>
          <w:tcPr/>
          <w:p>
            <w:pPr>
              <w:pStyle w:val="Compact"/>
            </w:pPr>
            <w:r>
              <w:rPr>
                <w:b/>
                <w:bCs/>
              </w:rPr>
              <w:t xml:space="preserve">Dependency / SCA scan</w:t>
            </w:r>
            <w:r>
              <w:t xml:space="preserve"> </w:t>
            </w:r>
            <w:r>
              <w:t xml:space="preserve">(</w:t>
            </w:r>
            <w:r>
              <w:rPr>
                <w:rStyle w:val="VerbatimChar"/>
              </w:rPr>
              <w:t xml:space="preserve">govulncheck</w:t>
            </w:r>
            <w:r>
              <w:t xml:space="preserve">, SBOM)</w:t>
            </w:r>
          </w:p>
        </w:tc>
        <w:tc>
          <w:tcPr/>
          <w:p>
            <w:pPr>
              <w:pStyle w:val="Compact"/>
            </w:pPr>
            <w:r>
              <w:t xml:space="preserve">Every build in CI</w:t>
            </w:r>
          </w:p>
        </w:tc>
        <w:tc>
          <w:tcPr/>
          <w:p>
            <w:pPr>
              <w:pStyle w:val="Compact"/>
            </w:pPr>
            <w:r>
              <w:t xml:space="preserve">PCI Req 6.3.1</w:t>
            </w:r>
          </w:p>
        </w:tc>
      </w:tr>
      <w:tr>
        <w:tc>
          <w:tcPr/>
          <w:p>
            <w:pPr>
              <w:pStyle w:val="Compact"/>
            </w:pPr>
            <w:r>
              <w:rPr>
                <w:b/>
                <w:bCs/>
              </w:rPr>
              <w:t xml:space="preserve">SAST / DAST</w:t>
            </w:r>
          </w:p>
        </w:tc>
        <w:tc>
          <w:tcPr/>
          <w:p>
            <w:pPr>
              <w:pStyle w:val="Compact"/>
            </w:pPr>
            <w:r>
              <w:t xml:space="preserve">Every PR (SAST) / every release (DAST)</w:t>
            </w:r>
          </w:p>
        </w:tc>
        <w:tc>
          <w:tcPr/>
          <w:p>
            <w:pPr>
              <w:pStyle w:val="Compact"/>
            </w:pPr>
            <w:r>
              <w:t xml:space="preserve">PCI Req 6.2.3</w:t>
            </w:r>
          </w:p>
        </w:tc>
      </w:tr>
      <w:tr>
        <w:tc>
          <w:tcPr/>
          <w:p>
            <w:pPr>
              <w:pStyle w:val="Compact"/>
            </w:pPr>
            <w:r>
              <w:rPr>
                <w:b/>
                <w:bCs/>
              </w:rPr>
              <w:t xml:space="preserve">Container image scan</w:t>
            </w:r>
          </w:p>
        </w:tc>
        <w:tc>
          <w:tcPr/>
          <w:p>
            <w:pPr>
              <w:pStyle w:val="Compact"/>
            </w:pPr>
            <w:r>
              <w:t xml:space="preserve">Every build (distroless base)</w:t>
            </w:r>
          </w:p>
        </w:tc>
        <w:tc>
          <w:tcPr/>
          <w:p>
            <w:pPr>
              <w:pStyle w:val="Compact"/>
            </w:pPr>
            <w:r>
              <w:t xml:space="preserve">PCI Req 6.3.1</w:t>
            </w:r>
          </w:p>
        </w:tc>
      </w:tr>
    </w:tbl>
    <w:bookmarkEnd w:id="497"/>
    <w:bookmarkStart w:id="498" w:name="remediation-patch-slas"/>
    <w:p>
      <w:pPr>
        <w:pStyle w:val="Heading3"/>
      </w:pPr>
      <w:r>
        <w:t xml:space="preserve">5.2 Remediation / Patch SLAs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Severity (CVSS v3.1)</w:t>
            </w:r>
          </w:p>
        </w:tc>
        <w:tc>
          <w:tcPr/>
          <w:p>
            <w:pPr>
              <w:pStyle w:val="Compact"/>
            </w:pPr>
            <w:r>
              <w:t xml:space="preserve">SLA in CDE</w:t>
            </w:r>
          </w:p>
        </w:tc>
        <w:tc>
          <w:tcPr/>
          <w:p>
            <w:pPr>
              <w:pStyle w:val="Compact"/>
            </w:pPr>
            <w:r>
              <w:t xml:space="preserve">SLA outside CDE</w:t>
            </w:r>
          </w:p>
        </w:tc>
      </w:tr>
      <w:tr>
        <w:tc>
          <w:tcPr/>
          <w:p>
            <w:pPr>
              <w:pStyle w:val="Compact"/>
            </w:pPr>
            <w:r>
              <w:rPr>
                <w:b/>
                <w:bCs/>
              </w:rPr>
              <w:t xml:space="preserve">Critical (9.0–10.0)</w:t>
            </w:r>
          </w:p>
        </w:tc>
        <w:tc>
          <w:tcPr/>
          <w:p>
            <w:pPr>
              <w:pStyle w:val="Compact"/>
            </w:pPr>
            <w:r>
              <w:t xml:space="preserve">≤ 14 days (emergency patch immediately if exploited)</w:t>
            </w:r>
          </w:p>
        </w:tc>
        <w:tc>
          <w:tcPr/>
          <w:p>
            <w:pPr>
              <w:pStyle w:val="Compact"/>
            </w:pPr>
            <w:r>
              <w:t xml:space="preserve">≤ 30 days</w:t>
            </w:r>
          </w:p>
        </w:tc>
      </w:tr>
      <w:tr>
        <w:tc>
          <w:tcPr/>
          <w:p>
            <w:pPr>
              <w:pStyle w:val="Compact"/>
            </w:pPr>
            <w:r>
              <w:rPr>
                <w:b/>
                <w:bCs/>
              </w:rPr>
              <w:t xml:space="preserve">High (7.0–8.9)</w:t>
            </w:r>
          </w:p>
        </w:tc>
        <w:tc>
          <w:tcPr/>
          <w:p>
            <w:pPr>
              <w:pStyle w:val="Compact"/>
            </w:pPr>
            <w:r>
              <w:t xml:space="preserve">≤ 30 days</w:t>
            </w:r>
          </w:p>
        </w:tc>
        <w:tc>
          <w:tcPr/>
          <w:p>
            <w:pPr>
              <w:pStyle w:val="Compact"/>
            </w:pPr>
            <w:r>
              <w:t xml:space="preserve">≤ 60 days</w:t>
            </w:r>
          </w:p>
        </w:tc>
      </w:tr>
      <w:tr>
        <w:tc>
          <w:tcPr/>
          <w:p>
            <w:pPr>
              <w:pStyle w:val="Compact"/>
            </w:pPr>
            <w:r>
              <w:rPr>
                <w:b/>
                <w:bCs/>
              </w:rPr>
              <w:t xml:space="preserve">Medium (4.0–6.9)</w:t>
            </w:r>
          </w:p>
        </w:tc>
        <w:tc>
          <w:tcPr/>
          <w:p>
            <w:pPr>
              <w:pStyle w:val="Compact"/>
            </w:pPr>
            <w:r>
              <w:t xml:space="preserve">≤ 90 days</w:t>
            </w:r>
          </w:p>
        </w:tc>
        <w:tc>
          <w:tcPr/>
          <w:p>
            <w:pPr>
              <w:pStyle w:val="Compact"/>
            </w:pPr>
            <w:r>
              <w:t xml:space="preserve">≤ 90 days</w:t>
            </w:r>
          </w:p>
        </w:tc>
      </w:tr>
      <w:tr>
        <w:tc>
          <w:tcPr/>
          <w:p>
            <w:pPr>
              <w:pStyle w:val="Compact"/>
            </w:pPr>
            <w:r>
              <w:rPr>
                <w:b/>
                <w:bCs/>
              </w:rPr>
              <w:t xml:space="preserve">Low (0.1–3.9)</w:t>
            </w:r>
          </w:p>
        </w:tc>
        <w:tc>
          <w:tcPr/>
          <w:p>
            <w:pPr>
              <w:pStyle w:val="Compact"/>
            </w:pPr>
            <w:r>
              <w:t xml:space="preserve">Risk-based (Req 6.3.3)</w:t>
            </w:r>
          </w:p>
        </w:tc>
        <w:tc>
          <w:tcPr/>
          <w:p>
            <w:pPr>
              <w:pStyle w:val="Compact"/>
            </w:pPr>
            <w:r>
              <w:t xml:space="preserve">Per backlog</w:t>
            </w:r>
          </w:p>
        </w:tc>
      </w:tr>
    </w:tbl>
    <w:p>
      <w:pPr>
        <w:pStyle w:val="BlockText"/>
      </w:pPr>
      <w:r>
        <w:t xml:space="preserve">Severity uses a</w:t>
      </w:r>
      <w:r>
        <w:t xml:space="preserve"> </w:t>
      </w:r>
      <w:r>
        <w:rPr>
          <w:b/>
          <w:bCs/>
        </w:rPr>
        <w:t xml:space="preserve">risk ranking</w:t>
      </w:r>
      <w:r>
        <w:t xml:space="preserve"> </w:t>
      </w:r>
      <w:r>
        <w:t xml:space="preserve">per PCI Req 6.3.1 (CVSS + exploitability + position in the CDE). If a patch cannot meet SLA, a</w:t>
      </w:r>
      <w:r>
        <w:t xml:space="preserve"> </w:t>
      </w:r>
      <w:r>
        <w:rPr>
          <w:b/>
          <w:bCs/>
        </w:rPr>
        <w:t xml:space="preserve">compensating control</w:t>
      </w:r>
      <w:r>
        <w:t xml:space="preserve"> </w:t>
      </w:r>
      <w:r>
        <w:t xml:space="preserve">must be documented and approved by the CISO.</w:t>
      </w:r>
    </w:p>
    <w:bookmarkEnd w:id="498"/>
    <w:bookmarkStart w:id="499" w:name="secure-development-ssdlc-1"/>
    <w:p>
      <w:pPr>
        <w:pStyle w:val="Heading3"/>
      </w:pPr>
      <w:r>
        <w:t xml:space="preserve">5.3 Secure Development (SSDLC)</w:t>
      </w:r>
    </w:p>
    <w:p>
      <w:pPr>
        <w:pStyle w:val="Compact"/>
        <w:numPr>
          <w:ilvl w:val="0"/>
          <w:numId w:val="1199"/>
        </w:numPr>
      </w:pPr>
      <w:r>
        <w:t xml:space="preserve">Peer review on every PR; secret scanning in pre-commit + CI (prevents key leakage per ARCHITECTURE.md §7)</w:t>
      </w:r>
    </w:p>
    <w:p>
      <w:pPr>
        <w:pStyle w:val="Compact"/>
        <w:numPr>
          <w:ilvl w:val="0"/>
          <w:numId w:val="1199"/>
        </w:numPr>
      </w:pPr>
      <w:r>
        <w:t xml:space="preserve">OWASP Top 10 / OWASP ASVS controls — parameterized SQL (sqlc), input validation, rate limiting, idempotency</w:t>
      </w:r>
    </w:p>
    <w:p>
      <w:pPr>
        <w:pStyle w:val="Compact"/>
        <w:numPr>
          <w:ilvl w:val="0"/>
          <w:numId w:val="1199"/>
        </w:numPr>
      </w:pPr>
      <w:r>
        <w:t xml:space="preserve">Key management via HSM/KMS; no keys in code/config (PCI Req 3, 6)</w:t>
      </w:r>
    </w:p>
    <w:p>
      <w:r>
        <w:pict>
          <v:rect style="width:0;height:1.5pt" o:hralign="center" o:hrstd="t" o:hr="t"/>
        </w:pict>
      </w:r>
    </w:p>
    <w:bookmarkEnd w:id="499"/>
    <w:bookmarkEnd w:id="500"/>
    <w:bookmarkStart w:id="503" w:name="pillar-4-penetration-testing-red-team"/>
    <w:p>
      <w:pPr>
        <w:pStyle w:val="Heading2"/>
      </w:pPr>
      <w:r>
        <w:t xml:space="preserve">6. Pillar 4 — Penetration Testing &amp; Red Team</w:t>
      </w:r>
    </w:p>
    <w:bookmarkStart w:id="501" w:name="testing-program"/>
    <w:p>
      <w:pPr>
        <w:pStyle w:val="Heading3"/>
      </w:pPr>
      <w:r>
        <w:t xml:space="preserve">6.1 Testing Program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type</w:t>
            </w:r>
          </w:p>
        </w:tc>
        <w:tc>
          <w:tcPr/>
          <w:p>
            <w:pPr>
              <w:pStyle w:val="Compact"/>
            </w:pPr>
            <w:r>
              <w:t xml:space="preserve">Frequency</w:t>
            </w:r>
          </w:p>
        </w:tc>
        <w:tc>
          <w:tcPr/>
          <w:p>
            <w:pPr>
              <w:pStyle w:val="Compact"/>
            </w:pPr>
            <w:r>
              <w:t xml:space="preserve">Scope</w:t>
            </w:r>
          </w:p>
        </w:tc>
        <w:tc>
          <w:tcPr/>
          <w:p>
            <w:pPr>
              <w:pStyle w:val="Compact"/>
            </w:pPr>
            <w:r>
              <w:t xml:space="preserve">Performed by</w:t>
            </w:r>
          </w:p>
        </w:tc>
      </w:tr>
      <w:tr>
        <w:tc>
          <w:tcPr/>
          <w:p>
            <w:pPr>
              <w:pStyle w:val="Compact"/>
            </w:pPr>
            <w:r>
              <w:rPr>
                <w:b/>
                <w:bCs/>
              </w:rPr>
              <w:t xml:space="preserve">External penetration test</w:t>
            </w:r>
          </w:p>
        </w:tc>
        <w:tc>
          <w:tcPr/>
          <w:p>
            <w:pPr>
              <w:pStyle w:val="Compact"/>
            </w:pPr>
            <w:r>
              <w:t xml:space="preserve">At least annually + after significant changes</w:t>
            </w:r>
          </w:p>
        </w:tc>
        <w:tc>
          <w:tcPr/>
          <w:p>
            <w:pPr>
              <w:pStyle w:val="Compact"/>
            </w:pPr>
            <w:r>
              <w:t xml:space="preserve">perimeter, public API, 3DS flow</w:t>
            </w:r>
          </w:p>
        </w:tc>
        <w:tc>
          <w:tcPr/>
          <w:p>
            <w:pPr>
              <w:pStyle w:val="Compact"/>
            </w:pPr>
            <w:r>
              <w:t xml:space="preserve">Independent tester (PCI Req 11.4.3)</w:t>
            </w:r>
          </w:p>
        </w:tc>
      </w:tr>
      <w:tr>
        <w:tc>
          <w:tcPr/>
          <w:p>
            <w:pPr>
              <w:pStyle w:val="Compact"/>
            </w:pPr>
            <w:r>
              <w:rPr>
                <w:b/>
                <w:bCs/>
              </w:rPr>
              <w:t xml:space="preserve">Internal penetration test</w:t>
            </w:r>
          </w:p>
        </w:tc>
        <w:tc>
          <w:tcPr/>
          <w:p>
            <w:pPr>
              <w:pStyle w:val="Compact"/>
            </w:pPr>
            <w:r>
              <w:t xml:space="preserve">Annually</w:t>
            </w:r>
          </w:p>
        </w:tc>
        <w:tc>
          <w:tcPr/>
          <w:p>
            <w:pPr>
              <w:pStyle w:val="Compact"/>
            </w:pPr>
            <w:r>
              <w:t xml:space="preserve">segmentation, lateral movement</w:t>
            </w:r>
          </w:p>
        </w:tc>
        <w:tc>
          <w:tcPr/>
          <w:p>
            <w:pPr>
              <w:pStyle w:val="Compact"/>
            </w:pPr>
            <w:r>
              <w:t xml:space="preserve">Internal/external (Req 11.4.2)</w:t>
            </w:r>
          </w:p>
        </w:tc>
      </w:tr>
      <w:tr>
        <w:tc>
          <w:tcPr/>
          <w:p>
            <w:pPr>
              <w:pStyle w:val="Compact"/>
            </w:pPr>
            <w:r>
              <w:rPr>
                <w:b/>
                <w:bCs/>
              </w:rPr>
              <w:t xml:space="preserve">Segmentation test</w:t>
            </w:r>
          </w:p>
        </w:tc>
        <w:tc>
          <w:tcPr/>
          <w:p>
            <w:pPr>
              <w:pStyle w:val="Compact"/>
            </w:pPr>
            <w:r>
              <w:t xml:space="preserve">At least every 6 months</w:t>
            </w:r>
          </w:p>
        </w:tc>
        <w:tc>
          <w:tcPr/>
          <w:p>
            <w:pPr>
              <w:pStyle w:val="Compact"/>
            </w:pPr>
            <w:r>
              <w:t xml:space="preserve">prove CDE isolation</w:t>
            </w:r>
          </w:p>
        </w:tc>
        <w:tc>
          <w:tcPr/>
          <w:p>
            <w:pPr>
              <w:pStyle w:val="Compact"/>
            </w:pPr>
            <w:r>
              <w:t xml:space="preserve">Req 11.4.5</w:t>
            </w:r>
          </w:p>
        </w:tc>
      </w:tr>
      <w:tr>
        <w:tc>
          <w:tcPr/>
          <w:p>
            <w:pPr>
              <w:pStyle w:val="Compact"/>
            </w:pPr>
            <w:r>
              <w:rPr>
                <w:b/>
                <w:bCs/>
              </w:rPr>
              <w:t xml:space="preserve">Red team exercise</w:t>
            </w:r>
          </w:p>
        </w:tc>
        <w:tc>
          <w:tcPr/>
          <w:p>
            <w:pPr>
              <w:pStyle w:val="Compact"/>
            </w:pPr>
            <w:r>
              <w:t xml:space="preserve">Annually (objective-based)</w:t>
            </w:r>
          </w:p>
        </w:tc>
        <w:tc>
          <w:tcPr/>
          <w:p>
            <w:pPr>
              <w:pStyle w:val="Compact"/>
            </w:pPr>
            <w:r>
              <w:t xml:space="preserve">simulate APT: phishing → CHD</w:t>
            </w:r>
          </w:p>
        </w:tc>
        <w:tc>
          <w:tcPr/>
          <w:p>
            <w:pPr>
              <w:pStyle w:val="Compact"/>
            </w:pPr>
            <w:r>
              <w:t xml:space="preserve">Independent red team</w:t>
            </w:r>
          </w:p>
        </w:tc>
      </w:tr>
      <w:tr>
        <w:tc>
          <w:tcPr/>
          <w:p>
            <w:pPr>
              <w:pStyle w:val="Compact"/>
            </w:pPr>
            <w:r>
              <w:rPr>
                <w:b/>
                <w:bCs/>
              </w:rPr>
              <w:t xml:space="preserve">Purple team</w:t>
            </w:r>
          </w:p>
        </w:tc>
        <w:tc>
          <w:tcPr/>
          <w:p>
            <w:pPr>
              <w:pStyle w:val="Compact"/>
            </w:pPr>
            <w:r>
              <w:t xml:space="preserve">Quarterly</w:t>
            </w:r>
          </w:p>
        </w:tc>
        <w:tc>
          <w:tcPr/>
          <w:p>
            <w:pPr>
              <w:pStyle w:val="Compact"/>
            </w:pPr>
            <w:r>
              <w:t xml:space="preserve">tune detection rules with SOC</w:t>
            </w:r>
          </w:p>
        </w:tc>
        <w:tc>
          <w:tcPr/>
          <w:p>
            <w:pPr>
              <w:pStyle w:val="Compact"/>
            </w:pPr>
            <w:r>
              <w:t xml:space="preserve">Red + Blue team</w:t>
            </w:r>
          </w:p>
        </w:tc>
      </w:tr>
      <w:tr>
        <w:tc>
          <w:tcPr/>
          <w:p>
            <w:pPr>
              <w:pStyle w:val="Compact"/>
            </w:pPr>
            <w:r>
              <w:rPr>
                <w:b/>
                <w:bCs/>
              </w:rPr>
              <w:t xml:space="preserve">Breach &amp; Attack Simulation (BAS)</w:t>
            </w:r>
          </w:p>
        </w:tc>
        <w:tc>
          <w:tcPr/>
          <w:p>
            <w:pPr>
              <w:pStyle w:val="Compact"/>
            </w:pPr>
            <w:r>
              <w:t xml:space="preserve">Continuous (automated)</w:t>
            </w:r>
          </w:p>
        </w:tc>
        <w:tc>
          <w:tcPr/>
          <w:p>
            <w:pPr>
              <w:pStyle w:val="Compact"/>
            </w:pPr>
            <w:r>
              <w:t xml:space="preserve">test controls against MITRE ATT&amp;CK</w:t>
            </w:r>
          </w:p>
        </w:tc>
        <w:tc>
          <w:tcPr/>
          <w:p>
            <w:pPr>
              <w:pStyle w:val="Compact"/>
            </w:pPr>
            <w:r>
              <w:t xml:space="preserve">Automated tooling</w:t>
            </w:r>
          </w:p>
        </w:tc>
      </w:tr>
    </w:tbl>
    <w:bookmarkEnd w:id="501"/>
    <w:bookmarkStart w:id="502" w:name="red-team-principles"/>
    <w:p>
      <w:pPr>
        <w:pStyle w:val="Heading3"/>
      </w:pPr>
      <w:r>
        <w:t xml:space="preserve">6.2 Red Team Principles</w:t>
      </w:r>
    </w:p>
    <w:p>
      <w:pPr>
        <w:pStyle w:val="Compact"/>
        <w:numPr>
          <w:ilvl w:val="0"/>
          <w:numId w:val="1200"/>
        </w:numPr>
      </w:pPr>
      <w:r>
        <w:t xml:space="preserve">Objective-based / TIBER-EU-style — e.g.,</w:t>
      </w:r>
      <w:r>
        <w:t xml:space="preserve"> </w:t>
      </w:r>
      <w:r>
        <w:t xml:space="preserve">“reach the token vault and extract 100 test PANs undetected”</w:t>
      </w:r>
    </w:p>
    <w:p>
      <w:pPr>
        <w:pStyle w:val="Compact"/>
        <w:numPr>
          <w:ilvl w:val="0"/>
          <w:numId w:val="1200"/>
        </w:numPr>
      </w:pPr>
      <w:r>
        <w:t xml:space="preserve">Findings must be exploited to demonstrate impact (Req 11.4.4), then</w:t>
      </w:r>
      <w:r>
        <w:t xml:space="preserve"> </w:t>
      </w:r>
      <w:r>
        <w:rPr>
          <w:b/>
          <w:bCs/>
        </w:rPr>
        <w:t xml:space="preserve">retested</w:t>
      </w:r>
      <w:r>
        <w:t xml:space="preserve"> </w:t>
      </w:r>
      <w:r>
        <w:t xml:space="preserve">after remediation until closed</w:t>
      </w:r>
    </w:p>
    <w:p>
      <w:pPr>
        <w:pStyle w:val="Compact"/>
        <w:numPr>
          <w:ilvl w:val="0"/>
          <w:numId w:val="1200"/>
        </w:numPr>
      </w:pPr>
      <w:r>
        <w:t xml:space="preserve">Summary reports to the CISO and Risk Committee with remediation timelines</w:t>
      </w:r>
    </w:p>
    <w:p>
      <w:pPr>
        <w:pStyle w:val="BlockText"/>
      </w:pPr>
      <w:r>
        <w:rPr>
          <w:b/>
          <w:bCs/>
        </w:rPr>
        <w:t xml:space="preserve">[TODO/Assumption]</w:t>
      </w:r>
      <w:r>
        <w:t xml:space="preserve"> </w:t>
      </w:r>
      <w:r>
        <w:t xml:space="preserve">Select qualified pentest/red-team providers (e.g., CREST/OSCP), independent of the development team; no provider locked yet.</w:t>
      </w:r>
    </w:p>
    <w:p>
      <w:r>
        <w:pict>
          <v:rect style="width:0;height:1.5pt" o:hralign="center" o:hrstd="t" o:hr="t"/>
        </w:pict>
      </w:r>
    </w:p>
    <w:bookmarkEnd w:id="502"/>
    <w:bookmarkEnd w:id="503"/>
    <w:bookmarkStart w:id="509" w:name="pillar-5-incident-response-recovery"/>
    <w:p>
      <w:pPr>
        <w:pStyle w:val="Heading2"/>
      </w:pPr>
      <w:r>
        <w:t xml:space="preserve">7. Pillar 5 — Incident Response &amp; Recovery</w:t>
      </w:r>
    </w:p>
    <w:bookmarkStart w:id="504" w:name="ir-process-nist-sp-800-61-pci-req-12.10"/>
    <w:p>
      <w:pPr>
        <w:pStyle w:val="Heading3"/>
      </w:pPr>
      <w:r>
        <w:t xml:space="preserve">7.1 IR Process (NIST SP 800-61 &amp; PCI Req 12.10)</w:t>
      </w:r>
    </w:p>
    <w:p>
      <w:pPr>
        <w:pStyle w:val="FirstParagraph"/>
      </w:pPr>
      <w:r>
        <w:rPr>
          <w:b/>
          <w:bCs/>
        </w:rPr>
        <w:t xml:space="preserve">Prepare → Detect → Analyze → Contain → Eradicate → Recover → Post-incident review</w:t>
      </w:r>
    </w:p>
    <w:p>
      <w:pPr>
        <w:pStyle w:val="Compact"/>
        <w:numPr>
          <w:ilvl w:val="0"/>
          <w:numId w:val="1201"/>
        </w:numPr>
      </w:pPr>
      <w:r>
        <w:rPr>
          <w:b/>
          <w:bCs/>
        </w:rPr>
        <w:t xml:space="preserve">CSIRT</w:t>
      </w:r>
      <w:r>
        <w:t xml:space="preserve"> </w:t>
      </w:r>
      <w:r>
        <w:t xml:space="preserve">available 24×7 with the IRM as Incident Commander</w:t>
      </w:r>
    </w:p>
    <w:p>
      <w:pPr>
        <w:pStyle w:val="Compact"/>
        <w:numPr>
          <w:ilvl w:val="0"/>
          <w:numId w:val="1201"/>
        </w:numPr>
      </w:pPr>
      <w:r>
        <w:t xml:space="preserve">Topic-specific playbooks:</w:t>
      </w:r>
      <w:r>
        <w:t xml:space="preserve"> </w:t>
      </w:r>
      <w:r>
        <w:rPr>
          <w:b/>
          <w:bCs/>
        </w:rPr>
        <w:t xml:space="preserve">ransomware, PAN/data breach, DDoS, account takeover, insider threat, third-party/supply-chain compromise</w:t>
      </w:r>
    </w:p>
    <w:p>
      <w:pPr>
        <w:pStyle w:val="Compact"/>
        <w:numPr>
          <w:ilvl w:val="0"/>
          <w:numId w:val="1201"/>
        </w:numPr>
      </w:pPr>
      <w:r>
        <w:rPr>
          <w:b/>
          <w:bCs/>
        </w:rPr>
        <w:t xml:space="preserve">Test the IR plan at least annually</w:t>
      </w:r>
      <w:r>
        <w:t xml:space="preserve"> </w:t>
      </w:r>
      <w:r>
        <w:t xml:space="preserve">(tabletop + technical drill) per PCI Req 12.10.2</w:t>
      </w:r>
    </w:p>
    <w:bookmarkEnd w:id="504"/>
    <w:bookmarkStart w:id="505" w:name="regulatory-notification-duties"/>
    <w:p>
      <w:pPr>
        <w:pStyle w:val="Heading3"/>
      </w:pPr>
      <w:r>
        <w:t xml:space="preserve">7.2 Regulatory Notification Duties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Authority</w:t>
            </w:r>
          </w:p>
        </w:tc>
        <w:tc>
          <w:tcPr/>
          <w:p>
            <w:pPr>
              <w:pStyle w:val="Compact"/>
            </w:pPr>
            <w:r>
              <w:t xml:space="preserve">Reportable event</w:t>
            </w:r>
          </w:p>
        </w:tc>
        <w:tc>
          <w:tcPr/>
          <w:p>
            <w:pPr>
              <w:pStyle w:val="Compact"/>
            </w:pPr>
            <w:r>
              <w:t xml:space="preserve">Timeframe</w:t>
            </w:r>
          </w:p>
        </w:tc>
      </w:tr>
      <w:tr>
        <w:tc>
          <w:tcPr/>
          <w:p>
            <w:pPr>
              <w:pStyle w:val="Compact"/>
            </w:pPr>
            <w:r>
              <w:rPr>
                <w:b/>
                <w:bCs/>
              </w:rPr>
              <w:t xml:space="preserve">BOT (ธปท.)</w:t>
            </w:r>
          </w:p>
        </w:tc>
        <w:tc>
          <w:tcPr/>
          <w:p>
            <w:pPr>
              <w:pStyle w:val="Compact"/>
            </w:pPr>
            <w:r>
              <w:t xml:space="preserve">Cyber/IT incident materially affecting payment services</w:t>
            </w:r>
          </w:p>
        </w:tc>
        <w:tc>
          <w:tcPr/>
          <w:p>
            <w:pPr>
              <w:pStyle w:val="Compact"/>
            </w:pPr>
            <w:r>
              <w:t xml:space="preserve">Promptly per BOT rules (</w:t>
            </w:r>
            <w:r>
              <w:rPr>
                <w:b/>
                <w:bCs/>
              </w:rPr>
              <w:t xml:space="preserve">[TODO]</w:t>
            </w:r>
            <w:r>
              <w:t xml:space="preserve"> </w:t>
            </w:r>
            <w:r>
              <w:t xml:space="preserve">confirm timeframe in latest notification)</w:t>
            </w:r>
          </w:p>
        </w:tc>
      </w:tr>
      <w:tr>
        <w:tc>
          <w:tcPr/>
          <w:p>
            <w:pPr>
              <w:pStyle w:val="Compact"/>
            </w:pPr>
            <w:r>
              <w:rPr>
                <w:b/>
                <w:bCs/>
              </w:rPr>
              <w:t xml:space="preserve">PDPC</w:t>
            </w:r>
          </w:p>
        </w:tc>
        <w:tc>
          <w:tcPr/>
          <w:p>
            <w:pPr>
              <w:pStyle w:val="Compact"/>
            </w:pPr>
            <w:r>
              <w:t xml:space="preserve">Personal-data breach risking individuals’ rights</w:t>
            </w:r>
          </w:p>
        </w:tc>
        <w:tc>
          <w:tcPr/>
          <w:p>
            <w:pPr>
              <w:pStyle w:val="Compact"/>
            </w:pPr>
            <w:r>
              <w:t xml:space="preserve">Within</w:t>
            </w:r>
            <w:r>
              <w:t xml:space="preserve"> </w:t>
            </w:r>
            <w:r>
              <w:rPr>
                <w:b/>
                <w:bCs/>
              </w:rPr>
              <w:t xml:space="preserve">72 hours</w:t>
            </w:r>
            <w:r>
              <w:t xml:space="preserve"> </w:t>
            </w:r>
            <w:r>
              <w:t xml:space="preserve">(PDPA Sec. 37(4))</w:t>
            </w:r>
          </w:p>
        </w:tc>
      </w:tr>
      <w:tr>
        <w:tc>
          <w:tcPr/>
          <w:p>
            <w:pPr>
              <w:pStyle w:val="Compact"/>
            </w:pPr>
            <w:r>
              <w:rPr>
                <w:b/>
                <w:bCs/>
              </w:rPr>
              <w:t xml:space="preserve">AMLO (ปปง.)</w:t>
            </w:r>
          </w:p>
        </w:tc>
        <w:tc>
          <w:tcPr/>
          <w:p>
            <w:pPr>
              <w:pStyle w:val="Compact"/>
            </w:pPr>
            <w:r>
              <w:t xml:space="preserve">If linked to suspicious transactions/laundering</w:t>
            </w:r>
          </w:p>
        </w:tc>
        <w:tc>
          <w:tcPr/>
          <w:p>
            <w:pPr>
              <w:pStyle w:val="Compact"/>
            </w:pPr>
            <w:r>
              <w:t xml:space="preserve">Per AMLO rules</w:t>
            </w:r>
          </w:p>
        </w:tc>
      </w:tr>
      <w:tr>
        <w:tc>
          <w:tcPr/>
          <w:p>
            <w:pPr>
              <w:pStyle w:val="Compact"/>
            </w:pPr>
            <w:r>
              <w:rPr>
                <w:b/>
                <w:bCs/>
              </w:rPr>
              <w:t xml:space="preserve">Card schemes / Sponsor bank</w:t>
            </w:r>
          </w:p>
        </w:tc>
        <w:tc>
          <w:tcPr/>
          <w:p>
            <w:pPr>
              <w:pStyle w:val="Compact"/>
            </w:pPr>
            <w:r>
              <w:t xml:space="preserve">Suspected Account Data Compromise (ADC)</w:t>
            </w:r>
          </w:p>
        </w:tc>
        <w:tc>
          <w:tcPr/>
          <w:p>
            <w:pPr>
              <w:pStyle w:val="Compact"/>
            </w:pPr>
            <w:r>
              <w:t xml:space="preserve">Per scheme rules (often within 24–72 hrs)</w:t>
            </w:r>
          </w:p>
        </w:tc>
      </w:tr>
      <w:tr>
        <w:tc>
          <w:tcPr/>
          <w:p>
            <w:pPr>
              <w:pStyle w:val="Compact"/>
            </w:pPr>
            <w:r>
              <w:rPr>
                <w:b/>
                <w:bCs/>
              </w:rPr>
              <w:t xml:space="preserve">NCSA / ThaiCERT</w:t>
            </w:r>
          </w:p>
        </w:tc>
        <w:tc>
          <w:tcPr/>
          <w:p>
            <w:pPr>
              <w:pStyle w:val="Compact"/>
            </w:pPr>
            <w:r>
              <w:t xml:space="preserve">If classified as CII under the Cybersecurity Act</w:t>
            </w:r>
          </w:p>
        </w:tc>
        <w:tc>
          <w:tcPr/>
          <w:p>
            <w:pPr>
              <w:pStyle w:val="Compact"/>
            </w:pPr>
            <w:r>
              <w:t xml:space="preserve">Per law</w:t>
            </w:r>
          </w:p>
        </w:tc>
      </w:tr>
    </w:tbl>
    <w:bookmarkEnd w:id="505"/>
    <w:bookmarkStart w:id="506" w:name="recovery-objectives"/>
    <w:p>
      <w:pPr>
        <w:pStyle w:val="Heading3"/>
      </w:pPr>
      <w:r>
        <w:t xml:space="preserve">7.3 Recovery Objectives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Reference</w:t>
            </w:r>
          </w:p>
        </w:tc>
      </w:tr>
      <w:tr>
        <w:tc>
          <w:tcPr/>
          <w:p>
            <w:pPr>
              <w:pStyle w:val="Compact"/>
            </w:pPr>
            <w:r>
              <w:rPr>
                <w:b/>
                <w:bCs/>
              </w:rPr>
              <w:t xml:space="preserve">RPO</w:t>
            </w:r>
          </w:p>
        </w:tc>
        <w:tc>
          <w:tcPr/>
          <w:p>
            <w:pPr>
              <w:pStyle w:val="Compact"/>
            </w:pPr>
            <w:r>
              <w:t xml:space="preserve">≤ 5 min (streaming replica)</w:t>
            </w:r>
          </w:p>
        </w:tc>
        <w:tc>
          <w:tcPr/>
          <w:p>
            <w:pPr>
              <w:pStyle w:val="Compact"/>
            </w:pPr>
            <w:r>
              <w:t xml:space="preserve">ARCHITECTURE.md §8</w:t>
            </w:r>
          </w:p>
        </w:tc>
      </w:tr>
      <w:tr>
        <w:tc>
          <w:tcPr/>
          <w:p>
            <w:pPr>
              <w:pStyle w:val="Compact"/>
            </w:pPr>
            <w:r>
              <w:rPr>
                <w:b/>
                <w:bCs/>
              </w:rPr>
              <w:t xml:space="preserve">RTO</w:t>
            </w:r>
          </w:p>
        </w:tc>
        <w:tc>
          <w:tcPr/>
          <w:p>
            <w:pPr>
              <w:pStyle w:val="Compact"/>
            </w:pPr>
            <w:r>
              <w:t xml:space="preserve">≤ 30 min (payment core)</w:t>
            </w:r>
          </w:p>
        </w:tc>
        <w:tc>
          <w:tcPr/>
          <w:p>
            <w:pPr>
              <w:pStyle w:val="Compact"/>
            </w:pPr>
            <w:r>
              <w:t xml:space="preserve">ARCHITECTURE.md §8</w:t>
            </w:r>
          </w:p>
        </w:tc>
      </w:tr>
      <w:tr>
        <w:tc>
          <w:tcPr/>
          <w:p>
            <w:pPr>
              <w:pStyle w:val="Compact"/>
            </w:pPr>
            <w:r>
              <w:rPr>
                <w:b/>
                <w:bCs/>
              </w:rPr>
              <w:t xml:space="preserve">Availability</w:t>
            </w:r>
          </w:p>
        </w:tc>
        <w:tc>
          <w:tcPr/>
          <w:p>
            <w:pPr>
              <w:pStyle w:val="Compact"/>
            </w:pPr>
            <w:r>
              <w:t xml:space="preserve">≥ 99.95% (payment core)</w:t>
            </w:r>
          </w:p>
        </w:tc>
        <w:tc>
          <w:tcPr/>
          <w:p>
            <w:pPr>
              <w:pStyle w:val="Compact"/>
            </w:pPr>
            <w:r>
              <w:t xml:space="preserve">ARCHITECTURE.md §8</w:t>
            </w:r>
          </w:p>
        </w:tc>
      </w:tr>
    </w:tbl>
    <w:bookmarkEnd w:id="506"/>
    <w:bookmarkStart w:id="507" w:name="infrastructure-resilience"/>
    <w:p>
      <w:pPr>
        <w:pStyle w:val="Heading3"/>
      </w:pPr>
      <w:r>
        <w:t xml:space="preserve">7.4 Infrastructure Resilience</w:t>
      </w:r>
    </w:p>
    <w:p>
      <w:pPr>
        <w:pStyle w:val="Compact"/>
        <w:numPr>
          <w:ilvl w:val="0"/>
          <w:numId w:val="1202"/>
        </w:numPr>
      </w:pPr>
      <w:r>
        <w:t xml:space="preserve">Multi-AZ deployment in Thailand (data residency per BOT/PDPA) + a DR site</w:t>
      </w:r>
    </w:p>
    <w:p>
      <w:pPr>
        <w:pStyle w:val="Compact"/>
        <w:numPr>
          <w:ilvl w:val="0"/>
          <w:numId w:val="1202"/>
        </w:numPr>
      </w:pPr>
      <w:r>
        <w:rPr>
          <w:b/>
          <w:bCs/>
        </w:rPr>
        <w:t xml:space="preserve">Immutable / air-gapped backups</w:t>
      </w:r>
      <w:r>
        <w:t xml:space="preserve"> </w:t>
      </w:r>
      <w:r>
        <w:t xml:space="preserve">with periodic restore tests (protects backups against ransomware encryption)</w:t>
      </w:r>
    </w:p>
    <w:p>
      <w:pPr>
        <w:pStyle w:val="Compact"/>
        <w:numPr>
          <w:ilvl w:val="0"/>
          <w:numId w:val="1202"/>
        </w:numPr>
      </w:pPr>
      <w:r>
        <w:rPr>
          <w:b/>
          <w:bCs/>
        </w:rPr>
        <w:t xml:space="preserve">DR drill / failover test at least annually</w:t>
      </w:r>
      <w:r>
        <w:t xml:space="preserve"> </w:t>
      </w:r>
      <w:r>
        <w:t xml:space="preserve">with documented, measured RTO/RPO</w:t>
      </w:r>
    </w:p>
    <w:p>
      <w:pPr>
        <w:pStyle w:val="Compact"/>
        <w:numPr>
          <w:ilvl w:val="0"/>
          <w:numId w:val="1202"/>
        </w:numPr>
      </w:pPr>
      <w:r>
        <w:t xml:space="preserve">Append-only double-entry ledger as the source of truth for post-recovery reconciliation (per ARCHITECTURE.md §2)</w:t>
      </w:r>
    </w:p>
    <w:p>
      <w:pPr>
        <w:pStyle w:val="Compact"/>
        <w:numPr>
          <w:ilvl w:val="0"/>
          <w:numId w:val="1202"/>
        </w:numPr>
      </w:pPr>
      <w:r>
        <w:rPr>
          <w:b/>
          <w:bCs/>
        </w:rPr>
        <w:t xml:space="preserve">Fail closed</w:t>
      </w:r>
      <w:r>
        <w:t xml:space="preserve"> </w:t>
      </w:r>
      <w:r>
        <w:t xml:space="preserve">— when transaction state is uncertain, treat it as not completed and reconcile later</w:t>
      </w:r>
    </w:p>
    <w:bookmarkEnd w:id="507"/>
    <w:bookmarkStart w:id="508" w:name="ransomware-readiness"/>
    <w:p>
      <w:pPr>
        <w:pStyle w:val="Heading3"/>
      </w:pPr>
      <w:r>
        <w:t xml:space="preserve">7.5 Ransomware Readiness</w:t>
      </w:r>
    </w:p>
    <w:p>
      <w:pPr>
        <w:pStyle w:val="Compact"/>
        <w:numPr>
          <w:ilvl w:val="0"/>
          <w:numId w:val="1203"/>
        </w:numPr>
      </w:pPr>
      <w:r>
        <w:t xml:space="preserve">Detect mass-encryption behavior via SIEM/EDR</w:t>
      </w:r>
    </w:p>
    <w:p>
      <w:pPr>
        <w:pStyle w:val="Compact"/>
        <w:numPr>
          <w:ilvl w:val="0"/>
          <w:numId w:val="1203"/>
        </w:numPr>
      </w:pPr>
      <w:r>
        <w:t xml:space="preserve">Network segmentation to limit spread</w:t>
      </w:r>
    </w:p>
    <w:p>
      <w:pPr>
        <w:pStyle w:val="Compact"/>
        <w:numPr>
          <w:ilvl w:val="0"/>
          <w:numId w:val="1203"/>
        </w:numPr>
      </w:pPr>
      <w:r>
        <w:t xml:space="preserve">Policy of</w:t>
      </w:r>
      <w:r>
        <w:t xml:space="preserve"> </w:t>
      </w:r>
      <w:r>
        <w:rPr>
          <w:b/>
          <w:bCs/>
        </w:rPr>
        <w:t xml:space="preserve">no-ransom-as-first-option</w:t>
      </w:r>
      <w:r>
        <w:t xml:space="preserve"> </w:t>
      </w:r>
      <w:r>
        <w:t xml:space="preserve">— rely on clean backups and coordinate with law enforcement</w:t>
      </w:r>
    </w:p>
    <w:p>
      <w:r>
        <w:pict>
          <v:rect style="width:0;height:1.5pt" o:hralign="center" o:hrstd="t" o:hr="t"/>
        </w:pict>
      </w:r>
    </w:p>
    <w:bookmarkEnd w:id="508"/>
    <w:bookmarkEnd w:id="509"/>
    <w:bookmarkStart w:id="510" w:name="metrics-kris-review"/>
    <w:p>
      <w:pPr>
        <w:pStyle w:val="Heading2"/>
      </w:pPr>
      <w:r>
        <w:t xml:space="preserve">8. Metrics, KRIs &amp;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 (KRI/KPI)</w:t>
            </w:r>
          </w:p>
        </w:tc>
        <w:tc>
          <w:tcPr/>
          <w:p>
            <w:pPr>
              <w:pStyle w:val="Compact"/>
            </w:pPr>
            <w:r>
              <w:t xml:space="preserve">Target</w:t>
            </w:r>
          </w:p>
        </w:tc>
      </w:tr>
      <w:tr>
        <w:tc>
          <w:tcPr/>
          <w:p>
            <w:pPr>
              <w:pStyle w:val="Compact"/>
            </w:pPr>
            <w:r>
              <w:t xml:space="preserve">MTTA (Critical alert)</w:t>
            </w:r>
          </w:p>
        </w:tc>
        <w:tc>
          <w:tcPr/>
          <w:p>
            <w:pPr>
              <w:pStyle w:val="Compact"/>
            </w:pPr>
            <w:r>
              <w:t xml:space="preserve">≤ 15 min</w:t>
            </w:r>
          </w:p>
        </w:tc>
      </w:tr>
      <w:tr>
        <w:tc>
          <w:tcPr/>
          <w:p>
            <w:pPr>
              <w:pStyle w:val="Compact"/>
            </w:pPr>
            <w:r>
              <w:t xml:space="preserve">MTTR (Critical incident)</w:t>
            </w:r>
          </w:p>
        </w:tc>
        <w:tc>
          <w:tcPr/>
          <w:p>
            <w:pPr>
              <w:pStyle w:val="Compact"/>
            </w:pPr>
            <w:r>
              <w:t xml:space="preserve">≤ 4 hrs</w:t>
            </w:r>
          </w:p>
        </w:tc>
      </w:tr>
      <w:tr>
        <w:tc>
          <w:tcPr/>
          <w:p>
            <w:pPr>
              <w:pStyle w:val="Compact"/>
            </w:pPr>
            <w:r>
              <w:t xml:space="preserve">Critical patches within SLA</w:t>
            </w:r>
          </w:p>
        </w:tc>
        <w:tc>
          <w:tcPr/>
          <w:p>
            <w:pPr>
              <w:pStyle w:val="Compact"/>
            </w:pPr>
            <w:r>
              <w:t xml:space="preserve">≥ 95%</w:t>
            </w:r>
          </w:p>
        </w:tc>
      </w:tr>
      <w:tr>
        <w:tc>
          <w:tcPr/>
          <w:p>
            <w:pPr>
              <w:pStyle w:val="Compact"/>
            </w:pPr>
            <w:r>
              <w:t xml:space="preserve">ASV quarterly scan</w:t>
            </w:r>
          </w:p>
        </w:tc>
        <w:tc>
          <w:tcPr/>
          <w:p>
            <w:pPr>
              <w:pStyle w:val="Compact"/>
            </w:pPr>
            <w:r>
              <w:t xml:space="preserve">Passing every quarter</w:t>
            </w:r>
          </w:p>
        </w:tc>
      </w:tr>
      <w:tr>
        <w:tc>
          <w:tcPr/>
          <w:p>
            <w:pPr>
              <w:pStyle w:val="Compact"/>
            </w:pPr>
            <w:r>
              <w:t xml:space="preserve">Log coverage of CDE systems</w:t>
            </w:r>
          </w:p>
        </w:tc>
        <w:tc>
          <w:tcPr/>
          <w:p>
            <w:pPr>
              <w:pStyle w:val="Compact"/>
            </w:pPr>
            <w:r>
              <w:t xml:space="preserve">100%</w:t>
            </w:r>
          </w:p>
        </w:tc>
      </w:tr>
      <w:tr>
        <w:tc>
          <w:tcPr/>
          <w:p>
            <w:pPr>
              <w:pStyle w:val="Compact"/>
            </w:pPr>
            <w:r>
              <w:t xml:space="preserve">DR drill result</w:t>
            </w:r>
          </w:p>
        </w:tc>
        <w:tc>
          <w:tcPr/>
          <w:p>
            <w:pPr>
              <w:pStyle w:val="Compact"/>
            </w:pPr>
            <w:r>
              <w:t xml:space="preserve">Meets RTO/RPO</w:t>
            </w:r>
          </w:p>
        </w:tc>
      </w:tr>
    </w:tbl>
    <w:p>
      <w:pPr>
        <w:pStyle w:val="Compact"/>
        <w:numPr>
          <w:ilvl w:val="0"/>
          <w:numId w:val="1204"/>
        </w:numPr>
      </w:pPr>
      <w:r>
        <w:rPr>
          <w:b/>
          <w:bCs/>
        </w:rPr>
        <w:t xml:space="preserve">Review the plan at least annually</w:t>
      </w:r>
      <w:r>
        <w:t xml:space="preserve"> </w:t>
      </w:r>
      <w:r>
        <w:t xml:space="preserve">and after major incidents / legal changes</w:t>
      </w:r>
    </w:p>
    <w:p>
      <w:pPr>
        <w:pStyle w:val="Compact"/>
        <w:numPr>
          <w:ilvl w:val="0"/>
          <w:numId w:val="1204"/>
        </w:numPr>
      </w:pPr>
      <w:r>
        <w:t xml:space="preserve">Report cyber-resilience status to the Risk Committee quarterly and to the Board annually</w:t>
      </w:r>
    </w:p>
    <w:p>
      <w:r>
        <w:pict>
          <v:rect style="width:0;height:1.5pt" o:hralign="center" o:hrstd="t" o:hr="t"/>
        </w:pict>
      </w:r>
    </w:p>
    <w:bookmarkEnd w:id="510"/>
    <w:bookmarkStart w:id="511" w:name="assumptions-todo-2"/>
    <w:p>
      <w:pPr>
        <w:pStyle w:val="Heading2"/>
      </w:pPr>
      <w:r>
        <w:t xml:space="preserve">9. Assumptions &amp; TODO</w:t>
      </w:r>
    </w:p>
    <w:p>
      <w:pPr>
        <w:pStyle w:val="BlockText"/>
      </w:pPr>
      <w:r>
        <w:t xml:space="preserve">External dependencies to close before actual filing</w:t>
      </w:r>
    </w:p>
    <w:p>
      <w:pPr>
        <w:pStyle w:val="Compact"/>
        <w:numPr>
          <w:ilvl w:val="0"/>
          <w:numId w:val="1205"/>
        </w:numPr>
      </w:pPr>
      <w:r>
        <w:rPr>
          <w:b/>
          <w:bCs/>
        </w:rPr>
        <w:t xml:space="preserve">[TODO]</w:t>
      </w:r>
      <w:r>
        <w:t xml:space="preserve"> </w:t>
      </w:r>
      <w:r>
        <w:t xml:space="preserve">Select and name the</w:t>
      </w:r>
      <w:r>
        <w:t xml:space="preserve"> </w:t>
      </w:r>
      <w:r>
        <w:rPr>
          <w:b/>
          <w:bCs/>
        </w:rPr>
        <w:t xml:space="preserve">QSA</w:t>
      </w:r>
      <w:r>
        <w:t xml:space="preserve"> </w:t>
      </w:r>
      <w:r>
        <w:t xml:space="preserve">that will issue the RoC</w:t>
      </w:r>
    </w:p>
    <w:p>
      <w:pPr>
        <w:pStyle w:val="Compact"/>
        <w:numPr>
          <w:ilvl w:val="0"/>
          <w:numId w:val="1205"/>
        </w:numPr>
      </w:pPr>
      <w:r>
        <w:rPr>
          <w:b/>
          <w:bCs/>
        </w:rPr>
        <w:t xml:space="preserve">[TODO]</w:t>
      </w:r>
      <w:r>
        <w:t xml:space="preserve"> </w:t>
      </w:r>
      <w:r>
        <w:t xml:space="preserve">Decide</w:t>
      </w:r>
      <w:r>
        <w:t xml:space="preserve"> </w:t>
      </w:r>
      <w:r>
        <w:rPr>
          <w:b/>
          <w:bCs/>
        </w:rPr>
        <w:t xml:space="preserve">in-house SOC vs MSSP</w:t>
      </w:r>
      <w:r>
        <w:t xml:space="preserve"> </w:t>
      </w:r>
      <w:r>
        <w:t xml:space="preserve">and name the provider (with data-residency terms)</w:t>
      </w:r>
    </w:p>
    <w:p>
      <w:pPr>
        <w:pStyle w:val="Compact"/>
        <w:numPr>
          <w:ilvl w:val="0"/>
          <w:numId w:val="1205"/>
        </w:numPr>
      </w:pPr>
      <w:r>
        <w:rPr>
          <w:b/>
          <w:bCs/>
        </w:rPr>
        <w:t xml:space="preserve">[TODO]</w:t>
      </w:r>
      <w:r>
        <w:t xml:space="preserve"> </w:t>
      </w:r>
      <w:r>
        <w:t xml:space="preserve">Select an independent, certified</w:t>
      </w:r>
      <w:r>
        <w:t xml:space="preserve"> </w:t>
      </w:r>
      <w:r>
        <w:rPr>
          <w:b/>
          <w:bCs/>
        </w:rPr>
        <w:t xml:space="preserve">pentest / red-team</w:t>
      </w:r>
      <w:r>
        <w:t xml:space="preserve"> </w:t>
      </w:r>
      <w:r>
        <w:t xml:space="preserve">provider</w:t>
      </w:r>
    </w:p>
    <w:p>
      <w:pPr>
        <w:pStyle w:val="Compact"/>
        <w:numPr>
          <w:ilvl w:val="0"/>
          <w:numId w:val="1205"/>
        </w:numPr>
      </w:pPr>
      <w:r>
        <w:rPr>
          <w:b/>
          <w:bCs/>
        </w:rPr>
        <w:t xml:space="preserve">[TODO]</w:t>
      </w:r>
      <w:r>
        <w:t xml:space="preserve"> </w:t>
      </w:r>
      <w:r>
        <w:t xml:space="preserve">Confirm the number/year of the latest</w:t>
      </w:r>
      <w:r>
        <w:t xml:space="preserve"> </w:t>
      </w:r>
      <w:r>
        <w:rPr>
          <w:b/>
          <w:bCs/>
        </w:rPr>
        <w:t xml:space="preserve">BOT notification</w:t>
      </w:r>
      <w:r>
        <w:t xml:space="preserve"> </w:t>
      </w:r>
      <w:r>
        <w:t xml:space="preserve">on IT Risk / Cyber Resilience and the incident-reporting timeframe</w:t>
      </w:r>
    </w:p>
    <w:p>
      <w:pPr>
        <w:pStyle w:val="Compact"/>
        <w:numPr>
          <w:ilvl w:val="0"/>
          <w:numId w:val="1205"/>
        </w:numPr>
      </w:pPr>
      <w:r>
        <w:rPr>
          <w:b/>
          <w:bCs/>
        </w:rPr>
        <w:t xml:space="preserve">[TODO]</w:t>
      </w:r>
      <w:r>
        <w:t xml:space="preserve"> </w:t>
      </w:r>
      <w:r>
        <w:t xml:space="preserve">Confirm notification requirements with the</w:t>
      </w:r>
      <w:r>
        <w:t xml:space="preserve"> </w:t>
      </w:r>
      <w:r>
        <w:rPr>
          <w:b/>
          <w:bCs/>
        </w:rPr>
        <w:t xml:space="preserve">sponsor bank / card scheme</w:t>
      </w:r>
      <w:r>
        <w:t xml:space="preserve"> </w:t>
      </w:r>
      <w:r>
        <w:t xml:space="preserve">(sponsor bank not yet finalized)</w:t>
      </w:r>
    </w:p>
    <w:p>
      <w:pPr>
        <w:pStyle w:val="Compact"/>
        <w:numPr>
          <w:ilvl w:val="0"/>
          <w:numId w:val="1205"/>
        </w:numPr>
      </w:pPr>
      <w:r>
        <w:rPr>
          <w:b/>
          <w:bCs/>
        </w:rPr>
        <w:t xml:space="preserve">[Assumption]</w:t>
      </w:r>
      <w:r>
        <w:t xml:space="preserve"> </w:t>
      </w:r>
      <w:r>
        <w:t xml:space="preserve">Registered paid-up capital of</w:t>
      </w:r>
      <w:r>
        <w:t xml:space="preserve"> </w:t>
      </w:r>
      <w:r>
        <w:rPr>
          <w:b/>
          <w:bCs/>
        </w:rPr>
        <w:t xml:space="preserve">THB 50 million</w:t>
      </w:r>
      <w:r>
        <w:t xml:space="preserve"> </w:t>
      </w:r>
      <w:r>
        <w:t xml:space="preserve">(verify actual figure against Document No. 02)</w:t>
      </w:r>
    </w:p>
    <w:p>
      <w:pPr>
        <w:pStyle w:val="Compact"/>
        <w:numPr>
          <w:ilvl w:val="0"/>
          <w:numId w:val="1205"/>
        </w:numPr>
      </w:pPr>
      <w:r>
        <w:rPr>
          <w:b/>
          <w:bCs/>
        </w:rPr>
        <w:t xml:space="preserve">[TODO]</w:t>
      </w:r>
      <w:r>
        <w:t xml:space="preserve"> </w:t>
      </w:r>
      <w:r>
        <w:t xml:space="preserve">Assess</w:t>
      </w:r>
      <w:r>
        <w:t xml:space="preserve"> </w:t>
      </w:r>
      <w:r>
        <w:rPr>
          <w:b/>
          <w:bCs/>
        </w:rPr>
        <w:t xml:space="preserve">CII</w:t>
      </w:r>
      <w:r>
        <w:t xml:space="preserve"> </w:t>
      </w:r>
      <w:r>
        <w:t xml:space="preserve">status under the Cybersecurity Act</w:t>
      </w:r>
    </w:p>
    <w:p>
      <w:r>
        <w:pict>
          <v:rect style="width:0;height:1.5pt" o:hralign="center" o:hrstd="t" o:hr="t"/>
        </w:pict>
      </w:r>
    </w:p>
    <w:bookmarkEnd w:id="511"/>
    <w:bookmarkStart w:id="512" w:name="related-documents-1"/>
    <w:p>
      <w:pPr>
        <w:pStyle w:val="Heading2"/>
      </w:pPr>
      <w:r>
        <w:t xml:space="preserve">10. Related Documents</w:t>
      </w:r>
    </w:p>
    <w:p>
      <w:pPr>
        <w:pStyle w:val="Compact"/>
        <w:numPr>
          <w:ilvl w:val="0"/>
          <w:numId w:val="1206"/>
        </w:numPr>
      </w:pPr>
      <w:r>
        <w:rPr>
          <w:rStyle w:val="VerbatimChar"/>
        </w:rPr>
        <w:t xml:space="preserve">../COMPLIANCE-TH.md</w:t>
      </w:r>
      <w:r>
        <w:t xml:space="preserve"> </w:t>
      </w:r>
      <w:r>
        <w:t xml:space="preserve">— Thai law and license-application steps</w:t>
      </w:r>
    </w:p>
    <w:p>
      <w:pPr>
        <w:pStyle w:val="Compact"/>
        <w:numPr>
          <w:ilvl w:val="0"/>
          <w:numId w:val="1206"/>
        </w:numPr>
      </w:pPr>
      <w:r>
        <w:rPr>
          <w:rStyle w:val="VerbatimChar"/>
        </w:rPr>
        <w:t xml:space="preserve">../ARCHITECTURE.md</w:t>
      </w:r>
      <w:r>
        <w:t xml:space="preserve"> </w:t>
      </w:r>
      <w:r>
        <w:t xml:space="preserve">— architecture, security/PCI, NFRs (RPO/RTO)</w:t>
      </w:r>
    </w:p>
    <w:p>
      <w:pPr>
        <w:pStyle w:val="Compact"/>
        <w:numPr>
          <w:ilvl w:val="0"/>
          <w:numId w:val="1206"/>
        </w:numPr>
      </w:pPr>
      <w:r>
        <w:rPr>
          <w:rStyle w:val="VerbatimChar"/>
        </w:rPr>
        <w:t xml:space="preserve">../ROADMAP.md</w:t>
      </w:r>
      <w:r>
        <w:t xml:space="preserve"> </w:t>
      </w:r>
      <w:r>
        <w:t xml:space="preserve">— Phase 2 (Security), Phase 4 (Certification, pentest, DR drill)</w:t>
      </w:r>
    </w:p>
    <w:p>
      <w:pPr>
        <w:pStyle w:val="Compact"/>
        <w:numPr>
          <w:ilvl w:val="0"/>
          <w:numId w:val="1206"/>
        </w:numPr>
      </w:pPr>
      <w:r>
        <w:rPr>
          <w:rStyle w:val="VerbatimChar"/>
        </w:rPr>
        <w:t xml:space="preserve">05-aml-kyc-cdd-policy.md</w:t>
      </w:r>
      <w:r>
        <w:t xml:space="preserve">,</w:t>
      </w:r>
      <w:r>
        <w:t xml:space="preserve"> </w:t>
      </w:r>
      <w:r>
        <w:rPr>
          <w:rStyle w:val="VerbatimChar"/>
        </w:rPr>
        <w:t xml:space="preserve">06-sanctions-screening.md</w:t>
      </w:r>
      <w:r>
        <w:t xml:space="preserve"> </w:t>
      </w:r>
      <w:r>
        <w:t xml:space="preserve">— linkage to AML / audit trail</w:t>
      </w:r>
    </w:p>
    <w:p>
      <w:r>
        <w:br w:type="page"/>
      </w:r>
    </w:p>
    <w:bookmarkEnd w:id="512"/>
    <w:bookmarkEnd w:id="513"/>
    <w:bookmarkStart w:id="531" w:name="แผนความตอเนองทางธรกจและกคนระบบ-bcpdr-ไทย"/>
    <w:p>
      <w:pPr>
        <w:pStyle w:val="Heading1"/>
      </w:pPr>
      <w:r>
        <w:t xml:space="preserve">แผนความต่อเนื่องทางธุรกิจและกู้คืนระบบ (BCP/DR) (ไทย)</w:t>
      </w:r>
    </w:p>
    <w:p>
      <w:pPr>
        <w:pStyle w:val="BlockText"/>
      </w:pPr>
      <w:r>
        <w:t xml:space="preserve">เอกสารประกอบการยื่นขอใบอนุญาต</w:t>
      </w:r>
      <w:r>
        <w:t xml:space="preserve"> </w:t>
      </w:r>
      <w:r>
        <w:rPr>
          <w:b/>
          <w:bCs/>
        </w:rPr>
        <w:t xml:space="preserve">Acquiring Service</w:t>
      </w:r>
      <w:r>
        <w:t xml:space="preserve"> </w:t>
      </w:r>
      <w:r>
        <w:t xml:space="preserve">ภายใต้ พ.ร.บ. ระบบการชำระเงิน พ.ศ. 2560</w:t>
      </w:r>
      <w:r>
        <w:t xml:space="preserve"> </w:t>
      </w:r>
      <w:r>
        <w:t xml:space="preserve">(ทุนจดทะเบียนชำระแล้ว 50 ล้านบาท) และมาตรฐาน</w:t>
      </w:r>
      <w:r>
        <w:t xml:space="preserve"> </w:t>
      </w:r>
      <w:r>
        <w:rPr>
          <w:b/>
          <w:bCs/>
        </w:rPr>
        <w:t xml:space="preserve">PCI-DSS v4.0 Level 1</w:t>
      </w:r>
      <w:r>
        <w:t xml:space="preserve"> </w:t>
      </w:r>
      <w:r>
        <w:t xml:space="preserve">เอกสารในชุด:</w:t>
      </w:r>
      <w:r>
        <w:t xml:space="preserve"> </w:t>
      </w:r>
      <w:r>
        <w:rPr>
          <w:rStyle w:val="VerbatimChar"/>
        </w:rPr>
        <w:t xml:space="preserve">docs/compliance/15-bcp-dr.md</w:t>
      </w:r>
      <w:r>
        <w:t xml:space="preserve"> </w:t>
      </w:r>
      <w:r>
        <w:t xml:space="preserve">· เวอร์ชัน 0.1</w:t>
      </w:r>
      <w:r>
        <w:t xml:space="preserve"> </w:t>
      </w:r>
      <w:r>
        <w:rPr>
          <w:b/>
          <w:bCs/>
        </w:rPr>
        <w:t xml:space="preserve">หมายเหตุ:</w:t>
      </w:r>
      <w:r>
        <w:t xml:space="preserve"> </w:t>
      </w:r>
      <w:r>
        <w:t xml:space="preserve">เอกสารนี้เป็นนโยบายและขั้นตอนปฏิบัติภายในของ</w:t>
      </w:r>
      <w:r>
        <w:t xml:space="preserve"> </w:t>
      </w:r>
      <w:r>
        <w:rPr>
          <w:b/>
          <w:bCs/>
        </w:rPr>
        <w:t xml:space="preserve">[บริษัท / Company]</w:t>
      </w:r>
      <w:r>
        <w:t xml:space="preserve"> </w:t>
      </w:r>
      <w:r>
        <w:t xml:space="preserve">ไม่ใช่คำแนะนำ</w:t>
      </w:r>
      <w:r>
        <w:t xml:space="preserve"> </w:t>
      </w:r>
      <w:r>
        <w:t xml:space="preserve">ทางกฎหมาย ควรให้ที่ปรึกษากฎหมาย ผู้เชี่ยวชาญด้าน IT resilience และ QSA ตรวจทานก่อนยื่นจริง อ้างอิง</w:t>
      </w:r>
      <w:r>
        <w:t xml:space="preserve"> </w:t>
      </w:r>
      <w:r>
        <w:t xml:space="preserve">สถาปัตยกรรมใน</w:t>
      </w:r>
      <w:r>
        <w:t xml:space="preserve"> </w:t>
      </w:r>
      <w:r>
        <w:rPr>
          <w:rStyle w:val="VerbatimChar"/>
        </w:rPr>
        <w:t xml:space="preserve">ARCHITECTURE.md</w:t>
      </w:r>
      <w:r>
        <w:t xml:space="preserve"> </w:t>
      </w:r>
      <w:r>
        <w:t xml:space="preserve">(ข้อ 8 Non-functional / RPO-RTO) และ timeline ใน</w:t>
      </w:r>
      <w:r>
        <w:t xml:space="preserve"> </w:t>
      </w:r>
      <w:r>
        <w:rPr>
          <w:rStyle w:val="VerbatimChar"/>
        </w:rPr>
        <w:t xml:space="preserve">ROADMAP.md</w:t>
      </w:r>
      <w:r>
        <w:t xml:space="preserve"> </w:t>
      </w:r>
      <w:r>
        <w:t xml:space="preserve">(Phase 4 DR drill)</w:t>
      </w:r>
    </w:p>
    <w:p>
      <w:r>
        <w:pict>
          <v:rect style="width:0;height:1.5pt" o:hralign="center" o:hrstd="t" o:hr="t"/>
        </w:pict>
      </w:r>
    </w:p>
    <w:bookmarkStart w:id="514" w:name="วตถประสงคและขอบเขต-4"/>
    <w:p>
      <w:pPr>
        <w:pStyle w:val="Heading2"/>
      </w:pPr>
      <w:r>
        <w:t xml:space="preserve">1. วัตถุประสงค์และขอบเขต</w:t>
      </w:r>
    </w:p>
    <w:p>
      <w:pPr>
        <w:pStyle w:val="FirstParagraph"/>
      </w:pPr>
      <w:r>
        <w:t xml:space="preserve">เอกสารนี้กำหนด</w:t>
      </w:r>
      <w:r>
        <w:t xml:space="preserve"> </w:t>
      </w:r>
      <w:r>
        <w:rPr>
          <w:b/>
          <w:bCs/>
        </w:rPr>
        <w:t xml:space="preserve">แผนความต่อเนื่องทางธุรกิจ (Business Continuity Plan — BCP)</w:t>
      </w:r>
      <w:r>
        <w:t xml:space="preserve"> </w:t>
      </w:r>
      <w:r>
        <w:t xml:space="preserve">และ</w:t>
      </w:r>
      <w:r>
        <w:t xml:space="preserve"> </w:t>
      </w:r>
      <w:r>
        <w:rPr>
          <w:b/>
          <w:bCs/>
        </w:rPr>
        <w:t xml:space="preserve">แผนกู้คืนระบบจากภัยพิบัติ</w:t>
      </w:r>
      <w:r>
        <w:rPr>
          <w:b/>
          <w:bCs/>
        </w:rPr>
        <w:t xml:space="preserve"> </w:t>
      </w:r>
      <w:r>
        <w:rPr>
          <w:b/>
          <w:bCs/>
        </w:rPr>
        <w:t xml:space="preserve">(Disaster Recovery — DR)</w:t>
      </w:r>
      <w:r>
        <w:t xml:space="preserve"> </w:t>
      </w:r>
      <w:r>
        <w:t xml:space="preserve">ของ</w:t>
      </w:r>
      <w:r>
        <w:t xml:space="preserve"> </w:t>
      </w:r>
      <w:r>
        <w:rPr>
          <w:b/>
          <w:bCs/>
        </w:rPr>
        <w:t xml:space="preserve">[บริษัท / Company]</w:t>
      </w:r>
      <w:r>
        <w:t xml:space="preserve"> </w:t>
      </w:r>
      <w:r>
        <w:t xml:space="preserve">ในฐานะผู้ให้บริการรับชำระเงินด้วยวิธีการทางอิเล็กทรอนิกส์</w:t>
      </w:r>
      <w:r>
        <w:t xml:space="preserve"> </w:t>
      </w:r>
      <w:r>
        <w:t xml:space="preserve">(Full Acquiring) เพื่อ:</w:t>
      </w:r>
    </w:p>
    <w:p>
      <w:pPr>
        <w:pStyle w:val="Compact"/>
        <w:numPr>
          <w:ilvl w:val="0"/>
          <w:numId w:val="1207"/>
        </w:numPr>
      </w:pPr>
      <w:r>
        <w:t xml:space="preserve">ให้บริการ authorization / capture / refund / settlement</w:t>
      </w:r>
      <w:r>
        <w:t xml:space="preserve"> </w:t>
      </w:r>
      <w:r>
        <w:rPr>
          <w:b/>
          <w:bCs/>
        </w:rPr>
        <w:t xml:space="preserve">ต่อเนื่อง</w:t>
      </w:r>
      <w:r>
        <w:t xml:space="preserve"> </w:t>
      </w:r>
      <w:r>
        <w:t xml:space="preserve">และกลับสู่ภาวะปกติภายในเวลาที่กำหนด</w:t>
      </w:r>
      <w:r>
        <w:t xml:space="preserve"> </w:t>
      </w:r>
      <w:r>
        <w:t xml:space="preserve">(RTO/RPO) เมื่อเกิดเหตุขัดข้อง — สอดคล้องเป้า Availability ≥ 99.95% ของ payment core</w:t>
      </w:r>
    </w:p>
    <w:p>
      <w:pPr>
        <w:pStyle w:val="Compact"/>
        <w:numPr>
          <w:ilvl w:val="0"/>
          <w:numId w:val="1207"/>
        </w:numPr>
      </w:pPr>
      <w:r>
        <w:t xml:space="preserve">ปฏิบัติตามหลักเกณฑ์</w:t>
      </w:r>
      <w:r>
        <w:t xml:space="preserve"> </w:t>
      </w:r>
      <w:r>
        <w:rPr>
          <w:b/>
          <w:bCs/>
        </w:rPr>
        <w:t xml:space="preserve">ธนาคารแห่งประเทศไทย (ธปท.)</w:t>
      </w:r>
      <w:r>
        <w:t xml:space="preserve"> </w:t>
      </w:r>
      <w:r>
        <w:t xml:space="preserve">ด้าน IT risk, cyber resilience และ business continuity</w:t>
      </w:r>
      <w:r>
        <w:t xml:space="preserve"> </w:t>
      </w:r>
      <w:r>
        <w:t xml:space="preserve">สำหรับผู้ประกอบธุรกิจภายใต้ พ.ร.บ. ระบบการชำระเงิน</w:t>
      </w:r>
    </w:p>
    <w:p>
      <w:pPr>
        <w:pStyle w:val="Compact"/>
        <w:numPr>
          <w:ilvl w:val="0"/>
          <w:numId w:val="1207"/>
        </w:numPr>
      </w:pPr>
      <w:r>
        <w:t xml:space="preserve">คุ้มครองความมั่นคงปลอดภัยและความพร้อมใช้ของข้อมูลตาม</w:t>
      </w:r>
      <w:r>
        <w:t xml:space="preserve"> </w:t>
      </w:r>
      <w:r>
        <w:rPr>
          <w:b/>
          <w:bCs/>
        </w:rPr>
        <w:t xml:space="preserve">PCI-DSS v4.0</w:t>
      </w:r>
      <w:r>
        <w:t xml:space="preserve"> </w:t>
      </w:r>
      <w:r>
        <w:t xml:space="preserve">(โดยเฉพาะ Req 12.10 Incident Response</w:t>
      </w:r>
      <w:r>
        <w:t xml:space="preserve"> </w:t>
      </w:r>
      <w:r>
        <w:t xml:space="preserve">และ Req 10 Logging) และ</w:t>
      </w:r>
      <w:r>
        <w:t xml:space="preserve"> </w:t>
      </w:r>
      <w:r>
        <w:rPr>
          <w:b/>
          <w:bCs/>
        </w:rPr>
        <w:t xml:space="preserve">พ.ร.บ. คุ้มครองข้อมูลส่วนบุคคล พ.ศ. 2562 (PDPA)</w:t>
      </w:r>
      <w:r>
        <w:t xml:space="preserve"> </w:t>
      </w:r>
      <w:r>
        <w:t xml:space="preserve">ในกรณีเหตุกระทบข้อมูลส่วนบุคคล</w:t>
      </w:r>
    </w:p>
    <w:p>
      <w:pPr>
        <w:pStyle w:val="Compact"/>
        <w:numPr>
          <w:ilvl w:val="0"/>
          <w:numId w:val="1207"/>
        </w:numPr>
      </w:pPr>
      <w:r>
        <w:t xml:space="preserve">รักษาพันธะต่อ card scheme (Visa/Mastercard), sponsor bank และผู้ค้า (merchant) ตาม SLA</w:t>
      </w:r>
    </w:p>
    <w:p>
      <w:pPr>
        <w:pStyle w:val="FirstParagraph"/>
      </w:pPr>
      <w:r>
        <w:rPr>
          <w:b/>
          <w:bCs/>
        </w:rPr>
        <w:t xml:space="preserve">ขอบเขต (Scope) ครอบคลุม:</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ด้าน</w:t>
            </w:r>
          </w:p>
        </w:tc>
        <w:tc>
          <w:tcPr/>
          <w:p>
            <w:pPr>
              <w:pStyle w:val="Compact"/>
            </w:pPr>
            <w:r>
              <w:t xml:space="preserve">รวมอยู่ในแผน</w:t>
            </w:r>
          </w:p>
        </w:tc>
      </w:tr>
      <w:tr>
        <w:tc>
          <w:tcPr/>
          <w:p>
            <w:pPr>
              <w:pStyle w:val="Compact"/>
            </w:pPr>
            <w:r>
              <w:t xml:space="preserve">ระบบสารสนเทศ</w:t>
            </w:r>
          </w:p>
        </w:tc>
        <w:tc>
          <w:tcPr/>
          <w:p>
            <w:pPr>
              <w:pStyle w:val="Compact"/>
            </w:pPr>
            <w:r>
              <w:t xml:space="preserve">Payment Core, Ledger, Tokenization Vault, Acquirer/3DS Adapter, Webhook, DB, HSM/KMS, network edge</w:t>
            </w:r>
          </w:p>
        </w:tc>
      </w:tr>
      <w:tr>
        <w:tc>
          <w:tcPr/>
          <w:p>
            <w:pPr>
              <w:pStyle w:val="Compact"/>
            </w:pPr>
            <w:r>
              <w:t xml:space="preserve">กระบวนการธุรกิจ</w:t>
            </w:r>
          </w:p>
        </w:tc>
        <w:tc>
          <w:tcPr/>
          <w:p>
            <w:pPr>
              <w:pStyle w:val="Compact"/>
            </w:pPr>
            <w:r>
              <w:t xml:space="preserve">authorization, capture/void/refund, settlement/payout, reconciliation, merchant support, AML/sanctions</w:t>
            </w:r>
          </w:p>
        </w:tc>
      </w:tr>
      <w:tr>
        <w:tc>
          <w:tcPr/>
          <w:p>
            <w:pPr>
              <w:pStyle w:val="Compact"/>
            </w:pPr>
            <w:r>
              <w:t xml:space="preserve">บุคลากรและสถานที่</w:t>
            </w:r>
          </w:p>
        </w:tc>
        <w:tc>
          <w:tcPr/>
          <w:p>
            <w:pPr>
              <w:pStyle w:val="Compact"/>
            </w:pPr>
            <w:r>
              <w:t xml:space="preserve">สำนักงานหลัก, ศูนย์ปฏิบัติการ (NOC/SOC), work-from-anywhere</w:t>
            </w:r>
          </w:p>
        </w:tc>
      </w:tr>
      <w:tr>
        <w:tc>
          <w:tcPr/>
          <w:p>
            <w:pPr>
              <w:pStyle w:val="Compact"/>
            </w:pPr>
            <w:r>
              <w:t xml:space="preserve">ผู้ให้บริการภายนอก</w:t>
            </w:r>
          </w:p>
        </w:tc>
        <w:tc>
          <w:tcPr/>
          <w:p>
            <w:pPr>
              <w:pStyle w:val="Compact"/>
            </w:pPr>
            <w:r>
              <w:t xml:space="preserve">cloud/IDC, sponsor bank, card switch, 3DS provider, screening vendor (ดู outsourcing risk)</w:t>
            </w:r>
          </w:p>
        </w:tc>
      </w:tr>
    </w:tbl>
    <w:p>
      <w:pPr>
        <w:pStyle w:val="BlockText"/>
      </w:pPr>
      <w:r>
        <w:rPr>
          <w:b/>
          <w:bCs/>
        </w:rPr>
        <w:t xml:space="preserve">นอกขอบเขต:</w:t>
      </w:r>
      <w:r>
        <w:t xml:space="preserve"> </w:t>
      </w:r>
      <w:r>
        <w:t xml:space="preserve">ระบบภายในที่ไม่กระทบธุรกรรม (เช่น HR/marketing) จัดอยู่ในระดับ Tier 3 และไม่ครอบคลุม RTO ที่เข้มงวด</w:t>
      </w:r>
    </w:p>
    <w:p>
      <w:r>
        <w:pict>
          <v:rect style="width:0;height:1.5pt" o:hralign="center" o:hrstd="t" o:hr="t"/>
        </w:pict>
      </w:r>
    </w:p>
    <w:bookmarkEnd w:id="514"/>
    <w:bookmarkStart w:id="515" w:name="บทบาทและหนาท-roles-responsibilities"/>
    <w:p>
      <w:pPr>
        <w:pStyle w:val="Heading2"/>
      </w:pPr>
      <w:r>
        <w:t xml:space="preserve">2. บทบาทและหน้าที่ (Roles &amp; Responsibilities)</w:t>
      </w:r>
    </w:p>
    <w:tbl>
      <w:tblPr>
        <w:tblStyle w:val="Table"/>
        <w:tblW w:type="pct" w:w="5000"/>
        <w:tblLayout w:type="fixed"/>
        <w:tblLook w:firstRow="1" w:lastRow="0" w:firstColumn="0" w:lastColumn="0" w:noHBand="0" w:noVBand="0" w:val="0020"/>
      </w:tblPr>
      <w:tblGrid>
        <w:gridCol w:w="955"/>
        <w:gridCol w:w="4233"/>
        <w:gridCol w:w="2731"/>
      </w:tblGrid>
      <w:tr>
        <w:trPr>
          <w:tblHeader w:val="on"/>
        </w:trPr>
        <w:tc>
          <w:tcPr/>
          <w:p>
            <w:pPr>
              <w:pStyle w:val="Compact"/>
            </w:pPr>
            <w:r>
              <w:t xml:space="preserve">บทบาท</w:t>
            </w:r>
          </w:p>
        </w:tc>
        <w:tc>
          <w:tcPr/>
          <w:p>
            <w:pPr>
              <w:pStyle w:val="Compact"/>
            </w:pPr>
            <w:r>
              <w:t xml:space="preserve">ผู้รับผิดชอบ (ตัวอย่างตำแหน่ง)</w:t>
            </w:r>
          </w:p>
        </w:tc>
        <w:tc>
          <w:tcPr/>
          <w:p>
            <w:pPr>
              <w:pStyle w:val="Compact"/>
            </w:pPr>
            <w:r>
              <w:t xml:space="preserve">หน้าที่ในภาวะวิกฤต</w:t>
            </w:r>
          </w:p>
        </w:tc>
      </w:tr>
      <w:tr>
        <w:tc>
          <w:tcPr/>
          <w:p>
            <w:pPr>
              <w:pStyle w:val="Compact"/>
            </w:pPr>
            <w:r>
              <w:rPr>
                <w:b/>
                <w:bCs/>
              </w:rPr>
              <w:t xml:space="preserve">BCP Sponsor</w:t>
            </w:r>
          </w:p>
        </w:tc>
        <w:tc>
          <w:tcPr/>
          <w:p>
            <w:pPr>
              <w:pStyle w:val="Compact"/>
            </w:pPr>
            <w:r>
              <w:t xml:space="preserve">กรรมการผู้จัดการ / CEO</w:t>
            </w:r>
          </w:p>
        </w:tc>
        <w:tc>
          <w:tcPr/>
          <w:p>
            <w:pPr>
              <w:pStyle w:val="Compact"/>
            </w:pPr>
            <w:r>
              <w:t xml:space="preserve">อนุมัติแผน, จัดสรรทรัพยากร, ตัดสินใจ invoke DR</w:t>
            </w:r>
          </w:p>
        </w:tc>
      </w:tr>
      <w:tr>
        <w:tc>
          <w:tcPr/>
          <w:p>
            <w:pPr>
              <w:pStyle w:val="Compact"/>
            </w:pPr>
            <w:r>
              <w:rPr>
                <w:b/>
                <w:bCs/>
              </w:rPr>
              <w:t xml:space="preserve">Crisis Manager (Incident Commander)</w:t>
            </w:r>
          </w:p>
        </w:tc>
        <w:tc>
          <w:tcPr/>
          <w:p>
            <w:pPr>
              <w:pStyle w:val="Compact"/>
            </w:pPr>
            <w:r>
              <w:t xml:space="preserve">Head of SRE / CTO</w:t>
            </w:r>
          </w:p>
        </w:tc>
        <w:tc>
          <w:tcPr/>
          <w:p>
            <w:pPr>
              <w:pStyle w:val="Compact"/>
            </w:pPr>
            <w:r>
              <w:t xml:space="preserve">สั่งการภาพรวม, ประกาศ activation, ประสานทุกทีม</w:t>
            </w:r>
          </w:p>
        </w:tc>
      </w:tr>
      <w:tr>
        <w:tc>
          <w:tcPr/>
          <w:p>
            <w:pPr>
              <w:pStyle w:val="Compact"/>
            </w:pPr>
            <w:r>
              <w:rPr>
                <w:b/>
                <w:bCs/>
              </w:rPr>
              <w:t xml:space="preserve">DR Coordinator</w:t>
            </w:r>
          </w:p>
        </w:tc>
        <w:tc>
          <w:tcPr/>
          <w:p>
            <w:pPr>
              <w:pStyle w:val="Compact"/>
            </w:pPr>
            <w:r>
              <w:t xml:space="preserve">SRE Lead</w:t>
            </w:r>
          </w:p>
        </w:tc>
        <w:tc>
          <w:tcPr/>
          <w:p>
            <w:pPr>
              <w:pStyle w:val="Compact"/>
            </w:pPr>
            <w:r>
              <w:t xml:space="preserve">รัน runbook failover/failback, ตรวจ RTO/RPO</w:t>
            </w:r>
          </w:p>
        </w:tc>
      </w:tr>
      <w:tr>
        <w:tc>
          <w:tcPr/>
          <w:p>
            <w:pPr>
              <w:pStyle w:val="Compact"/>
            </w:pPr>
            <w:r>
              <w:rPr>
                <w:b/>
                <w:bCs/>
              </w:rPr>
              <w:t xml:space="preserve">Technical Recovery Team</w:t>
            </w:r>
          </w:p>
        </w:tc>
        <w:tc>
          <w:tcPr/>
          <w:p>
            <w:pPr>
              <w:pStyle w:val="Compact"/>
            </w:pPr>
            <w:r>
              <w:t xml:space="preserve">SRE + Backend (Go) + DBA</w:t>
            </w:r>
          </w:p>
        </w:tc>
        <w:tc>
          <w:tcPr/>
          <w:p>
            <w:pPr>
              <w:pStyle w:val="Compact"/>
            </w:pPr>
            <w:r>
              <w:t xml:space="preserve">กู้คืน service, DB, network, HSM/KMS</w:t>
            </w:r>
          </w:p>
        </w:tc>
      </w:tr>
      <w:tr>
        <w:tc>
          <w:tcPr/>
          <w:p>
            <w:pPr>
              <w:pStyle w:val="Compact"/>
            </w:pPr>
            <w:r>
              <w:rPr>
                <w:b/>
                <w:bCs/>
              </w:rPr>
              <w:t xml:space="preserve">Security Lead</w:t>
            </w:r>
          </w:p>
        </w:tc>
        <w:tc>
          <w:tcPr/>
          <w:p>
            <w:pPr>
              <w:pStyle w:val="Compact"/>
            </w:pPr>
            <w:r>
              <w:t xml:space="preserve">Head of Security / DevSecOps</w:t>
            </w:r>
          </w:p>
        </w:tc>
        <w:tc>
          <w:tcPr/>
          <w:p>
            <w:pPr>
              <w:pStyle w:val="Compact"/>
            </w:pPr>
            <w:r>
              <w:t xml:space="preserve">ประเมิน cyber incident, containment, forensic, PCI Req 12.10</w:t>
            </w:r>
          </w:p>
        </w:tc>
      </w:tr>
      <w:tr>
        <w:tc>
          <w:tcPr/>
          <w:p>
            <w:pPr>
              <w:pStyle w:val="Compact"/>
            </w:pPr>
            <w:r>
              <w:rPr>
                <w:b/>
                <w:bCs/>
              </w:rPr>
              <w:t xml:space="preserve">Compliance &amp; Regulatory Liaison</w:t>
            </w:r>
          </w:p>
        </w:tc>
        <w:tc>
          <w:tcPr/>
          <w:p>
            <w:pPr>
              <w:pStyle w:val="Compact"/>
            </w:pPr>
            <w:r>
              <w:t xml:space="preserve">Compliance Officer</w:t>
            </w:r>
          </w:p>
        </w:tc>
        <w:tc>
          <w:tcPr/>
          <w:p>
            <w:pPr>
              <w:pStyle w:val="Compact"/>
            </w:pPr>
            <w:r>
              <w:t xml:space="preserve">รายงาน</w:t>
            </w:r>
            <w:r>
              <w:t xml:space="preserve"> </w:t>
            </w:r>
            <w:r>
              <w:rPr>
                <w:b/>
                <w:bCs/>
              </w:rPr>
              <w:t xml:space="preserve">ธปท.</w:t>
            </w:r>
            <w:r>
              <w:t xml:space="preserve">,</w:t>
            </w:r>
            <w:r>
              <w:t xml:space="preserve"> </w:t>
            </w:r>
            <w:r>
              <w:rPr>
                <w:b/>
                <w:bCs/>
              </w:rPr>
              <w:t xml:space="preserve">ปปง./AMLO</w:t>
            </w:r>
            <w:r>
              <w:t xml:space="preserve"> </w:t>
            </w:r>
            <w:r>
              <w:t xml:space="preserve">(ถ้าเกี่ยว AML),</w:t>
            </w:r>
            <w:r>
              <w:t xml:space="preserve"> </w:t>
            </w:r>
            <w:r>
              <w:rPr>
                <w:b/>
                <w:bCs/>
              </w:rPr>
              <w:t xml:space="preserve">PDPC</w:t>
            </w:r>
            <w:r>
              <w:t xml:space="preserve"> </w:t>
            </w:r>
            <w:r>
              <w:t xml:space="preserve">(ถ้าข้อมูลรั่ว), แจ้ง scheme/sponsor</w:t>
            </w:r>
          </w:p>
        </w:tc>
      </w:tr>
      <w:tr>
        <w:tc>
          <w:tcPr/>
          <w:p>
            <w:pPr>
              <w:pStyle w:val="Compact"/>
            </w:pPr>
            <w:r>
              <w:rPr>
                <w:b/>
                <w:bCs/>
              </w:rPr>
              <w:t xml:space="preserve">Comms / Merchant Support Lead</w:t>
            </w:r>
          </w:p>
        </w:tc>
        <w:tc>
          <w:tcPr/>
          <w:p>
            <w:pPr>
              <w:pStyle w:val="Compact"/>
            </w:pPr>
            <w:r>
              <w:t xml:space="preserve">Product / Support Lead</w:t>
            </w:r>
          </w:p>
        </w:tc>
        <w:tc>
          <w:tcPr/>
          <w:p>
            <w:pPr>
              <w:pStyle w:val="Compact"/>
            </w:pPr>
            <w:r>
              <w:t xml:space="preserve">สื่อสารกับ merchant, สถานะหน้า status page</w:t>
            </w:r>
          </w:p>
        </w:tc>
      </w:tr>
      <w:tr>
        <w:tc>
          <w:tcPr/>
          <w:p>
            <w:pPr>
              <w:pStyle w:val="Compact"/>
            </w:pPr>
            <w:r>
              <w:rPr>
                <w:b/>
                <w:bCs/>
              </w:rPr>
              <w:t xml:space="preserve">Business Recovery Team</w:t>
            </w:r>
          </w:p>
        </w:tc>
        <w:tc>
          <w:tcPr/>
          <w:p>
            <w:pPr>
              <w:pStyle w:val="Compact"/>
            </w:pPr>
            <w:r>
              <w:t xml:space="preserve">Finance / Ops</w:t>
            </w:r>
          </w:p>
        </w:tc>
        <w:tc>
          <w:tcPr/>
          <w:p>
            <w:pPr>
              <w:pStyle w:val="Compact"/>
            </w:pPr>
            <w:r>
              <w:t xml:space="preserve">ตรวจ settlement, reconciliation, ยอดค้าง</w:t>
            </w:r>
          </w:p>
        </w:tc>
      </w:tr>
    </w:tbl>
    <w:p>
      <w:pPr>
        <w:pStyle w:val="BlockText"/>
      </w:pPr>
      <w:r>
        <w:rPr>
          <w:b/>
          <w:bCs/>
        </w:rPr>
        <w:t xml:space="preserve">การสืบทอดตำแหน่ง (Succession):</w:t>
      </w:r>
      <w:r>
        <w:t xml:space="preserve"> </w:t>
      </w:r>
      <w:r>
        <w:t xml:space="preserve">ทุกบทบาทหลักต้องมีผู้สำรอง (deputy) อย่างน้อย 1 คน พร้อม on-call rotation</w:t>
      </w:r>
      <w:r>
        <w:t xml:space="preserve"> </w:t>
      </w:r>
      <w:r>
        <w:t xml:space="preserve">และรายชื่อ/ช่องทางติดต่อฉุกเฉิน (call tree) ปรับปรุงทุกไตรมาส เก็บทั้งแบบ online และ offline (พิมพ์)</w:t>
      </w:r>
    </w:p>
    <w:p>
      <w:r>
        <w:pict>
          <v:rect style="width:0;height:1.5pt" o:hralign="center" o:hrstd="t" o:hr="t"/>
        </w:pict>
      </w:r>
    </w:p>
    <w:bookmarkEnd w:id="515"/>
    <w:bookmarkStart w:id="516" w:name="X147afaa43be7c16dc5d52eec4d84a10e2ce414f"/>
    <w:p>
      <w:pPr>
        <w:pStyle w:val="Heading2"/>
      </w:pPr>
      <w:r>
        <w:t xml:space="preserve">3. การวิเคราะห์ผลกระทบทางธุรกิจ (Business Impact Analysis — BIA)</w:t>
      </w:r>
    </w:p>
    <w:p>
      <w:pPr>
        <w:pStyle w:val="FirstParagraph"/>
      </w:pPr>
      <w:r>
        <w:t xml:space="preserve">จัดลำดับความสำคัญของกระบวนการตาม</w:t>
      </w:r>
      <w:r>
        <w:t xml:space="preserve"> </w:t>
      </w:r>
      <w:r>
        <w:rPr>
          <w:b/>
          <w:bCs/>
        </w:rPr>
        <w:t xml:space="preserve">Maximum Tolerable Downtime (MTD)</w:t>
      </w:r>
      <w:r>
        <w:t xml:space="preserve"> </w:t>
      </w:r>
      <w:r>
        <w:t xml:space="preserve">และผลกระทบ</w:t>
      </w:r>
    </w:p>
    <w:tbl>
      <w:tblPr>
        <w:tblStyle w:val="Table"/>
        <w:tblW w:type="pct" w:w="5000"/>
        <w:tblLayout w:type="fixed"/>
        <w:tblLook w:firstRow="1" w:lastRow="0" w:firstColumn="0" w:lastColumn="0" w:noHBand="0" w:noVBand="0" w:val="0020"/>
      </w:tblPr>
      <w:tblGrid>
        <w:gridCol w:w="729"/>
        <w:gridCol w:w="2084"/>
        <w:gridCol w:w="521"/>
        <w:gridCol w:w="1458"/>
        <w:gridCol w:w="1458"/>
        <w:gridCol w:w="1667"/>
      </w:tblGrid>
      <w:tr>
        <w:trPr>
          <w:tblHeader w:val="on"/>
        </w:trPr>
        <w:tc>
          <w:tcPr/>
          <w:p>
            <w:pPr>
              <w:pStyle w:val="Compact"/>
            </w:pPr>
            <w:r>
              <w:t xml:space="preserve">ระดับ</w:t>
            </w:r>
          </w:p>
        </w:tc>
        <w:tc>
          <w:tcPr/>
          <w:p>
            <w:pPr>
              <w:pStyle w:val="Compact"/>
            </w:pPr>
            <w:r>
              <w:t xml:space="preserve">กระบวนการ / บริการ</w:t>
            </w:r>
          </w:p>
        </w:tc>
        <w:tc>
          <w:tcPr/>
          <w:p>
            <w:pPr>
              <w:pStyle w:val="Compact"/>
            </w:pPr>
            <w:r>
              <w:t xml:space="preserve">MTD</w:t>
            </w:r>
          </w:p>
        </w:tc>
        <w:tc>
          <w:tcPr/>
          <w:p>
            <w:pPr>
              <w:pStyle w:val="Compact"/>
            </w:pPr>
            <w:r>
              <w:t xml:space="preserve">RTO เป้าหมาย</w:t>
            </w:r>
          </w:p>
        </w:tc>
        <w:tc>
          <w:tcPr/>
          <w:p>
            <w:pPr>
              <w:pStyle w:val="Compact"/>
            </w:pPr>
            <w:r>
              <w:t xml:space="preserve">RPO เป้าหมาย</w:t>
            </w:r>
          </w:p>
        </w:tc>
        <w:tc>
          <w:tcPr/>
          <w:p>
            <w:pPr>
              <w:pStyle w:val="Compact"/>
            </w:pPr>
            <w:r>
              <w:t xml:space="preserve">ผลกระทบหากล่ม</w:t>
            </w:r>
          </w:p>
        </w:tc>
      </w:tr>
      <w:tr>
        <w:tc>
          <w:tcPr/>
          <w:p>
            <w:pPr>
              <w:pStyle w:val="Compact"/>
            </w:pPr>
            <w:r>
              <w:rPr>
                <w:b/>
                <w:bCs/>
              </w:rPr>
              <w:t xml:space="preserve">Tier 0 — Critical</w:t>
            </w:r>
          </w:p>
        </w:tc>
        <w:tc>
          <w:tcPr/>
          <w:p>
            <w:pPr>
              <w:pStyle w:val="Compact"/>
            </w:pPr>
            <w:r>
              <w:t xml:space="preserve">Authorization / Capture / Void (payment core online)</w:t>
            </w:r>
          </w:p>
        </w:tc>
        <w:tc>
          <w:tcPr/>
          <w:p>
            <w:pPr>
              <w:pStyle w:val="Compact"/>
            </w:pPr>
            <w:r>
              <w:t xml:space="preserve">1 ชม.</w:t>
            </w:r>
          </w:p>
        </w:tc>
        <w:tc>
          <w:tcPr/>
          <w:p>
            <w:pPr>
              <w:pStyle w:val="Compact"/>
            </w:pPr>
            <w:r>
              <w:rPr>
                <w:b/>
                <w:bCs/>
              </w:rPr>
              <w:t xml:space="preserve">≤ 30 นาที</w:t>
            </w:r>
          </w:p>
        </w:tc>
        <w:tc>
          <w:tcPr/>
          <w:p>
            <w:pPr>
              <w:pStyle w:val="Compact"/>
            </w:pPr>
            <w:r>
              <w:rPr>
                <w:b/>
                <w:bCs/>
              </w:rPr>
              <w:t xml:space="preserve">≤ 5 นาที</w:t>
            </w:r>
          </w:p>
        </w:tc>
        <w:tc>
          <w:tcPr/>
          <w:p>
            <w:pPr>
              <w:pStyle w:val="Compact"/>
            </w:pPr>
            <w:r>
              <w:t xml:space="preserve">สูญเสียรายได้ทันที, SLA breach กับ merchant/scheme</w:t>
            </w:r>
          </w:p>
        </w:tc>
      </w:tr>
      <w:tr>
        <w:tc>
          <w:tcPr/>
          <w:p>
            <w:pPr>
              <w:pStyle w:val="Compact"/>
            </w:pPr>
            <w:r>
              <w:rPr>
                <w:b/>
                <w:bCs/>
              </w:rPr>
              <w:t xml:space="preserve">Tier 0 — Critical</w:t>
            </w:r>
          </w:p>
        </w:tc>
        <w:tc>
          <w:tcPr/>
          <w:p>
            <w:pPr>
              <w:pStyle w:val="Compact"/>
            </w:pPr>
            <w:r>
              <w:t xml:space="preserve">Ledger (source of truth) + Tokenization Vault + HSM/KMS</w:t>
            </w:r>
          </w:p>
        </w:tc>
        <w:tc>
          <w:tcPr/>
          <w:p>
            <w:pPr>
              <w:pStyle w:val="Compact"/>
            </w:pPr>
            <w:r>
              <w:t xml:space="preserve">1 ชม.</w:t>
            </w:r>
          </w:p>
        </w:tc>
        <w:tc>
          <w:tcPr/>
          <w:p>
            <w:pPr>
              <w:pStyle w:val="Compact"/>
            </w:pPr>
            <w:r>
              <w:rPr>
                <w:b/>
                <w:bCs/>
              </w:rPr>
              <w:t xml:space="preserve">≤ 30 นาที</w:t>
            </w:r>
          </w:p>
        </w:tc>
        <w:tc>
          <w:tcPr/>
          <w:p>
            <w:pPr>
              <w:pStyle w:val="Compact"/>
            </w:pPr>
            <w:r>
              <w:rPr>
                <w:b/>
                <w:bCs/>
              </w:rPr>
              <w:t xml:space="preserve">0 (RPO≈0)</w:t>
            </w:r>
          </w:p>
        </w:tc>
        <w:tc>
          <w:tcPr/>
          <w:p>
            <w:pPr>
              <w:pStyle w:val="Compact"/>
            </w:pPr>
            <w:r>
              <w:t xml:space="preserve">สูญเสียความถูกต้องของเงิน = ห้ามเกิด (synchronous commit)</w:t>
            </w:r>
          </w:p>
        </w:tc>
      </w:tr>
      <w:tr>
        <w:tc>
          <w:tcPr/>
          <w:p>
            <w:pPr>
              <w:pStyle w:val="Compact"/>
            </w:pPr>
            <w:r>
              <w:rPr>
                <w:b/>
                <w:bCs/>
              </w:rPr>
              <w:t xml:space="preserve">Tier 1 — High</w:t>
            </w:r>
          </w:p>
        </w:tc>
        <w:tc>
          <w:tcPr/>
          <w:p>
            <w:pPr>
              <w:pStyle w:val="Compact"/>
            </w:pPr>
            <w:r>
              <w:t xml:space="preserve">Refund, Webhook/Notify, 3DS flow</w:t>
            </w:r>
          </w:p>
        </w:tc>
        <w:tc>
          <w:tcPr/>
          <w:p>
            <w:pPr>
              <w:pStyle w:val="Compact"/>
            </w:pPr>
            <w:r>
              <w:t xml:space="preserve">4 ชม.</w:t>
            </w:r>
          </w:p>
        </w:tc>
        <w:tc>
          <w:tcPr/>
          <w:p>
            <w:pPr>
              <w:pStyle w:val="Compact"/>
            </w:pPr>
            <w:r>
              <w:t xml:space="preserve">≤ 2 ชม.</w:t>
            </w:r>
          </w:p>
        </w:tc>
        <w:tc>
          <w:tcPr/>
          <w:p>
            <w:pPr>
              <w:pStyle w:val="Compact"/>
            </w:pPr>
            <w:r>
              <w:t xml:space="preserve">≤ 15 นาที</w:t>
            </w:r>
          </w:p>
        </w:tc>
        <w:tc>
          <w:tcPr/>
          <w:p>
            <w:pPr>
              <w:pStyle w:val="Compact"/>
            </w:pPr>
            <w:r>
              <w:t xml:space="preserve">merchant ไม่ได้ callback, ผู้ถือบัตรไม่ได้เงินคืน</w:t>
            </w:r>
          </w:p>
        </w:tc>
      </w:tr>
      <w:tr>
        <w:tc>
          <w:tcPr/>
          <w:p>
            <w:pPr>
              <w:pStyle w:val="Compact"/>
            </w:pPr>
            <w:r>
              <w:rPr>
                <w:b/>
                <w:bCs/>
              </w:rPr>
              <w:t xml:space="preserve">Tier 2 — Medium</w:t>
            </w:r>
          </w:p>
        </w:tc>
        <w:tc>
          <w:tcPr/>
          <w:p>
            <w:pPr>
              <w:pStyle w:val="Compact"/>
            </w:pPr>
            <w:r>
              <w:t xml:space="preserve">Settlement / Payout, Reconciliation worker</w:t>
            </w:r>
          </w:p>
        </w:tc>
        <w:tc>
          <w:tcPr/>
          <w:p>
            <w:pPr>
              <w:pStyle w:val="Compact"/>
            </w:pPr>
            <w:r>
              <w:t xml:space="preserve">24 ชม.</w:t>
            </w:r>
          </w:p>
        </w:tc>
        <w:tc>
          <w:tcPr/>
          <w:p>
            <w:pPr>
              <w:pStyle w:val="Compact"/>
            </w:pPr>
            <w:r>
              <w:t xml:space="preserve">≤ 8 ชม.</w:t>
            </w:r>
          </w:p>
        </w:tc>
        <w:tc>
          <w:tcPr/>
          <w:p>
            <w:pPr>
              <w:pStyle w:val="Compact"/>
            </w:pPr>
            <w:r>
              <w:t xml:space="preserve">≤ 1 ชม.</w:t>
            </w:r>
          </w:p>
        </w:tc>
        <w:tc>
          <w:tcPr/>
          <w:p>
            <w:pPr>
              <w:pStyle w:val="Compact"/>
            </w:pPr>
            <w:r>
              <w:t xml:space="preserve">จ่ายเงิน merchant ช้า (batch เลื่อนได้ในวันเดียวกัน)</w:t>
            </w:r>
          </w:p>
        </w:tc>
      </w:tr>
      <w:tr>
        <w:tc>
          <w:tcPr/>
          <w:p>
            <w:pPr>
              <w:pStyle w:val="Compact"/>
            </w:pPr>
            <w:r>
              <w:rPr>
                <w:b/>
                <w:bCs/>
              </w:rPr>
              <w:t xml:space="preserve">Tier 2 — Medium</w:t>
            </w:r>
          </w:p>
        </w:tc>
        <w:tc>
          <w:tcPr/>
          <w:p>
            <w:pPr>
              <w:pStyle w:val="Compact"/>
            </w:pPr>
            <w:r>
              <w:t xml:space="preserve">Merchant/Admin API, Dashboard, Reporting</w:t>
            </w:r>
          </w:p>
        </w:tc>
        <w:tc>
          <w:tcPr/>
          <w:p>
            <w:pPr>
              <w:pStyle w:val="Compact"/>
            </w:pPr>
            <w:r>
              <w:t xml:space="preserve">24 ชม.</w:t>
            </w:r>
          </w:p>
        </w:tc>
        <w:tc>
          <w:tcPr/>
          <w:p>
            <w:pPr>
              <w:pStyle w:val="Compact"/>
            </w:pPr>
            <w:r>
              <w:t xml:space="preserve">≤ 8 ชม.</w:t>
            </w:r>
          </w:p>
        </w:tc>
        <w:tc>
          <w:tcPr/>
          <w:p>
            <w:pPr>
              <w:pStyle w:val="Compact"/>
            </w:pPr>
            <w:r>
              <w:t xml:space="preserve">≤ 1 ชม.</w:t>
            </w:r>
          </w:p>
        </w:tc>
        <w:tc>
          <w:tcPr/>
          <w:p>
            <w:pPr>
              <w:pStyle w:val="Compact"/>
            </w:pPr>
            <w:r>
              <w:t xml:space="preserve">กระทบการใช้งาน ไม่กระทบเงิน</w:t>
            </w:r>
          </w:p>
        </w:tc>
      </w:tr>
      <w:tr>
        <w:tc>
          <w:tcPr/>
          <w:p>
            <w:pPr>
              <w:pStyle w:val="Compact"/>
            </w:pPr>
            <w:r>
              <w:rPr>
                <w:b/>
                <w:bCs/>
              </w:rPr>
              <w:t xml:space="preserve">Tier 3 — Low</w:t>
            </w:r>
          </w:p>
        </w:tc>
        <w:tc>
          <w:tcPr/>
          <w:p>
            <w:pPr>
              <w:pStyle w:val="Compact"/>
            </w:pPr>
            <w:r>
              <w:t xml:space="preserve">ระบบภายใน (BI, internal tools)</w:t>
            </w:r>
          </w:p>
        </w:tc>
        <w:tc>
          <w:tcPr/>
          <w:p>
            <w:pPr>
              <w:pStyle w:val="Compact"/>
            </w:pPr>
            <w:r>
              <w:t xml:space="preserve">72 ชม.</w:t>
            </w:r>
          </w:p>
        </w:tc>
        <w:tc>
          <w:tcPr/>
          <w:p>
            <w:pPr>
              <w:pStyle w:val="Compact"/>
            </w:pPr>
            <w:r>
              <w:t xml:space="preserve">≤ 48 ชม.</w:t>
            </w:r>
          </w:p>
        </w:tc>
        <w:tc>
          <w:tcPr/>
          <w:p>
            <w:pPr>
              <w:pStyle w:val="Compact"/>
            </w:pPr>
            <w:r>
              <w:t xml:space="preserve">≤ 24 ชม.</w:t>
            </w:r>
          </w:p>
        </w:tc>
        <w:tc>
          <w:tcPr/>
          <w:p>
            <w:pPr>
              <w:pStyle w:val="Compact"/>
            </w:pPr>
            <w:r>
              <w:t xml:space="preserve">กระทบต่ำ</w:t>
            </w:r>
          </w:p>
        </w:tc>
      </w:tr>
    </w:tbl>
    <w:p>
      <w:pPr>
        <w:pStyle w:val="BodyText"/>
      </w:pPr>
      <w:r>
        <w:rPr>
          <w:b/>
          <w:bCs/>
        </w:rPr>
        <w:t xml:space="preserve">เหตุผลของค่า RPO/RTO:</w:t>
      </w:r>
      <w:r>
        <w:t xml:space="preserve"> </w:t>
      </w:r>
      <w:r>
        <w:t xml:space="preserve">-</w:t>
      </w:r>
      <w:r>
        <w:t xml:space="preserve"> </w:t>
      </w:r>
      <w:r>
        <w:rPr>
          <w:b/>
          <w:bCs/>
        </w:rPr>
        <w:t xml:space="preserve">RPO ≤ 5 นาที</w:t>
      </w:r>
      <w:r>
        <w:t xml:space="preserve"> </w:t>
      </w:r>
      <w:r>
        <w:t xml:space="preserve">สำหรับ operational DB มาจาก streaming replication (PostgreSQL) ไปยัง DR site</w:t>
      </w:r>
      <w:r>
        <w:t xml:space="preserve"> </w:t>
      </w:r>
      <w:r>
        <w:t xml:space="preserve">-</w:t>
      </w:r>
      <w:r>
        <w:t xml:space="preserve"> </w:t>
      </w:r>
      <w:r>
        <w:rPr>
          <w:b/>
          <w:bCs/>
        </w:rPr>
        <w:t xml:space="preserve">RPO ≈ 0</w:t>
      </w:r>
      <w:r>
        <w:t xml:space="preserve"> </w:t>
      </w:r>
      <w:r>
        <w:t xml:space="preserve">สำหรับ ledger/vault ใช้</w:t>
      </w:r>
      <w:r>
        <w:t xml:space="preserve"> </w:t>
      </w:r>
      <w:r>
        <w:rPr>
          <w:b/>
          <w:bCs/>
        </w:rPr>
        <w:t xml:space="preserve">synchronous commit</w:t>
      </w:r>
      <w:r>
        <w:t xml:space="preserve"> </w:t>
      </w:r>
      <w:r>
        <w:t xml:space="preserve">ไปยัง standby อย่างน้อย 1 node (ยอมเสีย latency</w:t>
      </w:r>
      <w:r>
        <w:t xml:space="preserve"> </w:t>
      </w:r>
      <w:r>
        <w:t xml:space="preserve">เล็กน้อยเพื่อไม่ให้เงินหาย — สอดคล้องหลัก</w:t>
      </w:r>
      <w:r>
        <w:t xml:space="preserve"> </w:t>
      </w:r>
      <w:r>
        <w:t xml:space="preserve">“fail closed”</w:t>
      </w:r>
      <w:r>
        <w:t xml:space="preserve"> </w:t>
      </w:r>
      <w:r>
        <w:t xml:space="preserve">ใน</w:t>
      </w:r>
      <w:r>
        <w:t xml:space="preserve"> </w:t>
      </w:r>
      <w:r>
        <w:rPr>
          <w:rStyle w:val="VerbatimChar"/>
        </w:rPr>
        <w:t xml:space="preserve">ARCHITECTURE.md</w:t>
      </w:r>
      <w:r>
        <w:t xml:space="preserve"> </w:t>
      </w:r>
      <w:r>
        <w:t xml:space="preserve">ข้อ 2)</w:t>
      </w:r>
      <w:r>
        <w:t xml:space="preserve"> </w:t>
      </w:r>
      <w:r>
        <w:t xml:space="preserve">-</w:t>
      </w:r>
      <w:r>
        <w:t xml:space="preserve"> </w:t>
      </w:r>
      <w:r>
        <w:rPr>
          <w:b/>
          <w:bCs/>
        </w:rPr>
        <w:t xml:space="preserve">RTO ≤ 30 นาที</w:t>
      </w:r>
      <w:r>
        <w:t xml:space="preserve"> </w:t>
      </w:r>
      <w:r>
        <w:t xml:space="preserve">สำหรับ payment core ผ่าน hot/warm standby ที่ pre-provisioned ไว้</w:t>
      </w:r>
    </w:p>
    <w:p>
      <w:pPr>
        <w:pStyle w:val="BlockText"/>
      </w:pPr>
      <w:r>
        <w:t xml:space="preserve">[!WARNING]</w:t>
      </w:r>
      <w:r>
        <w:t xml:space="preserve"> </w:t>
      </w:r>
      <w:r>
        <w:rPr>
          <w:b/>
          <w:bCs/>
        </w:rPr>
        <w:t xml:space="preserve">สมมติฐาน / TODO ที่ยังไม่ยุติ (ต้องยืนยันก่อนยื่น)</w:t>
      </w:r>
      <w:r>
        <w:t xml:space="preserve"> </w:t>
      </w:r>
      <w:r>
        <w:t xml:space="preserve">-</w:t>
      </w:r>
      <w:r>
        <w:t xml:space="preserve"> </w:t>
      </w:r>
      <w:r>
        <w:rPr>
          <w:b/>
          <w:bCs/>
        </w:rPr>
        <w:t xml:space="preserve">Cloud/IDC provider และ region:</w:t>
      </w:r>
      <w:r>
        <w:t xml:space="preserve"> </w:t>
      </w:r>
      <w:r>
        <w:t xml:space="preserve">ยังไม่สรุปผู้ให้บริการ (ตัวเลือกที่ต้องมี region ในไทยตามข้อกำหนด data</w:t>
      </w:r>
      <w:r>
        <w:t xml:space="preserve"> </w:t>
      </w:r>
      <w:r>
        <w:t xml:space="preserve">residency ของ ธปท./PDPA เช่น AWS ap-southeast-7 (Bangkok), Google Cloud, หรือ IDC ในประเทศ) — ค่า RTO/RPO</w:t>
      </w:r>
      <w:r>
        <w:t xml:space="preserve"> </w:t>
      </w:r>
      <w:r>
        <w:t xml:space="preserve">จริงต้องยืนยันกับ SLA ของ provider ที่เลือก</w:t>
      </w:r>
      <w:r>
        <w:t xml:space="preserve"> </w:t>
      </w:r>
      <w:r>
        <w:t xml:space="preserve">-</w:t>
      </w:r>
      <w:r>
        <w:t xml:space="preserve"> </w:t>
      </w:r>
      <w:r>
        <w:rPr>
          <w:b/>
          <w:bCs/>
        </w:rPr>
        <w:t xml:space="preserve">Sponsor bank / acquirer:</w:t>
      </w:r>
      <w:r>
        <w:t xml:space="preserve"> </w:t>
      </w:r>
      <w:r>
        <w:t xml:space="preserve">ยังไม่ลงนาม — SLA availability, ช่องทาง failover การเชื่อม (ISO 8583 / API),</w:t>
      </w:r>
      <w:r>
        <w:t xml:space="preserve"> </w:t>
      </w:r>
      <w:r>
        <w:t xml:space="preserve">และข้อกำหนด BCP ของ sponsor จะ override เกณฑ์ขั้นต่ำในเอกสารนี้เมื่อทราบ</w:t>
      </w:r>
      <w:r>
        <w:t xml:space="preserve"> </w:t>
      </w:r>
      <w:r>
        <w:t xml:space="preserve">-</w:t>
      </w:r>
      <w:r>
        <w:t xml:space="preserve"> </w:t>
      </w:r>
      <w:r>
        <w:rPr>
          <w:b/>
          <w:bCs/>
        </w:rPr>
        <w:t xml:space="preserve">QSA vendor (PCI-DSS L1):</w:t>
      </w:r>
      <w:r>
        <w:t xml:space="preserve"> </w:t>
      </w:r>
      <w:r>
        <w:t xml:space="preserve">ยังไม่เลือก — ขอบเขต DR ที่อยู่ใน CDE (Cardholder Data Environment) และหลักฐาน</w:t>
      </w:r>
      <w:r>
        <w:t xml:space="preserve"> </w:t>
      </w:r>
      <w:r>
        <w:t xml:space="preserve">ที่ต้องแสดงใน RoC อาจปรับตามคำแนะนำ QSA</w:t>
      </w:r>
      <w:r>
        <w:t xml:space="preserve"> </w:t>
      </w:r>
      <w:r>
        <w:t xml:space="preserve">-</w:t>
      </w:r>
      <w:r>
        <w:t xml:space="preserve"> </w:t>
      </w:r>
      <w:r>
        <w:rPr>
          <w:b/>
          <w:bCs/>
        </w:rPr>
        <w:t xml:space="preserve">3DS provider / HSM vendor:</w:t>
      </w:r>
      <w:r>
        <w:t xml:space="preserve"> </w:t>
      </w:r>
      <w:r>
        <w:t xml:space="preserve">ยังไม่เลือก — โหมด HA/DR ของ HSM (cluster/replication ของ key material)</w:t>
      </w:r>
      <w:r>
        <w:t xml:space="preserve"> </w:t>
      </w:r>
      <w:r>
        <w:t xml:space="preserve">ต้องยืนยันตามผลิตภัณฑ์จริง</w:t>
      </w:r>
      <w:r>
        <w:t xml:space="preserve"> </w:t>
      </w:r>
      <w:r>
        <w:t xml:space="preserve">-</w:t>
      </w:r>
      <w:r>
        <w:t xml:space="preserve"> </w:t>
      </w:r>
      <w:r>
        <w:rPr>
          <w:b/>
          <w:bCs/>
        </w:rPr>
        <w:t xml:space="preserve">ทุนจดทะเบียนชำระแล้วจริง:</w:t>
      </w:r>
      <w:r>
        <w:t xml:space="preserve"> </w:t>
      </w:r>
      <w:r>
        <w:t xml:space="preserve">ต้องยืนยันคงไว้ ≥ 50 ล้านบาท (≥ 75% ตลอดการดำเนินงาน)</w:t>
      </w:r>
    </w:p>
    <w:p>
      <w:r>
        <w:pict>
          <v:rect style="width:0;height:1.5pt" o:hralign="center" o:hrstd="t" o:hr="t"/>
        </w:pict>
      </w:r>
    </w:p>
    <w:bookmarkEnd w:id="516"/>
    <w:bookmarkStart w:id="520" w:name="X053c37475b6d7b3be8a142494743a4e9052b6f9"/>
    <w:p>
      <w:pPr>
        <w:pStyle w:val="Heading2"/>
      </w:pPr>
      <w:r>
        <w:t xml:space="preserve">4. สถาปัตยกรรมความพร้อมใช้และ DR (Availability &amp; DR Architecture)</w:t>
      </w:r>
    </w:p>
    <w:bookmarkStart w:id="517" w:name="หลกการ-1"/>
    <w:p>
      <w:pPr>
        <w:pStyle w:val="Heading3"/>
      </w:pPr>
      <w:r>
        <w:t xml:space="preserve">4.1 หลักการ</w:t>
      </w:r>
    </w:p>
    <w:p>
      <w:pPr>
        <w:pStyle w:val="Compact"/>
        <w:numPr>
          <w:ilvl w:val="0"/>
          <w:numId w:val="1208"/>
        </w:numPr>
      </w:pPr>
      <w:r>
        <w:rPr>
          <w:b/>
          <w:bCs/>
        </w:rPr>
        <w:t xml:space="preserve">Active–Active ภายใน region หลัก</w:t>
      </w:r>
      <w:r>
        <w:t xml:space="preserve"> </w:t>
      </w:r>
      <w:r>
        <w:t xml:space="preserve">— API stateless หลาย availability zone (AZ) หลัง load balancer + WAF</w:t>
      </w:r>
    </w:p>
    <w:p>
      <w:pPr>
        <w:pStyle w:val="Compact"/>
        <w:numPr>
          <w:ilvl w:val="0"/>
          <w:numId w:val="1208"/>
        </w:numPr>
      </w:pPr>
      <w:r>
        <w:rPr>
          <w:b/>
          <w:bCs/>
        </w:rPr>
        <w:t xml:space="preserve">Warm/Hot standby ที่ DR site (คนละ AZ/region ในไทย)</w:t>
      </w:r>
      <w:r>
        <w:t xml:space="preserve"> </w:t>
      </w:r>
      <w:r>
        <w:t xml:space="preserve">— pre-provisioned, พร้อม promote</w:t>
      </w:r>
    </w:p>
    <w:p>
      <w:pPr>
        <w:pStyle w:val="Compact"/>
        <w:numPr>
          <w:ilvl w:val="0"/>
          <w:numId w:val="1208"/>
        </w:numPr>
      </w:pPr>
      <w:r>
        <w:rPr>
          <w:b/>
          <w:bCs/>
        </w:rPr>
        <w:t xml:space="preserve">Data residency:</w:t>
      </w:r>
      <w:r>
        <w:t xml:space="preserve"> </w:t>
      </w:r>
      <w:r>
        <w:t xml:space="preserve">ข้อมูล production และ backup ทั้งหมดเก็บภายในประเทศไทยตามข้อกำหนด ธปท./PDPA</w:t>
      </w:r>
    </w:p>
    <w:p>
      <w:pPr>
        <w:pStyle w:val="Compact"/>
        <w:numPr>
          <w:ilvl w:val="0"/>
          <w:numId w:val="1208"/>
        </w:numPr>
      </w:pPr>
      <w:r>
        <w:rPr>
          <w:b/>
          <w:bCs/>
        </w:rPr>
        <w:t xml:space="preserve">CDE segmentation คงอยู่ที่ DR site</w:t>
      </w:r>
      <w:r>
        <w:t xml:space="preserve"> </w:t>
      </w:r>
      <w:r>
        <w:t xml:space="preserve">— network segmentation, WAF, mTLS ต้องเหมือน production (PCI Req 1)</w:t>
      </w:r>
    </w:p>
    <w:bookmarkEnd w:id="517"/>
    <w:bookmarkStart w:id="518" w:name="กลยทธตามชนขอมล"/>
    <w:p>
      <w:pPr>
        <w:pStyle w:val="Heading3"/>
      </w:pPr>
      <w:r>
        <w:t xml:space="preserve">4.2 กลยุทธ์ตามชั้นข้อมูล</w:t>
      </w:r>
    </w:p>
    <w:tbl>
      <w:tblPr>
        <w:tblStyle w:val="Table"/>
        <w:tblW w:type="pct" w:w="5000"/>
        <w:tblLayout w:type="fixed"/>
        <w:tblLook w:firstRow="1" w:lastRow="0" w:firstColumn="0" w:lastColumn="0" w:noHBand="0" w:noVBand="0" w:val="0020"/>
      </w:tblPr>
      <w:tblGrid>
        <w:gridCol w:w="1440"/>
        <w:gridCol w:w="1440"/>
        <w:gridCol w:w="3840"/>
        <w:gridCol w:w="1200"/>
      </w:tblGrid>
      <w:tr>
        <w:trPr>
          <w:tblHeader w:val="on"/>
        </w:trPr>
        <w:tc>
          <w:tcPr/>
          <w:p>
            <w:pPr>
              <w:pStyle w:val="Compact"/>
            </w:pPr>
            <w:r>
              <w:t xml:space="preserve">ชั้น</w:t>
            </w:r>
          </w:p>
        </w:tc>
        <w:tc>
          <w:tcPr/>
          <w:p>
            <w:pPr>
              <w:pStyle w:val="Compact"/>
            </w:pPr>
            <w:r>
              <w:t xml:space="preserve">กลไก</w:t>
            </w:r>
          </w:p>
        </w:tc>
        <w:tc>
          <w:tcPr/>
          <w:p>
            <w:pPr>
              <w:pStyle w:val="Compact"/>
            </w:pPr>
            <w:r>
              <w:t xml:space="preserve">โหมด replicate</w:t>
            </w:r>
          </w:p>
        </w:tc>
        <w:tc>
          <w:tcPr/>
          <w:p>
            <w:pPr>
              <w:pStyle w:val="Compact"/>
            </w:pPr>
            <w:r>
              <w:t xml:space="preserve">RPO</w:t>
            </w:r>
          </w:p>
        </w:tc>
      </w:tr>
      <w:tr>
        <w:tc>
          <w:tcPr/>
          <w:p>
            <w:pPr>
              <w:pStyle w:val="Compact"/>
            </w:pPr>
            <w:r>
              <w:t xml:space="preserve">API / Service (stateless)</w:t>
            </w:r>
          </w:p>
        </w:tc>
        <w:tc>
          <w:tcPr/>
          <w:p>
            <w:pPr>
              <w:pStyle w:val="Compact"/>
            </w:pPr>
            <w:r>
              <w:t xml:space="preserve">multi-AZ, autoscale, distroless image</w:t>
            </w:r>
          </w:p>
        </w:tc>
        <w:tc>
          <w:tcPr/>
          <w:p>
            <w:pPr>
              <w:pStyle w:val="Compact"/>
            </w:pPr>
            <w:r>
              <w:t xml:space="preserve">N/A (redeploy จาก image registry)</w:t>
            </w:r>
          </w:p>
        </w:tc>
        <w:tc>
          <w:tcPr/>
          <w:p>
            <w:pPr>
              <w:pStyle w:val="Compact"/>
            </w:pPr>
            <w:r>
              <w:t xml:space="preserve">N/A</w:t>
            </w:r>
          </w:p>
        </w:tc>
      </w:tr>
      <w:tr>
        <w:tc>
          <w:tcPr/>
          <w:p>
            <w:pPr>
              <w:pStyle w:val="Compact"/>
            </w:pPr>
            <w:r>
              <w:t xml:space="preserve">Operational DB (payments, webhook)</w:t>
            </w:r>
          </w:p>
        </w:tc>
        <w:tc>
          <w:tcPr/>
          <w:p>
            <w:pPr>
              <w:pStyle w:val="Compact"/>
            </w:pPr>
            <w:r>
              <w:t xml:space="preserve">PostgreSQL primary + streaming replica</w:t>
            </w:r>
          </w:p>
        </w:tc>
        <w:tc>
          <w:tcPr/>
          <w:p>
            <w:pPr>
              <w:pStyle w:val="Compact"/>
            </w:pPr>
            <w:r>
              <w:t xml:space="preserve">asynchronous</w:t>
            </w:r>
          </w:p>
        </w:tc>
        <w:tc>
          <w:tcPr/>
          <w:p>
            <w:pPr>
              <w:pStyle w:val="Compact"/>
            </w:pPr>
            <w:r>
              <w:t xml:space="preserve">≤ 5 นาที</w:t>
            </w:r>
          </w:p>
        </w:tc>
      </w:tr>
      <w:tr>
        <w:tc>
          <w:tcPr/>
          <w:p>
            <w:pPr>
              <w:pStyle w:val="Compact"/>
            </w:pPr>
            <w:r>
              <w:rPr>
                <w:b/>
                <w:bCs/>
              </w:rPr>
              <w:t xml:space="preserve">Ledger + Vault (critical)</w:t>
            </w:r>
          </w:p>
        </w:tc>
        <w:tc>
          <w:tcPr/>
          <w:p>
            <w:pPr>
              <w:pStyle w:val="Compact"/>
            </w:pPr>
            <w:r>
              <w:t xml:space="preserve">PostgreSQL +</w:t>
            </w:r>
            <w:r>
              <w:t xml:space="preserve"> </w:t>
            </w:r>
            <w:r>
              <w:rPr>
                <w:b/>
                <w:bCs/>
              </w:rPr>
              <w:t xml:space="preserve">synchronous_commit=remote_apply</w:t>
            </w:r>
            <w:r>
              <w:t xml:space="preserve"> </w:t>
            </w:r>
            <w:r>
              <w:t xml:space="preserve">ไป standby</w:t>
            </w:r>
          </w:p>
        </w:tc>
        <w:tc>
          <w:tcPr/>
          <w:p>
            <w:pPr>
              <w:pStyle w:val="Compact"/>
            </w:pPr>
            <w:r>
              <w:t xml:space="preserve">synchronous</w:t>
            </w:r>
          </w:p>
        </w:tc>
        <w:tc>
          <w:tcPr/>
          <w:p>
            <w:pPr>
              <w:pStyle w:val="Compact"/>
            </w:pPr>
            <w:r>
              <w:t xml:space="preserve">≈ 0</w:t>
            </w:r>
          </w:p>
        </w:tc>
      </w:tr>
      <w:tr>
        <w:tc>
          <w:tcPr/>
          <w:p>
            <w:pPr>
              <w:pStyle w:val="Compact"/>
            </w:pPr>
            <w:r>
              <w:t xml:space="preserve">Object storage (logs, exports)</w:t>
            </w:r>
          </w:p>
        </w:tc>
        <w:tc>
          <w:tcPr/>
          <w:p>
            <w:pPr>
              <w:pStyle w:val="Compact"/>
            </w:pPr>
            <w:r>
              <w:t xml:space="preserve">cross-AZ replicated bucket, versioned, immutable (WORM)</w:t>
            </w:r>
          </w:p>
        </w:tc>
        <w:tc>
          <w:tcPr/>
          <w:p>
            <w:pPr>
              <w:pStyle w:val="Compact"/>
            </w:pPr>
            <w:r>
              <w:t xml:space="preserve">near-real-time</w:t>
            </w:r>
          </w:p>
        </w:tc>
        <w:tc>
          <w:tcPr/>
          <w:p>
            <w:pPr>
              <w:pStyle w:val="Compact"/>
            </w:pPr>
            <w:r>
              <w:t xml:space="preserve">≤ 15 นาที</w:t>
            </w:r>
          </w:p>
        </w:tc>
      </w:tr>
      <w:tr>
        <w:tc>
          <w:tcPr/>
          <w:p>
            <w:pPr>
              <w:pStyle w:val="Compact"/>
            </w:pPr>
            <w:r>
              <w:t xml:space="preserve">HSM / KMS</w:t>
            </w:r>
          </w:p>
        </w:tc>
        <w:tc>
          <w:tcPr/>
          <w:p>
            <w:pPr>
              <w:pStyle w:val="Compact"/>
            </w:pPr>
            <w:r>
              <w:t xml:space="preserve">HSM cluster / partition replication (dual site)</w:t>
            </w:r>
          </w:p>
        </w:tc>
        <w:tc>
          <w:tcPr/>
          <w:p>
            <w:pPr>
              <w:pStyle w:val="Compact"/>
            </w:pPr>
            <w:r>
              <w:t xml:space="preserve">vendor-managed</w:t>
            </w:r>
          </w:p>
        </w:tc>
        <w:tc>
          <w:tcPr/>
          <w:p>
            <w:pPr>
              <w:pStyle w:val="Compact"/>
            </w:pPr>
            <w:r>
              <w:t xml:space="preserve">≈ 0</w:t>
            </w:r>
          </w:p>
        </w:tc>
      </w:tr>
      <w:tr>
        <w:tc>
          <w:tcPr/>
          <w:p>
            <w:pPr>
              <w:pStyle w:val="Compact"/>
            </w:pPr>
            <w:r>
              <w:t xml:space="preserve">Secrets</w:t>
            </w:r>
          </w:p>
        </w:tc>
        <w:tc>
          <w:tcPr/>
          <w:p>
            <w:pPr>
              <w:pStyle w:val="Compact"/>
            </w:pPr>
            <w:r>
              <w:t xml:space="preserve">secrets manager replicated + break-glass offline copy (sealed)</w:t>
            </w:r>
          </w:p>
        </w:tc>
        <w:tc>
          <w:tcPr/>
          <w:p>
            <w:pPr>
              <w:pStyle w:val="Compact"/>
            </w:pPr>
            <w:r>
              <w:t xml:space="preserve">N/A</w:t>
            </w:r>
          </w:p>
        </w:tc>
        <w:tc>
          <w:tcPr/>
          <w:p>
            <w:pPr>
              <w:pStyle w:val="Compact"/>
            </w:pPr>
            <w:r>
              <w:t xml:space="preserve">N/A</w:t>
            </w:r>
          </w:p>
        </w:tc>
      </w:tr>
    </w:tbl>
    <w:bookmarkEnd w:id="518"/>
    <w:bookmarkStart w:id="519" w:name="การเชอมตอภายนอก"/>
    <w:p>
      <w:pPr>
        <w:pStyle w:val="Heading3"/>
      </w:pPr>
      <w:r>
        <w:t xml:space="preserve">4.3 การเชื่อมต่อภายนอก</w:t>
      </w:r>
    </w:p>
    <w:p>
      <w:pPr>
        <w:pStyle w:val="Compact"/>
        <w:numPr>
          <w:ilvl w:val="0"/>
          <w:numId w:val="1209"/>
        </w:numPr>
      </w:pPr>
      <w:r>
        <w:rPr>
          <w:b/>
          <w:bCs/>
        </w:rPr>
        <w:t xml:space="preserve">Acquirer / card switch:</w:t>
      </w:r>
      <w:r>
        <w:t xml:space="preserve"> </w:t>
      </w:r>
      <w:r>
        <w:t xml:space="preserve">ออกแบบให้มีเส้นทางสำรอง (redundant links) และ</w:t>
      </w:r>
      <w:r>
        <w:t xml:space="preserve"> </w:t>
      </w:r>
      <w:r>
        <w:rPr>
          <w:b/>
          <w:bCs/>
        </w:rPr>
        <w:t xml:space="preserve">fail closed</w:t>
      </w:r>
      <w:r>
        <w:t xml:space="preserve"> </w:t>
      </w:r>
      <w:r>
        <w:t xml:space="preserve">— เมื่อไม่แน่ใจสถานะ</w:t>
      </w:r>
      <w:r>
        <w:t xml:space="preserve"> </w:t>
      </w:r>
      <w:r>
        <w:t xml:space="preserve">authorization ให้ถือว่ายังไม่สำเร็จ แล้ว reconcile ภายหลัง (ป้องกัน double charge)</w:t>
      </w:r>
    </w:p>
    <w:p>
      <w:pPr>
        <w:pStyle w:val="Compact"/>
        <w:numPr>
          <w:ilvl w:val="0"/>
          <w:numId w:val="1209"/>
        </w:numPr>
      </w:pPr>
      <w:r>
        <w:rPr>
          <w:b/>
          <w:bCs/>
        </w:rPr>
        <w:t xml:space="preserve">3DS provider:</w:t>
      </w:r>
      <w:r>
        <w:t xml:space="preserve"> </w:t>
      </w:r>
      <w:r>
        <w:t xml:space="preserve">timeout + fallback rules; หาก ACS/DS ล่ม ให้ decline อย่างปลอดภัยตามนโยบายความเสี่ยง</w:t>
      </w:r>
    </w:p>
    <w:p>
      <w:pPr>
        <w:pStyle w:val="Compact"/>
        <w:numPr>
          <w:ilvl w:val="0"/>
          <w:numId w:val="1209"/>
        </w:numPr>
      </w:pPr>
      <w:r>
        <w:rPr>
          <w:b/>
          <w:bCs/>
        </w:rPr>
        <w:t xml:space="preserve">Webhook:</w:t>
      </w:r>
      <w:r>
        <w:t xml:space="preserve"> </w:t>
      </w:r>
      <w:r>
        <w:t xml:space="preserve">at-least-once + retry + signature; คิว persist ที่ DB จึงไม่สูญหายเมื่อ failover</w:t>
      </w:r>
    </w:p>
    <w:p>
      <w:r>
        <w:pict>
          <v:rect style="width:0;height:1.5pt" o:hralign="center" o:hrstd="t" o:hr="t"/>
        </w:pict>
      </w:r>
    </w:p>
    <w:bookmarkEnd w:id="519"/>
    <w:bookmarkEnd w:id="520"/>
    <w:bookmarkStart w:id="521" w:name="การสำรองขอมล-backup-strategy"/>
    <w:p>
      <w:pPr>
        <w:pStyle w:val="Heading2"/>
      </w:pPr>
      <w:r>
        <w:t xml:space="preserve">5. การสำรองข้อมูล (Backup Strategy)</w:t>
      </w:r>
    </w:p>
    <w:tbl>
      <w:tblPr>
        <w:tblStyle w:val="Table"/>
        <w:tblW w:type="pct" w:w="5000"/>
        <w:tblLayout w:type="fixed"/>
        <w:tblLook w:firstRow="1" w:lastRow="0" w:firstColumn="0" w:lastColumn="0" w:noHBand="0" w:noVBand="0" w:val="0020"/>
      </w:tblPr>
      <w:tblGrid>
        <w:gridCol w:w="974"/>
        <w:gridCol w:w="1096"/>
        <w:gridCol w:w="974"/>
        <w:gridCol w:w="2558"/>
        <w:gridCol w:w="1096"/>
        <w:gridCol w:w="1218"/>
      </w:tblGrid>
      <w:tr>
        <w:trPr>
          <w:tblHeader w:val="on"/>
        </w:trPr>
        <w:tc>
          <w:tcPr/>
          <w:p>
            <w:pPr>
              <w:pStyle w:val="Compact"/>
            </w:pPr>
            <w:r>
              <w:t xml:space="preserve">รายการ</w:t>
            </w:r>
          </w:p>
        </w:tc>
        <w:tc>
          <w:tcPr/>
          <w:p>
            <w:pPr>
              <w:pStyle w:val="Compact"/>
            </w:pPr>
            <w:r>
              <w:t xml:space="preserve">ความถี่</w:t>
            </w:r>
          </w:p>
        </w:tc>
        <w:tc>
          <w:tcPr/>
          <w:p>
            <w:pPr>
              <w:pStyle w:val="Compact"/>
            </w:pPr>
            <w:r>
              <w:t xml:space="preserve">ประเภท</w:t>
            </w:r>
          </w:p>
        </w:tc>
        <w:tc>
          <w:tcPr/>
          <w:p>
            <w:pPr>
              <w:pStyle w:val="Compact"/>
            </w:pPr>
            <w:r>
              <w:t xml:space="preserve">เก็บนาน (Retention)</w:t>
            </w:r>
          </w:p>
        </w:tc>
        <w:tc>
          <w:tcPr/>
          <w:p>
            <w:pPr>
              <w:pStyle w:val="Compact"/>
            </w:pPr>
            <w:r>
              <w:t xml:space="preserve">ที่เก็บ</w:t>
            </w:r>
          </w:p>
        </w:tc>
        <w:tc>
          <w:tcPr/>
          <w:p>
            <w:pPr>
              <w:pStyle w:val="Compact"/>
            </w:pPr>
            <w:r>
              <w:t xml:space="preserve">เข้ารหัส</w:t>
            </w:r>
          </w:p>
        </w:tc>
      </w:tr>
      <w:tr>
        <w:tc>
          <w:tcPr/>
          <w:p>
            <w:pPr>
              <w:pStyle w:val="Compact"/>
            </w:pPr>
            <w:r>
              <w:t xml:space="preserve">PostgreSQL (ทุก DB)</w:t>
            </w:r>
          </w:p>
        </w:tc>
        <w:tc>
          <w:tcPr/>
          <w:p>
            <w:pPr>
              <w:pStyle w:val="Compact"/>
            </w:pPr>
            <w:r>
              <w:t xml:space="preserve">ต่อเนื่อง (WAL) + full daily</w:t>
            </w:r>
          </w:p>
        </w:tc>
        <w:tc>
          <w:tcPr/>
          <w:p>
            <w:pPr>
              <w:pStyle w:val="Compact"/>
            </w:pPr>
            <w:r>
              <w:t xml:space="preserve">PITR (Point-in-Time Recovery)</w:t>
            </w:r>
          </w:p>
        </w:tc>
        <w:tc>
          <w:tcPr/>
          <w:p>
            <w:pPr>
              <w:pStyle w:val="Compact"/>
            </w:pPr>
            <w:r>
              <w:t xml:space="preserve">35 วัน (PITR), full 90 วัน</w:t>
            </w:r>
          </w:p>
        </w:tc>
        <w:tc>
          <w:tcPr/>
          <w:p>
            <w:pPr>
              <w:pStyle w:val="Compact"/>
            </w:pPr>
            <w:r>
              <w:t xml:space="preserve">in-country, cross-AZ</w:t>
            </w:r>
          </w:p>
        </w:tc>
        <w:tc>
          <w:tcPr/>
          <w:p>
            <w:pPr>
              <w:pStyle w:val="Compact"/>
            </w:pPr>
            <w:r>
              <w:t xml:space="preserve">AES-256 at rest</w:t>
            </w:r>
          </w:p>
        </w:tc>
      </w:tr>
      <w:tr>
        <w:tc>
          <w:tcPr/>
          <w:p>
            <w:pPr>
              <w:pStyle w:val="Compact"/>
            </w:pPr>
            <w:r>
              <w:t xml:space="preserve">Ledger / Vault</w:t>
            </w:r>
          </w:p>
        </w:tc>
        <w:tc>
          <w:tcPr/>
          <w:p>
            <w:pPr>
              <w:pStyle w:val="Compact"/>
            </w:pPr>
            <w:r>
              <w:t xml:space="preserve">ต่อเนื่อง (WAL) + full daily</w:t>
            </w:r>
          </w:p>
        </w:tc>
        <w:tc>
          <w:tcPr/>
          <w:p>
            <w:pPr>
              <w:pStyle w:val="Compact"/>
            </w:pPr>
            <w:r>
              <w:t xml:space="preserve">PITR + immutable snapshot</w:t>
            </w:r>
          </w:p>
        </w:tc>
        <w:tc>
          <w:tcPr/>
          <w:p>
            <w:pPr>
              <w:pStyle w:val="Compact"/>
            </w:pPr>
            <w:r>
              <w:t xml:space="preserve">≥ 1 ปี (audit)</w:t>
            </w:r>
          </w:p>
        </w:tc>
        <w:tc>
          <w:tcPr/>
          <w:p>
            <w:pPr>
              <w:pStyle w:val="Compact"/>
            </w:pPr>
            <w:r>
              <w:t xml:space="preserve">in-country</w:t>
            </w:r>
          </w:p>
        </w:tc>
        <w:tc>
          <w:tcPr/>
          <w:p>
            <w:pPr>
              <w:pStyle w:val="Compact"/>
            </w:pPr>
            <w:r>
              <w:t xml:space="preserve">AES-256 + KMS</w:t>
            </w:r>
          </w:p>
        </w:tc>
      </w:tr>
      <w:tr>
        <w:tc>
          <w:tcPr/>
          <w:p>
            <w:pPr>
              <w:pStyle w:val="Compact"/>
            </w:pPr>
            <w:r>
              <w:t xml:space="preserve">Audit log (</w:t>
            </w:r>
            <w:r>
              <w:rPr>
                <w:rStyle w:val="VerbatimChar"/>
              </w:rPr>
              <w:t xml:space="preserve">audit_log</w:t>
            </w:r>
            <w:r>
              <w:t xml:space="preserve">)</w:t>
            </w:r>
          </w:p>
        </w:tc>
        <w:tc>
          <w:tcPr/>
          <w:p>
            <w:pPr>
              <w:pStyle w:val="Compact"/>
            </w:pPr>
            <w:r>
              <w:t xml:space="preserve">ต่อเนื่อง</w:t>
            </w:r>
          </w:p>
        </w:tc>
        <w:tc>
          <w:tcPr/>
          <w:p>
            <w:pPr>
              <w:pStyle w:val="Compact"/>
            </w:pPr>
            <w:r>
              <w:t xml:space="preserve">append-only export → WORM bucket</w:t>
            </w:r>
          </w:p>
        </w:tc>
        <w:tc>
          <w:tcPr/>
          <w:p>
            <w:pPr>
              <w:pStyle w:val="Compact"/>
            </w:pPr>
            <w:r>
              <w:rPr>
                <w:b/>
                <w:bCs/>
              </w:rPr>
              <w:t xml:space="preserve">≥ 1 ปี online, ≥ 5 ปี archive</w:t>
            </w:r>
            <w:r>
              <w:t xml:space="preserve"> </w:t>
            </w:r>
            <w:r>
              <w:t xml:space="preserve">(ธปท./PCI Req 10.5)</w:t>
            </w:r>
          </w:p>
        </w:tc>
        <w:tc>
          <w:tcPr/>
          <w:p>
            <w:pPr>
              <w:pStyle w:val="Compact"/>
            </w:pPr>
            <w:r>
              <w:t xml:space="preserve">immutable object store</w:t>
            </w:r>
          </w:p>
        </w:tc>
        <w:tc>
          <w:tcPr/>
          <w:p>
            <w:pPr>
              <w:pStyle w:val="Compact"/>
            </w:pPr>
            <w:r>
              <w:t xml:space="preserve">AES-256</w:t>
            </w:r>
          </w:p>
        </w:tc>
      </w:tr>
      <w:tr>
        <w:tc>
          <w:tcPr/>
          <w:p>
            <w:pPr>
              <w:pStyle w:val="Compact"/>
            </w:pPr>
            <w:r>
              <w:t xml:space="preserve">Config / IaC / secrets metadata</w:t>
            </w:r>
          </w:p>
        </w:tc>
        <w:tc>
          <w:tcPr/>
          <w:p>
            <w:pPr>
              <w:pStyle w:val="Compact"/>
            </w:pPr>
            <w:r>
              <w:t xml:space="preserve">ทุกการเปลี่ยนแปลง (git)</w:t>
            </w:r>
          </w:p>
        </w:tc>
        <w:tc>
          <w:tcPr/>
          <w:p>
            <w:pPr>
              <w:pStyle w:val="Compact"/>
            </w:pPr>
            <w:r>
              <w:t xml:space="preserve">version control + snapshot</w:t>
            </w:r>
          </w:p>
        </w:tc>
        <w:tc>
          <w:tcPr/>
          <w:p>
            <w:pPr>
              <w:pStyle w:val="Compact"/>
            </w:pPr>
            <w:r>
              <w:t xml:space="preserve">ตามนโยบาย git retention</w:t>
            </w:r>
          </w:p>
        </w:tc>
        <w:tc>
          <w:tcPr/>
          <w:p>
            <w:pPr>
              <w:pStyle w:val="Compact"/>
            </w:pPr>
            <w:r>
              <w:t xml:space="preserve">repo + sealed break-glass</w:t>
            </w:r>
          </w:p>
        </w:tc>
        <w:tc>
          <w:tcPr/>
          <w:p>
            <w:pPr>
              <w:pStyle w:val="Compact"/>
            </w:pPr>
            <w:r>
              <w:t xml:space="preserve">เข้ารหัส secret ทั้งหมด</w:t>
            </w:r>
          </w:p>
        </w:tc>
      </w:tr>
      <w:tr>
        <w:tc>
          <w:tcPr/>
          <w:p>
            <w:pPr>
              <w:pStyle w:val="Compact"/>
            </w:pPr>
            <w:r>
              <w:t xml:space="preserve">HSM key material</w:t>
            </w:r>
          </w:p>
        </w:tc>
        <w:tc>
          <w:tcPr/>
          <w:p>
            <w:pPr>
              <w:pStyle w:val="Compact"/>
            </w:pPr>
            <w:r>
              <w:t xml:space="preserve">ตาม vendor</w:t>
            </w:r>
          </w:p>
        </w:tc>
        <w:tc>
          <w:tcPr/>
          <w:p>
            <w:pPr>
              <w:pStyle w:val="Compact"/>
            </w:pPr>
            <w:r>
              <w:t xml:space="preserve">secure key backup (dual control, split knowledge)</w:t>
            </w:r>
          </w:p>
        </w:tc>
        <w:tc>
          <w:tcPr/>
          <w:p>
            <w:pPr>
              <w:pStyle w:val="Compact"/>
            </w:pPr>
            <w:r>
              <w:t xml:space="preserve">ตลอดอายุคีย์</w:t>
            </w:r>
          </w:p>
        </w:tc>
        <w:tc>
          <w:tcPr/>
          <w:p>
            <w:pPr>
              <w:pStyle w:val="Compact"/>
            </w:pPr>
            <w:r>
              <w:t xml:space="preserve">ตู้นิรภัย/HSM คู่</w:t>
            </w:r>
          </w:p>
        </w:tc>
        <w:tc>
          <w:tcPr/>
          <w:p>
            <w:pPr>
              <w:pStyle w:val="Compact"/>
            </w:pPr>
            <w:r>
              <w:t xml:space="preserve">ตาม PCI Req 3</w:t>
            </w:r>
          </w:p>
        </w:tc>
      </w:tr>
    </w:tbl>
    <w:p>
      <w:pPr>
        <w:pStyle w:val="BodyText"/>
      </w:pPr>
      <w:r>
        <w:rPr>
          <w:b/>
          <w:bCs/>
        </w:rPr>
        <w:t xml:space="preserve">นโยบายสำคัญ</w:t>
      </w:r>
      <w:r>
        <w:t xml:space="preserve"> </w:t>
      </w:r>
      <w:r>
        <w:t xml:space="preserve">-</w:t>
      </w:r>
      <w:r>
        <w:t xml:space="preserve"> </w:t>
      </w:r>
      <w:r>
        <w:rPr>
          <w:b/>
          <w:bCs/>
        </w:rPr>
        <w:t xml:space="preserve">กฎ 3-2-1:</w:t>
      </w:r>
      <w:r>
        <w:t xml:space="preserve"> </w:t>
      </w:r>
      <w:r>
        <w:t xml:space="preserve">อย่างน้อย 3 สำเนา, 2 media/AZ, 1 สำเนา offline/immutable — แต่</w:t>
      </w:r>
      <w:r>
        <w:t xml:space="preserve"> </w:t>
      </w:r>
      <w:r>
        <w:rPr>
          <w:b/>
          <w:bCs/>
        </w:rPr>
        <w:t xml:space="preserve">ทั้งหมดต้องอยู่ในไทย</w:t>
      </w:r>
      <w:r>
        <w:t xml:space="preserve"> </w:t>
      </w:r>
      <w:r>
        <w:t xml:space="preserve">-</w:t>
      </w:r>
      <w:r>
        <w:t xml:space="preserve"> </w:t>
      </w:r>
      <w:r>
        <w:rPr>
          <w:b/>
          <w:bCs/>
        </w:rPr>
        <w:t xml:space="preserve">ห้ามสำรอง prohibited data:</w:t>
      </w:r>
      <w:r>
        <w:t xml:space="preserve"> </w:t>
      </w:r>
      <w:r>
        <w:t xml:space="preserve">ห้าม backup full PAN / CVV / PIN / track — สอดคล้อง</w:t>
      </w:r>
      <w:r>
        <w:t xml:space="preserve"> </w:t>
      </w:r>
      <w:r>
        <w:rPr>
          <w:rStyle w:val="VerbatimChar"/>
        </w:rPr>
        <w:t xml:space="preserve">ARCHITECTURE.md</w:t>
      </w:r>
      <w:r>
        <w:t xml:space="preserve"> </w:t>
      </w:r>
      <w:r>
        <w:t xml:space="preserve">ข้อ 6</w:t>
      </w:r>
      <w:r>
        <w:t xml:space="preserve"> </w:t>
      </w:r>
      <w:r>
        <w:t xml:space="preserve">(operational DB เก็บได้แค่</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PAN ที่ vault เก็บเป็น encrypted token เท่านั้น</w:t>
      </w:r>
      <w:r>
        <w:t xml:space="preserve"> </w:t>
      </w:r>
      <w:r>
        <w:t xml:space="preserve">-</w:t>
      </w:r>
      <w:r>
        <w:t xml:space="preserve"> </w:t>
      </w:r>
      <w:r>
        <w:rPr>
          <w:b/>
          <w:bCs/>
        </w:rPr>
        <w:t xml:space="preserve">Immutability:</w:t>
      </w:r>
      <w:r>
        <w:t xml:space="preserve"> </w:t>
      </w:r>
      <w:r>
        <w:t xml:space="preserve">backup ของ ledger/audit เป็น WORM ป้องกัน ransomware และการแก้ไขย้อนหลัง</w:t>
      </w:r>
      <w:r>
        <w:t xml:space="preserve"> </w:t>
      </w:r>
      <w:r>
        <w:t xml:space="preserve">-</w:t>
      </w:r>
      <w:r>
        <w:t xml:space="preserve"> </w:t>
      </w:r>
      <w:r>
        <w:rPr>
          <w:b/>
          <w:bCs/>
        </w:rPr>
        <w:t xml:space="preserve">ทดสอบ restore:</w:t>
      </w:r>
      <w:r>
        <w:t xml:space="preserve"> </w:t>
      </w:r>
      <w:r>
        <w:t xml:space="preserve">ทำ</w:t>
      </w:r>
      <w:r>
        <w:t xml:space="preserve"> </w:t>
      </w:r>
      <w:r>
        <w:rPr>
          <w:b/>
          <w:bCs/>
        </w:rPr>
        <w:t xml:space="preserve">restore test</w:t>
      </w:r>
      <w:r>
        <w:t xml:space="preserve"> </w:t>
      </w:r>
      <w:r>
        <w:t xml:space="preserve">อย่างน้อยเดือนละครั้ง (partial) และไตรมาสละครั้ง (full) พร้อมบันทึกผล</w:t>
      </w:r>
      <w:r>
        <w:t xml:space="preserve"> </w:t>
      </w:r>
      <w:r>
        <w:t xml:space="preserve">restore duration เทียบกับ RTO</w:t>
      </w:r>
      <w:r>
        <w:t xml:space="preserve"> </w:t>
      </w:r>
      <w:r>
        <w:t xml:space="preserve">-</w:t>
      </w:r>
      <w:r>
        <w:t xml:space="preserve"> </w:t>
      </w:r>
      <w:r>
        <w:rPr>
          <w:b/>
          <w:bCs/>
        </w:rPr>
        <w:t xml:space="preserve">Key management ของ backup:</w:t>
      </w:r>
      <w:r>
        <w:t xml:space="preserve"> </w:t>
      </w:r>
      <w:r>
        <w:t xml:space="preserve">คีย์เข้ารหัส backup แยกจากคีย์ production, rotate ตามรอบ, dual control (PCI Req 3)</w:t>
      </w:r>
    </w:p>
    <w:p>
      <w:r>
        <w:pict>
          <v:rect style="width:0;height:1.5pt" o:hralign="center" o:hrstd="t" o:hr="t"/>
        </w:pict>
      </w:r>
    </w:p>
    <w:bookmarkEnd w:id="521"/>
    <w:bookmarkStart w:id="522" w:name="X37aa632d149461d10e8a2823a40747c748f0996"/>
    <w:p>
      <w:pPr>
        <w:pStyle w:val="Heading2"/>
      </w:pPr>
      <w:r>
        <w:t xml:space="preserve">6. ระดับความรุนแรงและการเรียกใช้แผน (Severity &amp; Activation)</w:t>
      </w:r>
    </w:p>
    <w:tbl>
      <w:tblPr>
        <w:tblStyle w:val="Table"/>
        <w:tblW w:type="pct" w:w="5000"/>
        <w:tblLayout w:type="fixed"/>
        <w:tblLook w:firstRow="1" w:lastRow="0" w:firstColumn="0" w:lastColumn="0" w:noHBand="0" w:noVBand="0" w:val="0020"/>
      </w:tblPr>
      <w:tblGrid>
        <w:gridCol w:w="880"/>
        <w:gridCol w:w="880"/>
        <w:gridCol w:w="1257"/>
        <w:gridCol w:w="2514"/>
        <w:gridCol w:w="2388"/>
      </w:tblGrid>
      <w:tr>
        <w:trPr>
          <w:tblHeader w:val="on"/>
        </w:trPr>
        <w:tc>
          <w:tcPr/>
          <w:p>
            <w:pPr>
              <w:pStyle w:val="Compact"/>
            </w:pPr>
            <w:r>
              <w:t xml:space="preserve">ระดับ</w:t>
            </w:r>
          </w:p>
        </w:tc>
        <w:tc>
          <w:tcPr/>
          <w:p>
            <w:pPr>
              <w:pStyle w:val="Compact"/>
            </w:pPr>
            <w:r>
              <w:t xml:space="preserve">นิยาม</w:t>
            </w:r>
          </w:p>
        </w:tc>
        <w:tc>
          <w:tcPr/>
          <w:p>
            <w:pPr>
              <w:pStyle w:val="Compact"/>
            </w:pPr>
            <w:r>
              <w:t xml:space="preserve">ตัวอย่าง</w:t>
            </w:r>
          </w:p>
        </w:tc>
        <w:tc>
          <w:tcPr/>
          <w:p>
            <w:pPr>
              <w:pStyle w:val="Compact"/>
            </w:pPr>
            <w:r>
              <w:t xml:space="preserve">ผู้ประกาศ activate</w:t>
            </w:r>
          </w:p>
        </w:tc>
        <w:tc>
          <w:tcPr/>
          <w:p>
            <w:pPr>
              <w:pStyle w:val="Compact"/>
            </w:pPr>
            <w:r>
              <w:t xml:space="preserve">เป้าเวลาแจ้งเตือน</w:t>
            </w:r>
          </w:p>
        </w:tc>
      </w:tr>
      <w:tr>
        <w:tc>
          <w:tcPr/>
          <w:p>
            <w:pPr>
              <w:pStyle w:val="Compact"/>
            </w:pPr>
            <w:r>
              <w:rPr>
                <w:b/>
                <w:bCs/>
              </w:rPr>
              <w:t xml:space="preserve">SEV-1</w:t>
            </w:r>
          </w:p>
        </w:tc>
        <w:tc>
          <w:tcPr/>
          <w:p>
            <w:pPr>
              <w:pStyle w:val="Compact"/>
            </w:pPr>
            <w:r>
              <w:t xml:space="preserve">Tier 0 ล่มหรือข้อมูลเสี่ยงสูญ/รั่ว</w:t>
            </w:r>
          </w:p>
        </w:tc>
        <w:tc>
          <w:tcPr/>
          <w:p>
            <w:pPr>
              <w:pStyle w:val="Compact"/>
            </w:pPr>
            <w:r>
              <w:t xml:space="preserve">payment core down, DB primary loss, สงสัย breach</w:t>
            </w:r>
          </w:p>
        </w:tc>
        <w:tc>
          <w:tcPr/>
          <w:p>
            <w:pPr>
              <w:pStyle w:val="Compact"/>
            </w:pPr>
            <w:r>
              <w:t xml:space="preserve">Crisis Manager (แจ้ง CEO)</w:t>
            </w:r>
          </w:p>
        </w:tc>
        <w:tc>
          <w:tcPr/>
          <w:p>
            <w:pPr>
              <w:pStyle w:val="Compact"/>
            </w:pPr>
            <w:r>
              <w:t xml:space="preserve">&lt; 15 นาที</w:t>
            </w:r>
          </w:p>
        </w:tc>
      </w:tr>
      <w:tr>
        <w:tc>
          <w:tcPr/>
          <w:p>
            <w:pPr>
              <w:pStyle w:val="Compact"/>
            </w:pPr>
            <w:r>
              <w:rPr>
                <w:b/>
                <w:bCs/>
              </w:rPr>
              <w:t xml:space="preserve">SEV-2</w:t>
            </w:r>
          </w:p>
        </w:tc>
        <w:tc>
          <w:tcPr/>
          <w:p>
            <w:pPr>
              <w:pStyle w:val="Compact"/>
            </w:pPr>
            <w:r>
              <w:t xml:space="preserve">บริการหลักลดคุณภาพรุนแรง (degraded)</w:t>
            </w:r>
          </w:p>
        </w:tc>
        <w:tc>
          <w:tcPr/>
          <w:p>
            <w:pPr>
              <w:pStyle w:val="Compact"/>
            </w:pPr>
            <w:r>
              <w:t xml:space="preserve">latency พุ่ง, error rate สูง, AZ เดียวล่ม</w:t>
            </w:r>
          </w:p>
        </w:tc>
        <w:tc>
          <w:tcPr/>
          <w:p>
            <w:pPr>
              <w:pStyle w:val="Compact"/>
            </w:pPr>
            <w:r>
              <w:t xml:space="preserve">SRE Lead / on-call</w:t>
            </w:r>
          </w:p>
        </w:tc>
        <w:tc>
          <w:tcPr/>
          <w:p>
            <w:pPr>
              <w:pStyle w:val="Compact"/>
            </w:pPr>
            <w:r>
              <w:t xml:space="preserve">&lt; 30 นาที</w:t>
            </w:r>
          </w:p>
        </w:tc>
      </w:tr>
      <w:tr>
        <w:tc>
          <w:tcPr/>
          <w:p>
            <w:pPr>
              <w:pStyle w:val="Compact"/>
            </w:pPr>
            <w:r>
              <w:rPr>
                <w:b/>
                <w:bCs/>
              </w:rPr>
              <w:t xml:space="preserve">SEV-3</w:t>
            </w:r>
          </w:p>
        </w:tc>
        <w:tc>
          <w:tcPr/>
          <w:p>
            <w:pPr>
              <w:pStyle w:val="Compact"/>
            </w:pPr>
            <w:r>
              <w:t xml:space="preserve">เหตุจำกัด ไม่กระทบธุรกรรมโดยตรง</w:t>
            </w:r>
          </w:p>
        </w:tc>
        <w:tc>
          <w:tcPr/>
          <w:p>
            <w:pPr>
              <w:pStyle w:val="Compact"/>
            </w:pPr>
            <w:r>
              <w:t xml:space="preserve">dashboard ช้า, non-critical worker ล่ม</w:t>
            </w:r>
          </w:p>
        </w:tc>
        <w:tc>
          <w:tcPr/>
          <w:p>
            <w:pPr>
              <w:pStyle w:val="Compact"/>
            </w:pPr>
            <w:r>
              <w:t xml:space="preserve">on-call</w:t>
            </w:r>
          </w:p>
        </w:tc>
        <w:tc>
          <w:tcPr/>
          <w:p>
            <w:pPr>
              <w:pStyle w:val="Compact"/>
            </w:pPr>
            <w:r>
              <w:t xml:space="preserve">&lt; 1 ชม.</w:t>
            </w:r>
          </w:p>
        </w:tc>
      </w:tr>
    </w:tbl>
    <w:p>
      <w:pPr>
        <w:pStyle w:val="BodyText"/>
      </w:pPr>
      <w:r>
        <w:rPr>
          <w:b/>
          <w:bCs/>
        </w:rPr>
        <w:t xml:space="preserve">ทริกเกอร์อัตโนมัติ (ตัวอย่าง threshold ที่ตั้งใน alerting):</w:t>
      </w:r>
      <w:r>
        <w:t xml:space="preserve"> </w:t>
      </w:r>
      <w:r>
        <w:t xml:space="preserve">- Authorization success rate &lt; 98% ต่อเนื่อง 5 นาที → paging on-call (SEV-2)</w:t>
      </w:r>
      <w:r>
        <w:t xml:space="preserve"> </w:t>
      </w:r>
      <w:r>
        <w:t xml:space="preserve">- p99 auth latency &gt; 800 ms ต่อเนื่อง 10 นาที → SEV-2</w:t>
      </w:r>
      <w:r>
        <w:t xml:space="preserve"> </w:t>
      </w:r>
      <w:r>
        <w:t xml:space="preserve">- DB replication lag &gt; 5 นาที → SEV-2, &gt; 15 นาที → SEV-1</w:t>
      </w:r>
      <w:r>
        <w:t xml:space="preserve"> </w:t>
      </w:r>
      <w:r>
        <w:t xml:space="preserve">- Primary DB heartbeat หาย &gt; 60 วินาที → พิจารณา failover อัตโนมัติ/กึ่งอัตโนมัติ (SEV-1)</w:t>
      </w:r>
      <w:r>
        <w:t xml:space="preserve"> </w:t>
      </w:r>
      <w:r>
        <w:t xml:space="preserve">- Ledger write failure ใด ๆ → SEV-1 ทันที (fail closed)</w:t>
      </w:r>
    </w:p>
    <w:p>
      <w:r>
        <w:pict>
          <v:rect style="width:0;height:1.5pt" o:hralign="center" o:hrstd="t" o:hr="t"/>
        </w:pict>
      </w:r>
    </w:p>
    <w:bookmarkEnd w:id="522"/>
    <w:bookmarkStart w:id="527" w:name="X0e2bb9efc79be0151c5798067d69188cf4d555d"/>
    <w:p>
      <w:pPr>
        <w:pStyle w:val="Heading2"/>
      </w:pPr>
      <w:r>
        <w:t xml:space="preserve">7. ขั้นตอนการกู้คืน (Recovery Procedures / Runbooks — สรุป)</w:t>
      </w:r>
    </w:p>
    <w:bookmarkStart w:id="523" w:name="failover-ฐานขอมล-db-primary-loss-sev-1"/>
    <w:p>
      <w:pPr>
        <w:pStyle w:val="Heading3"/>
      </w:pPr>
      <w:r>
        <w:t xml:space="preserve">7.1 Failover ฐานข้อมูล (DB primary loss — SEV-1)</w:t>
      </w:r>
    </w:p>
    <w:p>
      <w:pPr>
        <w:pStyle w:val="Compact"/>
        <w:numPr>
          <w:ilvl w:val="0"/>
          <w:numId w:val="1210"/>
        </w:numPr>
      </w:pPr>
      <w:r>
        <w:t xml:space="preserve">Alert ยิง → on-call ยืนยันภายใน 5 นาที; Crisis Manager ประกาศ SEV-1</w:t>
      </w:r>
    </w:p>
    <w:p>
      <w:pPr>
        <w:pStyle w:val="Compact"/>
        <w:numPr>
          <w:ilvl w:val="0"/>
          <w:numId w:val="1210"/>
        </w:numPr>
      </w:pPr>
      <w:r>
        <w:t xml:space="preserve">ตรวจ replica lag ล่าสุด (ยืนยัน RPO ที่จะเกิด); ถ้า ledger/vault → ยืนยัน synchronous standby caught up</w:t>
      </w:r>
    </w:p>
    <w:p>
      <w:pPr>
        <w:pStyle w:val="Compact"/>
        <w:numPr>
          <w:ilvl w:val="0"/>
          <w:numId w:val="1210"/>
        </w:numPr>
      </w:pPr>
      <w:r>
        <w:t xml:space="preserve">หยุด traffic เขียน (fence primary เดิม ป้องกัน split-brain)</w:t>
      </w:r>
    </w:p>
    <w:p>
      <w:pPr>
        <w:pStyle w:val="Compact"/>
        <w:numPr>
          <w:ilvl w:val="0"/>
          <w:numId w:val="1210"/>
        </w:numPr>
      </w:pPr>
      <w:r>
        <w:rPr>
          <w:b/>
          <w:bCs/>
        </w:rPr>
        <w:t xml:space="preserve">Promote standby</w:t>
      </w:r>
      <w:r>
        <w:t xml:space="preserve"> </w:t>
      </w:r>
      <w:r>
        <w:t xml:space="preserve">เป็น primary; อัปเดต service discovery / connection string</w:t>
      </w:r>
    </w:p>
    <w:p>
      <w:pPr>
        <w:pStyle w:val="Compact"/>
        <w:numPr>
          <w:ilvl w:val="0"/>
          <w:numId w:val="1210"/>
        </w:numPr>
      </w:pPr>
      <w:r>
        <w:t xml:space="preserve">Redirect API → primary ใหม่; ตรวจ health + smoke test (authorize สินค้าจริงจำนวนน้อยใน canary)</w:t>
      </w:r>
    </w:p>
    <w:p>
      <w:pPr>
        <w:pStyle w:val="Compact"/>
        <w:numPr>
          <w:ilvl w:val="0"/>
          <w:numId w:val="1210"/>
        </w:numPr>
      </w:pPr>
      <w:r>
        <w:t xml:space="preserve">เปิด traffic เต็ม; ประกาศ recovery; บันทึกเวลา (วัด RTO/RPO จริง)</w:t>
      </w:r>
    </w:p>
    <w:p>
      <w:pPr>
        <w:pStyle w:val="Compact"/>
        <w:numPr>
          <w:ilvl w:val="0"/>
          <w:numId w:val="1210"/>
        </w:numPr>
      </w:pPr>
      <w:r>
        <w:t xml:space="preserve">ตั้ง standby ใหม่ทดแทน; เริ่ม reconciliation ตรวจธุรกรรมช่วงรอยต่อ</w:t>
      </w:r>
    </w:p>
    <w:bookmarkEnd w:id="523"/>
    <w:bookmarkStart w:id="524" w:name="regionsite-dr-สญเสย-site-หลก-sev-1"/>
    <w:p>
      <w:pPr>
        <w:pStyle w:val="Heading3"/>
      </w:pPr>
      <w:r>
        <w:t xml:space="preserve">7.2 Region/Site DR (สูญเสีย site หลัก — SEV-1)</w:t>
      </w:r>
    </w:p>
    <w:p>
      <w:pPr>
        <w:pStyle w:val="Compact"/>
        <w:numPr>
          <w:ilvl w:val="0"/>
          <w:numId w:val="1211"/>
        </w:numPr>
      </w:pPr>
      <w:r>
        <w:t xml:space="preserve">Crisis Manager ประกาศ DR invoke (มติร่วม CEO/CTO)</w:t>
      </w:r>
    </w:p>
    <w:p>
      <w:pPr>
        <w:pStyle w:val="Compact"/>
        <w:numPr>
          <w:ilvl w:val="0"/>
          <w:numId w:val="1211"/>
        </w:numPr>
      </w:pPr>
      <w:r>
        <w:t xml:space="preserve">DR Coordinator รัน runbook promote DR site (DB, vault, HSM partition, service)</w:t>
      </w:r>
    </w:p>
    <w:p>
      <w:pPr>
        <w:pStyle w:val="Compact"/>
        <w:numPr>
          <w:ilvl w:val="0"/>
          <w:numId w:val="1211"/>
        </w:numPr>
      </w:pPr>
      <w:r>
        <w:t xml:space="preserve">เปลี่ยน DNS/traffic ไป DR (TTL ต่ำ pre-set); ตรวจ segmentation/WAF/mTLS ที่ DR เทียบเท่า production</w:t>
      </w:r>
    </w:p>
    <w:p>
      <w:pPr>
        <w:pStyle w:val="Compact"/>
        <w:numPr>
          <w:ilvl w:val="0"/>
          <w:numId w:val="1211"/>
        </w:numPr>
      </w:pPr>
      <w:r>
        <w:t xml:space="preserve">ตรวจ external links (acquirer/3DS) ที่ DR ทำงาน; ถ้าจำเป็นสลับ endpoint สำรอง</w:t>
      </w:r>
    </w:p>
    <w:p>
      <w:pPr>
        <w:pStyle w:val="Compact"/>
        <w:numPr>
          <w:ilvl w:val="0"/>
          <w:numId w:val="1211"/>
        </w:numPr>
      </w:pPr>
      <w:r>
        <w:t xml:space="preserve">Smoke test end-to-end; เปิด traffic; comms แจ้ง merchant + status page</w:t>
      </w:r>
    </w:p>
    <w:p>
      <w:pPr>
        <w:pStyle w:val="Compact"/>
        <w:numPr>
          <w:ilvl w:val="0"/>
          <w:numId w:val="1211"/>
        </w:numPr>
      </w:pPr>
      <w:r>
        <w:t xml:space="preserve">Compliance Liaison เตรียมรายงาน ธปท. (และ PDPC/ปปง. ถ้าเข้าเงื่อนไข)</w:t>
      </w:r>
    </w:p>
    <w:bookmarkEnd w:id="524"/>
    <w:bookmarkStart w:id="525" w:name="cyber-incident-ransomware-sev-1"/>
    <w:p>
      <w:pPr>
        <w:pStyle w:val="Heading3"/>
      </w:pPr>
      <w:r>
        <w:t xml:space="preserve">7.3 Cyber incident / Ransomware (SEV-1)</w:t>
      </w:r>
    </w:p>
    <w:p>
      <w:pPr>
        <w:pStyle w:val="Compact"/>
        <w:numPr>
          <w:ilvl w:val="0"/>
          <w:numId w:val="1212"/>
        </w:numPr>
      </w:pPr>
      <w:r>
        <w:rPr>
          <w:b/>
          <w:bCs/>
        </w:rPr>
        <w:t xml:space="preserve">Containment</w:t>
      </w:r>
      <w:r>
        <w:t xml:space="preserve"> </w:t>
      </w:r>
      <w:r>
        <w:t xml:space="preserve">ก่อน — isolate ระบบที่กระทบ, revoke credential, เปลี่ยน key ที่เสี่ยง</w:t>
      </w:r>
    </w:p>
    <w:p>
      <w:pPr>
        <w:pStyle w:val="Compact"/>
        <w:numPr>
          <w:ilvl w:val="0"/>
          <w:numId w:val="1212"/>
        </w:numPr>
      </w:pPr>
      <w:r>
        <w:t xml:space="preserve">รักษาหลักฐาน (forensic image, log) — ห้ามลบ; ประสาน Security Lead/QSA</w:t>
      </w:r>
    </w:p>
    <w:p>
      <w:pPr>
        <w:pStyle w:val="Compact"/>
        <w:numPr>
          <w:ilvl w:val="0"/>
          <w:numId w:val="1212"/>
        </w:numPr>
      </w:pPr>
      <w:r>
        <w:t xml:space="preserve">กู้จาก</w:t>
      </w:r>
      <w:r>
        <w:t xml:space="preserve"> </w:t>
      </w:r>
      <w:r>
        <w:rPr>
          <w:b/>
          <w:bCs/>
        </w:rPr>
        <w:t xml:space="preserve">immutable/clean backup</w:t>
      </w:r>
      <w:r>
        <w:t xml:space="preserve"> </w:t>
      </w:r>
      <w:r>
        <w:t xml:space="preserve">ที่ยืนยันไม่ปนเปื้อน (WORM)</w:t>
      </w:r>
    </w:p>
    <w:p>
      <w:pPr>
        <w:pStyle w:val="Compact"/>
        <w:numPr>
          <w:ilvl w:val="0"/>
          <w:numId w:val="1212"/>
        </w:numPr>
      </w:pPr>
      <w:r>
        <w:t xml:space="preserve">ประเมินการรั่วของข้อมูลส่วนบุคคล → PDPA breach notification (ดูข้อ 9)</w:t>
      </w:r>
    </w:p>
    <w:p>
      <w:pPr>
        <w:pStyle w:val="Compact"/>
        <w:numPr>
          <w:ilvl w:val="0"/>
          <w:numId w:val="1212"/>
        </w:numPr>
      </w:pPr>
      <w:r>
        <w:t xml:space="preserve">Post-incident: root cause, remediation, ทบทวน PCI Req 12.10</w:t>
      </w:r>
    </w:p>
    <w:bookmarkEnd w:id="525"/>
    <w:bookmarkStart w:id="526" w:name="failback"/>
    <w:p>
      <w:pPr>
        <w:pStyle w:val="Heading3"/>
      </w:pPr>
      <w:r>
        <w:t xml:space="preserve">7.4 Failback</w:t>
      </w:r>
    </w:p>
    <w:p>
      <w:pPr>
        <w:pStyle w:val="Compact"/>
        <w:numPr>
          <w:ilvl w:val="0"/>
          <w:numId w:val="1213"/>
        </w:numPr>
      </w:pPr>
      <w:r>
        <w:t xml:space="preserve">กลับสู่ site หลักเฉพาะเมื่อเสถียรและ replicate ครบ; ทำนอกช่วง peak; วางแผน controlled cutover</w:t>
      </w:r>
      <w:r>
        <w:t xml:space="preserve"> </w:t>
      </w:r>
      <w:r>
        <w:t xml:space="preserve">พร้อม reconciliation ปิดรอยต่อทุกครั้ง</w:t>
      </w:r>
    </w:p>
    <w:p>
      <w:r>
        <w:pict>
          <v:rect style="width:0;height:1.5pt" o:hralign="center" o:hrstd="t" o:hr="t"/>
        </w:pict>
      </w:r>
    </w:p>
    <w:bookmarkEnd w:id="526"/>
    <w:bookmarkEnd w:id="527"/>
    <w:bookmarkStart w:id="528" w:name="การซอมแผน-dr-dr-drills-testing"/>
    <w:p>
      <w:pPr>
        <w:pStyle w:val="Heading2"/>
      </w:pPr>
      <w:r>
        <w:t xml:space="preserve">8. การซ้อมแผน DR (DR Drills / Testing)</w:t>
      </w:r>
    </w:p>
    <w:tbl>
      <w:tblPr>
        <w:tblStyle w:val="Table"/>
        <w:tblW w:type="pct" w:w="5000"/>
        <w:tblLayout w:type="fixed"/>
        <w:tblLook w:firstRow="1" w:lastRow="0" w:firstColumn="0" w:lastColumn="0" w:noHBand="0" w:noVBand="0" w:val="0020"/>
      </w:tblPr>
      <w:tblGrid>
        <w:gridCol w:w="2640"/>
        <w:gridCol w:w="1397"/>
        <w:gridCol w:w="2174"/>
        <w:gridCol w:w="1708"/>
      </w:tblGrid>
      <w:tr>
        <w:trPr>
          <w:tblHeader w:val="on"/>
        </w:trPr>
        <w:tc>
          <w:tcPr/>
          <w:p>
            <w:pPr>
              <w:pStyle w:val="Compact"/>
            </w:pPr>
            <w:r>
              <w:t xml:space="preserve">ประเภทการทดสอบ</w:t>
            </w:r>
          </w:p>
        </w:tc>
        <w:tc>
          <w:tcPr/>
          <w:p>
            <w:pPr>
              <w:pStyle w:val="Compact"/>
            </w:pPr>
            <w:r>
              <w:t xml:space="preserve">ความถี่</w:t>
            </w:r>
          </w:p>
        </w:tc>
        <w:tc>
          <w:tcPr/>
          <w:p>
            <w:pPr>
              <w:pStyle w:val="Compact"/>
            </w:pPr>
            <w:r>
              <w:t xml:space="preserve">สิ่งที่ทดสอบ</w:t>
            </w:r>
          </w:p>
        </w:tc>
        <w:tc>
          <w:tcPr/>
          <w:p>
            <w:pPr>
              <w:pStyle w:val="Compact"/>
            </w:pPr>
            <w:r>
              <w:t xml:space="preserve">เกณฑ์ผ่าน</w:t>
            </w:r>
          </w:p>
        </w:tc>
      </w:tr>
      <w:tr>
        <w:tc>
          <w:tcPr/>
          <w:p>
            <w:pPr>
              <w:pStyle w:val="Compact"/>
            </w:pPr>
            <w:r>
              <w:rPr>
                <w:b/>
                <w:bCs/>
              </w:rPr>
              <w:t xml:space="preserve">Tabletop exercise</w:t>
            </w:r>
          </w:p>
        </w:tc>
        <w:tc>
          <w:tcPr/>
          <w:p>
            <w:pPr>
              <w:pStyle w:val="Compact"/>
            </w:pPr>
            <w:r>
              <w:t xml:space="preserve">ทุกไตรมาส</w:t>
            </w:r>
          </w:p>
        </w:tc>
        <w:tc>
          <w:tcPr/>
          <w:p>
            <w:pPr>
              <w:pStyle w:val="Compact"/>
            </w:pPr>
            <w:r>
              <w:t xml:space="preserve">ทีมรับมือ SEV-1 ตามสถานการณ์สมมติ, call tree, การตัดสินใจ</w:t>
            </w:r>
          </w:p>
        </w:tc>
        <w:tc>
          <w:tcPr/>
          <w:p>
            <w:pPr>
              <w:pStyle w:val="Compact"/>
            </w:pPr>
            <w:r>
              <w:t xml:space="preserve">ทุกบทบาททราบหน้าที่, ช่องว่างถูกบันทึก</w:t>
            </w:r>
          </w:p>
        </w:tc>
      </w:tr>
      <w:tr>
        <w:tc>
          <w:tcPr/>
          <w:p>
            <w:pPr>
              <w:pStyle w:val="Compact"/>
            </w:pPr>
            <w:r>
              <w:rPr>
                <w:b/>
                <w:bCs/>
              </w:rPr>
              <w:t xml:space="preserve">Backup restore test</w:t>
            </w:r>
          </w:p>
        </w:tc>
        <w:tc>
          <w:tcPr/>
          <w:p>
            <w:pPr>
              <w:pStyle w:val="Compact"/>
            </w:pPr>
            <w:r>
              <w:t xml:space="preserve">เดือนละครั้ง (partial), ไตรมาสละครั้ง (full)</w:t>
            </w:r>
          </w:p>
        </w:tc>
        <w:tc>
          <w:tcPr/>
          <w:p>
            <w:pPr>
              <w:pStyle w:val="Compact"/>
            </w:pPr>
            <w:r>
              <w:t xml:space="preserve">restore DB/ledger จาก backup + ตรวจ integrity</w:t>
            </w:r>
          </w:p>
        </w:tc>
        <w:tc>
          <w:tcPr/>
          <w:p>
            <w:pPr>
              <w:pStyle w:val="Compact"/>
            </w:pPr>
            <w:r>
              <w:t xml:space="preserve">restore สำเร็จภายใน RTO, ข้อมูลตรง</w:t>
            </w:r>
          </w:p>
        </w:tc>
      </w:tr>
      <w:tr>
        <w:tc>
          <w:tcPr/>
          <w:p>
            <w:pPr>
              <w:pStyle w:val="Compact"/>
            </w:pPr>
            <w:r>
              <w:rPr>
                <w:b/>
                <w:bCs/>
              </w:rPr>
              <w:t xml:space="preserve">DB failover drill</w:t>
            </w:r>
          </w:p>
        </w:tc>
        <w:tc>
          <w:tcPr/>
          <w:p>
            <w:pPr>
              <w:pStyle w:val="Compact"/>
            </w:pPr>
            <w:r>
              <w:t xml:space="preserve">ทุกไตรมาส</w:t>
            </w:r>
          </w:p>
        </w:tc>
        <w:tc>
          <w:tcPr/>
          <w:p>
            <w:pPr>
              <w:pStyle w:val="Compact"/>
            </w:pPr>
            <w:r>
              <w:t xml:space="preserve">promote standby จริงใน staging/แบบควบคุมใน prod</w:t>
            </w:r>
          </w:p>
        </w:tc>
        <w:tc>
          <w:tcPr/>
          <w:p>
            <w:pPr>
              <w:pStyle w:val="Compact"/>
            </w:pPr>
            <w:r>
              <w:t xml:space="preserve">RTO ≤ 30 นาที, RPO ตามเป้า, ไม่มี data loss</w:t>
            </w:r>
          </w:p>
        </w:tc>
      </w:tr>
      <w:tr>
        <w:tc>
          <w:tcPr/>
          <w:p>
            <w:pPr>
              <w:pStyle w:val="Compact"/>
            </w:pPr>
            <w:r>
              <w:rPr>
                <w:b/>
                <w:bCs/>
              </w:rPr>
              <w:t xml:space="preserve">Full DR failover (site)</w:t>
            </w:r>
          </w:p>
        </w:tc>
        <w:tc>
          <w:tcPr/>
          <w:p>
            <w:pPr>
              <w:pStyle w:val="Compact"/>
            </w:pPr>
            <w:r>
              <w:rPr>
                <w:b/>
                <w:bCs/>
              </w:rPr>
              <w:t xml:space="preserve">อย่างน้อยปีละ 1 ครั้ง</w:t>
            </w:r>
            <w:r>
              <w:t xml:space="preserve"> </w:t>
            </w:r>
            <w:r>
              <w:t xml:space="preserve">(ก่อน go-live 1 ครั้งใน Phase 4)</w:t>
            </w:r>
          </w:p>
        </w:tc>
        <w:tc>
          <w:tcPr/>
          <w:p>
            <w:pPr>
              <w:pStyle w:val="Compact"/>
            </w:pPr>
            <w:r>
              <w:t xml:space="preserve">ยก workload ไป DR site เต็มรูปแบบ</w:t>
            </w:r>
          </w:p>
        </w:tc>
        <w:tc>
          <w:tcPr/>
          <w:p>
            <w:pPr>
              <w:pStyle w:val="Compact"/>
            </w:pPr>
            <w:r>
              <w:t xml:space="preserve">ผ่าน RTO/RPO Tier 0, smoke test ผ่าน</w:t>
            </w:r>
          </w:p>
        </w:tc>
      </w:tr>
      <w:tr>
        <w:tc>
          <w:tcPr/>
          <w:p>
            <w:pPr>
              <w:pStyle w:val="Compact"/>
            </w:pPr>
            <w:r>
              <w:rPr>
                <w:b/>
                <w:bCs/>
              </w:rPr>
              <w:t xml:space="preserve">Chaos/component failure</w:t>
            </w:r>
          </w:p>
        </w:tc>
        <w:tc>
          <w:tcPr/>
          <w:p>
            <w:pPr>
              <w:pStyle w:val="Compact"/>
            </w:pPr>
            <w:r>
              <w:t xml:space="preserve">ทุกครึ่งปี</w:t>
            </w:r>
          </w:p>
        </w:tc>
        <w:tc>
          <w:tcPr/>
          <w:p>
            <w:pPr>
              <w:pStyle w:val="Compact"/>
            </w:pPr>
            <w:r>
              <w:t xml:space="preserve">kill AZ/instance/dependency แบบสุ่ม</w:t>
            </w:r>
          </w:p>
        </w:tc>
        <w:tc>
          <w:tcPr/>
          <w:p>
            <w:pPr>
              <w:pStyle w:val="Compact"/>
            </w:pPr>
            <w:r>
              <w:t xml:space="preserve">ระบบ self-heal, ไม่กระทบธุรกรรม</w:t>
            </w:r>
          </w:p>
        </w:tc>
      </w:tr>
      <w:tr>
        <w:tc>
          <w:tcPr/>
          <w:p>
            <w:pPr>
              <w:pStyle w:val="Compact"/>
            </w:pPr>
            <w:r>
              <w:rPr>
                <w:b/>
                <w:bCs/>
              </w:rPr>
              <w:t xml:space="preserve">Cyber incident simulation</w:t>
            </w:r>
          </w:p>
        </w:tc>
        <w:tc>
          <w:tcPr/>
          <w:p>
            <w:pPr>
              <w:pStyle w:val="Compact"/>
            </w:pPr>
            <w:r>
              <w:t xml:space="preserve">ปีละครั้ง</w:t>
            </w:r>
          </w:p>
        </w:tc>
        <w:tc>
          <w:tcPr/>
          <w:p>
            <w:pPr>
              <w:pStyle w:val="Compact"/>
            </w:pPr>
            <w:r>
              <w:t xml:space="preserve">จำลอง ransomware/breach + PDPA/ธปท. notification</w:t>
            </w:r>
          </w:p>
        </w:tc>
        <w:tc>
          <w:tcPr/>
          <w:p>
            <w:pPr>
              <w:pStyle w:val="Compact"/>
            </w:pPr>
            <w:r>
              <w:t xml:space="preserve">containment + report ภายในเวลาที่กำหนด</w:t>
            </w:r>
          </w:p>
        </w:tc>
      </w:tr>
    </w:tbl>
    <w:p>
      <w:pPr>
        <w:pStyle w:val="BodyText"/>
      </w:pPr>
      <w:r>
        <w:rPr>
          <w:b/>
          <w:bCs/>
        </w:rPr>
        <w:t xml:space="preserve">การบันทึกผลการซ้อม (บังคับสำหรับยื่น ธปท. และ PCI Req 12.10):</w:t>
      </w:r>
      <w:r>
        <w:t xml:space="preserve"> </w:t>
      </w:r>
      <w:r>
        <w:t xml:space="preserve">- แต่ละ drill ต้องมี</w:t>
      </w:r>
      <w:r>
        <w:t xml:space="preserve"> </w:t>
      </w:r>
      <w:r>
        <w:rPr>
          <w:b/>
          <w:bCs/>
        </w:rPr>
        <w:t xml:space="preserve">After-Action Report (AAR)</w:t>
      </w:r>
      <w:r>
        <w:t xml:space="preserve">: วันที่, ผู้เข้าร่วม, สถานการณ์, RTO/RPO ที่วัดได้จริง เทียบเป้า,</w:t>
      </w:r>
      <w:r>
        <w:t xml:space="preserve"> </w:t>
      </w:r>
      <w:r>
        <w:t xml:space="preserve">ปัญหาที่พบ, action items พร้อมผู้รับผิดชอบและกำหนดปิด</w:t>
      </w:r>
      <w:r>
        <w:t xml:space="preserve"> </w:t>
      </w:r>
      <w:r>
        <w:t xml:space="preserve">- ทบทวนและปรับ BCP/DR อย่างน้อย</w:t>
      </w:r>
      <w:r>
        <w:t xml:space="preserve"> </w:t>
      </w:r>
      <w:r>
        <w:rPr>
          <w:b/>
          <w:bCs/>
        </w:rPr>
        <w:t xml:space="preserve">ปีละครั้ง</w:t>
      </w:r>
      <w:r>
        <w:t xml:space="preserve"> </w:t>
      </w:r>
      <w:r>
        <w:t xml:space="preserve">หรือเมื่อมีการเปลี่ยนแปลงสำคัญ (สถาปัตยกรรม, sponsor, provider)</w:t>
      </w:r>
    </w:p>
    <w:p>
      <w:pPr>
        <w:pStyle w:val="BlockText"/>
      </w:pPr>
      <w:r>
        <w:rPr>
          <w:b/>
          <w:bCs/>
        </w:rPr>
        <w:t xml:space="preserve">หมายเหตุ ROADMAP:</w:t>
      </w:r>
      <w:r>
        <w:t xml:space="preserve"> </w:t>
      </w:r>
      <w:r>
        <w:t xml:space="preserve">DR drill รอบแรกกำหนดใน</w:t>
      </w:r>
      <w:r>
        <w:t xml:space="preserve"> </w:t>
      </w:r>
      <w:r>
        <w:rPr>
          <w:b/>
          <w:bCs/>
        </w:rPr>
        <w:t xml:space="preserve">Phase 4 — Certification &amp; Go-live</w:t>
      </w:r>
      <w:r>
        <w:t xml:space="preserve"> </w:t>
      </w:r>
      <w:r>
        <w:t xml:space="preserve">ก่อน production cutover</w:t>
      </w:r>
      <w:r>
        <w:t xml:space="preserve"> </w:t>
      </w:r>
      <w:r>
        <w:t xml:space="preserve">(ดู</w:t>
      </w:r>
      <w:r>
        <w:t xml:space="preserve"> </w:t>
      </w:r>
      <w:r>
        <w:rPr>
          <w:rStyle w:val="VerbatimChar"/>
        </w:rPr>
        <w:t xml:space="preserve">ROADMAP.md</w:t>
      </w:r>
      <w:r>
        <w:t xml:space="preserve">) และเป็นเงื่อนไขหนึ่งของ readiness ก่อนยื่น/เปิดบริการ</w:t>
      </w:r>
    </w:p>
    <w:p>
      <w:r>
        <w:pict>
          <v:rect style="width:0;height:1.5pt" o:hralign="center" o:hrstd="t" o:hr="t"/>
        </w:pict>
      </w:r>
    </w:p>
    <w:bookmarkEnd w:id="528"/>
    <w:bookmarkStart w:id="529" w:name="Xa84a79e89741943b4c6f4251dfdca4c0a6f19da"/>
    <w:p>
      <w:pPr>
        <w:pStyle w:val="Heading2"/>
      </w:pPr>
      <w:r>
        <w:t xml:space="preserve">9. การสื่อสารและการรายงานหน่วยงานกำกับ (Communication &amp; Regulatory Reporting)</w:t>
      </w:r>
    </w:p>
    <w:tbl>
      <w:tblPr>
        <w:tblStyle w:val="Table"/>
        <w:tblW w:type="pct" w:w="5000"/>
        <w:tblLayout w:type="fixed"/>
        <w:tblLook w:firstRow="1" w:lastRow="0" w:firstColumn="0" w:lastColumn="0" w:noHBand="0" w:noVBand="0" w:val="0020"/>
      </w:tblPr>
      <w:tblGrid>
        <w:gridCol w:w="2043"/>
        <w:gridCol w:w="2299"/>
        <w:gridCol w:w="3576"/>
      </w:tblGrid>
      <w:tr>
        <w:trPr>
          <w:tblHeader w:val="on"/>
        </w:trPr>
        <w:tc>
          <w:tcPr/>
          <w:p>
            <w:pPr>
              <w:pStyle w:val="Compact"/>
            </w:pPr>
            <w:r>
              <w:t xml:space="preserve">ผู้รับ</w:t>
            </w:r>
          </w:p>
        </w:tc>
        <w:tc>
          <w:tcPr/>
          <w:p>
            <w:pPr>
              <w:pStyle w:val="Compact"/>
            </w:pPr>
            <w:r>
              <w:t xml:space="preserve">เมื่อใด</w:t>
            </w:r>
          </w:p>
        </w:tc>
        <w:tc>
          <w:tcPr/>
          <w:p>
            <w:pPr>
              <w:pStyle w:val="Compact"/>
            </w:pPr>
            <w:r>
              <w:t xml:space="preserve">ผู้รับผิดชอบ</w:t>
            </w:r>
          </w:p>
        </w:tc>
      </w:tr>
      <w:tr>
        <w:tc>
          <w:tcPr/>
          <w:p>
            <w:pPr>
              <w:pStyle w:val="Compact"/>
            </w:pPr>
            <w:r>
              <w:rPr>
                <w:b/>
                <w:bCs/>
              </w:rPr>
              <w:t xml:space="preserve">ธปท. (BOT)</w:t>
            </w:r>
          </w:p>
        </w:tc>
        <w:tc>
          <w:tcPr/>
          <w:p>
            <w:pPr>
              <w:pStyle w:val="Compact"/>
            </w:pPr>
            <w:r>
              <w:t xml:space="preserve">เหตุ IT/cyber ที่กระทบบริการอย่างมีนัยสำคัญ ตามหลักเกณฑ์ ธปท. (แจ้งเบื้องต้นโดยเร็ว + รายงานเต็มภายในกรอบที่กำหนด)</w:t>
            </w:r>
          </w:p>
        </w:tc>
        <w:tc>
          <w:tcPr/>
          <w:p>
            <w:pPr>
              <w:pStyle w:val="Compact"/>
            </w:pPr>
            <w:r>
              <w:t xml:space="preserve">Compliance Liaison</w:t>
            </w:r>
          </w:p>
        </w:tc>
      </w:tr>
      <w:tr>
        <w:tc>
          <w:tcPr/>
          <w:p>
            <w:pPr>
              <w:pStyle w:val="Compact"/>
            </w:pPr>
            <w:r>
              <w:rPr>
                <w:b/>
                <w:bCs/>
              </w:rPr>
              <w:t xml:space="preserve">PDPC</w:t>
            </w:r>
          </w:p>
        </w:tc>
        <w:tc>
          <w:tcPr/>
          <w:p>
            <w:pPr>
              <w:pStyle w:val="Compact"/>
            </w:pPr>
            <w:r>
              <w:t xml:space="preserve">เหตุข้อมูลส่วนบุคคลรั่วไหลที่มีความเสี่ยงต่อเจ้าของข้อมูล —</w:t>
            </w:r>
            <w:r>
              <w:t xml:space="preserve"> </w:t>
            </w:r>
            <w:r>
              <w:rPr>
                <w:b/>
                <w:bCs/>
              </w:rPr>
              <w:t xml:space="preserve">ภายใน 72 ชั่วโมง</w:t>
            </w:r>
            <w:r>
              <w:t xml:space="preserve"> </w:t>
            </w:r>
            <w:r>
              <w:t xml:space="preserve">ตาม PDPA</w:t>
            </w:r>
          </w:p>
        </w:tc>
        <w:tc>
          <w:tcPr/>
          <w:p>
            <w:pPr>
              <w:pStyle w:val="Compact"/>
            </w:pPr>
            <w:r>
              <w:t xml:space="preserve">DPO / Compliance</w:t>
            </w:r>
          </w:p>
        </w:tc>
      </w:tr>
      <w:tr>
        <w:tc>
          <w:tcPr/>
          <w:p>
            <w:pPr>
              <w:pStyle w:val="Compact"/>
            </w:pPr>
            <w:r>
              <w:rPr>
                <w:b/>
                <w:bCs/>
              </w:rPr>
              <w:t xml:space="preserve">ปปง. (AMLO)</w:t>
            </w:r>
          </w:p>
        </w:tc>
        <w:tc>
          <w:tcPr/>
          <w:p>
            <w:pPr>
              <w:pStyle w:val="Compact"/>
            </w:pPr>
            <w:r>
              <w:t xml:space="preserve">หากเหตุเกี่ยวข้องกับธุรกรรมต้องสงสัย/สินทรัพย์ที่เกี่ยวข้อง</w:t>
            </w:r>
          </w:p>
        </w:tc>
        <w:tc>
          <w:tcPr/>
          <w:p>
            <w:pPr>
              <w:pStyle w:val="Compact"/>
            </w:pPr>
            <w:r>
              <w:t xml:space="preserve">Compliance Liaison</w:t>
            </w:r>
          </w:p>
        </w:tc>
      </w:tr>
      <w:tr>
        <w:tc>
          <w:tcPr/>
          <w:p>
            <w:pPr>
              <w:pStyle w:val="Compact"/>
            </w:pPr>
            <w:r>
              <w:rPr>
                <w:b/>
                <w:bCs/>
              </w:rPr>
              <w:t xml:space="preserve">Card scheme / Sponsor bank</w:t>
            </w:r>
          </w:p>
        </w:tc>
        <w:tc>
          <w:tcPr/>
          <w:p>
            <w:pPr>
              <w:pStyle w:val="Compact"/>
            </w:pPr>
            <w:r>
              <w:t xml:space="preserve">ตามสัญญาและกฎ scheme (เช่น incident/breach notification)</w:t>
            </w:r>
          </w:p>
        </w:tc>
        <w:tc>
          <w:tcPr/>
          <w:p>
            <w:pPr>
              <w:pStyle w:val="Compact"/>
            </w:pPr>
            <w:r>
              <w:t xml:space="preserve">Security Lead</w:t>
            </w:r>
          </w:p>
        </w:tc>
      </w:tr>
      <w:tr>
        <w:tc>
          <w:tcPr/>
          <w:p>
            <w:pPr>
              <w:pStyle w:val="Compact"/>
            </w:pPr>
            <w:r>
              <w:rPr>
                <w:b/>
                <w:bCs/>
              </w:rPr>
              <w:t xml:space="preserve">Merchant / ลูกค้า</w:t>
            </w:r>
          </w:p>
        </w:tc>
        <w:tc>
          <w:tcPr/>
          <w:p>
            <w:pPr>
              <w:pStyle w:val="Compact"/>
            </w:pPr>
            <w:r>
              <w:t xml:space="preserve">เมื่อบริการกระทบ — ผ่าน status page + อีเมล + support</w:t>
            </w:r>
          </w:p>
        </w:tc>
        <w:tc>
          <w:tcPr/>
          <w:p>
            <w:pPr>
              <w:pStyle w:val="Compact"/>
            </w:pPr>
            <w:r>
              <w:t xml:space="preserve">Comms Lead</w:t>
            </w:r>
          </w:p>
        </w:tc>
      </w:tr>
    </w:tbl>
    <w:p>
      <w:pPr>
        <w:pStyle w:val="Compact"/>
        <w:numPr>
          <w:ilvl w:val="0"/>
          <w:numId w:val="1214"/>
        </w:numPr>
      </w:pPr>
      <w:r>
        <w:rPr>
          <w:b/>
          <w:bCs/>
        </w:rPr>
        <w:t xml:space="preserve">ช่องทางสำรอง:</w:t>
      </w:r>
      <w:r>
        <w:t xml:space="preserve"> </w:t>
      </w:r>
      <w:r>
        <w:t xml:space="preserve">มี status page แยก infra, กลุ่มสื่อสารฉุกเฉิน (out-of-band), และ call tree แบบ offline</w:t>
      </w:r>
    </w:p>
    <w:p>
      <w:pPr>
        <w:pStyle w:val="Compact"/>
        <w:numPr>
          <w:ilvl w:val="0"/>
          <w:numId w:val="1214"/>
        </w:numPr>
      </w:pPr>
      <w:r>
        <w:rPr>
          <w:b/>
          <w:bCs/>
        </w:rPr>
        <w:t xml:space="preserve">เทมเพลตสาร:</w:t>
      </w:r>
      <w:r>
        <w:t xml:space="preserve"> </w:t>
      </w:r>
      <w:r>
        <w:t xml:space="preserve">เตรียมไว้ล่วงหน้าสำหรับ SEV-1/SEV-2 เพื่อสื่อสารได้ทันเวลา</w:t>
      </w:r>
    </w:p>
    <w:p>
      <w:r>
        <w:pict>
          <v:rect style="width:0;height:1.5pt" o:hralign="center" o:hrstd="t" o:hr="t"/>
        </w:pict>
      </w:r>
    </w:p>
    <w:bookmarkEnd w:id="529"/>
    <w:bookmarkStart w:id="530" w:name="เอกสารและการทบทวนทเกยวของ"/>
    <w:p>
      <w:pPr>
        <w:pStyle w:val="Heading2"/>
      </w:pPr>
      <w:r>
        <w:t xml:space="preserve">10. เอกสารและการทบทวนที่เกี่ยวข้อง</w:t>
      </w:r>
    </w:p>
    <w:p>
      <w:pPr>
        <w:pStyle w:val="Compact"/>
        <w:numPr>
          <w:ilvl w:val="0"/>
          <w:numId w:val="1215"/>
        </w:numPr>
      </w:pPr>
      <w:r>
        <w:t xml:space="preserve">ปรับปรุงเอกสารนี้</w:t>
      </w:r>
      <w:r>
        <w:t xml:space="preserve"> </w:t>
      </w:r>
      <w:r>
        <w:rPr>
          <w:b/>
          <w:bCs/>
        </w:rPr>
        <w:t xml:space="preserve">อย่างน้อยปีละครั้ง</w:t>
      </w:r>
      <w:r>
        <w:t xml:space="preserve"> </w:t>
      </w:r>
      <w:r>
        <w:t xml:space="preserve">และหลังทุก SEV-1 / DR drill ใหญ่ (version control ใน repo)</w:t>
      </w:r>
    </w:p>
    <w:p>
      <w:pPr>
        <w:pStyle w:val="Compact"/>
        <w:numPr>
          <w:ilvl w:val="0"/>
          <w:numId w:val="1215"/>
        </w:numPr>
      </w:pPr>
      <w:r>
        <w:t xml:space="preserve">เอกสารที่เชื่อมโยง:</w:t>
      </w:r>
      <w:r>
        <w:t xml:space="preserve"> </w:t>
      </w:r>
      <w:r>
        <w:rPr>
          <w:rStyle w:val="VerbatimChar"/>
        </w:rPr>
        <w:t xml:space="preserve">ARCHITECTURE.md</w:t>
      </w:r>
      <w:r>
        <w:t xml:space="preserve"> </w:t>
      </w:r>
      <w:r>
        <w:t xml:space="preserve">(ข้อ 7 Security/PCI, ข้อ 8 NFR),</w:t>
      </w:r>
      <w:r>
        <w:t xml:space="preserve"> </w:t>
      </w:r>
      <w:r>
        <w:rPr>
          <w:rStyle w:val="VerbatimChar"/>
        </w:rPr>
        <w:t xml:space="preserve">ROADMAP.md</w:t>
      </w:r>
      <w:r>
        <w:t xml:space="preserve"> </w:t>
      </w:r>
      <w:r>
        <w:t xml:space="preserve">(Phase 4),</w:t>
      </w:r>
      <w:r>
        <w:t xml:space="preserve"> </w:t>
      </w:r>
      <w:r>
        <w:rPr>
          <w:rStyle w:val="VerbatimChar"/>
        </w:rPr>
        <w:t xml:space="preserve">COMPLIANCE-TH.md</w:t>
      </w:r>
      <w:r>
        <w:t xml:space="preserve">, และเอกสารชุด compliance อื่น (AML/KYC, sanctions, DPA)</w:t>
      </w:r>
    </w:p>
    <w:bookmarkEnd w:id="530"/>
    <w:bookmarkEnd w:id="531"/>
    <w:bookmarkStart w:id="549" w:name="X3748eb4e314704554eef8abba81e9334c21e0ea"/>
    <w:p>
      <w:pPr>
        <w:pStyle w:val="Heading1"/>
      </w:pPr>
      <w:r>
        <w:t xml:space="preserve">Business Continuity + Disaster Recovery plan: RTO/RPO, failover, backup, DR drills (English)</w:t>
      </w:r>
    </w:p>
    <w:p>
      <w:pPr>
        <w:pStyle w:val="BlockText"/>
      </w:pPr>
      <w:r>
        <w:t xml:space="preserve">Supporting document for the</w:t>
      </w:r>
      <w:r>
        <w:t xml:space="preserve"> </w:t>
      </w:r>
      <w:r>
        <w:rPr>
          <w:b/>
          <w:bCs/>
        </w:rPr>
        <w:t xml:space="preserve">Acquiring Service</w:t>
      </w:r>
      <w:r>
        <w:t xml:space="preserve"> </w:t>
      </w:r>
      <w:r>
        <w:t xml:space="preserve">license application under the Payment Systems Act</w:t>
      </w:r>
      <w:r>
        <w:t xml:space="preserve"> </w:t>
      </w:r>
      <w:r>
        <w:t xml:space="preserve">B.E. 2560 (paid-up capital THB 50M) and</w:t>
      </w:r>
      <w:r>
        <w:t xml:space="preserve"> </w:t>
      </w:r>
      <w:r>
        <w:rPr>
          <w:b/>
          <w:bCs/>
        </w:rPr>
        <w:t xml:space="preserve">PCI-DSS v4.0 Level 1</w:t>
      </w:r>
      <w:r>
        <w:t xml:space="preserve">.</w:t>
      </w:r>
      <w:r>
        <w:t xml:space="preserve"> </w:t>
      </w:r>
      <w:r>
        <w:t xml:space="preserve">Document set:</w:t>
      </w:r>
      <w:r>
        <w:t xml:space="preserve"> </w:t>
      </w:r>
      <w:r>
        <w:rPr>
          <w:rStyle w:val="VerbatimChar"/>
        </w:rPr>
        <w:t xml:space="preserve">docs/compliance/15-bcp-dr.md</w:t>
      </w:r>
      <w:r>
        <w:t xml:space="preserve"> </w:t>
      </w:r>
      <w:r>
        <w:t xml:space="preserve">· version 0.1</w:t>
      </w:r>
      <w:r>
        <w:t xml:space="preserve"> </w:t>
      </w:r>
      <w:r>
        <w:rPr>
          <w:b/>
          <w:bCs/>
        </w:rPr>
        <w:t xml:space="preserve">Note:</w:t>
      </w:r>
      <w:r>
        <w:t xml:space="preserve"> </w:t>
      </w:r>
      <w:r>
        <w:t xml:space="preserve">This is an internal policy/procedure of</w:t>
      </w:r>
      <w:r>
        <w:t xml:space="preserve"> </w:t>
      </w:r>
      <w:r>
        <w:rPr>
          <w:b/>
          <w:bCs/>
        </w:rPr>
        <w:t xml:space="preserve">[บริษัท / Company]</w:t>
      </w:r>
      <w:r>
        <w:t xml:space="preserve">, not legal advice. It should be</w:t>
      </w:r>
      <w:r>
        <w:t xml:space="preserve"> </w:t>
      </w:r>
      <w:r>
        <w:t xml:space="preserve">reviewed by legal counsel, IT-resilience experts, and the QSA before submission. See</w:t>
      </w:r>
      <w:r>
        <w:t xml:space="preserve"> </w:t>
      </w:r>
      <w:r>
        <w:rPr>
          <w:rStyle w:val="VerbatimChar"/>
        </w:rPr>
        <w:t xml:space="preserve">ARCHITECTURE.md</w:t>
      </w:r>
      <w:r>
        <w:t xml:space="preserve"> </w:t>
      </w:r>
      <w:r>
        <w:t xml:space="preserve">(§8 Non-functional / RPO-RTO) and</w:t>
      </w:r>
      <w:r>
        <w:t xml:space="preserve"> </w:t>
      </w:r>
      <w:r>
        <w:rPr>
          <w:rStyle w:val="VerbatimChar"/>
        </w:rPr>
        <w:t xml:space="preserve">ROADMAP.md</w:t>
      </w:r>
      <w:r>
        <w:t xml:space="preserve"> </w:t>
      </w:r>
      <w:r>
        <w:t xml:space="preserve">(Phase 4 DR drill).</w:t>
      </w:r>
    </w:p>
    <w:p>
      <w:r>
        <w:pict>
          <v:rect style="width:0;height:1.5pt" o:hralign="center" o:hrstd="t" o:hr="t"/>
        </w:pict>
      </w:r>
    </w:p>
    <w:bookmarkStart w:id="532" w:name="purpose-scope-4"/>
    <w:p>
      <w:pPr>
        <w:pStyle w:val="Heading2"/>
      </w:pPr>
      <w:r>
        <w:t xml:space="preserve">1. Purpose &amp; Scope</w:t>
      </w:r>
    </w:p>
    <w:p>
      <w:pPr>
        <w:pStyle w:val="FirstParagraph"/>
      </w:pPr>
      <w:r>
        <w:t xml:space="preserve">This document defines the</w:t>
      </w:r>
      <w:r>
        <w:t xml:space="preserve"> </w:t>
      </w:r>
      <w:r>
        <w:rPr>
          <w:b/>
          <w:bCs/>
        </w:rPr>
        <w:t xml:space="preserve">Business Continuity Plan (BCP)</w:t>
      </w:r>
      <w:r>
        <w:t xml:space="preserve"> </w:t>
      </w:r>
      <w:r>
        <w:t xml:space="preserve">and</w:t>
      </w:r>
      <w:r>
        <w:t xml:space="preserve"> </w:t>
      </w:r>
      <w:r>
        <w:rPr>
          <w:b/>
          <w:bCs/>
        </w:rPr>
        <w:t xml:space="preserve">Disaster Recovery (DR)</w:t>
      </w:r>
      <w:r>
        <w:t xml:space="preserve"> </w:t>
      </w:r>
      <w:r>
        <w:t xml:space="preserve">plan for</w:t>
      </w:r>
      <w:r>
        <w:t xml:space="preserve"> </w:t>
      </w:r>
      <w:r>
        <w:rPr>
          <w:b/>
          <w:bCs/>
        </w:rPr>
        <w:t xml:space="preserve">[บริษัท / Company]</w:t>
      </w:r>
      <w:r>
        <w:t xml:space="preserve"> </w:t>
      </w:r>
      <w:r>
        <w:t xml:space="preserve">as a Full Acquiring payment service provider, in order to:</w:t>
      </w:r>
    </w:p>
    <w:p>
      <w:pPr>
        <w:pStyle w:val="Compact"/>
        <w:numPr>
          <w:ilvl w:val="0"/>
          <w:numId w:val="1216"/>
        </w:numPr>
      </w:pPr>
      <w:r>
        <w:t xml:space="preserve">Keep authorization / capture / refund / settlement services</w:t>
      </w:r>
      <w:r>
        <w:t xml:space="preserve"> </w:t>
      </w:r>
      <w:r>
        <w:rPr>
          <w:b/>
          <w:bCs/>
        </w:rPr>
        <w:t xml:space="preserve">running</w:t>
      </w:r>
      <w:r>
        <w:t xml:space="preserve"> </w:t>
      </w:r>
      <w:r>
        <w:t xml:space="preserve">and restore them within defined</w:t>
      </w:r>
      <w:r>
        <w:t xml:space="preserve"> </w:t>
      </w:r>
      <w:r>
        <w:t xml:space="preserve">RTO/RPO after any disruption — aligned with the payment core availability target of ≥ 99.95%.</w:t>
      </w:r>
    </w:p>
    <w:p>
      <w:pPr>
        <w:pStyle w:val="Compact"/>
        <w:numPr>
          <w:ilvl w:val="0"/>
          <w:numId w:val="1216"/>
        </w:numPr>
      </w:pPr>
      <w:r>
        <w:t xml:space="preserve">Comply with</w:t>
      </w:r>
      <w:r>
        <w:t xml:space="preserve"> </w:t>
      </w:r>
      <w:r>
        <w:rPr>
          <w:b/>
          <w:bCs/>
        </w:rPr>
        <w:t xml:space="preserve">Bank of Thailand (BOT)</w:t>
      </w:r>
      <w:r>
        <w:t xml:space="preserve"> </w:t>
      </w:r>
      <w:r>
        <w:t xml:space="preserve">requirements on IT risk, cyber resilience, and business continuity</w:t>
      </w:r>
      <w:r>
        <w:t xml:space="preserve"> </w:t>
      </w:r>
      <w:r>
        <w:t xml:space="preserve">for entities regulated under the Payment Systems Act.</w:t>
      </w:r>
    </w:p>
    <w:p>
      <w:pPr>
        <w:pStyle w:val="Compact"/>
        <w:numPr>
          <w:ilvl w:val="0"/>
          <w:numId w:val="1216"/>
        </w:numPr>
      </w:pPr>
      <w:r>
        <w:t xml:space="preserve">Protect availability and integrity per</w:t>
      </w:r>
      <w:r>
        <w:t xml:space="preserve"> </w:t>
      </w:r>
      <w:r>
        <w:rPr>
          <w:b/>
          <w:bCs/>
        </w:rPr>
        <w:t xml:space="preserve">PCI-DSS v4.0</w:t>
      </w:r>
      <w:r>
        <w:t xml:space="preserve"> </w:t>
      </w:r>
      <w:r>
        <w:t xml:space="preserve">(notably Req 12.10 Incident Response and Req 10</w:t>
      </w:r>
      <w:r>
        <w:t xml:space="preserve"> </w:t>
      </w:r>
      <w:r>
        <w:t xml:space="preserve">Logging) and the</w:t>
      </w:r>
      <w:r>
        <w:t xml:space="preserve"> </w:t>
      </w:r>
      <w:r>
        <w:rPr>
          <w:b/>
          <w:bCs/>
        </w:rPr>
        <w:t xml:space="preserve">Personal Data Protection Act B.E. 2562 (PDPA)</w:t>
      </w:r>
      <w:r>
        <w:t xml:space="preserve"> </w:t>
      </w:r>
      <w:r>
        <w:t xml:space="preserve">where personal data is affected.</w:t>
      </w:r>
    </w:p>
    <w:p>
      <w:pPr>
        <w:pStyle w:val="Compact"/>
        <w:numPr>
          <w:ilvl w:val="0"/>
          <w:numId w:val="1216"/>
        </w:numPr>
      </w:pPr>
      <w:r>
        <w:t xml:space="preserve">Honor obligations to card schemes (Visa/Mastercard), the sponsor bank, and merchants per SLA.</w:t>
      </w:r>
    </w:p>
    <w:p>
      <w:pPr>
        <w:pStyle w:val="FirstParagraph"/>
      </w:pPr>
      <w:r>
        <w:rPr>
          <w:b/>
          <w:bCs/>
        </w:rPr>
        <w:t xml:space="preserve">In scope:</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Domain</w:t>
            </w:r>
          </w:p>
        </w:tc>
        <w:tc>
          <w:tcPr/>
          <w:p>
            <w:pPr>
              <w:pStyle w:val="Compact"/>
            </w:pPr>
            <w:r>
              <w:t xml:space="preserve">Covered</w:t>
            </w:r>
          </w:p>
        </w:tc>
      </w:tr>
      <w:tr>
        <w:tc>
          <w:tcPr/>
          <w:p>
            <w:pPr>
              <w:pStyle w:val="Compact"/>
            </w:pPr>
            <w:r>
              <w:t xml:space="preserve">Systems</w:t>
            </w:r>
          </w:p>
        </w:tc>
        <w:tc>
          <w:tcPr/>
          <w:p>
            <w:pPr>
              <w:pStyle w:val="Compact"/>
            </w:pPr>
            <w:r>
              <w:t xml:space="preserve">Payment Core, Ledger, Tokenization Vault, Acquirer/3DS Adapter, Webhook, DB, HSM/KMS, network edge</w:t>
            </w:r>
          </w:p>
        </w:tc>
      </w:tr>
      <w:tr>
        <w:tc>
          <w:tcPr/>
          <w:p>
            <w:pPr>
              <w:pStyle w:val="Compact"/>
            </w:pPr>
            <w:r>
              <w:t xml:space="preserve">Business processes</w:t>
            </w:r>
          </w:p>
        </w:tc>
        <w:tc>
          <w:tcPr/>
          <w:p>
            <w:pPr>
              <w:pStyle w:val="Compact"/>
            </w:pPr>
            <w:r>
              <w:t xml:space="preserve">authorization, capture/void/refund, settlement/payout, reconciliation, merchant support, AML/sanctions</w:t>
            </w:r>
          </w:p>
        </w:tc>
      </w:tr>
      <w:tr>
        <w:tc>
          <w:tcPr/>
          <w:p>
            <w:pPr>
              <w:pStyle w:val="Compact"/>
            </w:pPr>
            <w:r>
              <w:t xml:space="preserve">People &amp; sites</w:t>
            </w:r>
          </w:p>
        </w:tc>
        <w:tc>
          <w:tcPr/>
          <w:p>
            <w:pPr>
              <w:pStyle w:val="Compact"/>
            </w:pPr>
            <w:r>
              <w:t xml:space="preserve">HQ, operations center (NOC/SOC), work-from-anywhere</w:t>
            </w:r>
          </w:p>
        </w:tc>
      </w:tr>
      <w:tr>
        <w:tc>
          <w:tcPr/>
          <w:p>
            <w:pPr>
              <w:pStyle w:val="Compact"/>
            </w:pPr>
            <w:r>
              <w:t xml:space="preserve">Third parties</w:t>
            </w:r>
          </w:p>
        </w:tc>
        <w:tc>
          <w:tcPr/>
          <w:p>
            <w:pPr>
              <w:pStyle w:val="Compact"/>
            </w:pPr>
            <w:r>
              <w:t xml:space="preserve">cloud/IDC, sponsor bank, card switch, 3DS provider, screening vendor</w:t>
            </w:r>
          </w:p>
        </w:tc>
      </w:tr>
    </w:tbl>
    <w:p>
      <w:pPr>
        <w:pStyle w:val="BlockText"/>
      </w:pPr>
      <w:r>
        <w:rPr>
          <w:b/>
          <w:bCs/>
        </w:rPr>
        <w:t xml:space="preserve">Out of scope:</w:t>
      </w:r>
      <w:r>
        <w:t xml:space="preserve"> </w:t>
      </w:r>
      <w:r>
        <w:t xml:space="preserve">Internal systems not affecting transactions (e.g., HR/marketing) are Tier 3, with relaxed RTO.</w:t>
      </w:r>
    </w:p>
    <w:p>
      <w:r>
        <w:pict>
          <v:rect style="width:0;height:1.5pt" o:hralign="center" o:hrstd="t" o:hr="t"/>
        </w:pict>
      </w:r>
    </w:p>
    <w:bookmarkEnd w:id="532"/>
    <w:bookmarkStart w:id="533" w:name="roles-responsibilities-3"/>
    <w:p>
      <w:pPr>
        <w:pStyle w:val="Heading2"/>
      </w:pPr>
      <w:r>
        <w:t xml:space="preserve">2. Roles &amp; Responsibilities</w:t>
      </w:r>
    </w:p>
    <w:tbl>
      <w:tblPr>
        <w:tblStyle w:val="Table"/>
        <w:tblW w:type="pct" w:w="5000"/>
        <w:tblLayout w:type="fixed"/>
        <w:tblLook w:firstRow="1" w:lastRow="0" w:firstColumn="0" w:lastColumn="0" w:noHBand="0" w:noVBand="0" w:val="0020"/>
      </w:tblPr>
      <w:tblGrid>
        <w:gridCol w:w="969"/>
        <w:gridCol w:w="3717"/>
        <w:gridCol w:w="3232"/>
      </w:tblGrid>
      <w:tr>
        <w:trPr>
          <w:tblHeader w:val="on"/>
        </w:trPr>
        <w:tc>
          <w:tcPr/>
          <w:p>
            <w:pPr>
              <w:pStyle w:val="Compact"/>
            </w:pPr>
            <w:r>
              <w:t xml:space="preserve">Role</w:t>
            </w:r>
          </w:p>
        </w:tc>
        <w:tc>
          <w:tcPr/>
          <w:p>
            <w:pPr>
              <w:pStyle w:val="Compact"/>
            </w:pPr>
            <w:r>
              <w:t xml:space="preserve">Owner (example title)</w:t>
            </w:r>
          </w:p>
        </w:tc>
        <w:tc>
          <w:tcPr/>
          <w:p>
            <w:pPr>
              <w:pStyle w:val="Compact"/>
            </w:pPr>
            <w:r>
              <w:t xml:space="preserve">Duty during crisis</w:t>
            </w:r>
          </w:p>
        </w:tc>
      </w:tr>
      <w:tr>
        <w:tc>
          <w:tcPr/>
          <w:p>
            <w:pPr>
              <w:pStyle w:val="Compact"/>
            </w:pPr>
            <w:r>
              <w:rPr>
                <w:b/>
                <w:bCs/>
              </w:rPr>
              <w:t xml:space="preserve">BCP Sponsor</w:t>
            </w:r>
          </w:p>
        </w:tc>
        <w:tc>
          <w:tcPr/>
          <w:p>
            <w:pPr>
              <w:pStyle w:val="Compact"/>
            </w:pPr>
            <w:r>
              <w:t xml:space="preserve">Managing Director / CEO</w:t>
            </w:r>
          </w:p>
        </w:tc>
        <w:tc>
          <w:tcPr/>
          <w:p>
            <w:pPr>
              <w:pStyle w:val="Compact"/>
            </w:pPr>
            <w:r>
              <w:t xml:space="preserve">Approve plan, allocate resources, authorize DR invocation</w:t>
            </w:r>
          </w:p>
        </w:tc>
      </w:tr>
      <w:tr>
        <w:tc>
          <w:tcPr/>
          <w:p>
            <w:pPr>
              <w:pStyle w:val="Compact"/>
            </w:pPr>
            <w:r>
              <w:rPr>
                <w:b/>
                <w:bCs/>
              </w:rPr>
              <w:t xml:space="preserve">Crisis Manager (Incident Commander)</w:t>
            </w:r>
          </w:p>
        </w:tc>
        <w:tc>
          <w:tcPr/>
          <w:p>
            <w:pPr>
              <w:pStyle w:val="Compact"/>
            </w:pPr>
            <w:r>
              <w:t xml:space="preserve">Head of SRE / CTO</w:t>
            </w:r>
          </w:p>
        </w:tc>
        <w:tc>
          <w:tcPr/>
          <w:p>
            <w:pPr>
              <w:pStyle w:val="Compact"/>
            </w:pPr>
            <w:r>
              <w:t xml:space="preserve">Overall command, declare activation, coordinate teams</w:t>
            </w:r>
          </w:p>
        </w:tc>
      </w:tr>
      <w:tr>
        <w:tc>
          <w:tcPr/>
          <w:p>
            <w:pPr>
              <w:pStyle w:val="Compact"/>
            </w:pPr>
            <w:r>
              <w:rPr>
                <w:b/>
                <w:bCs/>
              </w:rPr>
              <w:t xml:space="preserve">DR Coordinator</w:t>
            </w:r>
          </w:p>
        </w:tc>
        <w:tc>
          <w:tcPr/>
          <w:p>
            <w:pPr>
              <w:pStyle w:val="Compact"/>
            </w:pPr>
            <w:r>
              <w:t xml:space="preserve">SRE Lead</w:t>
            </w:r>
          </w:p>
        </w:tc>
        <w:tc>
          <w:tcPr/>
          <w:p>
            <w:pPr>
              <w:pStyle w:val="Compact"/>
            </w:pPr>
            <w:r>
              <w:t xml:space="preserve">Execute failover/failback runbooks, verify RTO/RPO</w:t>
            </w:r>
          </w:p>
        </w:tc>
      </w:tr>
      <w:tr>
        <w:tc>
          <w:tcPr/>
          <w:p>
            <w:pPr>
              <w:pStyle w:val="Compact"/>
            </w:pPr>
            <w:r>
              <w:rPr>
                <w:b/>
                <w:bCs/>
              </w:rPr>
              <w:t xml:space="preserve">Technical Recovery Team</w:t>
            </w:r>
          </w:p>
        </w:tc>
        <w:tc>
          <w:tcPr/>
          <w:p>
            <w:pPr>
              <w:pStyle w:val="Compact"/>
            </w:pPr>
            <w:r>
              <w:t xml:space="preserve">SRE + Backend (Go) + DBA</w:t>
            </w:r>
          </w:p>
        </w:tc>
        <w:tc>
          <w:tcPr/>
          <w:p>
            <w:pPr>
              <w:pStyle w:val="Compact"/>
            </w:pPr>
            <w:r>
              <w:t xml:space="preserve">Recover services, DB, network, HSM/KMS</w:t>
            </w:r>
          </w:p>
        </w:tc>
      </w:tr>
      <w:tr>
        <w:tc>
          <w:tcPr/>
          <w:p>
            <w:pPr>
              <w:pStyle w:val="Compact"/>
            </w:pPr>
            <w:r>
              <w:rPr>
                <w:b/>
                <w:bCs/>
              </w:rPr>
              <w:t xml:space="preserve">Security Lead</w:t>
            </w:r>
          </w:p>
        </w:tc>
        <w:tc>
          <w:tcPr/>
          <w:p>
            <w:pPr>
              <w:pStyle w:val="Compact"/>
            </w:pPr>
            <w:r>
              <w:t xml:space="preserve">Head of Security / DevSecOps</w:t>
            </w:r>
          </w:p>
        </w:tc>
        <w:tc>
          <w:tcPr/>
          <w:p>
            <w:pPr>
              <w:pStyle w:val="Compact"/>
            </w:pPr>
            <w:r>
              <w:t xml:space="preserve">Assess cyber incidents, containment, forensics, PCI Req 12.10</w:t>
            </w:r>
          </w:p>
        </w:tc>
      </w:tr>
      <w:tr>
        <w:tc>
          <w:tcPr/>
          <w:p>
            <w:pPr>
              <w:pStyle w:val="Compact"/>
            </w:pPr>
            <w:r>
              <w:rPr>
                <w:b/>
                <w:bCs/>
              </w:rPr>
              <w:t xml:space="preserve">Compliance &amp; Regulatory Liaison</w:t>
            </w:r>
          </w:p>
        </w:tc>
        <w:tc>
          <w:tcPr/>
          <w:p>
            <w:pPr>
              <w:pStyle w:val="Compact"/>
            </w:pPr>
            <w:r>
              <w:t xml:space="preserve">Compliance Officer</w:t>
            </w:r>
          </w:p>
        </w:tc>
        <w:tc>
          <w:tcPr/>
          <w:p>
            <w:pPr>
              <w:pStyle w:val="Compact"/>
            </w:pPr>
            <w:r>
              <w:t xml:space="preserve">Report to</w:t>
            </w:r>
            <w:r>
              <w:t xml:space="preserve"> </w:t>
            </w:r>
            <w:r>
              <w:rPr>
                <w:b/>
                <w:bCs/>
              </w:rPr>
              <w:t xml:space="preserve">BOT</w:t>
            </w:r>
            <w:r>
              <w:t xml:space="preserve">,</w:t>
            </w:r>
            <w:r>
              <w:t xml:space="preserve"> </w:t>
            </w:r>
            <w:r>
              <w:rPr>
                <w:b/>
                <w:bCs/>
              </w:rPr>
              <w:t xml:space="preserve">AMLO</w:t>
            </w:r>
            <w:r>
              <w:t xml:space="preserve"> </w:t>
            </w:r>
            <w:r>
              <w:t xml:space="preserve">(if AML-related),</w:t>
            </w:r>
            <w:r>
              <w:t xml:space="preserve"> </w:t>
            </w:r>
            <w:r>
              <w:rPr>
                <w:b/>
                <w:bCs/>
              </w:rPr>
              <w:t xml:space="preserve">PDPC</w:t>
            </w:r>
            <w:r>
              <w:t xml:space="preserve"> </w:t>
            </w:r>
            <w:r>
              <w:t xml:space="preserve">(if data breach); notify scheme/sponsor</w:t>
            </w:r>
          </w:p>
        </w:tc>
      </w:tr>
      <w:tr>
        <w:tc>
          <w:tcPr/>
          <w:p>
            <w:pPr>
              <w:pStyle w:val="Compact"/>
            </w:pPr>
            <w:r>
              <w:rPr>
                <w:b/>
                <w:bCs/>
              </w:rPr>
              <w:t xml:space="preserve">Comms / Merchant Support Lead</w:t>
            </w:r>
          </w:p>
        </w:tc>
        <w:tc>
          <w:tcPr/>
          <w:p>
            <w:pPr>
              <w:pStyle w:val="Compact"/>
            </w:pPr>
            <w:r>
              <w:t xml:space="preserve">Product / Support Lead</w:t>
            </w:r>
          </w:p>
        </w:tc>
        <w:tc>
          <w:tcPr/>
          <w:p>
            <w:pPr>
              <w:pStyle w:val="Compact"/>
            </w:pPr>
            <w:r>
              <w:t xml:space="preserve">Communicate with merchants, maintain status page</w:t>
            </w:r>
          </w:p>
        </w:tc>
      </w:tr>
      <w:tr>
        <w:tc>
          <w:tcPr/>
          <w:p>
            <w:pPr>
              <w:pStyle w:val="Compact"/>
            </w:pPr>
            <w:r>
              <w:rPr>
                <w:b/>
                <w:bCs/>
              </w:rPr>
              <w:t xml:space="preserve">Business Recovery Team</w:t>
            </w:r>
          </w:p>
        </w:tc>
        <w:tc>
          <w:tcPr/>
          <w:p>
            <w:pPr>
              <w:pStyle w:val="Compact"/>
            </w:pPr>
            <w:r>
              <w:t xml:space="preserve">Finance / Ops</w:t>
            </w:r>
          </w:p>
        </w:tc>
        <w:tc>
          <w:tcPr/>
          <w:p>
            <w:pPr>
              <w:pStyle w:val="Compact"/>
            </w:pPr>
            <w:r>
              <w:t xml:space="preserve">Verify settlement, reconciliation, outstanding balances</w:t>
            </w:r>
          </w:p>
        </w:tc>
      </w:tr>
    </w:tbl>
    <w:p>
      <w:pPr>
        <w:pStyle w:val="BlockText"/>
      </w:pPr>
      <w:r>
        <w:rPr>
          <w:b/>
          <w:bCs/>
        </w:rPr>
        <w:t xml:space="preserve">Succession:</w:t>
      </w:r>
      <w:r>
        <w:t xml:space="preserve"> </w:t>
      </w:r>
      <w:r>
        <w:t xml:space="preserve">Every key role has at least one deputy plus on-call rotation. An emergency call tree is</w:t>
      </w:r>
      <w:r>
        <w:t xml:space="preserve"> </w:t>
      </w:r>
      <w:r>
        <w:t xml:space="preserve">refreshed quarterly and stored both online and offline (printed).</w:t>
      </w:r>
    </w:p>
    <w:p>
      <w:r>
        <w:pict>
          <v:rect style="width:0;height:1.5pt" o:hralign="center" o:hrstd="t" o:hr="t"/>
        </w:pict>
      </w:r>
    </w:p>
    <w:bookmarkEnd w:id="533"/>
    <w:bookmarkStart w:id="534" w:name="business-impact-analysis-bia"/>
    <w:p>
      <w:pPr>
        <w:pStyle w:val="Heading2"/>
      </w:pPr>
      <w:r>
        <w:t xml:space="preserve">3. Business Impact Analysis (BIA)</w:t>
      </w:r>
    </w:p>
    <w:p>
      <w:pPr>
        <w:pStyle w:val="FirstParagraph"/>
      </w:pPr>
      <w:r>
        <w:t xml:space="preserve">Processes are prioritized by</w:t>
      </w:r>
      <w:r>
        <w:t xml:space="preserve"> </w:t>
      </w:r>
      <w:r>
        <w:rPr>
          <w:b/>
          <w:bCs/>
        </w:rPr>
        <w:t xml:space="preserve">Maximum Tolerable Downtime (MTD)</w:t>
      </w:r>
      <w:r>
        <w:t xml:space="preserve"> </w:t>
      </w:r>
      <w:r>
        <w:t xml:space="preserve">and impact.</w:t>
      </w:r>
    </w:p>
    <w:tbl>
      <w:tblPr>
        <w:tblStyle w:val="Table"/>
        <w:tblW w:type="pct" w:w="5000"/>
        <w:tblLayout w:type="fixed"/>
        <w:tblLook w:firstRow="1" w:lastRow="0" w:firstColumn="0" w:lastColumn="0" w:noHBand="0" w:noVBand="0" w:val="0020"/>
      </w:tblPr>
      <w:tblGrid>
        <w:gridCol w:w="678"/>
        <w:gridCol w:w="2149"/>
        <w:gridCol w:w="565"/>
        <w:gridCol w:w="1357"/>
        <w:gridCol w:w="1357"/>
        <w:gridCol w:w="1810"/>
      </w:tblGrid>
      <w:tr>
        <w:trPr>
          <w:tblHeader w:val="on"/>
        </w:trPr>
        <w:tc>
          <w:tcPr/>
          <w:p>
            <w:pPr>
              <w:pStyle w:val="Compact"/>
            </w:pPr>
            <w:r>
              <w:t xml:space="preserve">Tier</w:t>
            </w:r>
          </w:p>
        </w:tc>
        <w:tc>
          <w:tcPr/>
          <w:p>
            <w:pPr>
              <w:pStyle w:val="Compact"/>
            </w:pPr>
            <w:r>
              <w:t xml:space="preserve">Process / Service</w:t>
            </w:r>
          </w:p>
        </w:tc>
        <w:tc>
          <w:tcPr/>
          <w:p>
            <w:pPr>
              <w:pStyle w:val="Compact"/>
            </w:pPr>
            <w:r>
              <w:t xml:space="preserve">MTD</w:t>
            </w:r>
          </w:p>
        </w:tc>
        <w:tc>
          <w:tcPr/>
          <w:p>
            <w:pPr>
              <w:pStyle w:val="Compact"/>
            </w:pPr>
            <w:r>
              <w:t xml:space="preserve">Target RTO</w:t>
            </w:r>
          </w:p>
        </w:tc>
        <w:tc>
          <w:tcPr/>
          <w:p>
            <w:pPr>
              <w:pStyle w:val="Compact"/>
            </w:pPr>
            <w:r>
              <w:t xml:space="preserve">Target RPO</w:t>
            </w:r>
          </w:p>
        </w:tc>
        <w:tc>
          <w:tcPr/>
          <w:p>
            <w:pPr>
              <w:pStyle w:val="Compact"/>
            </w:pPr>
            <w:r>
              <w:t xml:space="preserve">Impact if down</w:t>
            </w:r>
          </w:p>
        </w:tc>
      </w:tr>
      <w:tr>
        <w:tc>
          <w:tcPr/>
          <w:p>
            <w:pPr>
              <w:pStyle w:val="Compact"/>
            </w:pPr>
            <w:r>
              <w:rPr>
                <w:b/>
                <w:bCs/>
              </w:rPr>
              <w:t xml:space="preserve">Tier 0 — Critical</w:t>
            </w:r>
          </w:p>
        </w:tc>
        <w:tc>
          <w:tcPr/>
          <w:p>
            <w:pPr>
              <w:pStyle w:val="Compact"/>
            </w:pPr>
            <w:r>
              <w:t xml:space="preserve">Authorization / Capture / Void (payment core online)</w:t>
            </w:r>
          </w:p>
        </w:tc>
        <w:tc>
          <w:tcPr/>
          <w:p>
            <w:pPr>
              <w:pStyle w:val="Compact"/>
            </w:pPr>
            <w:r>
              <w:t xml:space="preserve">1 h</w:t>
            </w:r>
          </w:p>
        </w:tc>
        <w:tc>
          <w:tcPr/>
          <w:p>
            <w:pPr>
              <w:pStyle w:val="Compact"/>
            </w:pPr>
            <w:r>
              <w:rPr>
                <w:b/>
                <w:bCs/>
              </w:rPr>
              <w:t xml:space="preserve">≤ 30 min</w:t>
            </w:r>
          </w:p>
        </w:tc>
        <w:tc>
          <w:tcPr/>
          <w:p>
            <w:pPr>
              <w:pStyle w:val="Compact"/>
            </w:pPr>
            <w:r>
              <w:rPr>
                <w:b/>
                <w:bCs/>
              </w:rPr>
              <w:t xml:space="preserve">≤ 5 min</w:t>
            </w:r>
          </w:p>
        </w:tc>
        <w:tc>
          <w:tcPr/>
          <w:p>
            <w:pPr>
              <w:pStyle w:val="Compact"/>
            </w:pPr>
            <w:r>
              <w:t xml:space="preserve">Immediate revenue loss, SLA breach with merchant/scheme</w:t>
            </w:r>
          </w:p>
        </w:tc>
      </w:tr>
      <w:tr>
        <w:tc>
          <w:tcPr/>
          <w:p>
            <w:pPr>
              <w:pStyle w:val="Compact"/>
            </w:pPr>
            <w:r>
              <w:rPr>
                <w:b/>
                <w:bCs/>
              </w:rPr>
              <w:t xml:space="preserve">Tier 0 — Critical</w:t>
            </w:r>
          </w:p>
        </w:tc>
        <w:tc>
          <w:tcPr/>
          <w:p>
            <w:pPr>
              <w:pStyle w:val="Compact"/>
            </w:pPr>
            <w:r>
              <w:t xml:space="preserve">Ledger (source of truth) + Tokenization Vault + HSM/KMS</w:t>
            </w:r>
          </w:p>
        </w:tc>
        <w:tc>
          <w:tcPr/>
          <w:p>
            <w:pPr>
              <w:pStyle w:val="Compact"/>
            </w:pPr>
            <w:r>
              <w:t xml:space="preserve">1 h</w:t>
            </w:r>
          </w:p>
        </w:tc>
        <w:tc>
          <w:tcPr/>
          <w:p>
            <w:pPr>
              <w:pStyle w:val="Compact"/>
            </w:pPr>
            <w:r>
              <w:rPr>
                <w:b/>
                <w:bCs/>
              </w:rPr>
              <w:t xml:space="preserve">≤ 30 min</w:t>
            </w:r>
          </w:p>
        </w:tc>
        <w:tc>
          <w:tcPr/>
          <w:p>
            <w:pPr>
              <w:pStyle w:val="Compact"/>
            </w:pPr>
            <w:r>
              <w:rPr>
                <w:b/>
                <w:bCs/>
              </w:rPr>
              <w:t xml:space="preserve">0 (RPO≈0)</w:t>
            </w:r>
          </w:p>
        </w:tc>
        <w:tc>
          <w:tcPr/>
          <w:p>
            <w:pPr>
              <w:pStyle w:val="Compact"/>
            </w:pPr>
            <w:r>
              <w:t xml:space="preserve">Loss of financial integrity = must not happen (sync commit)</w:t>
            </w:r>
          </w:p>
        </w:tc>
      </w:tr>
      <w:tr>
        <w:tc>
          <w:tcPr/>
          <w:p>
            <w:pPr>
              <w:pStyle w:val="Compact"/>
            </w:pPr>
            <w:r>
              <w:rPr>
                <w:b/>
                <w:bCs/>
              </w:rPr>
              <w:t xml:space="preserve">Tier 1 — High</w:t>
            </w:r>
          </w:p>
        </w:tc>
        <w:tc>
          <w:tcPr/>
          <w:p>
            <w:pPr>
              <w:pStyle w:val="Compact"/>
            </w:pPr>
            <w:r>
              <w:t xml:space="preserve">Refund, Webhook/Notify, 3DS flow</w:t>
            </w:r>
          </w:p>
        </w:tc>
        <w:tc>
          <w:tcPr/>
          <w:p>
            <w:pPr>
              <w:pStyle w:val="Compact"/>
            </w:pPr>
            <w:r>
              <w:t xml:space="preserve">4 h</w:t>
            </w:r>
          </w:p>
        </w:tc>
        <w:tc>
          <w:tcPr/>
          <w:p>
            <w:pPr>
              <w:pStyle w:val="Compact"/>
            </w:pPr>
            <w:r>
              <w:t xml:space="preserve">≤ 2 h</w:t>
            </w:r>
          </w:p>
        </w:tc>
        <w:tc>
          <w:tcPr/>
          <w:p>
            <w:pPr>
              <w:pStyle w:val="Compact"/>
            </w:pPr>
            <w:r>
              <w:t xml:space="preserve">≤ 15 min</w:t>
            </w:r>
          </w:p>
        </w:tc>
        <w:tc>
          <w:tcPr/>
          <w:p>
            <w:pPr>
              <w:pStyle w:val="Compact"/>
            </w:pPr>
            <w:r>
              <w:t xml:space="preserve">Merchants miss callbacks, cardholders miss refunds</w:t>
            </w:r>
          </w:p>
        </w:tc>
      </w:tr>
      <w:tr>
        <w:tc>
          <w:tcPr/>
          <w:p>
            <w:pPr>
              <w:pStyle w:val="Compact"/>
            </w:pPr>
            <w:r>
              <w:rPr>
                <w:b/>
                <w:bCs/>
              </w:rPr>
              <w:t xml:space="preserve">Tier 2 — Medium</w:t>
            </w:r>
          </w:p>
        </w:tc>
        <w:tc>
          <w:tcPr/>
          <w:p>
            <w:pPr>
              <w:pStyle w:val="Compact"/>
            </w:pPr>
            <w:r>
              <w:t xml:space="preserve">Settlement / Payout, Reconciliation worker</w:t>
            </w:r>
          </w:p>
        </w:tc>
        <w:tc>
          <w:tcPr/>
          <w:p>
            <w:pPr>
              <w:pStyle w:val="Compact"/>
            </w:pPr>
            <w:r>
              <w:t xml:space="preserve">24 h</w:t>
            </w:r>
          </w:p>
        </w:tc>
        <w:tc>
          <w:tcPr/>
          <w:p>
            <w:pPr>
              <w:pStyle w:val="Compact"/>
            </w:pPr>
            <w:r>
              <w:t xml:space="preserve">≤ 8 h</w:t>
            </w:r>
          </w:p>
        </w:tc>
        <w:tc>
          <w:tcPr/>
          <w:p>
            <w:pPr>
              <w:pStyle w:val="Compact"/>
            </w:pPr>
            <w:r>
              <w:t xml:space="preserve">≤ 1 h</w:t>
            </w:r>
          </w:p>
        </w:tc>
        <w:tc>
          <w:tcPr/>
          <w:p>
            <w:pPr>
              <w:pStyle w:val="Compact"/>
            </w:pPr>
            <w:r>
              <w:t xml:space="preserve">Delayed merchant payout (same-day batch shift tolerable)</w:t>
            </w:r>
          </w:p>
        </w:tc>
      </w:tr>
      <w:tr>
        <w:tc>
          <w:tcPr/>
          <w:p>
            <w:pPr>
              <w:pStyle w:val="Compact"/>
            </w:pPr>
            <w:r>
              <w:rPr>
                <w:b/>
                <w:bCs/>
              </w:rPr>
              <w:t xml:space="preserve">Tier 2 — Medium</w:t>
            </w:r>
          </w:p>
        </w:tc>
        <w:tc>
          <w:tcPr/>
          <w:p>
            <w:pPr>
              <w:pStyle w:val="Compact"/>
            </w:pPr>
            <w:r>
              <w:t xml:space="preserve">Merchant/Admin API, Dashboard, Reporting</w:t>
            </w:r>
          </w:p>
        </w:tc>
        <w:tc>
          <w:tcPr/>
          <w:p>
            <w:pPr>
              <w:pStyle w:val="Compact"/>
            </w:pPr>
            <w:r>
              <w:t xml:space="preserve">24 h</w:t>
            </w:r>
          </w:p>
        </w:tc>
        <w:tc>
          <w:tcPr/>
          <w:p>
            <w:pPr>
              <w:pStyle w:val="Compact"/>
            </w:pPr>
            <w:r>
              <w:t xml:space="preserve">≤ 8 h</w:t>
            </w:r>
          </w:p>
        </w:tc>
        <w:tc>
          <w:tcPr/>
          <w:p>
            <w:pPr>
              <w:pStyle w:val="Compact"/>
            </w:pPr>
            <w:r>
              <w:t xml:space="preserve">≤ 1 h</w:t>
            </w:r>
          </w:p>
        </w:tc>
        <w:tc>
          <w:tcPr/>
          <w:p>
            <w:pPr>
              <w:pStyle w:val="Compact"/>
            </w:pPr>
            <w:r>
              <w:t xml:space="preserve">Usability impact, no money impact</w:t>
            </w:r>
          </w:p>
        </w:tc>
      </w:tr>
      <w:tr>
        <w:tc>
          <w:tcPr/>
          <w:p>
            <w:pPr>
              <w:pStyle w:val="Compact"/>
            </w:pPr>
            <w:r>
              <w:rPr>
                <w:b/>
                <w:bCs/>
              </w:rPr>
              <w:t xml:space="preserve">Tier 3 — Low</w:t>
            </w:r>
          </w:p>
        </w:tc>
        <w:tc>
          <w:tcPr/>
          <w:p>
            <w:pPr>
              <w:pStyle w:val="Compact"/>
            </w:pPr>
            <w:r>
              <w:t xml:space="preserve">Internal systems (BI, internal tools)</w:t>
            </w:r>
          </w:p>
        </w:tc>
        <w:tc>
          <w:tcPr/>
          <w:p>
            <w:pPr>
              <w:pStyle w:val="Compact"/>
            </w:pPr>
            <w:r>
              <w:t xml:space="preserve">72 h</w:t>
            </w:r>
          </w:p>
        </w:tc>
        <w:tc>
          <w:tcPr/>
          <w:p>
            <w:pPr>
              <w:pStyle w:val="Compact"/>
            </w:pPr>
            <w:r>
              <w:t xml:space="preserve">≤ 48 h</w:t>
            </w:r>
          </w:p>
        </w:tc>
        <w:tc>
          <w:tcPr/>
          <w:p>
            <w:pPr>
              <w:pStyle w:val="Compact"/>
            </w:pPr>
            <w:r>
              <w:t xml:space="preserve">≤ 24 h</w:t>
            </w:r>
          </w:p>
        </w:tc>
        <w:tc>
          <w:tcPr/>
          <w:p>
            <w:pPr>
              <w:pStyle w:val="Compact"/>
            </w:pPr>
            <w:r>
              <w:t xml:space="preserve">Low impact</w:t>
            </w:r>
          </w:p>
        </w:tc>
      </w:tr>
    </w:tbl>
    <w:p>
      <w:pPr>
        <w:pStyle w:val="BodyText"/>
      </w:pPr>
      <w:r>
        <w:rPr>
          <w:b/>
          <w:bCs/>
        </w:rPr>
        <w:t xml:space="preserve">Rationale for RPO/RTO values:</w:t>
      </w:r>
      <w:r>
        <w:t xml:space="preserve"> </w:t>
      </w:r>
      <w:r>
        <w:t xml:space="preserve">-</w:t>
      </w:r>
      <w:r>
        <w:t xml:space="preserve"> </w:t>
      </w:r>
      <w:r>
        <w:rPr>
          <w:b/>
          <w:bCs/>
        </w:rPr>
        <w:t xml:space="preserve">RPO ≤ 5 min</w:t>
      </w:r>
      <w:r>
        <w:t xml:space="preserve"> </w:t>
      </w:r>
      <w:r>
        <w:t xml:space="preserve">for the operational DB comes from PostgreSQL streaming replication to the DR site.</w:t>
      </w:r>
      <w:r>
        <w:t xml:space="preserve"> </w:t>
      </w:r>
      <w:r>
        <w:t xml:space="preserve">-</w:t>
      </w:r>
      <w:r>
        <w:t xml:space="preserve"> </w:t>
      </w:r>
      <w:r>
        <w:rPr>
          <w:b/>
          <w:bCs/>
        </w:rPr>
        <w:t xml:space="preserve">RPO ≈ 0</w:t>
      </w:r>
      <w:r>
        <w:t xml:space="preserve"> </w:t>
      </w:r>
      <w:r>
        <w:t xml:space="preserve">for ledger/vault uses</w:t>
      </w:r>
      <w:r>
        <w:t xml:space="preserve"> </w:t>
      </w:r>
      <w:r>
        <w:rPr>
          <w:b/>
          <w:bCs/>
        </w:rPr>
        <w:t xml:space="preserve">synchronous commit</w:t>
      </w:r>
      <w:r>
        <w:t xml:space="preserve"> </w:t>
      </w:r>
      <w:r>
        <w:t xml:space="preserve">to at least one standby node (accepting slightly</w:t>
      </w:r>
      <w:r>
        <w:t xml:space="preserve"> </w:t>
      </w:r>
      <w:r>
        <w:t xml:space="preserve">higher latency so money is never lost — aligned with the</w:t>
      </w:r>
      <w:r>
        <w:t xml:space="preserve"> </w:t>
      </w:r>
      <w:r>
        <w:t xml:space="preserve">“fail closed”</w:t>
      </w:r>
      <w:r>
        <w:t xml:space="preserve"> </w:t>
      </w:r>
      <w:r>
        <w:t xml:space="preserve">principle in</w:t>
      </w:r>
      <w:r>
        <w:t xml:space="preserve"> </w:t>
      </w:r>
      <w:r>
        <w:rPr>
          <w:rStyle w:val="VerbatimChar"/>
        </w:rPr>
        <w:t xml:space="preserve">ARCHITECTURE.md</w:t>
      </w:r>
      <w:r>
        <w:t xml:space="preserve"> </w:t>
      </w:r>
      <w:r>
        <w:t xml:space="preserve">§2).</w:t>
      </w:r>
      <w:r>
        <w:t xml:space="preserve"> </w:t>
      </w:r>
      <w:r>
        <w:t xml:space="preserve">-</w:t>
      </w:r>
      <w:r>
        <w:t xml:space="preserve"> </w:t>
      </w:r>
      <w:r>
        <w:rPr>
          <w:b/>
          <w:bCs/>
        </w:rPr>
        <w:t xml:space="preserve">RTO ≤ 30 min</w:t>
      </w:r>
      <w:r>
        <w:t xml:space="preserve"> </w:t>
      </w:r>
      <w:r>
        <w:t xml:space="preserve">for the payment core is achieved via a pre-provisioned hot/warm standby.</w:t>
      </w:r>
    </w:p>
    <w:p>
      <w:pPr>
        <w:pStyle w:val="BlockText"/>
      </w:pPr>
      <w:r>
        <w:t xml:space="preserve">[!WARNING]</w:t>
      </w:r>
      <w:r>
        <w:t xml:space="preserve"> </w:t>
      </w:r>
      <w:r>
        <w:rPr>
          <w:b/>
          <w:bCs/>
        </w:rPr>
        <w:t xml:space="preserve">Assumptions / open TODOs (must be confirmed before submission)</w:t>
      </w:r>
      <w:r>
        <w:t xml:space="preserve"> </w:t>
      </w:r>
      <w:r>
        <w:t xml:space="preserve">-</w:t>
      </w:r>
      <w:r>
        <w:t xml:space="preserve"> </w:t>
      </w:r>
      <w:r>
        <w:rPr>
          <w:b/>
          <w:bCs/>
        </w:rPr>
        <w:t xml:space="preserve">Cloud/IDC provider and region:</w:t>
      </w:r>
      <w:r>
        <w:t xml:space="preserve"> </w:t>
      </w:r>
      <w:r>
        <w:t xml:space="preserve">Not finalized. Must have an in-Thailand region per BOT/PDPA data-residency</w:t>
      </w:r>
      <w:r>
        <w:t xml:space="preserve"> </w:t>
      </w:r>
      <w:r>
        <w:t xml:space="preserve">requirements (e.g., AWS ap-southeast-7 Bangkok, Google Cloud, or a local IDC). Actual RTO/RPO must be</w:t>
      </w:r>
      <w:r>
        <w:t xml:space="preserve"> </w:t>
      </w:r>
      <w:r>
        <w:t xml:space="preserve">confirmed against the chosen provider’s SLA.</w:t>
      </w:r>
      <w:r>
        <w:t xml:space="preserve"> </w:t>
      </w:r>
      <w:r>
        <w:t xml:space="preserve">-</w:t>
      </w:r>
      <w:r>
        <w:t xml:space="preserve"> </w:t>
      </w:r>
      <w:r>
        <w:rPr>
          <w:b/>
          <w:bCs/>
        </w:rPr>
        <w:t xml:space="preserve">Sponsor bank / acquirer:</w:t>
      </w:r>
      <w:r>
        <w:t xml:space="preserve"> </w:t>
      </w:r>
      <w:r>
        <w:t xml:space="preserve">Not yet signed. The sponsor’s availability SLA, failover connectivity path</w:t>
      </w:r>
      <w:r>
        <w:t xml:space="preserve"> </w:t>
      </w:r>
      <w:r>
        <w:t xml:space="preserve">(ISO 8583 / API), and BCP requirements will override the minimums here once known.</w:t>
      </w:r>
      <w:r>
        <w:t xml:space="preserve"> </w:t>
      </w:r>
      <w:r>
        <w:t xml:space="preserve">-</w:t>
      </w:r>
      <w:r>
        <w:t xml:space="preserve"> </w:t>
      </w:r>
      <w:r>
        <w:rPr>
          <w:b/>
          <w:bCs/>
        </w:rPr>
        <w:t xml:space="preserve">QSA vendor (PCI-DSS L1):</w:t>
      </w:r>
      <w:r>
        <w:t xml:space="preserve"> </w:t>
      </w:r>
      <w:r>
        <w:t xml:space="preserve">Not yet selected. The DR scope inside the CDE (Cardholder Data Environment)</w:t>
      </w:r>
      <w:r>
        <w:t xml:space="preserve"> </w:t>
      </w:r>
      <w:r>
        <w:t xml:space="preserve">and evidence required for the RoC may change per QSA guidance.</w:t>
      </w:r>
      <w:r>
        <w:t xml:space="preserve"> </w:t>
      </w:r>
      <w:r>
        <w:t xml:space="preserve">-</w:t>
      </w:r>
      <w:r>
        <w:t xml:space="preserve"> </w:t>
      </w:r>
      <w:r>
        <w:rPr>
          <w:b/>
          <w:bCs/>
        </w:rPr>
        <w:t xml:space="preserve">3DS provider / HSM vendor:</w:t>
      </w:r>
      <w:r>
        <w:t xml:space="preserve"> </w:t>
      </w:r>
      <w:r>
        <w:t xml:space="preserve">Not selected. HSM HA/DR mode (key-material clustering/replication) must be</w:t>
      </w:r>
      <w:r>
        <w:t xml:space="preserve"> </w:t>
      </w:r>
      <w:r>
        <w:t xml:space="preserve">confirmed against the actual product.</w:t>
      </w:r>
      <w:r>
        <w:t xml:space="preserve"> </w:t>
      </w:r>
      <w:r>
        <w:t xml:space="preserve">-</w:t>
      </w:r>
      <w:r>
        <w:t xml:space="preserve"> </w:t>
      </w:r>
      <w:r>
        <w:rPr>
          <w:b/>
          <w:bCs/>
        </w:rPr>
        <w:t xml:space="preserve">Actual paid-up capital:</w:t>
      </w:r>
      <w:r>
        <w:t xml:space="preserve"> </w:t>
      </w:r>
      <w:r>
        <w:t xml:space="preserve">Must be confirmed maintained ≥ THB 50M (≥ 75% throughout operations).</w:t>
      </w:r>
    </w:p>
    <w:p>
      <w:r>
        <w:pict>
          <v:rect style="width:0;height:1.5pt" o:hralign="center" o:hrstd="t" o:hr="t"/>
        </w:pict>
      </w:r>
    </w:p>
    <w:bookmarkEnd w:id="534"/>
    <w:bookmarkStart w:id="538" w:name="availability-dr-architecture"/>
    <w:p>
      <w:pPr>
        <w:pStyle w:val="Heading2"/>
      </w:pPr>
      <w:r>
        <w:t xml:space="preserve">4. Availability &amp; DR Architecture</w:t>
      </w:r>
    </w:p>
    <w:bookmarkStart w:id="535" w:name="principles-1"/>
    <w:p>
      <w:pPr>
        <w:pStyle w:val="Heading3"/>
      </w:pPr>
      <w:r>
        <w:t xml:space="preserve">4.1 Principles</w:t>
      </w:r>
    </w:p>
    <w:p>
      <w:pPr>
        <w:pStyle w:val="Compact"/>
        <w:numPr>
          <w:ilvl w:val="0"/>
          <w:numId w:val="1217"/>
        </w:numPr>
      </w:pPr>
      <w:r>
        <w:rPr>
          <w:b/>
          <w:bCs/>
        </w:rPr>
        <w:t xml:space="preserve">Active–Active within the primary region</w:t>
      </w:r>
      <w:r>
        <w:t xml:space="preserve"> </w:t>
      </w:r>
      <w:r>
        <w:t xml:space="preserve">— stateless API across multiple AZs behind LB + WAF.</w:t>
      </w:r>
    </w:p>
    <w:p>
      <w:pPr>
        <w:pStyle w:val="Compact"/>
        <w:numPr>
          <w:ilvl w:val="0"/>
          <w:numId w:val="1217"/>
        </w:numPr>
      </w:pPr>
      <w:r>
        <w:rPr>
          <w:b/>
          <w:bCs/>
        </w:rPr>
        <w:t xml:space="preserve">Warm/Hot standby at a DR site</w:t>
      </w:r>
      <w:r>
        <w:t xml:space="preserve"> </w:t>
      </w:r>
      <w:r>
        <w:t xml:space="preserve">(separate AZ/region in Thailand), pre-provisioned and promotable.</w:t>
      </w:r>
    </w:p>
    <w:p>
      <w:pPr>
        <w:pStyle w:val="Compact"/>
        <w:numPr>
          <w:ilvl w:val="0"/>
          <w:numId w:val="1217"/>
        </w:numPr>
      </w:pPr>
      <w:r>
        <w:rPr>
          <w:b/>
          <w:bCs/>
        </w:rPr>
        <w:t xml:space="preserve">Data residency:</w:t>
      </w:r>
      <w:r>
        <w:t xml:space="preserve"> </w:t>
      </w:r>
      <w:r>
        <w:t xml:space="preserve">All production data and backups reside within Thailand per BOT/PDPA.</w:t>
      </w:r>
    </w:p>
    <w:p>
      <w:pPr>
        <w:pStyle w:val="Compact"/>
        <w:numPr>
          <w:ilvl w:val="0"/>
          <w:numId w:val="1217"/>
        </w:numPr>
      </w:pPr>
      <w:r>
        <w:rPr>
          <w:b/>
          <w:bCs/>
        </w:rPr>
        <w:t xml:space="preserve">CDE segmentation preserved at DR</w:t>
      </w:r>
      <w:r>
        <w:t xml:space="preserve"> </w:t>
      </w:r>
      <w:r>
        <w:t xml:space="preserve">— network segmentation, WAF, and mTLS must match production (PCI Req 1).</w:t>
      </w:r>
    </w:p>
    <w:bookmarkEnd w:id="535"/>
    <w:bookmarkStart w:id="536" w:name="strategy-by-data-tier"/>
    <w:p>
      <w:pPr>
        <w:pStyle w:val="Heading3"/>
      </w:pPr>
      <w:r>
        <w:t xml:space="preserve">4.2 Strategy by data tier</w:t>
      </w:r>
    </w:p>
    <w:tbl>
      <w:tblPr>
        <w:tblStyle w:val="Table"/>
        <w:tblW w:type="pct" w:w="5000"/>
        <w:tblLayout w:type="fixed"/>
        <w:tblLook w:firstRow="1" w:lastRow="0" w:firstColumn="0" w:lastColumn="0" w:noHBand="0" w:noVBand="0" w:val="0020"/>
      </w:tblPr>
      <w:tblGrid>
        <w:gridCol w:w="1188"/>
        <w:gridCol w:w="2178"/>
        <w:gridCol w:w="3564"/>
        <w:gridCol w:w="990"/>
      </w:tblGrid>
      <w:tr>
        <w:trPr>
          <w:tblHeader w:val="on"/>
        </w:trPr>
        <w:tc>
          <w:tcPr/>
          <w:p>
            <w:pPr>
              <w:pStyle w:val="Compact"/>
            </w:pPr>
            <w:r>
              <w:t xml:space="preserve">Tier</w:t>
            </w:r>
          </w:p>
        </w:tc>
        <w:tc>
          <w:tcPr/>
          <w:p>
            <w:pPr>
              <w:pStyle w:val="Compact"/>
            </w:pPr>
            <w:r>
              <w:t xml:space="preserve">Mechanism</w:t>
            </w:r>
          </w:p>
        </w:tc>
        <w:tc>
          <w:tcPr/>
          <w:p>
            <w:pPr>
              <w:pStyle w:val="Compact"/>
            </w:pPr>
            <w:r>
              <w:t xml:space="preserve">Replication mode</w:t>
            </w:r>
          </w:p>
        </w:tc>
        <w:tc>
          <w:tcPr/>
          <w:p>
            <w:pPr>
              <w:pStyle w:val="Compact"/>
            </w:pPr>
            <w:r>
              <w:t xml:space="preserve">RPO</w:t>
            </w:r>
          </w:p>
        </w:tc>
      </w:tr>
      <w:tr>
        <w:tc>
          <w:tcPr/>
          <w:p>
            <w:pPr>
              <w:pStyle w:val="Compact"/>
            </w:pPr>
            <w:r>
              <w:t xml:space="preserve">API / Service (stateless)</w:t>
            </w:r>
          </w:p>
        </w:tc>
        <w:tc>
          <w:tcPr/>
          <w:p>
            <w:pPr>
              <w:pStyle w:val="Compact"/>
            </w:pPr>
            <w:r>
              <w:t xml:space="preserve">multi-AZ, autoscale, distroless image</w:t>
            </w:r>
          </w:p>
        </w:tc>
        <w:tc>
          <w:tcPr/>
          <w:p>
            <w:pPr>
              <w:pStyle w:val="Compact"/>
            </w:pPr>
            <w:r>
              <w:t xml:space="preserve">N/A (redeploy from image registry)</w:t>
            </w:r>
          </w:p>
        </w:tc>
        <w:tc>
          <w:tcPr/>
          <w:p>
            <w:pPr>
              <w:pStyle w:val="Compact"/>
            </w:pPr>
            <w:r>
              <w:t xml:space="preserve">N/A</w:t>
            </w:r>
          </w:p>
        </w:tc>
      </w:tr>
      <w:tr>
        <w:tc>
          <w:tcPr/>
          <w:p>
            <w:pPr>
              <w:pStyle w:val="Compact"/>
            </w:pPr>
            <w:r>
              <w:t xml:space="preserve">Operational DB (payments, webhook)</w:t>
            </w:r>
          </w:p>
        </w:tc>
        <w:tc>
          <w:tcPr/>
          <w:p>
            <w:pPr>
              <w:pStyle w:val="Compact"/>
            </w:pPr>
            <w:r>
              <w:t xml:space="preserve">PostgreSQL primary + streaming replica</w:t>
            </w:r>
          </w:p>
        </w:tc>
        <w:tc>
          <w:tcPr/>
          <w:p>
            <w:pPr>
              <w:pStyle w:val="Compact"/>
            </w:pPr>
            <w:r>
              <w:t xml:space="preserve">asynchronous</w:t>
            </w:r>
          </w:p>
        </w:tc>
        <w:tc>
          <w:tcPr/>
          <w:p>
            <w:pPr>
              <w:pStyle w:val="Compact"/>
            </w:pPr>
            <w:r>
              <w:t xml:space="preserve">≤ 5 min</w:t>
            </w:r>
          </w:p>
        </w:tc>
      </w:tr>
      <w:tr>
        <w:tc>
          <w:tcPr/>
          <w:p>
            <w:pPr>
              <w:pStyle w:val="Compact"/>
            </w:pPr>
            <w:r>
              <w:rPr>
                <w:b/>
                <w:bCs/>
              </w:rPr>
              <w:t xml:space="preserve">Ledger + Vault (critical)</w:t>
            </w:r>
          </w:p>
        </w:tc>
        <w:tc>
          <w:tcPr/>
          <w:p>
            <w:pPr>
              <w:pStyle w:val="Compact"/>
            </w:pPr>
            <w:r>
              <w:t xml:space="preserve">PostgreSQL +</w:t>
            </w:r>
            <w:r>
              <w:t xml:space="preserve"> </w:t>
            </w:r>
            <w:r>
              <w:rPr>
                <w:b/>
                <w:bCs/>
              </w:rPr>
              <w:t xml:space="preserve">synchronous_commit=remote_apply</w:t>
            </w:r>
            <w:r>
              <w:t xml:space="preserve"> </w:t>
            </w:r>
            <w:r>
              <w:t xml:space="preserve">to standby</w:t>
            </w:r>
          </w:p>
        </w:tc>
        <w:tc>
          <w:tcPr/>
          <w:p>
            <w:pPr>
              <w:pStyle w:val="Compact"/>
            </w:pPr>
            <w:r>
              <w:t xml:space="preserve">synchronous</w:t>
            </w:r>
          </w:p>
        </w:tc>
        <w:tc>
          <w:tcPr/>
          <w:p>
            <w:pPr>
              <w:pStyle w:val="Compact"/>
            </w:pPr>
            <w:r>
              <w:t xml:space="preserve">≈ 0</w:t>
            </w:r>
          </w:p>
        </w:tc>
      </w:tr>
      <w:tr>
        <w:tc>
          <w:tcPr/>
          <w:p>
            <w:pPr>
              <w:pStyle w:val="Compact"/>
            </w:pPr>
            <w:r>
              <w:t xml:space="preserve">Object storage (logs, exports)</w:t>
            </w:r>
          </w:p>
        </w:tc>
        <w:tc>
          <w:tcPr/>
          <w:p>
            <w:pPr>
              <w:pStyle w:val="Compact"/>
            </w:pPr>
            <w:r>
              <w:t xml:space="preserve">cross-AZ replicated bucket, versioned, immutable (WORM)</w:t>
            </w:r>
          </w:p>
        </w:tc>
        <w:tc>
          <w:tcPr/>
          <w:p>
            <w:pPr>
              <w:pStyle w:val="Compact"/>
            </w:pPr>
            <w:r>
              <w:t xml:space="preserve">near-real-time</w:t>
            </w:r>
          </w:p>
        </w:tc>
        <w:tc>
          <w:tcPr/>
          <w:p>
            <w:pPr>
              <w:pStyle w:val="Compact"/>
            </w:pPr>
            <w:r>
              <w:t xml:space="preserve">≤ 15 min</w:t>
            </w:r>
          </w:p>
        </w:tc>
      </w:tr>
      <w:tr>
        <w:tc>
          <w:tcPr/>
          <w:p>
            <w:pPr>
              <w:pStyle w:val="Compact"/>
            </w:pPr>
            <w:r>
              <w:t xml:space="preserve">HSM / KMS</w:t>
            </w:r>
          </w:p>
        </w:tc>
        <w:tc>
          <w:tcPr/>
          <w:p>
            <w:pPr>
              <w:pStyle w:val="Compact"/>
            </w:pPr>
            <w:r>
              <w:t xml:space="preserve">HSM cluster / partition replication (dual site)</w:t>
            </w:r>
          </w:p>
        </w:tc>
        <w:tc>
          <w:tcPr/>
          <w:p>
            <w:pPr>
              <w:pStyle w:val="Compact"/>
            </w:pPr>
            <w:r>
              <w:t xml:space="preserve">vendor-managed</w:t>
            </w:r>
          </w:p>
        </w:tc>
        <w:tc>
          <w:tcPr/>
          <w:p>
            <w:pPr>
              <w:pStyle w:val="Compact"/>
            </w:pPr>
            <w:r>
              <w:t xml:space="preserve">≈ 0</w:t>
            </w:r>
          </w:p>
        </w:tc>
      </w:tr>
      <w:tr>
        <w:tc>
          <w:tcPr/>
          <w:p>
            <w:pPr>
              <w:pStyle w:val="Compact"/>
            </w:pPr>
            <w:r>
              <w:t xml:space="preserve">Secrets</w:t>
            </w:r>
          </w:p>
        </w:tc>
        <w:tc>
          <w:tcPr/>
          <w:p>
            <w:pPr>
              <w:pStyle w:val="Compact"/>
            </w:pPr>
            <w:r>
              <w:t xml:space="preserve">secrets manager replicated + sealed offline break-glass copy</w:t>
            </w:r>
          </w:p>
        </w:tc>
        <w:tc>
          <w:tcPr/>
          <w:p>
            <w:pPr>
              <w:pStyle w:val="Compact"/>
            </w:pPr>
            <w:r>
              <w:t xml:space="preserve">N/A</w:t>
            </w:r>
          </w:p>
        </w:tc>
        <w:tc>
          <w:tcPr/>
          <w:p>
            <w:pPr>
              <w:pStyle w:val="Compact"/>
            </w:pPr>
            <w:r>
              <w:t xml:space="preserve">N/A</w:t>
            </w:r>
          </w:p>
        </w:tc>
      </w:tr>
    </w:tbl>
    <w:bookmarkEnd w:id="536"/>
    <w:bookmarkStart w:id="537" w:name="external-connectivity"/>
    <w:p>
      <w:pPr>
        <w:pStyle w:val="Heading3"/>
      </w:pPr>
      <w:r>
        <w:t xml:space="preserve">4.3 External connectivity</w:t>
      </w:r>
    </w:p>
    <w:p>
      <w:pPr>
        <w:pStyle w:val="Compact"/>
        <w:numPr>
          <w:ilvl w:val="0"/>
          <w:numId w:val="1218"/>
        </w:numPr>
      </w:pPr>
      <w:r>
        <w:rPr>
          <w:b/>
          <w:bCs/>
        </w:rPr>
        <w:t xml:space="preserve">Acquirer / card switch:</w:t>
      </w:r>
      <w:r>
        <w:t xml:space="preserve"> </w:t>
      </w:r>
      <w:r>
        <w:t xml:space="preserve">Redundant links and</w:t>
      </w:r>
      <w:r>
        <w:t xml:space="preserve"> </w:t>
      </w:r>
      <w:r>
        <w:rPr>
          <w:b/>
          <w:bCs/>
        </w:rPr>
        <w:t xml:space="preserve">fail closed</w:t>
      </w:r>
      <w:r>
        <w:t xml:space="preserve"> </w:t>
      </w:r>
      <w:r>
        <w:t xml:space="preserve">— if authorization status is uncertain,</w:t>
      </w:r>
      <w:r>
        <w:t xml:space="preserve"> </w:t>
      </w:r>
      <w:r>
        <w:t xml:space="preserve">treat as not successful and reconcile later (prevents double charging).</w:t>
      </w:r>
    </w:p>
    <w:p>
      <w:pPr>
        <w:pStyle w:val="Compact"/>
        <w:numPr>
          <w:ilvl w:val="0"/>
          <w:numId w:val="1218"/>
        </w:numPr>
      </w:pPr>
      <w:r>
        <w:rPr>
          <w:b/>
          <w:bCs/>
        </w:rPr>
        <w:t xml:space="preserve">3DS provider:</w:t>
      </w:r>
      <w:r>
        <w:t xml:space="preserve"> </w:t>
      </w:r>
      <w:r>
        <w:t xml:space="preserve">Timeouts + fallback rules; if ACS/DS is down, decline safely per risk policy.</w:t>
      </w:r>
    </w:p>
    <w:p>
      <w:pPr>
        <w:pStyle w:val="Compact"/>
        <w:numPr>
          <w:ilvl w:val="0"/>
          <w:numId w:val="1218"/>
        </w:numPr>
      </w:pPr>
      <w:r>
        <w:rPr>
          <w:b/>
          <w:bCs/>
        </w:rPr>
        <w:t xml:space="preserve">Webhook:</w:t>
      </w:r>
      <w:r>
        <w:t xml:space="preserve"> </w:t>
      </w:r>
      <w:r>
        <w:t xml:space="preserve">At-least-once + retry + signature; the queue is persisted in the DB, so nothing is lost on failover.</w:t>
      </w:r>
    </w:p>
    <w:p>
      <w:r>
        <w:pict>
          <v:rect style="width:0;height:1.5pt" o:hralign="center" o:hrstd="t" o:hr="t"/>
        </w:pict>
      </w:r>
    </w:p>
    <w:bookmarkEnd w:id="537"/>
    <w:bookmarkEnd w:id="538"/>
    <w:bookmarkStart w:id="539" w:name="backup-strategy"/>
    <w:p>
      <w:pPr>
        <w:pStyle w:val="Heading2"/>
      </w:pPr>
      <w:r>
        <w:t xml:space="preserve">5. Backup Strategy</w:t>
      </w:r>
    </w:p>
    <w:tbl>
      <w:tblPr>
        <w:tblStyle w:val="Table"/>
        <w:tblW w:type="pct" w:w="5000"/>
        <w:tblLayout w:type="fixed"/>
        <w:tblLook w:firstRow="1" w:lastRow="0" w:firstColumn="0" w:lastColumn="0" w:noHBand="0" w:noVBand="0" w:val="0020"/>
      </w:tblPr>
      <w:tblGrid>
        <w:gridCol w:w="848"/>
        <w:gridCol w:w="1555"/>
        <w:gridCol w:w="848"/>
        <w:gridCol w:w="1555"/>
        <w:gridCol w:w="1414"/>
        <w:gridCol w:w="1697"/>
      </w:tblGrid>
      <w:tr>
        <w:trPr>
          <w:tblHeader w:val="on"/>
        </w:trPr>
        <w:tc>
          <w:tcPr/>
          <w:p>
            <w:pPr>
              <w:pStyle w:val="Compact"/>
            </w:pPr>
            <w:r>
              <w:t xml:space="preserve">Item</w:t>
            </w:r>
          </w:p>
        </w:tc>
        <w:tc>
          <w:tcPr/>
          <w:p>
            <w:pPr>
              <w:pStyle w:val="Compact"/>
            </w:pPr>
            <w:r>
              <w:t xml:space="preserve">Frequency</w:t>
            </w:r>
          </w:p>
        </w:tc>
        <w:tc>
          <w:tcPr/>
          <w:p>
            <w:pPr>
              <w:pStyle w:val="Compact"/>
            </w:pPr>
            <w:r>
              <w:t xml:space="preserve">Type</w:t>
            </w:r>
          </w:p>
        </w:tc>
        <w:tc>
          <w:tcPr/>
          <w:p>
            <w:pPr>
              <w:pStyle w:val="Compact"/>
            </w:pPr>
            <w:r>
              <w:t xml:space="preserve">Retention</w:t>
            </w:r>
          </w:p>
        </w:tc>
        <w:tc>
          <w:tcPr/>
          <w:p>
            <w:pPr>
              <w:pStyle w:val="Compact"/>
            </w:pPr>
            <w:r>
              <w:t xml:space="preserve">Location</w:t>
            </w:r>
          </w:p>
        </w:tc>
        <w:tc>
          <w:tcPr/>
          <w:p>
            <w:pPr>
              <w:pStyle w:val="Compact"/>
            </w:pPr>
            <w:r>
              <w:t xml:space="preserve">Encryption</w:t>
            </w:r>
          </w:p>
        </w:tc>
      </w:tr>
      <w:tr>
        <w:tc>
          <w:tcPr/>
          <w:p>
            <w:pPr>
              <w:pStyle w:val="Compact"/>
            </w:pPr>
            <w:r>
              <w:t xml:space="preserve">PostgreSQL (all DBs)</w:t>
            </w:r>
          </w:p>
        </w:tc>
        <w:tc>
          <w:tcPr/>
          <w:p>
            <w:pPr>
              <w:pStyle w:val="Compact"/>
            </w:pPr>
            <w:r>
              <w:t xml:space="preserve">continuous (WAL) + daily full</w:t>
            </w:r>
          </w:p>
        </w:tc>
        <w:tc>
          <w:tcPr/>
          <w:p>
            <w:pPr>
              <w:pStyle w:val="Compact"/>
            </w:pPr>
            <w:r>
              <w:t xml:space="preserve">PITR</w:t>
            </w:r>
          </w:p>
        </w:tc>
        <w:tc>
          <w:tcPr/>
          <w:p>
            <w:pPr>
              <w:pStyle w:val="Compact"/>
            </w:pPr>
            <w:r>
              <w:t xml:space="preserve">35 days (PITR), full 90 days</w:t>
            </w:r>
          </w:p>
        </w:tc>
        <w:tc>
          <w:tcPr/>
          <w:p>
            <w:pPr>
              <w:pStyle w:val="Compact"/>
            </w:pPr>
            <w:r>
              <w:t xml:space="preserve">in-country, cross-AZ</w:t>
            </w:r>
          </w:p>
        </w:tc>
        <w:tc>
          <w:tcPr/>
          <w:p>
            <w:pPr>
              <w:pStyle w:val="Compact"/>
            </w:pPr>
            <w:r>
              <w:t xml:space="preserve">AES-256 at rest</w:t>
            </w:r>
          </w:p>
        </w:tc>
      </w:tr>
      <w:tr>
        <w:tc>
          <w:tcPr/>
          <w:p>
            <w:pPr>
              <w:pStyle w:val="Compact"/>
            </w:pPr>
            <w:r>
              <w:t xml:space="preserve">Ledger / Vault</w:t>
            </w:r>
          </w:p>
        </w:tc>
        <w:tc>
          <w:tcPr/>
          <w:p>
            <w:pPr>
              <w:pStyle w:val="Compact"/>
            </w:pPr>
            <w:r>
              <w:t xml:space="preserve">continuous (WAL) + daily full</w:t>
            </w:r>
          </w:p>
        </w:tc>
        <w:tc>
          <w:tcPr/>
          <w:p>
            <w:pPr>
              <w:pStyle w:val="Compact"/>
            </w:pPr>
            <w:r>
              <w:t xml:space="preserve">PITR + immutable snapshot</w:t>
            </w:r>
          </w:p>
        </w:tc>
        <w:tc>
          <w:tcPr/>
          <w:p>
            <w:pPr>
              <w:pStyle w:val="Compact"/>
            </w:pPr>
            <w:r>
              <w:t xml:space="preserve">≥ 1 year (audit)</w:t>
            </w:r>
          </w:p>
        </w:tc>
        <w:tc>
          <w:tcPr/>
          <w:p>
            <w:pPr>
              <w:pStyle w:val="Compact"/>
            </w:pPr>
            <w:r>
              <w:t xml:space="preserve">in-country</w:t>
            </w:r>
          </w:p>
        </w:tc>
        <w:tc>
          <w:tcPr/>
          <w:p>
            <w:pPr>
              <w:pStyle w:val="Compact"/>
            </w:pPr>
            <w:r>
              <w:t xml:space="preserve">AES-256 + KMS</w:t>
            </w:r>
          </w:p>
        </w:tc>
      </w:tr>
      <w:tr>
        <w:tc>
          <w:tcPr/>
          <w:p>
            <w:pPr>
              <w:pStyle w:val="Compact"/>
            </w:pPr>
            <w:r>
              <w:t xml:space="preserve">Audit log (</w:t>
            </w:r>
            <w:r>
              <w:rPr>
                <w:rStyle w:val="VerbatimChar"/>
              </w:rPr>
              <w:t xml:space="preserve">audit_log</w:t>
            </w:r>
            <w:r>
              <w:t xml:space="preserve">)</w:t>
            </w:r>
          </w:p>
        </w:tc>
        <w:tc>
          <w:tcPr/>
          <w:p>
            <w:pPr>
              <w:pStyle w:val="Compact"/>
            </w:pPr>
            <w:r>
              <w:t xml:space="preserve">continuous</w:t>
            </w:r>
          </w:p>
        </w:tc>
        <w:tc>
          <w:tcPr/>
          <w:p>
            <w:pPr>
              <w:pStyle w:val="Compact"/>
            </w:pPr>
            <w:r>
              <w:t xml:space="preserve">append-only export → WORM bucket</w:t>
            </w:r>
          </w:p>
        </w:tc>
        <w:tc>
          <w:tcPr/>
          <w:p>
            <w:pPr>
              <w:pStyle w:val="Compact"/>
            </w:pPr>
            <w:r>
              <w:rPr>
                <w:b/>
                <w:bCs/>
              </w:rPr>
              <w:t xml:space="preserve">≥ 1 year online, ≥ 5 years archive</w:t>
            </w:r>
            <w:r>
              <w:t xml:space="preserve"> </w:t>
            </w:r>
            <w:r>
              <w:t xml:space="preserve">(BOT/PCI Req 10.5)</w:t>
            </w:r>
          </w:p>
        </w:tc>
        <w:tc>
          <w:tcPr/>
          <w:p>
            <w:pPr>
              <w:pStyle w:val="Compact"/>
            </w:pPr>
            <w:r>
              <w:t xml:space="preserve">immutable object store</w:t>
            </w:r>
          </w:p>
        </w:tc>
        <w:tc>
          <w:tcPr/>
          <w:p>
            <w:pPr>
              <w:pStyle w:val="Compact"/>
            </w:pPr>
            <w:r>
              <w:t xml:space="preserve">AES-256</w:t>
            </w:r>
          </w:p>
        </w:tc>
      </w:tr>
      <w:tr>
        <w:tc>
          <w:tcPr/>
          <w:p>
            <w:pPr>
              <w:pStyle w:val="Compact"/>
            </w:pPr>
            <w:r>
              <w:t xml:space="preserve">Config / IaC / secrets metadata</w:t>
            </w:r>
          </w:p>
        </w:tc>
        <w:tc>
          <w:tcPr/>
          <w:p>
            <w:pPr>
              <w:pStyle w:val="Compact"/>
            </w:pPr>
            <w:r>
              <w:t xml:space="preserve">every change (git)</w:t>
            </w:r>
          </w:p>
        </w:tc>
        <w:tc>
          <w:tcPr/>
          <w:p>
            <w:pPr>
              <w:pStyle w:val="Compact"/>
            </w:pPr>
            <w:r>
              <w:t xml:space="preserve">version control + snapshot</w:t>
            </w:r>
          </w:p>
        </w:tc>
        <w:tc>
          <w:tcPr/>
          <w:p>
            <w:pPr>
              <w:pStyle w:val="Compact"/>
            </w:pPr>
            <w:r>
              <w:t xml:space="preserve">per git retention</w:t>
            </w:r>
          </w:p>
        </w:tc>
        <w:tc>
          <w:tcPr/>
          <w:p>
            <w:pPr>
              <w:pStyle w:val="Compact"/>
            </w:pPr>
            <w:r>
              <w:t xml:space="preserve">repo + sealed break-glass</w:t>
            </w:r>
          </w:p>
        </w:tc>
        <w:tc>
          <w:tcPr/>
          <w:p>
            <w:pPr>
              <w:pStyle w:val="Compact"/>
            </w:pPr>
            <w:r>
              <w:t xml:space="preserve">all secrets encrypted</w:t>
            </w:r>
          </w:p>
        </w:tc>
      </w:tr>
      <w:tr>
        <w:tc>
          <w:tcPr/>
          <w:p>
            <w:pPr>
              <w:pStyle w:val="Compact"/>
            </w:pPr>
            <w:r>
              <w:t xml:space="preserve">HSM key material</w:t>
            </w:r>
          </w:p>
        </w:tc>
        <w:tc>
          <w:tcPr/>
          <w:p>
            <w:pPr>
              <w:pStyle w:val="Compact"/>
            </w:pPr>
            <w:r>
              <w:t xml:space="preserve">per vendor</w:t>
            </w:r>
          </w:p>
        </w:tc>
        <w:tc>
          <w:tcPr/>
          <w:p>
            <w:pPr>
              <w:pStyle w:val="Compact"/>
            </w:pPr>
            <w:r>
              <w:t xml:space="preserve">secure key backup (dual control, split knowledge)</w:t>
            </w:r>
          </w:p>
        </w:tc>
        <w:tc>
          <w:tcPr/>
          <w:p>
            <w:pPr>
              <w:pStyle w:val="Compact"/>
            </w:pPr>
            <w:r>
              <w:t xml:space="preserve">key lifetime</w:t>
            </w:r>
          </w:p>
        </w:tc>
        <w:tc>
          <w:tcPr/>
          <w:p>
            <w:pPr>
              <w:pStyle w:val="Compact"/>
            </w:pPr>
            <w:r>
              <w:t xml:space="preserve">vault / paired HSM</w:t>
            </w:r>
          </w:p>
        </w:tc>
        <w:tc>
          <w:tcPr/>
          <w:p>
            <w:pPr>
              <w:pStyle w:val="Compact"/>
            </w:pPr>
            <w:r>
              <w:t xml:space="preserve">per PCI Req 3</w:t>
            </w:r>
          </w:p>
        </w:tc>
      </w:tr>
    </w:tbl>
    <w:p>
      <w:pPr>
        <w:pStyle w:val="BodyText"/>
      </w:pPr>
      <w:r>
        <w:rPr>
          <w:b/>
          <w:bCs/>
        </w:rPr>
        <w:t xml:space="preserve">Key policies</w:t>
      </w:r>
      <w:r>
        <w:t xml:space="preserve"> </w:t>
      </w:r>
      <w:r>
        <w:t xml:space="preserve">-</w:t>
      </w:r>
      <w:r>
        <w:t xml:space="preserve"> </w:t>
      </w:r>
      <w:r>
        <w:rPr>
          <w:b/>
          <w:bCs/>
        </w:rPr>
        <w:t xml:space="preserve">3-2-1 rule:</w:t>
      </w:r>
      <w:r>
        <w:t xml:space="preserve"> </w:t>
      </w:r>
      <w:r>
        <w:t xml:space="preserve">at least 3 copies, 2 media/AZ, 1 offline/immutable — but</w:t>
      </w:r>
      <w:r>
        <w:t xml:space="preserve"> </w:t>
      </w:r>
      <w:r>
        <w:rPr>
          <w:b/>
          <w:bCs/>
        </w:rPr>
        <w:t xml:space="preserve">all must remain in Thailand</w:t>
      </w:r>
      <w:r>
        <w:t xml:space="preserve">.</w:t>
      </w:r>
      <w:r>
        <w:t xml:space="preserve"> </w:t>
      </w:r>
      <w:r>
        <w:t xml:space="preserve">-</w:t>
      </w:r>
      <w:r>
        <w:t xml:space="preserve"> </w:t>
      </w:r>
      <w:r>
        <w:rPr>
          <w:b/>
          <w:bCs/>
        </w:rPr>
        <w:t xml:space="preserve">Never back up prohibited data:</w:t>
      </w:r>
      <w:r>
        <w:t xml:space="preserve"> </w:t>
      </w:r>
      <w:r>
        <w:t xml:space="preserve">No full PAN / CVV / PIN / track data — consistent with</w:t>
      </w:r>
      <w:r>
        <w:t xml:space="preserve"> </w:t>
      </w:r>
      <w:r>
        <w:rPr>
          <w:rStyle w:val="VerbatimChar"/>
        </w:rPr>
        <w:t xml:space="preserve">ARCHITECTURE.md</w:t>
      </w:r>
      <w:r>
        <w:t xml:space="preserve"> </w:t>
      </w:r>
      <w:r>
        <w:t xml:space="preserve">§6 (operational DB holds only</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the vault stores PAN only as an encrypted token.</w:t>
      </w:r>
      <w:r>
        <w:t xml:space="preserve"> </w:t>
      </w:r>
      <w:r>
        <w:t xml:space="preserve">-</w:t>
      </w:r>
      <w:r>
        <w:t xml:space="preserve"> </w:t>
      </w:r>
      <w:r>
        <w:rPr>
          <w:b/>
          <w:bCs/>
        </w:rPr>
        <w:t xml:space="preserve">Immutability:</w:t>
      </w:r>
      <w:r>
        <w:t xml:space="preserve"> </w:t>
      </w:r>
      <w:r>
        <w:t xml:space="preserve">Ledger/audit backups are WORM to defend against ransomware and retroactive tampering.</w:t>
      </w:r>
      <w:r>
        <w:t xml:space="preserve"> </w:t>
      </w:r>
      <w:r>
        <w:t xml:space="preserve">-</w:t>
      </w:r>
      <w:r>
        <w:t xml:space="preserve"> </w:t>
      </w:r>
      <w:r>
        <w:rPr>
          <w:b/>
          <w:bCs/>
        </w:rPr>
        <w:t xml:space="preserve">Restore testing:</w:t>
      </w:r>
      <w:r>
        <w:t xml:space="preserve"> </w:t>
      </w:r>
      <w:r>
        <w:t xml:space="preserve">Perform a</w:t>
      </w:r>
      <w:r>
        <w:t xml:space="preserve"> </w:t>
      </w:r>
      <w:r>
        <w:rPr>
          <w:b/>
          <w:bCs/>
        </w:rPr>
        <w:t xml:space="preserve">restore test</w:t>
      </w:r>
      <w:r>
        <w:t xml:space="preserve"> </w:t>
      </w:r>
      <w:r>
        <w:t xml:space="preserve">at least monthly (partial) and quarterly (full), recording</w:t>
      </w:r>
      <w:r>
        <w:t xml:space="preserve"> </w:t>
      </w:r>
      <w:r>
        <w:t xml:space="preserve">restore duration against RTO.</w:t>
      </w:r>
      <w:r>
        <w:t xml:space="preserve"> </w:t>
      </w:r>
      <w:r>
        <w:t xml:space="preserve">-</w:t>
      </w:r>
      <w:r>
        <w:t xml:space="preserve"> </w:t>
      </w:r>
      <w:r>
        <w:rPr>
          <w:b/>
          <w:bCs/>
        </w:rPr>
        <w:t xml:space="preserve">Backup key management:</w:t>
      </w:r>
      <w:r>
        <w:t xml:space="preserve"> </w:t>
      </w:r>
      <w:r>
        <w:t xml:space="preserve">Backup encryption keys are separate from production keys, rotated on schedule,</w:t>
      </w:r>
      <w:r>
        <w:t xml:space="preserve"> </w:t>
      </w:r>
      <w:r>
        <w:t xml:space="preserve">under dual control (PCI Req 3).</w:t>
      </w:r>
    </w:p>
    <w:p>
      <w:r>
        <w:pict>
          <v:rect style="width:0;height:1.5pt" o:hralign="center" o:hrstd="t" o:hr="t"/>
        </w:pict>
      </w:r>
    </w:p>
    <w:bookmarkEnd w:id="539"/>
    <w:bookmarkStart w:id="540" w:name="severity-activation"/>
    <w:p>
      <w:pPr>
        <w:pStyle w:val="Heading2"/>
      </w:pPr>
      <w:r>
        <w:t xml:space="preserve">6. Severity &amp; Activation</w:t>
      </w:r>
    </w:p>
    <w:tbl>
      <w:tblPr>
        <w:tblStyle w:val="Table"/>
        <w:tblW w:type="pct" w:w="5000"/>
        <w:tblLayout w:type="fixed"/>
        <w:tblLook w:firstRow="1" w:lastRow="0" w:firstColumn="0" w:lastColumn="0" w:noHBand="0" w:noVBand="0" w:val="0020"/>
      </w:tblPr>
      <w:tblGrid>
        <w:gridCol w:w="908"/>
        <w:gridCol w:w="1428"/>
        <w:gridCol w:w="1168"/>
        <w:gridCol w:w="1687"/>
        <w:gridCol w:w="2726"/>
      </w:tblGrid>
      <w:tr>
        <w:trPr>
          <w:tblHeader w:val="on"/>
        </w:trPr>
        <w:tc>
          <w:tcPr/>
          <w:p>
            <w:pPr>
              <w:pStyle w:val="Compact"/>
            </w:pPr>
            <w:r>
              <w:t xml:space="preserve">Level</w:t>
            </w:r>
          </w:p>
        </w:tc>
        <w:tc>
          <w:tcPr/>
          <w:p>
            <w:pPr>
              <w:pStyle w:val="Compact"/>
            </w:pPr>
            <w:r>
              <w:t xml:space="preserve">Definition</w:t>
            </w:r>
          </w:p>
        </w:tc>
        <w:tc>
          <w:tcPr/>
          <w:p>
            <w:pPr>
              <w:pStyle w:val="Compact"/>
            </w:pPr>
            <w:r>
              <w:t xml:space="preserve">Example</w:t>
            </w:r>
          </w:p>
        </w:tc>
        <w:tc>
          <w:tcPr/>
          <w:p>
            <w:pPr>
              <w:pStyle w:val="Compact"/>
            </w:pPr>
            <w:r>
              <w:t xml:space="preserve">Declared by</w:t>
            </w:r>
          </w:p>
        </w:tc>
        <w:tc>
          <w:tcPr/>
          <w:p>
            <w:pPr>
              <w:pStyle w:val="Compact"/>
            </w:pPr>
            <w:r>
              <w:t xml:space="preserve">Notification target</w:t>
            </w:r>
          </w:p>
        </w:tc>
      </w:tr>
      <w:tr>
        <w:tc>
          <w:tcPr/>
          <w:p>
            <w:pPr>
              <w:pStyle w:val="Compact"/>
            </w:pPr>
            <w:r>
              <w:rPr>
                <w:b/>
                <w:bCs/>
              </w:rPr>
              <w:t xml:space="preserve">SEV-1</w:t>
            </w:r>
          </w:p>
        </w:tc>
        <w:tc>
          <w:tcPr/>
          <w:p>
            <w:pPr>
              <w:pStyle w:val="Compact"/>
            </w:pPr>
            <w:r>
              <w:t xml:space="preserve">Tier 0 down, or data at risk of loss/leak</w:t>
            </w:r>
          </w:p>
        </w:tc>
        <w:tc>
          <w:tcPr/>
          <w:p>
            <w:pPr>
              <w:pStyle w:val="Compact"/>
            </w:pPr>
            <w:r>
              <w:t xml:space="preserve">payment core down, DB primary loss, suspected breach</w:t>
            </w:r>
          </w:p>
        </w:tc>
        <w:tc>
          <w:tcPr/>
          <w:p>
            <w:pPr>
              <w:pStyle w:val="Compact"/>
            </w:pPr>
            <w:r>
              <w:t xml:space="preserve">Crisis Manager (informs CEO)</w:t>
            </w:r>
          </w:p>
        </w:tc>
        <w:tc>
          <w:tcPr/>
          <w:p>
            <w:pPr>
              <w:pStyle w:val="Compact"/>
            </w:pPr>
            <w:r>
              <w:t xml:space="preserve">&lt; 15 min</w:t>
            </w:r>
          </w:p>
        </w:tc>
      </w:tr>
      <w:tr>
        <w:tc>
          <w:tcPr/>
          <w:p>
            <w:pPr>
              <w:pStyle w:val="Compact"/>
            </w:pPr>
            <w:r>
              <w:rPr>
                <w:b/>
                <w:bCs/>
              </w:rPr>
              <w:t xml:space="preserve">SEV-2</w:t>
            </w:r>
          </w:p>
        </w:tc>
        <w:tc>
          <w:tcPr/>
          <w:p>
            <w:pPr>
              <w:pStyle w:val="Compact"/>
            </w:pPr>
            <w:r>
              <w:t xml:space="preserve">Severely degraded core service</w:t>
            </w:r>
          </w:p>
        </w:tc>
        <w:tc>
          <w:tcPr/>
          <w:p>
            <w:pPr>
              <w:pStyle w:val="Compact"/>
            </w:pPr>
            <w:r>
              <w:t xml:space="preserve">latency spike, high error rate, single AZ down</w:t>
            </w:r>
          </w:p>
        </w:tc>
        <w:tc>
          <w:tcPr/>
          <w:p>
            <w:pPr>
              <w:pStyle w:val="Compact"/>
            </w:pPr>
            <w:r>
              <w:t xml:space="preserve">SRE Lead / on-call</w:t>
            </w:r>
          </w:p>
        </w:tc>
        <w:tc>
          <w:tcPr/>
          <w:p>
            <w:pPr>
              <w:pStyle w:val="Compact"/>
            </w:pPr>
            <w:r>
              <w:t xml:space="preserve">&lt; 30 min</w:t>
            </w:r>
          </w:p>
        </w:tc>
      </w:tr>
      <w:tr>
        <w:tc>
          <w:tcPr/>
          <w:p>
            <w:pPr>
              <w:pStyle w:val="Compact"/>
            </w:pPr>
            <w:r>
              <w:rPr>
                <w:b/>
                <w:bCs/>
              </w:rPr>
              <w:t xml:space="preserve">SEV-3</w:t>
            </w:r>
          </w:p>
        </w:tc>
        <w:tc>
          <w:tcPr/>
          <w:p>
            <w:pPr>
              <w:pStyle w:val="Compact"/>
            </w:pPr>
            <w:r>
              <w:t xml:space="preserve">Limited event, no direct transaction impact</w:t>
            </w:r>
          </w:p>
        </w:tc>
        <w:tc>
          <w:tcPr/>
          <w:p>
            <w:pPr>
              <w:pStyle w:val="Compact"/>
            </w:pPr>
            <w:r>
              <w:t xml:space="preserve">slow dashboard, non-critical worker down</w:t>
            </w:r>
          </w:p>
        </w:tc>
        <w:tc>
          <w:tcPr/>
          <w:p>
            <w:pPr>
              <w:pStyle w:val="Compact"/>
            </w:pPr>
            <w:r>
              <w:t xml:space="preserve">on-call</w:t>
            </w:r>
          </w:p>
        </w:tc>
        <w:tc>
          <w:tcPr/>
          <w:p>
            <w:pPr>
              <w:pStyle w:val="Compact"/>
            </w:pPr>
            <w:r>
              <w:t xml:space="preserve">&lt; 1 h</w:t>
            </w:r>
          </w:p>
        </w:tc>
      </w:tr>
    </w:tbl>
    <w:p>
      <w:pPr>
        <w:pStyle w:val="BodyText"/>
      </w:pPr>
      <w:r>
        <w:rPr>
          <w:b/>
          <w:bCs/>
        </w:rPr>
        <w:t xml:space="preserve">Automated triggers (example alerting thresholds):</w:t>
      </w:r>
      <w:r>
        <w:t xml:space="preserve"> </w:t>
      </w:r>
      <w:r>
        <w:t xml:space="preserve">- Authorization success rate &lt; 98% sustained 5 min → page on-call (SEV-2)</w:t>
      </w:r>
      <w:r>
        <w:t xml:space="preserve"> </w:t>
      </w:r>
      <w:r>
        <w:t xml:space="preserve">- p99 auth latency &gt; 800 ms sustained 10 min → SEV-2</w:t>
      </w:r>
      <w:r>
        <w:t xml:space="preserve"> </w:t>
      </w:r>
      <w:r>
        <w:t xml:space="preserve">- DB replication lag &gt; 5 min → SEV-2; &gt; 15 min → SEV-1</w:t>
      </w:r>
      <w:r>
        <w:t xml:space="preserve"> </w:t>
      </w:r>
      <w:r>
        <w:t xml:space="preserve">- Primary DB heartbeat lost &gt; 60 s → consider (semi-)automated failover (SEV-1)</w:t>
      </w:r>
      <w:r>
        <w:t xml:space="preserve"> </w:t>
      </w:r>
      <w:r>
        <w:t xml:space="preserve">- Any ledger write failure → immediate SEV-1 (fail closed)</w:t>
      </w:r>
    </w:p>
    <w:p>
      <w:r>
        <w:pict>
          <v:rect style="width:0;height:1.5pt" o:hralign="center" o:hrstd="t" o:hr="t"/>
        </w:pict>
      </w:r>
    </w:p>
    <w:bookmarkEnd w:id="540"/>
    <w:bookmarkStart w:id="545" w:name="recovery-procedures-runbooks-summary"/>
    <w:p>
      <w:pPr>
        <w:pStyle w:val="Heading2"/>
      </w:pPr>
      <w:r>
        <w:t xml:space="preserve">7. Recovery Procedures (Runbooks — summary)</w:t>
      </w:r>
    </w:p>
    <w:bookmarkStart w:id="541" w:name="database-failover-db-primary-loss-sev-1"/>
    <w:p>
      <w:pPr>
        <w:pStyle w:val="Heading3"/>
      </w:pPr>
      <w:r>
        <w:t xml:space="preserve">7.1 Database failover (DB primary loss — SEV-1)</w:t>
      </w:r>
    </w:p>
    <w:p>
      <w:pPr>
        <w:pStyle w:val="Compact"/>
        <w:numPr>
          <w:ilvl w:val="0"/>
          <w:numId w:val="1219"/>
        </w:numPr>
      </w:pPr>
      <w:r>
        <w:t xml:space="preserve">Alert fires → on-call confirms within 5 min; Crisis Manager declares SEV-1.</w:t>
      </w:r>
    </w:p>
    <w:p>
      <w:pPr>
        <w:pStyle w:val="Compact"/>
        <w:numPr>
          <w:ilvl w:val="0"/>
          <w:numId w:val="1219"/>
        </w:numPr>
      </w:pPr>
      <w:r>
        <w:t xml:space="preserve">Check latest replica lag (confirm the resulting RPO); for ledger/vault, confirm synchronous standby is caught up.</w:t>
      </w:r>
    </w:p>
    <w:p>
      <w:pPr>
        <w:pStyle w:val="Compact"/>
        <w:numPr>
          <w:ilvl w:val="0"/>
          <w:numId w:val="1219"/>
        </w:numPr>
      </w:pPr>
      <w:r>
        <w:t xml:space="preserve">Stop write traffic (fence the old primary to prevent split-brain).</w:t>
      </w:r>
    </w:p>
    <w:p>
      <w:pPr>
        <w:pStyle w:val="Compact"/>
        <w:numPr>
          <w:ilvl w:val="0"/>
          <w:numId w:val="1219"/>
        </w:numPr>
      </w:pPr>
      <w:r>
        <w:rPr>
          <w:b/>
          <w:bCs/>
        </w:rPr>
        <w:t xml:space="preserve">Promote the standby</w:t>
      </w:r>
      <w:r>
        <w:t xml:space="preserve"> </w:t>
      </w:r>
      <w:r>
        <w:t xml:space="preserve">to primary; update service discovery / connection strings.</w:t>
      </w:r>
    </w:p>
    <w:p>
      <w:pPr>
        <w:pStyle w:val="Compact"/>
        <w:numPr>
          <w:ilvl w:val="0"/>
          <w:numId w:val="1219"/>
        </w:numPr>
      </w:pPr>
      <w:r>
        <w:t xml:space="preserve">Redirect API to the new primary; run health + smoke tests (small canary of real authorizations).</w:t>
      </w:r>
    </w:p>
    <w:p>
      <w:pPr>
        <w:pStyle w:val="Compact"/>
        <w:numPr>
          <w:ilvl w:val="0"/>
          <w:numId w:val="1219"/>
        </w:numPr>
      </w:pPr>
      <w:r>
        <w:t xml:space="preserve">Reopen full traffic; declare recovery; log timings (measure actual RTO/RPO).</w:t>
      </w:r>
    </w:p>
    <w:p>
      <w:pPr>
        <w:pStyle w:val="Compact"/>
        <w:numPr>
          <w:ilvl w:val="0"/>
          <w:numId w:val="1219"/>
        </w:numPr>
      </w:pPr>
      <w:r>
        <w:t xml:space="preserve">Provision a replacement standby; run reconciliation over the cutover window.</w:t>
      </w:r>
    </w:p>
    <w:bookmarkEnd w:id="541"/>
    <w:bookmarkStart w:id="542" w:name="regionsite-dr-loss-of-primary-site-sev-1"/>
    <w:p>
      <w:pPr>
        <w:pStyle w:val="Heading3"/>
      </w:pPr>
      <w:r>
        <w:t xml:space="preserve">7.2 Region/Site DR (loss of primary site — SEV-1)</w:t>
      </w:r>
    </w:p>
    <w:p>
      <w:pPr>
        <w:pStyle w:val="Compact"/>
        <w:numPr>
          <w:ilvl w:val="0"/>
          <w:numId w:val="1220"/>
        </w:numPr>
      </w:pPr>
      <w:r>
        <w:t xml:space="preserve">Crisis Manager declares DR invocation (joint CEO/CTO decision).</w:t>
      </w:r>
    </w:p>
    <w:p>
      <w:pPr>
        <w:pStyle w:val="Compact"/>
        <w:numPr>
          <w:ilvl w:val="0"/>
          <w:numId w:val="1220"/>
        </w:numPr>
      </w:pPr>
      <w:r>
        <w:t xml:space="preserve">DR Coordinator runs the DR-site promotion runbook (DB, vault, HSM partition, services).</w:t>
      </w:r>
    </w:p>
    <w:p>
      <w:pPr>
        <w:pStyle w:val="Compact"/>
        <w:numPr>
          <w:ilvl w:val="0"/>
          <w:numId w:val="1220"/>
        </w:numPr>
      </w:pPr>
      <w:r>
        <w:t xml:space="preserve">Switch DNS/traffic to DR (pre-set low TTL); verify segmentation/WAF/mTLS at DR match production.</w:t>
      </w:r>
    </w:p>
    <w:p>
      <w:pPr>
        <w:pStyle w:val="Compact"/>
        <w:numPr>
          <w:ilvl w:val="0"/>
          <w:numId w:val="1220"/>
        </w:numPr>
      </w:pPr>
      <w:r>
        <w:t xml:space="preserve">Verify external links (acquirer/3DS) at DR; switch to backup endpoints if needed.</w:t>
      </w:r>
    </w:p>
    <w:p>
      <w:pPr>
        <w:pStyle w:val="Compact"/>
        <w:numPr>
          <w:ilvl w:val="0"/>
          <w:numId w:val="1220"/>
        </w:numPr>
      </w:pPr>
      <w:r>
        <w:t xml:space="preserve">End-to-end smoke test; reopen traffic; comms to merchants + status page.</w:t>
      </w:r>
    </w:p>
    <w:p>
      <w:pPr>
        <w:pStyle w:val="Compact"/>
        <w:numPr>
          <w:ilvl w:val="0"/>
          <w:numId w:val="1220"/>
        </w:numPr>
      </w:pPr>
      <w:r>
        <w:t xml:space="preserve">Compliance Liaison prepares BOT report (and PDPC/AMLO if criteria are met).</w:t>
      </w:r>
    </w:p>
    <w:bookmarkEnd w:id="542"/>
    <w:bookmarkStart w:id="543" w:name="cyber-incident-ransomware-sev-1-1"/>
    <w:p>
      <w:pPr>
        <w:pStyle w:val="Heading3"/>
      </w:pPr>
      <w:r>
        <w:t xml:space="preserve">7.3 Cyber incident / Ransomware (SEV-1)</w:t>
      </w:r>
    </w:p>
    <w:p>
      <w:pPr>
        <w:pStyle w:val="Compact"/>
        <w:numPr>
          <w:ilvl w:val="0"/>
          <w:numId w:val="1221"/>
        </w:numPr>
      </w:pPr>
      <w:r>
        <w:rPr>
          <w:b/>
          <w:bCs/>
        </w:rPr>
        <w:t xml:space="preserve">Containment first</w:t>
      </w:r>
      <w:r>
        <w:t xml:space="preserve"> </w:t>
      </w:r>
      <w:r>
        <w:t xml:space="preserve">— isolate affected systems, revoke credentials, rotate at-risk keys.</w:t>
      </w:r>
    </w:p>
    <w:p>
      <w:pPr>
        <w:pStyle w:val="Compact"/>
        <w:numPr>
          <w:ilvl w:val="0"/>
          <w:numId w:val="1221"/>
        </w:numPr>
      </w:pPr>
      <w:r>
        <w:t xml:space="preserve">Preserve evidence (forensic images, logs) — do not delete; engage Security Lead/QSA.</w:t>
      </w:r>
    </w:p>
    <w:p>
      <w:pPr>
        <w:pStyle w:val="Compact"/>
        <w:numPr>
          <w:ilvl w:val="0"/>
          <w:numId w:val="1221"/>
        </w:numPr>
      </w:pPr>
      <w:r>
        <w:t xml:space="preserve">Restore from</w:t>
      </w:r>
      <w:r>
        <w:t xml:space="preserve"> </w:t>
      </w:r>
      <w:r>
        <w:rPr>
          <w:b/>
          <w:bCs/>
        </w:rPr>
        <w:t xml:space="preserve">immutable/clean backups</w:t>
      </w:r>
      <w:r>
        <w:t xml:space="preserve"> </w:t>
      </w:r>
      <w:r>
        <w:t xml:space="preserve">verified uncontaminated (WORM).</w:t>
      </w:r>
    </w:p>
    <w:p>
      <w:pPr>
        <w:pStyle w:val="Compact"/>
        <w:numPr>
          <w:ilvl w:val="0"/>
          <w:numId w:val="1221"/>
        </w:numPr>
      </w:pPr>
      <w:r>
        <w:t xml:space="preserve">Assess personal-data exposure → PDPA breach notification (see §9).</w:t>
      </w:r>
    </w:p>
    <w:p>
      <w:pPr>
        <w:pStyle w:val="Compact"/>
        <w:numPr>
          <w:ilvl w:val="0"/>
          <w:numId w:val="1221"/>
        </w:numPr>
      </w:pPr>
      <w:r>
        <w:t xml:space="preserve">Post-incident: root cause, remediation, review PCI Req 12.10.</w:t>
      </w:r>
    </w:p>
    <w:bookmarkEnd w:id="543"/>
    <w:bookmarkStart w:id="544" w:name="failback-1"/>
    <w:p>
      <w:pPr>
        <w:pStyle w:val="Heading3"/>
      </w:pPr>
      <w:r>
        <w:t xml:space="preserve">7.4 Failback</w:t>
      </w:r>
    </w:p>
    <w:p>
      <w:pPr>
        <w:pStyle w:val="Compact"/>
        <w:numPr>
          <w:ilvl w:val="0"/>
          <w:numId w:val="1222"/>
        </w:numPr>
      </w:pPr>
      <w:r>
        <w:t xml:space="preserve">Return to the primary site only when stable and fully replicated; perform off-peak as a controlled cutover,</w:t>
      </w:r>
      <w:r>
        <w:t xml:space="preserve"> </w:t>
      </w:r>
      <w:r>
        <w:t xml:space="preserve">always closing the window with reconciliation.</w:t>
      </w:r>
    </w:p>
    <w:p>
      <w:r>
        <w:pict>
          <v:rect style="width:0;height:1.5pt" o:hralign="center" o:hrstd="t" o:hr="t"/>
        </w:pict>
      </w:r>
    </w:p>
    <w:bookmarkEnd w:id="544"/>
    <w:bookmarkEnd w:id="545"/>
    <w:bookmarkStart w:id="546" w:name="dr-drills-testing"/>
    <w:p>
      <w:pPr>
        <w:pStyle w:val="Heading2"/>
      </w:pPr>
      <w:r>
        <w:t xml:space="preserve">8. DR Drills / Testing</w:t>
      </w:r>
    </w:p>
    <w:tbl>
      <w:tblPr>
        <w:tblStyle w:val="Table"/>
        <w:tblW w:type="pct" w:w="5000"/>
        <w:tblLayout w:type="fixed"/>
        <w:tblLook w:firstRow="1" w:lastRow="0" w:firstColumn="0" w:lastColumn="0" w:noHBand="0" w:noVBand="0" w:val="0020"/>
      </w:tblPr>
      <w:tblGrid>
        <w:gridCol w:w="1643"/>
        <w:gridCol w:w="1643"/>
        <w:gridCol w:w="2390"/>
        <w:gridCol w:w="2241"/>
      </w:tblGrid>
      <w:tr>
        <w:trPr>
          <w:tblHeader w:val="on"/>
        </w:trPr>
        <w:tc>
          <w:tcPr/>
          <w:p>
            <w:pPr>
              <w:pStyle w:val="Compact"/>
            </w:pPr>
            <w:r>
              <w:t xml:space="preserve">Test type</w:t>
            </w:r>
          </w:p>
        </w:tc>
        <w:tc>
          <w:tcPr/>
          <w:p>
            <w:pPr>
              <w:pStyle w:val="Compact"/>
            </w:pPr>
            <w:r>
              <w:t xml:space="preserve">Frequency</w:t>
            </w:r>
          </w:p>
        </w:tc>
        <w:tc>
          <w:tcPr/>
          <w:p>
            <w:pPr>
              <w:pStyle w:val="Compact"/>
            </w:pPr>
            <w:r>
              <w:t xml:space="preserve">What is tested</w:t>
            </w:r>
          </w:p>
        </w:tc>
        <w:tc>
          <w:tcPr/>
          <w:p>
            <w:pPr>
              <w:pStyle w:val="Compact"/>
            </w:pPr>
            <w:r>
              <w:t xml:space="preserve">Pass criteria</w:t>
            </w:r>
          </w:p>
        </w:tc>
      </w:tr>
      <w:tr>
        <w:tc>
          <w:tcPr/>
          <w:p>
            <w:pPr>
              <w:pStyle w:val="Compact"/>
            </w:pPr>
            <w:r>
              <w:rPr>
                <w:b/>
                <w:bCs/>
              </w:rPr>
              <w:t xml:space="preserve">Tabletop exercise</w:t>
            </w:r>
          </w:p>
        </w:tc>
        <w:tc>
          <w:tcPr/>
          <w:p>
            <w:pPr>
              <w:pStyle w:val="Compact"/>
            </w:pPr>
            <w:r>
              <w:t xml:space="preserve">quarterly</w:t>
            </w:r>
          </w:p>
        </w:tc>
        <w:tc>
          <w:tcPr/>
          <w:p>
            <w:pPr>
              <w:pStyle w:val="Compact"/>
            </w:pPr>
            <w:r>
              <w:t xml:space="preserve">Team handling of a simulated SEV-1, call tree, decision-making</w:t>
            </w:r>
          </w:p>
        </w:tc>
        <w:tc>
          <w:tcPr/>
          <w:p>
            <w:pPr>
              <w:pStyle w:val="Compact"/>
            </w:pPr>
            <w:r>
              <w:t xml:space="preserve">All roles know duties; gaps logged</w:t>
            </w:r>
          </w:p>
        </w:tc>
      </w:tr>
      <w:tr>
        <w:tc>
          <w:tcPr/>
          <w:p>
            <w:pPr>
              <w:pStyle w:val="Compact"/>
            </w:pPr>
            <w:r>
              <w:rPr>
                <w:b/>
                <w:bCs/>
              </w:rPr>
              <w:t xml:space="preserve">Backup restore test</w:t>
            </w:r>
          </w:p>
        </w:tc>
        <w:tc>
          <w:tcPr/>
          <w:p>
            <w:pPr>
              <w:pStyle w:val="Compact"/>
            </w:pPr>
            <w:r>
              <w:t xml:space="preserve">monthly (partial), quarterly (full)</w:t>
            </w:r>
          </w:p>
        </w:tc>
        <w:tc>
          <w:tcPr/>
          <w:p>
            <w:pPr>
              <w:pStyle w:val="Compact"/>
            </w:pPr>
            <w:r>
              <w:t xml:space="preserve">Restore DB/ledger from backup + integrity check</w:t>
            </w:r>
          </w:p>
        </w:tc>
        <w:tc>
          <w:tcPr/>
          <w:p>
            <w:pPr>
              <w:pStyle w:val="Compact"/>
            </w:pPr>
            <w:r>
              <w:t xml:space="preserve">Restore within RTO; data matches</w:t>
            </w:r>
          </w:p>
        </w:tc>
      </w:tr>
      <w:tr>
        <w:tc>
          <w:tcPr/>
          <w:p>
            <w:pPr>
              <w:pStyle w:val="Compact"/>
            </w:pPr>
            <w:r>
              <w:rPr>
                <w:b/>
                <w:bCs/>
              </w:rPr>
              <w:t xml:space="preserve">DB failover drill</w:t>
            </w:r>
          </w:p>
        </w:tc>
        <w:tc>
          <w:tcPr/>
          <w:p>
            <w:pPr>
              <w:pStyle w:val="Compact"/>
            </w:pPr>
            <w:r>
              <w:t xml:space="preserve">quarterly</w:t>
            </w:r>
          </w:p>
        </w:tc>
        <w:tc>
          <w:tcPr/>
          <w:p>
            <w:pPr>
              <w:pStyle w:val="Compact"/>
            </w:pPr>
            <w:r>
              <w:t xml:space="preserve">Real standby promotion in staging / controlled in prod</w:t>
            </w:r>
          </w:p>
        </w:tc>
        <w:tc>
          <w:tcPr/>
          <w:p>
            <w:pPr>
              <w:pStyle w:val="Compact"/>
            </w:pPr>
            <w:r>
              <w:t xml:space="preserve">RTO ≤ 30 min, RPO on target, no data loss</w:t>
            </w:r>
          </w:p>
        </w:tc>
      </w:tr>
      <w:tr>
        <w:tc>
          <w:tcPr/>
          <w:p>
            <w:pPr>
              <w:pStyle w:val="Compact"/>
            </w:pPr>
            <w:r>
              <w:rPr>
                <w:b/>
                <w:bCs/>
              </w:rPr>
              <w:t xml:space="preserve">Full DR failover (site)</w:t>
            </w:r>
          </w:p>
        </w:tc>
        <w:tc>
          <w:tcPr/>
          <w:p>
            <w:pPr>
              <w:pStyle w:val="Compact"/>
            </w:pPr>
            <w:r>
              <w:rPr>
                <w:b/>
                <w:bCs/>
              </w:rPr>
              <w:t xml:space="preserve">at least annually</w:t>
            </w:r>
            <w:r>
              <w:t xml:space="preserve"> </w:t>
            </w:r>
            <w:r>
              <w:t xml:space="preserve">(plus one before go-live in Phase 4)</w:t>
            </w:r>
          </w:p>
        </w:tc>
        <w:tc>
          <w:tcPr/>
          <w:p>
            <w:pPr>
              <w:pStyle w:val="Compact"/>
            </w:pPr>
            <w:r>
              <w:t xml:space="preserve">Full workload shift to DR site</w:t>
            </w:r>
          </w:p>
        </w:tc>
        <w:tc>
          <w:tcPr/>
          <w:p>
            <w:pPr>
              <w:pStyle w:val="Compact"/>
            </w:pPr>
            <w:r>
              <w:t xml:space="preserve">Meets Tier 0 RTO/RPO; smoke tests pass</w:t>
            </w:r>
          </w:p>
        </w:tc>
      </w:tr>
      <w:tr>
        <w:tc>
          <w:tcPr/>
          <w:p>
            <w:pPr>
              <w:pStyle w:val="Compact"/>
            </w:pPr>
            <w:r>
              <w:rPr>
                <w:b/>
                <w:bCs/>
              </w:rPr>
              <w:t xml:space="preserve">Chaos/component failure</w:t>
            </w:r>
          </w:p>
        </w:tc>
        <w:tc>
          <w:tcPr/>
          <w:p>
            <w:pPr>
              <w:pStyle w:val="Compact"/>
            </w:pPr>
            <w:r>
              <w:t xml:space="preserve">semi-annually</w:t>
            </w:r>
          </w:p>
        </w:tc>
        <w:tc>
          <w:tcPr/>
          <w:p>
            <w:pPr>
              <w:pStyle w:val="Compact"/>
            </w:pPr>
            <w:r>
              <w:t xml:space="preserve">Randomly kill AZ/instance/dependency</w:t>
            </w:r>
          </w:p>
        </w:tc>
        <w:tc>
          <w:tcPr/>
          <w:p>
            <w:pPr>
              <w:pStyle w:val="Compact"/>
            </w:pPr>
            <w:r>
              <w:t xml:space="preserve">System self-heals; no transaction impact</w:t>
            </w:r>
          </w:p>
        </w:tc>
      </w:tr>
      <w:tr>
        <w:tc>
          <w:tcPr/>
          <w:p>
            <w:pPr>
              <w:pStyle w:val="Compact"/>
            </w:pPr>
            <w:r>
              <w:rPr>
                <w:b/>
                <w:bCs/>
              </w:rPr>
              <w:t xml:space="preserve">Cyber incident simulation</w:t>
            </w:r>
          </w:p>
        </w:tc>
        <w:tc>
          <w:tcPr/>
          <w:p>
            <w:pPr>
              <w:pStyle w:val="Compact"/>
            </w:pPr>
            <w:r>
              <w:t xml:space="preserve">annually</w:t>
            </w:r>
          </w:p>
        </w:tc>
        <w:tc>
          <w:tcPr/>
          <w:p>
            <w:pPr>
              <w:pStyle w:val="Compact"/>
            </w:pPr>
            <w:r>
              <w:t xml:space="preserve">Simulated ransomware/breach + PDPA/BOT notification</w:t>
            </w:r>
          </w:p>
        </w:tc>
        <w:tc>
          <w:tcPr/>
          <w:p>
            <w:pPr>
              <w:pStyle w:val="Compact"/>
            </w:pPr>
            <w:r>
              <w:t xml:space="preserve">Containment + reporting within target time</w:t>
            </w:r>
          </w:p>
        </w:tc>
      </w:tr>
    </w:tbl>
    <w:p>
      <w:pPr>
        <w:pStyle w:val="BodyText"/>
      </w:pPr>
      <w:r>
        <w:rPr>
          <w:b/>
          <w:bCs/>
        </w:rPr>
        <w:t xml:space="preserve">Drill recordkeeping (mandatory for BOT submission and PCI Req 12.10):</w:t>
      </w:r>
      <w:r>
        <w:t xml:space="preserve"> </w:t>
      </w:r>
      <w:r>
        <w:t xml:space="preserve">- Each drill produces an</w:t>
      </w:r>
      <w:r>
        <w:t xml:space="preserve"> </w:t>
      </w:r>
      <w:r>
        <w:rPr>
          <w:b/>
          <w:bCs/>
        </w:rPr>
        <w:t xml:space="preserve">After-Action Report (AAR):</w:t>
      </w:r>
      <w:r>
        <w:t xml:space="preserve"> </w:t>
      </w:r>
      <w:r>
        <w:t xml:space="preserve">date, participants, scenario, measured RTO/RPO vs.</w:t>
      </w:r>
      <w:r>
        <w:t xml:space="preserve"> </w:t>
      </w:r>
      <w:r>
        <w:t xml:space="preserve">target, issues found, action items with owners and due dates.</w:t>
      </w:r>
      <w:r>
        <w:t xml:space="preserve"> </w:t>
      </w:r>
      <w:r>
        <w:t xml:space="preserve">- Review and update the BCP/DR</w:t>
      </w:r>
      <w:r>
        <w:t xml:space="preserve"> </w:t>
      </w:r>
      <w:r>
        <w:rPr>
          <w:b/>
          <w:bCs/>
        </w:rPr>
        <w:t xml:space="preserve">at least annually</w:t>
      </w:r>
      <w:r>
        <w:t xml:space="preserve"> </w:t>
      </w:r>
      <w:r>
        <w:t xml:space="preserve">or upon significant change (architecture, sponsor, provider).</w:t>
      </w:r>
    </w:p>
    <w:p>
      <w:pPr>
        <w:pStyle w:val="BlockText"/>
      </w:pPr>
      <w:r>
        <w:rPr>
          <w:b/>
          <w:bCs/>
        </w:rPr>
        <w:t xml:space="preserve">ROADMAP note:</w:t>
      </w:r>
      <w:r>
        <w:t xml:space="preserve"> </w:t>
      </w:r>
      <w:r>
        <w:t xml:space="preserve">The first DR drill is scheduled in</w:t>
      </w:r>
      <w:r>
        <w:t xml:space="preserve"> </w:t>
      </w:r>
      <w:r>
        <w:rPr>
          <w:b/>
          <w:bCs/>
        </w:rPr>
        <w:t xml:space="preserve">Phase 4 — Certification &amp; Go-live</w:t>
      </w:r>
      <w:r>
        <w:t xml:space="preserve"> </w:t>
      </w:r>
      <w:r>
        <w:t xml:space="preserve">before production</w:t>
      </w:r>
      <w:r>
        <w:t xml:space="preserve"> </w:t>
      </w:r>
      <w:r>
        <w:t xml:space="preserve">cutover (see</w:t>
      </w:r>
      <w:r>
        <w:t xml:space="preserve"> </w:t>
      </w:r>
      <w:r>
        <w:rPr>
          <w:rStyle w:val="VerbatimChar"/>
        </w:rPr>
        <w:t xml:space="preserve">ROADMAP.md</w:t>
      </w:r>
      <w:r>
        <w:t xml:space="preserve">) and is a readiness gate before submission/launch.</w:t>
      </w:r>
    </w:p>
    <w:p>
      <w:r>
        <w:pict>
          <v:rect style="width:0;height:1.5pt" o:hralign="center" o:hrstd="t" o:hr="t"/>
        </w:pict>
      </w:r>
    </w:p>
    <w:bookmarkEnd w:id="546"/>
    <w:bookmarkStart w:id="547" w:name="communication-regulatory-reporting"/>
    <w:p>
      <w:pPr>
        <w:pStyle w:val="Heading2"/>
      </w:pPr>
      <w:r>
        <w:t xml:space="preserve">9. Communication &amp; Regulatory Reporting</w:t>
      </w:r>
    </w:p>
    <w:tbl>
      <w:tblPr>
        <w:tblStyle w:val="Table"/>
        <w:tblW w:type="pct" w:w="5000"/>
        <w:tblLayout w:type="fixed"/>
        <w:tblLook w:firstRow="1" w:lastRow="0" w:firstColumn="0" w:lastColumn="0" w:noHBand="0" w:noVBand="0" w:val="0020"/>
      </w:tblPr>
      <w:tblGrid>
        <w:gridCol w:w="3630"/>
        <w:gridCol w:w="1980"/>
        <w:gridCol w:w="2310"/>
      </w:tblGrid>
      <w:tr>
        <w:trPr>
          <w:tblHeader w:val="on"/>
        </w:trPr>
        <w:tc>
          <w:tcPr/>
          <w:p>
            <w:pPr>
              <w:pStyle w:val="Compact"/>
            </w:pPr>
            <w:r>
              <w:t xml:space="preserve">Recipient</w:t>
            </w:r>
          </w:p>
        </w:tc>
        <w:tc>
          <w:tcPr/>
          <w:p>
            <w:pPr>
              <w:pStyle w:val="Compact"/>
            </w:pPr>
            <w:r>
              <w:t xml:space="preserve">When</w:t>
            </w:r>
          </w:p>
        </w:tc>
        <w:tc>
          <w:tcPr/>
          <w:p>
            <w:pPr>
              <w:pStyle w:val="Compact"/>
            </w:pPr>
            <w:r>
              <w:t xml:space="preserve">Owner</w:t>
            </w:r>
          </w:p>
        </w:tc>
      </w:tr>
      <w:tr>
        <w:tc>
          <w:tcPr/>
          <w:p>
            <w:pPr>
              <w:pStyle w:val="Compact"/>
            </w:pPr>
            <w:r>
              <w:rPr>
                <w:b/>
                <w:bCs/>
              </w:rPr>
              <w:t xml:space="preserve">BOT</w:t>
            </w:r>
          </w:p>
        </w:tc>
        <w:tc>
          <w:tcPr/>
          <w:p>
            <w:pPr>
              <w:pStyle w:val="Compact"/>
            </w:pPr>
            <w:r>
              <w:t xml:space="preserve">Material IT/cyber events affecting service, per BOT rules (prompt initial notice + full report within the prescribed window)</w:t>
            </w:r>
          </w:p>
        </w:tc>
        <w:tc>
          <w:tcPr/>
          <w:p>
            <w:pPr>
              <w:pStyle w:val="Compact"/>
            </w:pPr>
            <w:r>
              <w:t xml:space="preserve">Compliance Liaison</w:t>
            </w:r>
          </w:p>
        </w:tc>
      </w:tr>
      <w:tr>
        <w:tc>
          <w:tcPr/>
          <w:p>
            <w:pPr>
              <w:pStyle w:val="Compact"/>
            </w:pPr>
            <w:r>
              <w:rPr>
                <w:b/>
                <w:bCs/>
              </w:rPr>
              <w:t xml:space="preserve">PDPC</w:t>
            </w:r>
          </w:p>
        </w:tc>
        <w:tc>
          <w:tcPr/>
          <w:p>
            <w:pPr>
              <w:pStyle w:val="Compact"/>
            </w:pPr>
            <w:r>
              <w:t xml:space="preserve">Personal-data breach posing risk to data subjects —</w:t>
            </w:r>
            <w:r>
              <w:t xml:space="preserve"> </w:t>
            </w:r>
            <w:r>
              <w:rPr>
                <w:b/>
                <w:bCs/>
              </w:rPr>
              <w:t xml:space="preserve">within 72 hours</w:t>
            </w:r>
            <w:r>
              <w:t xml:space="preserve"> </w:t>
            </w:r>
            <w:r>
              <w:t xml:space="preserve">per PDPA</w:t>
            </w:r>
          </w:p>
        </w:tc>
        <w:tc>
          <w:tcPr/>
          <w:p>
            <w:pPr>
              <w:pStyle w:val="Compact"/>
            </w:pPr>
            <w:r>
              <w:t xml:space="preserve">DPO / Compliance</w:t>
            </w:r>
          </w:p>
        </w:tc>
      </w:tr>
      <w:tr>
        <w:tc>
          <w:tcPr/>
          <w:p>
            <w:pPr>
              <w:pStyle w:val="Compact"/>
            </w:pPr>
            <w:r>
              <w:rPr>
                <w:b/>
                <w:bCs/>
              </w:rPr>
              <w:t xml:space="preserve">AMLO</w:t>
            </w:r>
          </w:p>
        </w:tc>
        <w:tc>
          <w:tcPr/>
          <w:p>
            <w:pPr>
              <w:pStyle w:val="Compact"/>
            </w:pPr>
            <w:r>
              <w:t xml:space="preserve">If the event involves suspicious transactions/related assets</w:t>
            </w:r>
          </w:p>
        </w:tc>
        <w:tc>
          <w:tcPr/>
          <w:p>
            <w:pPr>
              <w:pStyle w:val="Compact"/>
            </w:pPr>
            <w:r>
              <w:t xml:space="preserve">Compliance Liaison</w:t>
            </w:r>
          </w:p>
        </w:tc>
      </w:tr>
      <w:tr>
        <w:tc>
          <w:tcPr/>
          <w:p>
            <w:pPr>
              <w:pStyle w:val="Compact"/>
            </w:pPr>
            <w:r>
              <w:rPr>
                <w:b/>
                <w:bCs/>
              </w:rPr>
              <w:t xml:space="preserve">Card scheme / Sponsor bank</w:t>
            </w:r>
          </w:p>
        </w:tc>
        <w:tc>
          <w:tcPr/>
          <w:p>
            <w:pPr>
              <w:pStyle w:val="Compact"/>
            </w:pPr>
            <w:r>
              <w:t xml:space="preserve">Per contract and scheme rules (e.g., incident/breach notification)</w:t>
            </w:r>
          </w:p>
        </w:tc>
        <w:tc>
          <w:tcPr/>
          <w:p>
            <w:pPr>
              <w:pStyle w:val="Compact"/>
            </w:pPr>
            <w:r>
              <w:t xml:space="preserve">Security Lead</w:t>
            </w:r>
          </w:p>
        </w:tc>
      </w:tr>
      <w:tr>
        <w:tc>
          <w:tcPr/>
          <w:p>
            <w:pPr>
              <w:pStyle w:val="Compact"/>
            </w:pPr>
            <w:r>
              <w:rPr>
                <w:b/>
                <w:bCs/>
              </w:rPr>
              <w:t xml:space="preserve">Merchants / customers</w:t>
            </w:r>
          </w:p>
        </w:tc>
        <w:tc>
          <w:tcPr/>
          <w:p>
            <w:pPr>
              <w:pStyle w:val="Compact"/>
            </w:pPr>
            <w:r>
              <w:t xml:space="preserve">When service is impacted — via status page + email + support</w:t>
            </w:r>
          </w:p>
        </w:tc>
        <w:tc>
          <w:tcPr/>
          <w:p>
            <w:pPr>
              <w:pStyle w:val="Compact"/>
            </w:pPr>
            <w:r>
              <w:t xml:space="preserve">Comms Lead</w:t>
            </w:r>
          </w:p>
        </w:tc>
      </w:tr>
    </w:tbl>
    <w:p>
      <w:pPr>
        <w:pStyle w:val="Compact"/>
        <w:numPr>
          <w:ilvl w:val="0"/>
          <w:numId w:val="1223"/>
        </w:numPr>
      </w:pPr>
      <w:r>
        <w:rPr>
          <w:b/>
          <w:bCs/>
        </w:rPr>
        <w:t xml:space="preserve">Backup channels:</w:t>
      </w:r>
      <w:r>
        <w:t xml:space="preserve"> </w:t>
      </w:r>
      <w:r>
        <w:t xml:space="preserve">A separately-hosted status page, an out-of-band emergency comms group, and an offline call tree.</w:t>
      </w:r>
    </w:p>
    <w:p>
      <w:pPr>
        <w:pStyle w:val="Compact"/>
        <w:numPr>
          <w:ilvl w:val="0"/>
          <w:numId w:val="1223"/>
        </w:numPr>
      </w:pPr>
      <w:r>
        <w:rPr>
          <w:b/>
          <w:bCs/>
        </w:rPr>
        <w:t xml:space="preserve">Message templates:</w:t>
      </w:r>
      <w:r>
        <w:t xml:space="preserve"> </w:t>
      </w:r>
      <w:r>
        <w:t xml:space="preserve">Prepared in advance for SEV-1/SEV-2 to communicate on time.</w:t>
      </w:r>
    </w:p>
    <w:p>
      <w:r>
        <w:pict>
          <v:rect style="width:0;height:1.5pt" o:hralign="center" o:hrstd="t" o:hr="t"/>
        </w:pict>
      </w:r>
    </w:p>
    <w:bookmarkEnd w:id="547"/>
    <w:bookmarkStart w:id="548" w:name="related-documents-review"/>
    <w:p>
      <w:pPr>
        <w:pStyle w:val="Heading2"/>
      </w:pPr>
      <w:r>
        <w:t xml:space="preserve">10. Related Documents &amp; Review</w:t>
      </w:r>
    </w:p>
    <w:p>
      <w:pPr>
        <w:pStyle w:val="Compact"/>
        <w:numPr>
          <w:ilvl w:val="0"/>
          <w:numId w:val="1224"/>
        </w:numPr>
      </w:pPr>
      <w:r>
        <w:t xml:space="preserve">Update this document</w:t>
      </w:r>
      <w:r>
        <w:t xml:space="preserve"> </w:t>
      </w:r>
      <w:r>
        <w:rPr>
          <w:b/>
          <w:bCs/>
        </w:rPr>
        <w:t xml:space="preserve">at least annually</w:t>
      </w:r>
      <w:r>
        <w:t xml:space="preserve"> </w:t>
      </w:r>
      <w:r>
        <w:t xml:space="preserve">and after every SEV-1 / major DR drill (version-controlled in the repo).</w:t>
      </w:r>
    </w:p>
    <w:p>
      <w:pPr>
        <w:pStyle w:val="Compact"/>
        <w:numPr>
          <w:ilvl w:val="0"/>
          <w:numId w:val="1224"/>
        </w:numPr>
      </w:pPr>
      <w:r>
        <w:t xml:space="preserve">Linked documents:</w:t>
      </w:r>
      <w:r>
        <w:t xml:space="preserve"> </w:t>
      </w:r>
      <w:r>
        <w:rPr>
          <w:rStyle w:val="VerbatimChar"/>
        </w:rPr>
        <w:t xml:space="preserve">ARCHITECTURE.md</w:t>
      </w:r>
      <w:r>
        <w:t xml:space="preserve"> </w:t>
      </w:r>
      <w:r>
        <w:t xml:space="preserve">(§7 Security/PCI, §8 NFR),</w:t>
      </w:r>
      <w:r>
        <w:t xml:space="preserve"> </w:t>
      </w:r>
      <w:r>
        <w:rPr>
          <w:rStyle w:val="VerbatimChar"/>
        </w:rPr>
        <w:t xml:space="preserve">ROADMAP.md</w:t>
      </w:r>
      <w:r>
        <w:t xml:space="preserve"> </w:t>
      </w:r>
      <w:r>
        <w:t xml:space="preserve">(Phase 4),</w:t>
      </w:r>
      <w:r>
        <w:t xml:space="preserve"> </w:t>
      </w:r>
      <w:r>
        <w:rPr>
          <w:rStyle w:val="VerbatimChar"/>
        </w:rPr>
        <w:t xml:space="preserve">COMPLIANCE-TH.md</w:t>
      </w:r>
      <w:r>
        <w:t xml:space="preserve">,</w:t>
      </w:r>
      <w:r>
        <w:t xml:space="preserve"> </w:t>
      </w:r>
      <w:r>
        <w:t xml:space="preserve">and the other compliance-set documents (AML/KYC, sanctions, DPA).</w:t>
      </w:r>
    </w:p>
    <w:p>
      <w:r>
        <w:br w:type="page"/>
      </w:r>
    </w:p>
    <w:bookmarkEnd w:id="548"/>
    <w:bookmarkEnd w:id="549"/>
    <w:bookmarkStart w:id="558" w:name="X3432eb0eb5693e1a1c9f94f46e3c7e321b2ec47"/>
    <w:p>
      <w:pPr>
        <w:pStyle w:val="Heading1"/>
      </w:pPr>
      <w:r>
        <w:t xml:space="preserve">แผนตอบสนองเหตุการณ์และการแจ้งเหตุข้อมูลรั่วไหล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(Acquiring Service)</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ทุนจดทะเบียนชำระแล้ว</w:t>
      </w:r>
      <w:r>
        <w:t xml:space="preserve"> </w:t>
      </w:r>
      <w:r>
        <w:rPr>
          <w:b/>
          <w:bCs/>
        </w:rPr>
        <w:t xml:space="preserve">50 ล้านบาท</w:t>
      </w:r>
      <w:r>
        <w:t xml:space="preserve"> </w:t>
      </w:r>
      <w:r>
        <w:t xml:space="preserve">ควบคู่กับมาตรฐาน</w:t>
      </w:r>
      <w:r>
        <w:t xml:space="preserve"> </w:t>
      </w:r>
      <w:r>
        <w:rPr>
          <w:b/>
          <w:bCs/>
        </w:rPr>
        <w:t xml:space="preserve">PCI-DSS v4.0 Level 1</w:t>
      </w:r>
      <w:r>
        <w:t xml:space="preserve"> </w:t>
      </w:r>
      <w:r>
        <w:t xml:space="preserve">(โดยเฉพาะ</w:t>
      </w:r>
      <w:r>
        <w:t xml:space="preserve"> </w:t>
      </w:r>
      <w:r>
        <w:rPr>
          <w:b/>
          <w:bCs/>
        </w:rPr>
        <w:t xml:space="preserve">Requirement 12.10 — Incident Response</w:t>
      </w:r>
      <w:r>
        <w:t xml:space="preserve">) และภาระหน้าที่</w:t>
      </w:r>
      <w:r>
        <w:t xml:space="preserve"> </w:t>
      </w:r>
      <w:r>
        <w:t xml:space="preserve">การแจ้งเหตุตาม</w:t>
      </w:r>
      <w:r>
        <w:t xml:space="preserve"> </w:t>
      </w:r>
      <w:r>
        <w:rPr>
          <w:b/>
          <w:bCs/>
        </w:rPr>
        <w:t xml:space="preserve">พ.ร.บ. คุ้มครองข้อมูลส่วนบุคคล พ.ศ. 2562 (PDPA) มาตรา 37(4)</w:t>
      </w:r>
      <w:r>
        <w:t xml:space="preserve"> </w:t>
      </w:r>
      <w:r>
        <w:t xml:space="preserve">กำกับโดย</w:t>
      </w:r>
      <w:r>
        <w:t xml:space="preserve"> </w:t>
      </w:r>
      <w:r>
        <w:rPr>
          <w:b/>
          <w:bCs/>
        </w:rPr>
        <w:t xml:space="preserve">คณะกรรมการคุ้มครองข้อมูลส่วนบุคคล (PDPC)</w:t>
      </w:r>
    </w:p>
    <w:p>
      <w:pPr>
        <w:pStyle w:val="BlockText"/>
      </w:pPr>
      <w:r>
        <w:t xml:space="preserve">รหัสเอกสาร:</w:t>
      </w:r>
      <w:r>
        <w:t xml:space="preserve"> </w:t>
      </w:r>
      <w:r>
        <w:rPr>
          <w:rStyle w:val="VerbatimChar"/>
        </w:rPr>
        <w:t xml:space="preserve">COMP-16</w:t>
      </w:r>
      <w:r>
        <w:t xml:space="preserve"> </w:t>
      </w:r>
      <w:r>
        <w:t xml:space="preserve">· เวอร์ชัน 0.1 · จัดทำ 2026-07-22 · ทบทวนทุก 12 เดือน (และหลังเหตุการณ์สำคัญทุกครั้ง)</w:t>
      </w:r>
      <w:r>
        <w:t xml:space="preserve"> </w:t>
      </w:r>
      <w:r>
        <w:t xml:space="preserve">เจ้าของเอกสาร:</w:t>
      </w:r>
      <w:r>
        <w:t xml:space="preserve"> </w:t>
      </w:r>
      <w:r>
        <w:rPr>
          <w:b/>
          <w:bCs/>
        </w:rPr>
        <w:t xml:space="preserve">Chief Information Security Officer (CISO)</w:t>
      </w:r>
      <w:r>
        <w:t xml:space="preserve"> </w:t>
      </w:r>
      <w:r>
        <w:t xml:space="preserve">ร่วมกับ</w:t>
      </w:r>
      <w:r>
        <w:t xml:space="preserve"> </w:t>
      </w:r>
      <w:r>
        <w:rPr>
          <w:b/>
          <w:bCs/>
        </w:rPr>
        <w:t xml:space="preserve">Data Protection Officer (DPO)</w:t>
      </w:r>
      <w:r>
        <w:t xml:space="preserve"> </w:t>
      </w:r>
      <w:r>
        <w:t xml:space="preserve">เอกสารที่เกี่ยวข้อง: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./04-org-chart-governance.md</w:t>
      </w:r>
      <w:r>
        <w:t xml:space="preserve">,</w:t>
      </w:r>
      <w:r>
        <w:t xml:space="preserve"> </w:t>
      </w:r>
      <w:r>
        <w:rPr>
          <w:rStyle w:val="VerbatimChar"/>
        </w:rPr>
        <w:t xml:space="preserve">./10-dpa-templates.md</w:t>
      </w:r>
      <w:r>
        <w:t xml:space="preserve">,</w:t>
      </w:r>
      <w:r>
        <w:t xml:space="preserve"> </w:t>
      </w:r>
      <w:r>
        <w:rPr>
          <w:rStyle w:val="VerbatimChar"/>
        </w:rPr>
        <w:t xml:space="preserve">./11-data-retention-deletion.md</w:t>
      </w:r>
      <w:r>
        <w:t xml:space="preserve">,</w:t>
      </w:r>
      <w:r>
        <w:t xml:space="preserve"> </w:t>
      </w:r>
      <w:r>
        <w:rPr>
          <w:rStyle w:val="VerbatimChar"/>
        </w:rPr>
        <w:t xml:space="preserve">./07-sar-str-procedure.md</w:t>
      </w:r>
    </w:p>
    <w:p>
      <w:pPr>
        <w:pStyle w:val="BlockText"/>
      </w:pPr>
      <w:r>
        <w:rPr>
          <w:b/>
          <w:bCs/>
        </w:rPr>
        <w:t xml:space="preserve">ข้อจำกัดความรับผิด:</w:t>
      </w:r>
      <w:r>
        <w:t xml:space="preserve"> </w:t>
      </w:r>
      <w:r>
        <w:t xml:space="preserve">เอกสารนี้เป็นข้อมูลอ้างอิงเชิงโครงสร้าง/ปฏิบัติการ ไม่ใช่คำแนะนำทางกฎหมาย</w:t>
      </w:r>
      <w:r>
        <w:t xml:space="preserve"> </w:t>
      </w:r>
      <w:r>
        <w:t xml:space="preserve">ต้องผ่านการทบทวนโดยที่ปรึกษากฎหมายด้านใบอนุญาต ธปท., ที่ปรึกษา PDPA และ QSA ก่อนยื่นจริง</w:t>
      </w:r>
    </w:p>
    <w:p>
      <w:r>
        <w:pict>
          <v:rect style="width:0;height:1.5pt" o:hralign="center" o:hrstd="t" o:hr="t"/>
        </w:pict>
      </w:r>
    </w:p>
    <w:p>
      <w:pPr>
        <w:pStyle w:val="BlockText"/>
      </w:pPr>
      <w:r>
        <w:t xml:space="preserve">[!IMPORTANT]</w:t>
      </w:r>
      <w:r>
        <w:t xml:space="preserve"> </w:t>
      </w:r>
      <w:r>
        <w:rPr>
          <w:b/>
          <w:bCs/>
        </w:rPr>
        <w:t xml:space="preserve">สมมติฐานและรายการที่ยังไม่สรุป (Assumptions / TODO)</w:t>
      </w:r>
      <w:r>
        <w:t xml:space="preserve"> </w:t>
      </w:r>
      <w:r>
        <w:t xml:space="preserve">— ต้องเติมค่าจริงหรือยืนยันก่อนยื่น ธปท./PDPC และก่อน go-live</w:t>
      </w:r>
    </w:p>
    <w:tbl>
      <w:tblPr>
        <w:tblStyle w:val="Table"/>
        <w:tblW w:type="pct" w:w="5000"/>
        <w:tblLayout w:type="fixed"/>
        <w:tblLook w:firstRow="1" w:lastRow="0" w:firstColumn="0" w:lastColumn="0" w:noHBand="0" w:noVBand="0" w:val="0020"/>
      </w:tblPr>
      <w:tblGrid>
        <w:gridCol w:w="766"/>
        <w:gridCol w:w="2043"/>
        <w:gridCol w:w="1788"/>
        <w:gridCol w:w="3321"/>
      </w:tblGrid>
      <w:tr>
        <w:trPr>
          <w:tblHeader w:val="on"/>
        </w:trPr>
        <w:tc>
          <w:tcPr/>
          <w:p>
            <w:pPr>
              <w:pStyle w:val="Compact"/>
            </w:pPr>
            <w:r>
              <w:t xml:space="preserve">#</w:t>
            </w:r>
          </w:p>
        </w:tc>
        <w:tc>
          <w:tcPr/>
          <w:p>
            <w:pPr>
              <w:pStyle w:val="Compact"/>
            </w:pPr>
            <w:r>
              <w:t xml:space="preserve">รายการ</w:t>
            </w:r>
          </w:p>
        </w:tc>
        <w:tc>
          <w:tcPr/>
          <w:p>
            <w:pPr>
              <w:pStyle w:val="Compact"/>
            </w:pPr>
            <w:r>
              <w:t xml:space="preserve">สถานะ</w:t>
            </w:r>
          </w:p>
        </w:tc>
        <w:tc>
          <w:tcPr/>
          <w:p>
            <w:pPr>
              <w:pStyle w:val="Compact"/>
            </w:pPr>
            <w:r>
              <w:t xml:space="preserve">ผู้รับผิดชอบ</w:t>
            </w:r>
          </w:p>
        </w:tc>
      </w:tr>
      <w:tr>
        <w:tc>
          <w:tcPr/>
          <w:p>
            <w:pPr>
              <w:pStyle w:val="Compact"/>
            </w:pPr>
            <w:r>
              <w:t xml:space="preserve">A1</w:t>
            </w:r>
          </w:p>
        </w:tc>
        <w:tc>
          <w:tcPr/>
          <w:p>
            <w:pPr>
              <w:pStyle w:val="Compact"/>
            </w:pPr>
            <w:r>
              <w:rPr>
                <w:b/>
                <w:bCs/>
              </w:rPr>
              <w:t xml:space="preserve">ชื่อบริษัทจริง</w:t>
            </w:r>
            <w:r>
              <w:t xml:space="preserve"> </w:t>
            </w:r>
            <w:r>
              <w:t xml:space="preserve">— ใช้ placeholder</w:t>
            </w:r>
            <w:r>
              <w:t xml:space="preserve"> </w:t>
            </w:r>
            <w:r>
              <w:rPr>
                <w:rStyle w:val="VerbatimChar"/>
              </w:rPr>
              <w:t xml:space="preserve">[บริษัท / Company]</w:t>
            </w:r>
            <w:r>
              <w:t xml:space="preserve"> </w:t>
            </w:r>
            <w:r>
              <w:t xml:space="preserve">ทั้งเอกสาร</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bank / Acquiring bank</w:t>
            </w:r>
            <w:r>
              <w:t xml:space="preserve"> </w:t>
            </w:r>
            <w:r>
              <w:t xml:space="preserve">— ยังไม่ลงนาม (เส้นทาง B ตาม ROADMAP) มีผลต่อ SLA การแจ้งเหตุ, ADC/PFI process ของ card scheme และช่องทาง escalation</w:t>
            </w:r>
          </w:p>
        </w:tc>
        <w:tc>
          <w:tcPr/>
          <w:p>
            <w:pPr>
              <w:pStyle w:val="Compact"/>
            </w:pPr>
            <w:r>
              <w:t xml:space="preserve">ยังไม่สรุป</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QSA / PFI vendor</w:t>
            </w:r>
            <w:r>
              <w:t xml:space="preserve"> </w:t>
            </w:r>
            <w:r>
              <w:t xml:space="preserve">(Qualified Security Assessor / PCI Forensic Investigator) — ยังไม่คัดเลือก; ต้องมี PFI ที่ scheme ยอมรับ retained ล่วงหน้า</w:t>
            </w:r>
          </w:p>
        </w:tc>
        <w:tc>
          <w:tcPr/>
          <w:p>
            <w:pPr>
              <w:pStyle w:val="Compact"/>
            </w:pPr>
            <w:r>
              <w:t xml:space="preserve">ยังไม่สรุป</w:t>
            </w:r>
          </w:p>
        </w:tc>
        <w:tc>
          <w:tcPr/>
          <w:p>
            <w:pPr>
              <w:pStyle w:val="Compact"/>
            </w:pPr>
            <w:r>
              <w:t xml:space="preserve">CISO</w:t>
            </w:r>
          </w:p>
        </w:tc>
      </w:tr>
      <w:tr>
        <w:tc>
          <w:tcPr/>
          <w:p>
            <w:pPr>
              <w:pStyle w:val="Compact"/>
            </w:pPr>
            <w:r>
              <w:t xml:space="preserve">A4</w:t>
            </w:r>
          </w:p>
        </w:tc>
        <w:tc>
          <w:tcPr/>
          <w:p>
            <w:pPr>
              <w:pStyle w:val="Compact"/>
            </w:pPr>
            <w:r>
              <w:rPr>
                <w:b/>
                <w:bCs/>
              </w:rPr>
              <w:t xml:space="preserve">DFIR retainer</w:t>
            </w:r>
            <w:r>
              <w:t xml:space="preserve"> </w:t>
            </w:r>
            <w:r>
              <w:t xml:space="preserve">(Digital Forensics &amp; Incident Response) และผู้ให้บริการ MDR/SOC 24×7</w:t>
            </w:r>
          </w:p>
        </w:tc>
        <w:tc>
          <w:tcPr/>
          <w:p>
            <w:pPr>
              <w:pStyle w:val="Compact"/>
            </w:pPr>
            <w:r>
              <w:t xml:space="preserve">ยังไม่สรุป</w:t>
            </w:r>
          </w:p>
        </w:tc>
        <w:tc>
          <w:tcPr/>
          <w:p>
            <w:pPr>
              <w:pStyle w:val="Compact"/>
            </w:pPr>
            <w:r>
              <w:t xml:space="preserve">CISO</w:t>
            </w:r>
          </w:p>
        </w:tc>
      </w:tr>
      <w:tr>
        <w:tc>
          <w:tcPr/>
          <w:p>
            <w:pPr>
              <w:pStyle w:val="Compact"/>
            </w:pPr>
            <w:r>
              <w:t xml:space="preserve">A5</w:t>
            </w:r>
          </w:p>
        </w:tc>
        <w:tc>
          <w:tcPr/>
          <w:p>
            <w:pPr>
              <w:pStyle w:val="Compact"/>
            </w:pPr>
            <w:r>
              <w:rPr>
                <w:b/>
                <w:bCs/>
              </w:rPr>
              <w:t xml:space="preserve">ช่องทาง/แบบฟอร์มแจ้งเหตุจริงของ ธปท.</w:t>
            </w:r>
            <w:r>
              <w:t xml:space="preserve"> </w:t>
            </w:r>
            <w:r>
              <w:t xml:space="preserve">ตามประกาศ IT Risk / Cyber Resilience (SLA ที่ต้องยืนยัน — ดูข้อ 5)</w:t>
            </w:r>
          </w:p>
        </w:tc>
        <w:tc>
          <w:tcPr/>
          <w:p>
            <w:pPr>
              <w:pStyle w:val="Compact"/>
            </w:pPr>
            <w:r>
              <w:t xml:space="preserve">TODO</w:t>
            </w:r>
          </w:p>
        </w:tc>
        <w:tc>
          <w:tcPr/>
          <w:p>
            <w:pPr>
              <w:pStyle w:val="Compact"/>
            </w:pPr>
            <w:r>
              <w:t xml:space="preserve">CCO / ที่ปรึกษากฎหมาย</w:t>
            </w:r>
          </w:p>
        </w:tc>
      </w:tr>
      <w:tr>
        <w:tc>
          <w:tcPr/>
          <w:p>
            <w:pPr>
              <w:pStyle w:val="Compact"/>
            </w:pPr>
            <w:r>
              <w:t xml:space="preserve">A6</w:t>
            </w:r>
          </w:p>
        </w:tc>
        <w:tc>
          <w:tcPr/>
          <w:p>
            <w:pPr>
              <w:pStyle w:val="Compact"/>
            </w:pPr>
            <w:r>
              <w:rPr>
                <w:b/>
                <w:bCs/>
              </w:rPr>
              <w:t xml:space="preserve">ช่องทางแจ้งเหตุ PDPC</w:t>
            </w:r>
            <w:r>
              <w:t xml:space="preserve"> </w:t>
            </w:r>
            <w:r>
              <w:t xml:space="preserve">(ระบบ e-Notification ของ PDPC) และผู้ลงนามที่ได้รับมอบอำนาจ</w:t>
            </w:r>
          </w:p>
        </w:tc>
        <w:tc>
          <w:tcPr/>
          <w:p>
            <w:pPr>
              <w:pStyle w:val="Compact"/>
            </w:pPr>
            <w:r>
              <w:t xml:space="preserve">TODO</w:t>
            </w:r>
          </w:p>
        </w:tc>
        <w:tc>
          <w:tcPr/>
          <w:p>
            <w:pPr>
              <w:pStyle w:val="Compact"/>
            </w:pPr>
            <w:r>
              <w:t xml:space="preserve">DPO</w:t>
            </w:r>
          </w:p>
        </w:tc>
      </w:tr>
      <w:tr>
        <w:tc>
          <w:tcPr/>
          <w:p>
            <w:pPr>
              <w:pStyle w:val="Compact"/>
            </w:pPr>
            <w:r>
              <w:t xml:space="preserve">A7</w:t>
            </w:r>
          </w:p>
        </w:tc>
        <w:tc>
          <w:tcPr/>
          <w:p>
            <w:pPr>
              <w:pStyle w:val="Compact"/>
            </w:pPr>
            <w:r>
              <w:rPr>
                <w:b/>
                <w:bCs/>
              </w:rPr>
              <w:t xml:space="preserve">Cyber insurance</w:t>
            </w:r>
            <w:r>
              <w:t xml:space="preserve"> </w:t>
            </w:r>
            <w:r>
              <w:t xml:space="preserve">(breach response / third-party liability) — วงเงินและเงื่อนไขการแจ้ง</w:t>
            </w:r>
          </w:p>
        </w:tc>
        <w:tc>
          <w:tcPr/>
          <w:p>
            <w:pPr>
              <w:pStyle w:val="Compact"/>
            </w:pPr>
            <w:r>
              <w:t xml:space="preserve">ยังไม่สรุป</w:t>
            </w:r>
          </w:p>
        </w:tc>
        <w:tc>
          <w:tcPr/>
          <w:p>
            <w:pPr>
              <w:pStyle w:val="Compact"/>
            </w:pPr>
            <w:r>
              <w:t xml:space="preserve">CFO / CISO</w:t>
            </w:r>
          </w:p>
        </w:tc>
      </w:tr>
      <w:tr>
        <w:tc>
          <w:tcPr/>
          <w:p>
            <w:pPr>
              <w:pStyle w:val="Compact"/>
            </w:pPr>
            <w:r>
              <w:t xml:space="preserve">A8</w:t>
            </w:r>
          </w:p>
        </w:tc>
        <w:tc>
          <w:tcPr/>
          <w:p>
            <w:pPr>
              <w:pStyle w:val="Compact"/>
            </w:pPr>
            <w:r>
              <w:rPr>
                <w:b/>
                <w:bCs/>
              </w:rPr>
              <w:t xml:space="preserve">รายชื่อ + เบอร์ติดต่อจริงของทีม CSIRT</w:t>
            </w:r>
            <w:r>
              <w:t xml:space="preserve"> </w:t>
            </w:r>
            <w:r>
              <w:t xml:space="preserve">(call tree / on-call roster) — จัดเก็บแยกใน runbook ที่ควบคุมการเข้าถึง</w:t>
            </w:r>
          </w:p>
        </w:tc>
        <w:tc>
          <w:tcPr/>
          <w:p>
            <w:pPr>
              <w:pStyle w:val="Compact"/>
            </w:pPr>
            <w:r>
              <w:t xml:space="preserve">TODO</w:t>
            </w:r>
          </w:p>
        </w:tc>
        <w:tc>
          <w:tcPr/>
          <w:p>
            <w:pPr>
              <w:pStyle w:val="Compact"/>
            </w:pPr>
            <w:r>
              <w:t xml:space="preserve">CISO</w:t>
            </w:r>
          </w:p>
        </w:tc>
      </w:tr>
      <w:tr>
        <w:tc>
          <w:tcPr/>
          <w:p>
            <w:pPr>
              <w:pStyle w:val="Compact"/>
            </w:pPr>
            <w:r>
              <w:t xml:space="preserve">A9</w:t>
            </w:r>
          </w:p>
        </w:tc>
        <w:tc>
          <w:tcPr/>
          <w:p>
            <w:pPr>
              <w:pStyle w:val="Compact"/>
            </w:pPr>
            <w:r>
              <w:rPr>
                <w:b/>
                <w:bCs/>
              </w:rPr>
              <w:t xml:space="preserve">ที่ปรึกษาประชาสัมพันธ์/สื่อสารภาวะวิกฤต</w:t>
            </w:r>
            <w:r>
              <w:t xml:space="preserve"> </w:t>
            </w:r>
            <w:r>
              <w:t xml:space="preserve">(crisis comms) และ template แถลงการณ์ที่ผ่านฝ่ายกฎหมาย</w:t>
            </w:r>
          </w:p>
        </w:tc>
        <w:tc>
          <w:tcPr/>
          <w:p>
            <w:pPr>
              <w:pStyle w:val="Compact"/>
            </w:pPr>
            <w:r>
              <w:t xml:space="preserve">ยังไม่สรุป</w:t>
            </w:r>
          </w:p>
        </w:tc>
        <w:tc>
          <w:tcPr/>
          <w:p>
            <w:pPr>
              <w:pStyle w:val="Compact"/>
            </w:pPr>
            <w:r>
              <w:t xml:space="preserve">Head of Comms</w:t>
            </w:r>
          </w:p>
        </w:tc>
      </w:tr>
    </w:tbl>
    <w:p>
      <w:pPr>
        <w:pStyle w:val="BlockText"/>
      </w:pPr>
      <w:r>
        <w:t xml:space="preserve">ห้ามกรอกชื่อผู้ให้บริการ/เบอร์/วงเงินสมมติในช่องข้างต้นลงในเอกสารที่ยื่นจริง — ต้องเป็นข้อมูลที่ยืนยันได้เท่านั้น</w:t>
      </w:r>
    </w:p>
    <w:p>
      <w:r>
        <w:pict>
          <v:rect style="width:0;height:1.5pt" o:hralign="center" o:hrstd="t" o:hr="t"/>
        </w:pict>
      </w:r>
    </w:p>
    <w:bookmarkStart w:id="550" w:name="วตถประสงคและขอบเขต-purpose-scope-2"/>
    <w:p>
      <w:pPr>
        <w:pStyle w:val="Heading2"/>
      </w:pPr>
      <w:r>
        <w:t xml:space="preserve">1. วัตถุประสงค์และขอบเขต (Purpose &amp; Scope)</w:t>
      </w:r>
    </w:p>
    <w:p>
      <w:pPr>
        <w:pStyle w:val="FirstParagraph"/>
      </w:pPr>
      <w:r>
        <w:t xml:space="preserve">เอกสารนี้กำหนด</w:t>
      </w:r>
      <w:r>
        <w:t xml:space="preserve"> </w:t>
      </w:r>
      <w:r>
        <w:rPr>
          <w:b/>
          <w:bCs/>
        </w:rPr>
        <w:t xml:space="preserve">แผนตอบสนองเหตุการณ์ความมั่นคงปลอดภัย (Incident Response Plan — IRP)</w:t>
      </w:r>
      <w:r>
        <w:t xml:space="preserve"> </w:t>
      </w:r>
      <w:r>
        <w:t xml:space="preserve">และ</w:t>
      </w:r>
      <w:r>
        <w:t xml:space="preserve"> </w:t>
      </w:r>
      <w:r>
        <w:rPr>
          <w:b/>
          <w:bCs/>
        </w:rPr>
        <w:t xml:space="preserve">ขั้นตอนการแจ้งเหตุข้อมูลรั่วไหล (Breach Notification Procedure)</w:t>
      </w:r>
      <w:r>
        <w:t xml:space="preserve"> </w:t>
      </w:r>
      <w:r>
        <w:t xml:space="preserve">ของ [บริษัท / Company] ในฐานะผู้ให้บริการ Acquiring Gateway เพื่อให้:</w:t>
      </w:r>
    </w:p>
    <w:p>
      <w:pPr>
        <w:pStyle w:val="Compact"/>
        <w:numPr>
          <w:ilvl w:val="0"/>
          <w:numId w:val="1225"/>
        </w:numPr>
      </w:pPr>
      <w:r>
        <w:t xml:space="preserve">ตรวจจับ ควบคุม กำจัด และฟื้นฟูจากเหตุการณ์ได้อย่างรวดเร็วและมีระเบียบ (ตาม</w:t>
      </w:r>
      <w:r>
        <w:t xml:space="preserve"> </w:t>
      </w:r>
      <w:r>
        <w:rPr>
          <w:b/>
          <w:bCs/>
        </w:rPr>
        <w:t xml:space="preserve">PCI-DSS v4.0 Req 12.10.1–12.10.7</w:t>
      </w:r>
      <w:r>
        <w:t xml:space="preserve">)</w:t>
      </w:r>
    </w:p>
    <w:p>
      <w:pPr>
        <w:pStyle w:val="Compact"/>
        <w:numPr>
          <w:ilvl w:val="0"/>
          <w:numId w:val="1225"/>
        </w:numPr>
      </w:pPr>
      <w:r>
        <w:t xml:space="preserve">แจ้งเหตุต่อหน่วยงานกำกับและผู้มีส่วนได้เสียภายในกรอบเวลาที่กฎหมายกำหนด โดยเฉพาะ</w:t>
      </w:r>
      <w:r>
        <w:t xml:space="preserve"> </w:t>
      </w:r>
      <w:r>
        <w:rPr>
          <w:b/>
          <w:bCs/>
        </w:rPr>
        <w:t xml:space="preserve">PDPA มาตรา 37(4): แจ้ง PDPC ภายใน 72 ชั่วโมง</w:t>
      </w:r>
      <w:r>
        <w:t xml:space="preserve"> </w:t>
      </w:r>
      <w:r>
        <w:t xml:space="preserve">นับแต่ทราบเหตุ</w:t>
      </w:r>
    </w:p>
    <w:p>
      <w:pPr>
        <w:pStyle w:val="Compact"/>
        <w:numPr>
          <w:ilvl w:val="0"/>
          <w:numId w:val="1225"/>
        </w:numPr>
      </w:pPr>
      <w:r>
        <w:t xml:space="preserve">รักษาหลักฐานทางนิติวิทยาศาสตร์ (chain of custody) เพื่อรองรับ</w:t>
      </w:r>
      <w:r>
        <w:t xml:space="preserve"> </w:t>
      </w:r>
      <w:r>
        <w:rPr>
          <w:b/>
          <w:bCs/>
        </w:rPr>
        <w:t xml:space="preserve">PFI investigation</w:t>
      </w:r>
      <w:r>
        <w:t xml:space="preserve"> </w:t>
      </w:r>
      <w:r>
        <w:t xml:space="preserve">ของ card scheme และการสอบสวนของทางการ</w:t>
      </w:r>
    </w:p>
    <w:p>
      <w:pPr>
        <w:pStyle w:val="FirstParagraph"/>
      </w:pPr>
      <w:r>
        <w:rPr>
          <w:b/>
          <w:bCs/>
        </w:rPr>
        <w:t xml:space="preserve">ขอบเขต:</w:t>
      </w:r>
      <w:r>
        <w:t xml:space="preserve"> </w:t>
      </w:r>
      <w:r>
        <w:t xml:space="preserve">ครอบคลุมทุกระบบใน CDE (Cardholder Data Environment) และระบบสนับสนุนตาม</w:t>
      </w:r>
      <w:r>
        <w:t xml:space="preserve"> </w:t>
      </w:r>
      <w:r>
        <w:rPr>
          <w:rStyle w:val="VerbatimChar"/>
        </w:rPr>
        <w:t xml:space="preserve">ARCHITECTURE.md</w:t>
      </w:r>
      <w:r>
        <w:t xml:space="preserve"> </w:t>
      </w:r>
      <w:r>
        <w:t xml:space="preserve">ได้แก่ API Edge, Payment Core, Tokenization Vault, Acquirer/3DS Adapter, Ledger, Webhook, ฐานข้อมูล, HSM/KMS, log/SIEM, เครือข่าย รวมถึงผู้ให้บริการภายนอก (outsourced/cloud) พนักงาน กรรมการ และผู้รับจ้างช่วง</w:t>
      </w:r>
    </w:p>
    <w:p>
      <w:pPr>
        <w:pStyle w:val="BlockText"/>
      </w:pPr>
      <w:r>
        <w:rPr>
          <w:b/>
          <w:bCs/>
        </w:rPr>
        <w:t xml:space="preserve">หลักการสำคัญที่ยึดตลอดเอกสาร:</w:t>
      </w:r>
      <w:r>
        <w:t xml:space="preserve"> </w:t>
      </w:r>
      <w:r>
        <w:t xml:space="preserve">ตาม</w:t>
      </w:r>
      <w:r>
        <w:t xml:space="preserve"> </w:t>
      </w:r>
      <w:r>
        <w:rPr>
          <w:rStyle w:val="VerbatimChar"/>
        </w:rPr>
        <w:t xml:space="preserve">ARCHITECTURE.md</w:t>
      </w:r>
      <w:r>
        <w:t xml:space="preserve"> </w:t>
      </w:r>
      <w:r>
        <w:t xml:space="preserve">ข้อ 6 และเอกสาร</w:t>
      </w:r>
      <w:r>
        <w:t xml:space="preserve"> </w:t>
      </w:r>
      <w:r>
        <w:rPr>
          <w:rStyle w:val="VerbatimChar"/>
        </w:rPr>
        <w:t xml:space="preserve">11-data-retention-deletion.md</w:t>
      </w:r>
      <w:r>
        <w:t xml:space="preserve"> </w:t>
      </w:r>
      <w:r>
        <w:t xml:space="preserve">—</w:t>
      </w:r>
      <w:r>
        <w:t xml:space="preserve"> </w:t>
      </w:r>
      <w:r>
        <w:t xml:space="preserve">ระบบ</w:t>
      </w:r>
      <w:r>
        <w:t xml:space="preserve"> </w:t>
      </w:r>
      <w:r>
        <w:rPr>
          <w:b/>
          <w:bCs/>
        </w:rPr>
        <w:t xml:space="preserve">ไม่จัดเก็บ full PAN, CVV/CVV2, PIN, full track (SAD)</w:t>
      </w:r>
      <w:r>
        <w:t xml:space="preserve"> </w:t>
      </w:r>
      <w:r>
        <w:t xml:space="preserve">ใน operational DB จึงลด</w:t>
      </w:r>
      <w:r>
        <w:t xml:space="preserve"> </w:t>
      </w:r>
      <w:r>
        <w:t xml:space="preserve">“blast radius”</w:t>
      </w:r>
      <w:r>
        <w:t xml:space="preserve"> </w:t>
      </w:r>
      <w:r>
        <w:t xml:space="preserve">ของเหตุการณ์ลงอย่างมาก</w:t>
      </w:r>
      <w:r>
        <w:t xml:space="preserve"> </w:t>
      </w:r>
      <w:r>
        <w:t xml:space="preserve">ข้อมูลที่รั่วได้จริงในระบบหลักคือ token,</w:t>
      </w:r>
      <w:r>
        <w:t xml:space="preserve"> </w:t>
      </w:r>
      <w:r>
        <w:rPr>
          <w:rStyle w:val="VerbatimChar"/>
        </w:rPr>
        <w:t xml:space="preserve">card_last4</w:t>
      </w:r>
      <w:r>
        <w:t xml:space="preserve">,</w:t>
      </w:r>
      <w:r>
        <w:t xml:space="preserve"> </w:t>
      </w:r>
      <w:r>
        <w:rPr>
          <w:rStyle w:val="VerbatimChar"/>
        </w:rPr>
        <w:t xml:space="preserve">card_brand</w:t>
      </w:r>
      <w:r>
        <w:t xml:space="preserve"> </w:t>
      </w:r>
      <w:r>
        <w:t xml:space="preserve">และ PII/ข้อมูล KYC ของ merchant เป็นหลัก</w:t>
      </w:r>
    </w:p>
    <w:p>
      <w:r>
        <w:pict>
          <v:rect style="width:0;height:1.5pt" o:hralign="center" o:hrstd="t" o:hr="t"/>
        </w:pict>
      </w:r>
    </w:p>
    <w:bookmarkEnd w:id="550"/>
    <w:bookmarkStart w:id="551" w:name="Xb2c1c706f3c722024a4bf781ccdd602af5d0fb2"/>
    <w:p>
      <w:pPr>
        <w:pStyle w:val="Heading2"/>
      </w:pPr>
      <w:r>
        <w:t xml:space="preserve">2. บทบาทและความรับผิดชอบ — CSIRT (Roles &amp; Responsibilities)</w:t>
      </w:r>
    </w:p>
    <w:p>
      <w:pPr>
        <w:pStyle w:val="FirstParagraph"/>
      </w:pPr>
      <w:r>
        <w:t xml:space="preserve">ทีมตอบสนองเหตุการณ์เรียกว่า</w:t>
      </w:r>
      <w:r>
        <w:t xml:space="preserve"> </w:t>
      </w:r>
      <w:r>
        <w:rPr>
          <w:b/>
          <w:bCs/>
        </w:rPr>
        <w:t xml:space="preserve">CSIRT (Computer Security Incident Response Team)</w:t>
      </w:r>
      <w:r>
        <w:t xml:space="preserve"> </w:t>
      </w:r>
      <w:r>
        <w:t xml:space="preserve">เปิดใช้เมื่อประกาศเหตุการณ์ระดับ</w:t>
      </w:r>
      <w:r>
        <w:t xml:space="preserve"> </w:t>
      </w:r>
      <w:r>
        <w:rPr>
          <w:b/>
          <w:bCs/>
        </w:rPr>
        <w:t xml:space="preserve">SEV-1/SEV-2</w:t>
      </w:r>
    </w:p>
    <w:tbl>
      <w:tblPr>
        <w:tblStyle w:val="Table"/>
        <w:tblW w:type="pct" w:w="5000"/>
        <w:tblLayout w:type="fixed"/>
        <w:tblLook w:firstRow="1" w:lastRow="0" w:firstColumn="0" w:lastColumn="0" w:noHBand="0" w:noVBand="0" w:val="0020"/>
      </w:tblPr>
      <w:tblGrid>
        <w:gridCol w:w="1421"/>
        <w:gridCol w:w="6498"/>
      </w:tblGrid>
      <w:tr>
        <w:trPr>
          <w:tblHeader w:val="on"/>
        </w:trPr>
        <w:tc>
          <w:tcPr/>
          <w:p>
            <w:pPr>
              <w:pStyle w:val="Compact"/>
            </w:pPr>
            <w:r>
              <w:t xml:space="preserve">บทบาท</w:t>
            </w:r>
          </w:p>
        </w:tc>
        <w:tc>
          <w:tcPr/>
          <w:p>
            <w:pPr>
              <w:pStyle w:val="Compact"/>
            </w:pPr>
            <w:r>
              <w:t xml:space="preserve">หน้าที่หลักในการตอบสนองเหตุการณ์</w:t>
            </w:r>
          </w:p>
        </w:tc>
      </w:tr>
      <w:tr>
        <w:tc>
          <w:tcPr/>
          <w:p>
            <w:pPr>
              <w:pStyle w:val="Compact"/>
            </w:pPr>
            <w:r>
              <w:rPr>
                <w:b/>
                <w:bCs/>
              </w:rPr>
              <w:t xml:space="preserve">Incident Commander (IC)</w:t>
            </w:r>
            <w:r>
              <w:t xml:space="preserve"> </w:t>
            </w:r>
            <w:r>
              <w:t xml:space="preserve">— โดยปกติคือ CISO หรือผู้ที่ได้รับมอบหมาย</w:t>
            </w:r>
          </w:p>
        </w:tc>
        <w:tc>
          <w:tcPr/>
          <w:p>
            <w:pPr>
              <w:pStyle w:val="Compact"/>
            </w:pPr>
            <w:r>
              <w:t xml:space="preserve">ผู้มีอำนาจสูงสุดในเหตุการณ์: ประกาศระดับความรุนแรง, สั่งการ containment, อนุมัติ downtime/isolation, ตัดสินใจ escalate</w:t>
            </w:r>
          </w:p>
        </w:tc>
      </w:tr>
      <w:tr>
        <w:tc>
          <w:tcPr/>
          <w:p>
            <w:pPr>
              <w:pStyle w:val="Compact"/>
            </w:pPr>
            <w:r>
              <w:rPr>
                <w:b/>
                <w:bCs/>
              </w:rPr>
              <w:t xml:space="preserve">Deputy IC</w:t>
            </w:r>
          </w:p>
        </w:tc>
        <w:tc>
          <w:tcPr/>
          <w:p>
            <w:pPr>
              <w:pStyle w:val="Compact"/>
            </w:pPr>
            <w:r>
              <w:t xml:space="preserve">ปฏิบัติหน้าที่แทน IC เมื่อ IC ไม่พร้อม/มีผลประโยชน์ทับซ้อน</w:t>
            </w:r>
          </w:p>
        </w:tc>
      </w:tr>
      <w:tr>
        <w:tc>
          <w:tcPr/>
          <w:p>
            <w:pPr>
              <w:pStyle w:val="Compact"/>
            </w:pPr>
            <w:r>
              <w:rPr>
                <w:b/>
                <w:bCs/>
              </w:rPr>
              <w:t xml:space="preserve">CISO</w:t>
            </w:r>
          </w:p>
        </w:tc>
        <w:tc>
          <w:tcPr/>
          <w:p>
            <w:pPr>
              <w:pStyle w:val="Compact"/>
            </w:pPr>
            <w:r>
              <w:t xml:space="preserve">เจ้าของแผน IRP, กำกับด้านเทคนิคความมั่นคงปลอดภัย, จุดติดต่อ QSA/PFI/DFIR</w:t>
            </w:r>
          </w:p>
        </w:tc>
      </w:tr>
      <w:tr>
        <w:tc>
          <w:tcPr/>
          <w:p>
            <w:pPr>
              <w:pStyle w:val="Compact"/>
            </w:pPr>
            <w:r>
              <w:rPr>
                <w:b/>
                <w:bCs/>
              </w:rPr>
              <w:t xml:space="preserve">DPO (Data Protection Officer)</w:t>
            </w:r>
          </w:p>
        </w:tc>
        <w:tc>
          <w:tcPr/>
          <w:p>
            <w:pPr>
              <w:pStyle w:val="Compact"/>
            </w:pPr>
            <w:r>
              <w:t xml:space="preserve">ประเมินว่าเป็น</w:t>
            </w:r>
            <w:r>
              <w:t xml:space="preserve"> </w:t>
            </w:r>
            <w:r>
              <w:t xml:space="preserve">“personal data breach”</w:t>
            </w:r>
            <w:r>
              <w:t xml:space="preserve"> </w:t>
            </w:r>
            <w:r>
              <w:t xml:space="preserve">หรือไม่, ตัดสินใจแจ้ง PDPC ภายใน 72 ชม. และแจ้งเจ้าของข้อมูล, ดูแล PDPA</w:t>
            </w:r>
          </w:p>
        </w:tc>
      </w:tr>
      <w:tr>
        <w:tc>
          <w:tcPr/>
          <w:p>
            <w:pPr>
              <w:pStyle w:val="Compact"/>
            </w:pPr>
            <w:r>
              <w:rPr>
                <w:b/>
                <w:bCs/>
              </w:rPr>
              <w:t xml:space="preserve">CCO / Compliance</w:t>
            </w:r>
          </w:p>
        </w:tc>
        <w:tc>
          <w:tcPr/>
          <w:p>
            <w:pPr>
              <w:pStyle w:val="Compact"/>
            </w:pPr>
            <w:r>
              <w:t xml:space="preserve">จุดติดต่อ</w:t>
            </w:r>
            <w:r>
              <w:t xml:space="preserve"> </w:t>
            </w:r>
            <w:r>
              <w:rPr>
                <w:b/>
                <w:bCs/>
              </w:rPr>
              <w:t xml:space="preserve">ธปท.</w:t>
            </w:r>
            <w:r>
              <w:t xml:space="preserve"> </w:t>
            </w:r>
            <w:r>
              <w:t xml:space="preserve">และ (หากเข้าเงื่อนไข AML) ปปง., ประเมินภาระรายงานตามใบอนุญาต</w:t>
            </w:r>
          </w:p>
        </w:tc>
      </w:tr>
      <w:tr>
        <w:tc>
          <w:tcPr/>
          <w:p>
            <w:pPr>
              <w:pStyle w:val="Compact"/>
            </w:pPr>
            <w:r>
              <w:rPr>
                <w:b/>
                <w:bCs/>
              </w:rPr>
              <w:t xml:space="preserve">MLRO</w:t>
            </w:r>
          </w:p>
        </w:tc>
        <w:tc>
          <w:tcPr/>
          <w:p>
            <w:pPr>
              <w:pStyle w:val="Compact"/>
            </w:pPr>
            <w:r>
              <w:t xml:space="preserve">ประเมินความเชื่อมโยงกับการฟอกเงิน/ทุจริต; หากพบให้เริ่ม STR ตาม</w:t>
            </w:r>
            <w:r>
              <w:t xml:space="preserve"> </w:t>
            </w:r>
            <w:r>
              <w:rPr>
                <w:rStyle w:val="VerbatimChar"/>
              </w:rPr>
              <w:t xml:space="preserve">07-sar-str-procedure.md</w:t>
            </w:r>
          </w:p>
        </w:tc>
      </w:tr>
      <w:tr>
        <w:tc>
          <w:tcPr/>
          <w:p>
            <w:pPr>
              <w:pStyle w:val="Compact"/>
            </w:pPr>
            <w:r>
              <w:rPr>
                <w:b/>
                <w:bCs/>
              </w:rPr>
              <w:t xml:space="preserve">Forensics Lead (SOC/DFIR)</w:t>
            </w:r>
          </w:p>
        </w:tc>
        <w:tc>
          <w:tcPr/>
          <w:p>
            <w:pPr>
              <w:pStyle w:val="Compact"/>
            </w:pPr>
            <w:r>
              <w:t xml:space="preserve">เก็บหลักฐาน, chain of custody, triage, root cause, ประสาน PFI</w:t>
            </w:r>
          </w:p>
        </w:tc>
      </w:tr>
      <w:tr>
        <w:tc>
          <w:tcPr/>
          <w:p>
            <w:pPr>
              <w:pStyle w:val="Compact"/>
            </w:pPr>
            <w:r>
              <w:rPr>
                <w:b/>
                <w:bCs/>
              </w:rPr>
              <w:t xml:space="preserve">Engineering / SRE On-call</w:t>
            </w:r>
          </w:p>
        </w:tc>
        <w:tc>
          <w:tcPr/>
          <w:p>
            <w:pPr>
              <w:pStyle w:val="Compact"/>
            </w:pPr>
            <w:r>
              <w:t xml:space="preserve">containment, isolation, patch, restore จาก backup, ยืนยัน RPO/RTO</w:t>
            </w:r>
          </w:p>
        </w:tc>
      </w:tr>
      <w:tr>
        <w:tc>
          <w:tcPr/>
          <w:p>
            <w:pPr>
              <w:pStyle w:val="Compact"/>
            </w:pPr>
            <w:r>
              <w:rPr>
                <w:b/>
                <w:bCs/>
              </w:rPr>
              <w:t xml:space="preserve">Legal Counsel</w:t>
            </w:r>
          </w:p>
        </w:tc>
        <w:tc>
          <w:tcPr/>
          <w:p>
            <w:pPr>
              <w:pStyle w:val="Compact"/>
            </w:pPr>
            <w:r>
              <w:t xml:space="preserve">สิทธิ/หน้าที่ตามกฎหมาย, privilege, ทบทวนแถลงการณ์ก่อนเผยแพร่</w:t>
            </w:r>
          </w:p>
        </w:tc>
      </w:tr>
      <w:tr>
        <w:tc>
          <w:tcPr/>
          <w:p>
            <w:pPr>
              <w:pStyle w:val="Compact"/>
            </w:pPr>
            <w:r>
              <w:rPr>
                <w:b/>
                <w:bCs/>
              </w:rPr>
              <w:t xml:space="preserve">Head of Comms / PR</w:t>
            </w:r>
          </w:p>
        </w:tc>
        <w:tc>
          <w:tcPr/>
          <w:p>
            <w:pPr>
              <w:pStyle w:val="Compact"/>
            </w:pPr>
            <w:r>
              <w:t xml:space="preserve">สื่อสารภายใน-ภายนอก, สื่อ, ลูกค้า, ภายใต้การอนุมัติของ IC + Legal</w:t>
            </w:r>
          </w:p>
        </w:tc>
      </w:tr>
      <w:tr>
        <w:tc>
          <w:tcPr/>
          <w:p>
            <w:pPr>
              <w:pStyle w:val="Compact"/>
            </w:pPr>
            <w:r>
              <w:rPr>
                <w:b/>
                <w:bCs/>
              </w:rPr>
              <w:t xml:space="preserve">Merchant Support Lead</w:t>
            </w:r>
          </w:p>
        </w:tc>
        <w:tc>
          <w:tcPr/>
          <w:p>
            <w:pPr>
              <w:pStyle w:val="Compact"/>
            </w:pPr>
            <w:r>
              <w:t xml:space="preserve">สื่อสารกับ merchant ที่ได้รับผลกระทบ, ช่องทาง reissue/monitoring</w:t>
            </w:r>
          </w:p>
        </w:tc>
      </w:tr>
      <w:tr>
        <w:tc>
          <w:tcPr/>
          <w:p>
            <w:pPr>
              <w:pStyle w:val="Compact"/>
            </w:pPr>
            <w:r>
              <w:rPr>
                <w:b/>
                <w:bCs/>
              </w:rPr>
              <w:t xml:space="preserve">HR</w:t>
            </w:r>
          </w:p>
        </w:tc>
        <w:tc>
          <w:tcPr/>
          <w:p>
            <w:pPr>
              <w:pStyle w:val="Compact"/>
            </w:pPr>
            <w:r>
              <w:t xml:space="preserve">เหตุการณ์ที่เกี่ยวข้องกับบุคลากร (insider), มาตรการทางวินัย</w:t>
            </w:r>
          </w:p>
        </w:tc>
      </w:tr>
      <w:tr>
        <w:tc>
          <w:tcPr/>
          <w:p>
            <w:pPr>
              <w:pStyle w:val="Compact"/>
            </w:pPr>
            <w:r>
              <w:rPr>
                <w:b/>
                <w:bCs/>
              </w:rPr>
              <w:t xml:space="preserve">Executive Sponsor (CEO/Board)</w:t>
            </w:r>
          </w:p>
        </w:tc>
        <w:tc>
          <w:tcPr/>
          <w:p>
            <w:pPr>
              <w:pStyle w:val="Compact"/>
            </w:pPr>
            <w:r>
              <w:t xml:space="preserve">รับทราบ SEV-1, อนุมัติทรัพยากร/งบฉุกเฉิน, ความรับผิดชอบต่อ ธปท.</w:t>
            </w:r>
          </w:p>
        </w:tc>
      </w:tr>
    </w:tbl>
    <w:p>
      <w:pPr>
        <w:pStyle w:val="BlockText"/>
      </w:pPr>
      <w:r>
        <w:rPr>
          <w:b/>
          <w:bCs/>
        </w:rPr>
        <w:t xml:space="preserve">หลักสำคัญ:</w:t>
      </w:r>
      <w:r>
        <w:t xml:space="preserve"> </w:t>
      </w:r>
      <w:r>
        <w:t xml:space="preserve">มีเพียง</w:t>
      </w:r>
      <w:r>
        <w:t xml:space="preserve"> </w:t>
      </w:r>
      <w:r>
        <w:rPr>
          <w:b/>
          <w:bCs/>
        </w:rPr>
        <w:t xml:space="preserve">DPO</w:t>
      </w:r>
      <w:r>
        <w:t xml:space="preserve"> </w:t>
      </w:r>
      <w:r>
        <w:t xml:space="preserve">เท่านั้นที่ตัดสินใจแจ้ง PDPC, มีเพียง</w:t>
      </w:r>
      <w:r>
        <w:t xml:space="preserve"> </w:t>
      </w:r>
      <w:r>
        <w:rPr>
          <w:b/>
          <w:bCs/>
        </w:rPr>
        <w:t xml:space="preserve">CCO/Compliance</w:t>
      </w:r>
      <w:r>
        <w:t xml:space="preserve"> </w:t>
      </w:r>
      <w:r>
        <w:t xml:space="preserve">ที่ติดต่อ ธปท. อย่างเป็นทางการ และมีเพียง</w:t>
      </w:r>
      <w:r>
        <w:t xml:space="preserve"> </w:t>
      </w:r>
      <w:r>
        <w:rPr>
          <w:b/>
          <w:bCs/>
        </w:rPr>
        <w:t xml:space="preserve">IC + Legal + Comms</w:t>
      </w:r>
      <w:r>
        <w:t xml:space="preserve"> </w:t>
      </w:r>
      <w:r>
        <w:t xml:space="preserve">ที่อนุมัติการสื่อสารภายนอก เพื่อคุมความถูกต้องและป้องกัน tipping-off</w:t>
      </w:r>
      <w:r>
        <w:t xml:space="preserve"> </w:t>
      </w:r>
      <w:r>
        <w:t xml:space="preserve">รายชื่อจริง เบอร์ติดต่อ และ call tree เก็บใน runbook แยก (รายการ A8) ไม่เปิดเผยในเอกสารยื่น</w:t>
      </w:r>
    </w:p>
    <w:p>
      <w:r>
        <w:pict>
          <v:rect style="width:0;height:1.5pt" o:hralign="center" o:hrstd="t" o:hr="t"/>
        </w:pict>
      </w:r>
    </w:p>
    <w:bookmarkEnd w:id="551"/>
    <w:bookmarkStart w:id="552" w:name="Xfaf5edcac0e9212141194fefde97302e691aad7"/>
    <w:p>
      <w:pPr>
        <w:pStyle w:val="Heading2"/>
      </w:pPr>
      <w:r>
        <w:t xml:space="preserve">3. การจัดระดับความรุนแรง (Severity Classification)</w:t>
      </w:r>
    </w:p>
    <w:tbl>
      <w:tblPr>
        <w:tblStyle w:val="Table"/>
        <w:tblW w:type="pct" w:w="5000"/>
        <w:tblLayout w:type="fixed"/>
        <w:tblLook w:firstRow="1" w:lastRow="0" w:firstColumn="0" w:lastColumn="0" w:noHBand="0" w:noVBand="0" w:val="0020"/>
      </w:tblPr>
      <w:tblGrid>
        <w:gridCol w:w="1155"/>
        <w:gridCol w:w="1155"/>
        <w:gridCol w:w="1485"/>
        <w:gridCol w:w="1815"/>
        <w:gridCol w:w="2310"/>
      </w:tblGrid>
      <w:tr>
        <w:trPr>
          <w:tblHeader w:val="on"/>
        </w:trPr>
        <w:tc>
          <w:tcPr/>
          <w:p>
            <w:pPr>
              <w:pStyle w:val="Compact"/>
            </w:pPr>
            <w:r>
              <w:t xml:space="preserve">ระดับ</w:t>
            </w:r>
          </w:p>
        </w:tc>
        <w:tc>
          <w:tcPr/>
          <w:p>
            <w:pPr>
              <w:pStyle w:val="Compact"/>
            </w:pPr>
            <w:r>
              <w:t xml:space="preserve">นิยาม</w:t>
            </w:r>
          </w:p>
        </w:tc>
        <w:tc>
          <w:tcPr/>
          <w:p>
            <w:pPr>
              <w:pStyle w:val="Compact"/>
            </w:pPr>
            <w:r>
              <w:t xml:space="preserve">ตัวอย่าง</w:t>
            </w:r>
          </w:p>
        </w:tc>
        <w:tc>
          <w:tcPr/>
          <w:p>
            <w:pPr>
              <w:pStyle w:val="Compact"/>
            </w:pPr>
            <w:r>
              <w:t xml:space="preserve">ผู้เปิดใช้</w:t>
            </w:r>
          </w:p>
        </w:tc>
        <w:tc>
          <w:tcPr/>
          <w:p>
            <w:pPr>
              <w:pStyle w:val="Compact"/>
            </w:pPr>
            <w:r>
              <w:t xml:space="preserve">เป้า Response</w:t>
            </w:r>
          </w:p>
        </w:tc>
      </w:tr>
      <w:tr>
        <w:tc>
          <w:tcPr/>
          <w:p>
            <w:pPr>
              <w:pStyle w:val="Compact"/>
            </w:pPr>
            <w:r>
              <w:rPr>
                <w:b/>
                <w:bCs/>
              </w:rPr>
              <w:t xml:space="preserve">SEV-1 (Critical)</w:t>
            </w:r>
          </w:p>
        </w:tc>
        <w:tc>
          <w:tcPr/>
          <w:p>
            <w:pPr>
              <w:pStyle w:val="Compact"/>
            </w:pPr>
            <w:r>
              <w:t xml:space="preserve">มี/สงสัยว่ามีการเข้าถึงหรือรั่วไหลของ</w:t>
            </w:r>
            <w:r>
              <w:t xml:space="preserve"> </w:t>
            </w:r>
            <w:r>
              <w:rPr>
                <w:b/>
                <w:bCs/>
              </w:rPr>
              <w:t xml:space="preserve">CHD/SAD/PII จำนวนมาก</w:t>
            </w:r>
            <w:r>
              <w:t xml:space="preserve">, ransomware, การเจาะ CDE, HSM/key compromise, ระบบ authorization ล่มทั้งระบบ</w:t>
            </w:r>
          </w:p>
        </w:tc>
        <w:tc>
          <w:tcPr/>
          <w:p>
            <w:pPr>
              <w:pStyle w:val="Compact"/>
            </w:pPr>
            <w:r>
              <w:t xml:space="preserve">ผู้ไม่ประสงค์ดีเข้าถึง Tokenization Vault; PAN/PII ถูก exfiltrate</w:t>
            </w:r>
          </w:p>
        </w:tc>
        <w:tc>
          <w:tcPr/>
          <w:p>
            <w:pPr>
              <w:pStyle w:val="Compact"/>
            </w:pPr>
            <w:r>
              <w:t xml:space="preserve">IC + Executive Sponsor + Board notify</w:t>
            </w:r>
          </w:p>
        </w:tc>
        <w:tc>
          <w:tcPr/>
          <w:p>
            <w:pPr>
              <w:pStyle w:val="Compact"/>
            </w:pPr>
            <w:r>
              <w:rPr>
                <w:b/>
                <w:bCs/>
              </w:rPr>
              <w:t xml:space="preserve">Acknowledge ≤ 15 นาที</w:t>
            </w:r>
            <w:r>
              <w:t xml:space="preserve">, ตั้ง war room ≤ 30 นาที</w:t>
            </w:r>
          </w:p>
        </w:tc>
      </w:tr>
      <w:tr>
        <w:tc>
          <w:tcPr/>
          <w:p>
            <w:pPr>
              <w:pStyle w:val="Compact"/>
            </w:pPr>
            <w:r>
              <w:rPr>
                <w:b/>
                <w:bCs/>
              </w:rPr>
              <w:t xml:space="preserve">SEV-2 (High)</w:t>
            </w:r>
          </w:p>
        </w:tc>
        <w:tc>
          <w:tcPr/>
          <w:p>
            <w:pPr>
              <w:pStyle w:val="Compact"/>
            </w:pPr>
            <w:r>
              <w:t xml:space="preserve">เหตุการณ์ยืนยันแล้วที่กระทบความลับ/ความถูกต้อง/ความพร้อมใช้อย่างมีนัยสำคัญ แต่ยังจำกัดขอบเขต</w:t>
            </w:r>
          </w:p>
        </w:tc>
        <w:tc>
          <w:tcPr/>
          <w:p>
            <w:pPr>
              <w:pStyle w:val="Compact"/>
            </w:pPr>
            <w:r>
              <w:t xml:space="preserve">account takeover ของ admin เดี่ยว; DDoS ทำ auth ล่มบางส่วน; malware บน endpoint ใน scope</w:t>
            </w:r>
          </w:p>
        </w:tc>
        <w:tc>
          <w:tcPr/>
          <w:p>
            <w:pPr>
              <w:pStyle w:val="Compact"/>
            </w:pPr>
            <w:r>
              <w:t xml:space="preserve">IC</w:t>
            </w:r>
          </w:p>
        </w:tc>
        <w:tc>
          <w:tcPr/>
          <w:p>
            <w:pPr>
              <w:pStyle w:val="Compact"/>
            </w:pPr>
            <w:r>
              <w:t xml:space="preserve">Acknowledge ≤ 30 นาที</w:t>
            </w:r>
          </w:p>
        </w:tc>
      </w:tr>
      <w:tr>
        <w:tc>
          <w:tcPr/>
          <w:p>
            <w:pPr>
              <w:pStyle w:val="Compact"/>
            </w:pPr>
            <w:r>
              <w:rPr>
                <w:b/>
                <w:bCs/>
              </w:rPr>
              <w:t xml:space="preserve">SEV-3 (Medium)</w:t>
            </w:r>
          </w:p>
        </w:tc>
        <w:tc>
          <w:tcPr/>
          <w:p>
            <w:pPr>
              <w:pStyle w:val="Compact"/>
            </w:pPr>
            <w:r>
              <w:t xml:space="preserve">เหตุการณ์จำกัดขอบเขต ควบคุมได้ ไม่มีหลักฐานการรั่วของข้อมูล</w:t>
            </w:r>
          </w:p>
        </w:tc>
        <w:tc>
          <w:tcPr/>
          <w:p>
            <w:pPr>
              <w:pStyle w:val="Compact"/>
            </w:pPr>
            <w:r>
              <w:t xml:space="preserve">ความพยายาม brute-force ที่ถูกบล็อก; misconfiguration ที่ยังไม่ถูก exploit</w:t>
            </w:r>
          </w:p>
        </w:tc>
        <w:tc>
          <w:tcPr/>
          <w:p>
            <w:pPr>
              <w:pStyle w:val="Compact"/>
            </w:pPr>
            <w:r>
              <w:t xml:space="preserve">On-call lead</w:t>
            </w:r>
          </w:p>
        </w:tc>
        <w:tc>
          <w:tcPr/>
          <w:p>
            <w:pPr>
              <w:pStyle w:val="Compact"/>
            </w:pPr>
            <w:r>
              <w:t xml:space="preserve">Acknowledge ≤ 4 ชม.</w:t>
            </w:r>
          </w:p>
        </w:tc>
      </w:tr>
      <w:tr>
        <w:tc>
          <w:tcPr/>
          <w:p>
            <w:pPr>
              <w:pStyle w:val="Compact"/>
            </w:pPr>
            <w:r>
              <w:rPr>
                <w:b/>
                <w:bCs/>
              </w:rPr>
              <w:t xml:space="preserve">SEV-4 (Low)</w:t>
            </w:r>
          </w:p>
        </w:tc>
        <w:tc>
          <w:tcPr/>
          <w:p>
            <w:pPr>
              <w:pStyle w:val="Compact"/>
            </w:pPr>
            <w:r>
              <w:t xml:space="preserve">เหตุการณ์เล็กน้อย/near-miss/policy violation</w:t>
            </w:r>
          </w:p>
        </w:tc>
        <w:tc>
          <w:tcPr/>
          <w:p>
            <w:pPr>
              <w:pStyle w:val="Compact"/>
            </w:pPr>
            <w:r>
              <w:t xml:space="preserve">phishing ที่ผู้ใช้รายงานและไม่ได้คลิก; log anomaly เดี่ยว</w:t>
            </w:r>
          </w:p>
        </w:tc>
        <w:tc>
          <w:tcPr/>
          <w:p>
            <w:pPr>
              <w:pStyle w:val="Compact"/>
            </w:pPr>
            <w:r>
              <w:t xml:space="preserve">SOC analyst</w:t>
            </w:r>
          </w:p>
        </w:tc>
        <w:tc>
          <w:tcPr/>
          <w:p>
            <w:pPr>
              <w:pStyle w:val="Compact"/>
            </w:pPr>
            <w:r>
              <w:t xml:space="preserve">ตามรอบงานปกติ</w:t>
            </w:r>
          </w:p>
        </w:tc>
      </w:tr>
    </w:tbl>
    <w:p>
      <w:pPr>
        <w:pStyle w:val="BodyText"/>
      </w:pPr>
      <w:r>
        <w:rPr>
          <w:b/>
          <w:bCs/>
        </w:rPr>
        <w:t xml:space="preserve">เกณฑ์ยกระดับ (escalation triggers):</w:t>
      </w:r>
      <w:r>
        <w:t xml:space="preserve"> </w:t>
      </w:r>
      <w:r>
        <w:t xml:space="preserve">ยกเป็น SEV-1 ทันทีเมื่อเข้าข่ายข้อใดข้อหนึ่ง — (ก) สงสัยว่ามีการเข้าถึง CHD/SAD, (ข) key/HSM ถูก compromise, (ค) ยืนยัน exfiltration ของ PII, (ง) ระบบชำระเงินหลักไม่พร้อมใช้เกิน RTO (30 นาที ตาม</w:t>
      </w:r>
      <w:r>
        <w:t xml:space="preserve"> </w:t>
      </w:r>
      <w:r>
        <w:rPr>
          <w:rStyle w:val="VerbatimChar"/>
        </w:rPr>
        <w:t xml:space="preserve">ARCHITECTURE.md</w:t>
      </w:r>
      <w:r>
        <w:t xml:space="preserve">), (จ) card scheme/acquirer/หน่วยงานภายนอกแจ้งว่าเราคือ CPP (Common Point of Purchase)</w:t>
      </w:r>
    </w:p>
    <w:p>
      <w:pPr>
        <w:pStyle w:val="BlockText"/>
      </w:pPr>
      <w:r>
        <w:rPr>
          <w:b/>
          <w:bCs/>
        </w:rPr>
        <w:t xml:space="preserve">หมายเหตุ PCI:</w:t>
      </w:r>
      <w:r>
        <w:t xml:space="preserve"> </w:t>
      </w:r>
      <w:r>
        <w:t xml:space="preserve">เหตุการณ์ที่กระทบ</w:t>
      </w:r>
      <w:r>
        <w:t xml:space="preserve"> </w:t>
      </w:r>
      <w:r>
        <w:rPr>
          <w:b/>
          <w:bCs/>
        </w:rPr>
        <w:t xml:space="preserve">account data</w:t>
      </w:r>
      <w:r>
        <w:t xml:space="preserve"> </w:t>
      </w:r>
      <w:r>
        <w:t xml:space="preserve">ตาม PCI-DSS v4.0 ต้องถือเป็น SEV-1/SEV-2 เสมอ และเข้าสู่กระบวนการ</w:t>
      </w:r>
      <w:r>
        <w:t xml:space="preserve"> </w:t>
      </w:r>
      <w:r>
        <w:rPr>
          <w:b/>
          <w:bCs/>
        </w:rPr>
        <w:t xml:space="preserve">ADC (Account Data Compromise)</w:t>
      </w:r>
      <w:r>
        <w:t xml:space="preserve"> </w:t>
      </w:r>
      <w:r>
        <w:t xml:space="preserve">ของ scheme ผ่าน acquirer</w:t>
      </w:r>
    </w:p>
    <w:p>
      <w:r>
        <w:pict>
          <v:rect style="width:0;height:1.5pt" o:hralign="center" o:hrstd="t" o:hr="t"/>
        </w:pict>
      </w:r>
    </w:p>
    <w:bookmarkEnd w:id="552"/>
    <w:bookmarkStart w:id="553" w:name="Xbe9311f8c9400099ffd85cbf87593dd9bb0e2a9"/>
    <w:p>
      <w:pPr>
        <w:pStyle w:val="Heading2"/>
      </w:pPr>
      <w:r>
        <w:t xml:space="preserve">4. วงจรตอบสนองเหตุการณ์ (Incident Lifecycle — PCI Req 12.10.1)</w:t>
      </w:r>
    </w:p>
    <w:p>
      <w:pPr>
        <w:pStyle w:val="SourceCode"/>
      </w:pPr>
      <w:r>
        <w:rPr>
          <w:rStyle w:val="VerbatimChar"/>
        </w:rPr>
        <w:t xml:space="preserve">Detect ──▶ Triage/Classify ──▶ Contain ──▶ Eradicate ──▶ Recover ──▶ Notify ──▶ Post-Incident Review</w:t>
      </w:r>
      <w:r>
        <w:br/>
      </w:r>
      <w:r>
        <w:rPr>
          <w:rStyle w:val="VerbatimChar"/>
        </w:rPr>
        <w:t xml:space="preserve">  │            │(severity)        │           │            │           │(72h/ธปท.)      │(lessons learned)</w:t>
      </w:r>
      <w:r>
        <w:br/>
      </w:r>
      <w:r>
        <w:rPr>
          <w:rStyle w:val="VerbatimChar"/>
        </w:rPr>
        <w:t xml:space="preserve">  └── SIEM/IDS/WAF/anomaly       └── isolate  └── patch    └── restore └── regulators  └── update controls</w:t>
      </w:r>
      <w:r>
        <w:br/>
      </w:r>
      <w:r>
        <w:rPr>
          <w:rStyle w:val="VerbatimChar"/>
        </w:rPr>
        <w:t xml:space="preserve">      /merchant/scheme report        /revoke      /rebuild     (RPO≤5m)     /merchants</w:t>
      </w:r>
    </w:p>
    <w:p>
      <w:pPr>
        <w:pStyle w:val="Compact"/>
        <w:numPr>
          <w:ilvl w:val="0"/>
          <w:numId w:val="1226"/>
        </w:numPr>
      </w:pPr>
      <w:r>
        <w:rPr>
          <w:b/>
          <w:bCs/>
        </w:rPr>
        <w:t xml:space="preserve">Detect &amp; Report</w:t>
      </w:r>
      <w:r>
        <w:t xml:space="preserve"> </w:t>
      </w:r>
      <w:r>
        <w:t xml:space="preserve">— แหล่งตรวจจับ: SIEM/alert (PCI Req 10), IDS/IPS, WAF, FIM,</w:t>
      </w:r>
      <w:r>
        <w:t xml:space="preserve"> </w:t>
      </w:r>
      <w:r>
        <w:rPr>
          <w:rStyle w:val="VerbatimChar"/>
        </w:rPr>
        <w:t xml:space="preserve">audit_log</w:t>
      </w:r>
      <w:r>
        <w:t xml:space="preserve">, anomaly ของ Risk Engine, การแจ้งจาก merchant/acquirer/scheme หรือ external. ทุกคนมีหน้าที่รายงานผ่านช่องทางเดียว (security@ / on-call hotline) ภายในเวลาที่กำหนด</w:t>
      </w:r>
    </w:p>
    <w:p>
      <w:pPr>
        <w:pStyle w:val="Compact"/>
        <w:numPr>
          <w:ilvl w:val="0"/>
          <w:numId w:val="1226"/>
        </w:numPr>
      </w:pPr>
      <w:r>
        <w:rPr>
          <w:b/>
          <w:bCs/>
        </w:rPr>
        <w:t xml:space="preserve">Triage &amp; Classify</w:t>
      </w:r>
      <w:r>
        <w:t xml:space="preserve"> </w:t>
      </w:r>
      <w:r>
        <w:t xml:space="preserve">— IC/on-call ประเมินความรุนแรงตามข้อ 3, เปิด incident ticket, บันทึก timeline</w:t>
      </w:r>
    </w:p>
    <w:p>
      <w:pPr>
        <w:pStyle w:val="Compact"/>
        <w:numPr>
          <w:ilvl w:val="0"/>
          <w:numId w:val="1226"/>
        </w:numPr>
      </w:pPr>
      <w:r>
        <w:rPr>
          <w:b/>
          <w:bCs/>
        </w:rPr>
        <w:t xml:space="preserve">Contain</w:t>
      </w:r>
      <w:r>
        <w:t xml:space="preserve"> </w:t>
      </w:r>
      <w:r>
        <w:t xml:space="preserve">— isolate host/segment, revoke credentials/keys, block IP, disable API key ที่ถูกใช้, snapshot เพื่อ forensics</w:t>
      </w:r>
      <w:r>
        <w:t xml:space="preserve"> </w:t>
      </w:r>
      <w:r>
        <w:rPr>
          <w:b/>
          <w:bCs/>
        </w:rPr>
        <w:t xml:space="preserve">ก่อน</w:t>
      </w:r>
      <w:r>
        <w:t xml:space="preserve"> </w:t>
      </w:r>
      <w:r>
        <w:t xml:space="preserve">ทำลายหลักฐาน</w:t>
      </w:r>
    </w:p>
    <w:p>
      <w:pPr>
        <w:pStyle w:val="Compact"/>
        <w:numPr>
          <w:ilvl w:val="0"/>
          <w:numId w:val="1226"/>
        </w:numPr>
      </w:pPr>
      <w:r>
        <w:rPr>
          <w:b/>
          <w:bCs/>
        </w:rPr>
        <w:t xml:space="preserve">Eradicate</w:t>
      </w:r>
      <w:r>
        <w:t xml:space="preserve"> </w:t>
      </w:r>
      <w:r>
        <w:t xml:space="preserve">— ลบ malware/backdoor, patch ช่องโหว่, หมุนคีย์ (HSM/KMS key rotation, PCI Req 3), reset credential ทั้งหมดที่เกี่ยวข้อง</w:t>
      </w:r>
    </w:p>
    <w:p>
      <w:pPr>
        <w:pStyle w:val="Compact"/>
        <w:numPr>
          <w:ilvl w:val="0"/>
          <w:numId w:val="1226"/>
        </w:numPr>
      </w:pPr>
      <w:r>
        <w:rPr>
          <w:b/>
          <w:bCs/>
        </w:rPr>
        <w:t xml:space="preserve">Recover</w:t>
      </w:r>
      <w:r>
        <w:t xml:space="preserve"> </w:t>
      </w:r>
      <w:r>
        <w:t xml:space="preserve">— restore จาก backup ที่สะอาด (RPO ≤ 5 นาที, RTO ≤ 30 นาที), ตรวจ integrity, เฝ้าระวังเข้มข้น (heightened monitoring) อย่างน้อย 14 วัน</w:t>
      </w:r>
    </w:p>
    <w:p>
      <w:pPr>
        <w:pStyle w:val="Compact"/>
        <w:numPr>
          <w:ilvl w:val="0"/>
          <w:numId w:val="1226"/>
        </w:numPr>
      </w:pPr>
      <w:r>
        <w:rPr>
          <w:b/>
          <w:bCs/>
        </w:rPr>
        <w:t xml:space="preserve">Notify</w:t>
      </w:r>
      <w:r>
        <w:t xml:space="preserve"> </w:t>
      </w:r>
      <w:r>
        <w:t xml:space="preserve">— แจ้งหน่วยงานกำกับและผู้มีส่วนได้เสียตามข้อ 5–6</w:t>
      </w:r>
    </w:p>
    <w:p>
      <w:pPr>
        <w:pStyle w:val="Compact"/>
        <w:numPr>
          <w:ilvl w:val="0"/>
          <w:numId w:val="1226"/>
        </w:numPr>
      </w:pPr>
      <w:r>
        <w:rPr>
          <w:b/>
          <w:bCs/>
        </w:rPr>
        <w:t xml:space="preserve">Post-Incident Review</w:t>
      </w:r>
      <w:r>
        <w:t xml:space="preserve"> </w:t>
      </w:r>
      <w:r>
        <w:t xml:space="preserve">— RCA ภายใน 10 วันทำการ, lessons learned, ปรับ control, อัปเดตแผน (PCI Req 12.10.6)</w:t>
      </w:r>
    </w:p>
    <w:p>
      <w:r>
        <w:pict>
          <v:rect style="width:0;height:1.5pt" o:hralign="center" o:hrstd="t" o:hr="t"/>
        </w:pict>
      </w:r>
    </w:p>
    <w:bookmarkEnd w:id="553"/>
    <w:bookmarkStart w:id="554" w:name="X6004e695edff119df7cfab54cc369b0a5a621ed"/>
    <w:p>
      <w:pPr>
        <w:pStyle w:val="Heading2"/>
      </w:pPr>
      <w:r>
        <w:t xml:space="preserve">5. กรอบเวลาการแจ้งเหตุ (Notification Timelines &amp; Thresholds)</w:t>
      </w:r>
    </w:p>
    <w:p>
      <w:pPr>
        <w:pStyle w:val="BlockText"/>
      </w:pPr>
      <w:r>
        <w:t xml:space="preserve">[!WARNING]</w:t>
      </w:r>
      <w:r>
        <w:t xml:space="preserve"> </w:t>
      </w:r>
      <w:r>
        <w:rPr>
          <w:b/>
          <w:bCs/>
        </w:rPr>
        <w:t xml:space="preserve">72 ชั่วโมง (PDPA ม.37(4))</w:t>
      </w:r>
      <w:r>
        <w:t xml:space="preserve"> </w:t>
      </w:r>
      <w:r>
        <w:t xml:space="preserve">และกรอบเวลาการแจ้ง ธปท./scheme เป็นภาระตามกฎหมาย/สัญญาที่ห้ามพลาด</w:t>
      </w:r>
      <w:r>
        <w:t xml:space="preserve"> </w:t>
      </w:r>
      <w:r>
        <w:t xml:space="preserve">เริ่มนับ</w:t>
      </w:r>
      <w:r>
        <w:t xml:space="preserve"> </w:t>
      </w:r>
      <w:r>
        <w:t xml:space="preserve">“นาฬิกา 72 ชม.”</w:t>
      </w:r>
      <w:r>
        <w:t xml:space="preserve"> </w:t>
      </w:r>
      <w:r>
        <w:rPr>
          <w:b/>
          <w:bCs/>
        </w:rPr>
        <w:t xml:space="preserve">ตั้งแต่เวลาที่ผู้ควบคุมข้อมูล</w:t>
      </w:r>
      <w:r>
        <w:rPr>
          <w:b/>
          <w:bCs/>
        </w:rPr>
        <w:t xml:space="preserve"> </w:t>
      </w:r>
      <w:r>
        <w:rPr>
          <w:b/>
          <w:bCs/>
        </w:rPr>
        <w:t xml:space="preserve">‘ทราบเหตุ (become aware)’</w:t>
      </w:r>
      <w:r>
        <w:t xml:space="preserve"> </w:t>
      </w:r>
      <w:r>
        <w:t xml:space="preserve">ไม่ใช่ตั้งแต่เกิดเหตุ — ต้องบันทึกเวลานี้ให้ชัดใน timeline</w:t>
      </w:r>
    </w:p>
    <w:tbl>
      <w:tblPr>
        <w:tblStyle w:val="Table"/>
        <w:tblW w:type="pct" w:w="5000"/>
        <w:tblLayout w:type="fixed"/>
        <w:tblLook w:firstRow="1" w:lastRow="0" w:firstColumn="0" w:lastColumn="0" w:noHBand="0" w:noVBand="0" w:val="0020"/>
      </w:tblPr>
      <w:tblGrid>
        <w:gridCol w:w="1502"/>
        <w:gridCol w:w="2048"/>
        <w:gridCol w:w="1365"/>
        <w:gridCol w:w="1775"/>
        <w:gridCol w:w="1228"/>
      </w:tblGrid>
      <w:tr>
        <w:trPr>
          <w:tblHeader w:val="on"/>
        </w:trPr>
        <w:tc>
          <w:tcPr/>
          <w:p>
            <w:pPr>
              <w:pStyle w:val="Compact"/>
            </w:pPr>
            <w:r>
              <w:t xml:space="preserve">ผู้รับแจ้ง</w:t>
            </w:r>
          </w:p>
        </w:tc>
        <w:tc>
          <w:tcPr/>
          <w:p>
            <w:pPr>
              <w:pStyle w:val="Compact"/>
            </w:pPr>
            <w:r>
              <w:t xml:space="preserve">เงื่อนไข/เกณฑ์</w:t>
            </w:r>
          </w:p>
        </w:tc>
        <w:tc>
          <w:tcPr/>
          <w:p>
            <w:pPr>
              <w:pStyle w:val="Compact"/>
            </w:pPr>
            <w:r>
              <w:t xml:space="preserve">กรอบเวลา</w:t>
            </w:r>
          </w:p>
        </w:tc>
        <w:tc>
          <w:tcPr/>
          <w:p>
            <w:pPr>
              <w:pStyle w:val="Compact"/>
            </w:pPr>
            <w:r>
              <w:t xml:space="preserve">ผู้รับผิดชอบ</w:t>
            </w:r>
          </w:p>
        </w:tc>
        <w:tc>
          <w:tcPr/>
          <w:p>
            <w:pPr>
              <w:pStyle w:val="Compact"/>
            </w:pPr>
            <w:r>
              <w:t xml:space="preserve">อ้างอิง</w:t>
            </w:r>
          </w:p>
        </w:tc>
      </w:tr>
      <w:tr>
        <w:tc>
          <w:tcPr/>
          <w:p>
            <w:pPr>
              <w:pStyle w:val="Compact"/>
            </w:pPr>
            <w:r>
              <w:rPr>
                <w:b/>
                <w:bCs/>
              </w:rPr>
              <w:t xml:space="preserve">PDPC (สคส.)</w:t>
            </w:r>
          </w:p>
        </w:tc>
        <w:tc>
          <w:tcPr/>
          <w:p>
            <w:pPr>
              <w:pStyle w:val="Compact"/>
            </w:pPr>
            <w:r>
              <w:t xml:space="preserve">มี</w:t>
            </w:r>
            <w:r>
              <w:t xml:space="preserve"> </w:t>
            </w:r>
            <w:r>
              <w:rPr>
                <w:b/>
                <w:bCs/>
              </w:rPr>
              <w:t xml:space="preserve">personal data breach</w:t>
            </w:r>
            <w:r>
              <w:t xml:space="preserve"> </w:t>
            </w:r>
            <w:r>
              <w:t xml:space="preserve">ที่</w:t>
            </w:r>
            <w:r>
              <w:t xml:space="preserve"> </w:t>
            </w:r>
            <w:r>
              <w:rPr>
                <w:b/>
                <w:bCs/>
              </w:rPr>
              <w:t xml:space="preserve">มีความเสี่ยงต่อสิทธิและเสรีภาพของบุคคล</w:t>
            </w:r>
          </w:p>
        </w:tc>
        <w:tc>
          <w:tcPr/>
          <w:p>
            <w:pPr>
              <w:pStyle w:val="Compact"/>
            </w:pPr>
            <w:r>
              <w:rPr>
                <w:b/>
                <w:bCs/>
              </w:rPr>
              <w:t xml:space="preserve">ภายใน 72 ชม.</w:t>
            </w:r>
            <w:r>
              <w:t xml:space="preserve"> </w:t>
            </w:r>
            <w:r>
              <w:t xml:space="preserve">นับแต่ทราบเหตุ (เว้นแต่ความเสี่ยงต่ำ)</w:t>
            </w:r>
          </w:p>
        </w:tc>
        <w:tc>
          <w:tcPr/>
          <w:p>
            <w:pPr>
              <w:pStyle w:val="Compact"/>
            </w:pPr>
            <w:r>
              <w:t xml:space="preserve">DPO</w:t>
            </w:r>
          </w:p>
        </w:tc>
        <w:tc>
          <w:tcPr/>
          <w:p>
            <w:pPr>
              <w:pStyle w:val="Compact"/>
            </w:pPr>
            <w:r>
              <w:t xml:space="preserve">PDPA ม.37(4)</w:t>
            </w:r>
          </w:p>
        </w:tc>
      </w:tr>
      <w:tr>
        <w:tc>
          <w:tcPr/>
          <w:p>
            <w:pPr>
              <w:pStyle w:val="Compact"/>
            </w:pPr>
            <w:r>
              <w:rPr>
                <w:b/>
                <w:bCs/>
              </w:rPr>
              <w:t xml:space="preserve">เจ้าของข้อมูล (Data Subjects)</w:t>
            </w:r>
          </w:p>
        </w:tc>
        <w:tc>
          <w:tcPr/>
          <w:p>
            <w:pPr>
              <w:pStyle w:val="Compact"/>
            </w:pPr>
            <w:r>
              <w:t xml:space="preserve">breach มี</w:t>
            </w:r>
            <w:r>
              <w:t xml:space="preserve"> </w:t>
            </w:r>
            <w:r>
              <w:rPr>
                <w:b/>
                <w:bCs/>
              </w:rPr>
              <w:t xml:space="preserve">ความเสี่ยงสูง</w:t>
            </w:r>
            <w:r>
              <w:t xml:space="preserve"> </w:t>
            </w:r>
            <w:r>
              <w:t xml:space="preserve">ต่อสิทธิและเสรีภาพ</w:t>
            </w:r>
          </w:p>
        </w:tc>
        <w:tc>
          <w:tcPr/>
          <w:p>
            <w:pPr>
              <w:pStyle w:val="Compact"/>
            </w:pPr>
            <w:r>
              <w:rPr>
                <w:b/>
                <w:bCs/>
              </w:rPr>
              <w:t xml:space="preserve">โดยไม่ชักช้า (without undue delay)</w:t>
            </w:r>
            <w:r>
              <w:t xml:space="preserve"> </w:t>
            </w:r>
            <w:r>
              <w:t xml:space="preserve">พร้อมมาตรการเยียวยา</w:t>
            </w:r>
          </w:p>
        </w:tc>
        <w:tc>
          <w:tcPr/>
          <w:p>
            <w:pPr>
              <w:pStyle w:val="Compact"/>
            </w:pPr>
            <w:r>
              <w:t xml:space="preserve">DPO + Comms</w:t>
            </w:r>
          </w:p>
        </w:tc>
        <w:tc>
          <w:tcPr/>
          <w:p>
            <w:pPr>
              <w:pStyle w:val="Compact"/>
            </w:pPr>
            <w:r>
              <w:t xml:space="preserve">PDPA ม.37(4)</w:t>
            </w:r>
          </w:p>
        </w:tc>
      </w:tr>
      <w:tr>
        <w:tc>
          <w:tcPr/>
          <w:p>
            <w:pPr>
              <w:pStyle w:val="Compact"/>
            </w:pPr>
            <w:r>
              <w:rPr>
                <w:b/>
                <w:bCs/>
              </w:rPr>
              <w:t xml:space="preserve">ธปท. (BOT)</w:t>
            </w:r>
          </w:p>
        </w:tc>
        <w:tc>
          <w:tcPr/>
          <w:p>
            <w:pPr>
              <w:pStyle w:val="Compact"/>
            </w:pPr>
            <w:r>
              <w:t xml:space="preserve">เหตุการณ์ IT/cyber ที่มีนัยสำคัญต่อระบบชำระเงิน/ผู้ใช้บริการ (SEV-1/SEV-2)</w:t>
            </w:r>
          </w:p>
        </w:tc>
        <w:tc>
          <w:tcPr/>
          <w:p>
            <w:pPr>
              <w:pStyle w:val="Compact"/>
            </w:pPr>
            <w:r>
              <w:t xml:space="preserve">ตามประกาศ ธปท. ด้าน IT Risk/Cyber Resilience —</w:t>
            </w:r>
            <w:r>
              <w:t xml:space="preserve"> </w:t>
            </w:r>
            <w:r>
              <w:rPr>
                <w:b/>
                <w:bCs/>
              </w:rPr>
              <w:t xml:space="preserve">โดยเร็ว</w:t>
            </w:r>
            <w:r>
              <w:t xml:space="preserve"> </w:t>
            </w:r>
            <w:r>
              <w:t xml:space="preserve">(ยืนยัน SLA จริง — A5)</w:t>
            </w:r>
          </w:p>
        </w:tc>
        <w:tc>
          <w:tcPr/>
          <w:p>
            <w:pPr>
              <w:pStyle w:val="Compact"/>
            </w:pPr>
            <w:r>
              <w:t xml:space="preserve">CCO</w:t>
            </w:r>
          </w:p>
        </w:tc>
        <w:tc>
          <w:tcPr/>
          <w:p>
            <w:pPr>
              <w:pStyle w:val="Compact"/>
            </w:pPr>
            <w:r>
              <w:t xml:space="preserve">ประกาศ ธปท.</w:t>
            </w:r>
          </w:p>
        </w:tc>
      </w:tr>
      <w:tr>
        <w:tc>
          <w:tcPr/>
          <w:p>
            <w:pPr>
              <w:pStyle w:val="Compact"/>
            </w:pPr>
            <w:r>
              <w:rPr>
                <w:b/>
                <w:bCs/>
              </w:rPr>
              <w:t xml:space="preserve">Acquirer / Card Scheme (Visa/Mastercard)</w:t>
            </w:r>
          </w:p>
        </w:tc>
        <w:tc>
          <w:tcPr/>
          <w:p>
            <w:pPr>
              <w:pStyle w:val="Compact"/>
            </w:pPr>
            <w:r>
              <w:t xml:space="preserve">สงสัย/ยืนยัน</w:t>
            </w:r>
            <w:r>
              <w:t xml:space="preserve"> </w:t>
            </w:r>
            <w:r>
              <w:rPr>
                <w:b/>
                <w:bCs/>
              </w:rPr>
              <w:t xml:space="preserve">account data compromise (ADC)</w:t>
            </w:r>
          </w:p>
        </w:tc>
        <w:tc>
          <w:tcPr/>
          <w:p>
            <w:pPr>
              <w:pStyle w:val="Compact"/>
            </w:pPr>
            <w:r>
              <w:rPr>
                <w:b/>
                <w:bCs/>
              </w:rPr>
              <w:t xml:space="preserve">โดยทันที / ภายใน 24 ชม.</w:t>
            </w:r>
            <w:r>
              <w:t xml:space="preserve"> </w:t>
            </w:r>
            <w:r>
              <w:t xml:space="preserve">ตามกฎ scheme (ยืนยันผ่าน sponsor bank — A2)</w:t>
            </w:r>
          </w:p>
        </w:tc>
        <w:tc>
          <w:tcPr/>
          <w:p>
            <w:pPr>
              <w:pStyle w:val="Compact"/>
            </w:pPr>
            <w:r>
              <w:t xml:space="preserve">CISO + Compliance</w:t>
            </w:r>
          </w:p>
        </w:tc>
        <w:tc>
          <w:tcPr/>
          <w:p>
            <w:pPr>
              <w:pStyle w:val="Compact"/>
            </w:pPr>
            <w:r>
              <w:t xml:space="preserve">PCI DSS Req 12.10; Visa/MC ADC rules</w:t>
            </w:r>
          </w:p>
        </w:tc>
      </w:tr>
      <w:tr>
        <w:tc>
          <w:tcPr/>
          <w:p>
            <w:pPr>
              <w:pStyle w:val="Compact"/>
            </w:pPr>
            <w:r>
              <w:rPr>
                <w:b/>
                <w:bCs/>
              </w:rPr>
              <w:t xml:space="preserve">PFI (Forensic Investigator)</w:t>
            </w:r>
          </w:p>
        </w:tc>
        <w:tc>
          <w:tcPr/>
          <w:p>
            <w:pPr>
              <w:pStyle w:val="Compact"/>
            </w:pPr>
            <w:r>
              <w:t xml:space="preserve">ADC ที่ scheme กำหนดให้สอบสวน</w:t>
            </w:r>
          </w:p>
        </w:tc>
        <w:tc>
          <w:tcPr/>
          <w:p>
            <w:pPr>
              <w:pStyle w:val="Compact"/>
            </w:pPr>
            <w:r>
              <w:t xml:space="preserve">เริ่ม engage</w:t>
            </w:r>
            <w:r>
              <w:t xml:space="preserve"> </w:t>
            </w:r>
            <w:r>
              <w:rPr>
                <w:b/>
                <w:bCs/>
              </w:rPr>
              <w:t xml:space="preserve">ภายใน 5 วัน</w:t>
            </w:r>
            <w:r>
              <w:t xml:space="preserve"> </w:t>
            </w:r>
            <w:r>
              <w:t xml:space="preserve">ตามกฎ scheme</w:t>
            </w:r>
          </w:p>
        </w:tc>
        <w:tc>
          <w:tcPr/>
          <w:p>
            <w:pPr>
              <w:pStyle w:val="Compact"/>
            </w:pPr>
            <w:r>
              <w:t xml:space="preserve">CISO</w:t>
            </w:r>
          </w:p>
        </w:tc>
        <w:tc>
          <w:tcPr/>
          <w:p>
            <w:pPr>
              <w:pStyle w:val="Compact"/>
            </w:pPr>
            <w:r>
              <w:t xml:space="preserve">Scheme ADC program</w:t>
            </w:r>
          </w:p>
        </w:tc>
      </w:tr>
      <w:tr>
        <w:tc>
          <w:tcPr/>
          <w:p>
            <w:pPr>
              <w:pStyle w:val="Compact"/>
            </w:pPr>
            <w:r>
              <w:rPr>
                <w:b/>
                <w:bCs/>
              </w:rPr>
              <w:t xml:space="preserve">ปปง. (AMLO)</w:t>
            </w:r>
          </w:p>
        </w:tc>
        <w:tc>
          <w:tcPr/>
          <w:p>
            <w:pPr>
              <w:pStyle w:val="Compact"/>
            </w:pPr>
            <w:r>
              <w:t xml:space="preserve">หากเหตุการณ์เชื่อมโยงกับการฟอกเงิน/ฉ้อโกงเข้าเกณฑ์ STR</w:t>
            </w:r>
          </w:p>
        </w:tc>
        <w:tc>
          <w:tcPr/>
          <w:p>
            <w:pPr>
              <w:pStyle w:val="Compact"/>
            </w:pPr>
            <w:r>
              <w:t xml:space="preserve">ตาม</w:t>
            </w:r>
            <w:r>
              <w:t xml:space="preserve"> </w:t>
            </w:r>
            <w:r>
              <w:rPr>
                <w:rStyle w:val="VerbatimChar"/>
              </w:rPr>
              <w:t xml:space="preserve">07-sar-str-procedure.md</w:t>
            </w:r>
          </w:p>
        </w:tc>
        <w:tc>
          <w:tcPr/>
          <w:p>
            <w:pPr>
              <w:pStyle w:val="Compact"/>
            </w:pPr>
            <w:r>
              <w:t xml:space="preserve">MLRO</w:t>
            </w:r>
          </w:p>
        </w:tc>
        <w:tc>
          <w:tcPr/>
          <w:p>
            <w:pPr>
              <w:pStyle w:val="Compact"/>
            </w:pPr>
            <w:r>
              <w:t xml:space="preserve">พ.ร.บ.ปปง.</w:t>
            </w:r>
          </w:p>
        </w:tc>
      </w:tr>
      <w:tr>
        <w:tc>
          <w:tcPr/>
          <w:p>
            <w:pPr>
              <w:pStyle w:val="Compact"/>
            </w:pPr>
            <w:r>
              <w:rPr>
                <w:b/>
                <w:bCs/>
              </w:rPr>
              <w:t xml:space="preserve">ผู้บังคับใช้กฎหมาย (ตำรวจ/ปอท.)</w:t>
            </w:r>
          </w:p>
        </w:tc>
        <w:tc>
          <w:tcPr/>
          <w:p>
            <w:pPr>
              <w:pStyle w:val="Compact"/>
            </w:pPr>
            <w:r>
              <w:t xml:space="preserve">อาชญากรรมไซเบอร์/ ransomware/ extortion</w:t>
            </w:r>
          </w:p>
        </w:tc>
        <w:tc>
          <w:tcPr/>
          <w:p>
            <w:pPr>
              <w:pStyle w:val="Compact"/>
            </w:pPr>
            <w:r>
              <w:t xml:space="preserve">ตามคำแนะนำ Legal</w:t>
            </w:r>
          </w:p>
        </w:tc>
        <w:tc>
          <w:tcPr/>
          <w:p>
            <w:pPr>
              <w:pStyle w:val="Compact"/>
            </w:pPr>
            <w:r>
              <w:t xml:space="preserve">Legal + CISO</w:t>
            </w:r>
          </w:p>
        </w:tc>
        <w:tc>
          <w:tcPr/>
          <w:p>
            <w:pPr>
              <w:pStyle w:val="Compact"/>
            </w:pPr>
            <w:r>
              <w:t xml:space="preserve">—</w:t>
            </w:r>
          </w:p>
        </w:tc>
      </w:tr>
      <w:tr>
        <w:tc>
          <w:tcPr/>
          <w:p>
            <w:pPr>
              <w:pStyle w:val="Compact"/>
            </w:pPr>
            <w:r>
              <w:rPr>
                <w:b/>
                <w:bCs/>
              </w:rPr>
              <w:t xml:space="preserve">Merchants ที่ได้รับผลกระทบ</w:t>
            </w:r>
          </w:p>
        </w:tc>
        <w:tc>
          <w:tcPr/>
          <w:p>
            <w:pPr>
              <w:pStyle w:val="Compact"/>
            </w:pPr>
            <w:r>
              <w:t xml:space="preserve">ข้อมูล merchant/ผู้ถือบัตรของ merchant กระทบ</w:t>
            </w:r>
          </w:p>
        </w:tc>
        <w:tc>
          <w:tcPr/>
          <w:p>
            <w:pPr>
              <w:pStyle w:val="Compact"/>
            </w:pPr>
            <w:r>
              <w:t xml:space="preserve">โดยไม่ชักช้า ตามสัญญา/SLA</w:t>
            </w:r>
          </w:p>
        </w:tc>
        <w:tc>
          <w:tcPr/>
          <w:p>
            <w:pPr>
              <w:pStyle w:val="Compact"/>
            </w:pPr>
            <w:r>
              <w:t xml:space="preserve">Merchant Support</w:t>
            </w:r>
          </w:p>
        </w:tc>
        <w:tc>
          <w:tcPr/>
          <w:p>
            <w:pPr>
              <w:pStyle w:val="Compact"/>
            </w:pPr>
            <w:r>
              <w:t xml:space="preserve">สัญญาบริการ</w:t>
            </w:r>
          </w:p>
        </w:tc>
      </w:tr>
      <w:tr>
        <w:tc>
          <w:tcPr/>
          <w:p>
            <w:pPr>
              <w:pStyle w:val="Compact"/>
            </w:pPr>
            <w:r>
              <w:rPr>
                <w:b/>
                <w:bCs/>
              </w:rPr>
              <w:t xml:space="preserve">Cyber insurer</w:t>
            </w:r>
          </w:p>
        </w:tc>
        <w:tc>
          <w:tcPr/>
          <w:p>
            <w:pPr>
              <w:pStyle w:val="Compact"/>
            </w:pPr>
            <w:r>
              <w:t xml:space="preserve">เข้าเงื่อนไขกรมธรรม์</w:t>
            </w:r>
          </w:p>
        </w:tc>
        <w:tc>
          <w:tcPr/>
          <w:p>
            <w:pPr>
              <w:pStyle w:val="Compact"/>
            </w:pPr>
            <w:r>
              <w:t xml:space="preserve">ตามเงื่อนไขแจ้งเหตุของกรมธรรม์ (A7)</w:t>
            </w:r>
          </w:p>
        </w:tc>
        <w:tc>
          <w:tcPr/>
          <w:p>
            <w:pPr>
              <w:pStyle w:val="Compact"/>
            </w:pPr>
            <w:r>
              <w:t xml:space="preserve">CFO/CISO</w:t>
            </w:r>
          </w:p>
        </w:tc>
        <w:tc>
          <w:tcPr/>
          <w:p>
            <w:pPr>
              <w:pStyle w:val="Compact"/>
            </w:pPr>
            <w:r>
              <w:t xml:space="preserve">กรมธรรม์</w:t>
            </w:r>
          </w:p>
        </w:tc>
      </w:tr>
    </w:tbl>
    <w:p>
      <w:pPr>
        <w:pStyle w:val="BodyText"/>
      </w:pPr>
      <w:r>
        <w:rPr>
          <w:b/>
          <w:bCs/>
        </w:rPr>
        <w:t xml:space="preserve">เนื้อหาขั้นต่ำที่ต้องมีในการแจ้ง PDPC/เจ้าของข้อมูล:</w:t>
      </w:r>
      <w:r>
        <w:t xml:space="preserve"> </w:t>
      </w:r>
      <w:r>
        <w:t xml:space="preserve">ลักษณะของเหตุการณ์และประเภท/ปริมาณข้อมูลที่กระทบ, ผลกระทบที่อาจเกิด, มาตรการที่ดำเนินการ/จะดำเนินการเพื่อจัดการและลดความเสียหาย, ช่องทางติดต่อ (DPO) หากยังไม่ทราบครบสามารถแจ้งเป็นระยะ (phased notification) ได้</w:t>
      </w:r>
    </w:p>
    <w:p>
      <w:r>
        <w:pict>
          <v:rect style="width:0;height:1.5pt" o:hralign="center" o:hrstd="t" o:hr="t"/>
        </w:pict>
      </w:r>
    </w:p>
    <w:bookmarkEnd w:id="554"/>
    <w:bookmarkStart w:id="555" w:name="การสอสาร-communications-plan"/>
    <w:p>
      <w:pPr>
        <w:pStyle w:val="Heading2"/>
      </w:pPr>
      <w:r>
        <w:t xml:space="preserve">6. การสื่อสาร (Communications Plan)</w:t>
      </w:r>
    </w:p>
    <w:tbl>
      <w:tblPr>
        <w:tblStyle w:val="Table"/>
        <w:tblW w:type="pct" w:w="5000"/>
        <w:tblLayout w:type="fixed"/>
        <w:tblLook w:firstRow="1" w:lastRow="0" w:firstColumn="0" w:lastColumn="0" w:noHBand="0" w:noVBand="0" w:val="0020"/>
      </w:tblPr>
      <w:tblGrid>
        <w:gridCol w:w="1810"/>
        <w:gridCol w:w="1584"/>
        <w:gridCol w:w="2489"/>
        <w:gridCol w:w="2036"/>
      </w:tblGrid>
      <w:tr>
        <w:trPr>
          <w:tblHeader w:val="on"/>
        </w:trPr>
        <w:tc>
          <w:tcPr/>
          <w:p>
            <w:pPr>
              <w:pStyle w:val="Compact"/>
            </w:pPr>
            <w:r>
              <w:t xml:space="preserve">ช่องทาง</w:t>
            </w:r>
          </w:p>
        </w:tc>
        <w:tc>
          <w:tcPr/>
          <w:p>
            <w:pPr>
              <w:pStyle w:val="Compact"/>
            </w:pPr>
            <w:r>
              <w:t xml:space="preserve">ผู้รับ</w:t>
            </w:r>
          </w:p>
        </w:tc>
        <w:tc>
          <w:tcPr/>
          <w:p>
            <w:pPr>
              <w:pStyle w:val="Compact"/>
            </w:pPr>
            <w:r>
              <w:t xml:space="preserve">ผู้อนุมัติ</w:t>
            </w:r>
          </w:p>
        </w:tc>
        <w:tc>
          <w:tcPr/>
          <w:p>
            <w:pPr>
              <w:pStyle w:val="Compact"/>
            </w:pPr>
            <w:r>
              <w:t xml:space="preserve">หมายเหตุ</w:t>
            </w:r>
          </w:p>
        </w:tc>
      </w:tr>
      <w:tr>
        <w:tc>
          <w:tcPr/>
          <w:p>
            <w:pPr>
              <w:pStyle w:val="Compact"/>
            </w:pPr>
            <w:r>
              <w:rPr>
                <w:b/>
                <w:bCs/>
              </w:rPr>
              <w:t xml:space="preserve">Internal war room</w:t>
            </w:r>
            <w:r>
              <w:t xml:space="preserve"> </w:t>
            </w:r>
            <w:r>
              <w:t xml:space="preserve">(ช่องทางเข้ารหัส out-of-band เช่น bridge line)</w:t>
            </w:r>
          </w:p>
        </w:tc>
        <w:tc>
          <w:tcPr/>
          <w:p>
            <w:pPr>
              <w:pStyle w:val="Compact"/>
            </w:pPr>
            <w:r>
              <w:t xml:space="preserve">CSIRT</w:t>
            </w:r>
          </w:p>
        </w:tc>
        <w:tc>
          <w:tcPr/>
          <w:p>
            <w:pPr>
              <w:pStyle w:val="Compact"/>
            </w:pPr>
            <w:r>
              <w:t xml:space="preserve">IC</w:t>
            </w:r>
          </w:p>
        </w:tc>
        <w:tc>
          <w:tcPr/>
          <w:p>
            <w:pPr>
              <w:pStyle w:val="Compact"/>
            </w:pPr>
            <w:r>
              <w:t xml:space="preserve">ห้ามใช้ระบบที่อาจถูก compromise</w:t>
            </w:r>
          </w:p>
        </w:tc>
      </w:tr>
      <w:tr>
        <w:tc>
          <w:tcPr/>
          <w:p>
            <w:pPr>
              <w:pStyle w:val="Compact"/>
            </w:pPr>
            <w:r>
              <w:rPr>
                <w:b/>
                <w:bCs/>
              </w:rPr>
              <w:t xml:space="preserve">Executive/Board brief</w:t>
            </w:r>
          </w:p>
        </w:tc>
        <w:tc>
          <w:tcPr/>
          <w:p>
            <w:pPr>
              <w:pStyle w:val="Compact"/>
            </w:pPr>
            <w:r>
              <w:t xml:space="preserve">CEO, Board</w:t>
            </w:r>
          </w:p>
        </w:tc>
        <w:tc>
          <w:tcPr/>
          <w:p>
            <w:pPr>
              <w:pStyle w:val="Compact"/>
            </w:pPr>
            <w:r>
              <w:t xml:space="preserve">IC</w:t>
            </w:r>
          </w:p>
        </w:tc>
        <w:tc>
          <w:tcPr/>
          <w:p>
            <w:pPr>
              <w:pStyle w:val="Compact"/>
            </w:pPr>
            <w:r>
              <w:t xml:space="preserve">SEV-1 แจ้งทันที</w:t>
            </w:r>
          </w:p>
        </w:tc>
      </w:tr>
      <w:tr>
        <w:tc>
          <w:tcPr/>
          <w:p>
            <w:pPr>
              <w:pStyle w:val="Compact"/>
            </w:pPr>
            <w:r>
              <w:rPr>
                <w:b/>
                <w:bCs/>
              </w:rPr>
              <w:t xml:space="preserve">Regulator notice</w:t>
            </w:r>
            <w:r>
              <w:t xml:space="preserve"> </w:t>
            </w:r>
            <w:r>
              <w:t xml:space="preserve">(PDPC, ธปท.)</w:t>
            </w:r>
          </w:p>
        </w:tc>
        <w:tc>
          <w:tcPr/>
          <w:p>
            <w:pPr>
              <w:pStyle w:val="Compact"/>
            </w:pPr>
            <w:r>
              <w:t xml:space="preserve">หน่วยงานกำกับ</w:t>
            </w:r>
          </w:p>
        </w:tc>
        <w:tc>
          <w:tcPr/>
          <w:p>
            <w:pPr>
              <w:pStyle w:val="Compact"/>
            </w:pPr>
            <w:r>
              <w:t xml:space="preserve">DPO/CCO + Legal</w:t>
            </w:r>
          </w:p>
        </w:tc>
        <w:tc>
          <w:tcPr/>
          <w:p>
            <w:pPr>
              <w:pStyle w:val="Compact"/>
            </w:pPr>
            <w:r>
              <w:t xml:space="preserve">เอกสารทางการเท่านั้น</w:t>
            </w:r>
          </w:p>
        </w:tc>
      </w:tr>
      <w:tr>
        <w:tc>
          <w:tcPr/>
          <w:p>
            <w:pPr>
              <w:pStyle w:val="Compact"/>
            </w:pPr>
            <w:r>
              <w:rPr>
                <w:b/>
                <w:bCs/>
              </w:rPr>
              <w:t xml:space="preserve">Scheme/Acquirer notice</w:t>
            </w:r>
          </w:p>
        </w:tc>
        <w:tc>
          <w:tcPr/>
          <w:p>
            <w:pPr>
              <w:pStyle w:val="Compact"/>
            </w:pPr>
            <w:r>
              <w:t xml:space="preserve">sponsor bank, Visa/MC</w:t>
            </w:r>
          </w:p>
        </w:tc>
        <w:tc>
          <w:tcPr/>
          <w:p>
            <w:pPr>
              <w:pStyle w:val="Compact"/>
            </w:pPr>
            <w:r>
              <w:t xml:space="preserve">CISO + Compliance</w:t>
            </w:r>
          </w:p>
        </w:tc>
        <w:tc>
          <w:tcPr/>
          <w:p>
            <w:pPr>
              <w:pStyle w:val="Compact"/>
            </w:pPr>
            <w:r>
              <w:t xml:space="preserve">ผ่านช่องทางที่ scheme กำหนด</w:t>
            </w:r>
          </w:p>
        </w:tc>
      </w:tr>
      <w:tr>
        <w:tc>
          <w:tcPr/>
          <w:p>
            <w:pPr>
              <w:pStyle w:val="Compact"/>
            </w:pPr>
            <w:r>
              <w:rPr>
                <w:b/>
                <w:bCs/>
              </w:rPr>
              <w:t xml:space="preserve">Merchant notice</w:t>
            </w:r>
          </w:p>
        </w:tc>
        <w:tc>
          <w:tcPr/>
          <w:p>
            <w:pPr>
              <w:pStyle w:val="Compact"/>
            </w:pPr>
            <w:r>
              <w:t xml:space="preserve">merchant</w:t>
            </w:r>
          </w:p>
        </w:tc>
        <w:tc>
          <w:tcPr/>
          <w:p>
            <w:pPr>
              <w:pStyle w:val="Compact"/>
            </w:pPr>
            <w:r>
              <w:t xml:space="preserve">Merchant Support Lead</w:t>
            </w:r>
          </w:p>
        </w:tc>
        <w:tc>
          <w:tcPr/>
          <w:p>
            <w:pPr>
              <w:pStyle w:val="Compact"/>
            </w:pPr>
            <w:r>
              <w:t xml:space="preserve">template ผ่าน Legal</w:t>
            </w:r>
          </w:p>
        </w:tc>
      </w:tr>
      <w:tr>
        <w:tc>
          <w:tcPr/>
          <w:p>
            <w:pPr>
              <w:pStyle w:val="Compact"/>
            </w:pPr>
            <w:r>
              <w:rPr>
                <w:b/>
                <w:bCs/>
              </w:rPr>
              <w:t xml:space="preserve">Public/Press statement</w:t>
            </w:r>
          </w:p>
        </w:tc>
        <w:tc>
          <w:tcPr/>
          <w:p>
            <w:pPr>
              <w:pStyle w:val="Compact"/>
            </w:pPr>
            <w:r>
              <w:t xml:space="preserve">สื่อ/สาธารณะ</w:t>
            </w:r>
          </w:p>
        </w:tc>
        <w:tc>
          <w:tcPr/>
          <w:p>
            <w:pPr>
              <w:pStyle w:val="Compact"/>
            </w:pPr>
            <w:r>
              <w:t xml:space="preserve">IC + Legal + Comms</w:t>
            </w:r>
          </w:p>
        </w:tc>
        <w:tc>
          <w:tcPr/>
          <w:p>
            <w:pPr>
              <w:pStyle w:val="Compact"/>
            </w:pPr>
            <w:r>
              <w:t xml:space="preserve">ต้องผ่าน Legal ก่อนเสมอ</w:t>
            </w:r>
          </w:p>
        </w:tc>
      </w:tr>
    </w:tbl>
    <w:p>
      <w:pPr>
        <w:pStyle w:val="BodyText"/>
      </w:pPr>
      <w:r>
        <w:rPr>
          <w:b/>
          <w:bCs/>
        </w:rPr>
        <w:t xml:space="preserve">หลักการสื่อสาร:</w:t>
      </w:r>
      <w:r>
        <w:t xml:space="preserve"> </w:t>
      </w:r>
      <w:r>
        <w:t xml:space="preserve">(1)</w:t>
      </w:r>
      <w:r>
        <w:t xml:space="preserve"> </w:t>
      </w:r>
      <w:r>
        <w:rPr>
          <w:b/>
          <w:bCs/>
        </w:rPr>
        <w:t xml:space="preserve">out-of-band</w:t>
      </w:r>
      <w:r>
        <w:t xml:space="preserve"> </w:t>
      </w:r>
      <w:r>
        <w:t xml:space="preserve">— ไม่สื่อสารเรื่องเหตุการณ์ผ่านระบบที่อาจถูกเจาะ; (2)</w:t>
      </w:r>
      <w:r>
        <w:t xml:space="preserve"> </w:t>
      </w:r>
      <w:r>
        <w:rPr>
          <w:b/>
          <w:bCs/>
        </w:rPr>
        <w:t xml:space="preserve">single source of truth</w:t>
      </w:r>
      <w:r>
        <w:t xml:space="preserve"> </w:t>
      </w:r>
      <w:r>
        <w:t xml:space="preserve">— Comms เป็นผู้เผยแพร่แต่ผู้เดียว; (3)</w:t>
      </w:r>
      <w:r>
        <w:t xml:space="preserve"> </w:t>
      </w:r>
      <w:r>
        <w:rPr>
          <w:b/>
          <w:bCs/>
        </w:rPr>
        <w:t xml:space="preserve">no speculation</w:t>
      </w:r>
      <w:r>
        <w:t xml:space="preserve"> </w:t>
      </w:r>
      <w:r>
        <w:t xml:space="preserve">— สื่อสารเฉพาะข้อเท็จจริงที่ยืนยันแล้ว; (4) ป้องกัน</w:t>
      </w:r>
      <w:r>
        <w:t xml:space="preserve"> </w:t>
      </w:r>
      <w:r>
        <w:rPr>
          <w:b/>
          <w:bCs/>
        </w:rPr>
        <w:t xml:space="preserve">tipping-off</w:t>
      </w:r>
      <w:r>
        <w:t xml:space="preserve"> </w:t>
      </w:r>
      <w:r>
        <w:t xml:space="preserve">เมื่อมีมิติ AML/สอบสวน; (5) ทุกการสื่อสารภายนอกผ่าน Legal</w:t>
      </w:r>
    </w:p>
    <w:p>
      <w:r>
        <w:pict>
          <v:rect style="width:0;height:1.5pt" o:hralign="center" o:hrstd="t" o:hr="t"/>
        </w:pict>
      </w:r>
    </w:p>
    <w:bookmarkEnd w:id="555"/>
    <w:bookmarkStart w:id="556" w:name="X8fb979ad3566baa7e48a2e9e48d944fc316a8b0"/>
    <w:p>
      <w:pPr>
        <w:pStyle w:val="Heading2"/>
      </w:pPr>
      <w:r>
        <w:t xml:space="preserve">7. การเก็บหลักฐานและนิติวิทยาศาสตร์ (Evidence &amp; Forensics)</w:t>
      </w:r>
    </w:p>
    <w:p>
      <w:pPr>
        <w:pStyle w:val="Compact"/>
        <w:numPr>
          <w:ilvl w:val="0"/>
          <w:numId w:val="1227"/>
        </w:numPr>
      </w:pPr>
      <w:r>
        <w:rPr>
          <w:b/>
          <w:bCs/>
        </w:rPr>
        <w:t xml:space="preserve">Chain of custody</w:t>
      </w:r>
      <w:r>
        <w:t xml:space="preserve"> </w:t>
      </w:r>
      <w:r>
        <w:t xml:space="preserve">— บันทึกผู้ครอบครอง เวลา และการเข้าถึงหลักฐานทุกชิ้น; เก็บ hash เพื่อ integrity</w:t>
      </w:r>
    </w:p>
    <w:p>
      <w:pPr>
        <w:pStyle w:val="Compact"/>
        <w:numPr>
          <w:ilvl w:val="0"/>
          <w:numId w:val="1227"/>
        </w:numPr>
      </w:pPr>
      <w:r>
        <w:rPr>
          <w:b/>
          <w:bCs/>
        </w:rPr>
        <w:t xml:space="preserve">Preserve before eradicate</w:t>
      </w:r>
      <w:r>
        <w:t xml:space="preserve"> </w:t>
      </w:r>
      <w:r>
        <w:t xml:space="preserve">— snapshot ระบบ/ดิสก์/memory และสำเนา log ก่อน remediation</w:t>
      </w:r>
    </w:p>
    <w:p>
      <w:pPr>
        <w:pStyle w:val="Compact"/>
        <w:numPr>
          <w:ilvl w:val="0"/>
          <w:numId w:val="1227"/>
        </w:numPr>
      </w:pPr>
      <w:r>
        <w:rPr>
          <w:b/>
          <w:bCs/>
        </w:rPr>
        <w:t xml:space="preserve">Log integrity</w:t>
      </w:r>
      <w:r>
        <w:t xml:space="preserve"> </w:t>
      </w:r>
      <w:r>
        <w:t xml:space="preserve">—</w:t>
      </w:r>
      <w:r>
        <w:t xml:space="preserve"> </w:t>
      </w:r>
      <w:r>
        <w:rPr>
          <w:rStyle w:val="VerbatimChar"/>
        </w:rPr>
        <w:t xml:space="preserve">audit_log</w:t>
      </w:r>
      <w:r>
        <w:t xml:space="preserve"> </w:t>
      </w:r>
      <w:r>
        <w:t xml:space="preserve">เป็น append-only (ตาม</w:t>
      </w:r>
      <w:r>
        <w:t xml:space="preserve"> </w:t>
      </w:r>
      <w:r>
        <w:rPr>
          <w:rStyle w:val="VerbatimChar"/>
        </w:rPr>
        <w:t xml:space="preserve">ARCHITECTURE.md</w:t>
      </w:r>
      <w:r>
        <w:t xml:space="preserve">); ส่ง log ไป SIEM แบบ write-once</w:t>
      </w:r>
    </w:p>
    <w:p>
      <w:pPr>
        <w:pStyle w:val="Compact"/>
        <w:numPr>
          <w:ilvl w:val="0"/>
          <w:numId w:val="1227"/>
        </w:numPr>
      </w:pPr>
      <w:r>
        <w:rPr>
          <w:b/>
          <w:bCs/>
        </w:rPr>
        <w:t xml:space="preserve">PFI engagement</w:t>
      </w:r>
      <w:r>
        <w:t xml:space="preserve"> </w:t>
      </w:r>
      <w:r>
        <w:t xml:space="preserve">— เมื่อ scheme กำหนด ให้ใช้ PFI ที่ได้รับการรับรอง (A3); ห้ามทำลายหลักฐานก่อน PFI ตรวจ</w:t>
      </w:r>
    </w:p>
    <w:p>
      <w:pPr>
        <w:pStyle w:val="Compact"/>
        <w:numPr>
          <w:ilvl w:val="0"/>
          <w:numId w:val="1227"/>
        </w:numPr>
      </w:pPr>
      <w:r>
        <w:rPr>
          <w:b/>
          <w:bCs/>
        </w:rPr>
        <w:t xml:space="preserve">Retention หลักฐานเหตุการณ์</w:t>
      </w:r>
      <w:r>
        <w:t xml:space="preserve"> </w:t>
      </w:r>
      <w:r>
        <w:t xml:space="preserve">— เก็บอย่างน้อยตาม</w:t>
      </w:r>
      <w:r>
        <w:t xml:space="preserve"> </w:t>
      </w:r>
      <w:r>
        <w:rPr>
          <w:rStyle w:val="VerbatimChar"/>
        </w:rPr>
        <w:t xml:space="preserve">11-data-retention-deletion.md</w:t>
      </w:r>
      <w:r>
        <w:t xml:space="preserve"> </w:t>
      </w:r>
      <w:r>
        <w:t xml:space="preserve">และตามคำแนะนำ Legal/PFI (โดยทั่วไป ≥ 12 เดือนหรือจนคดี/การสอบสวนสิ้นสุด)</w:t>
      </w:r>
    </w:p>
    <w:p>
      <w:r>
        <w:pict>
          <v:rect style="width:0;height:1.5pt" o:hralign="center" o:hrstd="t" o:hr="t"/>
        </w:pict>
      </w:r>
    </w:p>
    <w:bookmarkEnd w:id="556"/>
    <w:bookmarkStart w:id="557" w:name="X75dd2bef163b103f55a50c54bd23de7ff06c319"/>
    <w:p>
      <w:pPr>
        <w:pStyle w:val="Heading2"/>
      </w:pPr>
      <w:r>
        <w:t xml:space="preserve">8. การทดสอบ ฝึกซ้อม และการปรับปรุง (Testing &amp; Maintenance — PCI Req 12.10.2)</w:t>
      </w:r>
    </w:p>
    <w:p>
      <w:pPr>
        <w:pStyle w:val="Compact"/>
        <w:numPr>
          <w:ilvl w:val="0"/>
          <w:numId w:val="1228"/>
        </w:numPr>
      </w:pPr>
      <w:r>
        <w:rPr>
          <w:b/>
          <w:bCs/>
        </w:rPr>
        <w:t xml:space="preserve">Tabletop exercise</w:t>
      </w:r>
      <w:r>
        <w:t xml:space="preserve"> </w:t>
      </w:r>
      <w:r>
        <w:t xml:space="preserve">อย่างน้อย</w:t>
      </w:r>
      <w:r>
        <w:t xml:space="preserve"> </w:t>
      </w:r>
      <w:r>
        <w:rPr>
          <w:b/>
          <w:bCs/>
        </w:rPr>
        <w:t xml:space="preserve">ปีละ 1 ครั้ง</w:t>
      </w:r>
      <w:r>
        <w:t xml:space="preserve"> </w:t>
      </w:r>
      <w:r>
        <w:t xml:space="preserve">(สถานการณ์: PAN exfiltration, ransomware, key compromise, insider)</w:t>
      </w:r>
    </w:p>
    <w:p>
      <w:pPr>
        <w:pStyle w:val="Compact"/>
        <w:numPr>
          <w:ilvl w:val="0"/>
          <w:numId w:val="1228"/>
        </w:numPr>
      </w:pPr>
      <w:r>
        <w:rPr>
          <w:b/>
          <w:bCs/>
        </w:rPr>
        <w:t xml:space="preserve">ทบทวนและปรับแผน</w:t>
      </w:r>
      <w:r>
        <w:t xml:space="preserve"> </w:t>
      </w:r>
      <w:r>
        <w:t xml:space="preserve">อย่างน้อยปีละครั้งและหลังทุกเหตุการณ์ SEV-1/SEV-2 (Req 12.10.6)</w:t>
      </w:r>
    </w:p>
    <w:p>
      <w:pPr>
        <w:pStyle w:val="Compact"/>
        <w:numPr>
          <w:ilvl w:val="0"/>
          <w:numId w:val="1228"/>
        </w:numPr>
      </w:pPr>
      <w:r>
        <w:rPr>
          <w:b/>
          <w:bCs/>
        </w:rPr>
        <w:t xml:space="preserve">ฝึกอบรมทีม CSIRT</w:t>
      </w:r>
      <w:r>
        <w:t xml:space="preserve"> </w:t>
      </w:r>
      <w:r>
        <w:t xml:space="preserve">และ</w:t>
      </w:r>
      <w:r>
        <w:t xml:space="preserve"> </w:t>
      </w:r>
      <w:r>
        <w:rPr>
          <w:b/>
          <w:bCs/>
        </w:rPr>
        <w:t xml:space="preserve">security awareness</w:t>
      </w:r>
      <w:r>
        <w:t xml:space="preserve"> </w:t>
      </w:r>
      <w:r>
        <w:t xml:space="preserve">ทั้งองค์กรประจำปี</w:t>
      </w:r>
    </w:p>
    <w:p>
      <w:pPr>
        <w:pStyle w:val="Compact"/>
        <w:numPr>
          <w:ilvl w:val="0"/>
          <w:numId w:val="1228"/>
        </w:numPr>
      </w:pPr>
      <w:r>
        <w:rPr>
          <w:b/>
          <w:bCs/>
        </w:rPr>
        <w:t xml:space="preserve">24×7 availability</w:t>
      </w:r>
      <w:r>
        <w:t xml:space="preserve"> </w:t>
      </w:r>
      <w:r>
        <w:t xml:space="preserve">ของบุคลากรตอบสนอง (on-call roster / MDR — A4) ตาม Req 12.10.3</w:t>
      </w:r>
    </w:p>
    <w:p>
      <w:pPr>
        <w:pStyle w:val="Compact"/>
        <w:numPr>
          <w:ilvl w:val="0"/>
          <w:numId w:val="1228"/>
        </w:numPr>
      </w:pPr>
      <w:r>
        <w:rPr>
          <w:b/>
          <w:bCs/>
        </w:rPr>
        <w:t xml:space="preserve">ตรวจสอบความพร้อมของ detection controls</w:t>
      </w:r>
      <w:r>
        <w:t xml:space="preserve"> </w:t>
      </w:r>
      <w:r>
        <w:t xml:space="preserve">(IDS/IPS, FIM, anomaly) เป็นระยะ (Req 12.10.5)</w:t>
      </w:r>
    </w:p>
    <w:p>
      <w:pPr>
        <w:pStyle w:val="Compact"/>
        <w:numPr>
          <w:ilvl w:val="0"/>
          <w:numId w:val="1228"/>
        </w:numPr>
      </w:pPr>
      <w:r>
        <w:t xml:space="preserve">ผลการฝึกซ้อมและ RCA เก็บเป็นหลักฐานประกอบการตรวจ QSA และการรายงาน ธปท.</w:t>
      </w:r>
    </w:p>
    <w:bookmarkEnd w:id="557"/>
    <w:bookmarkEnd w:id="558"/>
    <w:bookmarkStart w:id="567" w:name="X9fabd95f0b48fca7bfcae462824db97379ab640"/>
    <w:p>
      <w:pPr>
        <w:pStyle w:val="Heading1"/>
      </w:pPr>
      <w:r>
        <w:t xml:space="preserve">Incident response + breach notification procedure (PCI Req 12, PDPA 72h): severity, roles, comms (English)</w:t>
      </w:r>
    </w:p>
    <w:p>
      <w:pPr>
        <w:pStyle w:val="BlockText"/>
      </w:pPr>
      <w:r>
        <w:t xml:space="preserve">Supporting document for the license application for</w:t>
      </w:r>
      <w:r>
        <w:t xml:space="preserve"> </w:t>
      </w:r>
      <w:r>
        <w:rPr>
          <w:b/>
          <w:bCs/>
        </w:rPr>
        <w:t xml:space="preserve">Acquiring Service</w:t>
      </w:r>
      <w:r>
        <w:t xml:space="preserve"> </w:t>
      </w:r>
      <w:r>
        <w:t xml:space="preserve">under the</w:t>
      </w:r>
      <w:r>
        <w:t xml:space="preserve"> </w:t>
      </w:r>
      <w:r>
        <w:rPr>
          <w:b/>
          <w:bCs/>
        </w:rPr>
        <w:t xml:space="preserve">Payment Systems Act B.E. 2560</w:t>
      </w:r>
      <w:r>
        <w:t xml:space="preserve">,</w:t>
      </w:r>
      <w:r>
        <w:t xml:space="preserve"> </w:t>
      </w:r>
      <w:r>
        <w:t xml:space="preserve">supervised by the</w:t>
      </w:r>
      <w:r>
        <w:t xml:space="preserve"> </w:t>
      </w:r>
      <w:r>
        <w:rPr>
          <w:b/>
          <w:bCs/>
        </w:rPr>
        <w:t xml:space="preserve">Bank of Thailand (BOT / ธปท.)</w:t>
      </w:r>
      <w:r>
        <w:t xml:space="preserve">, minimum paid-up capital</w:t>
      </w:r>
      <w:r>
        <w:t xml:space="preserve"> </w:t>
      </w:r>
      <w:r>
        <w:rPr>
          <w:b/>
          <w:bCs/>
        </w:rPr>
        <w:t xml:space="preserve">THB 50M</w:t>
      </w:r>
      <w:r>
        <w:t xml:space="preserve">.</w:t>
      </w:r>
      <w:r>
        <w:t xml:space="preserve"> </w:t>
      </w:r>
      <w:r>
        <w:t xml:space="preserve">Aligned with</w:t>
      </w:r>
      <w:r>
        <w:t xml:space="preserve"> </w:t>
      </w:r>
      <w:r>
        <w:rPr>
          <w:b/>
          <w:bCs/>
        </w:rPr>
        <w:t xml:space="preserve">PCI-DSS v4.0 Level 1</w:t>
      </w:r>
      <w:r>
        <w:t xml:space="preserve"> </w:t>
      </w:r>
      <w:r>
        <w:t xml:space="preserve">(notably</w:t>
      </w:r>
      <w:r>
        <w:t xml:space="preserve"> </w:t>
      </w:r>
      <w:r>
        <w:rPr>
          <w:b/>
          <w:bCs/>
        </w:rPr>
        <w:t xml:space="preserve">Requirement 12.10 — Incident Response</w:t>
      </w:r>
      <w:r>
        <w:t xml:space="preserve">) and the breach-notification</w:t>
      </w:r>
      <w:r>
        <w:t xml:space="preserve"> </w:t>
      </w:r>
      <w:r>
        <w:t xml:space="preserve">duty under</w:t>
      </w:r>
      <w:r>
        <w:t xml:space="preserve"> </w:t>
      </w:r>
      <w:r>
        <w:rPr>
          <w:b/>
          <w:bCs/>
        </w:rPr>
        <w:t xml:space="preserve">PDPA Section 37(4)</w:t>
      </w:r>
      <w:r>
        <w:t xml:space="preserve">, supervised by the</w:t>
      </w:r>
      <w:r>
        <w:t xml:space="preserve"> </w:t>
      </w:r>
      <w:r>
        <w:rPr>
          <w:b/>
          <w:bCs/>
        </w:rPr>
        <w:t xml:space="preserve">Personal Data Protection Committee (PDPC)</w:t>
      </w:r>
      <w:r>
        <w:t xml:space="preserve">.</w:t>
      </w:r>
    </w:p>
    <w:p>
      <w:pPr>
        <w:pStyle w:val="BlockText"/>
      </w:pPr>
      <w:r>
        <w:t xml:space="preserve">Document ID:</w:t>
      </w:r>
      <w:r>
        <w:t xml:space="preserve"> </w:t>
      </w:r>
      <w:r>
        <w:rPr>
          <w:rStyle w:val="VerbatimChar"/>
        </w:rPr>
        <w:t xml:space="preserve">COMP-16</w:t>
      </w:r>
      <w:r>
        <w:t xml:space="preserve"> </w:t>
      </w:r>
      <w:r>
        <w:t xml:space="preserve">· Version 0.1 · Issued 2026-07-22 · Reviewed every 12 months (and after every major incident)</w:t>
      </w:r>
      <w:r>
        <w:t xml:space="preserve"> </w:t>
      </w:r>
      <w:r>
        <w:t xml:space="preserve">Owner:</w:t>
      </w:r>
      <w:r>
        <w:t xml:space="preserve"> </w:t>
      </w:r>
      <w:r>
        <w:rPr>
          <w:b/>
          <w:bCs/>
        </w:rPr>
        <w:t xml:space="preserve">Chief Information Security Officer (CISO)</w:t>
      </w:r>
      <w:r>
        <w:t xml:space="preserve"> </w:t>
      </w:r>
      <w:r>
        <w:t xml:space="preserve">jointly with</w:t>
      </w:r>
      <w:r>
        <w:t xml:space="preserve"> </w:t>
      </w:r>
      <w:r>
        <w:rPr>
          <w:b/>
          <w:bCs/>
        </w:rPr>
        <w:t xml:space="preserve">Data Protection Officer (DPO)</w:t>
      </w:r>
      <w:r>
        <w:t xml:space="preserve"> </w:t>
      </w:r>
      <w:r>
        <w:t xml:space="preserve">Related:</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./04-org-chart-governance.md</w:t>
      </w:r>
      <w:r>
        <w:t xml:space="preserve">,</w:t>
      </w:r>
      <w:r>
        <w:t xml:space="preserve"> </w:t>
      </w:r>
      <w:r>
        <w:rPr>
          <w:rStyle w:val="VerbatimChar"/>
        </w:rPr>
        <w:t xml:space="preserve">./10-dpa-templates.md</w:t>
      </w:r>
      <w:r>
        <w:t xml:space="preserve">,</w:t>
      </w:r>
      <w:r>
        <w:t xml:space="preserve"> </w:t>
      </w:r>
      <w:r>
        <w:rPr>
          <w:rStyle w:val="VerbatimChar"/>
        </w:rPr>
        <w:t xml:space="preserve">./11-data-retention-deletion.md</w:t>
      </w:r>
      <w:r>
        <w:t xml:space="preserve">,</w:t>
      </w:r>
      <w:r>
        <w:t xml:space="preserve"> </w:t>
      </w:r>
      <w:r>
        <w:rPr>
          <w:rStyle w:val="VerbatimChar"/>
        </w:rPr>
        <w:t xml:space="preserve">./07-sar-str-procedure.md</w:t>
      </w:r>
    </w:p>
    <w:p>
      <w:pPr>
        <w:pStyle w:val="BlockText"/>
      </w:pPr>
      <w:r>
        <w:rPr>
          <w:b/>
          <w:bCs/>
        </w:rPr>
        <w:t xml:space="preserve">Disclaimer:</w:t>
      </w:r>
      <w:r>
        <w:t xml:space="preserve"> </w:t>
      </w:r>
      <w:r>
        <w:t xml:space="preserve">Structural/operational reference, not legal advice. Must be reviewed by BOT-licensing counsel,</w:t>
      </w:r>
      <w:r>
        <w:t xml:space="preserve"> </w:t>
      </w:r>
      <w:r>
        <w:t xml:space="preserve">PDPA counsel, and the QSA before actual submission.</w:t>
      </w:r>
    </w:p>
    <w:p>
      <w:r>
        <w:pict>
          <v:rect style="width:0;height:1.5pt" o:hralign="center" o:hrstd="t" o:hr="t"/>
        </w:pict>
      </w:r>
    </w:p>
    <w:p>
      <w:pPr>
        <w:pStyle w:val="BlockText"/>
      </w:pPr>
      <w:r>
        <w:t xml:space="preserve">[!IMPORTANT]</w:t>
      </w:r>
      <w:r>
        <w:t xml:space="preserve"> </w:t>
      </w:r>
      <w:r>
        <w:rPr>
          <w:b/>
          <w:bCs/>
        </w:rPr>
        <w:t xml:space="preserve">Assumptions / TODO</w:t>
      </w:r>
      <w:r>
        <w:t xml:space="preserve"> </w:t>
      </w:r>
      <w:r>
        <w:t xml:space="preserve">— must be filled in or confirmed before BOT/PDPC submission and before go-live.</w:t>
      </w:r>
    </w:p>
    <w:tbl>
      <w:tblPr>
        <w:tblStyle w:val="Table"/>
        <w:tblW w:type="pct" w:w="5000"/>
        <w:tblLayout w:type="fixed"/>
        <w:tblLook w:firstRow="1" w:lastRow="0" w:firstColumn="0" w:lastColumn="0" w:noHBand="0" w:noVBand="0" w:val="0020"/>
      </w:tblPr>
      <w:tblGrid>
        <w:gridCol w:w="990"/>
        <w:gridCol w:w="1980"/>
        <w:gridCol w:w="2640"/>
        <w:gridCol w:w="2310"/>
      </w:tblGrid>
      <w:tr>
        <w:trPr>
          <w:tblHeader w:val="on"/>
        </w:trPr>
        <w:tc>
          <w:tcPr/>
          <w:p>
            <w:pPr>
              <w:pStyle w:val="Compact"/>
            </w:pPr>
            <w:r>
              <w:t xml:space="preserve">#</w:t>
            </w:r>
          </w:p>
        </w:tc>
        <w:tc>
          <w:tcPr/>
          <w:p>
            <w:pPr>
              <w:pStyle w:val="Compact"/>
            </w:pPr>
            <w:r>
              <w:t xml:space="preserve">Item</w:t>
            </w:r>
          </w:p>
        </w:tc>
        <w:tc>
          <w:tcPr/>
          <w:p>
            <w:pPr>
              <w:pStyle w:val="Compact"/>
            </w:pPr>
            <w:r>
              <w:t xml:space="preserve">Status</w:t>
            </w:r>
          </w:p>
        </w:tc>
        <w:tc>
          <w:tcPr/>
          <w:p>
            <w:pPr>
              <w:pStyle w:val="Compact"/>
            </w:pPr>
            <w:r>
              <w:t xml:space="preserve">Owner</w:t>
            </w:r>
          </w:p>
        </w:tc>
      </w:tr>
      <w:tr>
        <w:tc>
          <w:tcPr/>
          <w:p>
            <w:pPr>
              <w:pStyle w:val="Compact"/>
            </w:pPr>
            <w:r>
              <w:t xml:space="preserve">A1</w:t>
            </w:r>
          </w:p>
        </w:tc>
        <w:tc>
          <w:tcPr/>
          <w:p>
            <w:pPr>
              <w:pStyle w:val="Compact"/>
            </w:pPr>
            <w:r>
              <w:rPr>
                <w:b/>
                <w:bCs/>
              </w:rPr>
              <w:t xml:space="preserve">Actual company name</w:t>
            </w:r>
            <w:r>
              <w:t xml:space="preserve"> </w:t>
            </w:r>
            <w:r>
              <w:t xml:space="preserve">— placeholder</w:t>
            </w:r>
            <w:r>
              <w:t xml:space="preserve"> </w:t>
            </w:r>
            <w:r>
              <w:rPr>
                <w:rStyle w:val="VerbatimChar"/>
              </w:rPr>
              <w:t xml:space="preserve">[บริษัท / Company]</w:t>
            </w:r>
            <w:r>
              <w:t xml:space="preserve"> </w:t>
            </w:r>
            <w:r>
              <w:t xml:space="preserve">used throughout</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 acquiring bank</w:t>
            </w:r>
            <w:r>
              <w:t xml:space="preserve"> </w:t>
            </w:r>
            <w:r>
              <w:t xml:space="preserve">— not yet signed (Path B per ROADMAP); drives notification SLAs, scheme ADC/PFI process, and escalation channel</w:t>
            </w:r>
          </w:p>
        </w:tc>
        <w:tc>
          <w:tcPr/>
          <w:p>
            <w:pPr>
              <w:pStyle w:val="Compact"/>
            </w:pPr>
            <w:r>
              <w:t xml:space="preserve">Open</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QSA / PFI vendor</w:t>
            </w:r>
            <w:r>
              <w:t xml:space="preserve"> </w:t>
            </w:r>
            <w:r>
              <w:t xml:space="preserve">(Qualified Security Assessor / PCI Forensic Investigator) — not yet selected; a scheme-approved PFI must be retained in advance</w:t>
            </w:r>
          </w:p>
        </w:tc>
        <w:tc>
          <w:tcPr/>
          <w:p>
            <w:pPr>
              <w:pStyle w:val="Compact"/>
            </w:pPr>
            <w:r>
              <w:t xml:space="preserve">Open</w:t>
            </w:r>
          </w:p>
        </w:tc>
        <w:tc>
          <w:tcPr/>
          <w:p>
            <w:pPr>
              <w:pStyle w:val="Compact"/>
            </w:pPr>
            <w:r>
              <w:t xml:space="preserve">CISO</w:t>
            </w:r>
          </w:p>
        </w:tc>
      </w:tr>
      <w:tr>
        <w:tc>
          <w:tcPr/>
          <w:p>
            <w:pPr>
              <w:pStyle w:val="Compact"/>
            </w:pPr>
            <w:r>
              <w:t xml:space="preserve">A4</w:t>
            </w:r>
          </w:p>
        </w:tc>
        <w:tc>
          <w:tcPr/>
          <w:p>
            <w:pPr>
              <w:pStyle w:val="Compact"/>
            </w:pPr>
            <w:r>
              <w:rPr>
                <w:b/>
                <w:bCs/>
              </w:rPr>
              <w:t xml:space="preserve">DFIR retainer</w:t>
            </w:r>
            <w:r>
              <w:t xml:space="preserve"> </w:t>
            </w:r>
            <w:r>
              <w:t xml:space="preserve">and 24×7 MDR/SOC provider</w:t>
            </w:r>
          </w:p>
        </w:tc>
        <w:tc>
          <w:tcPr/>
          <w:p>
            <w:pPr>
              <w:pStyle w:val="Compact"/>
            </w:pPr>
            <w:r>
              <w:t xml:space="preserve">Open</w:t>
            </w:r>
          </w:p>
        </w:tc>
        <w:tc>
          <w:tcPr/>
          <w:p>
            <w:pPr>
              <w:pStyle w:val="Compact"/>
            </w:pPr>
            <w:r>
              <w:t xml:space="preserve">CISO</w:t>
            </w:r>
          </w:p>
        </w:tc>
      </w:tr>
      <w:tr>
        <w:tc>
          <w:tcPr/>
          <w:p>
            <w:pPr>
              <w:pStyle w:val="Compact"/>
            </w:pPr>
            <w:r>
              <w:t xml:space="preserve">A5</w:t>
            </w:r>
          </w:p>
        </w:tc>
        <w:tc>
          <w:tcPr/>
          <w:p>
            <w:pPr>
              <w:pStyle w:val="Compact"/>
            </w:pPr>
            <w:r>
              <w:rPr>
                <w:b/>
                <w:bCs/>
              </w:rPr>
              <w:t xml:space="preserve">Actual BOT reporting channel/form</w:t>
            </w:r>
            <w:r>
              <w:t xml:space="preserve"> </w:t>
            </w:r>
            <w:r>
              <w:t xml:space="preserve">per IT Risk / Cyber Resilience notifications (SLA to confirm — see §5)</w:t>
            </w:r>
          </w:p>
        </w:tc>
        <w:tc>
          <w:tcPr/>
          <w:p>
            <w:pPr>
              <w:pStyle w:val="Compact"/>
            </w:pPr>
            <w:r>
              <w:t xml:space="preserve">TODO</w:t>
            </w:r>
          </w:p>
        </w:tc>
        <w:tc>
          <w:tcPr/>
          <w:p>
            <w:pPr>
              <w:pStyle w:val="Compact"/>
            </w:pPr>
            <w:r>
              <w:t xml:space="preserve">CCO / counsel</w:t>
            </w:r>
          </w:p>
        </w:tc>
      </w:tr>
      <w:tr>
        <w:tc>
          <w:tcPr/>
          <w:p>
            <w:pPr>
              <w:pStyle w:val="Compact"/>
            </w:pPr>
            <w:r>
              <w:t xml:space="preserve">A6</w:t>
            </w:r>
          </w:p>
        </w:tc>
        <w:tc>
          <w:tcPr/>
          <w:p>
            <w:pPr>
              <w:pStyle w:val="Compact"/>
            </w:pPr>
            <w:r>
              <w:rPr>
                <w:b/>
                <w:bCs/>
              </w:rPr>
              <w:t xml:space="preserve">PDPC notification channel</w:t>
            </w:r>
            <w:r>
              <w:t xml:space="preserve"> </w:t>
            </w:r>
            <w:r>
              <w:t xml:space="preserve">(PDPC e-Notification) and authorized signatory</w:t>
            </w:r>
          </w:p>
        </w:tc>
        <w:tc>
          <w:tcPr/>
          <w:p>
            <w:pPr>
              <w:pStyle w:val="Compact"/>
            </w:pPr>
            <w:r>
              <w:t xml:space="preserve">TODO</w:t>
            </w:r>
          </w:p>
        </w:tc>
        <w:tc>
          <w:tcPr/>
          <w:p>
            <w:pPr>
              <w:pStyle w:val="Compact"/>
            </w:pPr>
            <w:r>
              <w:t xml:space="preserve">DPO</w:t>
            </w:r>
          </w:p>
        </w:tc>
      </w:tr>
      <w:tr>
        <w:tc>
          <w:tcPr/>
          <w:p>
            <w:pPr>
              <w:pStyle w:val="Compact"/>
            </w:pPr>
            <w:r>
              <w:t xml:space="preserve">A7</w:t>
            </w:r>
          </w:p>
        </w:tc>
        <w:tc>
          <w:tcPr/>
          <w:p>
            <w:pPr>
              <w:pStyle w:val="Compact"/>
            </w:pPr>
            <w:r>
              <w:rPr>
                <w:b/>
                <w:bCs/>
              </w:rPr>
              <w:t xml:space="preserve">Cyber insurance</w:t>
            </w:r>
            <w:r>
              <w:t xml:space="preserve"> </w:t>
            </w:r>
            <w:r>
              <w:t xml:space="preserve">(breach response / third-party) — limits and notice conditions</w:t>
            </w:r>
          </w:p>
        </w:tc>
        <w:tc>
          <w:tcPr/>
          <w:p>
            <w:pPr>
              <w:pStyle w:val="Compact"/>
            </w:pPr>
            <w:r>
              <w:t xml:space="preserve">Open</w:t>
            </w:r>
          </w:p>
        </w:tc>
        <w:tc>
          <w:tcPr/>
          <w:p>
            <w:pPr>
              <w:pStyle w:val="Compact"/>
            </w:pPr>
            <w:r>
              <w:t xml:space="preserve">CFO / CISO</w:t>
            </w:r>
          </w:p>
        </w:tc>
      </w:tr>
      <w:tr>
        <w:tc>
          <w:tcPr/>
          <w:p>
            <w:pPr>
              <w:pStyle w:val="Compact"/>
            </w:pPr>
            <w:r>
              <w:t xml:space="preserve">A8</w:t>
            </w:r>
          </w:p>
        </w:tc>
        <w:tc>
          <w:tcPr/>
          <w:p>
            <w:pPr>
              <w:pStyle w:val="Compact"/>
            </w:pPr>
            <w:r>
              <w:rPr>
                <w:b/>
                <w:bCs/>
              </w:rPr>
              <w:t xml:space="preserve">Real CSIRT contact list</w:t>
            </w:r>
            <w:r>
              <w:t xml:space="preserve"> </w:t>
            </w:r>
            <w:r>
              <w:t xml:space="preserve">(call tree / on-call roster) — stored in an access-controlled runbook</w:t>
            </w:r>
          </w:p>
        </w:tc>
        <w:tc>
          <w:tcPr/>
          <w:p>
            <w:pPr>
              <w:pStyle w:val="Compact"/>
            </w:pPr>
            <w:r>
              <w:t xml:space="preserve">TODO</w:t>
            </w:r>
          </w:p>
        </w:tc>
        <w:tc>
          <w:tcPr/>
          <w:p>
            <w:pPr>
              <w:pStyle w:val="Compact"/>
            </w:pPr>
            <w:r>
              <w:t xml:space="preserve">CISO</w:t>
            </w:r>
          </w:p>
        </w:tc>
      </w:tr>
      <w:tr>
        <w:tc>
          <w:tcPr/>
          <w:p>
            <w:pPr>
              <w:pStyle w:val="Compact"/>
            </w:pPr>
            <w:r>
              <w:t xml:space="preserve">A9</w:t>
            </w:r>
          </w:p>
        </w:tc>
        <w:tc>
          <w:tcPr/>
          <w:p>
            <w:pPr>
              <w:pStyle w:val="Compact"/>
            </w:pPr>
            <w:r>
              <w:rPr>
                <w:b/>
                <w:bCs/>
              </w:rPr>
              <w:t xml:space="preserve">Crisis-comms/PR advisor</w:t>
            </w:r>
            <w:r>
              <w:t xml:space="preserve"> </w:t>
            </w:r>
            <w:r>
              <w:t xml:space="preserve">and legal-approved statement templates</w:t>
            </w:r>
          </w:p>
        </w:tc>
        <w:tc>
          <w:tcPr/>
          <w:p>
            <w:pPr>
              <w:pStyle w:val="Compact"/>
            </w:pPr>
            <w:r>
              <w:t xml:space="preserve">Open</w:t>
            </w:r>
          </w:p>
        </w:tc>
        <w:tc>
          <w:tcPr/>
          <w:p>
            <w:pPr>
              <w:pStyle w:val="Compact"/>
            </w:pPr>
            <w:r>
              <w:t xml:space="preserve">Head of Comms</w:t>
            </w:r>
          </w:p>
        </w:tc>
      </w:tr>
    </w:tbl>
    <w:p>
      <w:pPr>
        <w:pStyle w:val="BlockText"/>
      </w:pPr>
      <w:r>
        <w:t xml:space="preserve">Do not enter fictitious vendor names/numbers/limits above into any document actually submitted — verified data only.</w:t>
      </w:r>
    </w:p>
    <w:p>
      <w:r>
        <w:pict>
          <v:rect style="width:0;height:1.5pt" o:hralign="center" o:hrstd="t" o:hr="t"/>
        </w:pict>
      </w:r>
    </w:p>
    <w:bookmarkStart w:id="559" w:name="purpose-scope-5"/>
    <w:p>
      <w:pPr>
        <w:pStyle w:val="Heading2"/>
      </w:pPr>
      <w:r>
        <w:t xml:space="preserve">1. Purpose &amp; Scope</w:t>
      </w:r>
    </w:p>
    <w:p>
      <w:pPr>
        <w:pStyle w:val="FirstParagraph"/>
      </w:pPr>
      <w:r>
        <w:t xml:space="preserve">This document defines the</w:t>
      </w:r>
      <w:r>
        <w:t xml:space="preserve"> </w:t>
      </w:r>
      <w:r>
        <w:rPr>
          <w:b/>
          <w:bCs/>
        </w:rPr>
        <w:t xml:space="preserve">Incident Response Plan (IRP)</w:t>
      </w:r>
      <w:r>
        <w:t xml:space="preserve"> </w:t>
      </w:r>
      <w:r>
        <w:t xml:space="preserve">and</w:t>
      </w:r>
      <w:r>
        <w:t xml:space="preserve"> </w:t>
      </w:r>
      <w:r>
        <w:rPr>
          <w:b/>
          <w:bCs/>
        </w:rPr>
        <w:t xml:space="preserve">Breach Notification Procedure</w:t>
      </w:r>
      <w:r>
        <w:t xml:space="preserve"> </w:t>
      </w:r>
      <w:r>
        <w:t xml:space="preserve">for [บริษัท / Company] as an Acquiring Gateway, so as to:</w:t>
      </w:r>
    </w:p>
    <w:p>
      <w:pPr>
        <w:pStyle w:val="Compact"/>
        <w:numPr>
          <w:ilvl w:val="0"/>
          <w:numId w:val="1229"/>
        </w:numPr>
      </w:pPr>
      <w:r>
        <w:t xml:space="preserve">Detect, contain, eradicate, and recover from incidents rapidly and in an orderly way (</w:t>
      </w:r>
      <w:r>
        <w:rPr>
          <w:b/>
          <w:bCs/>
        </w:rPr>
        <w:t xml:space="preserve">PCI-DSS v4.0 Req 12.10.1–12.10.7</w:t>
      </w:r>
      <w:r>
        <w:t xml:space="preserve">).</w:t>
      </w:r>
    </w:p>
    <w:p>
      <w:pPr>
        <w:pStyle w:val="Compact"/>
        <w:numPr>
          <w:ilvl w:val="0"/>
          <w:numId w:val="1229"/>
        </w:numPr>
      </w:pPr>
      <w:r>
        <w:t xml:space="preserve">Notify regulators and stakeholders within statutory timelines, especially</w:t>
      </w:r>
      <w:r>
        <w:t xml:space="preserve"> </w:t>
      </w:r>
      <w:r>
        <w:rPr>
          <w:b/>
          <w:bCs/>
        </w:rPr>
        <w:t xml:space="preserve">PDPA Section 37(4): notify PDPC within 72 hours</w:t>
      </w:r>
      <w:r>
        <w:t xml:space="preserve"> </w:t>
      </w:r>
      <w:r>
        <w:t xml:space="preserve">of becoming aware.</w:t>
      </w:r>
    </w:p>
    <w:p>
      <w:pPr>
        <w:pStyle w:val="Compact"/>
        <w:numPr>
          <w:ilvl w:val="0"/>
          <w:numId w:val="1229"/>
        </w:numPr>
      </w:pPr>
      <w:r>
        <w:t xml:space="preserve">Preserve forensic evidence (chain of custody) to support the card scheme’s</w:t>
      </w:r>
      <w:r>
        <w:t xml:space="preserve"> </w:t>
      </w:r>
      <w:r>
        <w:rPr>
          <w:b/>
          <w:bCs/>
        </w:rPr>
        <w:t xml:space="preserve">PFI investigation</w:t>
      </w:r>
      <w:r>
        <w:t xml:space="preserve"> </w:t>
      </w:r>
      <w:r>
        <w:t xml:space="preserve">and any official inquiry.</w:t>
      </w:r>
    </w:p>
    <w:p>
      <w:pPr>
        <w:pStyle w:val="FirstParagraph"/>
      </w:pPr>
      <w:r>
        <w:rPr>
          <w:b/>
          <w:bCs/>
        </w:rPr>
        <w:t xml:space="preserve">Scope:</w:t>
      </w:r>
      <w:r>
        <w:t xml:space="preserve"> </w:t>
      </w:r>
      <w:r>
        <w:t xml:space="preserve">All CDE (Cardholder Data Environment) and supporting systems per</w:t>
      </w:r>
      <w:r>
        <w:t xml:space="preserve"> </w:t>
      </w:r>
      <w:r>
        <w:rPr>
          <w:rStyle w:val="VerbatimChar"/>
        </w:rPr>
        <w:t xml:space="preserve">ARCHITECTURE.md</w:t>
      </w:r>
      <w:r>
        <w:t xml:space="preserve"> </w:t>
      </w:r>
      <w:r>
        <w:t xml:space="preserve">— API Edge, Payment Core, Tokenization Vault, Acquirer/3DS adapters, Ledger, Webhook, databases, HSM/KMS, logging/SIEM, network — plus outsourced/cloud providers, staff, directors, and subcontractors.</w:t>
      </w:r>
    </w:p>
    <w:p>
      <w:pPr>
        <w:pStyle w:val="BlockText"/>
      </w:pPr>
      <w:r>
        <w:rPr>
          <w:b/>
          <w:bCs/>
        </w:rPr>
        <w:t xml:space="preserve">Guiding principle throughout:</w:t>
      </w:r>
      <w:r>
        <w:t xml:space="preserve"> </w:t>
      </w:r>
      <w:r>
        <w:t xml:space="preserve">Per</w:t>
      </w:r>
      <w:r>
        <w:t xml:space="preserve"> </w:t>
      </w:r>
      <w:r>
        <w:rPr>
          <w:rStyle w:val="VerbatimChar"/>
        </w:rPr>
        <w:t xml:space="preserve">ARCHITECTURE.md</w:t>
      </w:r>
      <w:r>
        <w:t xml:space="preserve"> </w:t>
      </w:r>
      <w:r>
        <w:t xml:space="preserve">§6 and</w:t>
      </w:r>
      <w:r>
        <w:t xml:space="preserve"> </w:t>
      </w:r>
      <w:r>
        <w:rPr>
          <w:rStyle w:val="VerbatimChar"/>
        </w:rPr>
        <w:t xml:space="preserve">11-data-retention-deletion.md</w:t>
      </w:r>
      <w:r>
        <w:t xml:space="preserve">, the platform</w:t>
      </w:r>
      <w:r>
        <w:t xml:space="preserve"> </w:t>
      </w:r>
      <w:r>
        <w:rPr>
          <w:b/>
          <w:bCs/>
        </w:rPr>
        <w:t xml:space="preserve">stores no full PAN, CVV/CVV2, PIN, or full track (SAD)</w:t>
      </w:r>
      <w:r>
        <w:t xml:space="preserve"> </w:t>
      </w:r>
      <w:r>
        <w:t xml:space="preserve">in the operational DB, which sharply reduces the</w:t>
      </w:r>
      <w:r>
        <w:t xml:space="preserve"> </w:t>
      </w:r>
      <w:r>
        <w:t xml:space="preserve">“blast radius.”</w:t>
      </w:r>
      <w:r>
        <w:t xml:space="preserve"> </w:t>
      </w:r>
      <w:r>
        <w:t xml:space="preserve">The data actually exposable in the core systems is primarily tokens,</w:t>
      </w:r>
      <w:r>
        <w:t xml:space="preserve"> </w:t>
      </w:r>
      <w:r>
        <w:rPr>
          <w:rStyle w:val="VerbatimChar"/>
        </w:rPr>
        <w:t xml:space="preserve">card_last4</w:t>
      </w:r>
      <w:r>
        <w:t xml:space="preserve">,</w:t>
      </w:r>
      <w:r>
        <w:t xml:space="preserve"> </w:t>
      </w:r>
      <w:r>
        <w:rPr>
          <w:rStyle w:val="VerbatimChar"/>
        </w:rPr>
        <w:t xml:space="preserve">card_brand</w:t>
      </w:r>
      <w:r>
        <w:t xml:space="preserve">, and merchant PII/KYC.</w:t>
      </w:r>
    </w:p>
    <w:p>
      <w:r>
        <w:pict>
          <v:rect style="width:0;height:1.5pt" o:hralign="center" o:hrstd="t" o:hr="t"/>
        </w:pict>
      </w:r>
    </w:p>
    <w:bookmarkEnd w:id="559"/>
    <w:bookmarkStart w:id="560" w:name="roles-responsibilities-csirt"/>
    <w:p>
      <w:pPr>
        <w:pStyle w:val="Heading2"/>
      </w:pPr>
      <w:r>
        <w:t xml:space="preserve">2. Roles &amp; Responsibilities — CSIRT</w:t>
      </w:r>
    </w:p>
    <w:p>
      <w:pPr>
        <w:pStyle w:val="FirstParagraph"/>
      </w:pPr>
      <w:r>
        <w:t xml:space="preserve">The response team is the</w:t>
      </w:r>
      <w:r>
        <w:t xml:space="preserve"> </w:t>
      </w:r>
      <w:r>
        <w:rPr>
          <w:b/>
          <w:bCs/>
        </w:rPr>
        <w:t xml:space="preserve">CSIRT (Computer Security Incident Response Team)</w:t>
      </w:r>
      <w:r>
        <w:t xml:space="preserve">, activated for</w:t>
      </w:r>
      <w:r>
        <w:t xml:space="preserve"> </w:t>
      </w:r>
      <w:r>
        <w:rPr>
          <w:b/>
          <w:bCs/>
        </w:rPr>
        <w:t xml:space="preserve">SEV-1/SEV-2</w:t>
      </w:r>
      <w:r>
        <w:t xml:space="preserve"> </w:t>
      </w:r>
      <w:r>
        <w:t xml:space="preserve">incidents.</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Role</w:t>
            </w:r>
          </w:p>
        </w:tc>
        <w:tc>
          <w:tcPr/>
          <w:p>
            <w:pPr>
              <w:pStyle w:val="Compact"/>
            </w:pPr>
            <w:r>
              <w:t xml:space="preserve">Primary incident-response duty</w:t>
            </w:r>
          </w:p>
        </w:tc>
      </w:tr>
      <w:tr>
        <w:tc>
          <w:tcPr/>
          <w:p>
            <w:pPr>
              <w:pStyle w:val="Compact"/>
            </w:pPr>
            <w:r>
              <w:rPr>
                <w:b/>
                <w:bCs/>
              </w:rPr>
              <w:t xml:space="preserve">Incident Commander (IC)</w:t>
            </w:r>
            <w:r>
              <w:t xml:space="preserve"> </w:t>
            </w:r>
            <w:r>
              <w:t xml:space="preserve">— normally CISO or delegate</w:t>
            </w:r>
          </w:p>
        </w:tc>
        <w:tc>
          <w:tcPr/>
          <w:p>
            <w:pPr>
              <w:pStyle w:val="Compact"/>
            </w:pPr>
            <w:r>
              <w:t xml:space="preserve">Ultimate authority in the incident: declares severity, orders containment, approves downtime/isolation, decides escalation</w:t>
            </w:r>
          </w:p>
        </w:tc>
      </w:tr>
      <w:tr>
        <w:tc>
          <w:tcPr/>
          <w:p>
            <w:pPr>
              <w:pStyle w:val="Compact"/>
            </w:pPr>
            <w:r>
              <w:rPr>
                <w:b/>
                <w:bCs/>
              </w:rPr>
              <w:t xml:space="preserve">Deputy IC</w:t>
            </w:r>
          </w:p>
        </w:tc>
        <w:tc>
          <w:tcPr/>
          <w:p>
            <w:pPr>
              <w:pStyle w:val="Compact"/>
            </w:pPr>
            <w:r>
              <w:t xml:space="preserve">Acts for the IC when unavailable / conflicted</w:t>
            </w:r>
          </w:p>
        </w:tc>
      </w:tr>
      <w:tr>
        <w:tc>
          <w:tcPr/>
          <w:p>
            <w:pPr>
              <w:pStyle w:val="Compact"/>
            </w:pPr>
            <w:r>
              <w:rPr>
                <w:b/>
                <w:bCs/>
              </w:rPr>
              <w:t xml:space="preserve">CISO</w:t>
            </w:r>
          </w:p>
        </w:tc>
        <w:tc>
          <w:tcPr/>
          <w:p>
            <w:pPr>
              <w:pStyle w:val="Compact"/>
            </w:pPr>
            <w:r>
              <w:t xml:space="preserve">Owns the IRP, leads technical security, liaison to QSA/PFI/DFIR</w:t>
            </w:r>
          </w:p>
        </w:tc>
      </w:tr>
      <w:tr>
        <w:tc>
          <w:tcPr/>
          <w:p>
            <w:pPr>
              <w:pStyle w:val="Compact"/>
            </w:pPr>
            <w:r>
              <w:rPr>
                <w:b/>
                <w:bCs/>
              </w:rPr>
              <w:t xml:space="preserve">DPO (Data Protection Officer)</w:t>
            </w:r>
          </w:p>
        </w:tc>
        <w:tc>
          <w:tcPr/>
          <w:p>
            <w:pPr>
              <w:pStyle w:val="Compact"/>
            </w:pPr>
            <w:r>
              <w:t xml:space="preserve">Assesses whether a</w:t>
            </w:r>
            <w:r>
              <w:t xml:space="preserve"> </w:t>
            </w:r>
            <w:r>
              <w:t xml:space="preserve">“personal data breach”</w:t>
            </w:r>
            <w:r>
              <w:t xml:space="preserve"> </w:t>
            </w:r>
            <w:r>
              <w:t xml:space="preserve">occurred, decides on PDPC notification within 72h and data-subject notice, owns PDPA</w:t>
            </w:r>
          </w:p>
        </w:tc>
      </w:tr>
      <w:tr>
        <w:tc>
          <w:tcPr/>
          <w:p>
            <w:pPr>
              <w:pStyle w:val="Compact"/>
            </w:pPr>
            <w:r>
              <w:rPr>
                <w:b/>
                <w:bCs/>
              </w:rPr>
              <w:t xml:space="preserve">CCO / Compliance</w:t>
            </w:r>
          </w:p>
        </w:tc>
        <w:tc>
          <w:tcPr/>
          <w:p>
            <w:pPr>
              <w:pStyle w:val="Compact"/>
            </w:pPr>
            <w:r>
              <w:t xml:space="preserve">Contact point for</w:t>
            </w:r>
            <w:r>
              <w:t xml:space="preserve"> </w:t>
            </w:r>
            <w:r>
              <w:rPr>
                <w:b/>
                <w:bCs/>
              </w:rPr>
              <w:t xml:space="preserve">BOT</w:t>
            </w:r>
            <w:r>
              <w:t xml:space="preserve"> </w:t>
            </w:r>
            <w:r>
              <w:t xml:space="preserve">and (if AML-relevant) AMLO; assesses license reporting duties</w:t>
            </w:r>
          </w:p>
        </w:tc>
      </w:tr>
      <w:tr>
        <w:tc>
          <w:tcPr/>
          <w:p>
            <w:pPr>
              <w:pStyle w:val="Compact"/>
            </w:pPr>
            <w:r>
              <w:rPr>
                <w:b/>
                <w:bCs/>
              </w:rPr>
              <w:t xml:space="preserve">MLRO</w:t>
            </w:r>
          </w:p>
        </w:tc>
        <w:tc>
          <w:tcPr/>
          <w:p>
            <w:pPr>
              <w:pStyle w:val="Compact"/>
            </w:pPr>
            <w:r>
              <w:t xml:space="preserve">Assesses money-laundering/fraud linkage; if present, initiates STR per</w:t>
            </w:r>
            <w:r>
              <w:t xml:space="preserve"> </w:t>
            </w:r>
            <w:r>
              <w:rPr>
                <w:rStyle w:val="VerbatimChar"/>
              </w:rPr>
              <w:t xml:space="preserve">07-sar-str-procedure.md</w:t>
            </w:r>
          </w:p>
        </w:tc>
      </w:tr>
      <w:tr>
        <w:tc>
          <w:tcPr/>
          <w:p>
            <w:pPr>
              <w:pStyle w:val="Compact"/>
            </w:pPr>
            <w:r>
              <w:rPr>
                <w:b/>
                <w:bCs/>
              </w:rPr>
              <w:t xml:space="preserve">Forensics Lead (SOC/DFIR)</w:t>
            </w:r>
          </w:p>
        </w:tc>
        <w:tc>
          <w:tcPr/>
          <w:p>
            <w:pPr>
              <w:pStyle w:val="Compact"/>
            </w:pPr>
            <w:r>
              <w:t xml:space="preserve">Evidence collection, chain of custody, triage, root cause, PFI coordination</w:t>
            </w:r>
          </w:p>
        </w:tc>
      </w:tr>
      <w:tr>
        <w:tc>
          <w:tcPr/>
          <w:p>
            <w:pPr>
              <w:pStyle w:val="Compact"/>
            </w:pPr>
            <w:r>
              <w:rPr>
                <w:b/>
                <w:bCs/>
              </w:rPr>
              <w:t xml:space="preserve">Engineering / SRE On-call</w:t>
            </w:r>
          </w:p>
        </w:tc>
        <w:tc>
          <w:tcPr/>
          <w:p>
            <w:pPr>
              <w:pStyle w:val="Compact"/>
            </w:pPr>
            <w:r>
              <w:t xml:space="preserve">Containment, isolation, patching, restore from backup, RPO/RTO confirmation</w:t>
            </w:r>
          </w:p>
        </w:tc>
      </w:tr>
      <w:tr>
        <w:tc>
          <w:tcPr/>
          <w:p>
            <w:pPr>
              <w:pStyle w:val="Compact"/>
            </w:pPr>
            <w:r>
              <w:rPr>
                <w:b/>
                <w:bCs/>
              </w:rPr>
              <w:t xml:space="preserve">Legal Counsel</w:t>
            </w:r>
          </w:p>
        </w:tc>
        <w:tc>
          <w:tcPr/>
          <w:p>
            <w:pPr>
              <w:pStyle w:val="Compact"/>
            </w:pPr>
            <w:r>
              <w:t xml:space="preserve">Legal rights/duties, privilege, review of statements before release</w:t>
            </w:r>
          </w:p>
        </w:tc>
      </w:tr>
      <w:tr>
        <w:tc>
          <w:tcPr/>
          <w:p>
            <w:pPr>
              <w:pStyle w:val="Compact"/>
            </w:pPr>
            <w:r>
              <w:rPr>
                <w:b/>
                <w:bCs/>
              </w:rPr>
              <w:t xml:space="preserve">Head of Comms / PR</w:t>
            </w:r>
          </w:p>
        </w:tc>
        <w:tc>
          <w:tcPr/>
          <w:p>
            <w:pPr>
              <w:pStyle w:val="Compact"/>
            </w:pPr>
            <w:r>
              <w:t xml:space="preserve">Internal/external communications, media, customers — under IC + Legal approval</w:t>
            </w:r>
          </w:p>
        </w:tc>
      </w:tr>
      <w:tr>
        <w:tc>
          <w:tcPr/>
          <w:p>
            <w:pPr>
              <w:pStyle w:val="Compact"/>
            </w:pPr>
            <w:r>
              <w:rPr>
                <w:b/>
                <w:bCs/>
              </w:rPr>
              <w:t xml:space="preserve">Merchant Support Lead</w:t>
            </w:r>
          </w:p>
        </w:tc>
        <w:tc>
          <w:tcPr/>
          <w:p>
            <w:pPr>
              <w:pStyle w:val="Compact"/>
            </w:pPr>
            <w:r>
              <w:t xml:space="preserve">Communications to affected merchants; reissue/monitoring channels</w:t>
            </w:r>
          </w:p>
        </w:tc>
      </w:tr>
      <w:tr>
        <w:tc>
          <w:tcPr/>
          <w:p>
            <w:pPr>
              <w:pStyle w:val="Compact"/>
            </w:pPr>
            <w:r>
              <w:rPr>
                <w:b/>
                <w:bCs/>
              </w:rPr>
              <w:t xml:space="preserve">HR</w:t>
            </w:r>
          </w:p>
        </w:tc>
        <w:tc>
          <w:tcPr/>
          <w:p>
            <w:pPr>
              <w:pStyle w:val="Compact"/>
            </w:pPr>
            <w:r>
              <w:t xml:space="preserve">Personnel-related (insider) incidents, disciplinary measures</w:t>
            </w:r>
          </w:p>
        </w:tc>
      </w:tr>
      <w:tr>
        <w:tc>
          <w:tcPr/>
          <w:p>
            <w:pPr>
              <w:pStyle w:val="Compact"/>
            </w:pPr>
            <w:r>
              <w:rPr>
                <w:b/>
                <w:bCs/>
              </w:rPr>
              <w:t xml:space="preserve">Executive Sponsor (CEO/Board)</w:t>
            </w:r>
          </w:p>
        </w:tc>
        <w:tc>
          <w:tcPr/>
          <w:p>
            <w:pPr>
              <w:pStyle w:val="Compact"/>
            </w:pPr>
            <w:r>
              <w:t xml:space="preserve">Acknowledges SEV-1, approves emergency resources/budget, BOT accountability</w:t>
            </w:r>
          </w:p>
        </w:tc>
      </w:tr>
    </w:tbl>
    <w:p>
      <w:pPr>
        <w:pStyle w:val="BlockText"/>
      </w:pPr>
      <w:r>
        <w:rPr>
          <w:b/>
          <w:bCs/>
        </w:rPr>
        <w:t xml:space="preserve">Key rule:</w:t>
      </w:r>
      <w:r>
        <w:t xml:space="preserve"> </w:t>
      </w:r>
      <w:r>
        <w:t xml:space="preserve">Only the</w:t>
      </w:r>
      <w:r>
        <w:t xml:space="preserve"> </w:t>
      </w:r>
      <w:r>
        <w:rPr>
          <w:b/>
          <w:bCs/>
        </w:rPr>
        <w:t xml:space="preserve">DPO</w:t>
      </w:r>
      <w:r>
        <w:t xml:space="preserve"> </w:t>
      </w:r>
      <w:r>
        <w:t xml:space="preserve">decides on PDPC notification; only</w:t>
      </w:r>
      <w:r>
        <w:t xml:space="preserve"> </w:t>
      </w:r>
      <w:r>
        <w:rPr>
          <w:b/>
          <w:bCs/>
        </w:rPr>
        <w:t xml:space="preserve">CCO/Compliance</w:t>
      </w:r>
      <w:r>
        <w:t xml:space="preserve"> </w:t>
      </w:r>
      <w:r>
        <w:t xml:space="preserve">formally contacts BOT; and only</w:t>
      </w:r>
      <w:r>
        <w:t xml:space="preserve"> </w:t>
      </w:r>
      <w:r>
        <w:rPr>
          <w:b/>
          <w:bCs/>
        </w:rPr>
        <w:t xml:space="preserve">IC + Legal + Comms</w:t>
      </w:r>
      <w:r>
        <w:t xml:space="preserve"> </w:t>
      </w:r>
      <w:r>
        <w:t xml:space="preserve">approve external communications — to preserve accuracy and prevent tipping-off.</w:t>
      </w:r>
      <w:r>
        <w:t xml:space="preserve"> </w:t>
      </w:r>
      <w:r>
        <w:t xml:space="preserve">Real names, contacts, and call tree live in a separate access-controlled runbook (A8), not in the submission document.</w:t>
      </w:r>
    </w:p>
    <w:p>
      <w:r>
        <w:pict>
          <v:rect style="width:0;height:1.5pt" o:hralign="center" o:hrstd="t" o:hr="t"/>
        </w:pict>
      </w:r>
    </w:p>
    <w:bookmarkEnd w:id="560"/>
    <w:bookmarkStart w:id="561" w:name="severity-classification-1"/>
    <w:p>
      <w:pPr>
        <w:pStyle w:val="Heading2"/>
      </w:pPr>
      <w:r>
        <w:t xml:space="preserve">3. Severity Classification</w:t>
      </w:r>
    </w:p>
    <w:tbl>
      <w:tblPr>
        <w:tblStyle w:val="Table"/>
        <w:tblW w:type="pct" w:w="5000"/>
        <w:tblLayout w:type="fixed"/>
        <w:tblLook w:firstRow="1" w:lastRow="0" w:firstColumn="0" w:lastColumn="0" w:noHBand="0" w:noVBand="0" w:val="0020"/>
      </w:tblPr>
      <w:tblGrid>
        <w:gridCol w:w="955"/>
        <w:gridCol w:w="1502"/>
        <w:gridCol w:w="1365"/>
        <w:gridCol w:w="1775"/>
        <w:gridCol w:w="2321"/>
      </w:tblGrid>
      <w:tr>
        <w:trPr>
          <w:tblHeader w:val="on"/>
        </w:trPr>
        <w:tc>
          <w:tcPr/>
          <w:p>
            <w:pPr>
              <w:pStyle w:val="Compact"/>
            </w:pPr>
            <w:r>
              <w:t xml:space="preserve">Level</w:t>
            </w:r>
          </w:p>
        </w:tc>
        <w:tc>
          <w:tcPr/>
          <w:p>
            <w:pPr>
              <w:pStyle w:val="Compact"/>
            </w:pPr>
            <w:r>
              <w:t xml:space="preserve">Definition</w:t>
            </w:r>
          </w:p>
        </w:tc>
        <w:tc>
          <w:tcPr/>
          <w:p>
            <w:pPr>
              <w:pStyle w:val="Compact"/>
            </w:pPr>
            <w:r>
              <w:t xml:space="preserve">Examples</w:t>
            </w:r>
          </w:p>
        </w:tc>
        <w:tc>
          <w:tcPr/>
          <w:p>
            <w:pPr>
              <w:pStyle w:val="Compact"/>
            </w:pPr>
            <w:r>
              <w:t xml:space="preserve">Declared by</w:t>
            </w:r>
          </w:p>
        </w:tc>
        <w:tc>
          <w:tcPr/>
          <w:p>
            <w:pPr>
              <w:pStyle w:val="Compact"/>
            </w:pPr>
            <w:r>
              <w:t xml:space="preserve">Response target</w:t>
            </w:r>
          </w:p>
        </w:tc>
      </w:tr>
      <w:tr>
        <w:tc>
          <w:tcPr/>
          <w:p>
            <w:pPr>
              <w:pStyle w:val="Compact"/>
            </w:pPr>
            <w:r>
              <w:rPr>
                <w:b/>
                <w:bCs/>
              </w:rPr>
              <w:t xml:space="preserve">SEV-1 (Critical)</w:t>
            </w:r>
          </w:p>
        </w:tc>
        <w:tc>
          <w:tcPr/>
          <w:p>
            <w:pPr>
              <w:pStyle w:val="Compact"/>
            </w:pPr>
            <w:r>
              <w:t xml:space="preserve">Confirmed/suspected access to or exfiltration of</w:t>
            </w:r>
            <w:r>
              <w:t xml:space="preserve"> </w:t>
            </w:r>
            <w:r>
              <w:rPr>
                <w:b/>
                <w:bCs/>
              </w:rPr>
              <w:t xml:space="preserve">large-scale CHD/SAD/PII</w:t>
            </w:r>
            <w:r>
              <w:t xml:space="preserve">, ransomware, CDE breach, HSM/key compromise, full authorization outage</w:t>
            </w:r>
          </w:p>
        </w:tc>
        <w:tc>
          <w:tcPr/>
          <w:p>
            <w:pPr>
              <w:pStyle w:val="Compact"/>
            </w:pPr>
            <w:r>
              <w:t xml:space="preserve">Attacker reaches the Tokenization Vault; PAN/PII exfiltrated</w:t>
            </w:r>
          </w:p>
        </w:tc>
        <w:tc>
          <w:tcPr/>
          <w:p>
            <w:pPr>
              <w:pStyle w:val="Compact"/>
            </w:pPr>
            <w:r>
              <w:t xml:space="preserve">IC + Executive Sponsor + Board notify</w:t>
            </w:r>
          </w:p>
        </w:tc>
        <w:tc>
          <w:tcPr/>
          <w:p>
            <w:pPr>
              <w:pStyle w:val="Compact"/>
            </w:pPr>
            <w:r>
              <w:rPr>
                <w:b/>
                <w:bCs/>
              </w:rPr>
              <w:t xml:space="preserve">Ack ≤ 15 min</w:t>
            </w:r>
            <w:r>
              <w:t xml:space="preserve">, war room ≤ 30 min</w:t>
            </w:r>
          </w:p>
        </w:tc>
      </w:tr>
      <w:tr>
        <w:tc>
          <w:tcPr/>
          <w:p>
            <w:pPr>
              <w:pStyle w:val="Compact"/>
            </w:pPr>
            <w:r>
              <w:rPr>
                <w:b/>
                <w:bCs/>
              </w:rPr>
              <w:t xml:space="preserve">SEV-2 (High)</w:t>
            </w:r>
          </w:p>
        </w:tc>
        <w:tc>
          <w:tcPr/>
          <w:p>
            <w:pPr>
              <w:pStyle w:val="Compact"/>
            </w:pPr>
            <w:r>
              <w:t xml:space="preserve">Confirmed incident materially affecting confidentiality/integrity/availability but still scoped</w:t>
            </w:r>
          </w:p>
        </w:tc>
        <w:tc>
          <w:tcPr/>
          <w:p>
            <w:pPr>
              <w:pStyle w:val="Compact"/>
            </w:pPr>
            <w:r>
              <w:t xml:space="preserve">Single admin account takeover; partial auth outage via DDoS; in-scope endpoint malware</w:t>
            </w:r>
          </w:p>
        </w:tc>
        <w:tc>
          <w:tcPr/>
          <w:p>
            <w:pPr>
              <w:pStyle w:val="Compact"/>
            </w:pPr>
            <w:r>
              <w:t xml:space="preserve">IC</w:t>
            </w:r>
          </w:p>
        </w:tc>
        <w:tc>
          <w:tcPr/>
          <w:p>
            <w:pPr>
              <w:pStyle w:val="Compact"/>
            </w:pPr>
            <w:r>
              <w:t xml:space="preserve">Ack ≤ 30 min</w:t>
            </w:r>
          </w:p>
        </w:tc>
      </w:tr>
      <w:tr>
        <w:tc>
          <w:tcPr/>
          <w:p>
            <w:pPr>
              <w:pStyle w:val="Compact"/>
            </w:pPr>
            <w:r>
              <w:rPr>
                <w:b/>
                <w:bCs/>
              </w:rPr>
              <w:t xml:space="preserve">SEV-3 (Medium)</w:t>
            </w:r>
          </w:p>
        </w:tc>
        <w:tc>
          <w:tcPr/>
          <w:p>
            <w:pPr>
              <w:pStyle w:val="Compact"/>
            </w:pPr>
            <w:r>
              <w:t xml:space="preserve">Contained, scoped incident with no evidence of data exposure</w:t>
            </w:r>
          </w:p>
        </w:tc>
        <w:tc>
          <w:tcPr/>
          <w:p>
            <w:pPr>
              <w:pStyle w:val="Compact"/>
            </w:pPr>
            <w:r>
              <w:t xml:space="preserve">Blocked brute-force; unexploited misconfiguration</w:t>
            </w:r>
          </w:p>
        </w:tc>
        <w:tc>
          <w:tcPr/>
          <w:p>
            <w:pPr>
              <w:pStyle w:val="Compact"/>
            </w:pPr>
            <w:r>
              <w:t xml:space="preserve">On-call lead</w:t>
            </w:r>
          </w:p>
        </w:tc>
        <w:tc>
          <w:tcPr/>
          <w:p>
            <w:pPr>
              <w:pStyle w:val="Compact"/>
            </w:pPr>
            <w:r>
              <w:t xml:space="preserve">Ack ≤ 4 h</w:t>
            </w:r>
          </w:p>
        </w:tc>
      </w:tr>
      <w:tr>
        <w:tc>
          <w:tcPr/>
          <w:p>
            <w:pPr>
              <w:pStyle w:val="Compact"/>
            </w:pPr>
            <w:r>
              <w:rPr>
                <w:b/>
                <w:bCs/>
              </w:rPr>
              <w:t xml:space="preserve">SEV-4 (Low)</w:t>
            </w:r>
          </w:p>
        </w:tc>
        <w:tc>
          <w:tcPr/>
          <w:p>
            <w:pPr>
              <w:pStyle w:val="Compact"/>
            </w:pPr>
            <w:r>
              <w:t xml:space="preserve">Minor / near-miss / policy violation</w:t>
            </w:r>
          </w:p>
        </w:tc>
        <w:tc>
          <w:tcPr/>
          <w:p>
            <w:pPr>
              <w:pStyle w:val="Compact"/>
            </w:pPr>
            <w:r>
              <w:t xml:space="preserve">User-reported phishing not clicked; isolated log anomaly</w:t>
            </w:r>
          </w:p>
        </w:tc>
        <w:tc>
          <w:tcPr/>
          <w:p>
            <w:pPr>
              <w:pStyle w:val="Compact"/>
            </w:pPr>
            <w:r>
              <w:t xml:space="preserve">SOC analyst</w:t>
            </w:r>
          </w:p>
        </w:tc>
        <w:tc>
          <w:tcPr/>
          <w:p>
            <w:pPr>
              <w:pStyle w:val="Compact"/>
            </w:pPr>
            <w:r>
              <w:t xml:space="preserve">Normal workflow</w:t>
            </w:r>
          </w:p>
        </w:tc>
      </w:tr>
    </w:tbl>
    <w:p>
      <w:pPr>
        <w:pStyle w:val="BodyText"/>
      </w:pPr>
      <w:r>
        <w:rPr>
          <w:b/>
          <w:bCs/>
        </w:rPr>
        <w:t xml:space="preserve">Escalation triggers:</w:t>
      </w:r>
      <w:r>
        <w:t xml:space="preserve"> </w:t>
      </w:r>
      <w:r>
        <w:t xml:space="preserve">Escalate to SEV-1 immediately if any of: (a) suspected access to CHD/SAD; (b) key/HSM compromise; (c) confirmed PII exfiltration; (d) core payment unavailable beyond RTO (30 min per</w:t>
      </w:r>
      <w:r>
        <w:t xml:space="preserve"> </w:t>
      </w:r>
      <w:r>
        <w:rPr>
          <w:rStyle w:val="VerbatimChar"/>
        </w:rPr>
        <w:t xml:space="preserve">ARCHITECTURE.md</w:t>
      </w:r>
      <w:r>
        <w:t xml:space="preserve">); (e) a card scheme/acquirer/third party flags us as a</w:t>
      </w:r>
      <w:r>
        <w:t xml:space="preserve"> </w:t>
      </w:r>
      <w:r>
        <w:rPr>
          <w:b/>
          <w:bCs/>
        </w:rPr>
        <w:t xml:space="preserve">CPP (Common Point of Purchase)</w:t>
      </w:r>
      <w:r>
        <w:t xml:space="preserve">.</w:t>
      </w:r>
    </w:p>
    <w:p>
      <w:pPr>
        <w:pStyle w:val="BlockText"/>
      </w:pPr>
      <w:r>
        <w:rPr>
          <w:b/>
          <w:bCs/>
        </w:rPr>
        <w:t xml:space="preserve">PCI note:</w:t>
      </w:r>
      <w:r>
        <w:t xml:space="preserve"> </w:t>
      </w:r>
      <w:r>
        <w:t xml:space="preserve">Any incident affecting</w:t>
      </w:r>
      <w:r>
        <w:t xml:space="preserve"> </w:t>
      </w:r>
      <w:r>
        <w:rPr>
          <w:b/>
          <w:bCs/>
        </w:rPr>
        <w:t xml:space="preserve">account data</w:t>
      </w:r>
      <w:r>
        <w:t xml:space="preserve"> </w:t>
      </w:r>
      <w:r>
        <w:t xml:space="preserve">under PCI-DSS v4.0 must be treated as SEV-1/SEV-2 and entered into the scheme’s</w:t>
      </w:r>
      <w:r>
        <w:t xml:space="preserve"> </w:t>
      </w:r>
      <w:r>
        <w:rPr>
          <w:b/>
          <w:bCs/>
        </w:rPr>
        <w:t xml:space="preserve">ADC (Account Data Compromise)</w:t>
      </w:r>
      <w:r>
        <w:t xml:space="preserve"> </w:t>
      </w:r>
      <w:r>
        <w:t xml:space="preserve">process via the acquirer.</w:t>
      </w:r>
    </w:p>
    <w:p>
      <w:r>
        <w:pict>
          <v:rect style="width:0;height:1.5pt" o:hralign="center" o:hrstd="t" o:hr="t"/>
        </w:pict>
      </w:r>
    </w:p>
    <w:bookmarkEnd w:id="561"/>
    <w:bookmarkStart w:id="562" w:name="incident-lifecycle-pci-req-12.10.1"/>
    <w:p>
      <w:pPr>
        <w:pStyle w:val="Heading2"/>
      </w:pPr>
      <w:r>
        <w:t xml:space="preserve">4. Incident Lifecycle (PCI Req 12.10.1)</w:t>
      </w:r>
    </w:p>
    <w:p>
      <w:pPr>
        <w:pStyle w:val="SourceCode"/>
      </w:pPr>
      <w:r>
        <w:rPr>
          <w:rStyle w:val="VerbatimChar"/>
        </w:rPr>
        <w:t xml:space="preserve">Detect ──▶ Triage/Classify ──▶ Contain ──▶ Eradicate ──▶ Recover ──▶ Notify ──▶ Post-Incident Review</w:t>
      </w:r>
      <w:r>
        <w:br/>
      </w:r>
      <w:r>
        <w:rPr>
          <w:rStyle w:val="VerbatimChar"/>
        </w:rPr>
        <w:t xml:space="preserve">  │            │(severity)        │           │            │           │(72h/BOT)       │(lessons learned)</w:t>
      </w:r>
      <w:r>
        <w:br/>
      </w:r>
      <w:r>
        <w:rPr>
          <w:rStyle w:val="VerbatimChar"/>
        </w:rPr>
        <w:t xml:space="preserve">  └── SIEM/IDS/WAF/anomaly       └── isolate  └── patch    └── restore └── regulators  └── update controls</w:t>
      </w:r>
      <w:r>
        <w:br/>
      </w:r>
      <w:r>
        <w:rPr>
          <w:rStyle w:val="VerbatimChar"/>
        </w:rPr>
        <w:t xml:space="preserve">      /merchant/scheme report        /revoke      /rebuild     (RPO≤5m)     /merchants</w:t>
      </w:r>
    </w:p>
    <w:p>
      <w:pPr>
        <w:pStyle w:val="Compact"/>
        <w:numPr>
          <w:ilvl w:val="0"/>
          <w:numId w:val="1230"/>
        </w:numPr>
      </w:pPr>
      <w:r>
        <w:rPr>
          <w:b/>
          <w:bCs/>
        </w:rPr>
        <w:t xml:space="preserve">Detect &amp; Report</w:t>
      </w:r>
      <w:r>
        <w:t xml:space="preserve"> </w:t>
      </w:r>
      <w:r>
        <w:t xml:space="preserve">— Sources: SIEM/alerts (PCI Req 10), IDS/IPS, WAF, FIM,</w:t>
      </w:r>
      <w:r>
        <w:t xml:space="preserve"> </w:t>
      </w:r>
      <w:r>
        <w:rPr>
          <w:rStyle w:val="VerbatimChar"/>
        </w:rPr>
        <w:t xml:space="preserve">audit_log</w:t>
      </w:r>
      <w:r>
        <w:t xml:space="preserve">, Risk-Engine anomalies, reports from merchant/acquirer/scheme or external. Everyone must report via a single channel (security@ / on-call hotline) within the defined time.</w:t>
      </w:r>
    </w:p>
    <w:p>
      <w:pPr>
        <w:pStyle w:val="Compact"/>
        <w:numPr>
          <w:ilvl w:val="0"/>
          <w:numId w:val="1230"/>
        </w:numPr>
      </w:pPr>
      <w:r>
        <w:rPr>
          <w:b/>
          <w:bCs/>
        </w:rPr>
        <w:t xml:space="preserve">Triage &amp; Classify</w:t>
      </w:r>
      <w:r>
        <w:t xml:space="preserve"> </w:t>
      </w:r>
      <w:r>
        <w:t xml:space="preserve">— IC/on-call assigns severity per §3, opens the incident ticket, starts a timeline.</w:t>
      </w:r>
    </w:p>
    <w:p>
      <w:pPr>
        <w:pStyle w:val="Compact"/>
        <w:numPr>
          <w:ilvl w:val="0"/>
          <w:numId w:val="1230"/>
        </w:numPr>
      </w:pPr>
      <w:r>
        <w:rPr>
          <w:b/>
          <w:bCs/>
        </w:rPr>
        <w:t xml:space="preserve">Contain</w:t>
      </w:r>
      <w:r>
        <w:t xml:space="preserve"> </w:t>
      </w:r>
      <w:r>
        <w:t xml:space="preserve">— Isolate host/segment, revoke credentials/keys, block IPs, disable abused API keys; snapshot for forensics</w:t>
      </w:r>
      <w:r>
        <w:t xml:space="preserve"> </w:t>
      </w:r>
      <w:r>
        <w:rPr>
          <w:b/>
          <w:bCs/>
        </w:rPr>
        <w:t xml:space="preserve">before</w:t>
      </w:r>
      <w:r>
        <w:t xml:space="preserve"> </w:t>
      </w:r>
      <w:r>
        <w:t xml:space="preserve">destroying evidence.</w:t>
      </w:r>
    </w:p>
    <w:p>
      <w:pPr>
        <w:pStyle w:val="Compact"/>
        <w:numPr>
          <w:ilvl w:val="0"/>
          <w:numId w:val="1230"/>
        </w:numPr>
      </w:pPr>
      <w:r>
        <w:rPr>
          <w:b/>
          <w:bCs/>
        </w:rPr>
        <w:t xml:space="preserve">Eradicate</w:t>
      </w:r>
      <w:r>
        <w:t xml:space="preserve"> </w:t>
      </w:r>
      <w:r>
        <w:t xml:space="preserve">— Remove malware/backdoors, patch vulnerabilities, rotate keys (HSM/KMS, PCI Req 3), reset all related credentials.</w:t>
      </w:r>
    </w:p>
    <w:p>
      <w:pPr>
        <w:pStyle w:val="Compact"/>
        <w:numPr>
          <w:ilvl w:val="0"/>
          <w:numId w:val="1230"/>
        </w:numPr>
      </w:pPr>
      <w:r>
        <w:rPr>
          <w:b/>
          <w:bCs/>
        </w:rPr>
        <w:t xml:space="preserve">Recover</w:t>
      </w:r>
      <w:r>
        <w:t xml:space="preserve"> </w:t>
      </w:r>
      <w:r>
        <w:t xml:space="preserve">— Restore from clean backup (RPO ≤ 5 min, RTO ≤ 30 min), verify integrity, apply heightened monitoring for at least 14 days.</w:t>
      </w:r>
    </w:p>
    <w:p>
      <w:pPr>
        <w:pStyle w:val="Compact"/>
        <w:numPr>
          <w:ilvl w:val="0"/>
          <w:numId w:val="1230"/>
        </w:numPr>
      </w:pPr>
      <w:r>
        <w:rPr>
          <w:b/>
          <w:bCs/>
        </w:rPr>
        <w:t xml:space="preserve">Notify</w:t>
      </w:r>
      <w:r>
        <w:t xml:space="preserve"> </w:t>
      </w:r>
      <w:r>
        <w:t xml:space="preserve">— Notify regulators and stakeholders per §5–6.</w:t>
      </w:r>
    </w:p>
    <w:p>
      <w:pPr>
        <w:pStyle w:val="Compact"/>
        <w:numPr>
          <w:ilvl w:val="0"/>
          <w:numId w:val="1230"/>
        </w:numPr>
      </w:pPr>
      <w:r>
        <w:rPr>
          <w:b/>
          <w:bCs/>
        </w:rPr>
        <w:t xml:space="preserve">Post-Incident Review</w:t>
      </w:r>
      <w:r>
        <w:t xml:space="preserve"> </w:t>
      </w:r>
      <w:r>
        <w:t xml:space="preserve">— RCA within 10 business days, lessons learned, control updates, plan revision (PCI Req 12.10.6).</w:t>
      </w:r>
    </w:p>
    <w:p>
      <w:r>
        <w:pict>
          <v:rect style="width:0;height:1.5pt" o:hralign="center" o:hrstd="t" o:hr="t"/>
        </w:pict>
      </w:r>
    </w:p>
    <w:bookmarkEnd w:id="562"/>
    <w:bookmarkStart w:id="563" w:name="notification-timelines-thresholds"/>
    <w:p>
      <w:pPr>
        <w:pStyle w:val="Heading2"/>
      </w:pPr>
      <w:r>
        <w:t xml:space="preserve">5. Notification Timelines &amp; Thresholds</w:t>
      </w:r>
    </w:p>
    <w:p>
      <w:pPr>
        <w:pStyle w:val="BlockText"/>
      </w:pPr>
      <w:r>
        <w:t xml:space="preserve">[!WARNING]</w:t>
      </w:r>
      <w:r>
        <w:t xml:space="preserve"> </w:t>
      </w:r>
      <w:r>
        <w:rPr>
          <w:b/>
          <w:bCs/>
        </w:rPr>
        <w:t xml:space="preserve">72 hours (PDPA s.37(4))</w:t>
      </w:r>
      <w:r>
        <w:t xml:space="preserve"> </w:t>
      </w:r>
      <w:r>
        <w:t xml:space="preserve">and the BOT/scheme timelines are statutory/contractual duties that must not be missed.</w:t>
      </w:r>
      <w:r>
        <w:t xml:space="preserve"> </w:t>
      </w:r>
      <w:r>
        <w:t xml:space="preserve">The 72-hour clock starts when the</w:t>
      </w:r>
      <w:r>
        <w:t xml:space="preserve"> </w:t>
      </w:r>
      <w:r>
        <w:rPr>
          <w:b/>
          <w:bCs/>
        </w:rPr>
        <w:t xml:space="preserve">controller</w:t>
      </w:r>
      <w:r>
        <w:rPr>
          <w:b/>
          <w:bCs/>
        </w:rPr>
        <w:t xml:space="preserve"> </w:t>
      </w:r>
      <w:r>
        <w:rPr>
          <w:b/>
          <w:bCs/>
        </w:rPr>
        <w:t xml:space="preserve">“becomes aware”</w:t>
      </w:r>
      <w:r>
        <w:t xml:space="preserve">, not when the incident occurred — record this timestamp precisely in the timeline.</w:t>
      </w:r>
    </w:p>
    <w:tbl>
      <w:tblPr>
        <w:tblStyle w:val="Table"/>
        <w:tblW w:type="pct" w:w="5000"/>
        <w:tblLayout w:type="fixed"/>
        <w:tblLook w:firstRow="1" w:lastRow="0" w:firstColumn="0" w:lastColumn="0" w:noHBand="0" w:noVBand="0" w:val="0020"/>
      </w:tblPr>
      <w:tblGrid>
        <w:gridCol w:w="1428"/>
        <w:gridCol w:w="2856"/>
        <w:gridCol w:w="1298"/>
        <w:gridCol w:w="908"/>
        <w:gridCol w:w="1428"/>
      </w:tblGrid>
      <w:tr>
        <w:trPr>
          <w:tblHeader w:val="on"/>
        </w:trPr>
        <w:tc>
          <w:tcPr/>
          <w:p>
            <w:pPr>
              <w:pStyle w:val="Compact"/>
            </w:pPr>
            <w:r>
              <w:t xml:space="preserve">Recipient</w:t>
            </w:r>
          </w:p>
        </w:tc>
        <w:tc>
          <w:tcPr/>
          <w:p>
            <w:pPr>
              <w:pStyle w:val="Compact"/>
            </w:pPr>
            <w:r>
              <w:t xml:space="preserve">Condition / threshold</w:t>
            </w:r>
          </w:p>
        </w:tc>
        <w:tc>
          <w:tcPr/>
          <w:p>
            <w:pPr>
              <w:pStyle w:val="Compact"/>
            </w:pPr>
            <w:r>
              <w:t xml:space="preserve">Timeline</w:t>
            </w:r>
          </w:p>
        </w:tc>
        <w:tc>
          <w:tcPr/>
          <w:p>
            <w:pPr>
              <w:pStyle w:val="Compact"/>
            </w:pPr>
            <w:r>
              <w:t xml:space="preserve">Owner</w:t>
            </w:r>
          </w:p>
        </w:tc>
        <w:tc>
          <w:tcPr/>
          <w:p>
            <w:pPr>
              <w:pStyle w:val="Compact"/>
            </w:pPr>
            <w:r>
              <w:t xml:space="preserve">Reference</w:t>
            </w:r>
          </w:p>
        </w:tc>
      </w:tr>
      <w:tr>
        <w:tc>
          <w:tcPr/>
          <w:p>
            <w:pPr>
              <w:pStyle w:val="Compact"/>
            </w:pPr>
            <w:r>
              <w:rPr>
                <w:b/>
                <w:bCs/>
              </w:rPr>
              <w:t xml:space="preserve">PDPC</w:t>
            </w:r>
          </w:p>
        </w:tc>
        <w:tc>
          <w:tcPr/>
          <w:p>
            <w:pPr>
              <w:pStyle w:val="Compact"/>
            </w:pPr>
            <w:r>
              <w:t xml:space="preserve">A</w:t>
            </w:r>
            <w:r>
              <w:t xml:space="preserve"> </w:t>
            </w:r>
            <w:r>
              <w:rPr>
                <w:b/>
                <w:bCs/>
              </w:rPr>
              <w:t xml:space="preserve">personal data breach</w:t>
            </w:r>
            <w:r>
              <w:t xml:space="preserve"> </w:t>
            </w:r>
            <w:r>
              <w:t xml:space="preserve">posing a</w:t>
            </w:r>
            <w:r>
              <w:t xml:space="preserve"> </w:t>
            </w:r>
            <w:r>
              <w:rPr>
                <w:b/>
                <w:bCs/>
              </w:rPr>
              <w:t xml:space="preserve">risk to the rights and freedoms</w:t>
            </w:r>
            <w:r>
              <w:t xml:space="preserve"> </w:t>
            </w:r>
            <w:r>
              <w:t xml:space="preserve">of individuals</w:t>
            </w:r>
          </w:p>
        </w:tc>
        <w:tc>
          <w:tcPr/>
          <w:p>
            <w:pPr>
              <w:pStyle w:val="Compact"/>
            </w:pPr>
            <w:r>
              <w:rPr>
                <w:b/>
                <w:bCs/>
              </w:rPr>
              <w:t xml:space="preserve">Within 72h</w:t>
            </w:r>
            <w:r>
              <w:t xml:space="preserve"> </w:t>
            </w:r>
            <w:r>
              <w:t xml:space="preserve">of becoming aware (unless low risk)</w:t>
            </w:r>
          </w:p>
        </w:tc>
        <w:tc>
          <w:tcPr/>
          <w:p>
            <w:pPr>
              <w:pStyle w:val="Compact"/>
            </w:pPr>
            <w:r>
              <w:t xml:space="preserve">DPO</w:t>
            </w:r>
          </w:p>
        </w:tc>
        <w:tc>
          <w:tcPr/>
          <w:p>
            <w:pPr>
              <w:pStyle w:val="Compact"/>
            </w:pPr>
            <w:r>
              <w:t xml:space="preserve">PDPA s.37(4)</w:t>
            </w:r>
          </w:p>
        </w:tc>
      </w:tr>
      <w:tr>
        <w:tc>
          <w:tcPr/>
          <w:p>
            <w:pPr>
              <w:pStyle w:val="Compact"/>
            </w:pPr>
            <w:r>
              <w:rPr>
                <w:b/>
                <w:bCs/>
              </w:rPr>
              <w:t xml:space="preserve">Data Subjects</w:t>
            </w:r>
          </w:p>
        </w:tc>
        <w:tc>
          <w:tcPr/>
          <w:p>
            <w:pPr>
              <w:pStyle w:val="Compact"/>
            </w:pPr>
            <w:r>
              <w:t xml:space="preserve">Breach posing a</w:t>
            </w:r>
            <w:r>
              <w:t xml:space="preserve"> </w:t>
            </w:r>
            <w:r>
              <w:rPr>
                <w:b/>
                <w:bCs/>
              </w:rPr>
              <w:t xml:space="preserve">high risk</w:t>
            </w:r>
            <w:r>
              <w:t xml:space="preserve"> </w:t>
            </w:r>
            <w:r>
              <w:t xml:space="preserve">to rights and freedoms</w:t>
            </w:r>
          </w:p>
        </w:tc>
        <w:tc>
          <w:tcPr/>
          <w:p>
            <w:pPr>
              <w:pStyle w:val="Compact"/>
            </w:pPr>
            <w:r>
              <w:rPr>
                <w:b/>
                <w:bCs/>
              </w:rPr>
              <w:t xml:space="preserve">Without undue delay</w:t>
            </w:r>
            <w:r>
              <w:t xml:space="preserve">, with remedial measures</w:t>
            </w:r>
          </w:p>
        </w:tc>
        <w:tc>
          <w:tcPr/>
          <w:p>
            <w:pPr>
              <w:pStyle w:val="Compact"/>
            </w:pPr>
            <w:r>
              <w:t xml:space="preserve">DPO + Comms</w:t>
            </w:r>
          </w:p>
        </w:tc>
        <w:tc>
          <w:tcPr/>
          <w:p>
            <w:pPr>
              <w:pStyle w:val="Compact"/>
            </w:pPr>
            <w:r>
              <w:t xml:space="preserve">PDPA s.37(4)</w:t>
            </w:r>
          </w:p>
        </w:tc>
      </w:tr>
      <w:tr>
        <w:tc>
          <w:tcPr/>
          <w:p>
            <w:pPr>
              <w:pStyle w:val="Compact"/>
            </w:pPr>
            <w:r>
              <w:rPr>
                <w:b/>
                <w:bCs/>
              </w:rPr>
              <w:t xml:space="preserve">BOT (ธปท.)</w:t>
            </w:r>
          </w:p>
        </w:tc>
        <w:tc>
          <w:tcPr/>
          <w:p>
            <w:pPr>
              <w:pStyle w:val="Compact"/>
            </w:pPr>
            <w:r>
              <w:t xml:space="preserve">Significant IT/cyber incident affecting the payment system/users (SEV-1/SEV-2)</w:t>
            </w:r>
          </w:p>
        </w:tc>
        <w:tc>
          <w:tcPr/>
          <w:p>
            <w:pPr>
              <w:pStyle w:val="Compact"/>
            </w:pPr>
            <w:r>
              <w:t xml:space="preserve">Per BOT IT Risk/Cyber Resilience notifications —</w:t>
            </w:r>
            <w:r>
              <w:t xml:space="preserve"> </w:t>
            </w:r>
            <w:r>
              <w:rPr>
                <w:b/>
                <w:bCs/>
              </w:rPr>
              <w:t xml:space="preserve">promptly</w:t>
            </w:r>
            <w:r>
              <w:t xml:space="preserve"> </w:t>
            </w:r>
            <w:r>
              <w:t xml:space="preserve">(confirm actual SLA — A5)</w:t>
            </w:r>
          </w:p>
        </w:tc>
        <w:tc>
          <w:tcPr/>
          <w:p>
            <w:pPr>
              <w:pStyle w:val="Compact"/>
            </w:pPr>
            <w:r>
              <w:t xml:space="preserve">CCO</w:t>
            </w:r>
          </w:p>
        </w:tc>
        <w:tc>
          <w:tcPr/>
          <w:p>
            <w:pPr>
              <w:pStyle w:val="Compact"/>
            </w:pPr>
            <w:r>
              <w:t xml:space="preserve">BOT notification</w:t>
            </w:r>
          </w:p>
        </w:tc>
      </w:tr>
      <w:tr>
        <w:tc>
          <w:tcPr/>
          <w:p>
            <w:pPr>
              <w:pStyle w:val="Compact"/>
            </w:pPr>
            <w:r>
              <w:rPr>
                <w:b/>
                <w:bCs/>
              </w:rPr>
              <w:t xml:space="preserve">Acquirer / Card Scheme (Visa/MC)</w:t>
            </w:r>
          </w:p>
        </w:tc>
        <w:tc>
          <w:tcPr/>
          <w:p>
            <w:pPr>
              <w:pStyle w:val="Compact"/>
            </w:pPr>
            <w:r>
              <w:t xml:space="preserve">Suspected/confirmed</w:t>
            </w:r>
            <w:r>
              <w:t xml:space="preserve"> </w:t>
            </w:r>
            <w:r>
              <w:rPr>
                <w:b/>
                <w:bCs/>
              </w:rPr>
              <w:t xml:space="preserve">account data compromise (ADC)</w:t>
            </w:r>
          </w:p>
        </w:tc>
        <w:tc>
          <w:tcPr/>
          <w:p>
            <w:pPr>
              <w:pStyle w:val="Compact"/>
            </w:pPr>
            <w:r>
              <w:rPr>
                <w:b/>
                <w:bCs/>
              </w:rPr>
              <w:t xml:space="preserve">Immediately / within 24h</w:t>
            </w:r>
            <w:r>
              <w:t xml:space="preserve"> </w:t>
            </w:r>
            <w:r>
              <w:t xml:space="preserve">per scheme rules (confirm via sponsor bank — A2)</w:t>
            </w:r>
          </w:p>
        </w:tc>
        <w:tc>
          <w:tcPr/>
          <w:p>
            <w:pPr>
              <w:pStyle w:val="Compact"/>
            </w:pPr>
            <w:r>
              <w:t xml:space="preserve">CISO + Compliance</w:t>
            </w:r>
          </w:p>
        </w:tc>
        <w:tc>
          <w:tcPr/>
          <w:p>
            <w:pPr>
              <w:pStyle w:val="Compact"/>
            </w:pPr>
            <w:r>
              <w:t xml:space="preserve">PCI DSS Req 12.10; Visa/MC ADC</w:t>
            </w:r>
          </w:p>
        </w:tc>
      </w:tr>
      <w:tr>
        <w:tc>
          <w:tcPr/>
          <w:p>
            <w:pPr>
              <w:pStyle w:val="Compact"/>
            </w:pPr>
            <w:r>
              <w:rPr>
                <w:b/>
                <w:bCs/>
              </w:rPr>
              <w:t xml:space="preserve">PFI (Forensic Investigator)</w:t>
            </w:r>
          </w:p>
        </w:tc>
        <w:tc>
          <w:tcPr/>
          <w:p>
            <w:pPr>
              <w:pStyle w:val="Compact"/>
            </w:pPr>
            <w:r>
              <w:t xml:space="preserve">Scheme-mandated ADC investigation</w:t>
            </w:r>
          </w:p>
        </w:tc>
        <w:tc>
          <w:tcPr/>
          <w:p>
            <w:pPr>
              <w:pStyle w:val="Compact"/>
            </w:pPr>
            <w:r>
              <w:t xml:space="preserve">Engage</w:t>
            </w:r>
            <w:r>
              <w:t xml:space="preserve"> </w:t>
            </w:r>
            <w:r>
              <w:rPr>
                <w:b/>
                <w:bCs/>
              </w:rPr>
              <w:t xml:space="preserve">within 5 days</w:t>
            </w:r>
            <w:r>
              <w:t xml:space="preserve"> </w:t>
            </w:r>
            <w:r>
              <w:t xml:space="preserve">per scheme rules</w:t>
            </w:r>
          </w:p>
        </w:tc>
        <w:tc>
          <w:tcPr/>
          <w:p>
            <w:pPr>
              <w:pStyle w:val="Compact"/>
            </w:pPr>
            <w:r>
              <w:t xml:space="preserve">CISO</w:t>
            </w:r>
          </w:p>
        </w:tc>
        <w:tc>
          <w:tcPr/>
          <w:p>
            <w:pPr>
              <w:pStyle w:val="Compact"/>
            </w:pPr>
            <w:r>
              <w:t xml:space="preserve">Scheme ADC program</w:t>
            </w:r>
          </w:p>
        </w:tc>
      </w:tr>
      <w:tr>
        <w:tc>
          <w:tcPr/>
          <w:p>
            <w:pPr>
              <w:pStyle w:val="Compact"/>
            </w:pPr>
            <w:r>
              <w:rPr>
                <w:b/>
                <w:bCs/>
              </w:rPr>
              <w:t xml:space="preserve">AMLO (ปปง.)</w:t>
            </w:r>
          </w:p>
        </w:tc>
        <w:tc>
          <w:tcPr/>
          <w:p>
            <w:pPr>
              <w:pStyle w:val="Compact"/>
            </w:pPr>
            <w:r>
              <w:t xml:space="preserve">Incident linked to money laundering/fraud meeting STR criteria</w:t>
            </w:r>
          </w:p>
        </w:tc>
        <w:tc>
          <w:tcPr/>
          <w:p>
            <w:pPr>
              <w:pStyle w:val="Compact"/>
            </w:pPr>
            <w:r>
              <w:t xml:space="preserve">Per</w:t>
            </w:r>
            <w:r>
              <w:t xml:space="preserve"> </w:t>
            </w:r>
            <w:r>
              <w:rPr>
                <w:rStyle w:val="VerbatimChar"/>
              </w:rPr>
              <w:t xml:space="preserve">07-sar-str-procedure.md</w:t>
            </w:r>
          </w:p>
        </w:tc>
        <w:tc>
          <w:tcPr/>
          <w:p>
            <w:pPr>
              <w:pStyle w:val="Compact"/>
            </w:pPr>
            <w:r>
              <w:t xml:space="preserve">MLRO</w:t>
            </w:r>
          </w:p>
        </w:tc>
        <w:tc>
          <w:tcPr/>
          <w:p>
            <w:pPr>
              <w:pStyle w:val="Compact"/>
            </w:pPr>
            <w:r>
              <w:t xml:space="preserve">AMLA</w:t>
            </w:r>
          </w:p>
        </w:tc>
      </w:tr>
      <w:tr>
        <w:tc>
          <w:tcPr/>
          <w:p>
            <w:pPr>
              <w:pStyle w:val="Compact"/>
            </w:pPr>
            <w:r>
              <w:rPr>
                <w:b/>
                <w:bCs/>
              </w:rPr>
              <w:t xml:space="preserve">Law enforcement</w:t>
            </w:r>
          </w:p>
        </w:tc>
        <w:tc>
          <w:tcPr/>
          <w:p>
            <w:pPr>
              <w:pStyle w:val="Compact"/>
            </w:pPr>
            <w:r>
              <w:t xml:space="preserve">Cybercrime / ransomware / extortion</w:t>
            </w:r>
          </w:p>
        </w:tc>
        <w:tc>
          <w:tcPr/>
          <w:p>
            <w:pPr>
              <w:pStyle w:val="Compact"/>
            </w:pPr>
            <w:r>
              <w:t xml:space="preserve">Per Legal advice</w:t>
            </w:r>
          </w:p>
        </w:tc>
        <w:tc>
          <w:tcPr/>
          <w:p>
            <w:pPr>
              <w:pStyle w:val="Compact"/>
            </w:pPr>
            <w:r>
              <w:t xml:space="preserve">Legal + CISO</w:t>
            </w:r>
          </w:p>
        </w:tc>
        <w:tc>
          <w:tcPr/>
          <w:p>
            <w:pPr>
              <w:pStyle w:val="Compact"/>
            </w:pPr>
            <w:r>
              <w:t xml:space="preserve">—</w:t>
            </w:r>
          </w:p>
        </w:tc>
      </w:tr>
      <w:tr>
        <w:tc>
          <w:tcPr/>
          <w:p>
            <w:pPr>
              <w:pStyle w:val="Compact"/>
            </w:pPr>
            <w:r>
              <w:rPr>
                <w:b/>
                <w:bCs/>
              </w:rPr>
              <w:t xml:space="preserve">Affected merchants</w:t>
            </w:r>
          </w:p>
        </w:tc>
        <w:tc>
          <w:tcPr/>
          <w:p>
            <w:pPr>
              <w:pStyle w:val="Compact"/>
            </w:pPr>
            <w:r>
              <w:t xml:space="preserve">Merchant/cardholder data of a merchant affected</w:t>
            </w:r>
          </w:p>
        </w:tc>
        <w:tc>
          <w:tcPr/>
          <w:p>
            <w:pPr>
              <w:pStyle w:val="Compact"/>
            </w:pPr>
            <w:r>
              <w:t xml:space="preserve">Without undue delay, per contract/SLA</w:t>
            </w:r>
          </w:p>
        </w:tc>
        <w:tc>
          <w:tcPr/>
          <w:p>
            <w:pPr>
              <w:pStyle w:val="Compact"/>
            </w:pPr>
            <w:r>
              <w:t xml:space="preserve">Merchant Support</w:t>
            </w:r>
          </w:p>
        </w:tc>
        <w:tc>
          <w:tcPr/>
          <w:p>
            <w:pPr>
              <w:pStyle w:val="Compact"/>
            </w:pPr>
            <w:r>
              <w:t xml:space="preserve">Service agreement</w:t>
            </w:r>
          </w:p>
        </w:tc>
      </w:tr>
      <w:tr>
        <w:tc>
          <w:tcPr/>
          <w:p>
            <w:pPr>
              <w:pStyle w:val="Compact"/>
            </w:pPr>
            <w:r>
              <w:rPr>
                <w:b/>
                <w:bCs/>
              </w:rPr>
              <w:t xml:space="preserve">Cyber insurer</w:t>
            </w:r>
          </w:p>
        </w:tc>
        <w:tc>
          <w:tcPr/>
          <w:p>
            <w:pPr>
              <w:pStyle w:val="Compact"/>
            </w:pPr>
            <w:r>
              <w:t xml:space="preserve">Policy conditions met</w:t>
            </w:r>
          </w:p>
        </w:tc>
        <w:tc>
          <w:tcPr/>
          <w:p>
            <w:pPr>
              <w:pStyle w:val="Compact"/>
            </w:pPr>
            <w:r>
              <w:t xml:space="preserve">Per policy notice conditions (A7)</w:t>
            </w:r>
          </w:p>
        </w:tc>
        <w:tc>
          <w:tcPr/>
          <w:p>
            <w:pPr>
              <w:pStyle w:val="Compact"/>
            </w:pPr>
            <w:r>
              <w:t xml:space="preserve">CFO/CISO</w:t>
            </w:r>
          </w:p>
        </w:tc>
        <w:tc>
          <w:tcPr/>
          <w:p>
            <w:pPr>
              <w:pStyle w:val="Compact"/>
            </w:pPr>
            <w:r>
              <w:t xml:space="preserve">Policy</w:t>
            </w:r>
          </w:p>
        </w:tc>
      </w:tr>
    </w:tbl>
    <w:p>
      <w:pPr>
        <w:pStyle w:val="BodyText"/>
      </w:pPr>
      <w:r>
        <w:rPr>
          <w:b/>
          <w:bCs/>
        </w:rPr>
        <w:t xml:space="preserve">Minimum content for PDPC / data-subject notice:</w:t>
      </w:r>
      <w:r>
        <w:t xml:space="preserve"> </w:t>
      </w:r>
      <w:r>
        <w:t xml:space="preserve">nature of the breach and the categories/volume of data affected, likely consequences, measures taken/to be taken to address and mitigate, and a contact point (DPO). Where full facts are not yet known, a</w:t>
      </w:r>
      <w:r>
        <w:t xml:space="preserve"> </w:t>
      </w:r>
      <w:r>
        <w:rPr>
          <w:b/>
          <w:bCs/>
        </w:rPr>
        <w:t xml:space="preserve">phased notification</w:t>
      </w:r>
      <w:r>
        <w:t xml:space="preserve"> </w:t>
      </w:r>
      <w:r>
        <w:t xml:space="preserve">is permitted.</w:t>
      </w:r>
    </w:p>
    <w:p>
      <w:r>
        <w:pict>
          <v:rect style="width:0;height:1.5pt" o:hralign="center" o:hrstd="t" o:hr="t"/>
        </w:pict>
      </w:r>
    </w:p>
    <w:bookmarkEnd w:id="563"/>
    <w:bookmarkStart w:id="564" w:name="communications-plan"/>
    <w:p>
      <w:pPr>
        <w:pStyle w:val="Heading2"/>
      </w:pPr>
      <w:r>
        <w:t xml:space="preserve">6. Communications Plan</w:t>
      </w:r>
    </w:p>
    <w:tbl>
      <w:tblPr>
        <w:tblStyle w:val="Table"/>
        <w:tblW w:type="pct" w:w="5000"/>
        <w:tblLayout w:type="fixed"/>
        <w:tblLook w:firstRow="1" w:lastRow="0" w:firstColumn="0" w:lastColumn="0" w:noHBand="0" w:noVBand="0" w:val="0020"/>
      </w:tblPr>
      <w:tblGrid>
        <w:gridCol w:w="2036"/>
        <w:gridCol w:w="2262"/>
        <w:gridCol w:w="2262"/>
        <w:gridCol w:w="1357"/>
      </w:tblGrid>
      <w:tr>
        <w:trPr>
          <w:tblHeader w:val="on"/>
        </w:trPr>
        <w:tc>
          <w:tcPr/>
          <w:p>
            <w:pPr>
              <w:pStyle w:val="Compact"/>
            </w:pPr>
            <w:r>
              <w:t xml:space="preserve">Channel</w:t>
            </w:r>
          </w:p>
        </w:tc>
        <w:tc>
          <w:tcPr/>
          <w:p>
            <w:pPr>
              <w:pStyle w:val="Compact"/>
            </w:pPr>
            <w:r>
              <w:t xml:space="preserve">Audience</w:t>
            </w:r>
          </w:p>
        </w:tc>
        <w:tc>
          <w:tcPr/>
          <w:p>
            <w:pPr>
              <w:pStyle w:val="Compact"/>
            </w:pPr>
            <w:r>
              <w:t xml:space="preserve">Approver</w:t>
            </w:r>
          </w:p>
        </w:tc>
        <w:tc>
          <w:tcPr/>
          <w:p>
            <w:pPr>
              <w:pStyle w:val="Compact"/>
            </w:pPr>
            <w:r>
              <w:t xml:space="preserve">Note</w:t>
            </w:r>
          </w:p>
        </w:tc>
      </w:tr>
      <w:tr>
        <w:tc>
          <w:tcPr/>
          <w:p>
            <w:pPr>
              <w:pStyle w:val="Compact"/>
            </w:pPr>
            <w:r>
              <w:rPr>
                <w:b/>
                <w:bCs/>
              </w:rPr>
              <w:t xml:space="preserve">Internal war room</w:t>
            </w:r>
            <w:r>
              <w:t xml:space="preserve"> </w:t>
            </w:r>
            <w:r>
              <w:t xml:space="preserve">(encrypted out-of-band, e.g. bridge line)</w:t>
            </w:r>
          </w:p>
        </w:tc>
        <w:tc>
          <w:tcPr/>
          <w:p>
            <w:pPr>
              <w:pStyle w:val="Compact"/>
            </w:pPr>
            <w:r>
              <w:t xml:space="preserve">CSIRT</w:t>
            </w:r>
          </w:p>
        </w:tc>
        <w:tc>
          <w:tcPr/>
          <w:p>
            <w:pPr>
              <w:pStyle w:val="Compact"/>
            </w:pPr>
            <w:r>
              <w:t xml:space="preserve">IC</w:t>
            </w:r>
          </w:p>
        </w:tc>
        <w:tc>
          <w:tcPr/>
          <w:p>
            <w:pPr>
              <w:pStyle w:val="Compact"/>
            </w:pPr>
            <w:r>
              <w:t xml:space="preserve">Never use a possibly-compromised system</w:t>
            </w:r>
          </w:p>
        </w:tc>
      </w:tr>
      <w:tr>
        <w:tc>
          <w:tcPr/>
          <w:p>
            <w:pPr>
              <w:pStyle w:val="Compact"/>
            </w:pPr>
            <w:r>
              <w:rPr>
                <w:b/>
                <w:bCs/>
              </w:rPr>
              <w:t xml:space="preserve">Executive/Board brief</w:t>
            </w:r>
          </w:p>
        </w:tc>
        <w:tc>
          <w:tcPr/>
          <w:p>
            <w:pPr>
              <w:pStyle w:val="Compact"/>
            </w:pPr>
            <w:r>
              <w:t xml:space="preserve">CEO, Board</w:t>
            </w:r>
          </w:p>
        </w:tc>
        <w:tc>
          <w:tcPr/>
          <w:p>
            <w:pPr>
              <w:pStyle w:val="Compact"/>
            </w:pPr>
            <w:r>
              <w:t xml:space="preserve">IC</w:t>
            </w:r>
          </w:p>
        </w:tc>
        <w:tc>
          <w:tcPr/>
          <w:p>
            <w:pPr>
              <w:pStyle w:val="Compact"/>
            </w:pPr>
            <w:r>
              <w:t xml:space="preserve">SEV-1 notified immediately</w:t>
            </w:r>
          </w:p>
        </w:tc>
      </w:tr>
      <w:tr>
        <w:tc>
          <w:tcPr/>
          <w:p>
            <w:pPr>
              <w:pStyle w:val="Compact"/>
            </w:pPr>
            <w:r>
              <w:rPr>
                <w:b/>
                <w:bCs/>
              </w:rPr>
              <w:t xml:space="preserve">Regulator notice</w:t>
            </w:r>
            <w:r>
              <w:t xml:space="preserve"> </w:t>
            </w:r>
            <w:r>
              <w:t xml:space="preserve">(PDPC, BOT)</w:t>
            </w:r>
          </w:p>
        </w:tc>
        <w:tc>
          <w:tcPr/>
          <w:p>
            <w:pPr>
              <w:pStyle w:val="Compact"/>
            </w:pPr>
            <w:r>
              <w:t xml:space="preserve">Regulators</w:t>
            </w:r>
          </w:p>
        </w:tc>
        <w:tc>
          <w:tcPr/>
          <w:p>
            <w:pPr>
              <w:pStyle w:val="Compact"/>
            </w:pPr>
            <w:r>
              <w:t xml:space="preserve">DPO/CCO + Legal</w:t>
            </w:r>
          </w:p>
        </w:tc>
        <w:tc>
          <w:tcPr/>
          <w:p>
            <w:pPr>
              <w:pStyle w:val="Compact"/>
            </w:pPr>
            <w:r>
              <w:t xml:space="preserve">Official documents only</w:t>
            </w:r>
          </w:p>
        </w:tc>
      </w:tr>
      <w:tr>
        <w:tc>
          <w:tcPr/>
          <w:p>
            <w:pPr>
              <w:pStyle w:val="Compact"/>
            </w:pPr>
            <w:r>
              <w:rPr>
                <w:b/>
                <w:bCs/>
              </w:rPr>
              <w:t xml:space="preserve">Scheme/Acquirer notice</w:t>
            </w:r>
          </w:p>
        </w:tc>
        <w:tc>
          <w:tcPr/>
          <w:p>
            <w:pPr>
              <w:pStyle w:val="Compact"/>
            </w:pPr>
            <w:r>
              <w:t xml:space="preserve">Sponsor bank, Visa/MC</w:t>
            </w:r>
          </w:p>
        </w:tc>
        <w:tc>
          <w:tcPr/>
          <w:p>
            <w:pPr>
              <w:pStyle w:val="Compact"/>
            </w:pPr>
            <w:r>
              <w:t xml:space="preserve">CISO + Compliance</w:t>
            </w:r>
          </w:p>
        </w:tc>
        <w:tc>
          <w:tcPr/>
          <w:p>
            <w:pPr>
              <w:pStyle w:val="Compact"/>
            </w:pPr>
            <w:r>
              <w:t xml:space="preserve">Via scheme-mandated channel</w:t>
            </w:r>
          </w:p>
        </w:tc>
      </w:tr>
      <w:tr>
        <w:tc>
          <w:tcPr/>
          <w:p>
            <w:pPr>
              <w:pStyle w:val="Compact"/>
            </w:pPr>
            <w:r>
              <w:rPr>
                <w:b/>
                <w:bCs/>
              </w:rPr>
              <w:t xml:space="preserve">Merchant notice</w:t>
            </w:r>
          </w:p>
        </w:tc>
        <w:tc>
          <w:tcPr/>
          <w:p>
            <w:pPr>
              <w:pStyle w:val="Compact"/>
            </w:pPr>
            <w:r>
              <w:t xml:space="preserve">Merchants</w:t>
            </w:r>
          </w:p>
        </w:tc>
        <w:tc>
          <w:tcPr/>
          <w:p>
            <w:pPr>
              <w:pStyle w:val="Compact"/>
            </w:pPr>
            <w:r>
              <w:t xml:space="preserve">Merchant Support Lead</w:t>
            </w:r>
          </w:p>
        </w:tc>
        <w:tc>
          <w:tcPr/>
          <w:p>
            <w:pPr>
              <w:pStyle w:val="Compact"/>
            </w:pPr>
            <w:r>
              <w:t xml:space="preserve">Templates via Legal</w:t>
            </w:r>
          </w:p>
        </w:tc>
      </w:tr>
      <w:tr>
        <w:tc>
          <w:tcPr/>
          <w:p>
            <w:pPr>
              <w:pStyle w:val="Compact"/>
            </w:pPr>
            <w:r>
              <w:rPr>
                <w:b/>
                <w:bCs/>
              </w:rPr>
              <w:t xml:space="preserve">Public/Press statement</w:t>
            </w:r>
          </w:p>
        </w:tc>
        <w:tc>
          <w:tcPr/>
          <w:p>
            <w:pPr>
              <w:pStyle w:val="Compact"/>
            </w:pPr>
            <w:r>
              <w:t xml:space="preserve">Media/public</w:t>
            </w:r>
          </w:p>
        </w:tc>
        <w:tc>
          <w:tcPr/>
          <w:p>
            <w:pPr>
              <w:pStyle w:val="Compact"/>
            </w:pPr>
            <w:r>
              <w:t xml:space="preserve">IC + Legal + Comms</w:t>
            </w:r>
          </w:p>
        </w:tc>
        <w:tc>
          <w:tcPr/>
          <w:p>
            <w:pPr>
              <w:pStyle w:val="Compact"/>
            </w:pPr>
            <w:r>
              <w:t xml:space="preserve">Always Legal-approved first</w:t>
            </w:r>
          </w:p>
        </w:tc>
      </w:tr>
    </w:tbl>
    <w:p>
      <w:pPr>
        <w:pStyle w:val="BodyText"/>
      </w:pPr>
      <w:r>
        <w:rPr>
          <w:b/>
          <w:bCs/>
        </w:rPr>
        <w:t xml:space="preserve">Communications principles:</w:t>
      </w:r>
      <w:r>
        <w:t xml:space="preserve"> </w:t>
      </w:r>
      <w:r>
        <w:t xml:space="preserve">(1)</w:t>
      </w:r>
      <w:r>
        <w:t xml:space="preserve"> </w:t>
      </w:r>
      <w:r>
        <w:rPr>
          <w:b/>
          <w:bCs/>
        </w:rPr>
        <w:t xml:space="preserve">out-of-band</w:t>
      </w:r>
      <w:r>
        <w:t xml:space="preserve"> </w:t>
      </w:r>
      <w:r>
        <w:t xml:space="preserve">— never discuss the incident through a possibly-breached system; (2)</w:t>
      </w:r>
      <w:r>
        <w:t xml:space="preserve"> </w:t>
      </w:r>
      <w:r>
        <w:rPr>
          <w:b/>
          <w:bCs/>
        </w:rPr>
        <w:t xml:space="preserve">single source of truth</w:t>
      </w:r>
      <w:r>
        <w:t xml:space="preserve"> </w:t>
      </w:r>
      <w:r>
        <w:t xml:space="preserve">— Comms is the sole publisher; (3)</w:t>
      </w:r>
      <w:r>
        <w:t xml:space="preserve"> </w:t>
      </w:r>
      <w:r>
        <w:rPr>
          <w:b/>
          <w:bCs/>
        </w:rPr>
        <w:t xml:space="preserve">no speculation</w:t>
      </w:r>
      <w:r>
        <w:t xml:space="preserve"> </w:t>
      </w:r>
      <w:r>
        <w:t xml:space="preserve">— only confirmed facts; (4) prevent</w:t>
      </w:r>
      <w:r>
        <w:t xml:space="preserve"> </w:t>
      </w:r>
      <w:r>
        <w:rPr>
          <w:b/>
          <w:bCs/>
        </w:rPr>
        <w:t xml:space="preserve">tipping-off</w:t>
      </w:r>
      <w:r>
        <w:t xml:space="preserve"> </w:t>
      </w:r>
      <w:r>
        <w:t xml:space="preserve">when an AML/investigation dimension exists; (5) all external communications go through Legal.</w:t>
      </w:r>
    </w:p>
    <w:p>
      <w:r>
        <w:pict>
          <v:rect style="width:0;height:1.5pt" o:hralign="center" o:hrstd="t" o:hr="t"/>
        </w:pict>
      </w:r>
    </w:p>
    <w:bookmarkEnd w:id="564"/>
    <w:bookmarkStart w:id="565" w:name="evidence-forensics"/>
    <w:p>
      <w:pPr>
        <w:pStyle w:val="Heading2"/>
      </w:pPr>
      <w:r>
        <w:t xml:space="preserve">7. Evidence &amp; Forensics</w:t>
      </w:r>
    </w:p>
    <w:p>
      <w:pPr>
        <w:pStyle w:val="Compact"/>
        <w:numPr>
          <w:ilvl w:val="0"/>
          <w:numId w:val="1231"/>
        </w:numPr>
      </w:pPr>
      <w:r>
        <w:rPr>
          <w:b/>
          <w:bCs/>
        </w:rPr>
        <w:t xml:space="preserve">Chain of custody</w:t>
      </w:r>
      <w:r>
        <w:t xml:space="preserve"> </w:t>
      </w:r>
      <w:r>
        <w:t xml:space="preserve">— Record custodian, time, and access for every artifact; keep hashes for integrity.</w:t>
      </w:r>
    </w:p>
    <w:p>
      <w:pPr>
        <w:pStyle w:val="Compact"/>
        <w:numPr>
          <w:ilvl w:val="0"/>
          <w:numId w:val="1231"/>
        </w:numPr>
      </w:pPr>
      <w:r>
        <w:rPr>
          <w:b/>
          <w:bCs/>
        </w:rPr>
        <w:t xml:space="preserve">Preserve before eradicate</w:t>
      </w:r>
      <w:r>
        <w:t xml:space="preserve"> </w:t>
      </w:r>
      <w:r>
        <w:t xml:space="preserve">— Snapshot systems/disk/memory and copy logs before remediation.</w:t>
      </w:r>
    </w:p>
    <w:p>
      <w:pPr>
        <w:pStyle w:val="Compact"/>
        <w:numPr>
          <w:ilvl w:val="0"/>
          <w:numId w:val="1231"/>
        </w:numPr>
      </w:pPr>
      <w:r>
        <w:rPr>
          <w:b/>
          <w:bCs/>
        </w:rPr>
        <w:t xml:space="preserve">Log integrity</w:t>
      </w:r>
      <w:r>
        <w:t xml:space="preserve"> </w:t>
      </w:r>
      <w:r>
        <w:t xml:space="preserve">—</w:t>
      </w:r>
      <w:r>
        <w:t xml:space="preserve"> </w:t>
      </w:r>
      <w:r>
        <w:rPr>
          <w:rStyle w:val="VerbatimChar"/>
        </w:rPr>
        <w:t xml:space="preserve">audit_log</w:t>
      </w:r>
      <w:r>
        <w:t xml:space="preserve"> </w:t>
      </w:r>
      <w:r>
        <w:t xml:space="preserve">is append-only (per</w:t>
      </w:r>
      <w:r>
        <w:t xml:space="preserve"> </w:t>
      </w:r>
      <w:r>
        <w:rPr>
          <w:rStyle w:val="VerbatimChar"/>
        </w:rPr>
        <w:t xml:space="preserve">ARCHITECTURE.md</w:t>
      </w:r>
      <w:r>
        <w:t xml:space="preserve">); ship logs to a write-once SIEM.</w:t>
      </w:r>
    </w:p>
    <w:p>
      <w:pPr>
        <w:pStyle w:val="Compact"/>
        <w:numPr>
          <w:ilvl w:val="0"/>
          <w:numId w:val="1231"/>
        </w:numPr>
      </w:pPr>
      <w:r>
        <w:rPr>
          <w:b/>
          <w:bCs/>
        </w:rPr>
        <w:t xml:space="preserve">PFI engagement</w:t>
      </w:r>
      <w:r>
        <w:t xml:space="preserve"> </w:t>
      </w:r>
      <w:r>
        <w:t xml:space="preserve">— When scheme-mandated, use an approved PFI (A3); do not destroy evidence before PFI review.</w:t>
      </w:r>
    </w:p>
    <w:p>
      <w:pPr>
        <w:pStyle w:val="Compact"/>
        <w:numPr>
          <w:ilvl w:val="0"/>
          <w:numId w:val="1231"/>
        </w:numPr>
      </w:pPr>
      <w:r>
        <w:rPr>
          <w:b/>
          <w:bCs/>
        </w:rPr>
        <w:t xml:space="preserve">Evidence retention</w:t>
      </w:r>
      <w:r>
        <w:t xml:space="preserve"> </w:t>
      </w:r>
      <w:r>
        <w:t xml:space="preserve">— At minimum per</w:t>
      </w:r>
      <w:r>
        <w:t xml:space="preserve"> </w:t>
      </w:r>
      <w:r>
        <w:rPr>
          <w:rStyle w:val="VerbatimChar"/>
        </w:rPr>
        <w:t xml:space="preserve">11-data-retention-deletion.md</w:t>
      </w:r>
      <w:r>
        <w:t xml:space="preserve"> </w:t>
      </w:r>
      <w:r>
        <w:t xml:space="preserve">and per Legal/PFI guidance (typically ≥ 12 months or until the case/investigation concludes).</w:t>
      </w:r>
    </w:p>
    <w:p>
      <w:r>
        <w:pict>
          <v:rect style="width:0;height:1.5pt" o:hralign="center" o:hrstd="t" o:hr="t"/>
        </w:pict>
      </w:r>
    </w:p>
    <w:bookmarkEnd w:id="565"/>
    <w:bookmarkStart w:id="566" w:name="testing-maintenance-pci-req-12.10.2"/>
    <w:p>
      <w:pPr>
        <w:pStyle w:val="Heading2"/>
      </w:pPr>
      <w:r>
        <w:t xml:space="preserve">8. Testing &amp; Maintenance (PCI Req 12.10.2)</w:t>
      </w:r>
    </w:p>
    <w:p>
      <w:pPr>
        <w:pStyle w:val="Compact"/>
        <w:numPr>
          <w:ilvl w:val="0"/>
          <w:numId w:val="1232"/>
        </w:numPr>
      </w:pPr>
      <w:r>
        <w:rPr>
          <w:b/>
          <w:bCs/>
        </w:rPr>
        <w:t xml:space="preserve">Tabletop exercise</w:t>
      </w:r>
      <w:r>
        <w:t xml:space="preserve"> </w:t>
      </w:r>
      <w:r>
        <w:t xml:space="preserve">at least</w:t>
      </w:r>
      <w:r>
        <w:t xml:space="preserve"> </w:t>
      </w:r>
      <w:r>
        <w:rPr>
          <w:b/>
          <w:bCs/>
        </w:rPr>
        <w:t xml:space="preserve">annually</w:t>
      </w:r>
      <w:r>
        <w:t xml:space="preserve"> </w:t>
      </w:r>
      <w:r>
        <w:t xml:space="preserve">(scenarios: PAN exfiltration, ransomware, key compromise, insider).</w:t>
      </w:r>
    </w:p>
    <w:p>
      <w:pPr>
        <w:pStyle w:val="Compact"/>
        <w:numPr>
          <w:ilvl w:val="0"/>
          <w:numId w:val="1232"/>
        </w:numPr>
      </w:pPr>
      <w:r>
        <w:rPr>
          <w:b/>
          <w:bCs/>
        </w:rPr>
        <w:t xml:space="preserve">Review and update the plan</w:t>
      </w:r>
      <w:r>
        <w:t xml:space="preserve"> </w:t>
      </w:r>
      <w:r>
        <w:t xml:space="preserve">at least annually and after every SEV-1/SEV-2 incident (Req 12.10.6).</w:t>
      </w:r>
    </w:p>
    <w:p>
      <w:pPr>
        <w:pStyle w:val="Compact"/>
        <w:numPr>
          <w:ilvl w:val="0"/>
          <w:numId w:val="1232"/>
        </w:numPr>
      </w:pPr>
      <w:r>
        <w:rPr>
          <w:b/>
          <w:bCs/>
        </w:rPr>
        <w:t xml:space="preserve">Train the CSIRT</w:t>
      </w:r>
      <w:r>
        <w:t xml:space="preserve"> </w:t>
      </w:r>
      <w:r>
        <w:t xml:space="preserve">and run organization-wide</w:t>
      </w:r>
      <w:r>
        <w:t xml:space="preserve"> </w:t>
      </w:r>
      <w:r>
        <w:rPr>
          <w:b/>
          <w:bCs/>
        </w:rPr>
        <w:t xml:space="preserve">security awareness</w:t>
      </w:r>
      <w:r>
        <w:t xml:space="preserve"> </w:t>
      </w:r>
      <w:r>
        <w:t xml:space="preserve">annually.</w:t>
      </w:r>
    </w:p>
    <w:p>
      <w:pPr>
        <w:pStyle w:val="Compact"/>
        <w:numPr>
          <w:ilvl w:val="0"/>
          <w:numId w:val="1232"/>
        </w:numPr>
      </w:pPr>
      <w:r>
        <w:rPr>
          <w:b/>
          <w:bCs/>
        </w:rPr>
        <w:t xml:space="preserve">24×7 availability</w:t>
      </w:r>
      <w:r>
        <w:t xml:space="preserve"> </w:t>
      </w:r>
      <w:r>
        <w:t xml:space="preserve">of response personnel (on-call roster / MDR — A4) per Req 12.10.3.</w:t>
      </w:r>
    </w:p>
    <w:p>
      <w:pPr>
        <w:pStyle w:val="Compact"/>
        <w:numPr>
          <w:ilvl w:val="0"/>
          <w:numId w:val="1232"/>
        </w:numPr>
      </w:pPr>
      <w:r>
        <w:rPr>
          <w:b/>
          <w:bCs/>
        </w:rPr>
        <w:t xml:space="preserve">Verify detection controls</w:t>
      </w:r>
      <w:r>
        <w:t xml:space="preserve"> </w:t>
      </w:r>
      <w:r>
        <w:t xml:space="preserve">(IDS/IPS, FIM, anomaly) periodically (Req 12.10.5).</w:t>
      </w:r>
    </w:p>
    <w:p>
      <w:pPr>
        <w:pStyle w:val="Compact"/>
        <w:numPr>
          <w:ilvl w:val="0"/>
          <w:numId w:val="1232"/>
        </w:numPr>
      </w:pPr>
      <w:r>
        <w:t xml:space="preserve">Exercise results and RCAs are kept as evidence for QSA assessment and BOT reporting.</w:t>
      </w:r>
    </w:p>
    <w:p>
      <w:r>
        <w:br w:type="page"/>
      </w:r>
    </w:p>
    <w:bookmarkEnd w:id="566"/>
    <w:bookmarkEnd w:id="567"/>
    <w:bookmarkStart w:id="579" w:name="X881765c30e26a4645879c7bbb685da2f2efdb37"/>
    <w:p>
      <w:pPr>
        <w:pStyle w:val="Heading1"/>
      </w:pPr>
      <w:r>
        <w:t xml:space="preserve">นโยบายการบริหารการเปลี่ยนแปลง (Change Management) (ไทย)</w:t>
      </w:r>
    </w:p>
    <w:p>
      <w:pPr>
        <w:pStyle w:val="BlockText"/>
      </w:pPr>
      <w:r>
        <w:t xml:space="preserve">เอกสารประกอบการยื่นขอใบอนุญาต</w:t>
      </w:r>
      <w:r>
        <w:t xml:space="preserve"> </w:t>
      </w:r>
      <w:r>
        <w:rPr>
          <w:b/>
          <w:bCs/>
        </w:rPr>
        <w:t xml:space="preserve">บริการรับชำระเงินด้วยวิธีการทางอิเล็กทรอนิกส์ (Acquiring)</w:t>
      </w:r>
      <w:r>
        <w:t xml:space="preserve"> </w:t>
      </w:r>
      <w:r>
        <w:t xml:space="preserve">ภายใต้ พ.ร.บ. ระบบการชำระเงิน พ.ศ. 2560 · ทุนจดทะเบียนชำระแล้ว 50 ล้านบาท · PCI-DSS v4.0 Level 1</w:t>
      </w:r>
      <w:r>
        <w:t xml:space="preserve"> </w:t>
      </w:r>
      <w:r>
        <w:t xml:space="preserve">เอกสารเลขที่</w:t>
      </w:r>
      <w:r>
        <w:t xml:space="preserve"> </w:t>
      </w:r>
      <w:r>
        <w:rPr>
          <w:b/>
          <w:bCs/>
        </w:rPr>
        <w:t xml:space="preserve">17 — นโยบายการบริหารการเปลี่ยนแปลงและการปล่อยซอฟต์แวร์ (Change Management &amp; Release Policy — PCI Req 6)</w:t>
      </w:r>
      <w:r>
        <w:t xml:space="preserve"> </w:t>
      </w:r>
      <w:r>
        <w:t xml:space="preserve">เจ้าของเอกสาร:</w:t>
      </w:r>
      <w:r>
        <w:t xml:space="preserve"> </w:t>
      </w:r>
      <w:r>
        <w:rPr>
          <w:b/>
          <w:bCs/>
        </w:rPr>
        <w:t xml:space="preserve">[บริษัท / Company]</w:t>
      </w:r>
      <w:r>
        <w:t xml:space="preserve"> </w:t>
      </w:r>
      <w:r>
        <w:t xml:space="preserve">· เวอร์ชัน 1.0 · จัดทำ 2026-07-22 · ทบทวนทุก 12 เดือน</w:t>
      </w:r>
    </w:p>
    <w:p>
      <w:pPr>
        <w:pStyle w:val="BlockText"/>
      </w:pPr>
      <w:r>
        <w:rPr>
          <w:b/>
          <w:bCs/>
        </w:rPr>
        <w:t xml:space="preserve">หมายเหตุ:</w:t>
      </w:r>
      <w:r>
        <w:t xml:space="preserve"> </w:t>
      </w:r>
      <w:r>
        <w:t xml:space="preserve">เอกสารนี้เป็นเอกสารเชิงเทคนิค/ปฏิบัติการ ไม่ใช่คำแนะนำทางกฎหมาย ต้องผ่านการตรวจ</w:t>
      </w:r>
      <w:r>
        <w:t xml:space="preserve"> </w:t>
      </w:r>
      <w:r>
        <w:t xml:space="preserve">โดยที่ปรึกษากฎหมายและ QSA ก่อนยื่นจริง เอกสารอ้างอิงร่วม:</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r>
        <w:pict>
          <v:rect style="width:0;height:1.5pt" o:hralign="center" o:hrstd="t" o:hr="t"/>
        </w:pict>
      </w:r>
    </w:p>
    <w:bookmarkStart w:id="568" w:name="วตถประสงคและขอบเขต-5"/>
    <w:p>
      <w:pPr>
        <w:pStyle w:val="Heading2"/>
      </w:pPr>
      <w:r>
        <w:t xml:space="preserve">1. วัตถุประสงค์และขอบเขต</w:t>
      </w:r>
    </w:p>
    <w:p>
      <w:pPr>
        <w:pStyle w:val="FirstParagraph"/>
      </w:pPr>
      <w:r>
        <w:t xml:space="preserve">นโยบายนี้กำหนดวิธีที่ [บริษัท / Company]</w:t>
      </w:r>
      <w:r>
        <w:t xml:space="preserve"> </w:t>
      </w:r>
      <w:r>
        <w:rPr>
          <w:b/>
          <w:bCs/>
        </w:rPr>
        <w:t xml:space="preserve">ควบคุมการเปลี่ยนแปลง (change)</w:t>
      </w:r>
      <w:r>
        <w:t xml:space="preserve"> </w:t>
      </w:r>
      <w:r>
        <w:t xml:space="preserve">ทุกชนิดต่อระบบที่อยู่ในและติดกับ</w:t>
      </w:r>
      <w:r>
        <w:t xml:space="preserve"> </w:t>
      </w:r>
      <w:r>
        <w:rPr>
          <w:b/>
          <w:bCs/>
        </w:rPr>
        <w:t xml:space="preserve">Cardholder Data Environment (CDE)</w:t>
      </w:r>
      <w:r>
        <w:t xml:space="preserve"> </w:t>
      </w:r>
      <w:r>
        <w:t xml:space="preserve">ตั้งแต่การแก้โค้ด, การเปลี่ยน config, การเปลี่ยน infrastructure/network,</w:t>
      </w:r>
      <w:r>
        <w:t xml:space="preserve"> </w:t>
      </w:r>
      <w:r>
        <w:t xml:space="preserve">การ patch, ไปจนถึงการเปลี่ยนแปลงฉุกเฉิน โดยยึดหลัก</w:t>
      </w:r>
      <w:r>
        <w:t xml:space="preserve"> </w:t>
      </w:r>
      <w:r>
        <w:rPr>
          <w:b/>
          <w:bCs/>
        </w:rPr>
        <w:t xml:space="preserve">ทุกการเปลี่ยนแปลงต้องมีการอนุมัติ ทดสอบ และย้อนกลับได้</w:t>
      </w:r>
      <w:r>
        <w:rPr>
          <w:b/>
          <w:bCs/>
        </w:rPr>
        <w:t xml:space="preserve"> </w:t>
      </w:r>
      <w:r>
        <w:rPr>
          <w:b/>
          <w:bCs/>
        </w:rPr>
        <w:t xml:space="preserve">(approved, tested, reversible)</w:t>
      </w:r>
      <w:r>
        <w:t xml:space="preserve"> </w:t>
      </w:r>
      <w:r>
        <w:t xml:space="preserve">เพื่อรักษาความมั่นคงปลอดภัยและความต่อเนื่องของระบบชำระเงิน</w:t>
      </w:r>
    </w:p>
    <w:p>
      <w:pPr>
        <w:pStyle w:val="BodyText"/>
      </w:pPr>
      <w:r>
        <w:t xml:space="preserve">นโยบายนี้ตอบข้อกำหนดหลักดังนี้:</w:t>
      </w:r>
    </w:p>
    <w:p>
      <w:pPr>
        <w:pStyle w:val="Compact"/>
        <w:numPr>
          <w:ilvl w:val="0"/>
          <w:numId w:val="1233"/>
        </w:numPr>
      </w:pPr>
      <w:r>
        <w:rPr>
          <w:b/>
          <w:bCs/>
        </w:rPr>
        <w:t xml:space="preserve">PCI-DSS v4.0 Requirement 6</w:t>
      </w:r>
      <w:r>
        <w:t xml:space="preserve"> </w:t>
      </w:r>
      <w:r>
        <w:t xml:space="preserve">— พัฒนาและดูแลระบบ/ซอฟต์แวร์อย่างปลอดภัย โดยเฉพาะ 6.1–6.5</w:t>
      </w:r>
      <w:r>
        <w:t xml:space="preserve"> </w:t>
      </w:r>
      <w:r>
        <w:t xml:space="preserve">(secure SDLC, การจัดการช่องโหว่, secure coding, change control และ</w:t>
      </w:r>
      <w:r>
        <w:t xml:space="preserve"> </w:t>
      </w:r>
      <w:r>
        <w:rPr>
          <w:b/>
          <w:bCs/>
        </w:rPr>
        <w:t xml:space="preserve">การแยกสภาพแวดล้อม dev/prod</w:t>
      </w:r>
      <w:r>
        <w:t xml:space="preserve">)</w:t>
      </w:r>
    </w:p>
    <w:p>
      <w:pPr>
        <w:pStyle w:val="Compact"/>
        <w:numPr>
          <w:ilvl w:val="0"/>
          <w:numId w:val="1233"/>
        </w:numPr>
      </w:pPr>
      <w:r>
        <w:rPr>
          <w:b/>
          <w:bCs/>
        </w:rPr>
        <w:t xml:space="preserve">PCI-DSS v4.0 Requirement 6.5.1–6.5.6</w:t>
      </w:r>
      <w:r>
        <w:t xml:space="preserve"> </w:t>
      </w:r>
      <w:r>
        <w:t xml:space="preserve">— ควบคุมการเปลี่ยนแปลง: เอกสารผลกระทบ, อนุมัติจากผู้มีอำนาจ,</w:t>
      </w:r>
      <w:r>
        <w:t xml:space="preserve"> </w:t>
      </w:r>
      <w:r>
        <w:t xml:space="preserve">ทดสอบว่าไม่กระทบความปลอดภัย, มีขั้นตอน rollback, และแยกหน้าที่ dev/test/prod</w:t>
      </w:r>
    </w:p>
    <w:p>
      <w:pPr>
        <w:pStyle w:val="Compact"/>
        <w:numPr>
          <w:ilvl w:val="0"/>
          <w:numId w:val="1233"/>
        </w:numPr>
      </w:pPr>
      <w:r>
        <w:rPr>
          <w:b/>
          <w:bCs/>
        </w:rPr>
        <w:t xml:space="preserve">PCI-DSS v4.0 Requirement 6.4.1–6.4.3</w:t>
      </w:r>
      <w:r>
        <w:t xml:space="preserve"> </w:t>
      </w:r>
      <w:r>
        <w:t xml:space="preserve">— ตรวจสอบ payment page scripts และ change ที่กระทบ CDE</w:t>
      </w:r>
    </w:p>
    <w:p>
      <w:pPr>
        <w:pStyle w:val="Compact"/>
        <w:numPr>
          <w:ilvl w:val="0"/>
          <w:numId w:val="1233"/>
        </w:numPr>
      </w:pPr>
      <w:r>
        <w:rPr>
          <w:b/>
          <w:bCs/>
        </w:rPr>
        <w:t xml:space="preserve">ประกาศ ธปท.</w:t>
      </w:r>
      <w:r>
        <w:t xml:space="preserve"> </w:t>
      </w:r>
      <w:r>
        <w:t xml:space="preserve">ด้าน IT risk / cyber resilience — การควบคุมการเปลี่ยนแปลงระบบสารสนเทศและการแยกหน้าที่</w:t>
      </w:r>
    </w:p>
    <w:p>
      <w:pPr>
        <w:pStyle w:val="Compact"/>
        <w:numPr>
          <w:ilvl w:val="0"/>
          <w:numId w:val="1233"/>
        </w:numPr>
      </w:pPr>
      <w:r>
        <w:rPr>
          <w:b/>
          <w:bCs/>
        </w:rPr>
        <w:t xml:space="preserve">PDPA / PDPC</w:t>
      </w:r>
      <w:r>
        <w:t xml:space="preserve"> </w:t>
      </w:r>
      <w:r>
        <w:t xml:space="preserve">— การเปลี่ยนแปลงที่กระทบข้อมูลส่วนบุคคลต้องผ่าน privacy review (DPIA เมื่อเข้าเกณฑ์)</w:t>
      </w:r>
    </w:p>
    <w:p>
      <w:pPr>
        <w:pStyle w:val="BlockText"/>
      </w:pPr>
      <w:r>
        <w:rPr>
          <w:b/>
          <w:bCs/>
        </w:rPr>
        <w:t xml:space="preserve">ขอบเขต CDE ตาม</w:t>
      </w:r>
      <w:r>
        <w:rPr>
          <w:b/>
          <w:bCs/>
        </w:rPr>
        <w:t xml:space="preserve"> </w:t>
      </w:r>
      <w:r>
        <w:rPr>
          <w:rStyle w:val="VerbatimChar"/>
          <w:b/>
          <w:bCs/>
        </w:rPr>
        <w:t xml:space="preserve">ARCHITECTURE.md</w:t>
      </w:r>
      <w:r>
        <w:rPr>
          <w:b/>
          <w:bCs/>
        </w:rPr>
        <w:t xml:space="preserve">:</w:t>
      </w:r>
      <w:r>
        <w:t xml:space="preserve"> </w:t>
      </w:r>
      <w:r>
        <w:t xml:space="preserve">ทุกการเปลี่ยนแปลงต่อ Payment Core, Tokenization Vault, Acquirer/3DS</w:t>
      </w:r>
      <w:r>
        <w:t xml:space="preserve"> </w:t>
      </w:r>
      <w:r>
        <w:t xml:space="preserve">Adapter, Ledger, network segmentation, HSM/KMS และ pipeline CI/CD ถือเป็น</w:t>
      </w:r>
      <w:r>
        <w:t xml:space="preserve"> </w:t>
      </w:r>
      <w:r>
        <w:rPr>
          <w:b/>
          <w:bCs/>
        </w:rPr>
        <w:t xml:space="preserve">in-scope PCI</w:t>
      </w:r>
      <w:r>
        <w:t xml:space="preserve"> </w:t>
      </w:r>
      <w:r>
        <w:t xml:space="preserve">ต้องผ่านนโยบายนี้ครบทุกขั้น</w:t>
      </w:r>
    </w:p>
    <w:p>
      <w:r>
        <w:pict>
          <v:rect style="width:0;height:1.5pt" o:hralign="center" o:hrstd="t" o:hr="t"/>
        </w:pict>
      </w:r>
    </w:p>
    <w:bookmarkEnd w:id="568"/>
    <w:bookmarkStart w:id="569" w:name="X3c6d3b0b13a55bc7edd164e8516683b6270c916"/>
    <w:p>
      <w:pPr>
        <w:pStyle w:val="Heading2"/>
      </w:pPr>
      <w:r>
        <w:t xml:space="preserve">2. บทบาทและความรับผิดชอบ (Roles &amp; Responsibilities)</w:t>
      </w:r>
    </w:p>
    <w:tbl>
      <w:tblPr>
        <w:tblStyle w:val="Table"/>
        <w:tblW w:type="pct" w:w="5000"/>
        <w:tblLayout w:type="fixed"/>
        <w:tblLook w:firstRow="1" w:lastRow="0" w:firstColumn="0" w:lastColumn="0" w:noHBand="0" w:noVBand="0" w:val="0020"/>
      </w:tblPr>
      <w:tblGrid>
        <w:gridCol w:w="1232"/>
        <w:gridCol w:w="6688"/>
      </w:tblGrid>
      <w:tr>
        <w:trPr>
          <w:tblHeader w:val="on"/>
        </w:trPr>
        <w:tc>
          <w:tcPr/>
          <w:p>
            <w:pPr>
              <w:pStyle w:val="Compact"/>
            </w:pPr>
            <w:r>
              <w:t xml:space="preserve">บทบาท</w:t>
            </w:r>
          </w:p>
        </w:tc>
        <w:tc>
          <w:tcPr/>
          <w:p>
            <w:pPr>
              <w:pStyle w:val="Compact"/>
            </w:pPr>
            <w:r>
              <w:t xml:space="preserve">ความรับผิดชอบด้าน change management</w:t>
            </w:r>
          </w:p>
        </w:tc>
      </w:tr>
      <w:tr>
        <w:tc>
          <w:tcPr/>
          <w:p>
            <w:pPr>
              <w:pStyle w:val="Compact"/>
            </w:pPr>
            <w:r>
              <w:rPr>
                <w:b/>
                <w:bCs/>
              </w:rPr>
              <w:t xml:space="preserve">Change Requester (ผู้ขอ)</w:t>
            </w:r>
          </w:p>
        </w:tc>
        <w:tc>
          <w:tcPr/>
          <w:p>
            <w:pPr>
              <w:pStyle w:val="Compact"/>
            </w:pPr>
            <w:r>
              <w:t xml:space="preserve">สร้าง Change Request (CR), เขียน scope/impact/rollback, แนบผลทดสอบ</w:t>
            </w:r>
          </w:p>
        </w:tc>
      </w:tr>
      <w:tr>
        <w:tc>
          <w:tcPr/>
          <w:p>
            <w:pPr>
              <w:pStyle w:val="Compact"/>
            </w:pPr>
            <w:r>
              <w:rPr>
                <w:b/>
                <w:bCs/>
              </w:rPr>
              <w:t xml:space="preserve">Engineering Lead / Peer Reviewer</w:t>
            </w:r>
          </w:p>
        </w:tc>
        <w:tc>
          <w:tcPr/>
          <w:p>
            <w:pPr>
              <w:pStyle w:val="Compact"/>
            </w:pPr>
            <w:r>
              <w:t xml:space="preserve">review โค้ด(≥1 คนที่ไม่ใช่ผู้เขียน), ตรวจ secure coding, อนุมัติ merge</w:t>
            </w:r>
          </w:p>
        </w:tc>
      </w:tr>
      <w:tr>
        <w:tc>
          <w:tcPr/>
          <w:p>
            <w:pPr>
              <w:pStyle w:val="Compact"/>
            </w:pPr>
            <w:r>
              <w:rPr>
                <w:b/>
                <w:bCs/>
              </w:rPr>
              <w:t xml:space="preserve">QA Lead</w:t>
            </w:r>
          </w:p>
        </w:tc>
        <w:tc>
          <w:tcPr/>
          <w:p>
            <w:pPr>
              <w:pStyle w:val="Compact"/>
            </w:pPr>
            <w:r>
              <w:t xml:space="preserve">ยืนยันผลทดสอบ, regression, security test ผ่านก่อนปล่อย</w:t>
            </w:r>
          </w:p>
        </w:tc>
      </w:tr>
      <w:tr>
        <w:tc>
          <w:tcPr/>
          <w:p>
            <w:pPr>
              <w:pStyle w:val="Compact"/>
            </w:pPr>
            <w:r>
              <w:rPr>
                <w:b/>
                <w:bCs/>
              </w:rPr>
              <w:t xml:space="preserve">Change Advisory Board (CAB)</w:t>
            </w:r>
          </w:p>
        </w:tc>
        <w:tc>
          <w:tcPr/>
          <w:p>
            <w:pPr>
              <w:pStyle w:val="Compact"/>
            </w:pPr>
            <w:r>
              <w:t xml:space="preserve">อนุมัติ change ระดับ significant/high ตาม threshold ในข้อ 5</w:t>
            </w:r>
          </w:p>
        </w:tc>
      </w:tr>
      <w:tr>
        <w:tc>
          <w:tcPr/>
          <w:p>
            <w:pPr>
              <w:pStyle w:val="Compact"/>
            </w:pPr>
            <w:r>
              <w:rPr>
                <w:b/>
                <w:bCs/>
              </w:rPr>
              <w:t xml:space="preserve">Release Manager</w:t>
            </w:r>
          </w:p>
        </w:tc>
        <w:tc>
          <w:tcPr/>
          <w:p>
            <w:pPr>
              <w:pStyle w:val="Compact"/>
            </w:pPr>
            <w:r>
              <w:t xml:space="preserve">จัดตารางปล่อย, คุม change window, สั่ง go/no-go, ยืนยัน rollback readiness</w:t>
            </w:r>
          </w:p>
        </w:tc>
      </w:tr>
      <w:tr>
        <w:tc>
          <w:tcPr/>
          <w:p>
            <w:pPr>
              <w:pStyle w:val="Compact"/>
            </w:pPr>
            <w:r>
              <w:rPr>
                <w:b/>
                <w:bCs/>
              </w:rPr>
              <w:t xml:space="preserve">CISO / DevSecOps</w:t>
            </w:r>
          </w:p>
        </w:tc>
        <w:tc>
          <w:tcPr/>
          <w:p>
            <w:pPr>
              <w:pStyle w:val="Compact"/>
            </w:pPr>
            <w:r>
              <w:t xml:space="preserve">เจ้าของนโยบาย, อนุมัติ change ที่กระทบความปลอดภัย/CDE, คุม secrets/HSM/KMS</w:t>
            </w:r>
          </w:p>
        </w:tc>
      </w:tr>
      <w:tr>
        <w:tc>
          <w:tcPr/>
          <w:p>
            <w:pPr>
              <w:pStyle w:val="Compact"/>
            </w:pPr>
            <w:r>
              <w:rPr>
                <w:b/>
                <w:bCs/>
              </w:rPr>
              <w:t xml:space="preserve">SRE / Infra</w:t>
            </w:r>
          </w:p>
        </w:tc>
        <w:tc>
          <w:tcPr/>
          <w:p>
            <w:pPr>
              <w:pStyle w:val="Compact"/>
            </w:pPr>
            <w:r>
              <w:t xml:space="preserve">ดำเนินการ deploy สู่ prod, monitor, ทำ rollback</w:t>
            </w:r>
          </w:p>
        </w:tc>
      </w:tr>
      <w:tr>
        <w:tc>
          <w:tcPr/>
          <w:p>
            <w:pPr>
              <w:pStyle w:val="Compact"/>
            </w:pPr>
            <w:r>
              <w:rPr>
                <w:b/>
                <w:bCs/>
              </w:rPr>
              <w:t xml:space="preserve">DPO</w:t>
            </w:r>
          </w:p>
        </w:tc>
        <w:tc>
          <w:tcPr/>
          <w:p>
            <w:pPr>
              <w:pStyle w:val="Compact"/>
            </w:pPr>
            <w:r>
              <w:t xml:space="preserve">privacy review / DPIA สำหรับ change ที่กระทบข้อมูลส่วนบุคคล (PDPA)</w:t>
            </w:r>
          </w:p>
        </w:tc>
      </w:tr>
      <w:tr>
        <w:tc>
          <w:tcPr/>
          <w:p>
            <w:pPr>
              <w:pStyle w:val="Compact"/>
            </w:pPr>
            <w:r>
              <w:rPr>
                <w:b/>
                <w:bCs/>
              </w:rPr>
              <w:t xml:space="preserve">Internal Audit</w:t>
            </w:r>
          </w:p>
        </w:tc>
        <w:tc>
          <w:tcPr/>
          <w:p>
            <w:pPr>
              <w:pStyle w:val="Compact"/>
            </w:pPr>
            <w:r>
              <w:t xml:space="preserve">ตรวจสอบว่าทุก prod change มี CR + อนุมัติ + ผลทดสอบ ครบตาม PCI Req 6</w:t>
            </w:r>
          </w:p>
        </w:tc>
      </w:tr>
    </w:tbl>
    <w:p>
      <w:pPr>
        <w:pStyle w:val="BlockText"/>
      </w:pPr>
      <w:r>
        <w:rPr>
          <w:b/>
          <w:bCs/>
        </w:rPr>
        <w:t xml:space="preserve">หลัก Separation of Duties (SoD):</w:t>
      </w:r>
      <w:r>
        <w:t xml:space="preserve"> </w:t>
      </w:r>
      <w:r>
        <w:t xml:space="preserve">ผู้เขียนโค้ด</w:t>
      </w:r>
      <w:r>
        <w:t xml:space="preserve"> </w:t>
      </w:r>
      <w:r>
        <w:rPr>
          <w:b/>
          <w:bCs/>
        </w:rPr>
        <w:t xml:space="preserve">ห้าม</w:t>
      </w:r>
      <w:r>
        <w:t xml:space="preserve"> </w:t>
      </w:r>
      <w:r>
        <w:t xml:space="preserve">อนุมัติ change ของตัวเอง และ</w:t>
      </w:r>
      <w:r>
        <w:t xml:space="preserve"> </w:t>
      </w:r>
      <w:r>
        <w:rPr>
          <w:b/>
          <w:bCs/>
        </w:rPr>
        <w:t xml:space="preserve">ห้าม</w:t>
      </w:r>
      <w:r>
        <w:t xml:space="preserve"> </w:t>
      </w:r>
      <w:r>
        <w:t xml:space="preserve">เป็นผู้ deploy</w:t>
      </w:r>
      <w:r>
        <w:t xml:space="preserve"> </w:t>
      </w:r>
      <w:r>
        <w:t xml:space="preserve">สู่ production ด้วยตนเอง การ deploy สู่ prod ทำผ่าน pipeline อัตโนมัติที่ต้องมีผู้มีสิทธิ์ (approver) กดอนุมัติแยกจากผู้เขียน</w:t>
      </w:r>
    </w:p>
    <w:p>
      <w:r>
        <w:pict>
          <v:rect style="width:0;height:1.5pt" o:hralign="center" o:hrstd="t" o:hr="t"/>
        </w:pict>
      </w:r>
    </w:p>
    <w:bookmarkEnd w:id="569"/>
    <w:bookmarkStart w:id="570" w:name="X079152a2c85fe8ecd4a76f5f087cdbeec84c6b6"/>
    <w:p>
      <w:pPr>
        <w:pStyle w:val="Heading2"/>
      </w:pPr>
      <w:r>
        <w:t xml:space="preserve">3. การจัดชั้นการเปลี่ยนแปลง (Change Classification)</w:t>
      </w:r>
    </w:p>
    <w:tbl>
      <w:tblPr>
        <w:tblStyle w:val="Table"/>
        <w:tblW w:type="pct" w:w="5000"/>
        <w:tblLayout w:type="fixed"/>
        <w:tblLook w:firstRow="1" w:lastRow="0" w:firstColumn="0" w:lastColumn="0" w:noHBand="0" w:noVBand="0" w:val="0020"/>
      </w:tblPr>
      <w:tblGrid>
        <w:gridCol w:w="1173"/>
        <w:gridCol w:w="1026"/>
        <w:gridCol w:w="1320"/>
        <w:gridCol w:w="1613"/>
        <w:gridCol w:w="2786"/>
      </w:tblGrid>
      <w:tr>
        <w:trPr>
          <w:tblHeader w:val="on"/>
        </w:trPr>
        <w:tc>
          <w:tcPr/>
          <w:p>
            <w:pPr>
              <w:pStyle w:val="Compact"/>
            </w:pPr>
            <w:r>
              <w:t xml:space="preserve">ประเภท</w:t>
            </w:r>
          </w:p>
        </w:tc>
        <w:tc>
          <w:tcPr/>
          <w:p>
            <w:pPr>
              <w:pStyle w:val="Compact"/>
            </w:pPr>
            <w:r>
              <w:t xml:space="preserve">นิยาม</w:t>
            </w:r>
          </w:p>
        </w:tc>
        <w:tc>
          <w:tcPr/>
          <w:p>
            <w:pPr>
              <w:pStyle w:val="Compact"/>
            </w:pPr>
            <w:r>
              <w:t xml:space="preserve">ตัวอย่าง</w:t>
            </w:r>
          </w:p>
        </w:tc>
        <w:tc>
          <w:tcPr/>
          <w:p>
            <w:pPr>
              <w:pStyle w:val="Compact"/>
            </w:pPr>
            <w:r>
              <w:t xml:space="preserve">ผู้อนุมัติ</w:t>
            </w:r>
          </w:p>
        </w:tc>
        <w:tc>
          <w:tcPr/>
          <w:p>
            <w:pPr>
              <w:pStyle w:val="Compact"/>
            </w:pPr>
            <w:r>
              <w:t xml:space="preserve">Lead time ขั้นต่ำ</w:t>
            </w:r>
          </w:p>
        </w:tc>
      </w:tr>
      <w:tr>
        <w:tc>
          <w:tcPr/>
          <w:p>
            <w:pPr>
              <w:pStyle w:val="Compact"/>
            </w:pPr>
            <w:r>
              <w:rPr>
                <w:b/>
                <w:bCs/>
              </w:rPr>
              <w:t xml:space="preserve">Standard (pre-approved)</w:t>
            </w:r>
          </w:p>
        </w:tc>
        <w:tc>
          <w:tcPr/>
          <w:p>
            <w:pPr>
              <w:pStyle w:val="Compact"/>
            </w:pPr>
            <w:r>
              <w:t xml:space="preserve">change ซ้ำ ๆ ความเสี่ยงต่ำ มีขั้นตอนสำเร็จรูป</w:t>
            </w:r>
          </w:p>
        </w:tc>
        <w:tc>
          <w:tcPr/>
          <w:p>
            <w:pPr>
              <w:pStyle w:val="Compact"/>
            </w:pPr>
            <w:r>
              <w:t xml:space="preserve">อัปเดต dependency minor ที่ผ่าน scan, config ที่ไม่กระทบ CDE</w:t>
            </w:r>
          </w:p>
        </w:tc>
        <w:tc>
          <w:tcPr/>
          <w:p>
            <w:pPr>
              <w:pStyle w:val="Compact"/>
            </w:pPr>
            <w:r>
              <w:t xml:space="preserve">Engineering Lead (อนุมัติล่วงหน้าตาม runbook)</w:t>
            </w:r>
          </w:p>
        </w:tc>
        <w:tc>
          <w:tcPr/>
          <w:p>
            <w:pPr>
              <w:pStyle w:val="Compact"/>
            </w:pPr>
            <w:r>
              <w:t xml:space="preserve">1 วันทำการ</w:t>
            </w:r>
          </w:p>
        </w:tc>
      </w:tr>
      <w:tr>
        <w:tc>
          <w:tcPr/>
          <w:p>
            <w:pPr>
              <w:pStyle w:val="Compact"/>
            </w:pPr>
            <w:r>
              <w:rPr>
                <w:b/>
                <w:bCs/>
              </w:rPr>
              <w:t xml:space="preserve">Normal — Low/Medium</w:t>
            </w:r>
          </w:p>
        </w:tc>
        <w:tc>
          <w:tcPr/>
          <w:p>
            <w:pPr>
              <w:pStyle w:val="Compact"/>
            </w:pPr>
            <w:r>
              <w:t xml:space="preserve">change ปกติ กระทบ non-CDE หรือ CDE เล็กน้อย</w:t>
            </w:r>
          </w:p>
        </w:tc>
        <w:tc>
          <w:tcPr/>
          <w:p>
            <w:pPr>
              <w:pStyle w:val="Compact"/>
            </w:pPr>
            <w:r>
              <w:t xml:space="preserve">feature ใหม่ใน API non-CDE, แก้ bug</w:t>
            </w:r>
          </w:p>
        </w:tc>
        <w:tc>
          <w:tcPr/>
          <w:p>
            <w:pPr>
              <w:pStyle w:val="Compact"/>
            </w:pPr>
            <w:r>
              <w:t xml:space="preserve">Engineering Lead + QA Lead</w:t>
            </w:r>
          </w:p>
        </w:tc>
        <w:tc>
          <w:tcPr/>
          <w:p>
            <w:pPr>
              <w:pStyle w:val="Compact"/>
            </w:pPr>
            <w:r>
              <w:t xml:space="preserve">2 วันทำการ</w:t>
            </w:r>
          </w:p>
        </w:tc>
      </w:tr>
      <w:tr>
        <w:tc>
          <w:tcPr/>
          <w:p>
            <w:pPr>
              <w:pStyle w:val="Compact"/>
            </w:pPr>
            <w:r>
              <w:rPr>
                <w:b/>
                <w:bCs/>
              </w:rPr>
              <w:t xml:space="preserve">Significant / High</w:t>
            </w:r>
          </w:p>
        </w:tc>
        <w:tc>
          <w:tcPr/>
          <w:p>
            <w:pPr>
              <w:pStyle w:val="Compact"/>
            </w:pPr>
            <w:r>
              <w:t xml:space="preserve">กระทบ CDE, network segmentation, crypto/key, acquirer/3DS, schema เงิน</w:t>
            </w:r>
          </w:p>
        </w:tc>
        <w:tc>
          <w:tcPr/>
          <w:p>
            <w:pPr>
              <w:pStyle w:val="Compact"/>
            </w:pPr>
            <w:r>
              <w:t xml:space="preserve">เปลี่ยน vault, HSM rotation, เปลี่ยน acquirer adapter, schema</w:t>
            </w:r>
            <w:r>
              <w:t xml:space="preserve"> </w:t>
            </w:r>
            <w:r>
              <w:rPr>
                <w:rStyle w:val="VerbatimChar"/>
              </w:rPr>
              <w:t xml:space="preserve">payments</w:t>
            </w:r>
            <w:r>
              <w:t xml:space="preserve">/</w:t>
            </w:r>
            <w:r>
              <w:rPr>
                <w:rStyle w:val="VerbatimChar"/>
              </w:rPr>
              <w:t xml:space="preserve">ledger_entries</w:t>
            </w:r>
          </w:p>
        </w:tc>
        <w:tc>
          <w:tcPr/>
          <w:p>
            <w:pPr>
              <w:pStyle w:val="Compact"/>
            </w:pPr>
            <w:r>
              <w:rPr>
                <w:b/>
                <w:bCs/>
              </w:rPr>
              <w:t xml:space="preserve">CAB</w:t>
            </w:r>
            <w:r>
              <w:t xml:space="preserve"> </w:t>
            </w:r>
            <w:r>
              <w:t xml:space="preserve">+ CISO</w:t>
            </w:r>
          </w:p>
        </w:tc>
        <w:tc>
          <w:tcPr/>
          <w:p>
            <w:pPr>
              <w:pStyle w:val="Compact"/>
            </w:pPr>
            <w:r>
              <w:t xml:space="preserve">5 วันทำการ</w:t>
            </w:r>
          </w:p>
        </w:tc>
      </w:tr>
      <w:tr>
        <w:tc>
          <w:tcPr/>
          <w:p>
            <w:pPr>
              <w:pStyle w:val="Compact"/>
            </w:pPr>
            <w:r>
              <w:rPr>
                <w:b/>
                <w:bCs/>
              </w:rPr>
              <w:t xml:space="preserve">Emergency</w:t>
            </w:r>
          </w:p>
        </w:tc>
        <w:tc>
          <w:tcPr/>
          <w:p>
            <w:pPr>
              <w:pStyle w:val="Compact"/>
            </w:pPr>
            <w:r>
              <w:t xml:space="preserve">แก้ปัญหาที่กระทบบริการ/ความปลอดภัยเร่งด่วน</w:t>
            </w:r>
          </w:p>
        </w:tc>
        <w:tc>
          <w:tcPr/>
          <w:p>
            <w:pPr>
              <w:pStyle w:val="Compact"/>
            </w:pPr>
            <w:r>
              <w:t xml:space="preserve">hotfix ช่องโหว่ critical, incident production</w:t>
            </w:r>
          </w:p>
        </w:tc>
        <w:tc>
          <w:tcPr/>
          <w:p>
            <w:pPr>
              <w:pStyle w:val="Compact"/>
            </w:pPr>
            <w:r>
              <w:t xml:space="preserve">Emergency approver (CISO หรือผู้แทน) + retro CAB</w:t>
            </w:r>
          </w:p>
        </w:tc>
        <w:tc>
          <w:tcPr/>
          <w:p>
            <w:pPr>
              <w:pStyle w:val="Compact"/>
            </w:pPr>
            <w:r>
              <w:t xml:space="preserve">ทันที (ดูข้อ 7)</w:t>
            </w:r>
          </w:p>
        </w:tc>
      </w:tr>
    </w:tbl>
    <w:p>
      <w:pPr>
        <w:pStyle w:val="BodyText"/>
      </w:pPr>
      <w:r>
        <w:t xml:space="preserve">การจัดชั้นบันทึกไว้ใน CR และเป็นตัวกำหนดว่าต้องผ่านกี่ระดับอนุมัติ</w:t>
      </w:r>
    </w:p>
    <w:p>
      <w:r>
        <w:pict>
          <v:rect style="width:0;height:1.5pt" o:hralign="center" o:hrstd="t" o:hr="t"/>
        </w:pict>
      </w:r>
    </w:p>
    <w:bookmarkEnd w:id="570"/>
    <w:bookmarkStart w:id="571" w:name="X20826105e9bfb7c7b048200165409c8b682b2dc"/>
    <w:p>
      <w:pPr>
        <w:pStyle w:val="Heading2"/>
      </w:pPr>
      <w:r>
        <w:t xml:space="preserve">4. วงจรการเปลี่ยนแปลง (Change Lifecycle — SDLC ตาม PCI 6.2–6.5)</w:t>
      </w:r>
    </w:p>
    <w:p>
      <w:pPr>
        <w:pStyle w:val="SourceCode"/>
      </w:pPr>
      <w:r>
        <w:rPr>
          <w:rStyle w:val="VerbatimChar"/>
        </w:rPr>
        <w:t xml:space="preserve">ขอ (CR)  ─▶  ออกแบบ/พัฒนา  ─▶  Peer review + SAST/SCA  ─▶  ทดสอบใน dev/staging</w:t>
      </w:r>
      <w:r>
        <w:br/>
      </w:r>
      <w:r>
        <w:rPr>
          <w:rStyle w:val="VerbatimChar"/>
        </w:rPr>
        <w:t xml:space="preserve">   │                                                              │</w:t>
      </w:r>
      <w:r>
        <w:br/>
      </w:r>
      <w:r>
        <w:rPr>
          <w:rStyle w:val="VerbatimChar"/>
        </w:rPr>
        <w:t xml:space="preserve">   │                                                              ▼</w:t>
      </w:r>
      <w:r>
        <w:br/>
      </w:r>
      <w:r>
        <w:rPr>
          <w:rStyle w:val="VerbatimChar"/>
        </w:rPr>
        <w:t xml:space="preserve">   └──────────────  อนุมัติ (ตาม threshold)  ◀────  QA sign-off + security test</w:t>
      </w:r>
      <w:r>
        <w:br/>
      </w:r>
      <w:r>
        <w:rPr>
          <w:rStyle w:val="VerbatimChar"/>
        </w:rPr>
        <w:t xml:space="preserve">                             │</w:t>
      </w:r>
      <w:r>
        <w:br/>
      </w:r>
      <w:r>
        <w:rPr>
          <w:rStyle w:val="VerbatimChar"/>
        </w:rPr>
        <w:t xml:space="preserve">                             ▼</w:t>
      </w:r>
      <w:r>
        <w:br/>
      </w:r>
      <w:r>
        <w:rPr>
          <w:rStyle w:val="VerbatimChar"/>
        </w:rPr>
        <w:t xml:space="preserve">                จัดตารางปล่อย (change window)  ─▶  Deploy prod (pipeline + approver)</w:t>
      </w:r>
      <w:r>
        <w:br/>
      </w:r>
      <w:r>
        <w:rPr>
          <w:rStyle w:val="VerbatimChar"/>
        </w:rPr>
        <w:t xml:space="preserve">                             │</w:t>
      </w:r>
      <w:r>
        <w:br/>
      </w:r>
      <w:r>
        <w:rPr>
          <w:rStyle w:val="VerbatimChar"/>
        </w:rPr>
        <w:t xml:space="preserve">                             ▼</w:t>
      </w:r>
      <w:r>
        <w:br/>
      </w:r>
      <w:r>
        <w:rPr>
          <w:rStyle w:val="VerbatimChar"/>
        </w:rPr>
        <w:t xml:space="preserve">             Post-deploy verification (smoke)  ─▶  ปิด CR / ถ้า fail ─▶ Rollback (ข้อ 8)</w:t>
      </w:r>
    </w:p>
    <w:p>
      <w:pPr>
        <w:pStyle w:val="FirstParagraph"/>
      </w:pPr>
      <w:r>
        <w:rPr>
          <w:b/>
          <w:bCs/>
        </w:rPr>
        <w:t xml:space="preserve">ข้อบังคับต่อทุก CR ก่อนขึ้น production (PCI 6.5.1):</w:t>
      </w:r>
    </w:p>
    <w:p>
      <w:pPr>
        <w:pStyle w:val="Compact"/>
        <w:numPr>
          <w:ilvl w:val="0"/>
          <w:numId w:val="1234"/>
        </w:numPr>
      </w:pPr>
      <w:r>
        <w:rPr>
          <w:b/>
          <w:bCs/>
        </w:rPr>
        <w:t xml:space="preserve">เอกสารผลกระทบ (impact analysis)</w:t>
      </w:r>
      <w:r>
        <w:t xml:space="preserve"> </w:t>
      </w:r>
      <w:r>
        <w:t xml:space="preserve">— ระบุระบบที่กระทบ, ผล PCI scope, ผลต่อ PDPA</w:t>
      </w:r>
    </w:p>
    <w:p>
      <w:pPr>
        <w:pStyle w:val="Compact"/>
        <w:numPr>
          <w:ilvl w:val="0"/>
          <w:numId w:val="1234"/>
        </w:numPr>
      </w:pPr>
      <w:r>
        <w:rPr>
          <w:b/>
          <w:bCs/>
        </w:rPr>
        <w:t xml:space="preserve">การอนุมัติจากผู้มีอำนาจ</w:t>
      </w:r>
      <w:r>
        <w:t xml:space="preserve"> </w:t>
      </w:r>
      <w:r>
        <w:t xml:space="preserve">— ตาม threshold ในข้อ 5 (ต้องเป็นคนละคนกับผู้เขียน)</w:t>
      </w:r>
    </w:p>
    <w:p>
      <w:pPr>
        <w:pStyle w:val="Compact"/>
        <w:numPr>
          <w:ilvl w:val="0"/>
          <w:numId w:val="1234"/>
        </w:numPr>
      </w:pPr>
      <w:r>
        <w:rPr>
          <w:b/>
          <w:bCs/>
        </w:rPr>
        <w:t xml:space="preserve">การทดสอบว่า change ไม่ลดทอนความปลอดภัย</w:t>
      </w:r>
      <w:r>
        <w:t xml:space="preserve"> </w:t>
      </w:r>
      <w:r>
        <w:t xml:space="preserve">— functional + security regression</w:t>
      </w:r>
    </w:p>
    <w:p>
      <w:pPr>
        <w:pStyle w:val="Compact"/>
        <w:numPr>
          <w:ilvl w:val="0"/>
          <w:numId w:val="1234"/>
        </w:numPr>
      </w:pPr>
      <w:r>
        <w:rPr>
          <w:b/>
          <w:bCs/>
        </w:rPr>
        <w:t xml:space="preserve">ขั้นตอน rollback</w:t>
      </w:r>
      <w:r>
        <w:t xml:space="preserve"> </w:t>
      </w:r>
      <w:r>
        <w:t xml:space="preserve">— เขียนไว้ล่วงหน้าและทดสอบได้ (ดูข้อ 8)</w:t>
      </w:r>
    </w:p>
    <w:p>
      <w:r>
        <w:pict>
          <v:rect style="width:0;height:1.5pt" o:hralign="center" o:hrstd="t" o:hr="t"/>
        </w:pict>
      </w:r>
    </w:p>
    <w:bookmarkEnd w:id="571"/>
    <w:bookmarkStart w:id="572" w:name="เกณฑการอนมต-approval-matrix"/>
    <w:p>
      <w:pPr>
        <w:pStyle w:val="Heading2"/>
      </w:pPr>
      <w:r>
        <w:t xml:space="preserve">5. เกณฑ์การอนุมัติ (Approval Matrix)</w:t>
      </w:r>
    </w:p>
    <w:tbl>
      <w:tblPr>
        <w:tblStyle w:val="Table"/>
        <w:tblW w:type="pct" w:w="5000"/>
        <w:tblLayout w:type="fixed"/>
        <w:tblLook w:firstRow="1" w:lastRow="0" w:firstColumn="0" w:lastColumn="0" w:noHBand="0" w:noVBand="0" w:val="0020"/>
      </w:tblPr>
      <w:tblGrid>
        <w:gridCol w:w="1320"/>
        <w:gridCol w:w="1980"/>
        <w:gridCol w:w="1225"/>
        <w:gridCol w:w="1791"/>
        <w:gridCol w:w="1602"/>
      </w:tblGrid>
      <w:tr>
        <w:trPr>
          <w:tblHeader w:val="on"/>
        </w:trPr>
        <w:tc>
          <w:tcPr/>
          <w:p>
            <w:pPr>
              <w:pStyle w:val="Compact"/>
            </w:pPr>
            <w:r>
              <w:t xml:space="preserve">ระดับ change</w:t>
            </w:r>
          </w:p>
        </w:tc>
        <w:tc>
          <w:tcPr/>
          <w:p>
            <w:pPr>
              <w:pStyle w:val="Compact"/>
            </w:pPr>
            <w:r>
              <w:t xml:space="preserve">Peer review (โค้ด)</w:t>
            </w:r>
          </w:p>
        </w:tc>
        <w:tc>
          <w:tcPr/>
          <w:p>
            <w:pPr>
              <w:pStyle w:val="Compact"/>
            </w:pPr>
            <w:r>
              <w:t xml:space="preserve">QA sign-off</w:t>
            </w:r>
          </w:p>
        </w:tc>
        <w:tc>
          <w:tcPr/>
          <w:p>
            <w:pPr>
              <w:pStyle w:val="Compact"/>
            </w:pPr>
            <w:r>
              <w:t xml:space="preserve">อนุมัติเพื่อปล่อย</w:t>
            </w:r>
          </w:p>
        </w:tc>
        <w:tc>
          <w:tcPr/>
          <w:p>
            <w:pPr>
              <w:pStyle w:val="Compact"/>
            </w:pPr>
            <w:r>
              <w:t xml:space="preserve">จำนวนผู้อนุมัติ</w:t>
            </w:r>
          </w:p>
        </w:tc>
      </w:tr>
      <w:tr>
        <w:tc>
          <w:tcPr/>
          <w:p>
            <w:pPr>
              <w:pStyle w:val="Compact"/>
            </w:pPr>
            <w:r>
              <w:t xml:space="preserve">Standard</w:t>
            </w:r>
          </w:p>
        </w:tc>
        <w:tc>
          <w:tcPr/>
          <w:p>
            <w:pPr>
              <w:pStyle w:val="Compact"/>
            </w:pPr>
            <w:r>
              <w:t xml:space="preserve">1</w:t>
            </w:r>
          </w:p>
        </w:tc>
        <w:tc>
          <w:tcPr/>
          <w:p>
            <w:pPr>
              <w:pStyle w:val="Compact"/>
            </w:pPr>
            <w:r>
              <w:t xml:space="preserve">อัตโนมัติ (CI)</w:t>
            </w:r>
          </w:p>
        </w:tc>
        <w:tc>
          <w:tcPr/>
          <w:p>
            <w:pPr>
              <w:pStyle w:val="Compact"/>
            </w:pPr>
            <w:r>
              <w:t xml:space="preserve">Engineering Lead (pre-approved)</w:t>
            </w:r>
          </w:p>
        </w:tc>
        <w:tc>
          <w:tcPr/>
          <w:p>
            <w:pPr>
              <w:pStyle w:val="Compact"/>
            </w:pPr>
            <w:r>
              <w:t xml:space="preserve">1</w:t>
            </w:r>
          </w:p>
        </w:tc>
      </w:tr>
      <w:tr>
        <w:tc>
          <w:tcPr/>
          <w:p>
            <w:pPr>
              <w:pStyle w:val="Compact"/>
            </w:pPr>
            <w:r>
              <w:t xml:space="preserve">Normal Low/Medium</w:t>
            </w:r>
          </w:p>
        </w:tc>
        <w:tc>
          <w:tcPr/>
          <w:p>
            <w:pPr>
              <w:pStyle w:val="Compact"/>
            </w:pPr>
            <w:r>
              <w:t xml:space="preserve">≥1 (ไม่ใช่ผู้เขียน)</w:t>
            </w:r>
          </w:p>
        </w:tc>
        <w:tc>
          <w:tcPr/>
          <w:p>
            <w:pPr>
              <w:pStyle w:val="Compact"/>
            </w:pPr>
            <w:r>
              <w:t xml:space="preserve">required</w:t>
            </w:r>
          </w:p>
        </w:tc>
        <w:tc>
          <w:tcPr/>
          <w:p>
            <w:pPr>
              <w:pStyle w:val="Compact"/>
            </w:pPr>
            <w:r>
              <w:t xml:space="preserve">Engineering Lead + Release Manager</w:t>
            </w:r>
          </w:p>
        </w:tc>
        <w:tc>
          <w:tcPr/>
          <w:p>
            <w:pPr>
              <w:pStyle w:val="Compact"/>
            </w:pPr>
            <w:r>
              <w:t xml:space="preserve">2</w:t>
            </w:r>
          </w:p>
        </w:tc>
      </w:tr>
      <w:tr>
        <w:tc>
          <w:tcPr/>
          <w:p>
            <w:pPr>
              <w:pStyle w:val="Compact"/>
            </w:pPr>
            <w:r>
              <w:t xml:space="preserve">Significant / High (CDE)</w:t>
            </w:r>
          </w:p>
        </w:tc>
        <w:tc>
          <w:tcPr/>
          <w:p>
            <w:pPr>
              <w:pStyle w:val="Compact"/>
            </w:pPr>
            <w:r>
              <w:t xml:space="preserve">≥2 รวม security reviewer</w:t>
            </w:r>
          </w:p>
        </w:tc>
        <w:tc>
          <w:tcPr/>
          <w:p>
            <w:pPr>
              <w:pStyle w:val="Compact"/>
            </w:pPr>
            <w:r>
              <w:t xml:space="preserve">required + pentest ถ้าเข้าเกณฑ์</w:t>
            </w:r>
          </w:p>
        </w:tc>
        <w:tc>
          <w:tcPr/>
          <w:p>
            <w:pPr>
              <w:pStyle w:val="Compact"/>
            </w:pPr>
            <w:r>
              <w:rPr>
                <w:b/>
                <w:bCs/>
              </w:rPr>
              <w:t xml:space="preserve">CAB</w:t>
            </w:r>
            <w:r>
              <w:t xml:space="preserve"> </w:t>
            </w:r>
            <w:r>
              <w:t xml:space="preserve">(Eng Lead + Release Mgr + CISO)</w:t>
            </w:r>
          </w:p>
        </w:tc>
        <w:tc>
          <w:tcPr/>
          <w:p>
            <w:pPr>
              <w:pStyle w:val="Compact"/>
            </w:pPr>
            <w:r>
              <w:t xml:space="preserve">≥3</w:t>
            </w:r>
          </w:p>
        </w:tc>
      </w:tr>
      <w:tr>
        <w:tc>
          <w:tcPr/>
          <w:p>
            <w:pPr>
              <w:pStyle w:val="Compact"/>
            </w:pPr>
            <w:r>
              <w:t xml:space="preserve">Emergency</w:t>
            </w:r>
          </w:p>
        </w:tc>
        <w:tc>
          <w:tcPr/>
          <w:p>
            <w:pPr>
              <w:pStyle w:val="Compact"/>
            </w:pPr>
            <w:r>
              <w:t xml:space="preserve">≥1 (post หรือ pre)</w:t>
            </w:r>
          </w:p>
        </w:tc>
        <w:tc>
          <w:tcPr/>
          <w:p>
            <w:pPr>
              <w:pStyle w:val="Compact"/>
            </w:pPr>
            <w:r>
              <w:t xml:space="preserve">smoke test</w:t>
            </w:r>
          </w:p>
        </w:tc>
        <w:tc>
          <w:tcPr/>
          <w:p>
            <w:pPr>
              <w:pStyle w:val="Compact"/>
            </w:pPr>
            <w:r>
              <w:t xml:space="preserve">Emergency approver, retro ที่ CAB ครั้งถัดไป</w:t>
            </w:r>
          </w:p>
        </w:tc>
        <w:tc>
          <w:tcPr/>
          <w:p>
            <w:pPr>
              <w:pStyle w:val="Compact"/>
            </w:pPr>
            <w:r>
              <w:t xml:space="preserve">1 (+ retro)</w:t>
            </w:r>
          </w:p>
        </w:tc>
      </w:tr>
    </w:tbl>
    <w:p>
      <w:pPr>
        <w:pStyle w:val="Compact"/>
        <w:numPr>
          <w:ilvl w:val="0"/>
          <w:numId w:val="1235"/>
        </w:numPr>
      </w:pPr>
      <w:r>
        <w:t xml:space="preserve">ทุกการอนุมัติต้องบันทึกใน ticketing/Git (ผู้อนุมัติ, เวลา, เหตุผล) และ</w:t>
      </w:r>
      <w:r>
        <w:t xml:space="preserve"> </w:t>
      </w:r>
      <w:r>
        <w:rPr>
          <w:b/>
          <w:bCs/>
        </w:rPr>
        <w:t xml:space="preserve">ห้ามอนุมัติ CR ของตนเอง</w:t>
      </w:r>
    </w:p>
    <w:p>
      <w:pPr>
        <w:pStyle w:val="Compact"/>
        <w:numPr>
          <w:ilvl w:val="0"/>
          <w:numId w:val="1235"/>
        </w:numPr>
      </w:pPr>
      <w:r>
        <w:t xml:space="preserve">Merge เข้า branch ที่ deploy ได้ ต้องผ่าน</w:t>
      </w:r>
      <w:r>
        <w:t xml:space="preserve"> </w:t>
      </w:r>
      <w:r>
        <w:rPr>
          <w:b/>
          <w:bCs/>
        </w:rPr>
        <w:t xml:space="preserve">branch protection</w:t>
      </w:r>
      <w:r>
        <w:t xml:space="preserve">: ผ่าน CI (build, test, SAST, SCA</w:t>
      </w:r>
      <w:r>
        <w:t xml:space="preserve"> </w:t>
      </w:r>
      <w:r>
        <w:rPr>
          <w:rStyle w:val="VerbatimChar"/>
        </w:rPr>
        <w:t xml:space="preserve">govulncheck</w:t>
      </w:r>
      <w:r>
        <w:t xml:space="preserve">),</w:t>
      </w:r>
      <w:r>
        <w:t xml:space="preserve"> </w:t>
      </w:r>
      <w:r>
        <w:t xml:space="preserve">peer review ที่กำหนด, และไม่มี finding ระดับ high/critical ค้าง</w:t>
      </w:r>
    </w:p>
    <w:p>
      <w:r>
        <w:pict>
          <v:rect style="width:0;height:1.5pt" o:hralign="center" o:hrstd="t" o:hr="t"/>
        </w:pict>
      </w:r>
    </w:p>
    <w:bookmarkEnd w:id="572"/>
    <w:bookmarkStart w:id="573" w:name="X5024ef4d851bd0912465458c74c4c461d2834bd"/>
    <w:p>
      <w:pPr>
        <w:pStyle w:val="Heading2"/>
      </w:pPr>
      <w:r>
        <w:t xml:space="preserve">6. การแยกสภาพแวดล้อม dev / test / prod (Segregation — PCI 6.5.3, 6.5.4)</w:t>
      </w:r>
    </w:p>
    <w:tbl>
      <w:tblPr>
        <w:tblStyle w:val="Table"/>
        <w:tblW w:type="pct" w:w="5000"/>
        <w:tblLayout w:type="fixed"/>
        <w:tblLook w:firstRow="1" w:lastRow="0" w:firstColumn="0" w:lastColumn="0" w:noHBand="0" w:noVBand="0" w:val="0020"/>
      </w:tblPr>
      <w:tblGrid>
        <w:gridCol w:w="913"/>
        <w:gridCol w:w="1980"/>
        <w:gridCol w:w="2436"/>
        <w:gridCol w:w="2589"/>
      </w:tblGrid>
      <w:tr>
        <w:trPr>
          <w:tblHeader w:val="on"/>
        </w:trPr>
        <w:tc>
          <w:tcPr/>
          <w:p>
            <w:pPr>
              <w:pStyle w:val="Compact"/>
            </w:pPr>
            <w:r>
              <w:t xml:space="preserve">มิติ</w:t>
            </w:r>
          </w:p>
        </w:tc>
        <w:tc>
          <w:tcPr/>
          <w:p>
            <w:pPr>
              <w:pStyle w:val="Compact"/>
            </w:pPr>
            <w:r>
              <w:t xml:space="preserve">Development</w:t>
            </w:r>
          </w:p>
        </w:tc>
        <w:tc>
          <w:tcPr/>
          <w:p>
            <w:pPr>
              <w:pStyle w:val="Compact"/>
            </w:pPr>
            <w:r>
              <w:t xml:space="preserve">Staging / Test</w:t>
            </w:r>
          </w:p>
        </w:tc>
        <w:tc>
          <w:tcPr/>
          <w:p>
            <w:pPr>
              <w:pStyle w:val="Compact"/>
            </w:pPr>
            <w:r>
              <w:t xml:space="preserve">Production (CDE)</w:t>
            </w:r>
          </w:p>
        </w:tc>
      </w:tr>
      <w:tr>
        <w:tc>
          <w:tcPr/>
          <w:p>
            <w:pPr>
              <w:pStyle w:val="Compact"/>
            </w:pPr>
            <w:r>
              <w:rPr>
                <w:b/>
                <w:bCs/>
              </w:rPr>
              <w:t xml:space="preserve">เครือข่าย</w:t>
            </w:r>
          </w:p>
        </w:tc>
        <w:tc>
          <w:tcPr/>
          <w:p>
            <w:pPr>
              <w:pStyle w:val="Compact"/>
            </w:pPr>
            <w:r>
              <w:t xml:space="preserve">segment แยก, ไม่มี route ตรงสู่ prod</w:t>
            </w:r>
          </w:p>
        </w:tc>
        <w:tc>
          <w:tcPr/>
          <w:p>
            <w:pPr>
              <w:pStyle w:val="Compact"/>
            </w:pPr>
            <w:r>
              <w:t xml:space="preserve">segment แยก</w:t>
            </w:r>
          </w:p>
        </w:tc>
        <w:tc>
          <w:tcPr/>
          <w:p>
            <w:pPr>
              <w:pStyle w:val="Compact"/>
            </w:pPr>
            <w:r>
              <w:t xml:space="preserve">segment CDE, WAF/IDS, firewall (Req 1)</w:t>
            </w:r>
          </w:p>
        </w:tc>
      </w:tr>
      <w:tr>
        <w:tc>
          <w:tcPr/>
          <w:p>
            <w:pPr>
              <w:pStyle w:val="Compact"/>
            </w:pPr>
            <w:r>
              <w:rPr>
                <w:b/>
                <w:bCs/>
              </w:rPr>
              <w:t xml:space="preserve">ข้อมูล</w:t>
            </w:r>
          </w:p>
        </w:tc>
        <w:tc>
          <w:tcPr/>
          <w:p>
            <w:pPr>
              <w:pStyle w:val="Compact"/>
            </w:pPr>
            <w:r>
              <w:rPr>
                <w:b/>
                <w:bCs/>
              </w:rPr>
              <w:t xml:space="preserve">ห้ามใช้ข้อมูลจริง/PAN จริง</w:t>
            </w:r>
            <w:r>
              <w:t xml:space="preserve"> </w:t>
            </w:r>
            <w:r>
              <w:t xml:space="preserve">ใช้ข้อมูลสังเคราะห์</w:t>
            </w:r>
          </w:p>
        </w:tc>
        <w:tc>
          <w:tcPr/>
          <w:p>
            <w:pPr>
              <w:pStyle w:val="Compact"/>
            </w:pPr>
            <w:r>
              <w:t xml:space="preserve">ข้อมูลสังเคราะห์ / masked เท่านั้น</w:t>
            </w:r>
          </w:p>
        </w:tc>
        <w:tc>
          <w:tcPr/>
          <w:p>
            <w:pPr>
              <w:pStyle w:val="Compact"/>
            </w:pPr>
            <w:r>
              <w:t xml:space="preserve">ข้อมูลจริง เข้ารหัส</w:t>
            </w:r>
          </w:p>
        </w:tc>
      </w:tr>
      <w:tr>
        <w:tc>
          <w:tcPr/>
          <w:p>
            <w:pPr>
              <w:pStyle w:val="Compact"/>
            </w:pPr>
            <w:r>
              <w:rPr>
                <w:b/>
                <w:bCs/>
              </w:rPr>
              <w:t xml:space="preserve">สิทธิ์เข้าถึง</w:t>
            </w:r>
          </w:p>
        </w:tc>
        <w:tc>
          <w:tcPr/>
          <w:p>
            <w:pPr>
              <w:pStyle w:val="Compact"/>
            </w:pPr>
            <w:r>
              <w:t xml:space="preserve">นักพัฒนา</w:t>
            </w:r>
          </w:p>
        </w:tc>
        <w:tc>
          <w:tcPr/>
          <w:p>
            <w:pPr>
              <w:pStyle w:val="Compact"/>
            </w:pPr>
            <w:r>
              <w:t xml:space="preserve">QA + นักพัฒนา (จำกัด)</w:t>
            </w:r>
          </w:p>
        </w:tc>
        <w:tc>
          <w:tcPr/>
          <w:p>
            <w:pPr>
              <w:pStyle w:val="Compact"/>
            </w:pPr>
            <w:r>
              <w:t xml:space="preserve">SRE เท่านั้น ผ่าน MFA + bastion, least privilege (Req 7-8)</w:t>
            </w:r>
          </w:p>
        </w:tc>
      </w:tr>
      <w:tr>
        <w:tc>
          <w:tcPr/>
          <w:p>
            <w:pPr>
              <w:pStyle w:val="Compact"/>
            </w:pPr>
            <w:r>
              <w:rPr>
                <w:b/>
                <w:bCs/>
              </w:rPr>
              <w:t xml:space="preserve">ผู้ deploy</w:t>
            </w:r>
          </w:p>
        </w:tc>
        <w:tc>
          <w:tcPr/>
          <w:p>
            <w:pPr>
              <w:pStyle w:val="Compact"/>
            </w:pPr>
            <w:r>
              <w:t xml:space="preserve">นักพัฒนา</w:t>
            </w:r>
          </w:p>
        </w:tc>
        <w:tc>
          <w:tcPr/>
          <w:p>
            <w:pPr>
              <w:pStyle w:val="Compact"/>
            </w:pPr>
            <w:r>
              <w:t xml:space="preserve">pipeline</w:t>
            </w:r>
          </w:p>
        </w:tc>
        <w:tc>
          <w:tcPr/>
          <w:p>
            <w:pPr>
              <w:pStyle w:val="Compact"/>
            </w:pPr>
            <w:r>
              <w:rPr>
                <w:b/>
                <w:bCs/>
              </w:rPr>
              <w:t xml:space="preserve">pipeline + approver แยกจากผู้เขียน</w:t>
            </w:r>
          </w:p>
        </w:tc>
      </w:tr>
      <w:tr>
        <w:tc>
          <w:tcPr/>
          <w:p>
            <w:pPr>
              <w:pStyle w:val="Compact"/>
            </w:pPr>
            <w:r>
              <w:rPr>
                <w:b/>
                <w:bCs/>
              </w:rPr>
              <w:t xml:space="preserve">Secrets/Key</w:t>
            </w:r>
          </w:p>
        </w:tc>
        <w:tc>
          <w:tcPr/>
          <w:p>
            <w:pPr>
              <w:pStyle w:val="Compact"/>
            </w:pPr>
            <w:r>
              <w:t xml:space="preserve">คีย์ทดสอบ</w:t>
            </w:r>
          </w:p>
        </w:tc>
        <w:tc>
          <w:tcPr/>
          <w:p>
            <w:pPr>
              <w:pStyle w:val="Compact"/>
            </w:pPr>
            <w:r>
              <w:t xml:space="preserve">คีย์ทดสอบ</w:t>
            </w:r>
          </w:p>
        </w:tc>
        <w:tc>
          <w:tcPr/>
          <w:p>
            <w:pPr>
              <w:pStyle w:val="Compact"/>
            </w:pPr>
            <w:r>
              <w:t xml:space="preserve">HSM/KMS จริง, dual control (Req 3)</w:t>
            </w:r>
          </w:p>
        </w:tc>
      </w:tr>
    </w:tbl>
    <w:p>
      <w:pPr>
        <w:pStyle w:val="BodyText"/>
      </w:pPr>
      <w:r>
        <w:rPr>
          <w:b/>
          <w:bCs/>
        </w:rPr>
        <w:t xml:space="preserve">ข้อบังคับ (PCI 6.5.3 / 6.5.4):</w:t>
      </w:r>
    </w:p>
    <w:p>
      <w:pPr>
        <w:pStyle w:val="Compact"/>
        <w:numPr>
          <w:ilvl w:val="0"/>
          <w:numId w:val="1236"/>
        </w:numPr>
      </w:pPr>
      <w:r>
        <w:t xml:space="preserve">แยก</w:t>
      </w:r>
      <w:r>
        <w:t xml:space="preserve"> </w:t>
      </w:r>
      <w:r>
        <w:rPr>
          <w:b/>
          <w:bCs/>
        </w:rPr>
        <w:t xml:space="preserve">หน้าที่ (roles)</w:t>
      </w:r>
      <w:r>
        <w:t xml:space="preserve"> </w:t>
      </w:r>
      <w:r>
        <w:t xml:space="preserve">และ</w:t>
      </w:r>
      <w:r>
        <w:t xml:space="preserve"> </w:t>
      </w:r>
      <w:r>
        <w:rPr>
          <w:b/>
          <w:bCs/>
        </w:rPr>
        <w:t xml:space="preserve">สิทธิ์ (access)</w:t>
      </w:r>
      <w:r>
        <w:t xml:space="preserve"> </w:t>
      </w:r>
      <w:r>
        <w:t xml:space="preserve">ระหว่างสภาพแวดล้อม dev/test และ prod อย่างชัดเจน</w:t>
      </w:r>
    </w:p>
    <w:p>
      <w:pPr>
        <w:pStyle w:val="Compact"/>
        <w:numPr>
          <w:ilvl w:val="0"/>
          <w:numId w:val="1236"/>
        </w:numPr>
      </w:pPr>
      <w:r>
        <w:rPr>
          <w:b/>
          <w:bCs/>
        </w:rPr>
        <w:t xml:space="preserve">ห้าม</w:t>
      </w:r>
      <w:r>
        <w:t xml:space="preserve"> </w:t>
      </w:r>
      <w:r>
        <w:t xml:space="preserve">ใช้</w:t>
      </w:r>
      <w:r>
        <w:t xml:space="preserve"> </w:t>
      </w:r>
      <w:r>
        <w:rPr>
          <w:b/>
          <w:bCs/>
        </w:rPr>
        <w:t xml:space="preserve">PAN จริง / cardholder data จริง</w:t>
      </w:r>
      <w:r>
        <w:t xml:space="preserve"> </w:t>
      </w:r>
      <w:r>
        <w:t xml:space="preserve">ในสภาพแวดล้อม dev/test เด็ดขาด (สอดคล้อง</w:t>
      </w:r>
      <w:r>
        <w:t xml:space="preserve"> </w:t>
      </w:r>
      <w:r>
        <w:rPr>
          <w:rStyle w:val="VerbatimChar"/>
        </w:rPr>
        <w:t xml:space="preserve">ARCHITECTURE.md</w:t>
      </w:r>
      <w:r>
        <w:t xml:space="preserve"> </w:t>
      </w:r>
      <w:r>
        <w:t xml:space="preserve">ข้อ 6</w:t>
      </w:r>
      <w:r>
        <w:t xml:space="preserve"> </w:t>
      </w:r>
      <w:r>
        <w:t xml:space="preserve">และ PCI 6.5.5) — ใช้ข้อมูลสังเคราะห์หรือ token/mask เท่านั้น</w:t>
      </w:r>
    </w:p>
    <w:p>
      <w:pPr>
        <w:pStyle w:val="Compact"/>
        <w:numPr>
          <w:ilvl w:val="0"/>
          <w:numId w:val="1236"/>
        </w:numPr>
      </w:pPr>
      <w:r>
        <w:rPr>
          <w:b/>
          <w:bCs/>
        </w:rPr>
        <w:t xml:space="preserve">ห้าม</w:t>
      </w:r>
      <w:r>
        <w:t xml:space="preserve"> </w:t>
      </w:r>
      <w:r>
        <w:t xml:space="preserve">ทิ้ง test data, account ทดสอบ, hardcoded credential ไว้ในโค้ดก่อนขึ้น prod (PCI 6.5.6) — ตรวจด้วย SAST + secret scanning</w:t>
      </w:r>
    </w:p>
    <w:p>
      <w:pPr>
        <w:pStyle w:val="Compact"/>
        <w:numPr>
          <w:ilvl w:val="0"/>
          <w:numId w:val="1236"/>
        </w:numPr>
      </w:pPr>
      <w:r>
        <w:t xml:space="preserve">นักพัฒนา</w:t>
      </w:r>
      <w:r>
        <w:t xml:space="preserve"> </w:t>
      </w:r>
      <w:r>
        <w:rPr>
          <w:b/>
          <w:bCs/>
        </w:rPr>
        <w:t xml:space="preserve">ไม่มี</w:t>
      </w:r>
      <w:r>
        <w:t xml:space="preserve"> </w:t>
      </w:r>
      <w:r>
        <w:t xml:space="preserve">สิทธิ์ standing access เข้า production; หากต้องเข้าใช้</w:t>
      </w:r>
      <w:r>
        <w:t xml:space="preserve"> </w:t>
      </w:r>
      <w:r>
        <w:rPr>
          <w:b/>
          <w:bCs/>
        </w:rPr>
        <w:t xml:space="preserve">break-glass</w:t>
      </w:r>
      <w:r>
        <w:t xml:space="preserve"> </w:t>
      </w:r>
      <w:r>
        <w:t xml:space="preserve">(ข้อ 7) มี MFA + บันทึก</w:t>
      </w:r>
      <w:r>
        <w:t xml:space="preserve"> </w:t>
      </w:r>
      <w:r>
        <w:rPr>
          <w:rStyle w:val="VerbatimChar"/>
        </w:rPr>
        <w:t xml:space="preserve">audit_log</w:t>
      </w:r>
    </w:p>
    <w:p>
      <w:r>
        <w:pict>
          <v:rect style="width:0;height:1.5pt" o:hralign="center" o:hrstd="t" o:hr="t"/>
        </w:pict>
      </w:r>
    </w:p>
    <w:bookmarkEnd w:id="573"/>
    <w:bookmarkStart w:id="574" w:name="X1977034424c9aab4535d1a0a1b3a9d5f990af83"/>
    <w:p>
      <w:pPr>
        <w:pStyle w:val="Heading2"/>
      </w:pPr>
      <w:r>
        <w:t xml:space="preserve">7. การเปลี่ยนแปลงฉุกเฉิน (Emergency / Break-glass Change)</w:t>
      </w:r>
    </w:p>
    <w:p>
      <w:pPr>
        <w:pStyle w:val="Compact"/>
        <w:numPr>
          <w:ilvl w:val="0"/>
          <w:numId w:val="1237"/>
        </w:numPr>
      </w:pPr>
      <w:r>
        <w:t xml:space="preserve">ประกาศเป็น</w:t>
      </w:r>
      <w:r>
        <w:t xml:space="preserve"> </w:t>
      </w:r>
      <w:r>
        <w:rPr>
          <w:b/>
          <w:bCs/>
        </w:rPr>
        <w:t xml:space="preserve">Emergency CR</w:t>
      </w:r>
      <w:r>
        <w:t xml:space="preserve"> </w:t>
      </w:r>
      <w:r>
        <w:t xml:space="preserve">พร้อมเหตุผลและระดับผลกระทบ</w:t>
      </w:r>
    </w:p>
    <w:p>
      <w:pPr>
        <w:pStyle w:val="Compact"/>
        <w:numPr>
          <w:ilvl w:val="0"/>
          <w:numId w:val="1237"/>
        </w:numPr>
      </w:pPr>
      <w:r>
        <w:rPr>
          <w:b/>
          <w:bCs/>
        </w:rPr>
        <w:t xml:space="preserve">Emergency approver</w:t>
      </w:r>
      <w:r>
        <w:t xml:space="preserve"> </w:t>
      </w:r>
      <w:r>
        <w:t xml:space="preserve">(CISO หรือผู้แทนที่กำหนด) อนุมัติวาจา/แชท แล้วบันทึกเป็นลายลักษณ์ภายใน</w:t>
      </w:r>
      <w:r>
        <w:t xml:space="preserve"> </w:t>
      </w:r>
      <w:r>
        <w:rPr>
          <w:b/>
          <w:bCs/>
        </w:rPr>
        <w:t xml:space="preserve">1 ชั่วโมง</w:t>
      </w:r>
    </w:p>
    <w:p>
      <w:pPr>
        <w:pStyle w:val="Compact"/>
        <w:numPr>
          <w:ilvl w:val="0"/>
          <w:numId w:val="1237"/>
        </w:numPr>
      </w:pPr>
      <w:r>
        <w:t xml:space="preserve">ดำเนินการโดยมี</w:t>
      </w:r>
      <w:r>
        <w:t xml:space="preserve"> </w:t>
      </w:r>
      <w:r>
        <w:rPr>
          <w:b/>
          <w:bCs/>
        </w:rPr>
        <w:t xml:space="preserve">ผู้ทำ + ผู้สังเกตการณ์ (2 คน)</w:t>
      </w:r>
      <w:r>
        <w:t xml:space="preserve"> </w:t>
      </w:r>
      <w:r>
        <w:t xml:space="preserve">และบันทึกทุกขั้นลง</w:t>
      </w:r>
      <w:r>
        <w:t xml:space="preserve"> </w:t>
      </w:r>
      <w:r>
        <w:rPr>
          <w:rStyle w:val="VerbatimChar"/>
        </w:rPr>
        <w:t xml:space="preserve">audit_log</w:t>
      </w:r>
    </w:p>
    <w:p>
      <w:pPr>
        <w:pStyle w:val="Compact"/>
        <w:numPr>
          <w:ilvl w:val="0"/>
          <w:numId w:val="1237"/>
        </w:numPr>
      </w:pPr>
      <w:r>
        <w:t xml:space="preserve">เมื่อเสถียร ให้ทำ</w:t>
      </w:r>
      <w:r>
        <w:t xml:space="preserve"> </w:t>
      </w:r>
      <w:r>
        <w:rPr>
          <w:b/>
          <w:bCs/>
        </w:rPr>
        <w:t xml:space="preserve">post-implementation review</w:t>
      </w:r>
      <w:r>
        <w:t xml:space="preserve"> </w:t>
      </w:r>
      <w:r>
        <w:t xml:space="preserve">และนำเข้า</w:t>
      </w:r>
      <w:r>
        <w:t xml:space="preserve"> </w:t>
      </w:r>
      <w:r>
        <w:rPr>
          <w:b/>
          <w:bCs/>
        </w:rPr>
        <w:t xml:space="preserve">CAB ครั้งถัดไปภายใน 5 วันทำการ</w:t>
      </w:r>
      <w:r>
        <w:t xml:space="preserve"> </w:t>
      </w:r>
      <w:r>
        <w:t xml:space="preserve">เพื่อ ratify ย้อนหลัง</w:t>
      </w:r>
    </w:p>
    <w:p>
      <w:pPr>
        <w:pStyle w:val="Compact"/>
        <w:numPr>
          <w:ilvl w:val="0"/>
          <w:numId w:val="1237"/>
        </w:numPr>
      </w:pPr>
      <w:r>
        <w:t xml:space="preserve">Break-glass credential ต้องถูก</w:t>
      </w:r>
      <w:r>
        <w:t xml:space="preserve"> </w:t>
      </w:r>
      <w:r>
        <w:rPr>
          <w:b/>
          <w:bCs/>
        </w:rPr>
        <w:t xml:space="preserve">rotate ทันที</w:t>
      </w:r>
      <w:r>
        <w:t xml:space="preserve"> </w:t>
      </w:r>
      <w:r>
        <w:t xml:space="preserve">หลังใช้ และตรวจสอบ log การใช้งาน</w:t>
      </w:r>
    </w:p>
    <w:p>
      <w:r>
        <w:pict>
          <v:rect style="width:0;height:1.5pt" o:hralign="center" o:hrstd="t" o:hr="t"/>
        </w:pict>
      </w:r>
    </w:p>
    <w:bookmarkEnd w:id="574"/>
    <w:bookmarkStart w:id="575" w:name="การยอนกลบ-rollback-back-out"/>
    <w:p>
      <w:pPr>
        <w:pStyle w:val="Heading2"/>
      </w:pPr>
      <w:r>
        <w:t xml:space="preserve">8. การย้อนกลับ (Rollback / Back-out)</w:t>
      </w:r>
    </w:p>
    <w:p>
      <w:pPr>
        <w:pStyle w:val="FirstParagraph"/>
      </w:pPr>
      <w:r>
        <w:rPr>
          <w:b/>
          <w:bCs/>
        </w:rPr>
        <w:t xml:space="preserve">ทุก production change ต้องมีแผน rollback ที่เขียนไว้ล่วงหน้าและทดสอบได้</w:t>
      </w:r>
      <w:r>
        <w:t xml:space="preserve"> </w:t>
      </w:r>
      <w:r>
        <w:t xml:space="preserve">ก่อนได้รับอนุมัติปล่อย</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กลไก</w:t>
            </w:r>
          </w:p>
        </w:tc>
        <w:tc>
          <w:tcPr/>
          <w:p>
            <w:pPr>
              <w:pStyle w:val="Compact"/>
            </w:pPr>
            <w:r>
              <w:t xml:space="preserve">วิธีการ</w:t>
            </w:r>
          </w:p>
        </w:tc>
      </w:tr>
      <w:tr>
        <w:tc>
          <w:tcPr/>
          <w:p>
            <w:pPr>
              <w:pStyle w:val="Compact"/>
            </w:pPr>
            <w:r>
              <w:rPr>
                <w:b/>
                <w:bCs/>
              </w:rPr>
              <w:t xml:space="preserve">Application</w:t>
            </w:r>
          </w:p>
        </w:tc>
        <w:tc>
          <w:tcPr/>
          <w:p>
            <w:pPr>
              <w:pStyle w:val="Compact"/>
            </w:pPr>
            <w:r>
              <w:t xml:space="preserve">deploy แบบ immutable image (distroless ตาม</w:t>
            </w:r>
            <w:r>
              <w:t xml:space="preserve"> </w:t>
            </w:r>
            <w:r>
              <w:rPr>
                <w:rStyle w:val="VerbatimChar"/>
              </w:rPr>
              <w:t xml:space="preserve">ARCHITECTURE.md</w:t>
            </w:r>
            <w:r>
              <w:t xml:space="preserve">); rollback = redeploy image เวอร์ชันก่อนหน้า (blue-green / canary)</w:t>
            </w:r>
          </w:p>
        </w:tc>
      </w:tr>
      <w:tr>
        <w:tc>
          <w:tcPr/>
          <w:p>
            <w:pPr>
              <w:pStyle w:val="Compact"/>
            </w:pPr>
            <w:r>
              <w:rPr>
                <w:b/>
                <w:bCs/>
              </w:rPr>
              <w:t xml:space="preserve">Database schema</w:t>
            </w:r>
          </w:p>
        </w:tc>
        <w:tc>
          <w:tcPr/>
          <w:p>
            <w:pPr>
              <w:pStyle w:val="Compact"/>
            </w:pPr>
            <w:r>
              <w:t xml:space="preserve">migration แบบ</w:t>
            </w:r>
            <w:r>
              <w:t xml:space="preserve"> </w:t>
            </w:r>
            <w:r>
              <w:rPr>
                <w:b/>
                <w:bCs/>
              </w:rPr>
              <w:t xml:space="preserve">backward-compatible / expand-contract</w:t>
            </w:r>
            <w:r>
              <w:t xml:space="preserve">; ทุก</w:t>
            </w:r>
            <w:r>
              <w:t xml:space="preserve"> </w:t>
            </w:r>
            <w:r>
              <w:rPr>
                <w:rStyle w:val="VerbatimChar"/>
              </w:rPr>
              <w:t xml:space="preserve">up</w:t>
            </w:r>
            <w:r>
              <w:t xml:space="preserve"> </w:t>
            </w:r>
            <w:r>
              <w:t xml:space="preserve">ต้องมี</w:t>
            </w:r>
            <w:r>
              <w:t xml:space="preserve"> </w:t>
            </w:r>
            <w:r>
              <w:rPr>
                <w:rStyle w:val="VerbatimChar"/>
              </w:rPr>
              <w:t xml:space="preserve">down</w:t>
            </w:r>
            <w:r>
              <w:t xml:space="preserve"> </w:t>
            </w:r>
            <w:r>
              <w:t xml:space="preserve">ที่ทดสอบใน staging; หลีกเลี่ยง destructive migration ในรอบเดียว</w:t>
            </w:r>
          </w:p>
        </w:tc>
      </w:tr>
      <w:tr>
        <w:tc>
          <w:tcPr/>
          <w:p>
            <w:pPr>
              <w:pStyle w:val="Compact"/>
            </w:pPr>
            <w:r>
              <w:rPr>
                <w:b/>
                <w:bCs/>
              </w:rPr>
              <w:t xml:space="preserve">Config / feature flag</w:t>
            </w:r>
          </w:p>
        </w:tc>
        <w:tc>
          <w:tcPr/>
          <w:p>
            <w:pPr>
              <w:pStyle w:val="Compact"/>
            </w:pPr>
            <w:r>
              <w:t xml:space="preserve">เปลี่ยนผ่าน flag ที่ปิดได้ทันทีโดยไม่ต้อง redeploy</w:t>
            </w:r>
          </w:p>
        </w:tc>
      </w:tr>
      <w:tr>
        <w:tc>
          <w:tcPr/>
          <w:p>
            <w:pPr>
              <w:pStyle w:val="Compact"/>
            </w:pPr>
            <w:r>
              <w:rPr>
                <w:b/>
                <w:bCs/>
              </w:rPr>
              <w:t xml:space="preserve">Ledger (append-only)</w:t>
            </w:r>
          </w:p>
        </w:tc>
        <w:tc>
          <w:tcPr/>
          <w:p>
            <w:pPr>
              <w:pStyle w:val="Compact"/>
            </w:pPr>
            <w:r>
              <w:rPr>
                <w:b/>
                <w:bCs/>
              </w:rPr>
              <w:t xml:space="preserve">ห้ามลบ/แก้ย้อนหลัง</w:t>
            </w:r>
            <w:r>
              <w:t xml:space="preserve"> </w:t>
            </w:r>
            <w:r>
              <w:t xml:space="preserve">— แก้ด้วย compensating entry เท่านั้น (fail closed ตามหลักสถาปัตยกรรม)</w:t>
            </w:r>
          </w:p>
        </w:tc>
      </w:tr>
    </w:tbl>
    <w:p>
      <w:pPr>
        <w:pStyle w:val="BodyText"/>
      </w:pPr>
      <w:r>
        <w:rPr>
          <w:b/>
          <w:bCs/>
        </w:rPr>
        <w:t xml:space="preserve">เกณฑ์สั่ง rollback (rollback triggers):</w:t>
      </w:r>
    </w:p>
    <w:p>
      <w:pPr>
        <w:pStyle w:val="Compact"/>
        <w:numPr>
          <w:ilvl w:val="0"/>
          <w:numId w:val="1238"/>
        </w:numPr>
      </w:pPr>
      <w:r>
        <w:t xml:space="preserve">Smoke/health check หลัง deploy ไม่ผ่านภายใน</w:t>
      </w:r>
      <w:r>
        <w:t xml:space="preserve"> </w:t>
      </w:r>
      <w:r>
        <w:rPr>
          <w:b/>
          <w:bCs/>
        </w:rPr>
        <w:t xml:space="preserve">15 นาที</w:t>
      </w:r>
    </w:p>
    <w:p>
      <w:pPr>
        <w:pStyle w:val="Compact"/>
        <w:numPr>
          <w:ilvl w:val="0"/>
          <w:numId w:val="1238"/>
        </w:numPr>
      </w:pPr>
      <w:r>
        <w:t xml:space="preserve">Error rate เพิ่ม &gt; เกณฑ์ที่ตั้ง หรือ authorization success rate ลดผิดปกติ</w:t>
      </w:r>
    </w:p>
    <w:p>
      <w:pPr>
        <w:pStyle w:val="Compact"/>
        <w:numPr>
          <w:ilvl w:val="0"/>
          <w:numId w:val="1238"/>
        </w:numPr>
      </w:pPr>
      <w:r>
        <w:t xml:space="preserve">พบผลกระทบต่อความปลอดภัย/ข้อมูลบัตร → rollback ทันทีและเปิด incident</w:t>
      </w:r>
    </w:p>
    <w:p>
      <w:pPr>
        <w:pStyle w:val="FirstParagraph"/>
      </w:pPr>
      <w:r>
        <w:t xml:space="preserve">Release Manager หรือ SRE on-call มีอำนาจสั่ง rollback ทันที; ต้องบันทึกใน CR และแจ้ง CAB</w:t>
      </w:r>
    </w:p>
    <w:p>
      <w:r>
        <w:pict>
          <v:rect style="width:0;height:1.5pt" o:hralign="center" o:hrstd="t" o:hr="t"/>
        </w:pict>
      </w:r>
    </w:p>
    <w:bookmarkEnd w:id="575"/>
    <w:bookmarkStart w:id="576" w:name="การจดการชองโหวและ-patch-pci-6.2-6.3"/>
    <w:p>
      <w:pPr>
        <w:pStyle w:val="Heading2"/>
      </w:pPr>
      <w:r>
        <w:t xml:space="preserve">9. การจัดการช่องโหว่และ patch (PCI 6.2, 6.3)</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ระดับความรุนแรง</w:t>
            </w:r>
          </w:p>
        </w:tc>
        <w:tc>
          <w:tcPr/>
          <w:p>
            <w:pPr>
              <w:pStyle w:val="Compact"/>
            </w:pPr>
            <w:r>
              <w:t xml:space="preserve">ระยะเวลา patch สูงสุด</w:t>
            </w:r>
          </w:p>
        </w:tc>
      </w:tr>
      <w:tr>
        <w:tc>
          <w:tcPr/>
          <w:p>
            <w:pPr>
              <w:pStyle w:val="Compact"/>
            </w:pPr>
            <w:r>
              <w:t xml:space="preserve">Critical / High (CVSS ≥ 7.0 หรือกระทบ CDE)</w:t>
            </w:r>
          </w:p>
        </w:tc>
        <w:tc>
          <w:tcPr/>
          <w:p>
            <w:pPr>
              <w:pStyle w:val="Compact"/>
            </w:pPr>
            <w:r>
              <w:rPr>
                <w:b/>
                <w:bCs/>
              </w:rPr>
              <w:t xml:space="preserve">ภายใน 30 วัน</w:t>
            </w:r>
            <w:r>
              <w:t xml:space="preserve"> </w:t>
            </w:r>
            <w:r>
              <w:t xml:space="preserve">(เร่งด่วนกว่าถ้ามี exploit จริง)</w:t>
            </w:r>
          </w:p>
        </w:tc>
      </w:tr>
      <w:tr>
        <w:tc>
          <w:tcPr/>
          <w:p>
            <w:pPr>
              <w:pStyle w:val="Compact"/>
            </w:pPr>
            <w:r>
              <w:t xml:space="preserve">Medium</w:t>
            </w:r>
          </w:p>
        </w:tc>
        <w:tc>
          <w:tcPr/>
          <w:p>
            <w:pPr>
              <w:pStyle w:val="Compact"/>
            </w:pPr>
            <w:r>
              <w:t xml:space="preserve">ภายใน 90 วัน</w:t>
            </w:r>
          </w:p>
        </w:tc>
      </w:tr>
      <w:tr>
        <w:tc>
          <w:tcPr/>
          <w:p>
            <w:pPr>
              <w:pStyle w:val="Compact"/>
            </w:pPr>
            <w:r>
              <w:t xml:space="preserve">Low</w:t>
            </w:r>
          </w:p>
        </w:tc>
        <w:tc>
          <w:tcPr/>
          <w:p>
            <w:pPr>
              <w:pStyle w:val="Compact"/>
            </w:pPr>
            <w:r>
              <w:t xml:space="preserve">ตามรอบ maintenance ปกติ</w:t>
            </w:r>
          </w:p>
        </w:tc>
      </w:tr>
    </w:tbl>
    <w:p>
      <w:pPr>
        <w:pStyle w:val="Compact"/>
        <w:numPr>
          <w:ilvl w:val="0"/>
          <w:numId w:val="1239"/>
        </w:numPr>
      </w:pPr>
      <w:r>
        <w:t xml:space="preserve">สแกน dependency ทุก build ด้วย</w:t>
      </w:r>
      <w:r>
        <w:t xml:space="preserve"> </w:t>
      </w:r>
      <w:r>
        <w:rPr>
          <w:rStyle w:val="VerbatimChar"/>
        </w:rPr>
        <w:t xml:space="preserve">govulncheck</w:t>
      </w:r>
      <w:r>
        <w:t xml:space="preserve"> </w:t>
      </w:r>
      <w:r>
        <w:t xml:space="preserve">+ SCA; SAST/DAST ใน CI (ตาม</w:t>
      </w:r>
      <w:r>
        <w:t xml:space="preserve"> </w:t>
      </w:r>
      <w:r>
        <w:rPr>
          <w:rStyle w:val="VerbatimChar"/>
        </w:rPr>
        <w:t xml:space="preserve">ARCHITECTURE.md</w:t>
      </w:r>
      <w:r>
        <w:t xml:space="preserve"> </w:t>
      </w:r>
      <w:r>
        <w:t xml:space="preserve">ข้อ 7)</w:t>
      </w:r>
    </w:p>
    <w:p>
      <w:pPr>
        <w:pStyle w:val="Compact"/>
        <w:numPr>
          <w:ilvl w:val="0"/>
          <w:numId w:val="1239"/>
        </w:numPr>
      </w:pPr>
      <w:r>
        <w:rPr>
          <w:b/>
          <w:bCs/>
        </w:rPr>
        <w:t xml:space="preserve">Quarterly ASV scan</w:t>
      </w:r>
      <w:r>
        <w:t xml:space="preserve"> </w:t>
      </w:r>
      <w:r>
        <w:t xml:space="preserve">และ</w:t>
      </w:r>
      <w:r>
        <w:t xml:space="preserve"> </w:t>
      </w:r>
      <w:r>
        <w:rPr>
          <w:b/>
          <w:bCs/>
        </w:rPr>
        <w:t xml:space="preserve">annual penetration test</w:t>
      </w:r>
      <w:r>
        <w:t xml:space="preserve"> </w:t>
      </w:r>
      <w:r>
        <w:t xml:space="preserve">ตามที่ระบุใน</w:t>
      </w:r>
      <w:r>
        <w:t xml:space="preserve"> </w:t>
      </w:r>
      <w:r>
        <w:rPr>
          <w:rStyle w:val="VerbatimChar"/>
        </w:rPr>
        <w:t xml:space="preserve">COMPLIANCE-TH.md</w:t>
      </w:r>
      <w:r>
        <w:t xml:space="preserve"> </w:t>
      </w:r>
      <w:r>
        <w:t xml:space="preserve">ข้อ 6</w:t>
      </w:r>
    </w:p>
    <w:p>
      <w:pPr>
        <w:pStyle w:val="Compact"/>
        <w:numPr>
          <w:ilvl w:val="0"/>
          <w:numId w:val="1239"/>
        </w:numPr>
      </w:pPr>
      <w:r>
        <w:t xml:space="preserve">Change ที่กระทบ</w:t>
      </w:r>
      <w:r>
        <w:t xml:space="preserve"> </w:t>
      </w:r>
      <w:r>
        <w:rPr>
          <w:b/>
          <w:bCs/>
        </w:rPr>
        <w:t xml:space="preserve">payment page scripts</w:t>
      </w:r>
      <w:r>
        <w:t xml:space="preserve"> </w:t>
      </w:r>
      <w:r>
        <w:t xml:space="preserve">ต้องผ่าน inventory + authorization ตาม PCI 6.4.3</w:t>
      </w:r>
    </w:p>
    <w:p>
      <w:r>
        <w:pict>
          <v:rect style="width:0;height:1.5pt" o:hralign="center" o:hrstd="t" o:hr="t"/>
        </w:pict>
      </w:r>
    </w:p>
    <w:bookmarkEnd w:id="576"/>
    <w:bookmarkStart w:id="577" w:name="บนทกและการตรวจสอบ-records-audit"/>
    <w:p>
      <w:pPr>
        <w:pStyle w:val="Heading2"/>
      </w:pPr>
      <w:r>
        <w:t xml:space="preserve">10. บันทึกและการตรวจสอบ (Records &amp; Audit)</w:t>
      </w:r>
    </w:p>
    <w:p>
      <w:pPr>
        <w:pStyle w:val="Compact"/>
        <w:numPr>
          <w:ilvl w:val="0"/>
          <w:numId w:val="1240"/>
        </w:numPr>
      </w:pPr>
      <w:r>
        <w:rPr>
          <w:b/>
          <w:bCs/>
        </w:rPr>
        <w:t xml:space="preserve">CR ทุกใบ</w:t>
      </w:r>
      <w:r>
        <w:t xml:space="preserve"> </w:t>
      </w:r>
      <w:r>
        <w:t xml:space="preserve">เก็บ: ผู้ขอ, ผู้อนุมัติ, ผลทดสอบ, แผน rollback, ผลลัพธ์ — เก็บ</w:t>
      </w:r>
      <w:r>
        <w:t xml:space="preserve"> </w:t>
      </w:r>
      <w:r>
        <w:rPr>
          <w:b/>
          <w:bCs/>
        </w:rPr>
        <w:t xml:space="preserve">≥ 12 เดือน</w:t>
      </w:r>
      <w:r>
        <w:t xml:space="preserve"> </w:t>
      </w:r>
      <w:r>
        <w:t xml:space="preserve">(สอดคล้อง PCI Req 10</w:t>
      </w:r>
      <w:r>
        <w:t xml:space="preserve"> </w:t>
      </w:r>
      <w:r>
        <w:t xml:space="preserve">และ retention ในเอกสารเลขที่ 11)</w:t>
      </w:r>
    </w:p>
    <w:p>
      <w:pPr>
        <w:pStyle w:val="Compact"/>
        <w:numPr>
          <w:ilvl w:val="0"/>
          <w:numId w:val="1240"/>
        </w:numPr>
      </w:pPr>
      <w:r>
        <w:t xml:space="preserve">ทุก prod change ต้อง traceable: CR ↔ Git commit/PR ↔ pipeline run ↔ approver</w:t>
      </w:r>
    </w:p>
    <w:p>
      <w:pPr>
        <w:pStyle w:val="Compact"/>
        <w:numPr>
          <w:ilvl w:val="0"/>
          <w:numId w:val="1240"/>
        </w:numPr>
      </w:pPr>
      <w:r>
        <w:t xml:space="preserve">Internal Audit สุ่มตรวจรายไตรมาสว่าไม่มี prod change ที่ไม่มี CR/อนุมัติ (unauthorized change = ข้อบกพร่องร้ายแรง)</w:t>
      </w:r>
    </w:p>
    <w:p>
      <w:r>
        <w:pict>
          <v:rect style="width:0;height:1.5pt" o:hralign="center" o:hrstd="t" o:hr="t"/>
        </w:pict>
      </w:r>
    </w:p>
    <w:bookmarkEnd w:id="577"/>
    <w:bookmarkStart w:id="578" w:name="ขอสมมตและสงทตองดำเนนการ-assumptions-todo"/>
    <w:p>
      <w:pPr>
        <w:pStyle w:val="Heading2"/>
      </w:pPr>
      <w:r>
        <w:t xml:space="preserve">11. ข้อสมมติและสิ่งที่ต้องดำเนินการ (Assumptions &amp; TODO)</w:t>
      </w:r>
    </w:p>
    <w:p>
      <w:pPr>
        <w:pStyle w:val="BlockText"/>
      </w:pPr>
      <w:r>
        <w:rPr>
          <w:b/>
          <w:bCs/>
        </w:rPr>
        <w:t xml:space="preserve">⚠️ ต้องยืนยันก่อนยื่น — ข้อมูลภายนอกที่ยังไม่สรุป (ห้ามสมมติเป็นข้อเท็จจริง):</w:t>
      </w:r>
    </w:p>
    <w:p>
      <w:pPr>
        <w:pStyle w:val="Compact"/>
        <w:numPr>
          <w:ilvl w:val="0"/>
          <w:numId w:val="1241"/>
        </w:numPr>
      </w:pPr>
      <w:r>
        <w:rPr>
          <w:b/>
          <w:bCs/>
        </w:rPr>
        <w:t xml:space="preserve">[TODO — Sponsor bank / Acquirer]</w:t>
      </w:r>
      <w:r>
        <w:t xml:space="preserve"> </w:t>
      </w:r>
      <w:r>
        <w:t xml:space="preserve">ยังไม่สรุปคู่สัญญา; ข้อกำหนด change/certification window ของ scheme</w:t>
      </w:r>
      <w:r>
        <w:t xml:space="preserve"> </w:t>
      </w:r>
      <w:r>
        <w:t xml:space="preserve">(Visa/Mastercard) และ acquirer จะเพิ่มเงื่อนไขต่อ release ที่กระทบ authorization/settlement — ต้องผนวกเมื่อสรุป</w:t>
      </w:r>
    </w:p>
    <w:p>
      <w:pPr>
        <w:pStyle w:val="Compact"/>
        <w:numPr>
          <w:ilvl w:val="0"/>
          <w:numId w:val="1241"/>
        </w:numPr>
      </w:pPr>
      <w:r>
        <w:rPr>
          <w:b/>
          <w:bCs/>
        </w:rPr>
        <w:t xml:space="preserve">[TODO — QSA vendor]</w:t>
      </w:r>
      <w:r>
        <w:t xml:space="preserve"> </w:t>
      </w:r>
      <w:r>
        <w:t xml:space="preserve">ยังไม่ลงนามผู้ประเมิน; ต้องให้ QSA ทบทวนขั้นตอนนี้เทียบ PCI-DSS v4.0 Req 6 ก่อน RoC</w:t>
      </w:r>
    </w:p>
    <w:p>
      <w:pPr>
        <w:pStyle w:val="Compact"/>
        <w:numPr>
          <w:ilvl w:val="0"/>
          <w:numId w:val="1241"/>
        </w:numPr>
      </w:pPr>
      <w:r>
        <w:rPr>
          <w:b/>
          <w:bCs/>
        </w:rPr>
        <w:t xml:space="preserve">[TODO — ทุนจดทะเบียนที่ชำระจริง]</w:t>
      </w:r>
      <w:r>
        <w:t xml:space="preserve"> </w:t>
      </w:r>
      <w:r>
        <w:t xml:space="preserve">เอกสารอ้างอิงเกณฑ์ 50 ล้านบาท (Acquiring); ยอดที่ชำระจริงต้องยืนยันด้วย</w:t>
      </w:r>
      <w:r>
        <w:t xml:space="preserve"> </w:t>
      </w:r>
      <w:r>
        <w:t xml:space="preserve">หลักฐานจากกรมพัฒนาธุรกิจการค้า/งบการเงิน (ดูเอกสารเลขที่ 02)</w:t>
      </w:r>
    </w:p>
    <w:p>
      <w:pPr>
        <w:pStyle w:val="Compact"/>
        <w:numPr>
          <w:ilvl w:val="0"/>
          <w:numId w:val="1241"/>
        </w:numPr>
      </w:pPr>
      <w:r>
        <w:rPr>
          <w:b/>
          <w:bCs/>
        </w:rPr>
        <w:t xml:space="preserve">[TODO — เครื่องมือ CI/CD &amp; ticketing จริง]</w:t>
      </w:r>
      <w:r>
        <w:t xml:space="preserve"> </w:t>
      </w:r>
      <w:r>
        <w:t xml:space="preserve">ชื่อผลิตภัณฑ์ (เช่น Git host, pipeline, ticketing) ให้ระบุเมื่อจัดซื้อจริง</w:t>
      </w:r>
    </w:p>
    <w:p>
      <w:r>
        <w:pict>
          <v:rect style="width:0;height:1.5pt" o:hralign="center" o:hrstd="t" o:hr="t"/>
        </w:pict>
      </w:r>
    </w:p>
    <w:bookmarkEnd w:id="578"/>
    <w:bookmarkEnd w:id="579"/>
    <w:bookmarkStart w:id="591" w:name="X86e9359cd0ab469ebe1b19f23be19c97356c439"/>
    <w:p>
      <w:pPr>
        <w:pStyle w:val="Heading1"/>
      </w:pPr>
      <w:r>
        <w:t xml:space="preserve">Change management &amp; release policy (PCI Req 6): approvals, testing, segregation of dev/prod, rollback (English)</w:t>
      </w:r>
    </w:p>
    <w:p>
      <w:pPr>
        <w:pStyle w:val="BlockText"/>
      </w:pPr>
      <w:r>
        <w:t xml:space="preserve">Supporting document for the</w:t>
      </w:r>
      <w:r>
        <w:t xml:space="preserve"> </w:t>
      </w:r>
      <w:r>
        <w:rPr>
          <w:b/>
          <w:bCs/>
        </w:rPr>
        <w:t xml:space="preserve">Acquiring (electronic payment acceptance) service</w:t>
      </w:r>
      <w:r>
        <w:t xml:space="preserve"> </w:t>
      </w:r>
      <w:r>
        <w:t xml:space="preserve">license application</w:t>
      </w:r>
      <w:r>
        <w:t xml:space="preserve"> </w:t>
      </w:r>
      <w:r>
        <w:t xml:space="preserve">under the Payment Systems Act B.E. 2560 · Paid-up capital THB 50M · PCI-DSS v4.0 Level 1</w:t>
      </w:r>
      <w:r>
        <w:t xml:space="preserve"> </w:t>
      </w:r>
      <w:r>
        <w:t xml:space="preserve">Document</w:t>
      </w:r>
      <w:r>
        <w:t xml:space="preserve"> </w:t>
      </w:r>
      <w:r>
        <w:rPr>
          <w:b/>
          <w:bCs/>
        </w:rPr>
        <w:t xml:space="preserve">17 — Change Management &amp; Release Policy (PCI Req 6)</w:t>
      </w:r>
      <w:r>
        <w:t xml:space="preserve"> </w:t>
      </w:r>
      <w:r>
        <w:t xml:space="preserve">Owner:</w:t>
      </w:r>
      <w:r>
        <w:t xml:space="preserve"> </w:t>
      </w:r>
      <w:r>
        <w:rPr>
          <w:b/>
          <w:bCs/>
        </w:rPr>
        <w:t xml:space="preserve">[บริษัท / Company]</w:t>
      </w:r>
      <w:r>
        <w:t xml:space="preserve"> </w:t>
      </w:r>
      <w:r>
        <w:t xml:space="preserve">· Version 1.0 · Issued 2026-07-22 · Reviewed every 12 months</w:t>
      </w:r>
    </w:p>
    <w:p>
      <w:pPr>
        <w:pStyle w:val="BlockText"/>
      </w:pPr>
      <w:r>
        <w:rPr>
          <w:b/>
          <w:bCs/>
        </w:rPr>
        <w:t xml:space="preserve">Note:</w:t>
      </w:r>
      <w:r>
        <w:t xml:space="preserve"> </w:t>
      </w:r>
      <w:r>
        <w:t xml:space="preserve">This is a technical/operational document, not legal advice. It must be reviewed by legal counsel</w:t>
      </w:r>
      <w:r>
        <w:t xml:space="preserve"> </w:t>
      </w:r>
      <w:r>
        <w:t xml:space="preserve">and the QSA before submission. Related documents: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r>
        <w:pict>
          <v:rect style="width:0;height:1.5pt" o:hralign="center" o:hrstd="t" o:hr="t"/>
        </w:pict>
      </w:r>
    </w:p>
    <w:bookmarkStart w:id="580" w:name="purpose-scope-6"/>
    <w:p>
      <w:pPr>
        <w:pStyle w:val="Heading2"/>
      </w:pPr>
      <w:r>
        <w:t xml:space="preserve">1. Purpose &amp; Scope</w:t>
      </w:r>
    </w:p>
    <w:p>
      <w:pPr>
        <w:pStyle w:val="FirstParagraph"/>
      </w:pPr>
      <w:r>
        <w:t xml:space="preserve">This policy defines how [บริษัท / Company]</w:t>
      </w:r>
      <w:r>
        <w:t xml:space="preserve"> </w:t>
      </w:r>
      <w:r>
        <w:rPr>
          <w:b/>
          <w:bCs/>
        </w:rPr>
        <w:t xml:space="preserve">controls all changes</w:t>
      </w:r>
      <w:r>
        <w:t xml:space="preserve"> </w:t>
      </w:r>
      <w:r>
        <w:t xml:space="preserve">to systems within and connected to the</w:t>
      </w:r>
      <w:r>
        <w:t xml:space="preserve"> </w:t>
      </w:r>
      <w:r>
        <w:rPr>
          <w:b/>
          <w:bCs/>
        </w:rPr>
        <w:t xml:space="preserve">Cardholder Data Environment (CDE)</w:t>
      </w:r>
      <w:r>
        <w:t xml:space="preserve"> </w:t>
      </w:r>
      <w:r>
        <w:t xml:space="preserve">— code, configuration, infrastructure/network, patches, and emergency</w:t>
      </w:r>
      <w:r>
        <w:t xml:space="preserve"> </w:t>
      </w:r>
      <w:r>
        <w:t xml:space="preserve">changes — under the principle that</w:t>
      </w:r>
      <w:r>
        <w:t xml:space="preserve"> </w:t>
      </w:r>
      <w:r>
        <w:rPr>
          <w:b/>
          <w:bCs/>
        </w:rPr>
        <w:t xml:space="preserve">every change must be approved, tested, and reversible</w:t>
      </w:r>
      <w:r>
        <w:t xml:space="preserve">, in order to</w:t>
      </w:r>
      <w:r>
        <w:t xml:space="preserve"> </w:t>
      </w:r>
      <w:r>
        <w:t xml:space="preserve">preserve the security and continuity of the payment system.</w:t>
      </w:r>
    </w:p>
    <w:p>
      <w:pPr>
        <w:pStyle w:val="BodyText"/>
      </w:pPr>
      <w:r>
        <w:t xml:space="preserve">It satisfies the following key requirements:</w:t>
      </w:r>
    </w:p>
    <w:p>
      <w:pPr>
        <w:pStyle w:val="Compact"/>
        <w:numPr>
          <w:ilvl w:val="0"/>
          <w:numId w:val="1242"/>
        </w:numPr>
      </w:pPr>
      <w:r>
        <w:rPr>
          <w:b/>
          <w:bCs/>
        </w:rPr>
        <w:t xml:space="preserve">PCI-DSS v4.0 Requirement 6</w:t>
      </w:r>
      <w:r>
        <w:t xml:space="preserve"> </w:t>
      </w:r>
      <w:r>
        <w:t xml:space="preserve">— develop and maintain secure systems/software, in particular 6.1–6.5</w:t>
      </w:r>
      <w:r>
        <w:t xml:space="preserve"> </w:t>
      </w:r>
      <w:r>
        <w:t xml:space="preserve">(secure SDLC, vulnerability management, secure coding, change control, and</w:t>
      </w:r>
      <w:r>
        <w:t xml:space="preserve"> </w:t>
      </w:r>
      <w:r>
        <w:rPr>
          <w:b/>
          <w:bCs/>
        </w:rPr>
        <w:t xml:space="preserve">dev/prod segregation</w:t>
      </w:r>
      <w:r>
        <w:t xml:space="preserve">)</w:t>
      </w:r>
    </w:p>
    <w:p>
      <w:pPr>
        <w:pStyle w:val="Compact"/>
        <w:numPr>
          <w:ilvl w:val="0"/>
          <w:numId w:val="1242"/>
        </w:numPr>
      </w:pPr>
      <w:r>
        <w:rPr>
          <w:b/>
          <w:bCs/>
        </w:rPr>
        <w:t xml:space="preserve">PCI-DSS v4.0 Req 6.5.1–6.5.6</w:t>
      </w:r>
      <w:r>
        <w:t xml:space="preserve"> </w:t>
      </w:r>
      <w:r>
        <w:t xml:space="preserve">— change control: documented impact, authorized approval, testing that</w:t>
      </w:r>
      <w:r>
        <w:t xml:space="preserve"> </w:t>
      </w:r>
      <w:r>
        <w:t xml:space="preserve">security is not reduced, rollback procedures, and separation of dev/test/prod duties and environments</w:t>
      </w:r>
    </w:p>
    <w:p>
      <w:pPr>
        <w:pStyle w:val="Compact"/>
        <w:numPr>
          <w:ilvl w:val="0"/>
          <w:numId w:val="1242"/>
        </w:numPr>
      </w:pPr>
      <w:r>
        <w:rPr>
          <w:b/>
          <w:bCs/>
        </w:rPr>
        <w:t xml:space="preserve">PCI-DSS v4.0 Req 6.4.1–6.4.3</w:t>
      </w:r>
      <w:r>
        <w:t xml:space="preserve"> </w:t>
      </w:r>
      <w:r>
        <w:t xml:space="preserve">— review/authorize payment page scripts and CDE-affecting changes</w:t>
      </w:r>
    </w:p>
    <w:p>
      <w:pPr>
        <w:pStyle w:val="Compact"/>
        <w:numPr>
          <w:ilvl w:val="0"/>
          <w:numId w:val="1242"/>
        </w:numPr>
      </w:pPr>
      <w:r>
        <w:rPr>
          <w:b/>
          <w:bCs/>
        </w:rPr>
        <w:t xml:space="preserve">Bank of Thailand (ธปท.) notifications</w:t>
      </w:r>
      <w:r>
        <w:t xml:space="preserve"> </w:t>
      </w:r>
      <w:r>
        <w:t xml:space="preserve">on IT risk / cyber resilience — IT change control and SoD</w:t>
      </w:r>
    </w:p>
    <w:p>
      <w:pPr>
        <w:pStyle w:val="Compact"/>
        <w:numPr>
          <w:ilvl w:val="0"/>
          <w:numId w:val="1242"/>
        </w:numPr>
      </w:pPr>
      <w:r>
        <w:rPr>
          <w:b/>
          <w:bCs/>
        </w:rPr>
        <w:t xml:space="preserve">PDPA / PDPC</w:t>
      </w:r>
      <w:r>
        <w:t xml:space="preserve"> </w:t>
      </w:r>
      <w:r>
        <w:t xml:space="preserve">— changes affecting personal data require a privacy review (DPIA where triggered)</w:t>
      </w:r>
    </w:p>
    <w:p>
      <w:pPr>
        <w:pStyle w:val="BlockText"/>
      </w:pPr>
      <w:r>
        <w:rPr>
          <w:b/>
          <w:bCs/>
        </w:rPr>
        <w:t xml:space="preserve">CDE scope per</w:t>
      </w:r>
      <w:r>
        <w:rPr>
          <w:b/>
          <w:bCs/>
        </w:rPr>
        <w:t xml:space="preserve"> </w:t>
      </w:r>
      <w:r>
        <w:rPr>
          <w:rStyle w:val="VerbatimChar"/>
          <w:b/>
          <w:bCs/>
        </w:rPr>
        <w:t xml:space="preserve">ARCHITECTURE.md</w:t>
      </w:r>
      <w:r>
        <w:rPr>
          <w:b/>
          <w:bCs/>
        </w:rPr>
        <w:t xml:space="preserve">:</w:t>
      </w:r>
      <w:r>
        <w:t xml:space="preserve"> </w:t>
      </w:r>
      <w:r>
        <w:t xml:space="preserve">any change to the Payment Core, Tokenization Vault, Acquirer/3DS</w:t>
      </w:r>
      <w:r>
        <w:t xml:space="preserve"> </w:t>
      </w:r>
      <w:r>
        <w:t xml:space="preserve">adapters, Ledger, network segmentation, HSM/KMS, and the CI/CD pipeline is</w:t>
      </w:r>
      <w:r>
        <w:t xml:space="preserve"> </w:t>
      </w:r>
      <w:r>
        <w:rPr>
          <w:b/>
          <w:bCs/>
        </w:rPr>
        <w:t xml:space="preserve">PCI in-scope</w:t>
      </w:r>
      <w:r>
        <w:t xml:space="preserve"> </w:t>
      </w:r>
      <w:r>
        <w:t xml:space="preserve">and must pass</w:t>
      </w:r>
      <w:r>
        <w:t xml:space="preserve"> </w:t>
      </w:r>
      <w:r>
        <w:t xml:space="preserve">every stage of this policy.</w:t>
      </w:r>
    </w:p>
    <w:p>
      <w:r>
        <w:pict>
          <v:rect style="width:0;height:1.5pt" o:hralign="center" o:hrstd="t" o:hr="t"/>
        </w:pict>
      </w:r>
    </w:p>
    <w:bookmarkEnd w:id="580"/>
    <w:bookmarkStart w:id="581" w:name="roles-responsibilities-4"/>
    <w:p>
      <w:pPr>
        <w:pStyle w:val="Heading2"/>
      </w:pPr>
      <w:r>
        <w:t xml:space="preserve">2. Roles &amp; Responsibilities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Role</w:t>
            </w:r>
          </w:p>
        </w:tc>
        <w:tc>
          <w:tcPr/>
          <w:p>
            <w:pPr>
              <w:pStyle w:val="Compact"/>
            </w:pPr>
            <w:r>
              <w:t xml:space="preserve">Change-management responsibility</w:t>
            </w:r>
          </w:p>
        </w:tc>
      </w:tr>
      <w:tr>
        <w:tc>
          <w:tcPr/>
          <w:p>
            <w:pPr>
              <w:pStyle w:val="Compact"/>
            </w:pPr>
            <w:r>
              <w:rPr>
                <w:b/>
                <w:bCs/>
              </w:rPr>
              <w:t xml:space="preserve">Change Requester</w:t>
            </w:r>
          </w:p>
        </w:tc>
        <w:tc>
          <w:tcPr/>
          <w:p>
            <w:pPr>
              <w:pStyle w:val="Compact"/>
            </w:pPr>
            <w:r>
              <w:t xml:space="preserve">Raises the Change Request (CR); documents scope/impact/rollback; attaches test evidence</w:t>
            </w:r>
          </w:p>
        </w:tc>
      </w:tr>
      <w:tr>
        <w:tc>
          <w:tcPr/>
          <w:p>
            <w:pPr>
              <w:pStyle w:val="Compact"/>
            </w:pPr>
            <w:r>
              <w:rPr>
                <w:b/>
                <w:bCs/>
              </w:rPr>
              <w:t xml:space="preserve">Engineering Lead / Peer Reviewer</w:t>
            </w:r>
          </w:p>
        </w:tc>
        <w:tc>
          <w:tcPr/>
          <w:p>
            <w:pPr>
              <w:pStyle w:val="Compact"/>
            </w:pPr>
            <w:r>
              <w:t xml:space="preserve">Reviews code (≥1 non-author), checks secure coding, approves merge</w:t>
            </w:r>
          </w:p>
        </w:tc>
      </w:tr>
      <w:tr>
        <w:tc>
          <w:tcPr/>
          <w:p>
            <w:pPr>
              <w:pStyle w:val="Compact"/>
            </w:pPr>
            <w:r>
              <w:rPr>
                <w:b/>
                <w:bCs/>
              </w:rPr>
              <w:t xml:space="preserve">QA Lead</w:t>
            </w:r>
          </w:p>
        </w:tc>
        <w:tc>
          <w:tcPr/>
          <w:p>
            <w:pPr>
              <w:pStyle w:val="Compact"/>
            </w:pPr>
            <w:r>
              <w:t xml:space="preserve">Confirms functional + security regression pass before release</w:t>
            </w:r>
          </w:p>
        </w:tc>
      </w:tr>
      <w:tr>
        <w:tc>
          <w:tcPr/>
          <w:p>
            <w:pPr>
              <w:pStyle w:val="Compact"/>
            </w:pPr>
            <w:r>
              <w:rPr>
                <w:b/>
                <w:bCs/>
              </w:rPr>
              <w:t xml:space="preserve">Change Advisory Board (CAB)</w:t>
            </w:r>
          </w:p>
        </w:tc>
        <w:tc>
          <w:tcPr/>
          <w:p>
            <w:pPr>
              <w:pStyle w:val="Compact"/>
            </w:pPr>
            <w:r>
              <w:t xml:space="preserve">Approves significant/high-risk changes per §5 thresholds</w:t>
            </w:r>
          </w:p>
        </w:tc>
      </w:tr>
      <w:tr>
        <w:tc>
          <w:tcPr/>
          <w:p>
            <w:pPr>
              <w:pStyle w:val="Compact"/>
            </w:pPr>
            <w:r>
              <w:rPr>
                <w:b/>
                <w:bCs/>
              </w:rPr>
              <w:t xml:space="preserve">Release Manager</w:t>
            </w:r>
          </w:p>
        </w:tc>
        <w:tc>
          <w:tcPr/>
          <w:p>
            <w:pPr>
              <w:pStyle w:val="Compact"/>
            </w:pPr>
            <w:r>
              <w:t xml:space="preserve">Schedules releases, owns the change window, gives go/no-go, confirms rollback readiness</w:t>
            </w:r>
          </w:p>
        </w:tc>
      </w:tr>
      <w:tr>
        <w:tc>
          <w:tcPr/>
          <w:p>
            <w:pPr>
              <w:pStyle w:val="Compact"/>
            </w:pPr>
            <w:r>
              <w:rPr>
                <w:b/>
                <w:bCs/>
              </w:rPr>
              <w:t xml:space="preserve">CISO / DevSecOps</w:t>
            </w:r>
          </w:p>
        </w:tc>
        <w:tc>
          <w:tcPr/>
          <w:p>
            <w:pPr>
              <w:pStyle w:val="Compact"/>
            </w:pPr>
            <w:r>
              <w:t xml:space="preserve">Policy owner; approves security/CDE-affecting changes; controls secrets/HSM/KMS</w:t>
            </w:r>
          </w:p>
        </w:tc>
      </w:tr>
      <w:tr>
        <w:tc>
          <w:tcPr/>
          <w:p>
            <w:pPr>
              <w:pStyle w:val="Compact"/>
            </w:pPr>
            <w:r>
              <w:rPr>
                <w:b/>
                <w:bCs/>
              </w:rPr>
              <w:t xml:space="preserve">SRE / Infra</w:t>
            </w:r>
          </w:p>
        </w:tc>
        <w:tc>
          <w:tcPr/>
          <w:p>
            <w:pPr>
              <w:pStyle w:val="Compact"/>
            </w:pPr>
            <w:r>
              <w:t xml:space="preserve">Executes production deploys, monitors, performs rollback</w:t>
            </w:r>
          </w:p>
        </w:tc>
      </w:tr>
      <w:tr>
        <w:tc>
          <w:tcPr/>
          <w:p>
            <w:pPr>
              <w:pStyle w:val="Compact"/>
            </w:pPr>
            <w:r>
              <w:rPr>
                <w:b/>
                <w:bCs/>
              </w:rPr>
              <w:t xml:space="preserve">DPO</w:t>
            </w:r>
          </w:p>
        </w:tc>
        <w:tc>
          <w:tcPr/>
          <w:p>
            <w:pPr>
              <w:pStyle w:val="Compact"/>
            </w:pPr>
            <w:r>
              <w:t xml:space="preserve">Privacy review / DPIA for changes affecting personal data (PDPA)</w:t>
            </w:r>
          </w:p>
        </w:tc>
      </w:tr>
      <w:tr>
        <w:tc>
          <w:tcPr/>
          <w:p>
            <w:pPr>
              <w:pStyle w:val="Compact"/>
            </w:pPr>
            <w:r>
              <w:rPr>
                <w:b/>
                <w:bCs/>
              </w:rPr>
              <w:t xml:space="preserve">Internal Audit</w:t>
            </w:r>
          </w:p>
        </w:tc>
        <w:tc>
          <w:tcPr/>
          <w:p>
            <w:pPr>
              <w:pStyle w:val="Compact"/>
            </w:pPr>
            <w:r>
              <w:t xml:space="preserve">Verifies every prod change has a CR + approval + test evidence per PCI Req 6</w:t>
            </w:r>
          </w:p>
        </w:tc>
      </w:tr>
    </w:tbl>
    <w:p>
      <w:pPr>
        <w:pStyle w:val="BlockText"/>
      </w:pPr>
      <w:r>
        <w:rPr>
          <w:b/>
          <w:bCs/>
        </w:rPr>
        <w:t xml:space="preserve">Separation of Duties (SoD):</w:t>
      </w:r>
      <w:r>
        <w:t xml:space="preserve"> </w:t>
      </w:r>
      <w:r>
        <w:t xml:space="preserve">an author</w:t>
      </w:r>
      <w:r>
        <w:t xml:space="preserve"> </w:t>
      </w:r>
      <w:r>
        <w:rPr>
          <w:b/>
          <w:bCs/>
        </w:rPr>
        <w:t xml:space="preserve">must not</w:t>
      </w:r>
      <w:r>
        <w:t xml:space="preserve"> </w:t>
      </w:r>
      <w:r>
        <w:t xml:space="preserve">approve their own change and</w:t>
      </w:r>
      <w:r>
        <w:t xml:space="preserve"> </w:t>
      </w:r>
      <w:r>
        <w:rPr>
          <w:b/>
          <w:bCs/>
        </w:rPr>
        <w:t xml:space="preserve">must not</w:t>
      </w:r>
      <w:r>
        <w:t xml:space="preserve"> </w:t>
      </w:r>
      <w:r>
        <w:t xml:space="preserve">deploy it to</w:t>
      </w:r>
      <w:r>
        <w:t xml:space="preserve"> </w:t>
      </w:r>
      <w:r>
        <w:t xml:space="preserve">production themselves. Production deploys run through an automated pipeline requiring a separate authorized approver.</w:t>
      </w:r>
    </w:p>
    <w:p>
      <w:r>
        <w:pict>
          <v:rect style="width:0;height:1.5pt" o:hralign="center" o:hrstd="t" o:hr="t"/>
        </w:pict>
      </w:r>
    </w:p>
    <w:bookmarkEnd w:id="581"/>
    <w:bookmarkStart w:id="582" w:name="change-classification"/>
    <w:p>
      <w:pPr>
        <w:pStyle w:val="Heading2"/>
      </w:pPr>
      <w:r>
        <w:t xml:space="preserve">3. Change Classification</w:t>
      </w:r>
    </w:p>
    <w:tbl>
      <w:tblPr>
        <w:tblStyle w:val="Table"/>
        <w:tblW w:type="pct" w:w="5000"/>
        <w:tblLayout w:type="fixed"/>
        <w:tblLook w:firstRow="1" w:lastRow="0" w:firstColumn="0" w:lastColumn="0" w:noHBand="0" w:noVBand="0" w:val="0020"/>
      </w:tblPr>
      <w:tblGrid>
        <w:gridCol w:w="913"/>
        <w:gridCol w:w="1675"/>
        <w:gridCol w:w="1523"/>
        <w:gridCol w:w="1523"/>
        <w:gridCol w:w="2284"/>
      </w:tblGrid>
      <w:tr>
        <w:trPr>
          <w:tblHeader w:val="on"/>
        </w:trPr>
        <w:tc>
          <w:tcPr/>
          <w:p>
            <w:pPr>
              <w:pStyle w:val="Compact"/>
            </w:pPr>
            <w:r>
              <w:t xml:space="preserve">Type</w:t>
            </w:r>
          </w:p>
        </w:tc>
        <w:tc>
          <w:tcPr/>
          <w:p>
            <w:pPr>
              <w:pStyle w:val="Compact"/>
            </w:pPr>
            <w:r>
              <w:t xml:space="preserve">Definition</w:t>
            </w:r>
          </w:p>
        </w:tc>
        <w:tc>
          <w:tcPr/>
          <w:p>
            <w:pPr>
              <w:pStyle w:val="Compact"/>
            </w:pPr>
            <w:r>
              <w:t xml:space="preserve">Examples</w:t>
            </w:r>
          </w:p>
        </w:tc>
        <w:tc>
          <w:tcPr/>
          <w:p>
            <w:pPr>
              <w:pStyle w:val="Compact"/>
            </w:pPr>
            <w:r>
              <w:t xml:space="preserve">Approver</w:t>
            </w:r>
          </w:p>
        </w:tc>
        <w:tc>
          <w:tcPr/>
          <w:p>
            <w:pPr>
              <w:pStyle w:val="Compact"/>
            </w:pPr>
            <w:r>
              <w:t xml:space="preserve">Min lead time</w:t>
            </w:r>
          </w:p>
        </w:tc>
      </w:tr>
      <w:tr>
        <w:tc>
          <w:tcPr/>
          <w:p>
            <w:pPr>
              <w:pStyle w:val="Compact"/>
            </w:pPr>
            <w:r>
              <w:rPr>
                <w:b/>
                <w:bCs/>
              </w:rPr>
              <w:t xml:space="preserve">Standard (pre-approved)</w:t>
            </w:r>
          </w:p>
        </w:tc>
        <w:tc>
          <w:tcPr/>
          <w:p>
            <w:pPr>
              <w:pStyle w:val="Compact"/>
            </w:pPr>
            <w:r>
              <w:t xml:space="preserve">Low-risk, repeatable, runbook-driven</w:t>
            </w:r>
          </w:p>
        </w:tc>
        <w:tc>
          <w:tcPr/>
          <w:p>
            <w:pPr>
              <w:pStyle w:val="Compact"/>
            </w:pPr>
            <w:r>
              <w:t xml:space="preserve">Minor dependency bump passing scans; non-CDE config</w:t>
            </w:r>
          </w:p>
        </w:tc>
        <w:tc>
          <w:tcPr/>
          <w:p>
            <w:pPr>
              <w:pStyle w:val="Compact"/>
            </w:pPr>
            <w:r>
              <w:t xml:space="preserve">Engineering Lead (pre-approved via runbook)</w:t>
            </w:r>
          </w:p>
        </w:tc>
        <w:tc>
          <w:tcPr/>
          <w:p>
            <w:pPr>
              <w:pStyle w:val="Compact"/>
            </w:pPr>
            <w:r>
              <w:t xml:space="preserve">1 business day</w:t>
            </w:r>
          </w:p>
        </w:tc>
      </w:tr>
      <w:tr>
        <w:tc>
          <w:tcPr/>
          <w:p>
            <w:pPr>
              <w:pStyle w:val="Compact"/>
            </w:pPr>
            <w:r>
              <w:rPr>
                <w:b/>
                <w:bCs/>
              </w:rPr>
              <w:t xml:space="preserve">Normal — Low/Medium</w:t>
            </w:r>
          </w:p>
        </w:tc>
        <w:tc>
          <w:tcPr/>
          <w:p>
            <w:pPr>
              <w:pStyle w:val="Compact"/>
            </w:pPr>
            <w:r>
              <w:t xml:space="preserve">Ordinary change; non-CDE or minor CDE impact</w:t>
            </w:r>
          </w:p>
        </w:tc>
        <w:tc>
          <w:tcPr/>
          <w:p>
            <w:pPr>
              <w:pStyle w:val="Compact"/>
            </w:pPr>
            <w:r>
              <w:t xml:space="preserve">New non-CDE API feature; bug fix</w:t>
            </w:r>
          </w:p>
        </w:tc>
        <w:tc>
          <w:tcPr/>
          <w:p>
            <w:pPr>
              <w:pStyle w:val="Compact"/>
            </w:pPr>
            <w:r>
              <w:t xml:space="preserve">Engineering Lead + QA Lead</w:t>
            </w:r>
          </w:p>
        </w:tc>
        <w:tc>
          <w:tcPr/>
          <w:p>
            <w:pPr>
              <w:pStyle w:val="Compact"/>
            </w:pPr>
            <w:r>
              <w:t xml:space="preserve">2 business days</w:t>
            </w:r>
          </w:p>
        </w:tc>
      </w:tr>
      <w:tr>
        <w:tc>
          <w:tcPr/>
          <w:p>
            <w:pPr>
              <w:pStyle w:val="Compact"/>
            </w:pPr>
            <w:r>
              <w:rPr>
                <w:b/>
                <w:bCs/>
              </w:rPr>
              <w:t xml:space="preserve">Significant / High</w:t>
            </w:r>
          </w:p>
        </w:tc>
        <w:tc>
          <w:tcPr/>
          <w:p>
            <w:pPr>
              <w:pStyle w:val="Compact"/>
            </w:pPr>
            <w:r>
              <w:t xml:space="preserve">Affects CDE, segmentation, crypto/keys, acquirer/3DS, money schema</w:t>
            </w:r>
          </w:p>
        </w:tc>
        <w:tc>
          <w:tcPr/>
          <w:p>
            <w:pPr>
              <w:pStyle w:val="Compact"/>
            </w:pPr>
            <w:r>
              <w:t xml:space="preserve">Vault change, HSM rotation, acquirer adapter,</w:t>
            </w:r>
            <w:r>
              <w:t xml:space="preserve"> </w:t>
            </w:r>
            <w:r>
              <w:rPr>
                <w:rStyle w:val="VerbatimChar"/>
              </w:rPr>
              <w:t xml:space="preserve">payments</w:t>
            </w:r>
            <w:r>
              <w:t xml:space="preserve">/</w:t>
            </w:r>
            <w:r>
              <w:rPr>
                <w:rStyle w:val="VerbatimChar"/>
              </w:rPr>
              <w:t xml:space="preserve">ledger_entries</w:t>
            </w:r>
            <w:r>
              <w:t xml:space="preserve"> </w:t>
            </w:r>
            <w:r>
              <w:t xml:space="preserve">schema</w:t>
            </w:r>
          </w:p>
        </w:tc>
        <w:tc>
          <w:tcPr/>
          <w:p>
            <w:pPr>
              <w:pStyle w:val="Compact"/>
            </w:pPr>
            <w:r>
              <w:rPr>
                <w:b/>
                <w:bCs/>
              </w:rPr>
              <w:t xml:space="preserve">CAB</w:t>
            </w:r>
            <w:r>
              <w:t xml:space="preserve"> </w:t>
            </w:r>
            <w:r>
              <w:t xml:space="preserve">+ CISO</w:t>
            </w:r>
          </w:p>
        </w:tc>
        <w:tc>
          <w:tcPr/>
          <w:p>
            <w:pPr>
              <w:pStyle w:val="Compact"/>
            </w:pPr>
            <w:r>
              <w:t xml:space="preserve">5 business days</w:t>
            </w:r>
          </w:p>
        </w:tc>
      </w:tr>
      <w:tr>
        <w:tc>
          <w:tcPr/>
          <w:p>
            <w:pPr>
              <w:pStyle w:val="Compact"/>
            </w:pPr>
            <w:r>
              <w:rPr>
                <w:b/>
                <w:bCs/>
              </w:rPr>
              <w:t xml:space="preserve">Emergency</w:t>
            </w:r>
          </w:p>
        </w:tc>
        <w:tc>
          <w:tcPr/>
          <w:p>
            <w:pPr>
              <w:pStyle w:val="Compact"/>
            </w:pPr>
            <w:r>
              <w:t xml:space="preserve">Urgent fix for a service/security incident</w:t>
            </w:r>
          </w:p>
        </w:tc>
        <w:tc>
          <w:tcPr/>
          <w:p>
            <w:pPr>
              <w:pStyle w:val="Compact"/>
            </w:pPr>
            <w:r>
              <w:t xml:space="preserve">Critical-vuln hotfix; production incident</w:t>
            </w:r>
          </w:p>
        </w:tc>
        <w:tc>
          <w:tcPr/>
          <w:p>
            <w:pPr>
              <w:pStyle w:val="Compact"/>
            </w:pPr>
            <w:r>
              <w:t xml:space="preserve">Emergency approver (CISO or delegate) + retro CAB</w:t>
            </w:r>
          </w:p>
        </w:tc>
        <w:tc>
          <w:tcPr/>
          <w:p>
            <w:pPr>
              <w:pStyle w:val="Compact"/>
            </w:pPr>
            <w:r>
              <w:t xml:space="preserve">Immediate (§7)</w:t>
            </w:r>
          </w:p>
        </w:tc>
      </w:tr>
    </w:tbl>
    <w:p>
      <w:pPr>
        <w:pStyle w:val="BodyText"/>
      </w:pPr>
      <w:r>
        <w:t xml:space="preserve">The classification is recorded in the CR and drives how many approval tiers apply.</w:t>
      </w:r>
    </w:p>
    <w:p>
      <w:r>
        <w:pict>
          <v:rect style="width:0;height:1.5pt" o:hralign="center" o:hrstd="t" o:hr="t"/>
        </w:pict>
      </w:r>
    </w:p>
    <w:bookmarkEnd w:id="582"/>
    <w:bookmarkStart w:id="583" w:name="change-lifecycle-sdlc-per-pci-6.26.5"/>
    <w:p>
      <w:pPr>
        <w:pStyle w:val="Heading2"/>
      </w:pPr>
      <w:r>
        <w:t xml:space="preserve">4. Change Lifecycle (SDLC per PCI 6.2–6.5)</w:t>
      </w:r>
    </w:p>
    <w:p>
      <w:pPr>
        <w:pStyle w:val="SourceCode"/>
      </w:pPr>
      <w:r>
        <w:rPr>
          <w:rStyle w:val="VerbatimChar"/>
        </w:rPr>
        <w:t xml:space="preserve">Request (CR) ─▶ Design/Develop ─▶ Peer review + SAST/SCA ─▶ Test in dev/staging</w:t>
      </w:r>
      <w:r>
        <w:br/>
      </w:r>
      <w:r>
        <w:rPr>
          <w:rStyle w:val="VerbatimChar"/>
        </w:rPr>
        <w:t xml:space="preserve">   │                                                             │</w:t>
      </w:r>
      <w:r>
        <w:br/>
      </w:r>
      <w:r>
        <w:rPr>
          <w:rStyle w:val="VerbatimChar"/>
        </w:rPr>
        <w:t xml:space="preserve">   │                                                             ▼</w:t>
      </w:r>
      <w:r>
        <w:br/>
      </w:r>
      <w:r>
        <w:rPr>
          <w:rStyle w:val="VerbatimChar"/>
        </w:rPr>
        <w:t xml:space="preserve">   └──────────────  Approval (per threshold)  ◀────  QA sign-off + security test</w:t>
      </w:r>
      <w:r>
        <w:br/>
      </w:r>
      <w:r>
        <w:rPr>
          <w:rStyle w:val="VerbatimChar"/>
        </w:rPr>
        <w:t xml:space="preserve">                            │</w:t>
      </w:r>
      <w:r>
        <w:br/>
      </w:r>
      <w:r>
        <w:rPr>
          <w:rStyle w:val="VerbatimChar"/>
        </w:rPr>
        <w:t xml:space="preserve">                            ▼</w:t>
      </w:r>
      <w:r>
        <w:br/>
      </w:r>
      <w:r>
        <w:rPr>
          <w:rStyle w:val="VerbatimChar"/>
        </w:rPr>
        <w:t xml:space="preserve">               Schedule release (change window) ─▶ Deploy prod (pipeline + approver)</w:t>
      </w:r>
      <w:r>
        <w:br/>
      </w:r>
      <w:r>
        <w:rPr>
          <w:rStyle w:val="VerbatimChar"/>
        </w:rPr>
        <w:t xml:space="preserve">                            │</w:t>
      </w:r>
      <w:r>
        <w:br/>
      </w:r>
      <w:r>
        <w:rPr>
          <w:rStyle w:val="VerbatimChar"/>
        </w:rPr>
        <w:t xml:space="preserve">                            ▼</w:t>
      </w:r>
      <w:r>
        <w:br/>
      </w:r>
      <w:r>
        <w:rPr>
          <w:rStyle w:val="VerbatimChar"/>
        </w:rPr>
        <w:t xml:space="preserve">            Post-deploy verification (smoke) ─▶ Close CR / on fail ─▶ Rollback (§8)</w:t>
      </w:r>
    </w:p>
    <w:p>
      <w:pPr>
        <w:pStyle w:val="FirstParagraph"/>
      </w:pPr>
      <w:r>
        <w:rPr>
          <w:b/>
          <w:bCs/>
        </w:rPr>
        <w:t xml:space="preserve">Mandatory for every CR before production (PCI 6.5.1):</w:t>
      </w:r>
    </w:p>
    <w:p>
      <w:pPr>
        <w:pStyle w:val="Compact"/>
        <w:numPr>
          <w:ilvl w:val="0"/>
          <w:numId w:val="1243"/>
        </w:numPr>
      </w:pPr>
      <w:r>
        <w:rPr>
          <w:b/>
          <w:bCs/>
        </w:rPr>
        <w:t xml:space="preserve">Documented impact analysis</w:t>
      </w:r>
      <w:r>
        <w:t xml:space="preserve"> </w:t>
      </w:r>
      <w:r>
        <w:t xml:space="preserve">— affected systems, PCI-scope impact, PDPA impact</w:t>
      </w:r>
    </w:p>
    <w:p>
      <w:pPr>
        <w:pStyle w:val="Compact"/>
        <w:numPr>
          <w:ilvl w:val="0"/>
          <w:numId w:val="1243"/>
        </w:numPr>
      </w:pPr>
      <w:r>
        <w:rPr>
          <w:b/>
          <w:bCs/>
        </w:rPr>
        <w:t xml:space="preserve">Authorized approval</w:t>
      </w:r>
      <w:r>
        <w:t xml:space="preserve"> </w:t>
      </w:r>
      <w:r>
        <w:t xml:space="preserve">— per §5 thresholds (must differ from the author)</w:t>
      </w:r>
    </w:p>
    <w:p>
      <w:pPr>
        <w:pStyle w:val="Compact"/>
        <w:numPr>
          <w:ilvl w:val="0"/>
          <w:numId w:val="1243"/>
        </w:numPr>
      </w:pPr>
      <w:r>
        <w:rPr>
          <w:b/>
          <w:bCs/>
        </w:rPr>
        <w:t xml:space="preserve">Testing that security is not reduced</w:t>
      </w:r>
      <w:r>
        <w:t xml:space="preserve"> </w:t>
      </w:r>
      <w:r>
        <w:t xml:space="preserve">— functional + security regression</w:t>
      </w:r>
    </w:p>
    <w:p>
      <w:pPr>
        <w:pStyle w:val="Compact"/>
        <w:numPr>
          <w:ilvl w:val="0"/>
          <w:numId w:val="1243"/>
        </w:numPr>
      </w:pPr>
      <w:r>
        <w:rPr>
          <w:b/>
          <w:bCs/>
        </w:rPr>
        <w:t xml:space="preserve">Rollback procedure</w:t>
      </w:r>
      <w:r>
        <w:t xml:space="preserve"> </w:t>
      </w:r>
      <w:r>
        <w:t xml:space="preserve">— pre-written and tested (see §8)</w:t>
      </w:r>
    </w:p>
    <w:p>
      <w:r>
        <w:pict>
          <v:rect style="width:0;height:1.5pt" o:hralign="center" o:hrstd="t" o:hr="t"/>
        </w:pict>
      </w:r>
    </w:p>
    <w:bookmarkEnd w:id="583"/>
    <w:bookmarkStart w:id="584" w:name="approval-matrix"/>
    <w:p>
      <w:pPr>
        <w:pStyle w:val="Heading2"/>
      </w:pPr>
      <w:r>
        <w:t xml:space="preserve">5. Approval Matrix</w:t>
      </w:r>
    </w:p>
    <w:tbl>
      <w:tblPr>
        <w:tblStyle w:val="Table"/>
        <w:tblW w:type="pct" w:w="5000"/>
        <w:tblLayout w:type="fixed"/>
        <w:tblLook w:firstRow="1" w:lastRow="0" w:firstColumn="0" w:lastColumn="0" w:noHBand="0" w:noVBand="0" w:val="0020"/>
      </w:tblPr>
      <w:tblGrid>
        <w:gridCol w:w="1458"/>
        <w:gridCol w:w="1875"/>
        <w:gridCol w:w="1354"/>
        <w:gridCol w:w="1875"/>
        <w:gridCol w:w="1354"/>
      </w:tblGrid>
      <w:tr>
        <w:trPr>
          <w:tblHeader w:val="on"/>
        </w:trPr>
        <w:tc>
          <w:tcPr/>
          <w:p>
            <w:pPr>
              <w:pStyle w:val="Compact"/>
            </w:pPr>
            <w:r>
              <w:t xml:space="preserve">Change level</w:t>
            </w:r>
          </w:p>
        </w:tc>
        <w:tc>
          <w:tcPr/>
          <w:p>
            <w:pPr>
              <w:pStyle w:val="Compact"/>
            </w:pPr>
            <w:r>
              <w:t xml:space="preserve">Code peer review</w:t>
            </w:r>
          </w:p>
        </w:tc>
        <w:tc>
          <w:tcPr/>
          <w:p>
            <w:pPr>
              <w:pStyle w:val="Compact"/>
            </w:pPr>
            <w:r>
              <w:t xml:space="preserve">QA sign-off</w:t>
            </w:r>
          </w:p>
        </w:tc>
        <w:tc>
          <w:tcPr/>
          <w:p>
            <w:pPr>
              <w:pStyle w:val="Compact"/>
            </w:pPr>
            <w:r>
              <w:t xml:space="preserve">Release approval</w:t>
            </w:r>
          </w:p>
        </w:tc>
        <w:tc>
          <w:tcPr/>
          <w:p>
            <w:pPr>
              <w:pStyle w:val="Compact"/>
            </w:pPr>
            <w:r>
              <w:t xml:space="preserve"># approvers</w:t>
            </w:r>
          </w:p>
        </w:tc>
      </w:tr>
      <w:tr>
        <w:tc>
          <w:tcPr/>
          <w:p>
            <w:pPr>
              <w:pStyle w:val="Compact"/>
            </w:pPr>
            <w:r>
              <w:t xml:space="preserve">Standard</w:t>
            </w:r>
          </w:p>
        </w:tc>
        <w:tc>
          <w:tcPr/>
          <w:p>
            <w:pPr>
              <w:pStyle w:val="Compact"/>
            </w:pPr>
            <w:r>
              <w:t xml:space="preserve">1</w:t>
            </w:r>
          </w:p>
        </w:tc>
        <w:tc>
          <w:tcPr/>
          <w:p>
            <w:pPr>
              <w:pStyle w:val="Compact"/>
            </w:pPr>
            <w:r>
              <w:t xml:space="preserve">Automated (CI)</w:t>
            </w:r>
          </w:p>
        </w:tc>
        <w:tc>
          <w:tcPr/>
          <w:p>
            <w:pPr>
              <w:pStyle w:val="Compact"/>
            </w:pPr>
            <w:r>
              <w:t xml:space="preserve">Engineering Lead (pre-approved)</w:t>
            </w:r>
          </w:p>
        </w:tc>
        <w:tc>
          <w:tcPr/>
          <w:p>
            <w:pPr>
              <w:pStyle w:val="Compact"/>
            </w:pPr>
            <w:r>
              <w:t xml:space="preserve">1</w:t>
            </w:r>
          </w:p>
        </w:tc>
      </w:tr>
      <w:tr>
        <w:tc>
          <w:tcPr/>
          <w:p>
            <w:pPr>
              <w:pStyle w:val="Compact"/>
            </w:pPr>
            <w:r>
              <w:t xml:space="preserve">Normal Low/Medium</w:t>
            </w:r>
          </w:p>
        </w:tc>
        <w:tc>
          <w:tcPr/>
          <w:p>
            <w:pPr>
              <w:pStyle w:val="Compact"/>
            </w:pPr>
            <w:r>
              <w:t xml:space="preserve">≥1 (non-author)</w:t>
            </w:r>
          </w:p>
        </w:tc>
        <w:tc>
          <w:tcPr/>
          <w:p>
            <w:pPr>
              <w:pStyle w:val="Compact"/>
            </w:pPr>
            <w:r>
              <w:t xml:space="preserve">Required</w:t>
            </w:r>
          </w:p>
        </w:tc>
        <w:tc>
          <w:tcPr/>
          <w:p>
            <w:pPr>
              <w:pStyle w:val="Compact"/>
            </w:pPr>
            <w:r>
              <w:t xml:space="preserve">Engineering Lead + Release Manager</w:t>
            </w:r>
          </w:p>
        </w:tc>
        <w:tc>
          <w:tcPr/>
          <w:p>
            <w:pPr>
              <w:pStyle w:val="Compact"/>
            </w:pPr>
            <w:r>
              <w:t xml:space="preserve">2</w:t>
            </w:r>
          </w:p>
        </w:tc>
      </w:tr>
      <w:tr>
        <w:tc>
          <w:tcPr/>
          <w:p>
            <w:pPr>
              <w:pStyle w:val="Compact"/>
            </w:pPr>
            <w:r>
              <w:t xml:space="preserve">Significant / High (CDE)</w:t>
            </w:r>
          </w:p>
        </w:tc>
        <w:tc>
          <w:tcPr/>
          <w:p>
            <w:pPr>
              <w:pStyle w:val="Compact"/>
            </w:pPr>
            <w:r>
              <w:t xml:space="preserve">≥2 incl. security reviewer</w:t>
            </w:r>
          </w:p>
        </w:tc>
        <w:tc>
          <w:tcPr/>
          <w:p>
            <w:pPr>
              <w:pStyle w:val="Compact"/>
            </w:pPr>
            <w:r>
              <w:t xml:space="preserve">Required + pentest if triggered</w:t>
            </w:r>
          </w:p>
        </w:tc>
        <w:tc>
          <w:tcPr/>
          <w:p>
            <w:pPr>
              <w:pStyle w:val="Compact"/>
            </w:pPr>
            <w:r>
              <w:rPr>
                <w:b/>
                <w:bCs/>
              </w:rPr>
              <w:t xml:space="preserve">CAB</w:t>
            </w:r>
            <w:r>
              <w:t xml:space="preserve"> </w:t>
            </w:r>
            <w:r>
              <w:t xml:space="preserve">(Eng Lead + Release Mgr + CISO)</w:t>
            </w:r>
          </w:p>
        </w:tc>
        <w:tc>
          <w:tcPr/>
          <w:p>
            <w:pPr>
              <w:pStyle w:val="Compact"/>
            </w:pPr>
            <w:r>
              <w:t xml:space="preserve">≥3</w:t>
            </w:r>
          </w:p>
        </w:tc>
      </w:tr>
      <w:tr>
        <w:tc>
          <w:tcPr/>
          <w:p>
            <w:pPr>
              <w:pStyle w:val="Compact"/>
            </w:pPr>
            <w:r>
              <w:t xml:space="preserve">Emergency</w:t>
            </w:r>
          </w:p>
        </w:tc>
        <w:tc>
          <w:tcPr/>
          <w:p>
            <w:pPr>
              <w:pStyle w:val="Compact"/>
            </w:pPr>
            <w:r>
              <w:t xml:space="preserve">≥1 (pre or post)</w:t>
            </w:r>
          </w:p>
        </w:tc>
        <w:tc>
          <w:tcPr/>
          <w:p>
            <w:pPr>
              <w:pStyle w:val="Compact"/>
            </w:pPr>
            <w:r>
              <w:t xml:space="preserve">Smoke test</w:t>
            </w:r>
          </w:p>
        </w:tc>
        <w:tc>
          <w:tcPr/>
          <w:p>
            <w:pPr>
              <w:pStyle w:val="Compact"/>
            </w:pPr>
            <w:r>
              <w:t xml:space="preserve">Emergency approver, retro at next CAB</w:t>
            </w:r>
          </w:p>
        </w:tc>
        <w:tc>
          <w:tcPr/>
          <w:p>
            <w:pPr>
              <w:pStyle w:val="Compact"/>
            </w:pPr>
            <w:r>
              <w:t xml:space="preserve">1 (+ retro)</w:t>
            </w:r>
          </w:p>
        </w:tc>
      </w:tr>
    </w:tbl>
    <w:p>
      <w:pPr>
        <w:pStyle w:val="Compact"/>
        <w:numPr>
          <w:ilvl w:val="0"/>
          <w:numId w:val="1244"/>
        </w:numPr>
      </w:pPr>
      <w:r>
        <w:t xml:space="preserve">Every approval is logged in ticketing/Git (approver, timestamp, rationale);</w:t>
      </w:r>
      <w:r>
        <w:t xml:space="preserve"> </w:t>
      </w:r>
      <w:r>
        <w:rPr>
          <w:b/>
          <w:bCs/>
        </w:rPr>
        <w:t xml:space="preserve">self-approval is prohibited</w:t>
      </w:r>
      <w:r>
        <w:t xml:space="preserve">.</w:t>
      </w:r>
    </w:p>
    <w:p>
      <w:pPr>
        <w:pStyle w:val="Compact"/>
        <w:numPr>
          <w:ilvl w:val="0"/>
          <w:numId w:val="1244"/>
        </w:numPr>
      </w:pPr>
      <w:r>
        <w:t xml:space="preserve">Merging into a deployable branch requires</w:t>
      </w:r>
      <w:r>
        <w:t xml:space="preserve"> </w:t>
      </w:r>
      <w:r>
        <w:rPr>
          <w:b/>
          <w:bCs/>
        </w:rPr>
        <w:t xml:space="preserve">branch protection</w:t>
      </w:r>
      <w:r>
        <w:t xml:space="preserve">: CI green (build, test, SAST, SCA</w:t>
      </w:r>
      <w:r>
        <w:t xml:space="preserve"> </w:t>
      </w:r>
      <w:r>
        <w:rPr>
          <w:rStyle w:val="VerbatimChar"/>
        </w:rPr>
        <w:t xml:space="preserve">govulncheck</w:t>
      </w:r>
      <w:r>
        <w:t xml:space="preserve">),</w:t>
      </w:r>
      <w:r>
        <w:t xml:space="preserve"> </w:t>
      </w:r>
      <w:r>
        <w:t xml:space="preserve">required peer review, and no open high/critical findings.</w:t>
      </w:r>
    </w:p>
    <w:p>
      <w:r>
        <w:pict>
          <v:rect style="width:0;height:1.5pt" o:hralign="center" o:hrstd="t" o:hr="t"/>
        </w:pict>
      </w:r>
    </w:p>
    <w:bookmarkEnd w:id="584"/>
    <w:bookmarkStart w:id="585" w:name="X8b3bd8fbedd97e7f11e6c1f6fbf69e6ddb99889"/>
    <w:p>
      <w:pPr>
        <w:pStyle w:val="Heading2"/>
      </w:pPr>
      <w:r>
        <w:t xml:space="preserve">6. Segregation of dev / test / prod (PCI 6.5.3, 6.5.4)</w:t>
      </w:r>
    </w:p>
    <w:tbl>
      <w:tblPr>
        <w:tblStyle w:val="Table"/>
        <w:tblW w:type="pct" w:w="5000"/>
        <w:tblLayout w:type="fixed"/>
        <w:tblLook w:firstRow="1" w:lastRow="0" w:firstColumn="0" w:lastColumn="0" w:noHBand="0" w:noVBand="0" w:val="0020"/>
      </w:tblPr>
      <w:tblGrid>
        <w:gridCol w:w="1502"/>
        <w:gridCol w:w="1775"/>
        <w:gridCol w:w="2184"/>
        <w:gridCol w:w="2457"/>
      </w:tblGrid>
      <w:tr>
        <w:trPr>
          <w:tblHeader w:val="on"/>
        </w:trPr>
        <w:tc>
          <w:tcPr/>
          <w:p>
            <w:pPr>
              <w:pStyle w:val="Compact"/>
            </w:pPr>
            <w:r>
              <w:t xml:space="preserve">Dimension</w:t>
            </w:r>
          </w:p>
        </w:tc>
        <w:tc>
          <w:tcPr/>
          <w:p>
            <w:pPr>
              <w:pStyle w:val="Compact"/>
            </w:pPr>
            <w:r>
              <w:t xml:space="preserve">Development</w:t>
            </w:r>
          </w:p>
        </w:tc>
        <w:tc>
          <w:tcPr/>
          <w:p>
            <w:pPr>
              <w:pStyle w:val="Compact"/>
            </w:pPr>
            <w:r>
              <w:t xml:space="preserve">Staging / Test</w:t>
            </w:r>
          </w:p>
        </w:tc>
        <w:tc>
          <w:tcPr/>
          <w:p>
            <w:pPr>
              <w:pStyle w:val="Compact"/>
            </w:pPr>
            <w:r>
              <w:t xml:space="preserve">Production (CDE)</w:t>
            </w:r>
          </w:p>
        </w:tc>
      </w:tr>
      <w:tr>
        <w:tc>
          <w:tcPr/>
          <w:p>
            <w:pPr>
              <w:pStyle w:val="Compact"/>
            </w:pPr>
            <w:r>
              <w:rPr>
                <w:b/>
                <w:bCs/>
              </w:rPr>
              <w:t xml:space="preserve">Network</w:t>
            </w:r>
          </w:p>
        </w:tc>
        <w:tc>
          <w:tcPr/>
          <w:p>
            <w:pPr>
              <w:pStyle w:val="Compact"/>
            </w:pPr>
            <w:r>
              <w:t xml:space="preserve">Separate segment; no direct route to prod</w:t>
            </w:r>
          </w:p>
        </w:tc>
        <w:tc>
          <w:tcPr/>
          <w:p>
            <w:pPr>
              <w:pStyle w:val="Compact"/>
            </w:pPr>
            <w:r>
              <w:t xml:space="preserve">Separate segment</w:t>
            </w:r>
          </w:p>
        </w:tc>
        <w:tc>
          <w:tcPr/>
          <w:p>
            <w:pPr>
              <w:pStyle w:val="Compact"/>
            </w:pPr>
            <w:r>
              <w:t xml:space="preserve">CDE segment, WAF/IDS, firewall (Req 1)</w:t>
            </w:r>
          </w:p>
        </w:tc>
      </w:tr>
      <w:tr>
        <w:tc>
          <w:tcPr/>
          <w:p>
            <w:pPr>
              <w:pStyle w:val="Compact"/>
            </w:pPr>
            <w:r>
              <w:rPr>
                <w:b/>
                <w:bCs/>
              </w:rPr>
              <w:t xml:space="preserve">Data</w:t>
            </w:r>
          </w:p>
        </w:tc>
        <w:tc>
          <w:tcPr/>
          <w:p>
            <w:pPr>
              <w:pStyle w:val="Compact"/>
            </w:pPr>
            <w:r>
              <w:rPr>
                <w:b/>
                <w:bCs/>
              </w:rPr>
              <w:t xml:space="preserve">No real data/PAN</w:t>
            </w:r>
            <w:r>
              <w:t xml:space="preserve">; synthetic only</w:t>
            </w:r>
          </w:p>
        </w:tc>
        <w:tc>
          <w:tcPr/>
          <w:p>
            <w:pPr>
              <w:pStyle w:val="Compact"/>
            </w:pPr>
            <w:r>
              <w:t xml:space="preserve">Synthetic / masked only</w:t>
            </w:r>
          </w:p>
        </w:tc>
        <w:tc>
          <w:tcPr/>
          <w:p>
            <w:pPr>
              <w:pStyle w:val="Compact"/>
            </w:pPr>
            <w:r>
              <w:t xml:space="preserve">Real data, encrypted</w:t>
            </w:r>
          </w:p>
        </w:tc>
      </w:tr>
      <w:tr>
        <w:tc>
          <w:tcPr/>
          <w:p>
            <w:pPr>
              <w:pStyle w:val="Compact"/>
            </w:pPr>
            <w:r>
              <w:rPr>
                <w:b/>
                <w:bCs/>
              </w:rPr>
              <w:t xml:space="preserve">Access</w:t>
            </w:r>
          </w:p>
        </w:tc>
        <w:tc>
          <w:tcPr/>
          <w:p>
            <w:pPr>
              <w:pStyle w:val="Compact"/>
            </w:pPr>
            <w:r>
              <w:t xml:space="preserve">Developers</w:t>
            </w:r>
          </w:p>
        </w:tc>
        <w:tc>
          <w:tcPr/>
          <w:p>
            <w:pPr>
              <w:pStyle w:val="Compact"/>
            </w:pPr>
            <w:r>
              <w:t xml:space="preserve">QA + limited devs</w:t>
            </w:r>
          </w:p>
        </w:tc>
        <w:tc>
          <w:tcPr/>
          <w:p>
            <w:pPr>
              <w:pStyle w:val="Compact"/>
            </w:pPr>
            <w:r>
              <w:t xml:space="preserve">SRE only, via MFA + bastion, least privilege (Req 7-8)</w:t>
            </w:r>
          </w:p>
        </w:tc>
      </w:tr>
      <w:tr>
        <w:tc>
          <w:tcPr/>
          <w:p>
            <w:pPr>
              <w:pStyle w:val="Compact"/>
            </w:pPr>
            <w:r>
              <w:rPr>
                <w:b/>
                <w:bCs/>
              </w:rPr>
              <w:t xml:space="preserve">Deployer</w:t>
            </w:r>
          </w:p>
        </w:tc>
        <w:tc>
          <w:tcPr/>
          <w:p>
            <w:pPr>
              <w:pStyle w:val="Compact"/>
            </w:pPr>
            <w:r>
              <w:t xml:space="preserve">Developers</w:t>
            </w:r>
          </w:p>
        </w:tc>
        <w:tc>
          <w:tcPr/>
          <w:p>
            <w:pPr>
              <w:pStyle w:val="Compact"/>
            </w:pPr>
            <w:r>
              <w:t xml:space="preserve">Pipeline</w:t>
            </w:r>
          </w:p>
        </w:tc>
        <w:tc>
          <w:tcPr/>
          <w:p>
            <w:pPr>
              <w:pStyle w:val="Compact"/>
            </w:pPr>
            <w:r>
              <w:rPr>
                <w:b/>
                <w:bCs/>
              </w:rPr>
              <w:t xml:space="preserve">Pipeline + approver separate from author</w:t>
            </w:r>
          </w:p>
        </w:tc>
      </w:tr>
      <w:tr>
        <w:tc>
          <w:tcPr/>
          <w:p>
            <w:pPr>
              <w:pStyle w:val="Compact"/>
            </w:pPr>
            <w:r>
              <w:rPr>
                <w:b/>
                <w:bCs/>
              </w:rPr>
              <w:t xml:space="preserve">Secrets/Keys</w:t>
            </w:r>
          </w:p>
        </w:tc>
        <w:tc>
          <w:tcPr/>
          <w:p>
            <w:pPr>
              <w:pStyle w:val="Compact"/>
            </w:pPr>
            <w:r>
              <w:t xml:space="preserve">Test keys</w:t>
            </w:r>
          </w:p>
        </w:tc>
        <w:tc>
          <w:tcPr/>
          <w:p>
            <w:pPr>
              <w:pStyle w:val="Compact"/>
            </w:pPr>
            <w:r>
              <w:t xml:space="preserve">Test keys</w:t>
            </w:r>
          </w:p>
        </w:tc>
        <w:tc>
          <w:tcPr/>
          <w:p>
            <w:pPr>
              <w:pStyle w:val="Compact"/>
            </w:pPr>
            <w:r>
              <w:t xml:space="preserve">Real HSM/KMS, dual control (Req 3)</w:t>
            </w:r>
          </w:p>
        </w:tc>
      </w:tr>
    </w:tbl>
    <w:p>
      <w:pPr>
        <w:pStyle w:val="BodyText"/>
      </w:pPr>
      <w:r>
        <w:rPr>
          <w:b/>
          <w:bCs/>
        </w:rPr>
        <w:t xml:space="preserve">Mandatory (PCI 6.5.3 / 6.5.4):</w:t>
      </w:r>
    </w:p>
    <w:p>
      <w:pPr>
        <w:pStyle w:val="Compact"/>
        <w:numPr>
          <w:ilvl w:val="0"/>
          <w:numId w:val="1245"/>
        </w:numPr>
      </w:pPr>
      <w:r>
        <w:t xml:space="preserve">Clearly separate</w:t>
      </w:r>
      <w:r>
        <w:t xml:space="preserve"> </w:t>
      </w:r>
      <w:r>
        <w:rPr>
          <w:b/>
          <w:bCs/>
        </w:rPr>
        <w:t xml:space="preserve">roles</w:t>
      </w:r>
      <w:r>
        <w:t xml:space="preserve"> </w:t>
      </w:r>
      <w:r>
        <w:t xml:space="preserve">and</w:t>
      </w:r>
      <w:r>
        <w:t xml:space="preserve"> </w:t>
      </w:r>
      <w:r>
        <w:rPr>
          <w:b/>
          <w:bCs/>
        </w:rPr>
        <w:t xml:space="preserve">access</w:t>
      </w:r>
      <w:r>
        <w:t xml:space="preserve"> </w:t>
      </w:r>
      <w:r>
        <w:t xml:space="preserve">between dev/test and production.</w:t>
      </w:r>
    </w:p>
    <w:p>
      <w:pPr>
        <w:pStyle w:val="Compact"/>
        <w:numPr>
          <w:ilvl w:val="0"/>
          <w:numId w:val="1245"/>
        </w:numPr>
      </w:pPr>
      <w:r>
        <w:rPr>
          <w:b/>
          <w:bCs/>
        </w:rPr>
        <w:t xml:space="preserve">Never</w:t>
      </w:r>
      <w:r>
        <w:t xml:space="preserve"> </w:t>
      </w:r>
      <w:r>
        <w:t xml:space="preserve">use</w:t>
      </w:r>
      <w:r>
        <w:t xml:space="preserve"> </w:t>
      </w:r>
      <w:r>
        <w:rPr>
          <w:b/>
          <w:bCs/>
        </w:rPr>
        <w:t xml:space="preserve">live PANs / live cardholder data</w:t>
      </w:r>
      <w:r>
        <w:t xml:space="preserve"> </w:t>
      </w:r>
      <w:r>
        <w:t xml:space="preserve">in dev/test (per</w:t>
      </w:r>
      <w:r>
        <w:t xml:space="preserve"> </w:t>
      </w:r>
      <w:r>
        <w:rPr>
          <w:rStyle w:val="VerbatimChar"/>
        </w:rPr>
        <w:t xml:space="preserve">ARCHITECTURE.md</w:t>
      </w:r>
      <w:r>
        <w:t xml:space="preserve"> </w:t>
      </w:r>
      <w:r>
        <w:t xml:space="preserve">§6 and PCI 6.5.5) —</w:t>
      </w:r>
      <w:r>
        <w:t xml:space="preserve"> </w:t>
      </w:r>
      <w:r>
        <w:t xml:space="preserve">synthetic or token/masked data only.</w:t>
      </w:r>
    </w:p>
    <w:p>
      <w:pPr>
        <w:pStyle w:val="Compact"/>
        <w:numPr>
          <w:ilvl w:val="0"/>
          <w:numId w:val="1245"/>
        </w:numPr>
      </w:pPr>
      <w:r>
        <w:rPr>
          <w:b/>
          <w:bCs/>
        </w:rPr>
        <w:t xml:space="preserve">No</w:t>
      </w:r>
      <w:r>
        <w:t xml:space="preserve"> </w:t>
      </w:r>
      <w:r>
        <w:t xml:space="preserve">leftover test data, test accounts, or hardcoded credentials before production (PCI 6.5.6) — enforced by</w:t>
      </w:r>
      <w:r>
        <w:t xml:space="preserve"> </w:t>
      </w:r>
      <w:r>
        <w:t xml:space="preserve">SAST + secret scanning.</w:t>
      </w:r>
    </w:p>
    <w:p>
      <w:pPr>
        <w:pStyle w:val="Compact"/>
        <w:numPr>
          <w:ilvl w:val="0"/>
          <w:numId w:val="1245"/>
        </w:numPr>
      </w:pPr>
      <w:r>
        <w:t xml:space="preserve">Developers hold</w:t>
      </w:r>
      <w:r>
        <w:t xml:space="preserve"> </w:t>
      </w:r>
      <w:r>
        <w:rPr>
          <w:b/>
          <w:bCs/>
        </w:rPr>
        <w:t xml:space="preserve">no standing production access</w:t>
      </w:r>
      <w:r>
        <w:t xml:space="preserve">; access requires</w:t>
      </w:r>
      <w:r>
        <w:t xml:space="preserve"> </w:t>
      </w:r>
      <w:r>
        <w:rPr>
          <w:b/>
          <w:bCs/>
        </w:rPr>
        <w:t xml:space="preserve">break-glass</w:t>
      </w:r>
      <w:r>
        <w:t xml:space="preserve"> </w:t>
      </w:r>
      <w:r>
        <w:t xml:space="preserve">(§7) with MFA and</w:t>
      </w:r>
      <w:r>
        <w:t xml:space="preserve"> </w:t>
      </w:r>
      <w:r>
        <w:rPr>
          <w:rStyle w:val="VerbatimChar"/>
        </w:rPr>
        <w:t xml:space="preserve">audit_log</w:t>
      </w:r>
      <w:r>
        <w:t xml:space="preserve"> </w:t>
      </w:r>
      <w:r>
        <w:t xml:space="preserve">entry.</w:t>
      </w:r>
    </w:p>
    <w:p>
      <w:r>
        <w:pict>
          <v:rect style="width:0;height:1.5pt" o:hralign="center" o:hrstd="t" o:hr="t"/>
        </w:pict>
      </w:r>
    </w:p>
    <w:bookmarkEnd w:id="585"/>
    <w:bookmarkStart w:id="586" w:name="emergency-break-glass-change"/>
    <w:p>
      <w:pPr>
        <w:pStyle w:val="Heading2"/>
      </w:pPr>
      <w:r>
        <w:t xml:space="preserve">7. Emergency / Break-glass Change</w:t>
      </w:r>
    </w:p>
    <w:p>
      <w:pPr>
        <w:pStyle w:val="Compact"/>
        <w:numPr>
          <w:ilvl w:val="0"/>
          <w:numId w:val="1246"/>
        </w:numPr>
      </w:pPr>
      <w:r>
        <w:t xml:space="preserve">Raise an</w:t>
      </w:r>
      <w:r>
        <w:t xml:space="preserve"> </w:t>
      </w:r>
      <w:r>
        <w:rPr>
          <w:b/>
          <w:bCs/>
        </w:rPr>
        <w:t xml:space="preserve">Emergency CR</w:t>
      </w:r>
      <w:r>
        <w:t xml:space="preserve"> </w:t>
      </w:r>
      <w:r>
        <w:t xml:space="preserve">with rationale and impact level.</w:t>
      </w:r>
    </w:p>
    <w:p>
      <w:pPr>
        <w:pStyle w:val="Compact"/>
        <w:numPr>
          <w:ilvl w:val="0"/>
          <w:numId w:val="1246"/>
        </w:numPr>
      </w:pPr>
      <w:r>
        <w:t xml:space="preserve">The</w:t>
      </w:r>
      <w:r>
        <w:t xml:space="preserve"> </w:t>
      </w:r>
      <w:r>
        <w:rPr>
          <w:b/>
          <w:bCs/>
        </w:rPr>
        <w:t xml:space="preserve">Emergency approver</w:t>
      </w:r>
      <w:r>
        <w:t xml:space="preserve"> </w:t>
      </w:r>
      <w:r>
        <w:t xml:space="preserve">(CISO or delegate) approves verbally/chat, then records it in writing within</w:t>
      </w:r>
      <w:r>
        <w:t xml:space="preserve"> </w:t>
      </w:r>
      <w:r>
        <w:rPr>
          <w:b/>
          <w:bCs/>
        </w:rPr>
        <w:t xml:space="preserve">1 hour</w:t>
      </w:r>
      <w:r>
        <w:t xml:space="preserve">.</w:t>
      </w:r>
    </w:p>
    <w:p>
      <w:pPr>
        <w:pStyle w:val="Compact"/>
        <w:numPr>
          <w:ilvl w:val="0"/>
          <w:numId w:val="1246"/>
        </w:numPr>
      </w:pPr>
      <w:r>
        <w:t xml:space="preserve">Execute with a</w:t>
      </w:r>
      <w:r>
        <w:t xml:space="preserve"> </w:t>
      </w:r>
      <w:r>
        <w:rPr>
          <w:b/>
          <w:bCs/>
        </w:rPr>
        <w:t xml:space="preserve">doer + observer (two people)</w:t>
      </w:r>
      <w:r>
        <w:t xml:space="preserve">, logging every step to</w:t>
      </w:r>
      <w:r>
        <w:t xml:space="preserve"> </w:t>
      </w:r>
      <w:r>
        <w:rPr>
          <w:rStyle w:val="VerbatimChar"/>
        </w:rPr>
        <w:t xml:space="preserve">audit_log</w:t>
      </w:r>
      <w:r>
        <w:t xml:space="preserve">.</w:t>
      </w:r>
    </w:p>
    <w:p>
      <w:pPr>
        <w:pStyle w:val="Compact"/>
        <w:numPr>
          <w:ilvl w:val="0"/>
          <w:numId w:val="1246"/>
        </w:numPr>
      </w:pPr>
      <w:r>
        <w:t xml:space="preserve">Once stable, run a</w:t>
      </w:r>
      <w:r>
        <w:t xml:space="preserve"> </w:t>
      </w:r>
      <w:r>
        <w:rPr>
          <w:b/>
          <w:bCs/>
        </w:rPr>
        <w:t xml:space="preserve">post-implementation review</w:t>
      </w:r>
      <w:r>
        <w:t xml:space="preserve"> </w:t>
      </w:r>
      <w:r>
        <w:t xml:space="preserve">and bring it to the</w:t>
      </w:r>
      <w:r>
        <w:t xml:space="preserve"> </w:t>
      </w:r>
      <w:r>
        <w:rPr>
          <w:b/>
          <w:bCs/>
        </w:rPr>
        <w:t xml:space="preserve">next CAB within 5 business days</w:t>
      </w:r>
      <w:r>
        <w:t xml:space="preserve"> </w:t>
      </w:r>
      <w:r>
        <w:t xml:space="preserve">to ratify.</w:t>
      </w:r>
    </w:p>
    <w:p>
      <w:pPr>
        <w:pStyle w:val="Compact"/>
        <w:numPr>
          <w:ilvl w:val="0"/>
          <w:numId w:val="1246"/>
        </w:numPr>
      </w:pPr>
      <w:r>
        <w:t xml:space="preserve">Any break-glass credential is</w:t>
      </w:r>
      <w:r>
        <w:t xml:space="preserve"> </w:t>
      </w:r>
      <w:r>
        <w:rPr>
          <w:b/>
          <w:bCs/>
        </w:rPr>
        <w:t xml:space="preserve">rotated immediately</w:t>
      </w:r>
      <w:r>
        <w:t xml:space="preserve"> </w:t>
      </w:r>
      <w:r>
        <w:t xml:space="preserve">after use, and its usage logs are reviewed.</w:t>
      </w:r>
    </w:p>
    <w:p>
      <w:r>
        <w:pict>
          <v:rect style="width:0;height:1.5pt" o:hralign="center" o:hrstd="t" o:hr="t"/>
        </w:pict>
      </w:r>
    </w:p>
    <w:bookmarkEnd w:id="586"/>
    <w:bookmarkStart w:id="587" w:name="rollback-back-out"/>
    <w:p>
      <w:pPr>
        <w:pStyle w:val="Heading2"/>
      </w:pPr>
      <w:r>
        <w:t xml:space="preserve">8. Rollback / Back-out</w:t>
      </w:r>
    </w:p>
    <w:p>
      <w:pPr>
        <w:pStyle w:val="FirstParagraph"/>
      </w:pPr>
      <w:r>
        <w:rPr>
          <w:b/>
          <w:bCs/>
        </w:rPr>
        <w:t xml:space="preserve">Every production change must have a pre-written, testable rollback plan</w:t>
      </w:r>
      <w:r>
        <w:t xml:space="preserve"> </w:t>
      </w:r>
      <w:r>
        <w:t xml:space="preserve">before release approval.</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Mechanism</w:t>
            </w:r>
          </w:p>
        </w:tc>
        <w:tc>
          <w:tcPr/>
          <w:p>
            <w:pPr>
              <w:pStyle w:val="Compact"/>
            </w:pPr>
            <w:r>
              <w:t xml:space="preserve">Method</w:t>
            </w:r>
          </w:p>
        </w:tc>
      </w:tr>
      <w:tr>
        <w:tc>
          <w:tcPr/>
          <w:p>
            <w:pPr>
              <w:pStyle w:val="Compact"/>
            </w:pPr>
            <w:r>
              <w:rPr>
                <w:b/>
                <w:bCs/>
              </w:rPr>
              <w:t xml:space="preserve">Application</w:t>
            </w:r>
          </w:p>
        </w:tc>
        <w:tc>
          <w:tcPr/>
          <w:p>
            <w:pPr>
              <w:pStyle w:val="Compact"/>
            </w:pPr>
            <w:r>
              <w:t xml:space="preserve">Immutable image deploys (distroless per</w:t>
            </w:r>
            <w:r>
              <w:t xml:space="preserve"> </w:t>
            </w:r>
            <w:r>
              <w:rPr>
                <w:rStyle w:val="VerbatimChar"/>
              </w:rPr>
              <w:t xml:space="preserve">ARCHITECTURE.md</w:t>
            </w:r>
            <w:r>
              <w:t xml:space="preserve">); rollback = redeploy prior image (blue-green / canary)</w:t>
            </w:r>
          </w:p>
        </w:tc>
      </w:tr>
      <w:tr>
        <w:tc>
          <w:tcPr/>
          <w:p>
            <w:pPr>
              <w:pStyle w:val="Compact"/>
            </w:pPr>
            <w:r>
              <w:rPr>
                <w:b/>
                <w:bCs/>
              </w:rPr>
              <w:t xml:space="preserve">Database schema</w:t>
            </w:r>
          </w:p>
        </w:tc>
        <w:tc>
          <w:tcPr/>
          <w:p>
            <w:pPr>
              <w:pStyle w:val="Compact"/>
            </w:pPr>
            <w:r>
              <w:rPr>
                <w:b/>
                <w:bCs/>
              </w:rPr>
              <w:t xml:space="preserve">Backward-compatible / expand-contract</w:t>
            </w:r>
            <w:r>
              <w:t xml:space="preserve"> </w:t>
            </w:r>
            <w:r>
              <w:t xml:space="preserve">migrations; every</w:t>
            </w:r>
            <w:r>
              <w:t xml:space="preserve"> </w:t>
            </w:r>
            <w:r>
              <w:rPr>
                <w:rStyle w:val="VerbatimChar"/>
              </w:rPr>
              <w:t xml:space="preserve">up</w:t>
            </w:r>
            <w:r>
              <w:t xml:space="preserve"> </w:t>
            </w:r>
            <w:r>
              <w:t xml:space="preserve">has a</w:t>
            </w:r>
            <w:r>
              <w:t xml:space="preserve"> </w:t>
            </w:r>
            <w:r>
              <w:rPr>
                <w:rStyle w:val="VerbatimChar"/>
              </w:rPr>
              <w:t xml:space="preserve">down</w:t>
            </w:r>
            <w:r>
              <w:t xml:space="preserve"> </w:t>
            </w:r>
            <w:r>
              <w:t xml:space="preserve">tested in staging; avoid single-step destructive migrations</w:t>
            </w:r>
          </w:p>
        </w:tc>
      </w:tr>
      <w:tr>
        <w:tc>
          <w:tcPr/>
          <w:p>
            <w:pPr>
              <w:pStyle w:val="Compact"/>
            </w:pPr>
            <w:r>
              <w:rPr>
                <w:b/>
                <w:bCs/>
              </w:rPr>
              <w:t xml:space="preserve">Config / feature flag</w:t>
            </w:r>
          </w:p>
        </w:tc>
        <w:tc>
          <w:tcPr/>
          <w:p>
            <w:pPr>
              <w:pStyle w:val="Compact"/>
            </w:pPr>
            <w:r>
              <w:t xml:space="preserve">Toggle via flags that disable instantly without redeploy</w:t>
            </w:r>
          </w:p>
        </w:tc>
      </w:tr>
      <w:tr>
        <w:tc>
          <w:tcPr/>
          <w:p>
            <w:pPr>
              <w:pStyle w:val="Compact"/>
            </w:pPr>
            <w:r>
              <w:rPr>
                <w:b/>
                <w:bCs/>
              </w:rPr>
              <w:t xml:space="preserve">Ledger (append-only)</w:t>
            </w:r>
          </w:p>
        </w:tc>
        <w:tc>
          <w:tcPr/>
          <w:p>
            <w:pPr>
              <w:pStyle w:val="Compact"/>
            </w:pPr>
            <w:r>
              <w:rPr>
                <w:b/>
                <w:bCs/>
              </w:rPr>
              <w:t xml:space="preserve">Never delete/edit retroactively</w:t>
            </w:r>
            <w:r>
              <w:t xml:space="preserve"> </w:t>
            </w:r>
            <w:r>
              <w:t xml:space="preserve">— correct via compensating entries only (fail-closed per architecture)</w:t>
            </w:r>
          </w:p>
        </w:tc>
      </w:tr>
    </w:tbl>
    <w:p>
      <w:pPr>
        <w:pStyle w:val="BodyText"/>
      </w:pPr>
      <w:r>
        <w:rPr>
          <w:b/>
          <w:bCs/>
        </w:rPr>
        <w:t xml:space="preserve">Rollback triggers:</w:t>
      </w:r>
    </w:p>
    <w:p>
      <w:pPr>
        <w:pStyle w:val="Compact"/>
        <w:numPr>
          <w:ilvl w:val="0"/>
          <w:numId w:val="1247"/>
        </w:numPr>
      </w:pPr>
      <w:r>
        <w:t xml:space="preserve">Post-deploy smoke/health check fails within</w:t>
      </w:r>
      <w:r>
        <w:t xml:space="preserve"> </w:t>
      </w:r>
      <w:r>
        <w:rPr>
          <w:b/>
          <w:bCs/>
        </w:rPr>
        <w:t xml:space="preserve">15 minutes</w:t>
      </w:r>
    </w:p>
    <w:p>
      <w:pPr>
        <w:pStyle w:val="Compact"/>
        <w:numPr>
          <w:ilvl w:val="0"/>
          <w:numId w:val="1247"/>
        </w:numPr>
      </w:pPr>
      <w:r>
        <w:t xml:space="preserve">Error rate exceeds threshold, or authorization success rate drops abnormally</w:t>
      </w:r>
    </w:p>
    <w:p>
      <w:pPr>
        <w:pStyle w:val="Compact"/>
        <w:numPr>
          <w:ilvl w:val="0"/>
          <w:numId w:val="1247"/>
        </w:numPr>
      </w:pPr>
      <w:r>
        <w:t xml:space="preserve">Any security/cardholder-data impact detected → immediate rollback and incident opened</w:t>
      </w:r>
    </w:p>
    <w:p>
      <w:pPr>
        <w:pStyle w:val="FirstParagraph"/>
      </w:pPr>
      <w:r>
        <w:t xml:space="preserve">The Release Manager or on-call SRE may trigger rollback immediately; it is logged in the CR and reported to the CAB.</w:t>
      </w:r>
    </w:p>
    <w:p>
      <w:r>
        <w:pict>
          <v:rect style="width:0;height:1.5pt" o:hralign="center" o:hrstd="t" o:hr="t"/>
        </w:pict>
      </w:r>
    </w:p>
    <w:bookmarkEnd w:id="587"/>
    <w:bookmarkStart w:id="588" w:name="Xc2b42e79d8aa3a89808115fa65e79420fb462db"/>
    <w:p>
      <w:pPr>
        <w:pStyle w:val="Heading2"/>
      </w:pPr>
      <w:r>
        <w:t xml:space="preserve">9. Vulnerability &amp; Patch Management (PCI 6.2, 6.3)</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Severity</w:t>
            </w:r>
          </w:p>
        </w:tc>
        <w:tc>
          <w:tcPr/>
          <w:p>
            <w:pPr>
              <w:pStyle w:val="Compact"/>
            </w:pPr>
            <w:r>
              <w:t xml:space="preserve">Max patch time</w:t>
            </w:r>
          </w:p>
        </w:tc>
      </w:tr>
      <w:tr>
        <w:tc>
          <w:tcPr/>
          <w:p>
            <w:pPr>
              <w:pStyle w:val="Compact"/>
            </w:pPr>
            <w:r>
              <w:t xml:space="preserve">Critical / High (CVSS ≥ 7.0 or CDE-affecting)</w:t>
            </w:r>
          </w:p>
        </w:tc>
        <w:tc>
          <w:tcPr/>
          <w:p>
            <w:pPr>
              <w:pStyle w:val="Compact"/>
            </w:pPr>
            <w:r>
              <w:rPr>
                <w:b/>
                <w:bCs/>
              </w:rPr>
              <w:t xml:space="preserve">Within 30 days</w:t>
            </w:r>
            <w:r>
              <w:t xml:space="preserve"> </w:t>
            </w:r>
            <w:r>
              <w:t xml:space="preserve">(faster if actively exploited)</w:t>
            </w:r>
          </w:p>
        </w:tc>
      </w:tr>
      <w:tr>
        <w:tc>
          <w:tcPr/>
          <w:p>
            <w:pPr>
              <w:pStyle w:val="Compact"/>
            </w:pPr>
            <w:r>
              <w:t xml:space="preserve">Medium</w:t>
            </w:r>
          </w:p>
        </w:tc>
        <w:tc>
          <w:tcPr/>
          <w:p>
            <w:pPr>
              <w:pStyle w:val="Compact"/>
            </w:pPr>
            <w:r>
              <w:t xml:space="preserve">Within 90 days</w:t>
            </w:r>
          </w:p>
        </w:tc>
      </w:tr>
      <w:tr>
        <w:tc>
          <w:tcPr/>
          <w:p>
            <w:pPr>
              <w:pStyle w:val="Compact"/>
            </w:pPr>
            <w:r>
              <w:t xml:space="preserve">Low</w:t>
            </w:r>
          </w:p>
        </w:tc>
        <w:tc>
          <w:tcPr/>
          <w:p>
            <w:pPr>
              <w:pStyle w:val="Compact"/>
            </w:pPr>
            <w:r>
              <w:t xml:space="preserve">Next regular maintenance cycle</w:t>
            </w:r>
          </w:p>
        </w:tc>
      </w:tr>
    </w:tbl>
    <w:p>
      <w:pPr>
        <w:pStyle w:val="Compact"/>
        <w:numPr>
          <w:ilvl w:val="0"/>
          <w:numId w:val="1248"/>
        </w:numPr>
      </w:pPr>
      <w:r>
        <w:t xml:space="preserve">Scan dependencies on every build with</w:t>
      </w:r>
      <w:r>
        <w:t xml:space="preserve"> </w:t>
      </w:r>
      <w:r>
        <w:rPr>
          <w:rStyle w:val="VerbatimChar"/>
        </w:rPr>
        <w:t xml:space="preserve">govulncheck</w:t>
      </w:r>
      <w:r>
        <w:t xml:space="preserve"> </w:t>
      </w:r>
      <w:r>
        <w:t xml:space="preserve">+ SCA; SAST/DAST in CI (per</w:t>
      </w:r>
      <w:r>
        <w:t xml:space="preserve"> </w:t>
      </w:r>
      <w:r>
        <w:rPr>
          <w:rStyle w:val="VerbatimChar"/>
        </w:rPr>
        <w:t xml:space="preserve">ARCHITECTURE.md</w:t>
      </w:r>
      <w:r>
        <w:t xml:space="preserve"> </w:t>
      </w:r>
      <w:r>
        <w:t xml:space="preserve">§7).</w:t>
      </w:r>
    </w:p>
    <w:p>
      <w:pPr>
        <w:pStyle w:val="Compact"/>
        <w:numPr>
          <w:ilvl w:val="0"/>
          <w:numId w:val="1248"/>
        </w:numPr>
      </w:pPr>
      <w:r>
        <w:rPr>
          <w:b/>
          <w:bCs/>
        </w:rPr>
        <w:t xml:space="preserve">Quarterly ASV scan</w:t>
      </w:r>
      <w:r>
        <w:t xml:space="preserve"> </w:t>
      </w:r>
      <w:r>
        <w:t xml:space="preserve">and</w:t>
      </w:r>
      <w:r>
        <w:t xml:space="preserve"> </w:t>
      </w:r>
      <w:r>
        <w:rPr>
          <w:b/>
          <w:bCs/>
        </w:rPr>
        <w:t xml:space="preserve">annual penetration test</w:t>
      </w:r>
      <w:r>
        <w:t xml:space="preserve"> </w:t>
      </w:r>
      <w:r>
        <w:t xml:space="preserve">per</w:t>
      </w:r>
      <w:r>
        <w:t xml:space="preserve"> </w:t>
      </w:r>
      <w:r>
        <w:rPr>
          <w:rStyle w:val="VerbatimChar"/>
        </w:rPr>
        <w:t xml:space="preserve">COMPLIANCE-TH.md</w:t>
      </w:r>
      <w:r>
        <w:t xml:space="preserve"> </w:t>
      </w:r>
      <w:r>
        <w:t xml:space="preserve">§6.</w:t>
      </w:r>
    </w:p>
    <w:p>
      <w:pPr>
        <w:pStyle w:val="Compact"/>
        <w:numPr>
          <w:ilvl w:val="0"/>
          <w:numId w:val="1248"/>
        </w:numPr>
      </w:pPr>
      <w:r>
        <w:t xml:space="preserve">Changes touching</w:t>
      </w:r>
      <w:r>
        <w:t xml:space="preserve"> </w:t>
      </w:r>
      <w:r>
        <w:rPr>
          <w:b/>
          <w:bCs/>
        </w:rPr>
        <w:t xml:space="preserve">payment page scripts</w:t>
      </w:r>
      <w:r>
        <w:t xml:space="preserve"> </w:t>
      </w:r>
      <w:r>
        <w:t xml:space="preserve">pass inventory + authorization per PCI 6.4.3.</w:t>
      </w:r>
    </w:p>
    <w:p>
      <w:r>
        <w:pict>
          <v:rect style="width:0;height:1.5pt" o:hralign="center" o:hrstd="t" o:hr="t"/>
        </w:pict>
      </w:r>
    </w:p>
    <w:bookmarkEnd w:id="588"/>
    <w:bookmarkStart w:id="589" w:name="records-audit"/>
    <w:p>
      <w:pPr>
        <w:pStyle w:val="Heading2"/>
      </w:pPr>
      <w:r>
        <w:t xml:space="preserve">10. Records &amp; Audit</w:t>
      </w:r>
    </w:p>
    <w:p>
      <w:pPr>
        <w:pStyle w:val="Compact"/>
        <w:numPr>
          <w:ilvl w:val="0"/>
          <w:numId w:val="1249"/>
        </w:numPr>
      </w:pPr>
      <w:r>
        <w:rPr>
          <w:b/>
          <w:bCs/>
        </w:rPr>
        <w:t xml:space="preserve">Every CR</w:t>
      </w:r>
      <w:r>
        <w:t xml:space="preserve"> </w:t>
      </w:r>
      <w:r>
        <w:t xml:space="preserve">retains: requester, approver(s), test evidence, rollback plan, outcome — kept</w:t>
      </w:r>
      <w:r>
        <w:t xml:space="preserve"> </w:t>
      </w:r>
      <w:r>
        <w:rPr>
          <w:b/>
          <w:bCs/>
        </w:rPr>
        <w:t xml:space="preserve">≥ 12 months</w:t>
      </w:r>
      <w:r>
        <w:t xml:space="preserve"> </w:t>
      </w:r>
      <w:r>
        <w:t xml:space="preserve">(aligned with PCI Req 10 and the retention schedule in document 11).</w:t>
      </w:r>
    </w:p>
    <w:p>
      <w:pPr>
        <w:pStyle w:val="Compact"/>
        <w:numPr>
          <w:ilvl w:val="0"/>
          <w:numId w:val="1249"/>
        </w:numPr>
      </w:pPr>
      <w:r>
        <w:t xml:space="preserve">Every prod change is traceable: CR ↔ Git commit/PR ↔ pipeline run ↔ approver.</w:t>
      </w:r>
    </w:p>
    <w:p>
      <w:pPr>
        <w:pStyle w:val="Compact"/>
        <w:numPr>
          <w:ilvl w:val="0"/>
          <w:numId w:val="1249"/>
        </w:numPr>
      </w:pPr>
      <w:r>
        <w:t xml:space="preserve">Internal Audit samples quarterly to confirm no prod change lacks a CR/approval (an unauthorized change is a major finding).</w:t>
      </w:r>
    </w:p>
    <w:p>
      <w:r>
        <w:pict>
          <v:rect style="width:0;height:1.5pt" o:hralign="center" o:hrstd="t" o:hr="t"/>
        </w:pict>
      </w:r>
    </w:p>
    <w:bookmarkEnd w:id="589"/>
    <w:bookmarkStart w:id="590" w:name="assumptions-todo-3"/>
    <w:p>
      <w:pPr>
        <w:pStyle w:val="Heading2"/>
      </w:pPr>
      <w:r>
        <w:t xml:space="preserve">11. Assumptions &amp; TODO</w:t>
      </w:r>
    </w:p>
    <w:p>
      <w:pPr>
        <w:pStyle w:val="BlockText"/>
      </w:pPr>
      <w:r>
        <w:rPr>
          <w:b/>
          <w:bCs/>
        </w:rPr>
        <w:t xml:space="preserve">⚠️ Confirm before submission — unresolved external dependencies (do not invent as fact):</w:t>
      </w:r>
    </w:p>
    <w:p>
      <w:pPr>
        <w:pStyle w:val="Compact"/>
        <w:numPr>
          <w:ilvl w:val="0"/>
          <w:numId w:val="1250"/>
        </w:numPr>
      </w:pPr>
      <w:r>
        <w:rPr>
          <w:b/>
          <w:bCs/>
        </w:rPr>
        <w:t xml:space="preserve">[TODO — Sponsor bank / Acquirer]</w:t>
      </w:r>
      <w:r>
        <w:t xml:space="preserve"> </w:t>
      </w:r>
      <w:r>
        <w:t xml:space="preserve">Counterparty not finalized; the scheme (Visa/Mastercard) and acquirer</w:t>
      </w:r>
      <w:r>
        <w:t xml:space="preserve"> </w:t>
      </w:r>
      <w:r>
        <w:t xml:space="preserve">change/certification windows will add release constraints for authorization/settlement-affecting changes — to be merged once signed.</w:t>
      </w:r>
    </w:p>
    <w:p>
      <w:pPr>
        <w:pStyle w:val="Compact"/>
        <w:numPr>
          <w:ilvl w:val="0"/>
          <w:numId w:val="1250"/>
        </w:numPr>
      </w:pPr>
      <w:r>
        <w:rPr>
          <w:b/>
          <w:bCs/>
        </w:rPr>
        <w:t xml:space="preserve">[TODO — QSA vendor]</w:t>
      </w:r>
      <w:r>
        <w:t xml:space="preserve"> </w:t>
      </w:r>
      <w:r>
        <w:t xml:space="preserve">Assessor not yet engaged; the QSA must review this procedure against PCI-DSS v4.0 Req 6 before the RoC.</w:t>
      </w:r>
    </w:p>
    <w:p>
      <w:pPr>
        <w:pStyle w:val="Compact"/>
        <w:numPr>
          <w:ilvl w:val="0"/>
          <w:numId w:val="1250"/>
        </w:numPr>
      </w:pPr>
      <w:r>
        <w:rPr>
          <w:b/>
          <w:bCs/>
        </w:rPr>
        <w:t xml:space="preserve">[TODO — Actual paid-up capital]</w:t>
      </w:r>
      <w:r>
        <w:t xml:space="preserve"> </w:t>
      </w:r>
      <w:r>
        <w:t xml:space="preserve">This document references the THB 50M Acquiring threshold; the actual paid-up</w:t>
      </w:r>
      <w:r>
        <w:t xml:space="preserve"> </w:t>
      </w:r>
      <w:r>
        <w:t xml:space="preserve">amount must be evidenced via DBD registration / financial statements (see document 02).</w:t>
      </w:r>
    </w:p>
    <w:p>
      <w:pPr>
        <w:pStyle w:val="Compact"/>
        <w:numPr>
          <w:ilvl w:val="0"/>
          <w:numId w:val="1250"/>
        </w:numPr>
      </w:pPr>
      <w:r>
        <w:rPr>
          <w:b/>
          <w:bCs/>
        </w:rPr>
        <w:t xml:space="preserve">[TODO — Actual CI/CD &amp; ticketing tooling]</w:t>
      </w:r>
      <w:r>
        <w:t xml:space="preserve"> </w:t>
      </w:r>
      <w:r>
        <w:t xml:space="preserve">Product names (Git host, pipeline, ticketing) to be filled in once procured.</w:t>
      </w:r>
    </w:p>
    <w:p>
      <w:r>
        <w:br w:type="page"/>
      </w:r>
    </w:p>
    <w:bookmarkEnd w:id="590"/>
    <w:bookmarkEnd w:id="591"/>
    <w:bookmarkStart w:id="608" w:name="เมทรกซการแบงแยกหนาท-sod-ไทย"/>
    <w:p>
      <w:pPr>
        <w:pStyle w:val="Heading1"/>
      </w:pPr>
      <w:r>
        <w:t xml:space="preserve">เมทริกซ์การแบ่งแยกหน้าที่ (SoD)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(Acquiring Service)</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ทุนจดทะเบียนชำระแล้ว</w:t>
      </w:r>
      <w:r>
        <w:t xml:space="preserve"> </w:t>
      </w:r>
      <w:r>
        <w:rPr>
          <w:b/>
          <w:bCs/>
        </w:rPr>
        <w:t xml:space="preserve">50 ล้านบาท</w:t>
      </w:r>
      <w:r>
        <w:t xml:space="preserve"> </w:t>
      </w:r>
      <w:r>
        <w:t xml:space="preserve">ควบคู่กับมาตรฐาน</w:t>
      </w:r>
      <w:r>
        <w:t xml:space="preserve"> </w:t>
      </w:r>
      <w:r>
        <w:rPr>
          <w:b/>
          <w:bCs/>
        </w:rPr>
        <w:t xml:space="preserve">PCI-DSS v4.0 Level 1</w:t>
      </w:r>
    </w:p>
    <w:p>
      <w:pPr>
        <w:pStyle w:val="BlockText"/>
      </w:pPr>
      <w:r>
        <w:t xml:space="preserve">รหัสเอกสาร:</w:t>
      </w:r>
      <w:r>
        <w:t xml:space="preserve"> </w:t>
      </w:r>
      <w:r>
        <w:rPr>
          <w:rStyle w:val="VerbatimChar"/>
        </w:rPr>
        <w:t xml:space="preserve">COMP-18</w:t>
      </w:r>
      <w:r>
        <w:t xml:space="preserve"> </w:t>
      </w:r>
      <w:r>
        <w:t xml:space="preserve">· เวอร์ชัน 0.1 · เจ้าของเอกสาร: Chief Information Security Officer (CISO) ร่วมกับ Chief Compliance Officer (CCO)</w:t>
      </w:r>
      <w:r>
        <w:t xml:space="preserve"> </w:t>
      </w:r>
      <w:r>
        <w:t xml:space="preserve">เอกสารที่เกี่ยวข้อง:</w:t>
      </w:r>
      <w:r>
        <w:t xml:space="preserve"> </w:t>
      </w:r>
      <w:r>
        <w:rPr>
          <w:rStyle w:val="VerbatimChar"/>
        </w:rPr>
        <w:t xml:space="preserve">04-org-chart-governance.md</w:t>
      </w:r>
      <w:r>
        <w:t xml:space="preserve">,</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pPr>
        <w:pStyle w:val="BlockText"/>
      </w:pPr>
      <w:r>
        <w:rPr>
          <w:b/>
          <w:bCs/>
        </w:rPr>
        <w:t xml:space="preserve">ข้อจำกัดความรับผิด:</w:t>
      </w:r>
      <w:r>
        <w:t xml:space="preserve"> </w:t>
      </w:r>
      <w:r>
        <w:t xml:space="preserve">เอกสารนี้เป็นข้อมูลอ้างอิงเชิงโครงสร้าง ไม่ใช่คำแนะนำทางกฎหมาย</w:t>
      </w:r>
      <w:r>
        <w:t xml:space="preserve"> </w:t>
      </w:r>
      <w:r>
        <w:t xml:space="preserve">ต้องผ่านการทบทวนโดยที่ปรึกษากฎหมายด้านใบอนุญาต ธปท. และ QSA ก่อนยื่นจริง</w:t>
      </w:r>
    </w:p>
    <w:p>
      <w:r>
        <w:pict>
          <v:rect style="width:0;height:1.5pt" o:hralign="center" o:hrstd="t" o:hr="t"/>
        </w:pict>
      </w:r>
    </w:p>
    <w:p>
      <w:pPr>
        <w:pStyle w:val="BlockText"/>
      </w:pPr>
      <w:r>
        <w:t xml:space="preserve">[!IMPORTANT]</w:t>
      </w:r>
      <w:r>
        <w:t xml:space="preserve"> </w:t>
      </w:r>
      <w:r>
        <w:rPr>
          <w:b/>
          <w:bCs/>
        </w:rPr>
        <w:t xml:space="preserve">สมมติฐานและรายการที่ยังไม่สรุป (Assumptions / TODO)</w:t>
      </w:r>
      <w:r>
        <w:t xml:space="preserve"> </w:t>
      </w:r>
      <w:r>
        <w:t xml:space="preserve">— ต้องเติมค่าจริงก่อนยื่น ธปท.</w:t>
      </w:r>
    </w:p>
    <w:tbl>
      <w:tblPr>
        <w:tblStyle w:val="Table"/>
        <w:tblW w:type="pct" w:w="5000"/>
        <w:tblLayout w:type="fixed"/>
        <w:tblLook w:firstRow="1" w:lastRow="0" w:firstColumn="0" w:lastColumn="0" w:noHBand="0" w:noVBand="0" w:val="0020"/>
      </w:tblPr>
      <w:tblGrid>
        <w:gridCol w:w="766"/>
        <w:gridCol w:w="2043"/>
        <w:gridCol w:w="1788"/>
        <w:gridCol w:w="3321"/>
      </w:tblGrid>
      <w:tr>
        <w:trPr>
          <w:tblHeader w:val="on"/>
        </w:trPr>
        <w:tc>
          <w:tcPr/>
          <w:p>
            <w:pPr>
              <w:pStyle w:val="Compact"/>
            </w:pPr>
            <w:r>
              <w:t xml:space="preserve">#</w:t>
            </w:r>
          </w:p>
        </w:tc>
        <w:tc>
          <w:tcPr/>
          <w:p>
            <w:pPr>
              <w:pStyle w:val="Compact"/>
            </w:pPr>
            <w:r>
              <w:t xml:space="preserve">รายการ</w:t>
            </w:r>
          </w:p>
        </w:tc>
        <w:tc>
          <w:tcPr/>
          <w:p>
            <w:pPr>
              <w:pStyle w:val="Compact"/>
            </w:pPr>
            <w:r>
              <w:t xml:space="preserve">สถานะ</w:t>
            </w:r>
          </w:p>
        </w:tc>
        <w:tc>
          <w:tcPr/>
          <w:p>
            <w:pPr>
              <w:pStyle w:val="Compact"/>
            </w:pPr>
            <w:r>
              <w:t xml:space="preserve">ผู้รับผิดชอบ</w:t>
            </w:r>
          </w:p>
        </w:tc>
      </w:tr>
      <w:tr>
        <w:tc>
          <w:tcPr/>
          <w:p>
            <w:pPr>
              <w:pStyle w:val="Compact"/>
            </w:pPr>
            <w:r>
              <w:t xml:space="preserve">A1</w:t>
            </w:r>
          </w:p>
        </w:tc>
        <w:tc>
          <w:tcPr/>
          <w:p>
            <w:pPr>
              <w:pStyle w:val="Compact"/>
            </w:pPr>
            <w:r>
              <w:rPr>
                <w:b/>
                <w:bCs/>
              </w:rPr>
              <w:t xml:space="preserve">ชื่อบริษัทจริง</w:t>
            </w:r>
            <w:r>
              <w:t xml:space="preserve"> </w:t>
            </w:r>
            <w:r>
              <w:t xml:space="preserve">— ใช้ placeholder</w:t>
            </w:r>
            <w:r>
              <w:t xml:space="preserve"> </w:t>
            </w:r>
            <w:r>
              <w:rPr>
                <w:rStyle w:val="VerbatimChar"/>
              </w:rPr>
              <w:t xml:space="preserve">[บริษัท / Company]</w:t>
            </w:r>
            <w:r>
              <w:t xml:space="preserve"> </w:t>
            </w:r>
            <w:r>
              <w:t xml:space="preserve">ทั้งเอกสาร</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bank / Acquiring bank</w:t>
            </w:r>
            <w:r>
              <w:t xml:space="preserve"> </w:t>
            </w:r>
            <w:r>
              <w:t xml:space="preserve">— ยังไม่ลงนาม จึงยังไม่ระบุ role สำหรับ settlement instruction ปลายทาง (เส้นทาง B ตาม ROADMAP)</w:t>
            </w:r>
          </w:p>
        </w:tc>
        <w:tc>
          <w:tcPr/>
          <w:p>
            <w:pPr>
              <w:pStyle w:val="Compact"/>
            </w:pPr>
            <w:r>
              <w:t xml:space="preserve">ยังไม่สรุป</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QSA vendor (PCI-DSS v4.0 L1)</w:t>
            </w:r>
            <w:r>
              <w:t xml:space="preserve"> </w:t>
            </w:r>
            <w:r>
              <w:t xml:space="preserve">— ยังไม่คัดเลือก จึงยังไม่กำหนดผู้ทบทวน SoD matrix ภายนอก</w:t>
            </w:r>
          </w:p>
        </w:tc>
        <w:tc>
          <w:tcPr/>
          <w:p>
            <w:pPr>
              <w:pStyle w:val="Compact"/>
            </w:pPr>
            <w:r>
              <w:t xml:space="preserve">ยังไม่สรุป</w:t>
            </w:r>
          </w:p>
        </w:tc>
        <w:tc>
          <w:tcPr/>
          <w:p>
            <w:pPr>
              <w:pStyle w:val="Compact"/>
            </w:pPr>
            <w:r>
              <w:t xml:space="preserve">CISO</w:t>
            </w:r>
          </w:p>
        </w:tc>
      </w:tr>
      <w:tr>
        <w:tc>
          <w:tcPr/>
          <w:p>
            <w:pPr>
              <w:pStyle w:val="Compact"/>
            </w:pPr>
            <w:r>
              <w:t xml:space="preserve">A4</w:t>
            </w:r>
          </w:p>
        </w:tc>
        <w:tc>
          <w:tcPr/>
          <w:p>
            <w:pPr>
              <w:pStyle w:val="Compact"/>
            </w:pPr>
            <w:r>
              <w:rPr>
                <w:b/>
                <w:bCs/>
              </w:rPr>
              <w:t xml:space="preserve">IAM/IdP และ PAM tooling จริง</w:t>
            </w:r>
            <w:r>
              <w:t xml:space="preserve"> </w:t>
            </w:r>
            <w:r>
              <w:t xml:space="preserve">(เช่น IdP + privileged access management + secrets vault) — ยังไม่จัดซื้อ ชื่อผลิตภัณฑ์เป็น placeholder</w:t>
            </w:r>
          </w:p>
        </w:tc>
        <w:tc>
          <w:tcPr/>
          <w:p>
            <w:pPr>
              <w:pStyle w:val="Compact"/>
            </w:pPr>
            <w:r>
              <w:t xml:space="preserve">ยังไม่สรุป</w:t>
            </w:r>
          </w:p>
        </w:tc>
        <w:tc>
          <w:tcPr/>
          <w:p>
            <w:pPr>
              <w:pStyle w:val="Compact"/>
            </w:pPr>
            <w:r>
              <w:t xml:space="preserve">CISO / Head of Infrastructure</w:t>
            </w:r>
          </w:p>
        </w:tc>
      </w:tr>
      <w:tr>
        <w:tc>
          <w:tcPr/>
          <w:p>
            <w:pPr>
              <w:pStyle w:val="Compact"/>
            </w:pPr>
            <w:r>
              <w:t xml:space="preserve">A5</w:t>
            </w:r>
          </w:p>
        </w:tc>
        <w:tc>
          <w:tcPr/>
          <w:p>
            <w:pPr>
              <w:pStyle w:val="Compact"/>
            </w:pPr>
            <w:r>
              <w:rPr>
                <w:b/>
                <w:bCs/>
              </w:rPr>
              <w:t xml:space="preserve">ระบบ HSM/KMS จริง</w:t>
            </w:r>
            <w:r>
              <w:t xml:space="preserve"> </w:t>
            </w:r>
            <w:r>
              <w:t xml:space="preserve">สำหรับ dual control / split knowledge ของ key ceremony</w:t>
            </w:r>
          </w:p>
        </w:tc>
        <w:tc>
          <w:tcPr/>
          <w:p>
            <w:pPr>
              <w:pStyle w:val="Compact"/>
            </w:pPr>
            <w:r>
              <w:t xml:space="preserve">ยังไม่สรุป</w:t>
            </w:r>
          </w:p>
        </w:tc>
        <w:tc>
          <w:tcPr/>
          <w:p>
            <w:pPr>
              <w:pStyle w:val="Compact"/>
            </w:pPr>
            <w:r>
              <w:t xml:space="preserve">CISO</w:t>
            </w:r>
          </w:p>
        </w:tc>
      </w:tr>
      <w:tr>
        <w:tc>
          <w:tcPr/>
          <w:p>
            <w:pPr>
              <w:pStyle w:val="Compact"/>
            </w:pPr>
            <w:r>
              <w:t xml:space="preserve">A6</w:t>
            </w:r>
          </w:p>
        </w:tc>
        <w:tc>
          <w:tcPr/>
          <w:p>
            <w:pPr>
              <w:pStyle w:val="Compact"/>
            </w:pPr>
            <w:r>
              <w:rPr>
                <w:b/>
                <w:bCs/>
              </w:rPr>
              <w:t xml:space="preserve">จำนวน headcount จริง ณ วันยื่น</w:t>
            </w:r>
            <w:r>
              <w:t xml:space="preserve"> </w:t>
            </w:r>
            <w:r>
              <w:t xml:space="preserve">— matrix นี้ตั้งบนสมมติฐานทีมขั้นต่ำตาม ROADMAP ข้อ 3; หากทีมเล็กเกินจนควบรวมบทบาทที่ขัดกัน ต้องประกาศ</w:t>
            </w:r>
            <w:r>
              <w:t xml:space="preserve"> </w:t>
            </w:r>
            <w:r>
              <w:rPr>
                <w:b/>
                <w:bCs/>
              </w:rPr>
              <w:t xml:space="preserve">compensating control</w:t>
            </w:r>
            <w:r>
              <w:t xml:space="preserve"> </w:t>
            </w:r>
            <w:r>
              <w:t xml:space="preserve">เป็นลายลักษณ์อักษร</w:t>
            </w:r>
          </w:p>
        </w:tc>
        <w:tc>
          <w:tcPr/>
          <w:p>
            <w:pPr>
              <w:pStyle w:val="Compact"/>
            </w:pPr>
            <w:r>
              <w:t xml:space="preserve">TODO</w:t>
            </w:r>
          </w:p>
        </w:tc>
        <w:tc>
          <w:tcPr/>
          <w:p>
            <w:pPr>
              <w:pStyle w:val="Compact"/>
            </w:pPr>
            <w:r>
              <w:t xml:space="preserve">CISO / CCO</w:t>
            </w:r>
          </w:p>
        </w:tc>
      </w:tr>
      <w:tr>
        <w:tc>
          <w:tcPr/>
          <w:p>
            <w:pPr>
              <w:pStyle w:val="Compact"/>
            </w:pPr>
            <w:r>
              <w:t xml:space="preserve">A7</w:t>
            </w:r>
          </w:p>
        </w:tc>
        <w:tc>
          <w:tcPr/>
          <w:p>
            <w:pPr>
              <w:pStyle w:val="Compact"/>
            </w:pPr>
            <w:r>
              <w:rPr>
                <w:b/>
                <w:bCs/>
              </w:rPr>
              <w:t xml:space="preserve">External independent audit firm</w:t>
            </w:r>
            <w:r>
              <w:t xml:space="preserve"> </w:t>
            </w:r>
            <w:r>
              <w:t xml:space="preserve">(co-source สำหรับตรวจ SoD ประจำปี)</w:t>
            </w:r>
          </w:p>
        </w:tc>
        <w:tc>
          <w:tcPr/>
          <w:p>
            <w:pPr>
              <w:pStyle w:val="Compact"/>
            </w:pPr>
            <w:r>
              <w:t xml:space="preserve">ยังไม่สรุป</w:t>
            </w:r>
          </w:p>
        </w:tc>
        <w:tc>
          <w:tcPr/>
          <w:p>
            <w:pPr>
              <w:pStyle w:val="Compact"/>
            </w:pPr>
            <w:r>
              <w:t xml:space="preserve">Audit Committee</w:t>
            </w:r>
          </w:p>
        </w:tc>
      </w:tr>
    </w:tbl>
    <w:p>
      <w:pPr>
        <w:pStyle w:val="BlockText"/>
      </w:pPr>
      <w:r>
        <w:t xml:space="preserve">ห้ามกรอกชื่อผลิตภัณฑ์/ชื่อบุคคลสมมติในช่องข้างต้นลงในเอกสารที่ยื่นจริง — ต้องเป็นข้อมูลที่ยืนยันได้เท่านั้น</w:t>
      </w:r>
    </w:p>
    <w:p>
      <w:r>
        <w:pict>
          <v:rect style="width:0;height:1.5pt" o:hralign="center" o:hrstd="t" o:hr="t"/>
        </w:pict>
      </w:r>
    </w:p>
    <w:bookmarkStart w:id="592" w:name="วตถประสงคและขอบเขต-purpose-scope-3"/>
    <w:p>
      <w:pPr>
        <w:pStyle w:val="Heading2"/>
      </w:pPr>
      <w:r>
        <w:t xml:space="preserve">1. วัตถุประสงค์และขอบเขต (Purpose &amp; Scope)</w:t>
      </w:r>
    </w:p>
    <w:p>
      <w:pPr>
        <w:pStyle w:val="FirstParagraph"/>
      </w:pPr>
      <w:r>
        <w:t xml:space="preserve">เอกสารนี้กำหนด</w:t>
      </w:r>
      <w:r>
        <w:t xml:space="preserve"> </w:t>
      </w:r>
      <w:r>
        <w:rPr>
          <w:b/>
          <w:bCs/>
        </w:rPr>
        <w:t xml:space="preserve">นโยบายการแบ่งแยกหน้าที่ (Segregation of Duties — SoD)</w:t>
      </w:r>
      <w:r>
        <w:t xml:space="preserve">,</w:t>
      </w:r>
      <w:r>
        <w:t xml:space="preserve"> </w:t>
      </w:r>
      <w:r>
        <w:rPr>
          <w:b/>
          <w:bCs/>
        </w:rPr>
        <w:t xml:space="preserve">การให้สิทธิ์ตามหลักสิทธิ์ขั้นต่ำ (Least Privilege)</w:t>
      </w:r>
      <w:r>
        <w:t xml:space="preserve"> </w:t>
      </w:r>
      <w:r>
        <w:t xml:space="preserve">และ</w:t>
      </w:r>
      <w:r>
        <w:t xml:space="preserve"> </w:t>
      </w:r>
      <w:r>
        <w:rPr>
          <w:b/>
          <w:bCs/>
        </w:rPr>
        <w:t xml:space="preserve">การควบคุมสองชั้น (Dual Control / Four-Eyes)</w:t>
      </w:r>
      <w:r>
        <w:t xml:space="preserve"> </w:t>
      </w:r>
      <w:r>
        <w:t xml:space="preserve">สำหรับการดำเนินงานสำคัญของ [บริษัท / Company] ในฐานะผู้ให้บริการ Full Acquiring Payment Gateway</w:t>
      </w:r>
    </w:p>
    <w:p>
      <w:pPr>
        <w:pStyle w:val="BodyText"/>
      </w:pPr>
      <w:r>
        <w:rPr>
          <w:b/>
          <w:bCs/>
        </w:rPr>
        <w:t xml:space="preserve">วัตถุประสงค์:</w:t>
      </w:r>
    </w:p>
    <w:p>
      <w:pPr>
        <w:pStyle w:val="Compact"/>
        <w:numPr>
          <w:ilvl w:val="0"/>
          <w:numId w:val="1251"/>
        </w:numPr>
      </w:pPr>
      <w:r>
        <w:t xml:space="preserve">ป้องกันไม่ให้บุคคลใดบุคคลหนึ่งควบคุมธุรกรรม/กระบวนการที่มีความเสี่ยงตั้งแต่ต้นจนจบ (end-to-end) โดยลำพัง ซึ่งอาจนำไปสู่การทุจริต การฟอกเงิน หรือความผิดพลาดที่ไม่ถูกตรวจพบ</w:t>
      </w:r>
    </w:p>
    <w:p>
      <w:pPr>
        <w:pStyle w:val="Compact"/>
        <w:numPr>
          <w:ilvl w:val="0"/>
          <w:numId w:val="1251"/>
        </w:numPr>
      </w:pPr>
      <w:r>
        <w:t xml:space="preserve">สอดคล้องกับหลักธรรมาภิบาลและ Three Lines of Defense ตามประกาศ ธปท. ว่าด้วยการกำกับดูแลความเสี่ยงด้านเทคโนโลยีสารสนเทศ (IT Risk) และ Cyber Resilience (อ้างอิง</w:t>
      </w:r>
      <w:r>
        <w:t xml:space="preserve"> </w:t>
      </w:r>
      <w:r>
        <w:rPr>
          <w:rStyle w:val="VerbatimChar"/>
        </w:rPr>
        <w:t xml:space="preserve">04-org-chart-governance.md</w:t>
      </w:r>
      <w:r>
        <w:t xml:space="preserve">)</w:t>
      </w:r>
    </w:p>
    <w:p>
      <w:pPr>
        <w:pStyle w:val="Compact"/>
        <w:numPr>
          <w:ilvl w:val="0"/>
          <w:numId w:val="1251"/>
        </w:numPr>
      </w:pPr>
      <w:r>
        <w:t xml:space="preserve">ปฏิบัติตาม</w:t>
      </w:r>
      <w:r>
        <w:t xml:space="preserve"> </w:t>
      </w:r>
      <w:r>
        <w:rPr>
          <w:b/>
          <w:bCs/>
        </w:rPr>
        <w:t xml:space="preserve">PCI-DSS v4.0</w:t>
      </w:r>
      <w:r>
        <w:t xml:space="preserve"> </w:t>
      </w:r>
      <w:r>
        <w:t xml:space="preserve">โดยเฉพาะ Requirement 7 (least privilege / need-to-know), Requirement 8 (identification &amp; authentication), Requirement 3 (dual control &amp; split knowledge สำหรับ cryptographic key), Requirement 10 (logging &amp; accountability)</w:t>
      </w:r>
    </w:p>
    <w:p>
      <w:pPr>
        <w:pStyle w:val="Compact"/>
        <w:numPr>
          <w:ilvl w:val="0"/>
          <w:numId w:val="1251"/>
        </w:numPr>
      </w:pPr>
      <w:r>
        <w:t xml:space="preserve">รองรับข้อกำหนดของ</w:t>
      </w:r>
      <w:r>
        <w:t xml:space="preserve"> </w:t>
      </w:r>
      <w:r>
        <w:rPr>
          <w:b/>
          <w:bCs/>
        </w:rPr>
        <w:t xml:space="preserve">ปปง./AMLO</w:t>
      </w:r>
      <w:r>
        <w:t xml:space="preserve"> </w:t>
      </w:r>
      <w:r>
        <w:t xml:space="preserve">(การแยกผู้ทำรายการออกจากผู้อนุมัติ SAR/STR และ sanction screening) และ</w:t>
      </w:r>
      <w:r>
        <w:t xml:space="preserve"> </w:t>
      </w:r>
      <w:r>
        <w:rPr>
          <w:b/>
          <w:bCs/>
        </w:rPr>
        <w:t xml:space="preserve">PDPC/PDPA</w:t>
      </w:r>
      <w:r>
        <w:t xml:space="preserve"> </w:t>
      </w:r>
      <w:r>
        <w:t xml:space="preserve">(least privilege ต่อข้อมูลส่วนบุคคล)</w:t>
      </w:r>
    </w:p>
    <w:p>
      <w:pPr>
        <w:pStyle w:val="FirstParagraph"/>
      </w:pPr>
      <w:r>
        <w:rPr>
          <w:b/>
          <w:bCs/>
        </w:rPr>
        <w:t xml:space="preserve">ขอบเขต:</w:t>
      </w:r>
      <w:r>
        <w:t xml:space="preserve"> </w:t>
      </w:r>
      <w:r>
        <w:t xml:space="preserve">ครอบคลุมทุกระบบใน production, PCI Cardholder Data Environment (CDE), tokenization vault, ledger/settlement, merchant onboarding, key management, และการเข้าถึงฐานข้อมูล/โครงสร้างพื้นฐาน สำหรับพนักงานประจำ, ผู้รับเหมา และ service account ทั้งหมด</w:t>
      </w:r>
    </w:p>
    <w:p>
      <w:r>
        <w:pict>
          <v:rect style="width:0;height:1.5pt" o:hralign="center" o:hrstd="t" o:hr="t"/>
        </w:pict>
      </w:r>
    </w:p>
    <w:bookmarkEnd w:id="592"/>
    <w:bookmarkStart w:id="593" w:name="นยามและหลกการ-definitions-principles"/>
    <w:p>
      <w:pPr>
        <w:pStyle w:val="Heading2"/>
      </w:pPr>
      <w:r>
        <w:t xml:space="preserve">2. นิยามและหลักการ (Definitions &amp; Principles)</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คำ</w:t>
            </w:r>
          </w:p>
        </w:tc>
        <w:tc>
          <w:tcPr/>
          <w:p>
            <w:pPr>
              <w:pStyle w:val="Compact"/>
            </w:pPr>
            <w:r>
              <w:t xml:space="preserve">นิยาม</w:t>
            </w:r>
          </w:p>
        </w:tc>
      </w:tr>
      <w:tr>
        <w:tc>
          <w:tcPr/>
          <w:p>
            <w:pPr>
              <w:pStyle w:val="Compact"/>
            </w:pPr>
            <w:r>
              <w:rPr>
                <w:b/>
                <w:bCs/>
              </w:rPr>
              <w:t xml:space="preserve">Segregation of Duties (SoD)</w:t>
            </w:r>
          </w:p>
        </w:tc>
        <w:tc>
          <w:tcPr/>
          <w:p>
            <w:pPr>
              <w:pStyle w:val="Compact"/>
            </w:pPr>
            <w:r>
              <w:t xml:space="preserve">การจัดสรรหน้าที่ให้ไม่มีบุคคลเดียวควบคุมทั้ง</w:t>
            </w:r>
            <w:r>
              <w:t xml:space="preserve"> </w:t>
            </w:r>
            <w:r>
              <w:t xml:space="preserve">“การริเริ่ม (initiate)”</w:t>
            </w:r>
            <w:r>
              <w:t xml:space="preserve">,</w:t>
            </w:r>
            <w:r>
              <w:t xml:space="preserve"> </w:t>
            </w:r>
            <w:r>
              <w:t xml:space="preserve">“การอนุมัติ (authorize)”</w:t>
            </w:r>
            <w:r>
              <w:t xml:space="preserve">,</w:t>
            </w:r>
            <w:r>
              <w:t xml:space="preserve"> </w:t>
            </w:r>
            <w:r>
              <w:t xml:space="preserve">“การบันทึก (record)”</w:t>
            </w:r>
            <w:r>
              <w:t xml:space="preserve"> </w:t>
            </w:r>
            <w:r>
              <w:t xml:space="preserve">และ</w:t>
            </w:r>
            <w:r>
              <w:t xml:space="preserve"> </w:t>
            </w:r>
            <w:r>
              <w:t xml:space="preserve">“การกระทบยอด (reconcile)”</w:t>
            </w:r>
            <w:r>
              <w:t xml:space="preserve"> </w:t>
            </w:r>
            <w:r>
              <w:t xml:space="preserve">ของธุรกรรมเดียวกัน</w:t>
            </w:r>
          </w:p>
        </w:tc>
      </w:tr>
      <w:tr>
        <w:tc>
          <w:tcPr/>
          <w:p>
            <w:pPr>
              <w:pStyle w:val="Compact"/>
            </w:pPr>
            <w:r>
              <w:rPr>
                <w:b/>
                <w:bCs/>
              </w:rPr>
              <w:t xml:space="preserve">Least Privilege</w:t>
            </w:r>
          </w:p>
        </w:tc>
        <w:tc>
          <w:tcPr/>
          <w:p>
            <w:pPr>
              <w:pStyle w:val="Compact"/>
            </w:pPr>
            <w:r>
              <w:t xml:space="preserve">ผู้ใช้/service account ได้รับสิทธิ์เพียงเท่าที่จำเป็นต่อหน้าที่ (need-to-know / need-to-use) เท่านั้น และในระยะเวลาที่จำเป็นเท่านั้น</w:t>
            </w:r>
          </w:p>
        </w:tc>
      </w:tr>
      <w:tr>
        <w:tc>
          <w:tcPr/>
          <w:p>
            <w:pPr>
              <w:pStyle w:val="Compact"/>
            </w:pPr>
            <w:r>
              <w:rPr>
                <w:b/>
                <w:bCs/>
              </w:rPr>
              <w:t xml:space="preserve">Dual Control (Four-Eyes)</w:t>
            </w:r>
          </w:p>
        </w:tc>
        <w:tc>
          <w:tcPr/>
          <w:p>
            <w:pPr>
              <w:pStyle w:val="Compact"/>
            </w:pPr>
            <w:r>
              <w:t xml:space="preserve">การกระทำสำคัญต้องมีบุคคล</w:t>
            </w:r>
            <w:r>
              <w:t xml:space="preserve"> </w:t>
            </w:r>
            <w:r>
              <w:rPr>
                <w:b/>
                <w:bCs/>
              </w:rPr>
              <w:t xml:space="preserve">2 คนที่แยกจากกัน</w:t>
            </w:r>
            <w:r>
              <w:t xml:space="preserve"> </w:t>
            </w:r>
            <w:r>
              <w:t xml:space="preserve">ร่วมกันทำให้สำเร็จ (maker–checker) โดยไม่มีใครทำครบทุกขั้นได้ลำพัง</w:t>
            </w:r>
          </w:p>
        </w:tc>
      </w:tr>
      <w:tr>
        <w:tc>
          <w:tcPr/>
          <w:p>
            <w:pPr>
              <w:pStyle w:val="Compact"/>
            </w:pPr>
            <w:r>
              <w:rPr>
                <w:b/>
                <w:bCs/>
              </w:rPr>
              <w:t xml:space="preserve">Split Knowledge</w:t>
            </w:r>
          </w:p>
        </w:tc>
        <w:tc>
          <w:tcPr/>
          <w:p>
            <w:pPr>
              <w:pStyle w:val="Compact"/>
            </w:pPr>
            <w:r>
              <w:t xml:space="preserve">ความลับ (เช่น cryptographic key component) ถูกแบ่งให้บุคคลต่างคน โดยไม่มีใครถือครบเพื่อ reconstruct key ได้คนเดียว (PCI Req 3.7)</w:t>
            </w:r>
          </w:p>
        </w:tc>
      </w:tr>
      <w:tr>
        <w:tc>
          <w:tcPr/>
          <w:p>
            <w:pPr>
              <w:pStyle w:val="Compact"/>
            </w:pPr>
            <w:r>
              <w:rPr>
                <w:b/>
                <w:bCs/>
              </w:rPr>
              <w:t xml:space="preserve">Maker–Checker</w:t>
            </w:r>
          </w:p>
        </w:tc>
        <w:tc>
          <w:tcPr/>
          <w:p>
            <w:pPr>
              <w:pStyle w:val="Compact"/>
            </w:pPr>
            <w:r>
              <w:t xml:space="preserve">ผู้ทำรายการ (maker) และผู้ตรวจสอบ/อนุมัติ (checker) ต้องเป็นคนละคนเสมอ</w:t>
            </w:r>
          </w:p>
        </w:tc>
      </w:tr>
      <w:tr>
        <w:tc>
          <w:tcPr/>
          <w:p>
            <w:pPr>
              <w:pStyle w:val="Compact"/>
            </w:pPr>
            <w:r>
              <w:rPr>
                <w:b/>
                <w:bCs/>
              </w:rPr>
              <w:t xml:space="preserve">JIT / Break-glass</w:t>
            </w:r>
          </w:p>
        </w:tc>
        <w:tc>
          <w:tcPr/>
          <w:p>
            <w:pPr>
              <w:pStyle w:val="Compact"/>
            </w:pPr>
            <w:r>
              <w:t xml:space="preserve">การให้สิทธิ์ระดับสูงแบบชั่วคราว (Just-In-Time) ที่หมดอายุอัตโนมัติ + บันทึกเหตุผลและอนุมัติล่วงหน้า</w:t>
            </w:r>
          </w:p>
        </w:tc>
      </w:tr>
      <w:tr>
        <w:tc>
          <w:tcPr/>
          <w:p>
            <w:pPr>
              <w:pStyle w:val="Compact"/>
            </w:pPr>
            <w:r>
              <w:rPr>
                <w:b/>
                <w:bCs/>
              </w:rPr>
              <w:t xml:space="preserve">Toxic Combination</w:t>
            </w:r>
          </w:p>
        </w:tc>
        <w:tc>
          <w:tcPr/>
          <w:p>
            <w:pPr>
              <w:pStyle w:val="Compact"/>
            </w:pPr>
            <w:r>
              <w:t xml:space="preserve">คู่สิทธิ์/หน้าที่ที่หากอยู่กับคนเดียวจะสร้างความเสี่ยงทุจริตร้ายแรง (ดูข้อ 5)</w:t>
            </w:r>
          </w:p>
        </w:tc>
      </w:tr>
    </w:tbl>
    <w:p>
      <w:pPr>
        <w:pStyle w:val="BodyText"/>
      </w:pPr>
      <w:r>
        <w:rPr>
          <w:b/>
          <w:bCs/>
        </w:rPr>
        <w:t xml:space="preserve">หลักการ 7 ข้อ:</w:t>
      </w:r>
    </w:p>
    <w:p>
      <w:pPr>
        <w:pStyle w:val="Compact"/>
        <w:numPr>
          <w:ilvl w:val="0"/>
          <w:numId w:val="1252"/>
        </w:numPr>
      </w:pPr>
      <w:r>
        <w:rPr>
          <w:b/>
          <w:bCs/>
        </w:rPr>
        <w:t xml:space="preserve">แยก 4 บทบาทหลักของธุรกรรม</w:t>
      </w:r>
      <w:r>
        <w:t xml:space="preserve"> </w:t>
      </w:r>
      <w:r>
        <w:t xml:space="preserve">— initiate / authorize / record / reconcile ต้องกระจายอย่างน้อย 2 บุคคล</w:t>
      </w:r>
    </w:p>
    <w:p>
      <w:pPr>
        <w:pStyle w:val="Compact"/>
        <w:numPr>
          <w:ilvl w:val="0"/>
          <w:numId w:val="1252"/>
        </w:numPr>
      </w:pPr>
      <w:r>
        <w:rPr>
          <w:b/>
          <w:bCs/>
        </w:rPr>
        <w:t xml:space="preserve">แยก Dev ออกจาก Prod</w:t>
      </w:r>
      <w:r>
        <w:t xml:space="preserve"> </w:t>
      </w:r>
      <w:r>
        <w:t xml:space="preserve">— นักพัฒนา (developer) ห้ามมีสิทธิ์ deploy หรือแก้ข้อมูลใน production โดยลำพัง (PCI Req 6.5.3, 7)</w:t>
      </w:r>
    </w:p>
    <w:p>
      <w:pPr>
        <w:pStyle w:val="Compact"/>
        <w:numPr>
          <w:ilvl w:val="0"/>
          <w:numId w:val="1252"/>
        </w:numPr>
      </w:pPr>
      <w:r>
        <w:rPr>
          <w:b/>
          <w:bCs/>
        </w:rPr>
        <w:t xml:space="preserve">แยกผู้ปฏิบัติออกจากผู้ตรวจสอบ</w:t>
      </w:r>
      <w:r>
        <w:t xml:space="preserve"> </w:t>
      </w:r>
      <w:r>
        <w:t xml:space="preserve">— 1st line (ปฏิบัติการ) แยกจาก 2nd line (risk/compliance/security) และ 3rd line (internal audit)</w:t>
      </w:r>
    </w:p>
    <w:p>
      <w:pPr>
        <w:pStyle w:val="Compact"/>
        <w:numPr>
          <w:ilvl w:val="0"/>
          <w:numId w:val="1252"/>
        </w:numPr>
      </w:pPr>
      <w:r>
        <w:rPr>
          <w:b/>
          <w:bCs/>
        </w:rPr>
        <w:t xml:space="preserve">Deny by default</w:t>
      </w:r>
      <w:r>
        <w:t xml:space="preserve"> </w:t>
      </w:r>
      <w:r>
        <w:t xml:space="preserve">— ไม่มีสิทธิ์ใดถูกให้โดยปริยาย ทุกสิทธิ์ต้องขอ–อนุมัติ–ทบทวน</w:t>
      </w:r>
    </w:p>
    <w:p>
      <w:pPr>
        <w:pStyle w:val="Compact"/>
        <w:numPr>
          <w:ilvl w:val="0"/>
          <w:numId w:val="1252"/>
        </w:numPr>
      </w:pPr>
      <w:r>
        <w:rPr>
          <w:b/>
          <w:bCs/>
        </w:rPr>
        <w:t xml:space="preserve">สิทธิ์มีอายุ</w:t>
      </w:r>
      <w:r>
        <w:t xml:space="preserve"> </w:t>
      </w:r>
      <w:r>
        <w:t xml:space="preserve">— สิทธิ์ระดับสูงเป็นแบบชั่วคราว/หมุนเวียน ไม่ใช่ถาวร</w:t>
      </w:r>
    </w:p>
    <w:p>
      <w:pPr>
        <w:pStyle w:val="Compact"/>
        <w:numPr>
          <w:ilvl w:val="0"/>
          <w:numId w:val="1252"/>
        </w:numPr>
      </w:pPr>
      <w:r>
        <w:rPr>
          <w:b/>
          <w:bCs/>
        </w:rPr>
        <w:t xml:space="preserve">ทุกการกระทำระบุตัวได้</w:t>
      </w:r>
      <w:r>
        <w:t xml:space="preserve"> </w:t>
      </w:r>
      <w:r>
        <w:t xml:space="preserve">— ห้ามใช้ shared/generic account; ทุก action มี identity ที่ตรวจสอบย้อนได้ (PCI Req 8.2, 10)</w:t>
      </w:r>
    </w:p>
    <w:p>
      <w:pPr>
        <w:pStyle w:val="Compact"/>
        <w:numPr>
          <w:ilvl w:val="0"/>
          <w:numId w:val="1252"/>
        </w:numPr>
      </w:pPr>
      <w:r>
        <w:rPr>
          <w:b/>
          <w:bCs/>
        </w:rPr>
        <w:t xml:space="preserve">Compensating control เมื่อแยกไม่ได้จริง</w:t>
      </w:r>
      <w:r>
        <w:t xml:space="preserve"> </w:t>
      </w:r>
      <w:r>
        <w:t xml:space="preserve">— หากทีมเล็กจนต้องควบบทบาท ต้องมีมาตรการชดเชยที่ได้รับอนุมัติจาก Risk Committee และทบทวนทุกไตรมาส</w:t>
      </w:r>
    </w:p>
    <w:p>
      <w:r>
        <w:pict>
          <v:rect style="width:0;height:1.5pt" o:hralign="center" o:hrstd="t" o:hr="t"/>
        </w:pict>
      </w:r>
    </w:p>
    <w:bookmarkEnd w:id="593"/>
    <w:bookmarkStart w:id="594" w:name="บทบาทและกลมสทธ-roles-rbac-groups"/>
    <w:p>
      <w:pPr>
        <w:pStyle w:val="Heading2"/>
      </w:pPr>
      <w:r>
        <w:t xml:space="preserve">3. บทบาทและกลุ่มสิทธิ์ (Roles / RBAC Groups)</w:t>
      </w:r>
    </w:p>
    <w:p>
      <w:pPr>
        <w:pStyle w:val="FirstParagraph"/>
      </w:pPr>
      <w:r>
        <w:t xml:space="preserve">การให้สิทธิ์ทั้งหมดยึด</w:t>
      </w:r>
      <w:r>
        <w:t xml:space="preserve"> </w:t>
      </w:r>
      <w:r>
        <w:rPr>
          <w:b/>
          <w:bCs/>
        </w:rPr>
        <w:t xml:space="preserve">Role-Based Access Control (RBAC)</w:t>
      </w:r>
      <w:r>
        <w:t xml:space="preserve"> </w:t>
      </w:r>
      <w:r>
        <w:t xml:space="preserve">ผ่าน IdP กลาง (A4) — ไม่มีการให้สิทธิ์รายบุคคลนอกโครงสร้าง role ยกเว้นผ่าน JIT ที่มีเวลาหมดอายุ</w:t>
      </w:r>
    </w:p>
    <w:tbl>
      <w:tblPr>
        <w:tblStyle w:val="Table"/>
        <w:tblW w:type="pct" w:w="5000"/>
        <w:tblLayout w:type="fixed"/>
        <w:tblLook w:firstRow="1" w:lastRow="0" w:firstColumn="0" w:lastColumn="0" w:noHBand="0" w:noVBand="0" w:val="0020"/>
      </w:tblPr>
      <w:tblGrid>
        <w:gridCol w:w="1675"/>
        <w:gridCol w:w="1523"/>
        <w:gridCol w:w="2589"/>
        <w:gridCol w:w="2132"/>
      </w:tblGrid>
      <w:tr>
        <w:trPr>
          <w:tblHeader w:val="on"/>
        </w:trPr>
        <w:tc>
          <w:tcPr/>
          <w:p>
            <w:pPr>
              <w:pStyle w:val="Compact"/>
            </w:pPr>
            <w:r>
              <w:t xml:space="preserve">รหัส Role</w:t>
            </w:r>
          </w:p>
        </w:tc>
        <w:tc>
          <w:tcPr/>
          <w:p>
            <w:pPr>
              <w:pStyle w:val="Compact"/>
            </w:pPr>
            <w:r>
              <w:t xml:space="preserve">ชื่อบทบาท</w:t>
            </w:r>
          </w:p>
        </w:tc>
        <w:tc>
          <w:tcPr/>
          <w:p>
            <w:pPr>
              <w:pStyle w:val="Compact"/>
            </w:pPr>
            <w:r>
              <w:t xml:space="preserve">Line of Defense</w:t>
            </w:r>
          </w:p>
        </w:tc>
        <w:tc>
          <w:tcPr/>
          <w:p>
            <w:pPr>
              <w:pStyle w:val="Compact"/>
            </w:pPr>
            <w:r>
              <w:t xml:space="preserve">สิทธิ์โดยสรุป</w:t>
            </w:r>
          </w:p>
        </w:tc>
      </w:tr>
      <w:tr>
        <w:tc>
          <w:tcPr/>
          <w:p>
            <w:pPr>
              <w:pStyle w:val="Compact"/>
            </w:pPr>
            <w:r>
              <w:t xml:space="preserve">R-ENG-DEV</w:t>
            </w:r>
          </w:p>
        </w:tc>
        <w:tc>
          <w:tcPr/>
          <w:p>
            <w:pPr>
              <w:pStyle w:val="Compact"/>
            </w:pPr>
            <w:r>
              <w:t xml:space="preserve">Software Engineer (Developer)</w:t>
            </w:r>
          </w:p>
        </w:tc>
        <w:tc>
          <w:tcPr/>
          <w:p>
            <w:pPr>
              <w:pStyle w:val="Compact"/>
            </w:pPr>
            <w:r>
              <w:t xml:space="preserve">1st</w:t>
            </w:r>
          </w:p>
        </w:tc>
        <w:tc>
          <w:tcPr/>
          <w:p>
            <w:pPr>
              <w:pStyle w:val="Compact"/>
            </w:pPr>
            <w:r>
              <w:t xml:space="preserve">เขียนโค้ด, เข้าถึง non-prod, อ่าน log ที่ปิดบังข้อมูล (masked);</w:t>
            </w:r>
            <w:r>
              <w:t xml:space="preserve"> </w:t>
            </w:r>
            <w:r>
              <w:rPr>
                <w:b/>
                <w:bCs/>
              </w:rPr>
              <w:t xml:space="preserve">ไม่มี</w:t>
            </w:r>
            <w:r>
              <w:t xml:space="preserve"> </w:t>
            </w:r>
            <w:r>
              <w:t xml:space="preserve">prod write</w:t>
            </w:r>
          </w:p>
        </w:tc>
      </w:tr>
      <w:tr>
        <w:tc>
          <w:tcPr/>
          <w:p>
            <w:pPr>
              <w:pStyle w:val="Compact"/>
            </w:pPr>
            <w:r>
              <w:t xml:space="preserve">R-SRE-OPS</w:t>
            </w:r>
          </w:p>
        </w:tc>
        <w:tc>
          <w:tcPr/>
          <w:p>
            <w:pPr>
              <w:pStyle w:val="Compact"/>
            </w:pPr>
            <w:r>
              <w:t xml:space="preserve">SRE / Platform Operator</w:t>
            </w:r>
          </w:p>
        </w:tc>
        <w:tc>
          <w:tcPr/>
          <w:p>
            <w:pPr>
              <w:pStyle w:val="Compact"/>
            </w:pPr>
            <w:r>
              <w:t xml:space="preserve">1st</w:t>
            </w:r>
          </w:p>
        </w:tc>
        <w:tc>
          <w:tcPr/>
          <w:p>
            <w:pPr>
              <w:pStyle w:val="Compact"/>
            </w:pPr>
            <w:r>
              <w:t xml:space="preserve">deploy ผ่าน pipeline, จัดการ infra prod (แบบ break-glass), ไม่มีสิทธิ์แก้ business data โดยตรง</w:t>
            </w:r>
          </w:p>
        </w:tc>
      </w:tr>
      <w:tr>
        <w:tc>
          <w:tcPr/>
          <w:p>
            <w:pPr>
              <w:pStyle w:val="Compact"/>
            </w:pPr>
            <w:r>
              <w:t xml:space="preserve">R-DBA</w:t>
            </w:r>
          </w:p>
        </w:tc>
        <w:tc>
          <w:tcPr/>
          <w:p>
            <w:pPr>
              <w:pStyle w:val="Compact"/>
            </w:pPr>
            <w:r>
              <w:t xml:space="preserve">Database Administrator</w:t>
            </w:r>
          </w:p>
        </w:tc>
        <w:tc>
          <w:tcPr/>
          <w:p>
            <w:pPr>
              <w:pStyle w:val="Compact"/>
            </w:pPr>
            <w:r>
              <w:t xml:space="preserve">1st</w:t>
            </w:r>
          </w:p>
        </w:tc>
        <w:tc>
          <w:tcPr/>
          <w:p>
            <w:pPr>
              <w:pStyle w:val="Compact"/>
            </w:pPr>
            <w:r>
              <w:t xml:space="preserve">จัดการ schema/สำรองข้อมูล; อ่าน/แก้ข้อมูล prod ต้องผ่าน JIT + dual approval</w:t>
            </w:r>
          </w:p>
        </w:tc>
      </w:tr>
      <w:tr>
        <w:tc>
          <w:tcPr/>
          <w:p>
            <w:pPr>
              <w:pStyle w:val="Compact"/>
            </w:pPr>
            <w:r>
              <w:t xml:space="preserve">R-PAY-OPS</w:t>
            </w:r>
          </w:p>
        </w:tc>
        <w:tc>
          <w:tcPr/>
          <w:p>
            <w:pPr>
              <w:pStyle w:val="Compact"/>
            </w:pPr>
            <w:r>
              <w:t xml:space="preserve">Payment Operations</w:t>
            </w:r>
          </w:p>
        </w:tc>
        <w:tc>
          <w:tcPr/>
          <w:p>
            <w:pPr>
              <w:pStyle w:val="Compact"/>
            </w:pPr>
            <w:r>
              <w:t xml:space="preserve">1st</w:t>
            </w:r>
          </w:p>
        </w:tc>
        <w:tc>
          <w:tcPr/>
          <w:p>
            <w:pPr>
              <w:pStyle w:val="Compact"/>
            </w:pPr>
            <w:r>
              <w:t xml:space="preserve">ดูธุรกรรม, ริเริ่ม refund/void ภายใต้ threshold, จัดการ dispute/chargeback</w:t>
            </w:r>
          </w:p>
        </w:tc>
      </w:tr>
      <w:tr>
        <w:tc>
          <w:tcPr/>
          <w:p>
            <w:pPr>
              <w:pStyle w:val="Compact"/>
            </w:pPr>
            <w:r>
              <w:t xml:space="preserve">R-SETTLE</w:t>
            </w:r>
          </w:p>
        </w:tc>
        <w:tc>
          <w:tcPr/>
          <w:p>
            <w:pPr>
              <w:pStyle w:val="Compact"/>
            </w:pPr>
            <w:r>
              <w:t xml:space="preserve">Settlement / Treasury Ops</w:t>
            </w:r>
          </w:p>
        </w:tc>
        <w:tc>
          <w:tcPr/>
          <w:p>
            <w:pPr>
              <w:pStyle w:val="Compact"/>
            </w:pPr>
            <w:r>
              <w:t xml:space="preserve">1st</w:t>
            </w:r>
          </w:p>
        </w:tc>
        <w:tc>
          <w:tcPr/>
          <w:p>
            <w:pPr>
              <w:pStyle w:val="Compact"/>
            </w:pPr>
            <w:r>
              <w:t xml:space="preserve">ริเริ่ม payout/settlement batch (maker);</w:t>
            </w:r>
            <w:r>
              <w:t xml:space="preserve"> </w:t>
            </w:r>
            <w:r>
              <w:rPr>
                <w:b/>
                <w:bCs/>
              </w:rPr>
              <w:t xml:space="preserve">ไม่มี</w:t>
            </w:r>
            <w:r>
              <w:t xml:space="preserve"> </w:t>
            </w:r>
            <w:r>
              <w:t xml:space="preserve">สิทธิ์อนุมัติ payout</w:t>
            </w:r>
          </w:p>
        </w:tc>
      </w:tr>
      <w:tr>
        <w:tc>
          <w:tcPr/>
          <w:p>
            <w:pPr>
              <w:pStyle w:val="Compact"/>
            </w:pPr>
            <w:r>
              <w:t xml:space="preserve">R-SETTLE-APV</w:t>
            </w:r>
          </w:p>
        </w:tc>
        <w:tc>
          <w:tcPr/>
          <w:p>
            <w:pPr>
              <w:pStyle w:val="Compact"/>
            </w:pPr>
            <w:r>
              <w:t xml:space="preserve">Settlement Approver</w:t>
            </w:r>
          </w:p>
        </w:tc>
        <w:tc>
          <w:tcPr/>
          <w:p>
            <w:pPr>
              <w:pStyle w:val="Compact"/>
            </w:pPr>
            <w:r>
              <w:t xml:space="preserve">1st (senior)</w:t>
            </w:r>
          </w:p>
        </w:tc>
        <w:tc>
          <w:tcPr/>
          <w:p>
            <w:pPr>
              <w:pStyle w:val="Compact"/>
            </w:pPr>
            <w:r>
              <w:t xml:space="preserve">อนุมัติ payout/settlement batch (checker);</w:t>
            </w:r>
            <w:r>
              <w:t xml:space="preserve"> </w:t>
            </w:r>
            <w:r>
              <w:rPr>
                <w:b/>
                <w:bCs/>
              </w:rPr>
              <w:t xml:space="preserve">ไม่มี</w:t>
            </w:r>
            <w:r>
              <w:t xml:space="preserve"> </w:t>
            </w:r>
            <w:r>
              <w:t xml:space="preserve">สิทธิ์ริเริ่ม</w:t>
            </w:r>
          </w:p>
        </w:tc>
      </w:tr>
      <w:tr>
        <w:tc>
          <w:tcPr/>
          <w:p>
            <w:pPr>
              <w:pStyle w:val="Compact"/>
            </w:pPr>
            <w:r>
              <w:t xml:space="preserve">R-MERCH-ONB</w:t>
            </w:r>
          </w:p>
        </w:tc>
        <w:tc>
          <w:tcPr/>
          <w:p>
            <w:pPr>
              <w:pStyle w:val="Compact"/>
            </w:pPr>
            <w:r>
              <w:t xml:space="preserve">Merchant Onboarding Officer</w:t>
            </w:r>
          </w:p>
        </w:tc>
        <w:tc>
          <w:tcPr/>
          <w:p>
            <w:pPr>
              <w:pStyle w:val="Compact"/>
            </w:pPr>
            <w:r>
              <w:t xml:space="preserve">1st</w:t>
            </w:r>
          </w:p>
        </w:tc>
        <w:tc>
          <w:tcPr/>
          <w:p>
            <w:pPr>
              <w:pStyle w:val="Compact"/>
            </w:pPr>
            <w:r>
              <w:t xml:space="preserve">สร้าง/แก้ merchant profile (maker), ทำ KYC/CDD; ไม่ activate เอง</w:t>
            </w:r>
          </w:p>
        </w:tc>
      </w:tr>
      <w:tr>
        <w:tc>
          <w:tcPr/>
          <w:p>
            <w:pPr>
              <w:pStyle w:val="Compact"/>
            </w:pPr>
            <w:r>
              <w:t xml:space="preserve">R-MERCH-APV</w:t>
            </w:r>
          </w:p>
        </w:tc>
        <w:tc>
          <w:tcPr/>
          <w:p>
            <w:pPr>
              <w:pStyle w:val="Compact"/>
            </w:pPr>
            <w:r>
              <w:t xml:space="preserve">Merchant Approver / MLRO delegate</w:t>
            </w:r>
          </w:p>
        </w:tc>
        <w:tc>
          <w:tcPr/>
          <w:p>
            <w:pPr>
              <w:pStyle w:val="Compact"/>
            </w:pPr>
            <w:r>
              <w:t xml:space="preserve">2nd</w:t>
            </w:r>
          </w:p>
        </w:tc>
        <w:tc>
          <w:tcPr/>
          <w:p>
            <w:pPr>
              <w:pStyle w:val="Compact"/>
            </w:pPr>
            <w:r>
              <w:t xml:space="preserve">อนุมัติ activate merchant, อนุมัติผล KYC/EDD (checker)</w:t>
            </w:r>
          </w:p>
        </w:tc>
      </w:tr>
      <w:tr>
        <w:tc>
          <w:tcPr/>
          <w:p>
            <w:pPr>
              <w:pStyle w:val="Compact"/>
            </w:pPr>
            <w:r>
              <w:t xml:space="preserve">R-RISK</w:t>
            </w:r>
          </w:p>
        </w:tc>
        <w:tc>
          <w:tcPr/>
          <w:p>
            <w:pPr>
              <w:pStyle w:val="Compact"/>
            </w:pPr>
            <w:r>
              <w:t xml:space="preserve">Risk / Fraud Analyst</w:t>
            </w:r>
          </w:p>
        </w:tc>
        <w:tc>
          <w:tcPr/>
          <w:p>
            <w:pPr>
              <w:pStyle w:val="Compact"/>
            </w:pPr>
            <w:r>
              <w:t xml:space="preserve">2nd</w:t>
            </w:r>
          </w:p>
        </w:tc>
        <w:tc>
          <w:tcPr/>
          <w:p>
            <w:pPr>
              <w:pStyle w:val="Compact"/>
            </w:pPr>
            <w:r>
              <w:t xml:space="preserve">ปรับ fraud rule (maker), review alert; deploy rule ต้องผ่าน checker</w:t>
            </w:r>
          </w:p>
        </w:tc>
      </w:tr>
      <w:tr>
        <w:tc>
          <w:tcPr/>
          <w:p>
            <w:pPr>
              <w:pStyle w:val="Compact"/>
            </w:pPr>
            <w:r>
              <w:t xml:space="preserve">R-COMPL</w:t>
            </w:r>
          </w:p>
        </w:tc>
        <w:tc>
          <w:tcPr/>
          <w:p>
            <w:pPr>
              <w:pStyle w:val="Compact"/>
            </w:pPr>
            <w:r>
              <w:t xml:space="preserve">Compliance / AML Officer</w:t>
            </w:r>
          </w:p>
        </w:tc>
        <w:tc>
          <w:tcPr/>
          <w:p>
            <w:pPr>
              <w:pStyle w:val="Compact"/>
            </w:pPr>
            <w:r>
              <w:t xml:space="preserve">2nd</w:t>
            </w:r>
          </w:p>
        </w:tc>
        <w:tc>
          <w:tcPr/>
          <w:p>
            <w:pPr>
              <w:pStyle w:val="Compact"/>
            </w:pPr>
            <w:r>
              <w:t xml:space="preserve">ทำ sanction screening review, ริเริ่ม SAR/STR (maker)</w:t>
            </w:r>
          </w:p>
        </w:tc>
      </w:tr>
      <w:tr>
        <w:tc>
          <w:tcPr/>
          <w:p>
            <w:pPr>
              <w:pStyle w:val="Compact"/>
            </w:pPr>
            <w:r>
              <w:t xml:space="preserve">R-MLRO</w:t>
            </w:r>
          </w:p>
        </w:tc>
        <w:tc>
          <w:tcPr/>
          <w:p>
            <w:pPr>
              <w:pStyle w:val="Compact"/>
            </w:pPr>
            <w:r>
              <w:t xml:space="preserve">MLRO (Money Laundering Reporting Officer)</w:t>
            </w:r>
          </w:p>
        </w:tc>
        <w:tc>
          <w:tcPr/>
          <w:p>
            <w:pPr>
              <w:pStyle w:val="Compact"/>
            </w:pPr>
            <w:r>
              <w:t xml:space="preserve">2nd</w:t>
            </w:r>
          </w:p>
        </w:tc>
        <w:tc>
          <w:tcPr/>
          <w:p>
            <w:pPr>
              <w:pStyle w:val="Compact"/>
            </w:pPr>
            <w:r>
              <w:t xml:space="preserve">อนุมัติและยื่น SAR/STR ต่อ ปปง. (checker); ดู</w:t>
            </w:r>
            <w:r>
              <w:t xml:space="preserve"> </w:t>
            </w:r>
            <w:r>
              <w:rPr>
                <w:rStyle w:val="VerbatimChar"/>
              </w:rPr>
              <w:t xml:space="preserve">07-sar-str-procedure.md</w:t>
            </w:r>
          </w:p>
        </w:tc>
      </w:tr>
      <w:tr>
        <w:tc>
          <w:tcPr/>
          <w:p>
            <w:pPr>
              <w:pStyle w:val="Compact"/>
            </w:pPr>
            <w:r>
              <w:t xml:space="preserve">R-DPO</w:t>
            </w:r>
          </w:p>
        </w:tc>
        <w:tc>
          <w:tcPr/>
          <w:p>
            <w:pPr>
              <w:pStyle w:val="Compact"/>
            </w:pPr>
            <w:r>
              <w:t xml:space="preserve">Data Protection Officer</w:t>
            </w:r>
          </w:p>
        </w:tc>
        <w:tc>
          <w:tcPr/>
          <w:p>
            <w:pPr>
              <w:pStyle w:val="Compact"/>
            </w:pPr>
            <w:r>
              <w:t xml:space="preserve">2nd</w:t>
            </w:r>
          </w:p>
        </w:tc>
        <w:tc>
          <w:tcPr/>
          <w:p>
            <w:pPr>
              <w:pStyle w:val="Compact"/>
            </w:pPr>
            <w:r>
              <w:t xml:space="preserve">อนุมัติคำขอใช้ข้อมูลส่วนบุคคลนอกขอบเขตปกติ (PDPA), review DSAR</w:t>
            </w:r>
          </w:p>
        </w:tc>
      </w:tr>
      <w:tr>
        <w:tc>
          <w:tcPr/>
          <w:p>
            <w:pPr>
              <w:pStyle w:val="Compact"/>
            </w:pPr>
            <w:r>
              <w:t xml:space="preserve">R-SEC</w:t>
            </w:r>
          </w:p>
        </w:tc>
        <w:tc>
          <w:tcPr/>
          <w:p>
            <w:pPr>
              <w:pStyle w:val="Compact"/>
            </w:pPr>
            <w:r>
              <w:t xml:space="preserve">Security Engineer / SecOps</w:t>
            </w:r>
          </w:p>
        </w:tc>
        <w:tc>
          <w:tcPr/>
          <w:p>
            <w:pPr>
              <w:pStyle w:val="Compact"/>
            </w:pPr>
            <w:r>
              <w:t xml:space="preserve">2nd</w:t>
            </w:r>
          </w:p>
        </w:tc>
        <w:tc>
          <w:tcPr/>
          <w:p>
            <w:pPr>
              <w:pStyle w:val="Compact"/>
            </w:pPr>
            <w:r>
              <w:t xml:space="preserve">จัดการ WAF/IDS/SIEM, review access;</w:t>
            </w:r>
            <w:r>
              <w:t xml:space="preserve"> </w:t>
            </w:r>
            <w:r>
              <w:rPr>
                <w:b/>
                <w:bCs/>
              </w:rPr>
              <w:t xml:space="preserve">ไม่มี</w:t>
            </w:r>
            <w:r>
              <w:t xml:space="preserve"> </w:t>
            </w:r>
            <w:r>
              <w:t xml:space="preserve">สิทธิ์อนุมัติ access ของตนเอง</w:t>
            </w:r>
          </w:p>
        </w:tc>
      </w:tr>
      <w:tr>
        <w:tc>
          <w:tcPr/>
          <w:p>
            <w:pPr>
              <w:pStyle w:val="Compact"/>
            </w:pPr>
            <w:r>
              <w:t xml:space="preserve">R-KEY-CUST-A</w:t>
            </w:r>
          </w:p>
        </w:tc>
        <w:tc>
          <w:tcPr/>
          <w:p>
            <w:pPr>
              <w:pStyle w:val="Compact"/>
            </w:pPr>
            <w:r>
              <w:t xml:space="preserve">Key Custodian A</w:t>
            </w:r>
          </w:p>
        </w:tc>
        <w:tc>
          <w:tcPr/>
          <w:p>
            <w:pPr>
              <w:pStyle w:val="Compact"/>
            </w:pPr>
            <w:r>
              <w:t xml:space="preserve">2nd</w:t>
            </w:r>
          </w:p>
        </w:tc>
        <w:tc>
          <w:tcPr/>
          <w:p>
            <w:pPr>
              <w:pStyle w:val="Compact"/>
            </w:pPr>
            <w:r>
              <w:t xml:space="preserve">ถือ key component A (split knowledge)</w:t>
            </w:r>
          </w:p>
        </w:tc>
      </w:tr>
      <w:tr>
        <w:tc>
          <w:tcPr/>
          <w:p>
            <w:pPr>
              <w:pStyle w:val="Compact"/>
            </w:pPr>
            <w:r>
              <w:t xml:space="preserve">R-KEY-CUST-B</w:t>
            </w:r>
          </w:p>
        </w:tc>
        <w:tc>
          <w:tcPr/>
          <w:p>
            <w:pPr>
              <w:pStyle w:val="Compact"/>
            </w:pPr>
            <w:r>
              <w:t xml:space="preserve">Key Custodian B</w:t>
            </w:r>
          </w:p>
        </w:tc>
        <w:tc>
          <w:tcPr/>
          <w:p>
            <w:pPr>
              <w:pStyle w:val="Compact"/>
            </w:pPr>
            <w:r>
              <w:t xml:space="preserve">2nd</w:t>
            </w:r>
          </w:p>
        </w:tc>
        <w:tc>
          <w:tcPr/>
          <w:p>
            <w:pPr>
              <w:pStyle w:val="Compact"/>
            </w:pPr>
            <w:r>
              <w:t xml:space="preserve">ถือ key component B (split knowledge) — คนละคนกับ A เสมอ</w:t>
            </w:r>
          </w:p>
        </w:tc>
      </w:tr>
      <w:tr>
        <w:tc>
          <w:tcPr/>
          <w:p>
            <w:pPr>
              <w:pStyle w:val="Compact"/>
            </w:pPr>
            <w:r>
              <w:t xml:space="preserve">R-IAM-ADMIN</w:t>
            </w:r>
          </w:p>
        </w:tc>
        <w:tc>
          <w:tcPr/>
          <w:p>
            <w:pPr>
              <w:pStyle w:val="Compact"/>
            </w:pPr>
            <w:r>
              <w:t xml:space="preserve">Identity &amp; Access Admin</w:t>
            </w:r>
          </w:p>
        </w:tc>
        <w:tc>
          <w:tcPr/>
          <w:p>
            <w:pPr>
              <w:pStyle w:val="Compact"/>
            </w:pPr>
            <w:r>
              <w:t xml:space="preserve">2nd</w:t>
            </w:r>
          </w:p>
        </w:tc>
        <w:tc>
          <w:tcPr/>
          <w:p>
            <w:pPr>
              <w:pStyle w:val="Compact"/>
            </w:pPr>
            <w:r>
              <w:t xml:space="preserve">สร้าง/ปิด account (maker); การให้ privileged role ต้องผ่าน checker</w:t>
            </w:r>
          </w:p>
        </w:tc>
      </w:tr>
      <w:tr>
        <w:tc>
          <w:tcPr/>
          <w:p>
            <w:pPr>
              <w:pStyle w:val="Compact"/>
            </w:pPr>
            <w:r>
              <w:t xml:space="preserve">R-AUDIT</w:t>
            </w:r>
          </w:p>
        </w:tc>
        <w:tc>
          <w:tcPr/>
          <w:p>
            <w:pPr>
              <w:pStyle w:val="Compact"/>
            </w:pPr>
            <w:r>
              <w:t xml:space="preserve">Internal Auditor</w:t>
            </w:r>
          </w:p>
        </w:tc>
        <w:tc>
          <w:tcPr/>
          <w:p>
            <w:pPr>
              <w:pStyle w:val="Compact"/>
            </w:pPr>
            <w:r>
              <w:t xml:space="preserve">3rd</w:t>
            </w:r>
          </w:p>
        </w:tc>
        <w:tc>
          <w:tcPr/>
          <w:p>
            <w:pPr>
              <w:pStyle w:val="Compact"/>
            </w:pPr>
            <w:r>
              <w:t xml:space="preserve">อ่านอย่างเดียว (read-only) ทุก log/หลักฐาน;</w:t>
            </w:r>
            <w:r>
              <w:t xml:space="preserve"> </w:t>
            </w:r>
            <w:r>
              <w:rPr>
                <w:b/>
                <w:bCs/>
              </w:rPr>
              <w:t xml:space="preserve">ไม่มี</w:t>
            </w:r>
            <w:r>
              <w:t xml:space="preserve"> </w:t>
            </w:r>
            <w:r>
              <w:t xml:space="preserve">write ในระบบปฏิบัติการ</w:t>
            </w:r>
          </w:p>
        </w:tc>
      </w:tr>
    </w:tbl>
    <w:p>
      <w:pPr>
        <w:pStyle w:val="BlockText"/>
      </w:pPr>
      <w:r>
        <w:rPr>
          <w:b/>
          <w:bCs/>
        </w:rPr>
        <w:t xml:space="preserve">service account</w:t>
      </w:r>
      <w:r>
        <w:t xml:space="preserve"> </w:t>
      </w:r>
      <w:r>
        <w:t xml:space="preserve">ทั้งหมดถือเป็น identity แยก มี owner ที่ระบุได้, ผูก scope น้อยที่สุด, หมุนเวียน credential อัตโนมัติผ่าน secrets vault และห้ามใช้ล็อกอินแบบ interactive</w:t>
      </w:r>
    </w:p>
    <w:p>
      <w:r>
        <w:pict>
          <v:rect style="width:0;height:1.5pt" o:hralign="center" o:hrstd="t" o:hr="t"/>
        </w:pict>
      </w:r>
    </w:p>
    <w:bookmarkEnd w:id="594"/>
    <w:bookmarkStart w:id="595" w:name="เมทรกซการแบงแยกหนาท-sod-matrix"/>
    <w:p>
      <w:pPr>
        <w:pStyle w:val="Heading2"/>
      </w:pPr>
      <w:r>
        <w:t xml:space="preserve">4. เมทริกซ์การแบ่งแยกหน้าที่ (SoD Matrix)</w:t>
      </w:r>
    </w:p>
    <w:p>
      <w:pPr>
        <w:pStyle w:val="FirstParagraph"/>
      </w:pPr>
      <w:r>
        <w:t xml:space="preserve">เครื่องหมาย:</w:t>
      </w:r>
      <w:r>
        <w:t xml:space="preserve"> </w:t>
      </w:r>
      <w:r>
        <w:rPr>
          <w:b/>
          <w:bCs/>
        </w:rPr>
        <w:t xml:space="preserve">M</w:t>
      </w:r>
      <w:r>
        <w:t xml:space="preserve"> </w:t>
      </w:r>
      <w:r>
        <w:t xml:space="preserve">= Maker (ริเริ่ม/ทำรายการ) ·</w:t>
      </w:r>
      <w:r>
        <w:t xml:space="preserve"> </w:t>
      </w:r>
      <w:r>
        <w:rPr>
          <w:b/>
          <w:bCs/>
        </w:rPr>
        <w:t xml:space="preserve">C</w:t>
      </w:r>
      <w:r>
        <w:t xml:space="preserve"> </w:t>
      </w:r>
      <w:r>
        <w:t xml:space="preserve">= Checker (อนุมัติ/ตรวจ) ·</w:t>
      </w:r>
      <w:r>
        <w:t xml:space="preserve"> </w:t>
      </w:r>
      <w:r>
        <w:rPr>
          <w:b/>
          <w:bCs/>
        </w:rPr>
        <w:t xml:space="preserve">R</w:t>
      </w:r>
      <w:r>
        <w:t xml:space="preserve"> </w:t>
      </w:r>
      <w:r>
        <w:t xml:space="preserve">= Review เท่านั้น (read-only) ·</w:t>
      </w:r>
      <w:r>
        <w:t xml:space="preserve"> </w:t>
      </w:r>
      <w:r>
        <w:rPr>
          <w:b/>
          <w:bCs/>
        </w:rPr>
        <w:t xml:space="preserve">—</w:t>
      </w:r>
      <w:r>
        <w:t xml:space="preserve"> </w:t>
      </w:r>
      <w:r>
        <w:t xml:space="preserve">= ไม่มีสิทธิ์</w:t>
      </w:r>
      <w:r>
        <w:t xml:space="preserve"> </w:t>
      </w:r>
      <w:r>
        <w:t xml:space="preserve">กฎ: ในหนึ่งกระบวนการ</w:t>
      </w:r>
      <w:r>
        <w:t xml:space="preserve"> </w:t>
      </w:r>
      <w:r>
        <w:rPr>
          <w:b/>
          <w:bCs/>
        </w:rPr>
        <w:t xml:space="preserve">Maker และ Checker ต้องเป็นคนละบุคคล</w:t>
      </w:r>
      <w:r>
        <w:t xml:space="preserve"> </w:t>
      </w:r>
      <w:r>
        <w:t xml:space="preserve">เสมอ (ระบบบังคับด้วย IdP/แอป ไม่พึ่งวินัยส่วนบุคคล)</w:t>
      </w:r>
    </w:p>
    <w:tbl>
      <w:tblPr>
        <w:tblStyle w:val="Table"/>
        <w:tblW w:type="pct" w:w="5000"/>
        <w:tblLayout w:type="fixed"/>
        <w:tblLook w:firstRow="1" w:lastRow="0" w:firstColumn="0" w:lastColumn="0" w:noHBand="0" w:noVBand="0" w:val="0020"/>
      </w:tblPr>
      <w:tblGrid>
        <w:gridCol w:w="1863"/>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กระบวนการสำคัญ</w:t>
            </w:r>
          </w:p>
        </w:tc>
        <w:tc>
          <w:tcPr/>
          <w:p>
            <w:pPr>
              <w:pStyle w:val="Compact"/>
              <w:jc w:val="center"/>
            </w:pPr>
            <w:r>
              <w:t xml:space="preserve">R-PAY-OPS</w:t>
            </w:r>
          </w:p>
        </w:tc>
        <w:tc>
          <w:tcPr/>
          <w:p>
            <w:pPr>
              <w:pStyle w:val="Compact"/>
              <w:jc w:val="center"/>
            </w:pPr>
            <w:r>
              <w:t xml:space="preserve">R-SETTLE</w:t>
            </w:r>
          </w:p>
        </w:tc>
        <w:tc>
          <w:tcPr/>
          <w:p>
            <w:pPr>
              <w:pStyle w:val="Compact"/>
              <w:jc w:val="center"/>
            </w:pPr>
            <w:r>
              <w:t xml:space="preserve">R-SETTLE-APV</w:t>
            </w:r>
          </w:p>
        </w:tc>
        <w:tc>
          <w:tcPr/>
          <w:p>
            <w:pPr>
              <w:pStyle w:val="Compact"/>
              <w:jc w:val="center"/>
            </w:pPr>
            <w:r>
              <w:t xml:space="preserve">R-MERCH-ONB</w:t>
            </w:r>
          </w:p>
        </w:tc>
        <w:tc>
          <w:tcPr/>
          <w:p>
            <w:pPr>
              <w:pStyle w:val="Compact"/>
              <w:jc w:val="center"/>
            </w:pPr>
            <w:r>
              <w:t xml:space="preserve">R-MERCH-APV</w:t>
            </w:r>
          </w:p>
        </w:tc>
        <w:tc>
          <w:tcPr/>
          <w:p>
            <w:pPr>
              <w:pStyle w:val="Compact"/>
              <w:jc w:val="center"/>
            </w:pPr>
            <w:r>
              <w:t xml:space="preserve">R-RISK</w:t>
            </w:r>
          </w:p>
        </w:tc>
        <w:tc>
          <w:tcPr/>
          <w:p>
            <w:pPr>
              <w:pStyle w:val="Compact"/>
              <w:jc w:val="center"/>
            </w:pPr>
            <w:r>
              <w:t xml:space="preserve">R-COMPL</w:t>
            </w:r>
          </w:p>
        </w:tc>
        <w:tc>
          <w:tcPr/>
          <w:p>
            <w:pPr>
              <w:pStyle w:val="Compact"/>
              <w:jc w:val="center"/>
            </w:pPr>
            <w:r>
              <w:t xml:space="preserve">R-MLRO</w:t>
            </w:r>
          </w:p>
        </w:tc>
        <w:tc>
          <w:tcPr/>
          <w:p>
            <w:pPr>
              <w:pStyle w:val="Compact"/>
              <w:jc w:val="center"/>
            </w:pPr>
            <w:r>
              <w:t xml:space="preserve">R-SRE-OPS</w:t>
            </w:r>
          </w:p>
        </w:tc>
        <w:tc>
          <w:tcPr/>
          <w:p>
            <w:pPr>
              <w:pStyle w:val="Compact"/>
              <w:jc w:val="center"/>
            </w:pPr>
            <w:r>
              <w:t xml:space="preserve">R-DBA</w:t>
            </w:r>
          </w:p>
        </w:tc>
        <w:tc>
          <w:tcPr/>
          <w:p>
            <w:pPr>
              <w:pStyle w:val="Compact"/>
              <w:jc w:val="center"/>
            </w:pPr>
            <w:r>
              <w:t xml:space="preserve">R-IAM-ADMIN</w:t>
            </w:r>
          </w:p>
        </w:tc>
        <w:tc>
          <w:tcPr/>
          <w:p>
            <w:pPr>
              <w:pStyle w:val="Compact"/>
              <w:jc w:val="center"/>
            </w:pPr>
            <w:r>
              <w:t xml:space="preserve">R-SEC</w:t>
            </w:r>
          </w:p>
        </w:tc>
        <w:tc>
          <w:tcPr/>
          <w:p>
            <w:pPr>
              <w:pStyle w:val="Compact"/>
              <w:jc w:val="center"/>
            </w:pPr>
            <w:r>
              <w:t xml:space="preserve">R-AUDIT</w:t>
            </w:r>
          </w:p>
        </w:tc>
      </w:tr>
      <w:tr>
        <w:tc>
          <w:tcPr/>
          <w:p>
            <w:pPr>
              <w:pStyle w:val="Compact"/>
            </w:pPr>
            <w:r>
              <w:t xml:space="preserve">Merchant onboarding / activate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Refund / Void ≤ threshold</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Refund / Void &gt; threshold</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Settlement / Payout batch</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แก้ไข fraud/risk rule ใน prod</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r>
      <w:tr>
        <w:tc>
          <w:tcPr/>
          <w:p>
            <w:pPr>
              <w:pStyle w:val="Compact"/>
            </w:pPr>
            <w:r>
              <w:t xml:space="preserve">Sanction screening — clear a hit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ยื่น SAR/STR ต่อ ปปง.</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Deploy โค้ดสู่ production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C</w:t>
            </w:r>
          </w:p>
        </w:tc>
        <w:tc>
          <w:tcPr/>
          <w:p>
            <w:pPr>
              <w:pStyle w:val="Compact"/>
              <w:jc w:val="center"/>
            </w:pPr>
            <w:r>
              <w:t xml:space="preserve">R</w:t>
            </w:r>
          </w:p>
        </w:tc>
      </w:tr>
      <w:tr>
        <w:tc>
          <w:tcPr/>
          <w:p>
            <w:pPr>
              <w:pStyle w:val="Compact"/>
            </w:pPr>
            <w:r>
              <w:t xml:space="preserve">แก้ไขข้อมูลใน production DB</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rPr>
                <w:b/>
                <w:bCs/>
              </w:rPr>
              <w:t xml:space="preserve">C</w:t>
            </w:r>
          </w:p>
        </w:tc>
        <w:tc>
          <w:tcPr/>
          <w:p>
            <w:pPr>
              <w:pStyle w:val="Compact"/>
              <w:jc w:val="center"/>
            </w:pPr>
            <w:r>
              <w:t xml:space="preserve">R</w:t>
            </w:r>
          </w:p>
        </w:tc>
      </w:tr>
      <w:tr>
        <w:tc>
          <w:tcPr/>
          <w:p>
            <w:pPr>
              <w:pStyle w:val="Compact"/>
            </w:pPr>
            <w:r>
              <w:t xml:space="preserve">สร้าง/ให้ privileged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R</w:t>
            </w:r>
          </w:p>
        </w:tc>
      </w:tr>
      <w:tr>
        <w:tc>
          <w:tcPr/>
          <w:p>
            <w:pPr>
              <w:pStyle w:val="Compact"/>
            </w:pPr>
            <w:r>
              <w:t xml:space="preserve">Cryptographic key ceremony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M/C</w:t>
            </w:r>
          </w:p>
        </w:tc>
        <w:tc>
          <w:tcPr/>
          <w:p>
            <w:pPr>
              <w:pStyle w:val="Compact"/>
              <w:jc w:val="center"/>
            </w:pPr>
            <w:r>
              <w:t xml:space="preserve">R</w:t>
            </w:r>
          </w:p>
        </w:tc>
      </w:tr>
      <w:tr>
        <w:tc>
          <w:tcPr/>
          <w:p>
            <w:pPr>
              <w:pStyle w:val="Compact"/>
            </w:pPr>
            <w:r>
              <w:t xml:space="preserve">ปรับ config WAF/firewall (CDE)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t xml:space="preserve">R</w:t>
            </w:r>
          </w:p>
        </w:tc>
      </w:tr>
    </w:tbl>
    <w:p>
      <w:pPr>
        <w:pStyle w:val="BlockText"/>
      </w:pPr>
      <w:r>
        <w:t xml:space="preserve">หมายเหตุ key ceremony: ต้องมี</w:t>
      </w:r>
      <w:r>
        <w:t xml:space="preserve"> </w:t>
      </w:r>
      <w:r>
        <w:rPr>
          <w:b/>
          <w:bCs/>
        </w:rPr>
        <w:t xml:space="preserve">Key Custodian A + Key Custodian B</w:t>
      </w:r>
      <w:r>
        <w:t xml:space="preserve"> </w:t>
      </w:r>
      <w:r>
        <w:t xml:space="preserve">(split knowledge) ร่วมกับ Security เป็นสักขีพยาน — ไม่มีบุคคลใดเข้าถึง key component ครบทั้งสองส่วน (ดูข้อ 6.3)</w:t>
      </w:r>
    </w:p>
    <w:p>
      <w:r>
        <w:pict>
          <v:rect style="width:0;height:1.5pt" o:hralign="center" o:hrstd="t" o:hr="t"/>
        </w:pict>
      </w:r>
    </w:p>
    <w:bookmarkEnd w:id="595"/>
    <w:bookmarkStart w:id="596" w:name="Xd59f340ab61d72b498309d3e406041a038c22d7"/>
    <w:p>
      <w:pPr>
        <w:pStyle w:val="Heading2"/>
      </w:pPr>
      <w:r>
        <w:t xml:space="preserve">5. คู่หน้าที่ต้องห้าม (Toxic / Conflicting Combinations)</w:t>
      </w:r>
    </w:p>
    <w:p>
      <w:pPr>
        <w:pStyle w:val="FirstParagraph"/>
      </w:pPr>
      <w:r>
        <w:t xml:space="preserve">ระบบ IdP และ application-level check ต้อง</w:t>
      </w:r>
      <w:r>
        <w:t xml:space="preserve"> </w:t>
      </w:r>
      <w:r>
        <w:rPr>
          <w:b/>
          <w:bCs/>
        </w:rPr>
        <w:t xml:space="preserve">บล็อกเชิงป้องกัน (preventive)</w:t>
      </w:r>
      <w:r>
        <w:t xml:space="preserve"> </w:t>
      </w:r>
      <w:r>
        <w:t xml:space="preserve">ไม่ให้ role ต่อไปนี้อยู่กับ identity เดียว หากจำเป็นต้องควบต้องมี compensating control ที่อนุมัติแล้ว (ข้อ 8)</w:t>
      </w:r>
    </w:p>
    <w:tbl>
      <w:tblPr>
        <w:tblStyle w:val="Table"/>
        <w:tblW w:type="pct" w:w="5000"/>
        <w:tblLayout w:type="fixed"/>
        <w:tblLook w:firstRow="1" w:lastRow="0" w:firstColumn="0" w:lastColumn="0" w:noHBand="0" w:noVBand="0" w:val="0020"/>
      </w:tblPr>
      <w:tblGrid>
        <w:gridCol w:w="642"/>
        <w:gridCol w:w="3210"/>
        <w:gridCol w:w="4067"/>
      </w:tblGrid>
      <w:tr>
        <w:trPr>
          <w:tblHeader w:val="on"/>
        </w:trPr>
        <w:tc>
          <w:tcPr/>
          <w:p>
            <w:pPr>
              <w:pStyle w:val="Compact"/>
            </w:pPr>
            <w:r>
              <w:t xml:space="preserve">#</w:t>
            </w:r>
          </w:p>
        </w:tc>
        <w:tc>
          <w:tcPr/>
          <w:p>
            <w:pPr>
              <w:pStyle w:val="Compact"/>
            </w:pPr>
            <w:r>
              <w:t xml:space="preserve">คู่ที่ห้ามควบ</w:t>
            </w:r>
          </w:p>
        </w:tc>
        <w:tc>
          <w:tcPr/>
          <w:p>
            <w:pPr>
              <w:pStyle w:val="Compact"/>
            </w:pPr>
            <w:r>
              <w:t xml:space="preserve">เหตุผล/ความเสี่ยง</w:t>
            </w:r>
          </w:p>
        </w:tc>
      </w:tr>
      <w:tr>
        <w:tc>
          <w:tcPr/>
          <w:p>
            <w:pPr>
              <w:pStyle w:val="Compact"/>
            </w:pPr>
            <w:r>
              <w:t xml:space="preserve">T1</w:t>
            </w:r>
          </w:p>
        </w:tc>
        <w:tc>
          <w:tcPr/>
          <w:p>
            <w:pPr>
              <w:pStyle w:val="Compact"/>
            </w:pPr>
            <w:r>
              <w:t xml:space="preserve">R-SETTLE</w:t>
            </w:r>
            <w:r>
              <w:t xml:space="preserve"> </w:t>
            </w:r>
            <w:r>
              <w:rPr>
                <w:b/>
                <w:bCs/>
              </w:rPr>
              <w:t xml:space="preserve">+</w:t>
            </w:r>
            <w:r>
              <w:t xml:space="preserve"> </w:t>
            </w:r>
            <w:r>
              <w:t xml:space="preserve">R-SETTLE-APV</w:t>
            </w:r>
          </w:p>
        </w:tc>
        <w:tc>
          <w:tcPr/>
          <w:p>
            <w:pPr>
              <w:pStyle w:val="Compact"/>
            </w:pPr>
            <w:r>
              <w:t xml:space="preserve">ริเริ่มและอนุมัติจ่ายเงินเอง → ยักยอกเงิน settlement</w:t>
            </w:r>
          </w:p>
        </w:tc>
      </w:tr>
      <w:tr>
        <w:tc>
          <w:tcPr/>
          <w:p>
            <w:pPr>
              <w:pStyle w:val="Compact"/>
            </w:pPr>
            <w:r>
              <w:t xml:space="preserve">T2</w:t>
            </w:r>
          </w:p>
        </w:tc>
        <w:tc>
          <w:tcPr/>
          <w:p>
            <w:pPr>
              <w:pStyle w:val="Compact"/>
            </w:pPr>
            <w:r>
              <w:t xml:space="preserve">R-MERCH-ONB</w:t>
            </w:r>
            <w:r>
              <w:t xml:space="preserve"> </w:t>
            </w:r>
            <w:r>
              <w:rPr>
                <w:b/>
                <w:bCs/>
              </w:rPr>
              <w:t xml:space="preserve">+</w:t>
            </w:r>
            <w:r>
              <w:t xml:space="preserve"> </w:t>
            </w:r>
            <w:r>
              <w:t xml:space="preserve">R-MERCH-APV</w:t>
            </w:r>
          </w:p>
        </w:tc>
        <w:tc>
          <w:tcPr/>
          <w:p>
            <w:pPr>
              <w:pStyle w:val="Compact"/>
            </w:pPr>
            <w:r>
              <w:t xml:space="preserve">สร้างและอนุมัติ merchant ปลอมเอง → ฟอกเงิน/รับเงินเข้าบัญชีตน</w:t>
            </w:r>
          </w:p>
        </w:tc>
      </w:tr>
      <w:tr>
        <w:tc>
          <w:tcPr/>
          <w:p>
            <w:pPr>
              <w:pStyle w:val="Compact"/>
            </w:pPr>
            <w:r>
              <w:t xml:space="preserve">T3</w:t>
            </w:r>
          </w:p>
        </w:tc>
        <w:tc>
          <w:tcPr/>
          <w:p>
            <w:pPr>
              <w:pStyle w:val="Compact"/>
            </w:pPr>
            <w:r>
              <w:t xml:space="preserve">R-ENG-DEV</w:t>
            </w:r>
            <w:r>
              <w:t xml:space="preserve"> </w:t>
            </w:r>
            <w:r>
              <w:rPr>
                <w:b/>
                <w:bCs/>
              </w:rPr>
              <w:t xml:space="preserve">+</w:t>
            </w:r>
            <w:r>
              <w:t xml:space="preserve"> </w:t>
            </w:r>
            <w:r>
              <w:t xml:space="preserve">สิทธิ์ deploy/แก้ prod DB</w:t>
            </w:r>
          </w:p>
        </w:tc>
        <w:tc>
          <w:tcPr/>
          <w:p>
            <w:pPr>
              <w:pStyle w:val="Compact"/>
            </w:pPr>
            <w:r>
              <w:t xml:space="preserve">ฝัง backdoor แล้วปล่อยขึ้น prod เองโดยไม่มีผู้ตรวจ (PCI Req 6/7)</w:t>
            </w:r>
          </w:p>
        </w:tc>
      </w:tr>
      <w:tr>
        <w:tc>
          <w:tcPr/>
          <w:p>
            <w:pPr>
              <w:pStyle w:val="Compact"/>
            </w:pPr>
            <w:r>
              <w:t xml:space="preserve">T4</w:t>
            </w:r>
          </w:p>
        </w:tc>
        <w:tc>
          <w:tcPr/>
          <w:p>
            <w:pPr>
              <w:pStyle w:val="Compact"/>
            </w:pPr>
            <w:r>
              <w:t xml:space="preserve">R-COMPL/R-MLRO ทำทั้ง maker และ checker ของ SAR เดียวกัน</w:t>
            </w:r>
          </w:p>
        </w:tc>
        <w:tc>
          <w:tcPr/>
          <w:p>
            <w:pPr>
              <w:pStyle w:val="Compact"/>
            </w:pPr>
            <w:r>
              <w:t xml:space="preserve">ปกปิดธุรกรรมน่าสงสัยได้ลำพัง (ขัดเจตนารมณ์ ปปง.)</w:t>
            </w:r>
          </w:p>
        </w:tc>
      </w:tr>
      <w:tr>
        <w:tc>
          <w:tcPr/>
          <w:p>
            <w:pPr>
              <w:pStyle w:val="Compact"/>
            </w:pPr>
            <w:r>
              <w:t xml:space="preserve">T5</w:t>
            </w:r>
          </w:p>
        </w:tc>
        <w:tc>
          <w:tcPr/>
          <w:p>
            <w:pPr>
              <w:pStyle w:val="Compact"/>
            </w:pPr>
            <w:r>
              <w:t xml:space="preserve">R-IAM-ADMIN อนุมัติสิทธิ์ให้ตนเอง</w:t>
            </w:r>
          </w:p>
        </w:tc>
        <w:tc>
          <w:tcPr/>
          <w:p>
            <w:pPr>
              <w:pStyle w:val="Compact"/>
            </w:pPr>
            <w:r>
              <w:t xml:space="preserve">ยกระดับสิทธิ์ตนเองแบบไม่มีผู้ตรวจ</w:t>
            </w:r>
          </w:p>
        </w:tc>
      </w:tr>
      <w:tr>
        <w:tc>
          <w:tcPr/>
          <w:p>
            <w:pPr>
              <w:pStyle w:val="Compact"/>
            </w:pPr>
            <w:r>
              <w:t xml:space="preserve">T6</w:t>
            </w:r>
          </w:p>
        </w:tc>
        <w:tc>
          <w:tcPr/>
          <w:p>
            <w:pPr>
              <w:pStyle w:val="Compact"/>
            </w:pPr>
            <w:r>
              <w:t xml:space="preserve">R-AUDIT</w:t>
            </w:r>
            <w:r>
              <w:t xml:space="preserve"> </w:t>
            </w:r>
            <w:r>
              <w:rPr>
                <w:b/>
                <w:bCs/>
              </w:rPr>
              <w:t xml:space="preserve">+</w:t>
            </w:r>
            <w:r>
              <w:t xml:space="preserve"> </w:t>
            </w:r>
            <w:r>
              <w:t xml:space="preserve">role ที่มี write ใด ๆ ในระบบปฏิบัติการ</w:t>
            </w:r>
          </w:p>
        </w:tc>
        <w:tc>
          <w:tcPr/>
          <w:p>
            <w:pPr>
              <w:pStyle w:val="Compact"/>
            </w:pPr>
            <w:r>
              <w:t xml:space="preserve">ทำลายความเป็นอิสระของ 3rd line</w:t>
            </w:r>
          </w:p>
        </w:tc>
      </w:tr>
      <w:tr>
        <w:tc>
          <w:tcPr/>
          <w:p>
            <w:pPr>
              <w:pStyle w:val="Compact"/>
            </w:pPr>
            <w:r>
              <w:t xml:space="preserve">T7</w:t>
            </w:r>
          </w:p>
        </w:tc>
        <w:tc>
          <w:tcPr/>
          <w:p>
            <w:pPr>
              <w:pStyle w:val="Compact"/>
            </w:pPr>
            <w:r>
              <w:t xml:space="preserve">R-KEY-CUST-A</w:t>
            </w:r>
            <w:r>
              <w:t xml:space="preserve"> </w:t>
            </w:r>
            <w:r>
              <w:rPr>
                <w:b/>
                <w:bCs/>
              </w:rPr>
              <w:t xml:space="preserve">+</w:t>
            </w:r>
            <w:r>
              <w:t xml:space="preserve"> </w:t>
            </w:r>
            <w:r>
              <w:t xml:space="preserve">R-KEY-CUST-B</w:t>
            </w:r>
          </w:p>
        </w:tc>
        <w:tc>
          <w:tcPr/>
          <w:p>
            <w:pPr>
              <w:pStyle w:val="Compact"/>
            </w:pPr>
            <w:r>
              <w:t xml:space="preserve">ถือ key component ครบ → ถอดรหัส PAN ได้ลำพัง (PCI Req 3.7)</w:t>
            </w:r>
          </w:p>
        </w:tc>
      </w:tr>
      <w:tr>
        <w:tc>
          <w:tcPr/>
          <w:p>
            <w:pPr>
              <w:pStyle w:val="Compact"/>
            </w:pPr>
            <w:r>
              <w:t xml:space="preserve">T8</w:t>
            </w:r>
          </w:p>
        </w:tc>
        <w:tc>
          <w:tcPr/>
          <w:p>
            <w:pPr>
              <w:pStyle w:val="Compact"/>
            </w:pPr>
            <w:r>
              <w:t xml:space="preserve">R-RISK maker</w:t>
            </w:r>
            <w:r>
              <w:t xml:space="preserve"> </w:t>
            </w:r>
            <w:r>
              <w:rPr>
                <w:b/>
                <w:bCs/>
              </w:rPr>
              <w:t xml:space="preserve">+</w:t>
            </w:r>
            <w:r>
              <w:t xml:space="preserve"> </w:t>
            </w:r>
            <w:r>
              <w:t xml:space="preserve">checker ของ rule เดียวกัน</w:t>
            </w:r>
          </w:p>
        </w:tc>
        <w:tc>
          <w:tcPr/>
          <w:p>
            <w:pPr>
              <w:pStyle w:val="Compact"/>
            </w:pPr>
            <w:r>
              <w:t xml:space="preserve">ปิด fraud control เพื่อปล่อยธุรกรรมทุจริต</w:t>
            </w:r>
          </w:p>
        </w:tc>
      </w:tr>
    </w:tbl>
    <w:p>
      <w:r>
        <w:pict>
          <v:rect style="width:0;height:1.5pt" o:hralign="center" o:hrstd="t" o:hr="t"/>
        </w:pict>
      </w:r>
    </w:p>
    <w:bookmarkEnd w:id="596"/>
    <w:bookmarkStart w:id="600" w:name="X36c51c5e87eb0560b84ce8bcb169810e312def8"/>
    <w:p>
      <w:pPr>
        <w:pStyle w:val="Heading2"/>
      </w:pPr>
      <w:r>
        <w:t xml:space="preserve">6. การควบคุมสองชั้นสำหรับปฏิบัติการสำคัญ (Dual Control)</w:t>
      </w:r>
    </w:p>
    <w:bookmarkStart w:id="597" w:name="threshold-และ-sla-ของ-makerchecker"/>
    <w:p>
      <w:pPr>
        <w:pStyle w:val="Heading3"/>
      </w:pPr>
      <w:r>
        <w:t xml:space="preserve">6.1 Threshold และ SLA ของ maker–checker</w:t>
      </w:r>
    </w:p>
    <w:tbl>
      <w:tblPr>
        <w:tblStyle w:val="Table"/>
        <w:tblW w:type="pct" w:w="5000"/>
        <w:tblLayout w:type="fixed"/>
        <w:tblLook w:firstRow="1" w:lastRow="0" w:firstColumn="0" w:lastColumn="0" w:noHBand="0" w:noVBand="0" w:val="0020"/>
      </w:tblPr>
      <w:tblGrid>
        <w:gridCol w:w="957"/>
        <w:gridCol w:w="2698"/>
        <w:gridCol w:w="1305"/>
        <w:gridCol w:w="1827"/>
        <w:gridCol w:w="1131"/>
      </w:tblGrid>
      <w:tr>
        <w:trPr>
          <w:tblHeader w:val="on"/>
        </w:trPr>
        <w:tc>
          <w:tcPr/>
          <w:p>
            <w:pPr>
              <w:pStyle w:val="Compact"/>
            </w:pPr>
            <w:r>
              <w:t xml:space="preserve">ปฏิบัติการ</w:t>
            </w:r>
          </w:p>
        </w:tc>
        <w:tc>
          <w:tcPr/>
          <w:p>
            <w:pPr>
              <w:pStyle w:val="Compact"/>
            </w:pPr>
            <w:r>
              <w:t xml:space="preserve">Threshold ที่ต้อง dual control</w:t>
            </w:r>
          </w:p>
        </w:tc>
        <w:tc>
          <w:tcPr/>
          <w:p>
            <w:pPr>
              <w:pStyle w:val="Compact"/>
            </w:pPr>
            <w:r>
              <w:t xml:space="preserve">ผู้ทำ (Maker)</w:t>
            </w:r>
          </w:p>
        </w:tc>
        <w:tc>
          <w:tcPr/>
          <w:p>
            <w:pPr>
              <w:pStyle w:val="Compact"/>
            </w:pPr>
            <w:r>
              <w:t xml:space="preserve">ผู้อนุมัติ (Checker)</w:t>
            </w:r>
          </w:p>
        </w:tc>
        <w:tc>
          <w:tcPr/>
          <w:p>
            <w:pPr>
              <w:pStyle w:val="Compact"/>
            </w:pPr>
            <w:r>
              <w:t xml:space="preserve">SLA อนุมัติ</w:t>
            </w:r>
          </w:p>
        </w:tc>
      </w:tr>
      <w:tr>
        <w:tc>
          <w:tcPr/>
          <w:p>
            <w:pPr>
              <w:pStyle w:val="Compact"/>
            </w:pPr>
            <w:r>
              <w:t xml:space="preserve">Refund/Void</w:t>
            </w:r>
          </w:p>
        </w:tc>
        <w:tc>
          <w:tcPr/>
          <w:p>
            <w:pPr>
              <w:pStyle w:val="Compact"/>
            </w:pPr>
            <w:r>
              <w:t xml:space="preserve">&gt; 50,000 บาท/รายการ หรือ &gt; 200,000 บาท/วัน/merchant</w:t>
            </w:r>
          </w:p>
        </w:tc>
        <w:tc>
          <w:tcPr/>
          <w:p>
            <w:pPr>
              <w:pStyle w:val="Compact"/>
            </w:pPr>
            <w:r>
              <w:t xml:space="preserve">R-PAY-OPS</w:t>
            </w:r>
          </w:p>
        </w:tc>
        <w:tc>
          <w:tcPr/>
          <w:p>
            <w:pPr>
              <w:pStyle w:val="Compact"/>
            </w:pPr>
            <w:r>
              <w:t xml:space="preserve">R-MERCH-APV (senior ops)</w:t>
            </w:r>
          </w:p>
        </w:tc>
        <w:tc>
          <w:tcPr/>
          <w:p>
            <w:pPr>
              <w:pStyle w:val="Compact"/>
            </w:pPr>
            <w:r>
              <w:t xml:space="preserve">≤ 4 ชม. ทำการ</w:t>
            </w:r>
          </w:p>
        </w:tc>
      </w:tr>
      <w:tr>
        <w:tc>
          <w:tcPr/>
          <w:p>
            <w:pPr>
              <w:pStyle w:val="Compact"/>
            </w:pPr>
            <w:r>
              <w:t xml:space="preserve">Settlement/Payout batch</w:t>
            </w:r>
          </w:p>
        </w:tc>
        <w:tc>
          <w:tcPr/>
          <w:p>
            <w:pPr>
              <w:pStyle w:val="Compact"/>
            </w:pPr>
            <w:r>
              <w:rPr>
                <w:b/>
                <w:bCs/>
              </w:rPr>
              <w:t xml:space="preserve">ทุก batch</w:t>
            </w:r>
            <w:r>
              <w:t xml:space="preserve"> </w:t>
            </w:r>
            <w:r>
              <w:t xml:space="preserve">(ไม่มีขั้นต่ำ)</w:t>
            </w:r>
          </w:p>
        </w:tc>
        <w:tc>
          <w:tcPr/>
          <w:p>
            <w:pPr>
              <w:pStyle w:val="Compact"/>
            </w:pPr>
            <w:r>
              <w:t xml:space="preserve">R-SETTLE</w:t>
            </w:r>
          </w:p>
        </w:tc>
        <w:tc>
          <w:tcPr/>
          <w:p>
            <w:pPr>
              <w:pStyle w:val="Compact"/>
            </w:pPr>
            <w:r>
              <w:t xml:space="preserve">R-SETTLE-APV</w:t>
            </w:r>
          </w:p>
        </w:tc>
        <w:tc>
          <w:tcPr/>
          <w:p>
            <w:pPr>
              <w:pStyle w:val="Compact"/>
            </w:pPr>
            <w:r>
              <w:t xml:space="preserve">≤ 2 ชม. ก่อน cut-off</w:t>
            </w:r>
          </w:p>
        </w:tc>
      </w:tr>
      <w:tr>
        <w:tc>
          <w:tcPr/>
          <w:p>
            <w:pPr>
              <w:pStyle w:val="Compact"/>
            </w:pPr>
            <w:r>
              <w:t xml:space="preserve">Merchant activate</w:t>
            </w:r>
          </w:p>
        </w:tc>
        <w:tc>
          <w:tcPr/>
          <w:p>
            <w:pPr>
              <w:pStyle w:val="Compact"/>
            </w:pPr>
            <w:r>
              <w:rPr>
                <w:b/>
                <w:bCs/>
              </w:rPr>
              <w:t xml:space="preserve">ทุกราย</w:t>
            </w:r>
          </w:p>
        </w:tc>
        <w:tc>
          <w:tcPr/>
          <w:p>
            <w:pPr>
              <w:pStyle w:val="Compact"/>
            </w:pPr>
            <w:r>
              <w:t xml:space="preserve">R-MERCH-ONB</w:t>
            </w:r>
          </w:p>
        </w:tc>
        <w:tc>
          <w:tcPr/>
          <w:p>
            <w:pPr>
              <w:pStyle w:val="Compact"/>
            </w:pPr>
            <w:r>
              <w:t xml:space="preserve">R-MERCH-APV</w:t>
            </w:r>
          </w:p>
        </w:tc>
        <w:tc>
          <w:tcPr/>
          <w:p>
            <w:pPr>
              <w:pStyle w:val="Compact"/>
            </w:pPr>
            <w:r>
              <w:t xml:space="preserve">ตาม SLA onboarding</w:t>
            </w:r>
          </w:p>
        </w:tc>
      </w:tr>
      <w:tr>
        <w:tc>
          <w:tcPr/>
          <w:p>
            <w:pPr>
              <w:pStyle w:val="Compact"/>
            </w:pPr>
            <w:r>
              <w:t xml:space="preserve">Deploy ขึ้น production</w:t>
            </w:r>
          </w:p>
        </w:tc>
        <w:tc>
          <w:tcPr/>
          <w:p>
            <w:pPr>
              <w:pStyle w:val="Compact"/>
            </w:pPr>
            <w:r>
              <w:rPr>
                <w:b/>
                <w:bCs/>
              </w:rPr>
              <w:t xml:space="preserve">ทุกครั้ง</w:t>
            </w:r>
          </w:p>
        </w:tc>
        <w:tc>
          <w:tcPr/>
          <w:p>
            <w:pPr>
              <w:pStyle w:val="Compact"/>
            </w:pPr>
            <w:r>
              <w:t xml:space="preserve">R-SRE-OPS</w:t>
            </w:r>
          </w:p>
        </w:tc>
        <w:tc>
          <w:tcPr/>
          <w:p>
            <w:pPr>
              <w:pStyle w:val="Compact"/>
            </w:pPr>
            <w:r>
              <w:t xml:space="preserve">R-SEC (หรือ senior SRE คนละคน)</w:t>
            </w:r>
          </w:p>
        </w:tc>
        <w:tc>
          <w:tcPr/>
          <w:p>
            <w:pPr>
              <w:pStyle w:val="Compact"/>
            </w:pPr>
            <w:r>
              <w:t xml:space="preserve">ตาม change window</w:t>
            </w:r>
          </w:p>
        </w:tc>
      </w:tr>
      <w:tr>
        <w:tc>
          <w:tcPr/>
          <w:p>
            <w:pPr>
              <w:pStyle w:val="Compact"/>
            </w:pPr>
            <w:r>
              <w:t xml:space="preserve">แก้ไข production DB (นอก pipeline)</w:t>
            </w:r>
          </w:p>
        </w:tc>
        <w:tc>
          <w:tcPr/>
          <w:p>
            <w:pPr>
              <w:pStyle w:val="Compact"/>
            </w:pPr>
            <w:r>
              <w:rPr>
                <w:b/>
                <w:bCs/>
              </w:rPr>
              <w:t xml:space="preserve">ทุกครั้ง</w:t>
            </w:r>
          </w:p>
        </w:tc>
        <w:tc>
          <w:tcPr/>
          <w:p>
            <w:pPr>
              <w:pStyle w:val="Compact"/>
            </w:pPr>
            <w:r>
              <w:t xml:space="preserve">R-DBA</w:t>
            </w:r>
          </w:p>
        </w:tc>
        <w:tc>
          <w:tcPr/>
          <w:p>
            <w:pPr>
              <w:pStyle w:val="Compact"/>
            </w:pPr>
            <w:r>
              <w:t xml:space="preserve">R-SEC</w:t>
            </w:r>
          </w:p>
        </w:tc>
        <w:tc>
          <w:tcPr/>
          <w:p>
            <w:pPr>
              <w:pStyle w:val="Compact"/>
            </w:pPr>
            <w:r>
              <w:t xml:space="preserve">JIT ≤ 60 นาที</w:t>
            </w:r>
          </w:p>
        </w:tc>
      </w:tr>
      <w:tr>
        <w:tc>
          <w:tcPr/>
          <w:p>
            <w:pPr>
              <w:pStyle w:val="Compact"/>
            </w:pPr>
            <w:r>
              <w:t xml:space="preserve">ให้ privileged access</w:t>
            </w:r>
          </w:p>
        </w:tc>
        <w:tc>
          <w:tcPr/>
          <w:p>
            <w:pPr>
              <w:pStyle w:val="Compact"/>
            </w:pPr>
            <w:r>
              <w:rPr>
                <w:b/>
                <w:bCs/>
              </w:rPr>
              <w:t xml:space="preserve">ทุกครั้ง</w:t>
            </w:r>
          </w:p>
        </w:tc>
        <w:tc>
          <w:tcPr/>
          <w:p>
            <w:pPr>
              <w:pStyle w:val="Compact"/>
            </w:pPr>
            <w:r>
              <w:t xml:space="preserve">R-IAM-ADMIN</w:t>
            </w:r>
          </w:p>
        </w:tc>
        <w:tc>
          <w:tcPr/>
          <w:p>
            <w:pPr>
              <w:pStyle w:val="Compact"/>
            </w:pPr>
            <w:r>
              <w:t xml:space="preserve">Line manager + R-SEC</w:t>
            </w:r>
          </w:p>
        </w:tc>
        <w:tc>
          <w:tcPr/>
          <w:p>
            <w:pPr>
              <w:pStyle w:val="Compact"/>
            </w:pPr>
            <w:r>
              <w:t xml:space="preserve">≤ 1 วันทำการ</w:t>
            </w:r>
          </w:p>
        </w:tc>
      </w:tr>
      <w:tr>
        <w:tc>
          <w:tcPr/>
          <w:p>
            <w:pPr>
              <w:pStyle w:val="Compact"/>
            </w:pPr>
            <w:r>
              <w:t xml:space="preserve">Key ceremony (generate/rotate)</w:t>
            </w:r>
          </w:p>
        </w:tc>
        <w:tc>
          <w:tcPr/>
          <w:p>
            <w:pPr>
              <w:pStyle w:val="Compact"/>
            </w:pPr>
            <w:r>
              <w:rPr>
                <w:b/>
                <w:bCs/>
              </w:rPr>
              <w:t xml:space="preserve">ทุกครั้ง</w:t>
            </w:r>
          </w:p>
        </w:tc>
        <w:tc>
          <w:tcPr/>
          <w:p>
            <w:pPr>
              <w:pStyle w:val="Compact"/>
            </w:pPr>
            <w:r>
              <w:t xml:space="preserve">Custodian A</w:t>
            </w:r>
          </w:p>
        </w:tc>
        <w:tc>
          <w:tcPr/>
          <w:p>
            <w:pPr>
              <w:pStyle w:val="Compact"/>
            </w:pPr>
            <w:r>
              <w:t xml:space="preserve">Custodian B + Security witness</w:t>
            </w:r>
          </w:p>
        </w:tc>
        <w:tc>
          <w:tcPr/>
          <w:p>
            <w:pPr>
              <w:pStyle w:val="Compact"/>
            </w:pPr>
            <w:r>
              <w:t xml:space="preserve">ตามกำหนดพิธี</w:t>
            </w:r>
          </w:p>
        </w:tc>
      </w:tr>
      <w:tr>
        <w:tc>
          <w:tcPr/>
          <w:p>
            <w:pPr>
              <w:pStyle w:val="Compact"/>
            </w:pPr>
            <w:r>
              <w:t xml:space="preserve">ปรับ fraud rule ใน prod</w:t>
            </w:r>
          </w:p>
        </w:tc>
        <w:tc>
          <w:tcPr/>
          <w:p>
            <w:pPr>
              <w:pStyle w:val="Compact"/>
            </w:pPr>
            <w:r>
              <w:rPr>
                <w:b/>
                <w:bCs/>
              </w:rPr>
              <w:t xml:space="preserve">ทุกครั้ง</w:t>
            </w:r>
          </w:p>
        </w:tc>
        <w:tc>
          <w:tcPr/>
          <w:p>
            <w:pPr>
              <w:pStyle w:val="Compact"/>
            </w:pPr>
            <w:r>
              <w:t xml:space="preserve">R-RISK</w:t>
            </w:r>
          </w:p>
        </w:tc>
        <w:tc>
          <w:tcPr/>
          <w:p>
            <w:pPr>
              <w:pStyle w:val="Compact"/>
            </w:pPr>
            <w:r>
              <w:t xml:space="preserve">R-SRE-OPS / senior risk</w:t>
            </w:r>
          </w:p>
        </w:tc>
        <w:tc>
          <w:tcPr/>
          <w:p>
            <w:pPr>
              <w:pStyle w:val="Compact"/>
            </w:pPr>
            <w:r>
              <w:t xml:space="preserve">≤ 8 ชม.</w:t>
            </w:r>
          </w:p>
        </w:tc>
      </w:tr>
    </w:tbl>
    <w:p>
      <w:pPr>
        <w:pStyle w:val="BlockText"/>
      </w:pPr>
      <w:r>
        <w:t xml:space="preserve">Threshold ข้างต้นเป็น</w:t>
      </w:r>
      <w:r>
        <w:t xml:space="preserve"> </w:t>
      </w:r>
      <w:r>
        <w:rPr>
          <w:b/>
          <w:bCs/>
        </w:rPr>
        <w:t xml:space="preserve">ค่าตั้งต้นที่แนะนำ</w:t>
      </w:r>
      <w:r>
        <w:t xml:space="preserve"> </w:t>
      </w:r>
      <w:r>
        <w:t xml:space="preserve">— ต้องปรับให้สอดคล้องกับ risk appetite ที่ Risk Committee อนุมัติ และทบทวนอย่างน้อยปีละครั้ง</w:t>
      </w:r>
    </w:p>
    <w:bookmarkEnd w:id="597"/>
    <w:bookmarkStart w:id="598" w:name="กลไกบงคบ-dual-control"/>
    <w:p>
      <w:pPr>
        <w:pStyle w:val="Heading3"/>
      </w:pPr>
      <w:r>
        <w:t xml:space="preserve">6.2 กลไกบังคับ dual control</w:t>
      </w:r>
    </w:p>
    <w:p>
      <w:pPr>
        <w:pStyle w:val="Compact"/>
        <w:numPr>
          <w:ilvl w:val="0"/>
          <w:numId w:val="1253"/>
        </w:numPr>
      </w:pPr>
      <w:r>
        <w:rPr>
          <w:b/>
          <w:bCs/>
        </w:rPr>
        <w:t xml:space="preserve">บังคับด้วยระบบ ไม่ใช่ด้วยวินัย</w:t>
      </w:r>
      <w:r>
        <w:t xml:space="preserve"> </w:t>
      </w:r>
      <w:r>
        <w:t xml:space="preserve">— แอปพลิเคชัน/CI-CD/IdP ปฏิเสธคำขอที่ maker = checker เสมอ</w:t>
      </w:r>
    </w:p>
    <w:p>
      <w:pPr>
        <w:pStyle w:val="Compact"/>
        <w:numPr>
          <w:ilvl w:val="0"/>
          <w:numId w:val="1253"/>
        </w:numPr>
      </w:pPr>
      <w:r>
        <w:t xml:space="preserve">ทุกการอนุมัติ dual control บันทึกลง</w:t>
      </w:r>
      <w:r>
        <w:t xml:space="preserve"> </w:t>
      </w:r>
      <w:r>
        <w:rPr>
          <w:rStyle w:val="VerbatimChar"/>
        </w:rPr>
        <w:t xml:space="preserve">audit_log</w:t>
      </w:r>
      <w:r>
        <w:t xml:space="preserve"> </w:t>
      </w:r>
      <w:r>
        <w:t xml:space="preserve">(append-only, ดู ARCHITECTURE ข้อ 6) พร้อม identity ทั้งสองฝ่าย, timestamp, เหตุผล และ before/after state</w:t>
      </w:r>
    </w:p>
    <w:p>
      <w:pPr>
        <w:pStyle w:val="Compact"/>
        <w:numPr>
          <w:ilvl w:val="0"/>
          <w:numId w:val="1253"/>
        </w:numPr>
      </w:pPr>
      <w:r>
        <w:t xml:space="preserve">Checker ต้องยืนยันด้วย</w:t>
      </w:r>
      <w:r>
        <w:t xml:space="preserve"> </w:t>
      </w:r>
      <w:r>
        <w:rPr>
          <w:b/>
          <w:bCs/>
        </w:rPr>
        <w:t xml:space="preserve">MFA</w:t>
      </w:r>
      <w:r>
        <w:t xml:space="preserve"> </w:t>
      </w:r>
      <w:r>
        <w:t xml:space="preserve">ขณะอนุมัติ (PCI Req 8.4/8.5)</w:t>
      </w:r>
    </w:p>
    <w:p>
      <w:pPr>
        <w:pStyle w:val="Compact"/>
        <w:numPr>
          <w:ilvl w:val="0"/>
          <w:numId w:val="1253"/>
        </w:numPr>
      </w:pPr>
      <w:r>
        <w:t xml:space="preserve">ห้าม self-approval, ห้าม approval ย้อนหลัง, ห้ามใช้ delegation ที่ทำให้ maker กลายเป็น checker</w:t>
      </w:r>
    </w:p>
    <w:bookmarkEnd w:id="598"/>
    <w:bookmarkStart w:id="599" w:name="X619de93811e6aa77f8611fbf2f1543adc5e635e"/>
    <w:p>
      <w:pPr>
        <w:pStyle w:val="Heading3"/>
      </w:pPr>
      <w:r>
        <w:t xml:space="preserve">6.3 Split knowledge &amp; dual control ของ cryptographic key (PCI Req 3.5–3.7)</w:t>
      </w:r>
    </w:p>
    <w:p>
      <w:pPr>
        <w:pStyle w:val="Compact"/>
        <w:numPr>
          <w:ilvl w:val="0"/>
          <w:numId w:val="1254"/>
        </w:numPr>
      </w:pPr>
      <w:r>
        <w:t xml:space="preserve">Master/Key-Encryption-Key สร้างและหมุนเวียนใน</w:t>
      </w:r>
      <w:r>
        <w:t xml:space="preserve"> </w:t>
      </w:r>
      <w:r>
        <w:rPr>
          <w:b/>
          <w:bCs/>
        </w:rPr>
        <w:t xml:space="preserve">HSM/KMS</w:t>
      </w:r>
      <w:r>
        <w:t xml:space="preserve"> </w:t>
      </w:r>
      <w:r>
        <w:t xml:space="preserve">(A5) ผ่าน key ceremony ที่มี</w:t>
      </w:r>
      <w:r>
        <w:t xml:space="preserve"> </w:t>
      </w:r>
      <w:r>
        <w:rPr>
          <w:b/>
          <w:bCs/>
        </w:rPr>
        <w:t xml:space="preserve">Key Custodian A + B</w:t>
      </w:r>
      <w:r>
        <w:t xml:space="preserve"> </w:t>
      </w:r>
      <w:r>
        <w:t xml:space="preserve">(คนละคน) และ Security เป็นสักขีพยาน</w:t>
      </w:r>
    </w:p>
    <w:p>
      <w:pPr>
        <w:pStyle w:val="Compact"/>
        <w:numPr>
          <w:ilvl w:val="0"/>
          <w:numId w:val="1254"/>
        </w:numPr>
      </w:pPr>
      <w:r>
        <w:t xml:space="preserve">ไม่มีบุคคลใดเข้าถึง key component ครบทุกส่วน (split knowledge); ไม่มี clear-text key อยู่นอก HSM</w:t>
      </w:r>
    </w:p>
    <w:p>
      <w:pPr>
        <w:pStyle w:val="Compact"/>
        <w:numPr>
          <w:ilvl w:val="0"/>
          <w:numId w:val="1254"/>
        </w:numPr>
      </w:pPr>
      <w:r>
        <w:t xml:space="preserve">ทุกพิธีมี</w:t>
      </w:r>
      <w:r>
        <w:t xml:space="preserve"> </w:t>
      </w:r>
      <w:r>
        <w:rPr>
          <w:b/>
          <w:bCs/>
        </w:rPr>
        <w:t xml:space="preserve">script + ใบลงนาม (ceremony log)</w:t>
      </w:r>
      <w:r>
        <w:t xml:space="preserve"> </w:t>
      </w:r>
      <w:r>
        <w:t xml:space="preserve">เก็บเป็นหลักฐานสำหรับ QSA</w:t>
      </w:r>
    </w:p>
    <w:p>
      <w:pPr>
        <w:pStyle w:val="Compact"/>
        <w:numPr>
          <w:ilvl w:val="0"/>
          <w:numId w:val="1254"/>
        </w:numPr>
      </w:pPr>
      <w:r>
        <w:t xml:space="preserve">การหมุน key ตามรอบที่กำหนดในนโยบาย key management และเมื่อสงสัยว่ารั่วไหล</w:t>
      </w:r>
    </w:p>
    <w:p>
      <w:r>
        <w:pict>
          <v:rect style="width:0;height:1.5pt" o:hralign="center" o:hrstd="t" o:hr="t"/>
        </w:pict>
      </w:r>
    </w:p>
    <w:bookmarkEnd w:id="599"/>
    <w:bookmarkEnd w:id="600"/>
    <w:bookmarkStart w:id="604" w:name="Xe6acb0ed78d955633df28ec4ea7501af3b5dba1"/>
    <w:p>
      <w:pPr>
        <w:pStyle w:val="Heading2"/>
      </w:pPr>
      <w:r>
        <w:t xml:space="preserve">7. หลักสิทธิ์ขั้นต่ำและวงจรชีวิตสิทธิ์ (Least Privilege &amp; Access Lifecycle)</w:t>
      </w:r>
    </w:p>
    <w:bookmarkStart w:id="601" w:name="วงจร-joinermoverleaver-jml"/>
    <w:p>
      <w:pPr>
        <w:pStyle w:val="Heading3"/>
      </w:pPr>
      <w:r>
        <w:t xml:space="preserve">7.1 วงจร Joiner–Mover–Leaver (JML)</w:t>
      </w:r>
    </w:p>
    <w:tbl>
      <w:tblPr>
        <w:tblStyle w:val="Table"/>
        <w:tblW w:type="pct" w:w="5000"/>
        <w:tblLayout w:type="fixed"/>
        <w:tblLook w:firstRow="1" w:lastRow="0" w:firstColumn="0" w:lastColumn="0" w:noHBand="0" w:noVBand="0" w:val="0020"/>
      </w:tblPr>
      <w:tblGrid>
        <w:gridCol w:w="2904"/>
        <w:gridCol w:w="3696"/>
        <w:gridCol w:w="1320"/>
      </w:tblGrid>
      <w:tr>
        <w:trPr>
          <w:tblHeader w:val="on"/>
        </w:trPr>
        <w:tc>
          <w:tcPr/>
          <w:p>
            <w:pPr>
              <w:pStyle w:val="Compact"/>
            </w:pPr>
            <w:r>
              <w:t xml:space="preserve">เหตุการณ์</w:t>
            </w:r>
          </w:p>
        </w:tc>
        <w:tc>
          <w:tcPr/>
          <w:p>
            <w:pPr>
              <w:pStyle w:val="Compact"/>
            </w:pPr>
            <w:r>
              <w:t xml:space="preserve">การดำเนินการ</w:t>
            </w:r>
          </w:p>
        </w:tc>
        <w:tc>
          <w:tcPr/>
          <w:p>
            <w:pPr>
              <w:pStyle w:val="Compact"/>
            </w:pPr>
            <w:r>
              <w:t xml:space="preserve">SLA</w:t>
            </w:r>
          </w:p>
        </w:tc>
      </w:tr>
      <w:tr>
        <w:tc>
          <w:tcPr/>
          <w:p>
            <w:pPr>
              <w:pStyle w:val="Compact"/>
            </w:pPr>
            <w:r>
              <w:rPr>
                <w:b/>
                <w:bCs/>
              </w:rPr>
              <w:t xml:space="preserve">Joiner</w:t>
            </w:r>
          </w:p>
        </w:tc>
        <w:tc>
          <w:tcPr/>
          <w:p>
            <w:pPr>
              <w:pStyle w:val="Compact"/>
            </w:pPr>
            <w:r>
              <w:t xml:space="preserve">ให้เฉพาะ role ตามตำแหน่ง (RBAC template) โดย line manager ร้อง + R-IAM-ADMIN maker + checker</w:t>
            </w:r>
          </w:p>
        </w:tc>
        <w:tc>
          <w:tcPr/>
          <w:p>
            <w:pPr>
              <w:pStyle w:val="Compact"/>
            </w:pPr>
            <w:r>
              <w:t xml:space="preserve">ภายในวันเริ่มงาน</w:t>
            </w:r>
          </w:p>
        </w:tc>
      </w:tr>
      <w:tr>
        <w:tc>
          <w:tcPr/>
          <w:p>
            <w:pPr>
              <w:pStyle w:val="Compact"/>
            </w:pPr>
            <w:r>
              <w:rPr>
                <w:b/>
                <w:bCs/>
              </w:rPr>
              <w:t xml:space="preserve">Mover</w:t>
            </w:r>
            <w:r>
              <w:t xml:space="preserve"> </w:t>
            </w:r>
            <w:r>
              <w:t xml:space="preserve">(เปลี่ยนตำแหน่ง)</w:t>
            </w:r>
          </w:p>
        </w:tc>
        <w:tc>
          <w:tcPr/>
          <w:p>
            <w:pPr>
              <w:pStyle w:val="Compact"/>
            </w:pPr>
            <w:r>
              <w:rPr>
                <w:b/>
                <w:bCs/>
              </w:rPr>
              <w:t xml:space="preserve">เพิกถอนสิทธิ์เดิมทั้งหมด</w:t>
            </w:r>
            <w:r>
              <w:t xml:space="preserve"> </w:t>
            </w:r>
            <w:r>
              <w:t xml:space="preserve">แล้วให้ใหม่ตามตำแหน่งใหม่ (ห้าม accumulate/privilege creep)</w:t>
            </w:r>
          </w:p>
        </w:tc>
        <w:tc>
          <w:tcPr/>
          <w:p>
            <w:pPr>
              <w:pStyle w:val="Compact"/>
            </w:pPr>
            <w:r>
              <w:t xml:space="preserve">≤ 2 วันทำการ</w:t>
            </w:r>
          </w:p>
        </w:tc>
      </w:tr>
      <w:tr>
        <w:tc>
          <w:tcPr/>
          <w:p>
            <w:pPr>
              <w:pStyle w:val="Compact"/>
            </w:pPr>
            <w:r>
              <w:rPr>
                <w:b/>
                <w:bCs/>
              </w:rPr>
              <w:t xml:space="preserve">Leaver</w:t>
            </w:r>
          </w:p>
        </w:tc>
        <w:tc>
          <w:tcPr/>
          <w:p>
            <w:pPr>
              <w:pStyle w:val="Compact"/>
            </w:pPr>
            <w:r>
              <w:t xml:space="preserve">ปิด/ระงับทุก account, เพิกถอน token/คีย์, คืนอุปกรณ์</w:t>
            </w:r>
          </w:p>
        </w:tc>
        <w:tc>
          <w:tcPr/>
          <w:p>
            <w:pPr>
              <w:pStyle w:val="Compact"/>
            </w:pPr>
            <w:r>
              <w:rPr>
                <w:b/>
                <w:bCs/>
              </w:rPr>
              <w:t xml:space="preserve">≤ 4 ชม.</w:t>
            </w:r>
            <w:r>
              <w:t xml:space="preserve"> </w:t>
            </w:r>
            <w:r>
              <w:t xml:space="preserve">สำหรับ CDE/privileged; ≤ 24 ชม. อื่น ๆ</w:t>
            </w:r>
          </w:p>
        </w:tc>
      </w:tr>
    </w:tbl>
    <w:bookmarkEnd w:id="601"/>
    <w:bookmarkStart w:id="602" w:name="การใหสทธระดบสงแบบชวคราว-jit-break-glass"/>
    <w:p>
      <w:pPr>
        <w:pStyle w:val="Heading3"/>
      </w:pPr>
      <w:r>
        <w:t xml:space="preserve">7.2 การให้สิทธิ์ระดับสูงแบบชั่วคราว (JIT / Break-glass)</w:t>
      </w:r>
    </w:p>
    <w:p>
      <w:pPr>
        <w:pStyle w:val="Compact"/>
        <w:numPr>
          <w:ilvl w:val="0"/>
          <w:numId w:val="1255"/>
        </w:numPr>
      </w:pPr>
      <w:r>
        <w:t xml:space="preserve">สิทธิ์ระดับสูง/เข้า CDE เป็นแบบ</w:t>
      </w:r>
      <w:r>
        <w:t xml:space="preserve"> </w:t>
      </w:r>
      <w:r>
        <w:rPr>
          <w:b/>
          <w:bCs/>
        </w:rPr>
        <w:t xml:space="preserve">Just-In-Time</w:t>
      </w:r>
      <w:r>
        <w:t xml:space="preserve"> </w:t>
      </w:r>
      <w:r>
        <w:t xml:space="preserve">ผ่าน PAM (A4): ขอ → ระบุเหตุผล → อนุมัติ (dual) → ใช้งาน →</w:t>
      </w:r>
      <w:r>
        <w:t xml:space="preserve"> </w:t>
      </w:r>
      <w:r>
        <w:rPr>
          <w:b/>
          <w:bCs/>
        </w:rPr>
        <w:t xml:space="preserve">หมดอายุอัตโนมัติ (เช่น ≤ 60 นาที)</w:t>
      </w:r>
    </w:p>
    <w:p>
      <w:pPr>
        <w:pStyle w:val="Compact"/>
        <w:numPr>
          <w:ilvl w:val="0"/>
          <w:numId w:val="1255"/>
        </w:numPr>
      </w:pPr>
      <w:r>
        <w:t xml:space="preserve">Break-glass account สำหรับเหตุฉุกเฉิน: credential ปิดผนึกใน vault, การเปิดใช้ trigger alert ทันทีไปยัง CISO + on-call, ต้อง post-incident review ภายใน 24 ชม. และหมุน credential หลังใช้</w:t>
      </w:r>
    </w:p>
    <w:bookmarkEnd w:id="602"/>
    <w:bookmarkStart w:id="603" w:name="การทบทวนสทธ-access-recertification"/>
    <w:p>
      <w:pPr>
        <w:pStyle w:val="Heading3"/>
      </w:pPr>
      <w:r>
        <w:t xml:space="preserve">7.3 การทบทวนสิทธิ์ (Access Recertification)</w:t>
      </w:r>
    </w:p>
    <w:tbl>
      <w:tblPr>
        <w:tblStyle w:val="Table"/>
        <w:tblW w:type="pct" w:w="5000"/>
        <w:tblLayout w:type="fixed"/>
        <w:tblLook w:firstRow="1" w:lastRow="0" w:firstColumn="0" w:lastColumn="0" w:noHBand="0" w:noVBand="0" w:val="0020"/>
      </w:tblPr>
      <w:tblGrid>
        <w:gridCol w:w="2917"/>
        <w:gridCol w:w="2917"/>
        <w:gridCol w:w="2084"/>
      </w:tblGrid>
      <w:tr>
        <w:trPr>
          <w:tblHeader w:val="on"/>
        </w:trPr>
        <w:tc>
          <w:tcPr/>
          <w:p>
            <w:pPr>
              <w:pStyle w:val="Compact"/>
            </w:pPr>
            <w:r>
              <w:t xml:space="preserve">ประเภทสิทธิ์</w:t>
            </w:r>
          </w:p>
        </w:tc>
        <w:tc>
          <w:tcPr/>
          <w:p>
            <w:pPr>
              <w:pStyle w:val="Compact"/>
            </w:pPr>
            <w:r>
              <w:t xml:space="preserve">ความถี่ทบทวน</w:t>
            </w:r>
          </w:p>
        </w:tc>
        <w:tc>
          <w:tcPr/>
          <w:p>
            <w:pPr>
              <w:pStyle w:val="Compact"/>
            </w:pPr>
            <w:r>
              <w:t xml:space="preserve">ผู้ทบทวน</w:t>
            </w:r>
          </w:p>
        </w:tc>
      </w:tr>
      <w:tr>
        <w:tc>
          <w:tcPr/>
          <w:p>
            <w:pPr>
              <w:pStyle w:val="Compact"/>
            </w:pPr>
            <w:r>
              <w:t xml:space="preserve">Privileged / CDE / prod</w:t>
            </w:r>
          </w:p>
        </w:tc>
        <w:tc>
          <w:tcPr/>
          <w:p>
            <w:pPr>
              <w:pStyle w:val="Compact"/>
            </w:pPr>
            <w:r>
              <w:rPr>
                <w:b/>
                <w:bCs/>
              </w:rPr>
              <w:t xml:space="preserve">ทุกไตรมาส</w:t>
            </w:r>
          </w:p>
        </w:tc>
        <w:tc>
          <w:tcPr/>
          <w:p>
            <w:pPr>
              <w:pStyle w:val="Compact"/>
            </w:pPr>
            <w:r>
              <w:t xml:space="preserve">Line manager + R-SEC (PCI Req 7.2.4)</w:t>
            </w:r>
          </w:p>
        </w:tc>
      </w:tr>
      <w:tr>
        <w:tc>
          <w:tcPr/>
          <w:p>
            <w:pPr>
              <w:pStyle w:val="Compact"/>
            </w:pPr>
            <w:r>
              <w:t xml:space="preserve">สิทธิ์ทั่วไป (non-privileged)</w:t>
            </w:r>
          </w:p>
        </w:tc>
        <w:tc>
          <w:tcPr/>
          <w:p>
            <w:pPr>
              <w:pStyle w:val="Compact"/>
            </w:pPr>
            <w:r>
              <w:t xml:space="preserve">ทุก 6 เดือน</w:t>
            </w:r>
          </w:p>
        </w:tc>
        <w:tc>
          <w:tcPr/>
          <w:p>
            <w:pPr>
              <w:pStyle w:val="Compact"/>
            </w:pPr>
            <w:r>
              <w:t xml:space="preserve">Line manager</w:t>
            </w:r>
          </w:p>
        </w:tc>
      </w:tr>
      <w:tr>
        <w:tc>
          <w:tcPr/>
          <w:p>
            <w:pPr>
              <w:pStyle w:val="Compact"/>
            </w:pPr>
            <w:r>
              <w:t xml:space="preserve">Service account &amp; scope</w:t>
            </w:r>
          </w:p>
        </w:tc>
        <w:tc>
          <w:tcPr/>
          <w:p>
            <w:pPr>
              <w:pStyle w:val="Compact"/>
            </w:pPr>
            <w:r>
              <w:t xml:space="preserve">ทุกไตรมาส</w:t>
            </w:r>
          </w:p>
        </w:tc>
        <w:tc>
          <w:tcPr/>
          <w:p>
            <w:pPr>
              <w:pStyle w:val="Compact"/>
            </w:pPr>
            <w:r>
              <w:t xml:space="preserve">Owner + R-SEC</w:t>
            </w:r>
          </w:p>
        </w:tc>
      </w:tr>
      <w:tr>
        <w:tc>
          <w:tcPr/>
          <w:p>
            <w:pPr>
              <w:pStyle w:val="Compact"/>
            </w:pPr>
            <w:r>
              <w:t xml:space="preserve">SoD toxic-combination scan</w:t>
            </w:r>
          </w:p>
        </w:tc>
        <w:tc>
          <w:tcPr/>
          <w:p>
            <w:pPr>
              <w:pStyle w:val="Compact"/>
            </w:pPr>
            <w:r>
              <w:t xml:space="preserve">ทุกเดือน (อัตโนมัติ) + ทบทวนรายไตรมาส</w:t>
            </w:r>
          </w:p>
        </w:tc>
        <w:tc>
          <w:tcPr/>
          <w:p>
            <w:pPr>
              <w:pStyle w:val="Compact"/>
            </w:pPr>
            <w:r>
              <w:t xml:space="preserve">R-IAM-ADMIN + R-AUDIT</w:t>
            </w:r>
          </w:p>
        </w:tc>
      </w:tr>
    </w:tbl>
    <w:p>
      <w:pPr>
        <w:pStyle w:val="BlockText"/>
      </w:pPr>
      <w:r>
        <w:t xml:space="preserve">ผลการทบทวนและการเพิกถอนบันทึกเป็นหลักฐานให้ Internal Audit และ QSA; สิทธิ์ที่ไม่มีการใช้งาน (dormant) เกิน 90 วันจะถูกระงับอัตโนมัติ</w:t>
      </w:r>
    </w:p>
    <w:p>
      <w:r>
        <w:pict>
          <v:rect style="width:0;height:1.5pt" o:hralign="center" o:hrstd="t" o:hr="t"/>
        </w:pict>
      </w:r>
    </w:p>
    <w:bookmarkEnd w:id="603"/>
    <w:bookmarkEnd w:id="604"/>
    <w:bookmarkStart w:id="605" w:name="X0fc96a035857adf146782122e9e19656e58243b"/>
    <w:p>
      <w:pPr>
        <w:pStyle w:val="Heading2"/>
      </w:pPr>
      <w:r>
        <w:t xml:space="preserve">8. Compensating Controls (เมื่อทีมเล็กเกินจะแยกได้เต็มรูปแบบ)</w:t>
      </w:r>
    </w:p>
    <w:p>
      <w:pPr>
        <w:pStyle w:val="FirstParagraph"/>
      </w:pPr>
      <w:r>
        <w:t xml:space="preserve">ในระยะเริ่มต้น (Phase 0–2 ตาม ROADMAP) headcount อาจไม่พอแยกทุกบทบาท (A6) หากจำเป็นต้องควบบทบาทที่ขัดกัน ต้องมี compensating control ที่</w:t>
      </w:r>
      <w:r>
        <w:t xml:space="preserve"> </w:t>
      </w:r>
      <w:r>
        <w:rPr>
          <w:b/>
          <w:bCs/>
        </w:rPr>
        <w:t xml:space="preserve">อนุมัติเป็นลายลักษณ์อักษรโดย Risk Committee</w:t>
      </w:r>
      <w:r>
        <w:t xml:space="preserve"> </w:t>
      </w:r>
      <w:r>
        <w:t xml:space="preserve">และทบทวนทุกไตรมาส เช่น</w:t>
      </w:r>
    </w:p>
    <w:p>
      <w:pPr>
        <w:pStyle w:val="Compact"/>
        <w:numPr>
          <w:ilvl w:val="0"/>
          <w:numId w:val="1256"/>
        </w:numPr>
      </w:pPr>
      <w:r>
        <w:t xml:space="preserve">ให้</w:t>
      </w:r>
      <w:r>
        <w:t xml:space="preserve"> </w:t>
      </w:r>
      <w:r>
        <w:rPr>
          <w:b/>
          <w:bCs/>
        </w:rPr>
        <w:t xml:space="preserve">checker เป็นบุคคลจาก 2nd/3rd line</w:t>
      </w:r>
      <w:r>
        <w:t xml:space="preserve"> </w:t>
      </w:r>
      <w:r>
        <w:t xml:space="preserve">(เช่น CISO/CCO) แทนเพื่อนร่วมทีมเมื่อ maker–checker ในทีมเดียวไม่พอ</w:t>
      </w:r>
    </w:p>
    <w:p>
      <w:pPr>
        <w:pStyle w:val="Compact"/>
        <w:numPr>
          <w:ilvl w:val="0"/>
          <w:numId w:val="1256"/>
        </w:numPr>
      </w:pPr>
      <w:r>
        <w:t xml:space="preserve">เพิ่ม</w:t>
      </w:r>
      <w:r>
        <w:t xml:space="preserve"> </w:t>
      </w:r>
      <w:r>
        <w:rPr>
          <w:b/>
          <w:bCs/>
        </w:rPr>
        <w:t xml:space="preserve">detective control</w:t>
      </w:r>
      <w:r>
        <w:t xml:space="preserve">: การสอบทานรายวัน/สุ่มตรวจ, alert อัตโนมัติเมื่อเกิด single-person action บนปฏิบัติการสำคัญ, การกระทบยอด ledger รายวัน</w:t>
      </w:r>
    </w:p>
    <w:p>
      <w:pPr>
        <w:pStyle w:val="Compact"/>
        <w:numPr>
          <w:ilvl w:val="0"/>
          <w:numId w:val="1256"/>
        </w:numPr>
      </w:pPr>
      <w:r>
        <w:rPr>
          <w:b/>
          <w:bCs/>
        </w:rPr>
        <w:t xml:space="preserve">บันทึกการควบบทบาท</w:t>
      </w:r>
      <w:r>
        <w:t xml:space="preserve"> </w:t>
      </w:r>
      <w:r>
        <w:t xml:space="preserve">ลงทะเบียน SoD exception register พร้อมวันหมดอายุ และแผนแยกบทบาทเมื่อ headcount เพิ่ม</w:t>
      </w:r>
    </w:p>
    <w:p>
      <w:pPr>
        <w:pStyle w:val="Compact"/>
        <w:numPr>
          <w:ilvl w:val="0"/>
          <w:numId w:val="1256"/>
        </w:numPr>
      </w:pPr>
      <w:r>
        <w:t xml:space="preserve">Internal Audit ทดสอบประสิทธิผลของ compensating control ทุกไตรมาสและรายงานต่อ Audit Committee</w:t>
      </w:r>
    </w:p>
    <w:p>
      <w:r>
        <w:pict>
          <v:rect style="width:0;height:1.5pt" o:hralign="center" o:hrstd="t" o:hr="t"/>
        </w:pict>
      </w:r>
    </w:p>
    <w:bookmarkEnd w:id="605"/>
    <w:bookmarkStart w:id="606" w:name="Xd06f1d3c99049d9efdb01e795b5bb9d77c97c5b"/>
    <w:p>
      <w:pPr>
        <w:pStyle w:val="Heading2"/>
      </w:pPr>
      <w:r>
        <w:t xml:space="preserve">9. การบังคับใช้ ตรวจสอบ และการรายงาน (Enforcement, Audit &amp; Reporting)</w:t>
      </w:r>
    </w:p>
    <w:p>
      <w:pPr>
        <w:pStyle w:val="Compact"/>
        <w:numPr>
          <w:ilvl w:val="0"/>
          <w:numId w:val="1257"/>
        </w:numPr>
      </w:pPr>
      <w:r>
        <w:rPr>
          <w:b/>
          <w:bCs/>
        </w:rPr>
        <w:t xml:space="preserve">บังคับด้วยระบบ:</w:t>
      </w:r>
      <w:r>
        <w:t xml:space="preserve"> </w:t>
      </w:r>
      <w:r>
        <w:t xml:space="preserve">IdP/PAM/แอปเป็นจุดบังคับ SoD และ least privilege; นโยบายที่บังคับด้วยเอกสารอย่างเดียวถือว่าไม่เพียงพอ</w:t>
      </w:r>
    </w:p>
    <w:p>
      <w:pPr>
        <w:pStyle w:val="Compact"/>
        <w:numPr>
          <w:ilvl w:val="0"/>
          <w:numId w:val="1257"/>
        </w:numPr>
      </w:pPr>
      <w:r>
        <w:rPr>
          <w:b/>
          <w:bCs/>
        </w:rPr>
        <w:t xml:space="preserve">Logging (PCI Req 10):</w:t>
      </w:r>
      <w:r>
        <w:t xml:space="preserve"> </w:t>
      </w:r>
      <w:r>
        <w:t xml:space="preserve">ทุกการให้สิทธิ์, การใช้สิทธิ์ระดับสูง, การอนุมัติ dual control, break-glass ลง</w:t>
      </w:r>
      <w:r>
        <w:t xml:space="preserve"> </w:t>
      </w:r>
      <w:r>
        <w:rPr>
          <w:rStyle w:val="VerbatimChar"/>
        </w:rPr>
        <w:t xml:space="preserve">audit_log</w:t>
      </w:r>
      <w:r>
        <w:t xml:space="preserve"> </w:t>
      </w:r>
      <w:r>
        <w:t xml:space="preserve">แบบ append-only, ป้องกันการแก้ไข, เก็บอย่างน้อย</w:t>
      </w:r>
      <w:r>
        <w:t xml:space="preserve"> </w:t>
      </w:r>
      <w:r>
        <w:rPr>
          <w:b/>
          <w:bCs/>
        </w:rPr>
        <w:t xml:space="preserve">1 ปี online + รวม 12 เดือนพร้อมใช้ทันที</w:t>
      </w:r>
      <w:r>
        <w:t xml:space="preserve"> </w:t>
      </w:r>
      <w:r>
        <w:t xml:space="preserve">(จัดเก็บระยะยาวตาม</w:t>
      </w:r>
      <w:r>
        <w:t xml:space="preserve"> </w:t>
      </w:r>
      <w:r>
        <w:rPr>
          <w:rStyle w:val="VerbatimChar"/>
        </w:rPr>
        <w:t xml:space="preserve">11-data-retention-deletion.md</w:t>
      </w:r>
      <w:r>
        <w:t xml:space="preserve">)</w:t>
      </w:r>
    </w:p>
    <w:p>
      <w:pPr>
        <w:pStyle w:val="Compact"/>
        <w:numPr>
          <w:ilvl w:val="0"/>
          <w:numId w:val="1257"/>
        </w:numPr>
      </w:pPr>
      <w:r>
        <w:rPr>
          <w:b/>
          <w:bCs/>
        </w:rPr>
        <w:t xml:space="preserve">การตรวจสอบภายใน:</w:t>
      </w:r>
      <w:r>
        <w:t xml:space="preserve"> </w:t>
      </w:r>
      <w:r>
        <w:t xml:space="preserve">Internal Audit (3rd line) ทดสอบ SoD matrix และ toxic-combination อย่างน้อยปีละครั้ง รายงานต่อ Audit Committee</w:t>
      </w:r>
    </w:p>
    <w:p>
      <w:pPr>
        <w:pStyle w:val="Compact"/>
        <w:numPr>
          <w:ilvl w:val="0"/>
          <w:numId w:val="1257"/>
        </w:numPr>
      </w:pPr>
      <w:r>
        <w:rPr>
          <w:b/>
          <w:bCs/>
        </w:rPr>
        <w:t xml:space="preserve">การประเมินภายนอก:</w:t>
      </w:r>
      <w:r>
        <w:t xml:space="preserve"> </w:t>
      </w:r>
      <w:r>
        <w:t xml:space="preserve">QSA (A3) ทบทวน SoD/least privilege/dual control เป็นส่วนหนึ่งของ PCI-DSS v4.0 RoC ประจำปี</w:t>
      </w:r>
    </w:p>
    <w:p>
      <w:pPr>
        <w:pStyle w:val="Compact"/>
        <w:numPr>
          <w:ilvl w:val="0"/>
          <w:numId w:val="1257"/>
        </w:numPr>
      </w:pPr>
      <w:r>
        <w:rPr>
          <w:b/>
          <w:bCs/>
        </w:rPr>
        <w:t xml:space="preserve">การละเมิด:</w:t>
      </w:r>
      <w:r>
        <w:t xml:space="preserve"> </w:t>
      </w:r>
      <w:r>
        <w:t xml:space="preserve">การหลบเลี่ยง SoD/least privilege ถือเป็นการละเมิดนโยบายความปลอดภัยและอาจนำสู่มาตรการทางวินัยและการรายงานต่อผู้กำกับหากเข้าข่าย</w:t>
      </w:r>
    </w:p>
    <w:p>
      <w:r>
        <w:pict>
          <v:rect style="width:0;height:1.5pt" o:hralign="center" o:hrstd="t" o:hr="t"/>
        </w:pict>
      </w:r>
    </w:p>
    <w:bookmarkEnd w:id="606"/>
    <w:bookmarkStart w:id="607" w:name="ความถการทบทวนเอกสาร-document-review"/>
    <w:p>
      <w:pPr>
        <w:pStyle w:val="Heading2"/>
      </w:pPr>
      <w:r>
        <w:t xml:space="preserve">10. ความถี่การทบทวนเอกสาร (Document Review)</w:t>
      </w:r>
    </w:p>
    <w:p>
      <w:pPr>
        <w:pStyle w:val="FirstParagraph"/>
      </w:pPr>
      <w:r>
        <w:t xml:space="preserve">ทบทวนเอกสารนี้อย่างน้อย</w:t>
      </w:r>
      <w:r>
        <w:t xml:space="preserve"> </w:t>
      </w:r>
      <w:r>
        <w:rPr>
          <w:b/>
          <w:bCs/>
        </w:rPr>
        <w:t xml:space="preserve">ปีละครั้ง</w:t>
      </w:r>
      <w:r>
        <w:t xml:space="preserve"> </w:t>
      </w:r>
      <w:r>
        <w:t xml:space="preserve">และเมื่อ (ก) มีการเปลี่ยนโครงสร้างองค์กร/บทบาท (ข) มีการเปลี่ยน risk appetite (ค) มีเหตุการณ์/ผลตรวจสอบชี้ช่องว่าง (ง) PCI-DSS หรือประกาศ ธปท./ปปง./PDPC ปรับปรุง — เจ้าของเอกสาร: CISO ร่วมกับ CCO อนุมัติโดย Risk Committee</w:t>
      </w:r>
    </w:p>
    <w:bookmarkEnd w:id="607"/>
    <w:bookmarkEnd w:id="608"/>
    <w:bookmarkStart w:id="625" w:name="Xf6e1abf9fdd6c565b2a9ed2fd775f091e93abdc"/>
    <w:p>
      <w:pPr>
        <w:pStyle w:val="Heading1"/>
      </w:pPr>
      <w:r>
        <w:t xml:space="preserve">Segregation of Duties matrix + least-privilege access control, dual control for key operations (English)</w:t>
      </w:r>
    </w:p>
    <w:p>
      <w:pPr>
        <w:pStyle w:val="BlockText"/>
      </w:pPr>
      <w:r>
        <w:t xml:space="preserve">Supporting document for the</w:t>
      </w:r>
      <w:r>
        <w:t xml:space="preserve"> </w:t>
      </w:r>
      <w:r>
        <w:rPr>
          <w:b/>
          <w:bCs/>
        </w:rPr>
        <w:t xml:space="preserve">Acquiring Service license application</w:t>
      </w:r>
      <w:r>
        <w:t xml:space="preserve"> </w:t>
      </w:r>
      <w:r>
        <w:t xml:space="preserve">under the</w:t>
      </w:r>
      <w:r>
        <w:t xml:space="preserve"> </w:t>
      </w:r>
      <w:r>
        <w:rPr>
          <w:b/>
          <w:bCs/>
        </w:rPr>
        <w:t xml:space="preserve">Payment Systems Act B.E. 2560 (2017)</w:t>
      </w:r>
      <w:r>
        <w:t xml:space="preserve">, supervised by the</w:t>
      </w:r>
      <w:r>
        <w:t xml:space="preserve"> </w:t>
      </w:r>
      <w:r>
        <w:rPr>
          <w:b/>
          <w:bCs/>
        </w:rPr>
        <w:t xml:space="preserve">Bank of Thailand (BOT)</w:t>
      </w:r>
      <w:r>
        <w:t xml:space="preserve">, with paid-up registered capital of</w:t>
      </w:r>
      <w:r>
        <w:t xml:space="preserve"> </w:t>
      </w:r>
      <w:r>
        <w:rPr>
          <w:b/>
          <w:bCs/>
        </w:rPr>
        <w:t xml:space="preserve">THB 50 million</w:t>
      </w:r>
      <w:r>
        <w:t xml:space="preserve">, alongside</w:t>
      </w:r>
      <w:r>
        <w:t xml:space="preserve"> </w:t>
      </w:r>
      <w:r>
        <w:rPr>
          <w:b/>
          <w:bCs/>
        </w:rPr>
        <w:t xml:space="preserve">PCI-DSS v4.0 Level 1</w:t>
      </w:r>
      <w:r>
        <w:t xml:space="preserve">.</w:t>
      </w:r>
    </w:p>
    <w:p>
      <w:pPr>
        <w:pStyle w:val="BlockText"/>
      </w:pPr>
      <w:r>
        <w:t xml:space="preserve">Document ID:</w:t>
      </w:r>
      <w:r>
        <w:t xml:space="preserve"> </w:t>
      </w:r>
      <w:r>
        <w:rPr>
          <w:rStyle w:val="VerbatimChar"/>
        </w:rPr>
        <w:t xml:space="preserve">COMP-18</w:t>
      </w:r>
      <w:r>
        <w:t xml:space="preserve"> </w:t>
      </w:r>
      <w:r>
        <w:t xml:space="preserve">· Version 0.1 · Owner: Chief Information Security Officer (CISO) with the Chief Compliance Officer (CCO)</w:t>
      </w:r>
      <w:r>
        <w:t xml:space="preserve"> </w:t>
      </w:r>
      <w:r>
        <w:t xml:space="preserve">Related:</w:t>
      </w:r>
      <w:r>
        <w:t xml:space="preserve"> </w:t>
      </w:r>
      <w:r>
        <w:rPr>
          <w:rStyle w:val="VerbatimChar"/>
        </w:rPr>
        <w:t xml:space="preserve">04-org-chart-governance.md</w:t>
      </w:r>
      <w:r>
        <w:t xml:space="preserve">,</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pPr>
        <w:pStyle w:val="BlockText"/>
      </w:pPr>
      <w:r>
        <w:rPr>
          <w:b/>
          <w:bCs/>
        </w:rPr>
        <w:t xml:space="preserve">Disclaimer:</w:t>
      </w:r>
      <w:r>
        <w:t xml:space="preserve"> </w:t>
      </w:r>
      <w:r>
        <w:t xml:space="preserve">This is a structural reference document, not legal advice. It must be reviewed by BOT-licensing legal counsel and the QSA before submission.</w:t>
      </w:r>
    </w:p>
    <w:p>
      <w:r>
        <w:pict>
          <v:rect style="width:0;height:1.5pt" o:hralign="center" o:hrstd="t" o:hr="t"/>
        </w:pict>
      </w:r>
    </w:p>
    <w:p>
      <w:pPr>
        <w:pStyle w:val="BlockText"/>
      </w:pPr>
      <w:r>
        <w:t xml:space="preserve">[!IMPORTANT]</w:t>
      </w:r>
      <w:r>
        <w:t xml:space="preserve"> </w:t>
      </w:r>
      <w:r>
        <w:rPr>
          <w:b/>
          <w:bCs/>
        </w:rPr>
        <w:t xml:space="preserve">Assumptions / Open TODOs</w:t>
      </w:r>
      <w:r>
        <w:t xml:space="preserve"> </w:t>
      </w:r>
      <w:r>
        <w:t xml:space="preserve">— real values must be completed before BOT submission.</w:t>
      </w:r>
    </w:p>
    <w:tbl>
      <w:tblPr>
        <w:tblStyle w:val="Table"/>
        <w:tblW w:type="pct" w:w="5000"/>
        <w:tblLayout w:type="fixed"/>
        <w:tblLook w:firstRow="1" w:lastRow="0" w:firstColumn="0" w:lastColumn="0" w:noHBand="0" w:noVBand="0" w:val="0020"/>
      </w:tblPr>
      <w:tblGrid>
        <w:gridCol w:w="990"/>
        <w:gridCol w:w="1980"/>
        <w:gridCol w:w="2640"/>
        <w:gridCol w:w="2310"/>
      </w:tblGrid>
      <w:tr>
        <w:trPr>
          <w:tblHeader w:val="on"/>
        </w:trPr>
        <w:tc>
          <w:tcPr/>
          <w:p>
            <w:pPr>
              <w:pStyle w:val="Compact"/>
            </w:pPr>
            <w:r>
              <w:t xml:space="preserve">#</w:t>
            </w:r>
          </w:p>
        </w:tc>
        <w:tc>
          <w:tcPr/>
          <w:p>
            <w:pPr>
              <w:pStyle w:val="Compact"/>
            </w:pPr>
            <w:r>
              <w:t xml:space="preserve">Item</w:t>
            </w:r>
          </w:p>
        </w:tc>
        <w:tc>
          <w:tcPr/>
          <w:p>
            <w:pPr>
              <w:pStyle w:val="Compact"/>
            </w:pPr>
            <w:r>
              <w:t xml:space="preserve">Status</w:t>
            </w:r>
          </w:p>
        </w:tc>
        <w:tc>
          <w:tcPr/>
          <w:p>
            <w:pPr>
              <w:pStyle w:val="Compact"/>
            </w:pPr>
            <w:r>
              <w:t xml:space="preserve">Owner</w:t>
            </w:r>
          </w:p>
        </w:tc>
      </w:tr>
      <w:tr>
        <w:tc>
          <w:tcPr/>
          <w:p>
            <w:pPr>
              <w:pStyle w:val="Compact"/>
            </w:pPr>
            <w:r>
              <w:t xml:space="preserve">A1</w:t>
            </w:r>
          </w:p>
        </w:tc>
        <w:tc>
          <w:tcPr/>
          <w:p>
            <w:pPr>
              <w:pStyle w:val="Compact"/>
            </w:pPr>
            <w:r>
              <w:rPr>
                <w:b/>
                <w:bCs/>
              </w:rPr>
              <w:t xml:space="preserve">Legal company name</w:t>
            </w:r>
            <w:r>
              <w:t xml:space="preserve"> </w:t>
            </w:r>
            <w:r>
              <w:t xml:space="preserve">— placeholder</w:t>
            </w:r>
            <w:r>
              <w:t xml:space="preserve"> </w:t>
            </w:r>
            <w:r>
              <w:rPr>
                <w:rStyle w:val="VerbatimChar"/>
              </w:rPr>
              <w:t xml:space="preserve">[บริษัท / Company]</w:t>
            </w:r>
            <w:r>
              <w:t xml:space="preserve"> </w:t>
            </w:r>
            <w:r>
              <w:t xml:space="preserve">used throughout</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 acquiring bank</w:t>
            </w:r>
            <w:r>
              <w:t xml:space="preserve"> </w:t>
            </w:r>
            <w:r>
              <w:t xml:space="preserve">— not yet signed, so the downstream settlement-instruction role is not finalized (Track B per ROADMAP)</w:t>
            </w:r>
          </w:p>
        </w:tc>
        <w:tc>
          <w:tcPr/>
          <w:p>
            <w:pPr>
              <w:pStyle w:val="Compact"/>
            </w:pPr>
            <w:r>
              <w:t xml:space="preserve">Unresolved</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QSA vendor (PCI-DSS v4.0 L1)</w:t>
            </w:r>
            <w:r>
              <w:t xml:space="preserve"> </w:t>
            </w:r>
            <w:r>
              <w:t xml:space="preserve">— not yet selected; external SoD-matrix reviewer undefined</w:t>
            </w:r>
          </w:p>
        </w:tc>
        <w:tc>
          <w:tcPr/>
          <w:p>
            <w:pPr>
              <w:pStyle w:val="Compact"/>
            </w:pPr>
            <w:r>
              <w:t xml:space="preserve">Unresolved</w:t>
            </w:r>
          </w:p>
        </w:tc>
        <w:tc>
          <w:tcPr/>
          <w:p>
            <w:pPr>
              <w:pStyle w:val="Compact"/>
            </w:pPr>
            <w:r>
              <w:t xml:space="preserve">CISO</w:t>
            </w:r>
          </w:p>
        </w:tc>
      </w:tr>
      <w:tr>
        <w:tc>
          <w:tcPr/>
          <w:p>
            <w:pPr>
              <w:pStyle w:val="Compact"/>
            </w:pPr>
            <w:r>
              <w:t xml:space="preserve">A4</w:t>
            </w:r>
          </w:p>
        </w:tc>
        <w:tc>
          <w:tcPr/>
          <w:p>
            <w:pPr>
              <w:pStyle w:val="Compact"/>
            </w:pPr>
            <w:r>
              <w:rPr>
                <w:b/>
                <w:bCs/>
              </w:rPr>
              <w:t xml:space="preserve">Actual IAM/IdP and PAM tooling</w:t>
            </w:r>
            <w:r>
              <w:t xml:space="preserve"> </w:t>
            </w:r>
            <w:r>
              <w:t xml:space="preserve">(IdP + privileged access management + secrets vault) — not procured; product names are placeholders</w:t>
            </w:r>
          </w:p>
        </w:tc>
        <w:tc>
          <w:tcPr/>
          <w:p>
            <w:pPr>
              <w:pStyle w:val="Compact"/>
            </w:pPr>
            <w:r>
              <w:t xml:space="preserve">Unresolved</w:t>
            </w:r>
          </w:p>
        </w:tc>
        <w:tc>
          <w:tcPr/>
          <w:p>
            <w:pPr>
              <w:pStyle w:val="Compact"/>
            </w:pPr>
            <w:r>
              <w:t xml:space="preserve">CISO / Head of Infrastructure</w:t>
            </w:r>
          </w:p>
        </w:tc>
      </w:tr>
      <w:tr>
        <w:tc>
          <w:tcPr/>
          <w:p>
            <w:pPr>
              <w:pStyle w:val="Compact"/>
            </w:pPr>
            <w:r>
              <w:t xml:space="preserve">A5</w:t>
            </w:r>
          </w:p>
        </w:tc>
        <w:tc>
          <w:tcPr/>
          <w:p>
            <w:pPr>
              <w:pStyle w:val="Compact"/>
            </w:pPr>
            <w:r>
              <w:rPr>
                <w:b/>
                <w:bCs/>
              </w:rPr>
              <w:t xml:space="preserve">Actual HSM/KMS</w:t>
            </w:r>
            <w:r>
              <w:t xml:space="preserve"> </w:t>
            </w:r>
            <w:r>
              <w:t xml:space="preserve">for dual-control / split-knowledge key ceremonies</w:t>
            </w:r>
          </w:p>
        </w:tc>
        <w:tc>
          <w:tcPr/>
          <w:p>
            <w:pPr>
              <w:pStyle w:val="Compact"/>
            </w:pPr>
            <w:r>
              <w:t xml:space="preserve">Unresolved</w:t>
            </w:r>
          </w:p>
        </w:tc>
        <w:tc>
          <w:tcPr/>
          <w:p>
            <w:pPr>
              <w:pStyle w:val="Compact"/>
            </w:pPr>
            <w:r>
              <w:t xml:space="preserve">CISO</w:t>
            </w:r>
          </w:p>
        </w:tc>
      </w:tr>
      <w:tr>
        <w:tc>
          <w:tcPr/>
          <w:p>
            <w:pPr>
              <w:pStyle w:val="Compact"/>
            </w:pPr>
            <w:r>
              <w:t xml:space="preserve">A6</w:t>
            </w:r>
          </w:p>
        </w:tc>
        <w:tc>
          <w:tcPr/>
          <w:p>
            <w:pPr>
              <w:pStyle w:val="Compact"/>
            </w:pPr>
            <w:r>
              <w:rPr>
                <w:b/>
                <w:bCs/>
              </w:rPr>
              <w:t xml:space="preserve">Actual headcount at submission</w:t>
            </w:r>
            <w:r>
              <w:t xml:space="preserve"> </w:t>
            </w:r>
            <w:r>
              <w:t xml:space="preserve">— this matrix assumes the minimum team in ROADMAP §3; if the team is too small and conflicting roles must be combined, a written</w:t>
            </w:r>
            <w:r>
              <w:t xml:space="preserve"> </w:t>
            </w:r>
            <w:r>
              <w:rPr>
                <w:b/>
                <w:bCs/>
              </w:rPr>
              <w:t xml:space="preserve">compensating control</w:t>
            </w:r>
            <w:r>
              <w:t xml:space="preserve"> </w:t>
            </w:r>
            <w:r>
              <w:t xml:space="preserve">is mandatory</w:t>
            </w:r>
          </w:p>
        </w:tc>
        <w:tc>
          <w:tcPr/>
          <w:p>
            <w:pPr>
              <w:pStyle w:val="Compact"/>
            </w:pPr>
            <w:r>
              <w:t xml:space="preserve">TODO</w:t>
            </w:r>
          </w:p>
        </w:tc>
        <w:tc>
          <w:tcPr/>
          <w:p>
            <w:pPr>
              <w:pStyle w:val="Compact"/>
            </w:pPr>
            <w:r>
              <w:t xml:space="preserve">CISO / CCO</w:t>
            </w:r>
          </w:p>
        </w:tc>
      </w:tr>
      <w:tr>
        <w:tc>
          <w:tcPr/>
          <w:p>
            <w:pPr>
              <w:pStyle w:val="Compact"/>
            </w:pPr>
            <w:r>
              <w:t xml:space="preserve">A7</w:t>
            </w:r>
          </w:p>
        </w:tc>
        <w:tc>
          <w:tcPr/>
          <w:p>
            <w:pPr>
              <w:pStyle w:val="Compact"/>
            </w:pPr>
            <w:r>
              <w:rPr>
                <w:b/>
                <w:bCs/>
              </w:rPr>
              <w:t xml:space="preserve">External independent audit firm</w:t>
            </w:r>
            <w:r>
              <w:t xml:space="preserve"> </w:t>
            </w:r>
            <w:r>
              <w:t xml:space="preserve">(co-source for annual SoD testing)</w:t>
            </w:r>
          </w:p>
        </w:tc>
        <w:tc>
          <w:tcPr/>
          <w:p>
            <w:pPr>
              <w:pStyle w:val="Compact"/>
            </w:pPr>
            <w:r>
              <w:t xml:space="preserve">Unresolved</w:t>
            </w:r>
          </w:p>
        </w:tc>
        <w:tc>
          <w:tcPr/>
          <w:p>
            <w:pPr>
              <w:pStyle w:val="Compact"/>
            </w:pPr>
            <w:r>
              <w:t xml:space="preserve">Audit Committee</w:t>
            </w:r>
          </w:p>
        </w:tc>
      </w:tr>
    </w:tbl>
    <w:p>
      <w:pPr>
        <w:pStyle w:val="BlockText"/>
      </w:pPr>
      <w:r>
        <w:t xml:space="preserve">Do not enter fictitious product/person names into the filed version — only verifiable information is permitted.</w:t>
      </w:r>
    </w:p>
    <w:p>
      <w:r>
        <w:pict>
          <v:rect style="width:0;height:1.5pt" o:hralign="center" o:hrstd="t" o:hr="t"/>
        </w:pict>
      </w:r>
    </w:p>
    <w:bookmarkStart w:id="609" w:name="purpose-scope-7"/>
    <w:p>
      <w:pPr>
        <w:pStyle w:val="Heading2"/>
      </w:pPr>
      <w:r>
        <w:t xml:space="preserve">1. Purpose &amp; Scope</w:t>
      </w:r>
    </w:p>
    <w:p>
      <w:pPr>
        <w:pStyle w:val="FirstParagraph"/>
      </w:pPr>
      <w:r>
        <w:t xml:space="preserve">This document defines the</w:t>
      </w:r>
      <w:r>
        <w:t xml:space="preserve"> </w:t>
      </w:r>
      <w:r>
        <w:rPr>
          <w:b/>
          <w:bCs/>
        </w:rPr>
        <w:t xml:space="preserve">Segregation of Duties (SoD)</w:t>
      </w:r>
      <w:r>
        <w:t xml:space="preserve"> </w:t>
      </w:r>
      <w:r>
        <w:t xml:space="preserve">policy,</w:t>
      </w:r>
      <w:r>
        <w:t xml:space="preserve"> </w:t>
      </w:r>
      <w:r>
        <w:rPr>
          <w:b/>
          <w:bCs/>
        </w:rPr>
        <w:t xml:space="preserve">least-privilege access control</w:t>
      </w:r>
      <w:r>
        <w:t xml:space="preserve">, and</w:t>
      </w:r>
      <w:r>
        <w:t xml:space="preserve"> </w:t>
      </w:r>
      <w:r>
        <w:rPr>
          <w:b/>
          <w:bCs/>
        </w:rPr>
        <w:t xml:space="preserve">dual control (four-eyes)</w:t>
      </w:r>
      <w:r>
        <w:t xml:space="preserve"> </w:t>
      </w:r>
      <w:r>
        <w:t xml:space="preserve">requirements for [บริษัท / Company]’s key operations as a Full Acquiring Payment Gateway.</w:t>
      </w:r>
    </w:p>
    <w:p>
      <w:pPr>
        <w:pStyle w:val="BodyText"/>
      </w:pPr>
      <w:r>
        <w:rPr>
          <w:b/>
          <w:bCs/>
        </w:rPr>
        <w:t xml:space="preserve">Objectives:</w:t>
      </w:r>
    </w:p>
    <w:p>
      <w:pPr>
        <w:pStyle w:val="Compact"/>
        <w:numPr>
          <w:ilvl w:val="0"/>
          <w:numId w:val="1258"/>
        </w:numPr>
      </w:pPr>
      <w:r>
        <w:t xml:space="preserve">Prevent any single individual from controlling a sensitive transaction/process end-to-end, which could enable fraud, money laundering, or undetected error.</w:t>
      </w:r>
    </w:p>
    <w:p>
      <w:pPr>
        <w:pStyle w:val="Compact"/>
        <w:numPr>
          <w:ilvl w:val="0"/>
          <w:numId w:val="1258"/>
        </w:numPr>
      </w:pPr>
      <w:r>
        <w:t xml:space="preserve">Align with governance and the Three Lines of Defense per BOT notifications on IT Risk and Cyber Resilience (see</w:t>
      </w:r>
      <w:r>
        <w:t xml:space="preserve"> </w:t>
      </w:r>
      <w:r>
        <w:rPr>
          <w:rStyle w:val="VerbatimChar"/>
        </w:rPr>
        <w:t xml:space="preserve">04-org-chart-governance.md</w:t>
      </w:r>
      <w:r>
        <w:t xml:space="preserve">).</w:t>
      </w:r>
    </w:p>
    <w:p>
      <w:pPr>
        <w:pStyle w:val="Compact"/>
        <w:numPr>
          <w:ilvl w:val="0"/>
          <w:numId w:val="1258"/>
        </w:numPr>
      </w:pPr>
      <w:r>
        <w:t xml:space="preserve">Comply with</w:t>
      </w:r>
      <w:r>
        <w:t xml:space="preserve"> </w:t>
      </w:r>
      <w:r>
        <w:rPr>
          <w:b/>
          <w:bCs/>
        </w:rPr>
        <w:t xml:space="preserve">PCI-DSS v4.0</w:t>
      </w:r>
      <w:r>
        <w:t xml:space="preserve">, notably Requirement 7 (least privilege / need-to-know), Requirement 8 (identification &amp; authentication), Requirement 3 (dual control &amp; split knowledge for cryptographic keys), and Requirement 10 (logging &amp; accountability).</w:t>
      </w:r>
    </w:p>
    <w:p>
      <w:pPr>
        <w:pStyle w:val="Compact"/>
        <w:numPr>
          <w:ilvl w:val="0"/>
          <w:numId w:val="1258"/>
        </w:numPr>
      </w:pPr>
      <w:r>
        <w:t xml:space="preserve">Support</w:t>
      </w:r>
      <w:r>
        <w:t xml:space="preserve"> </w:t>
      </w:r>
      <w:r>
        <w:rPr>
          <w:b/>
          <w:bCs/>
        </w:rPr>
        <w:t xml:space="preserve">AMLO</w:t>
      </w:r>
      <w:r>
        <w:t xml:space="preserve"> </w:t>
      </w:r>
      <w:r>
        <w:t xml:space="preserve">requirements (separating the person who acts from the person who approves SAR/STR and sanction screening) and</w:t>
      </w:r>
      <w:r>
        <w:t xml:space="preserve"> </w:t>
      </w:r>
      <w:r>
        <w:rPr>
          <w:b/>
          <w:bCs/>
        </w:rPr>
        <w:t xml:space="preserve">PDPC/PDPA</w:t>
      </w:r>
      <w:r>
        <w:t xml:space="preserve"> </w:t>
      </w:r>
      <w:r>
        <w:t xml:space="preserve">(least privilege over personal data).</w:t>
      </w:r>
    </w:p>
    <w:p>
      <w:pPr>
        <w:pStyle w:val="FirstParagraph"/>
      </w:pPr>
      <w:r>
        <w:rPr>
          <w:b/>
          <w:bCs/>
        </w:rPr>
        <w:t xml:space="preserve">Scope:</w:t>
      </w:r>
      <w:r>
        <w:t xml:space="preserve"> </w:t>
      </w:r>
      <w:r>
        <w:t xml:space="preserve">all production systems, the PCI Cardholder Data Environment (CDE), tokenization vault, ledger/settlement, merchant onboarding, key management, and database/infrastructure access — for all employees, contractors, and service accounts.</w:t>
      </w:r>
    </w:p>
    <w:p>
      <w:r>
        <w:pict>
          <v:rect style="width:0;height:1.5pt" o:hralign="center" o:hrstd="t" o:hr="t"/>
        </w:pict>
      </w:r>
    </w:p>
    <w:bookmarkEnd w:id="609"/>
    <w:bookmarkStart w:id="610" w:name="definitions-principles"/>
    <w:p>
      <w:pPr>
        <w:pStyle w:val="Heading2"/>
      </w:pPr>
      <w:r>
        <w:t xml:space="preserve">2. Definitions &amp; Principles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Segregation of Duties (SoD)</w:t>
            </w:r>
          </w:p>
        </w:tc>
        <w:tc>
          <w:tcPr/>
          <w:p>
            <w:pPr>
              <w:pStyle w:val="Compact"/>
            </w:pPr>
            <w:r>
              <w:t xml:space="preserve">No single person controls the</w:t>
            </w:r>
            <w:r>
              <w:t xml:space="preserve"> </w:t>
            </w:r>
            <w:r>
              <w:rPr>
                <w:i/>
                <w:iCs/>
              </w:rPr>
              <w:t xml:space="preserve">initiate</w:t>
            </w:r>
            <w:r>
              <w:t xml:space="preserve">,</w:t>
            </w:r>
            <w:r>
              <w:t xml:space="preserve"> </w:t>
            </w:r>
            <w:r>
              <w:rPr>
                <w:i/>
                <w:iCs/>
              </w:rPr>
              <w:t xml:space="preserve">authorize</w:t>
            </w:r>
            <w:r>
              <w:t xml:space="preserve">,</w:t>
            </w:r>
            <w:r>
              <w:t xml:space="preserve"> </w:t>
            </w:r>
            <w:r>
              <w:rPr>
                <w:i/>
                <w:iCs/>
              </w:rPr>
              <w:t xml:space="preserve">record</w:t>
            </w:r>
            <w:r>
              <w:t xml:space="preserve">, and</w:t>
            </w:r>
            <w:r>
              <w:t xml:space="preserve"> </w:t>
            </w:r>
            <w:r>
              <w:rPr>
                <w:i/>
                <w:iCs/>
              </w:rPr>
              <w:t xml:space="preserve">reconcile</w:t>
            </w:r>
            <w:r>
              <w:t xml:space="preserve"> </w:t>
            </w:r>
            <w:r>
              <w:t xml:space="preserve">steps of the same transaction.</w:t>
            </w:r>
          </w:p>
        </w:tc>
      </w:tr>
      <w:tr>
        <w:tc>
          <w:tcPr/>
          <w:p>
            <w:pPr>
              <w:pStyle w:val="Compact"/>
            </w:pPr>
            <w:r>
              <w:rPr>
                <w:b/>
                <w:bCs/>
              </w:rPr>
              <w:t xml:space="preserve">Least Privilege</w:t>
            </w:r>
          </w:p>
        </w:tc>
        <w:tc>
          <w:tcPr/>
          <w:p>
            <w:pPr>
              <w:pStyle w:val="Compact"/>
            </w:pPr>
            <w:r>
              <w:t xml:space="preserve">A user/service account holds only the access strictly needed for its function (need-to-know / need-to-use), and only for as long as needed.</w:t>
            </w:r>
          </w:p>
        </w:tc>
      </w:tr>
      <w:tr>
        <w:tc>
          <w:tcPr/>
          <w:p>
            <w:pPr>
              <w:pStyle w:val="Compact"/>
            </w:pPr>
            <w:r>
              <w:rPr>
                <w:b/>
                <w:bCs/>
              </w:rPr>
              <w:t xml:space="preserve">Dual Control (Four-Eyes)</w:t>
            </w:r>
          </w:p>
        </w:tc>
        <w:tc>
          <w:tcPr/>
          <w:p>
            <w:pPr>
              <w:pStyle w:val="Compact"/>
            </w:pPr>
            <w:r>
              <w:t xml:space="preserve">A key action requires</w:t>
            </w:r>
            <w:r>
              <w:t xml:space="preserve"> </w:t>
            </w:r>
            <w:r>
              <w:rPr>
                <w:b/>
                <w:bCs/>
              </w:rPr>
              <w:t xml:space="preserve">two separate individuals</w:t>
            </w:r>
            <w:r>
              <w:t xml:space="preserve"> </w:t>
            </w:r>
            <w:r>
              <w:t xml:space="preserve">to complete (maker–checker); no one can complete all steps alone.</w:t>
            </w:r>
          </w:p>
        </w:tc>
      </w:tr>
      <w:tr>
        <w:tc>
          <w:tcPr/>
          <w:p>
            <w:pPr>
              <w:pStyle w:val="Compact"/>
            </w:pPr>
            <w:r>
              <w:rPr>
                <w:b/>
                <w:bCs/>
              </w:rPr>
              <w:t xml:space="preserve">Split Knowledge</w:t>
            </w:r>
          </w:p>
        </w:tc>
        <w:tc>
          <w:tcPr/>
          <w:p>
            <w:pPr>
              <w:pStyle w:val="Compact"/>
            </w:pPr>
            <w:r>
              <w:t xml:space="preserve">A secret (e.g. a cryptographic key component) is divided across individuals so no one can reconstruct the key alone (PCI Req 3.7).</w:t>
            </w:r>
          </w:p>
        </w:tc>
      </w:tr>
      <w:tr>
        <w:tc>
          <w:tcPr/>
          <w:p>
            <w:pPr>
              <w:pStyle w:val="Compact"/>
            </w:pPr>
            <w:r>
              <w:rPr>
                <w:b/>
                <w:bCs/>
              </w:rPr>
              <w:t xml:space="preserve">Maker–Checker</w:t>
            </w:r>
          </w:p>
        </w:tc>
        <w:tc>
          <w:tcPr/>
          <w:p>
            <w:pPr>
              <w:pStyle w:val="Compact"/>
            </w:pPr>
            <w:r>
              <w:t xml:space="preserve">The person who performs an action (maker) and the person who reviews/approves it (checker) are always different people.</w:t>
            </w:r>
          </w:p>
        </w:tc>
      </w:tr>
      <w:tr>
        <w:tc>
          <w:tcPr/>
          <w:p>
            <w:pPr>
              <w:pStyle w:val="Compact"/>
            </w:pPr>
            <w:r>
              <w:rPr>
                <w:b/>
                <w:bCs/>
              </w:rPr>
              <w:t xml:space="preserve">JIT / Break-glass</w:t>
            </w:r>
          </w:p>
        </w:tc>
        <w:tc>
          <w:tcPr/>
          <w:p>
            <w:pPr>
              <w:pStyle w:val="Compact"/>
            </w:pPr>
            <w:r>
              <w:t xml:space="preserve">Just-In-Time elevated access that auto-expires, with pre-approval and a logged justification.</w:t>
            </w:r>
          </w:p>
        </w:tc>
      </w:tr>
      <w:tr>
        <w:tc>
          <w:tcPr/>
          <w:p>
            <w:pPr>
              <w:pStyle w:val="Compact"/>
            </w:pPr>
            <w:r>
              <w:rPr>
                <w:b/>
                <w:bCs/>
              </w:rPr>
              <w:t xml:space="preserve">Toxic Combination</w:t>
            </w:r>
          </w:p>
        </w:tc>
        <w:tc>
          <w:tcPr/>
          <w:p>
            <w:pPr>
              <w:pStyle w:val="Compact"/>
            </w:pPr>
            <w:r>
              <w:t xml:space="preserve">A pair of privileges/duties that, if held by one person, creates severe fraud risk (see §5).</w:t>
            </w:r>
          </w:p>
        </w:tc>
      </w:tr>
    </w:tbl>
    <w:p>
      <w:pPr>
        <w:pStyle w:val="BodyText"/>
      </w:pPr>
      <w:r>
        <w:rPr>
          <w:b/>
          <w:bCs/>
        </w:rPr>
        <w:t xml:space="preserve">Seven principles:</w:t>
      </w:r>
    </w:p>
    <w:p>
      <w:pPr>
        <w:pStyle w:val="Compact"/>
        <w:numPr>
          <w:ilvl w:val="0"/>
          <w:numId w:val="1259"/>
        </w:numPr>
      </w:pPr>
      <w:r>
        <w:rPr>
          <w:b/>
          <w:bCs/>
        </w:rPr>
        <w:t xml:space="preserve">Separate the four transaction roles</w:t>
      </w:r>
      <w:r>
        <w:t xml:space="preserve"> </w:t>
      </w:r>
      <w:r>
        <w:t xml:space="preserve">— initiate / authorize / record / reconcile must span at least two people.</w:t>
      </w:r>
    </w:p>
    <w:p>
      <w:pPr>
        <w:pStyle w:val="Compact"/>
        <w:numPr>
          <w:ilvl w:val="0"/>
          <w:numId w:val="1259"/>
        </w:numPr>
      </w:pPr>
      <w:r>
        <w:rPr>
          <w:b/>
          <w:bCs/>
        </w:rPr>
        <w:t xml:space="preserve">Separate Dev from Prod</w:t>
      </w:r>
      <w:r>
        <w:t xml:space="preserve"> </w:t>
      </w:r>
      <w:r>
        <w:t xml:space="preserve">— developers must not be able to deploy or alter production data alone (PCI Req 6.5.3, 7).</w:t>
      </w:r>
    </w:p>
    <w:p>
      <w:pPr>
        <w:pStyle w:val="Compact"/>
        <w:numPr>
          <w:ilvl w:val="0"/>
          <w:numId w:val="1259"/>
        </w:numPr>
      </w:pPr>
      <w:r>
        <w:rPr>
          <w:b/>
          <w:bCs/>
        </w:rPr>
        <w:t xml:space="preserve">Separate doers from checkers</w:t>
      </w:r>
      <w:r>
        <w:t xml:space="preserve"> </w:t>
      </w:r>
      <w:r>
        <w:t xml:space="preserve">— 1st line (operations) is separate from 2nd line (risk/compliance/security) and 3rd line (internal audit).</w:t>
      </w:r>
    </w:p>
    <w:p>
      <w:pPr>
        <w:pStyle w:val="Compact"/>
        <w:numPr>
          <w:ilvl w:val="0"/>
          <w:numId w:val="1259"/>
        </w:numPr>
      </w:pPr>
      <w:r>
        <w:rPr>
          <w:b/>
          <w:bCs/>
        </w:rPr>
        <w:t xml:space="preserve">Deny by default</w:t>
      </w:r>
      <w:r>
        <w:t xml:space="preserve"> </w:t>
      </w:r>
      <w:r>
        <w:t xml:space="preserve">— no access is implicit; every entitlement is requested, approved, and recertified.</w:t>
      </w:r>
    </w:p>
    <w:p>
      <w:pPr>
        <w:pStyle w:val="Compact"/>
        <w:numPr>
          <w:ilvl w:val="0"/>
          <w:numId w:val="1259"/>
        </w:numPr>
      </w:pPr>
      <w:r>
        <w:rPr>
          <w:b/>
          <w:bCs/>
        </w:rPr>
        <w:t xml:space="preserve">Access has a lifespan</w:t>
      </w:r>
      <w:r>
        <w:t xml:space="preserve"> </w:t>
      </w:r>
      <w:r>
        <w:t xml:space="preserve">— elevated access is temporary/rotating, never permanent.</w:t>
      </w:r>
    </w:p>
    <w:p>
      <w:pPr>
        <w:pStyle w:val="Compact"/>
        <w:numPr>
          <w:ilvl w:val="0"/>
          <w:numId w:val="1259"/>
        </w:numPr>
      </w:pPr>
      <w:r>
        <w:rPr>
          <w:b/>
          <w:bCs/>
        </w:rPr>
        <w:t xml:space="preserve">Every action is attributable</w:t>
      </w:r>
      <w:r>
        <w:t xml:space="preserve"> </w:t>
      </w:r>
      <w:r>
        <w:t xml:space="preserve">— no shared/generic accounts; every action maps to a verifiable identity (PCI Req 8.2, 10).</w:t>
      </w:r>
    </w:p>
    <w:p>
      <w:pPr>
        <w:pStyle w:val="Compact"/>
        <w:numPr>
          <w:ilvl w:val="0"/>
          <w:numId w:val="1259"/>
        </w:numPr>
      </w:pPr>
      <w:r>
        <w:rPr>
          <w:b/>
          <w:bCs/>
        </w:rPr>
        <w:t xml:space="preserve">Compensating controls when true separation is impossible</w:t>
      </w:r>
      <w:r>
        <w:t xml:space="preserve"> </w:t>
      </w:r>
      <w:r>
        <w:t xml:space="preserve">— if the team is too small to split roles, a compensating control approved by the Risk Committee and reviewed quarterly is required.</w:t>
      </w:r>
    </w:p>
    <w:p>
      <w:r>
        <w:pict>
          <v:rect style="width:0;height:1.5pt" o:hralign="center" o:hrstd="t" o:hr="t"/>
        </w:pict>
      </w:r>
    </w:p>
    <w:bookmarkEnd w:id="610"/>
    <w:bookmarkStart w:id="611" w:name="roles-rbac-groups"/>
    <w:p>
      <w:pPr>
        <w:pStyle w:val="Heading2"/>
      </w:pPr>
      <w:r>
        <w:t xml:space="preserve">3. Roles / RBAC Groups</w:t>
      </w:r>
    </w:p>
    <w:p>
      <w:pPr>
        <w:pStyle w:val="FirstParagraph"/>
      </w:pPr>
      <w:r>
        <w:t xml:space="preserve">All access is granted via</w:t>
      </w:r>
      <w:r>
        <w:t xml:space="preserve"> </w:t>
      </w:r>
      <w:r>
        <w:rPr>
          <w:b/>
          <w:bCs/>
        </w:rPr>
        <w:t xml:space="preserve">Role-Based Access Control (RBAC)</w:t>
      </w:r>
      <w:r>
        <w:t xml:space="preserve"> </w:t>
      </w:r>
      <w:r>
        <w:t xml:space="preserve">through a central IdP (A4). No per-user grants exist outside the role structure except via time-boxed JIT.</w:t>
      </w:r>
    </w:p>
    <w:tbl>
      <w:tblPr>
        <w:tblStyle w:val="Table"/>
        <w:tblW w:type="pct" w:w="5000"/>
        <w:tblLayout w:type="fixed"/>
        <w:tblLook w:firstRow="1" w:lastRow="0" w:firstColumn="0" w:lastColumn="0" w:noHBand="0" w:noVBand="0" w:val="0020"/>
      </w:tblPr>
      <w:tblGrid>
        <w:gridCol w:w="1397"/>
        <w:gridCol w:w="931"/>
        <w:gridCol w:w="2640"/>
        <w:gridCol w:w="2950"/>
      </w:tblGrid>
      <w:tr>
        <w:trPr>
          <w:tblHeader w:val="on"/>
        </w:trPr>
        <w:tc>
          <w:tcPr/>
          <w:p>
            <w:pPr>
              <w:pStyle w:val="Compact"/>
            </w:pPr>
            <w:r>
              <w:t xml:space="preserve">Role ID</w:t>
            </w:r>
          </w:p>
        </w:tc>
        <w:tc>
          <w:tcPr/>
          <w:p>
            <w:pPr>
              <w:pStyle w:val="Compact"/>
            </w:pPr>
            <w:r>
              <w:t xml:space="preserve">Role</w:t>
            </w:r>
          </w:p>
        </w:tc>
        <w:tc>
          <w:tcPr/>
          <w:p>
            <w:pPr>
              <w:pStyle w:val="Compact"/>
            </w:pPr>
            <w:r>
              <w:t xml:space="preserve">Line of Defense</w:t>
            </w:r>
          </w:p>
        </w:tc>
        <w:tc>
          <w:tcPr/>
          <w:p>
            <w:pPr>
              <w:pStyle w:val="Compact"/>
            </w:pPr>
            <w:r>
              <w:t xml:space="preserve">Summary of access</w:t>
            </w:r>
          </w:p>
        </w:tc>
      </w:tr>
      <w:tr>
        <w:tc>
          <w:tcPr/>
          <w:p>
            <w:pPr>
              <w:pStyle w:val="Compact"/>
            </w:pPr>
            <w:r>
              <w:t xml:space="preserve">R-ENG-DEV</w:t>
            </w:r>
          </w:p>
        </w:tc>
        <w:tc>
          <w:tcPr/>
          <w:p>
            <w:pPr>
              <w:pStyle w:val="Compact"/>
            </w:pPr>
            <w:r>
              <w:t xml:space="preserve">Software Engineer (Developer)</w:t>
            </w:r>
          </w:p>
        </w:tc>
        <w:tc>
          <w:tcPr/>
          <w:p>
            <w:pPr>
              <w:pStyle w:val="Compact"/>
            </w:pPr>
            <w:r>
              <w:t xml:space="preserve">1st</w:t>
            </w:r>
          </w:p>
        </w:tc>
        <w:tc>
          <w:tcPr/>
          <w:p>
            <w:pPr>
              <w:pStyle w:val="Compact"/>
            </w:pPr>
            <w:r>
              <w:t xml:space="preserve">Write code, access non-prod, read masked logs;</w:t>
            </w:r>
            <w:r>
              <w:t xml:space="preserve"> </w:t>
            </w:r>
            <w:r>
              <w:rPr>
                <w:b/>
                <w:bCs/>
              </w:rPr>
              <w:t xml:space="preserve">no</w:t>
            </w:r>
            <w:r>
              <w:t xml:space="preserve"> </w:t>
            </w:r>
            <w:r>
              <w:t xml:space="preserve">prod write</w:t>
            </w:r>
          </w:p>
        </w:tc>
      </w:tr>
      <w:tr>
        <w:tc>
          <w:tcPr/>
          <w:p>
            <w:pPr>
              <w:pStyle w:val="Compact"/>
            </w:pPr>
            <w:r>
              <w:t xml:space="preserve">R-SRE-OPS</w:t>
            </w:r>
          </w:p>
        </w:tc>
        <w:tc>
          <w:tcPr/>
          <w:p>
            <w:pPr>
              <w:pStyle w:val="Compact"/>
            </w:pPr>
            <w:r>
              <w:t xml:space="preserve">SRE / Platform Operator</w:t>
            </w:r>
          </w:p>
        </w:tc>
        <w:tc>
          <w:tcPr/>
          <w:p>
            <w:pPr>
              <w:pStyle w:val="Compact"/>
            </w:pPr>
            <w:r>
              <w:t xml:space="preserve">1st</w:t>
            </w:r>
          </w:p>
        </w:tc>
        <w:tc>
          <w:tcPr/>
          <w:p>
            <w:pPr>
              <w:pStyle w:val="Compact"/>
            </w:pPr>
            <w:r>
              <w:t xml:space="preserve">Deploy via pipeline, manage prod infra (break-glass); no direct business-data edits</w:t>
            </w:r>
          </w:p>
        </w:tc>
      </w:tr>
      <w:tr>
        <w:tc>
          <w:tcPr/>
          <w:p>
            <w:pPr>
              <w:pStyle w:val="Compact"/>
            </w:pPr>
            <w:r>
              <w:t xml:space="preserve">R-DBA</w:t>
            </w:r>
          </w:p>
        </w:tc>
        <w:tc>
          <w:tcPr/>
          <w:p>
            <w:pPr>
              <w:pStyle w:val="Compact"/>
            </w:pPr>
            <w:r>
              <w:t xml:space="preserve">Database Administrator</w:t>
            </w:r>
          </w:p>
        </w:tc>
        <w:tc>
          <w:tcPr/>
          <w:p>
            <w:pPr>
              <w:pStyle w:val="Compact"/>
            </w:pPr>
            <w:r>
              <w:t xml:space="preserve">1st</w:t>
            </w:r>
          </w:p>
        </w:tc>
        <w:tc>
          <w:tcPr/>
          <w:p>
            <w:pPr>
              <w:pStyle w:val="Compact"/>
            </w:pPr>
            <w:r>
              <w:t xml:space="preserve">Manage schema/backups; prod data read/write only via JIT + dual approval</w:t>
            </w:r>
          </w:p>
        </w:tc>
      </w:tr>
      <w:tr>
        <w:tc>
          <w:tcPr/>
          <w:p>
            <w:pPr>
              <w:pStyle w:val="Compact"/>
            </w:pPr>
            <w:r>
              <w:t xml:space="preserve">R-PAY-OPS</w:t>
            </w:r>
          </w:p>
        </w:tc>
        <w:tc>
          <w:tcPr/>
          <w:p>
            <w:pPr>
              <w:pStyle w:val="Compact"/>
            </w:pPr>
            <w:r>
              <w:t xml:space="preserve">Payment Operations</w:t>
            </w:r>
          </w:p>
        </w:tc>
        <w:tc>
          <w:tcPr/>
          <w:p>
            <w:pPr>
              <w:pStyle w:val="Compact"/>
            </w:pPr>
            <w:r>
              <w:t xml:space="preserve">1st</w:t>
            </w:r>
          </w:p>
        </w:tc>
        <w:tc>
          <w:tcPr/>
          <w:p>
            <w:pPr>
              <w:pStyle w:val="Compact"/>
            </w:pPr>
            <w:r>
              <w:t xml:space="preserve">View transactions, initiate refund/void under threshold, handle dispute/chargeback</w:t>
            </w:r>
          </w:p>
        </w:tc>
      </w:tr>
      <w:tr>
        <w:tc>
          <w:tcPr/>
          <w:p>
            <w:pPr>
              <w:pStyle w:val="Compact"/>
            </w:pPr>
            <w:r>
              <w:t xml:space="preserve">R-SETTLE</w:t>
            </w:r>
          </w:p>
        </w:tc>
        <w:tc>
          <w:tcPr/>
          <w:p>
            <w:pPr>
              <w:pStyle w:val="Compact"/>
            </w:pPr>
            <w:r>
              <w:t xml:space="preserve">Settlement / Treasury Ops</w:t>
            </w:r>
          </w:p>
        </w:tc>
        <w:tc>
          <w:tcPr/>
          <w:p>
            <w:pPr>
              <w:pStyle w:val="Compact"/>
            </w:pPr>
            <w:r>
              <w:t xml:space="preserve">1st</w:t>
            </w:r>
          </w:p>
        </w:tc>
        <w:tc>
          <w:tcPr/>
          <w:p>
            <w:pPr>
              <w:pStyle w:val="Compact"/>
            </w:pPr>
            <w:r>
              <w:t xml:space="preserve">Initiate payout/settlement batch (maker);</w:t>
            </w:r>
            <w:r>
              <w:t xml:space="preserve"> </w:t>
            </w:r>
            <w:r>
              <w:rPr>
                <w:b/>
                <w:bCs/>
              </w:rPr>
              <w:t xml:space="preserve">no</w:t>
            </w:r>
            <w:r>
              <w:t xml:space="preserve"> </w:t>
            </w:r>
            <w:r>
              <w:t xml:space="preserve">payout approval</w:t>
            </w:r>
          </w:p>
        </w:tc>
      </w:tr>
      <w:tr>
        <w:tc>
          <w:tcPr/>
          <w:p>
            <w:pPr>
              <w:pStyle w:val="Compact"/>
            </w:pPr>
            <w:r>
              <w:t xml:space="preserve">R-SETTLE-APV</w:t>
            </w:r>
          </w:p>
        </w:tc>
        <w:tc>
          <w:tcPr/>
          <w:p>
            <w:pPr>
              <w:pStyle w:val="Compact"/>
            </w:pPr>
            <w:r>
              <w:t xml:space="preserve">Settlement Approver</w:t>
            </w:r>
          </w:p>
        </w:tc>
        <w:tc>
          <w:tcPr/>
          <w:p>
            <w:pPr>
              <w:pStyle w:val="Compact"/>
            </w:pPr>
            <w:r>
              <w:t xml:space="preserve">1st (senior)</w:t>
            </w:r>
          </w:p>
        </w:tc>
        <w:tc>
          <w:tcPr/>
          <w:p>
            <w:pPr>
              <w:pStyle w:val="Compact"/>
            </w:pPr>
            <w:r>
              <w:t xml:space="preserve">Approve payout/settlement batch (checker);</w:t>
            </w:r>
            <w:r>
              <w:t xml:space="preserve"> </w:t>
            </w:r>
            <w:r>
              <w:rPr>
                <w:b/>
                <w:bCs/>
              </w:rPr>
              <w:t xml:space="preserve">no</w:t>
            </w:r>
            <w:r>
              <w:t xml:space="preserve"> </w:t>
            </w:r>
            <w:r>
              <w:t xml:space="preserve">initiation</w:t>
            </w:r>
          </w:p>
        </w:tc>
      </w:tr>
      <w:tr>
        <w:tc>
          <w:tcPr/>
          <w:p>
            <w:pPr>
              <w:pStyle w:val="Compact"/>
            </w:pPr>
            <w:r>
              <w:t xml:space="preserve">R-MERCH-ONB</w:t>
            </w:r>
          </w:p>
        </w:tc>
        <w:tc>
          <w:tcPr/>
          <w:p>
            <w:pPr>
              <w:pStyle w:val="Compact"/>
            </w:pPr>
            <w:r>
              <w:t xml:space="preserve">Merchant Onboarding Officer</w:t>
            </w:r>
          </w:p>
        </w:tc>
        <w:tc>
          <w:tcPr/>
          <w:p>
            <w:pPr>
              <w:pStyle w:val="Compact"/>
            </w:pPr>
            <w:r>
              <w:t xml:space="preserve">1st</w:t>
            </w:r>
          </w:p>
        </w:tc>
        <w:tc>
          <w:tcPr/>
          <w:p>
            <w:pPr>
              <w:pStyle w:val="Compact"/>
            </w:pPr>
            <w:r>
              <w:t xml:space="preserve">Create/edit merchant profile (maker), perform KYC/CDD; cannot self-activate</w:t>
            </w:r>
          </w:p>
        </w:tc>
      </w:tr>
      <w:tr>
        <w:tc>
          <w:tcPr/>
          <w:p>
            <w:pPr>
              <w:pStyle w:val="Compact"/>
            </w:pPr>
            <w:r>
              <w:t xml:space="preserve">R-MERCH-APV</w:t>
            </w:r>
          </w:p>
        </w:tc>
        <w:tc>
          <w:tcPr/>
          <w:p>
            <w:pPr>
              <w:pStyle w:val="Compact"/>
            </w:pPr>
            <w:r>
              <w:t xml:space="preserve">Merchant Approver / MLRO delegate</w:t>
            </w:r>
          </w:p>
        </w:tc>
        <w:tc>
          <w:tcPr/>
          <w:p>
            <w:pPr>
              <w:pStyle w:val="Compact"/>
            </w:pPr>
            <w:r>
              <w:t xml:space="preserve">2nd</w:t>
            </w:r>
          </w:p>
        </w:tc>
        <w:tc>
          <w:tcPr/>
          <w:p>
            <w:pPr>
              <w:pStyle w:val="Compact"/>
            </w:pPr>
            <w:r>
              <w:t xml:space="preserve">Approve merchant activation and KYC/EDD outcome (checker)</w:t>
            </w:r>
          </w:p>
        </w:tc>
      </w:tr>
      <w:tr>
        <w:tc>
          <w:tcPr/>
          <w:p>
            <w:pPr>
              <w:pStyle w:val="Compact"/>
            </w:pPr>
            <w:r>
              <w:t xml:space="preserve">R-RISK</w:t>
            </w:r>
          </w:p>
        </w:tc>
        <w:tc>
          <w:tcPr/>
          <w:p>
            <w:pPr>
              <w:pStyle w:val="Compact"/>
            </w:pPr>
            <w:r>
              <w:t xml:space="preserve">Risk / Fraud Analyst</w:t>
            </w:r>
          </w:p>
        </w:tc>
        <w:tc>
          <w:tcPr/>
          <w:p>
            <w:pPr>
              <w:pStyle w:val="Compact"/>
            </w:pPr>
            <w:r>
              <w:t xml:space="preserve">2nd</w:t>
            </w:r>
          </w:p>
        </w:tc>
        <w:tc>
          <w:tcPr/>
          <w:p>
            <w:pPr>
              <w:pStyle w:val="Compact"/>
            </w:pPr>
            <w:r>
              <w:t xml:space="preserve">Author fraud rules (maker), review alerts; deploying a rule needs a checker</w:t>
            </w:r>
          </w:p>
        </w:tc>
      </w:tr>
      <w:tr>
        <w:tc>
          <w:tcPr/>
          <w:p>
            <w:pPr>
              <w:pStyle w:val="Compact"/>
            </w:pPr>
            <w:r>
              <w:t xml:space="preserve">R-COMPL</w:t>
            </w:r>
          </w:p>
        </w:tc>
        <w:tc>
          <w:tcPr/>
          <w:p>
            <w:pPr>
              <w:pStyle w:val="Compact"/>
            </w:pPr>
            <w:r>
              <w:t xml:space="preserve">Compliance / AML Officer</w:t>
            </w:r>
          </w:p>
        </w:tc>
        <w:tc>
          <w:tcPr/>
          <w:p>
            <w:pPr>
              <w:pStyle w:val="Compact"/>
            </w:pPr>
            <w:r>
              <w:t xml:space="preserve">2nd</w:t>
            </w:r>
          </w:p>
        </w:tc>
        <w:tc>
          <w:tcPr/>
          <w:p>
            <w:pPr>
              <w:pStyle w:val="Compact"/>
            </w:pPr>
            <w:r>
              <w:t xml:space="preserve">Sanction-screening review, initiate SAR/STR (maker)</w:t>
            </w:r>
          </w:p>
        </w:tc>
      </w:tr>
      <w:tr>
        <w:tc>
          <w:tcPr/>
          <w:p>
            <w:pPr>
              <w:pStyle w:val="Compact"/>
            </w:pPr>
            <w:r>
              <w:t xml:space="preserve">R-MLRO</w:t>
            </w:r>
          </w:p>
        </w:tc>
        <w:tc>
          <w:tcPr/>
          <w:p>
            <w:pPr>
              <w:pStyle w:val="Compact"/>
            </w:pPr>
            <w:r>
              <w:t xml:space="preserve">MLRO</w:t>
            </w:r>
          </w:p>
        </w:tc>
        <w:tc>
          <w:tcPr/>
          <w:p>
            <w:pPr>
              <w:pStyle w:val="Compact"/>
            </w:pPr>
            <w:r>
              <w:t xml:space="preserve">2nd</w:t>
            </w:r>
          </w:p>
        </w:tc>
        <w:tc>
          <w:tcPr/>
          <w:p>
            <w:pPr>
              <w:pStyle w:val="Compact"/>
            </w:pPr>
            <w:r>
              <w:t xml:space="preserve">Approve and file SAR/STR to AMLO (checker); see</w:t>
            </w:r>
            <w:r>
              <w:t xml:space="preserve"> </w:t>
            </w:r>
            <w:r>
              <w:rPr>
                <w:rStyle w:val="VerbatimChar"/>
              </w:rPr>
              <w:t xml:space="preserve">07-sar-str-procedure.md</w:t>
            </w:r>
          </w:p>
        </w:tc>
      </w:tr>
      <w:tr>
        <w:tc>
          <w:tcPr/>
          <w:p>
            <w:pPr>
              <w:pStyle w:val="Compact"/>
            </w:pPr>
            <w:r>
              <w:t xml:space="preserve">R-DPO</w:t>
            </w:r>
          </w:p>
        </w:tc>
        <w:tc>
          <w:tcPr/>
          <w:p>
            <w:pPr>
              <w:pStyle w:val="Compact"/>
            </w:pPr>
            <w:r>
              <w:t xml:space="preserve">Data Protection Officer</w:t>
            </w:r>
          </w:p>
        </w:tc>
        <w:tc>
          <w:tcPr/>
          <w:p>
            <w:pPr>
              <w:pStyle w:val="Compact"/>
            </w:pPr>
            <w:r>
              <w:t xml:space="preserve">2nd</w:t>
            </w:r>
          </w:p>
        </w:tc>
        <w:tc>
          <w:tcPr/>
          <w:p>
            <w:pPr>
              <w:pStyle w:val="Compact"/>
            </w:pPr>
            <w:r>
              <w:t xml:space="preserve">Approve out-of-scope personal-data use (PDPA), review DSARs</w:t>
            </w:r>
          </w:p>
        </w:tc>
      </w:tr>
      <w:tr>
        <w:tc>
          <w:tcPr/>
          <w:p>
            <w:pPr>
              <w:pStyle w:val="Compact"/>
            </w:pPr>
            <w:r>
              <w:t xml:space="preserve">R-SEC</w:t>
            </w:r>
          </w:p>
        </w:tc>
        <w:tc>
          <w:tcPr/>
          <w:p>
            <w:pPr>
              <w:pStyle w:val="Compact"/>
            </w:pPr>
            <w:r>
              <w:t xml:space="preserve">Security Engineer / SecOps</w:t>
            </w:r>
          </w:p>
        </w:tc>
        <w:tc>
          <w:tcPr/>
          <w:p>
            <w:pPr>
              <w:pStyle w:val="Compact"/>
            </w:pPr>
            <w:r>
              <w:t xml:space="preserve">2nd</w:t>
            </w:r>
          </w:p>
        </w:tc>
        <w:tc>
          <w:tcPr/>
          <w:p>
            <w:pPr>
              <w:pStyle w:val="Compact"/>
            </w:pPr>
            <w:r>
              <w:t xml:space="preserve">Manage WAF/IDS/SIEM, review access;</w:t>
            </w:r>
            <w:r>
              <w:t xml:space="preserve"> </w:t>
            </w:r>
            <w:r>
              <w:rPr>
                <w:b/>
                <w:bCs/>
              </w:rPr>
              <w:t xml:space="preserve">cannot</w:t>
            </w:r>
            <w:r>
              <w:t xml:space="preserve"> </w:t>
            </w:r>
            <w:r>
              <w:t xml:space="preserve">approve their own access</w:t>
            </w:r>
          </w:p>
        </w:tc>
      </w:tr>
      <w:tr>
        <w:tc>
          <w:tcPr/>
          <w:p>
            <w:pPr>
              <w:pStyle w:val="Compact"/>
            </w:pPr>
            <w:r>
              <w:t xml:space="preserve">R-KEY-CUST-A</w:t>
            </w:r>
          </w:p>
        </w:tc>
        <w:tc>
          <w:tcPr/>
          <w:p>
            <w:pPr>
              <w:pStyle w:val="Compact"/>
            </w:pPr>
            <w:r>
              <w:t xml:space="preserve">Key Custodian A</w:t>
            </w:r>
          </w:p>
        </w:tc>
        <w:tc>
          <w:tcPr/>
          <w:p>
            <w:pPr>
              <w:pStyle w:val="Compact"/>
            </w:pPr>
            <w:r>
              <w:t xml:space="preserve">2nd</w:t>
            </w:r>
          </w:p>
        </w:tc>
        <w:tc>
          <w:tcPr/>
          <w:p>
            <w:pPr>
              <w:pStyle w:val="Compact"/>
            </w:pPr>
            <w:r>
              <w:t xml:space="preserve">Holds key component A (split knowledge)</w:t>
            </w:r>
          </w:p>
        </w:tc>
      </w:tr>
      <w:tr>
        <w:tc>
          <w:tcPr/>
          <w:p>
            <w:pPr>
              <w:pStyle w:val="Compact"/>
            </w:pPr>
            <w:r>
              <w:t xml:space="preserve">R-KEY-CUST-B</w:t>
            </w:r>
          </w:p>
        </w:tc>
        <w:tc>
          <w:tcPr/>
          <w:p>
            <w:pPr>
              <w:pStyle w:val="Compact"/>
            </w:pPr>
            <w:r>
              <w:t xml:space="preserve">Key Custodian B</w:t>
            </w:r>
          </w:p>
        </w:tc>
        <w:tc>
          <w:tcPr/>
          <w:p>
            <w:pPr>
              <w:pStyle w:val="Compact"/>
            </w:pPr>
            <w:r>
              <w:t xml:space="preserve">2nd</w:t>
            </w:r>
          </w:p>
        </w:tc>
        <w:tc>
          <w:tcPr/>
          <w:p>
            <w:pPr>
              <w:pStyle w:val="Compact"/>
            </w:pPr>
            <w:r>
              <w:t xml:space="preserve">Holds key component B — always a different person than A</w:t>
            </w:r>
          </w:p>
        </w:tc>
      </w:tr>
      <w:tr>
        <w:tc>
          <w:tcPr/>
          <w:p>
            <w:pPr>
              <w:pStyle w:val="Compact"/>
            </w:pPr>
            <w:r>
              <w:t xml:space="preserve">R-IAM-ADMIN</w:t>
            </w:r>
          </w:p>
        </w:tc>
        <w:tc>
          <w:tcPr/>
          <w:p>
            <w:pPr>
              <w:pStyle w:val="Compact"/>
            </w:pPr>
            <w:r>
              <w:t xml:space="preserve">Identity &amp; Access Admin</w:t>
            </w:r>
          </w:p>
        </w:tc>
        <w:tc>
          <w:tcPr/>
          <w:p>
            <w:pPr>
              <w:pStyle w:val="Compact"/>
            </w:pPr>
            <w:r>
              <w:t xml:space="preserve">2nd</w:t>
            </w:r>
          </w:p>
        </w:tc>
        <w:tc>
          <w:tcPr/>
          <w:p>
            <w:pPr>
              <w:pStyle w:val="Compact"/>
            </w:pPr>
            <w:r>
              <w:t xml:space="preserve">Create/disable accounts (maker); granting privileged roles needs a checker</w:t>
            </w:r>
          </w:p>
        </w:tc>
      </w:tr>
      <w:tr>
        <w:tc>
          <w:tcPr/>
          <w:p>
            <w:pPr>
              <w:pStyle w:val="Compact"/>
            </w:pPr>
            <w:r>
              <w:t xml:space="preserve">R-AUDIT</w:t>
            </w:r>
          </w:p>
        </w:tc>
        <w:tc>
          <w:tcPr/>
          <w:p>
            <w:pPr>
              <w:pStyle w:val="Compact"/>
            </w:pPr>
            <w:r>
              <w:t xml:space="preserve">Internal Auditor</w:t>
            </w:r>
          </w:p>
        </w:tc>
        <w:tc>
          <w:tcPr/>
          <w:p>
            <w:pPr>
              <w:pStyle w:val="Compact"/>
            </w:pPr>
            <w:r>
              <w:t xml:space="preserve">3rd</w:t>
            </w:r>
          </w:p>
        </w:tc>
        <w:tc>
          <w:tcPr/>
          <w:p>
            <w:pPr>
              <w:pStyle w:val="Compact"/>
            </w:pPr>
            <w:r>
              <w:t xml:space="preserve">Read-only on all logs/evidence;</w:t>
            </w:r>
            <w:r>
              <w:t xml:space="preserve"> </w:t>
            </w:r>
            <w:r>
              <w:rPr>
                <w:b/>
                <w:bCs/>
              </w:rPr>
              <w:t xml:space="preserve">no</w:t>
            </w:r>
            <w:r>
              <w:t xml:space="preserve"> </w:t>
            </w:r>
            <w:r>
              <w:t xml:space="preserve">write in operational systems</w:t>
            </w:r>
          </w:p>
        </w:tc>
      </w:tr>
    </w:tbl>
    <w:p>
      <w:pPr>
        <w:pStyle w:val="BlockText"/>
      </w:pPr>
      <w:r>
        <w:t xml:space="preserve">All</w:t>
      </w:r>
      <w:r>
        <w:t xml:space="preserve"> </w:t>
      </w:r>
      <w:r>
        <w:rPr>
          <w:b/>
          <w:bCs/>
        </w:rPr>
        <w:t xml:space="preserve">service accounts</w:t>
      </w:r>
      <w:r>
        <w:t xml:space="preserve"> </w:t>
      </w:r>
      <w:r>
        <w:t xml:space="preserve">are treated as distinct identities with an identifiable owner, minimal scope, credentials auto-rotated via a secrets vault, and no interactive login.</w:t>
      </w:r>
    </w:p>
    <w:p>
      <w:r>
        <w:pict>
          <v:rect style="width:0;height:1.5pt" o:hralign="center" o:hrstd="t" o:hr="t"/>
        </w:pict>
      </w:r>
    </w:p>
    <w:bookmarkEnd w:id="611"/>
    <w:bookmarkStart w:id="612" w:name="segregation-of-duties-matrix"/>
    <w:p>
      <w:pPr>
        <w:pStyle w:val="Heading2"/>
      </w:pPr>
      <w:r>
        <w:t xml:space="preserve">4. Segregation of Duties Matrix</w:t>
      </w:r>
    </w:p>
    <w:p>
      <w:pPr>
        <w:pStyle w:val="FirstParagraph"/>
      </w:pPr>
      <w:r>
        <w:t xml:space="preserve">Legend:</w:t>
      </w:r>
      <w:r>
        <w:t xml:space="preserve"> </w:t>
      </w:r>
      <w:r>
        <w:rPr>
          <w:b/>
          <w:bCs/>
        </w:rPr>
        <w:t xml:space="preserve">M</w:t>
      </w:r>
      <w:r>
        <w:t xml:space="preserve"> </w:t>
      </w:r>
      <w:r>
        <w:t xml:space="preserve">= Maker (initiate/perform) ·</w:t>
      </w:r>
      <w:r>
        <w:t xml:space="preserve"> </w:t>
      </w:r>
      <w:r>
        <w:rPr>
          <w:b/>
          <w:bCs/>
        </w:rPr>
        <w:t xml:space="preserve">C</w:t>
      </w:r>
      <w:r>
        <w:t xml:space="preserve"> </w:t>
      </w:r>
      <w:r>
        <w:t xml:space="preserve">= Checker (approve/verify) ·</w:t>
      </w:r>
      <w:r>
        <w:t xml:space="preserve"> </w:t>
      </w:r>
      <w:r>
        <w:rPr>
          <w:b/>
          <w:bCs/>
        </w:rPr>
        <w:t xml:space="preserve">R</w:t>
      </w:r>
      <w:r>
        <w:t xml:space="preserve"> </w:t>
      </w:r>
      <w:r>
        <w:t xml:space="preserve">= Review only (read-only) ·</w:t>
      </w:r>
      <w:r>
        <w:t xml:space="preserve"> </w:t>
      </w:r>
      <w:r>
        <w:rPr>
          <w:b/>
          <w:bCs/>
        </w:rPr>
        <w:t xml:space="preserve">—</w:t>
      </w:r>
      <w:r>
        <w:t xml:space="preserve"> </w:t>
      </w:r>
      <w:r>
        <w:t xml:space="preserve">= No access.</w:t>
      </w:r>
      <w:r>
        <w:t xml:space="preserve"> </w:t>
      </w:r>
      <w:r>
        <w:t xml:space="preserve">Rule: within a process,</w:t>
      </w:r>
      <w:r>
        <w:t xml:space="preserve"> </w:t>
      </w:r>
      <w:r>
        <w:rPr>
          <w:b/>
          <w:bCs/>
        </w:rPr>
        <w:t xml:space="preserve">Maker and Checker must always be different people</w:t>
      </w:r>
      <w:r>
        <w:t xml:space="preserve"> </w:t>
      </w:r>
      <w:r>
        <w:t xml:space="preserve">(enforced by IdP/application, not by personal discipline).</w:t>
      </w:r>
    </w:p>
    <w:tbl>
      <w:tblPr>
        <w:tblStyle w:val="Table"/>
        <w:tblW w:type="pct" w:w="5000"/>
        <w:tblLayout w:type="fixed"/>
        <w:tblLook w:firstRow="1" w:lastRow="0" w:firstColumn="0" w:lastColumn="0" w:noHBand="0" w:noVBand="0" w:val="0020"/>
      </w:tblPr>
      <w:tblGrid>
        <w:gridCol w:w="1584"/>
        <w:gridCol w:w="487"/>
        <w:gridCol w:w="487"/>
        <w:gridCol w:w="487"/>
        <w:gridCol w:w="487"/>
        <w:gridCol w:w="487"/>
        <w:gridCol w:w="487"/>
        <w:gridCol w:w="487"/>
        <w:gridCol w:w="487"/>
        <w:gridCol w:w="487"/>
        <w:gridCol w:w="487"/>
        <w:gridCol w:w="487"/>
        <w:gridCol w:w="487"/>
        <w:gridCol w:w="487"/>
      </w:tblGrid>
      <w:tr>
        <w:trPr>
          <w:tblHeader w:val="on"/>
        </w:trPr>
        <w:tc>
          <w:tcPr/>
          <w:p>
            <w:pPr>
              <w:pStyle w:val="Compact"/>
            </w:pPr>
            <w:r>
              <w:t xml:space="preserve">Key process</w:t>
            </w:r>
          </w:p>
        </w:tc>
        <w:tc>
          <w:tcPr/>
          <w:p>
            <w:pPr>
              <w:pStyle w:val="Compact"/>
              <w:jc w:val="center"/>
            </w:pPr>
            <w:r>
              <w:t xml:space="preserve">R-PAY-OPS</w:t>
            </w:r>
          </w:p>
        </w:tc>
        <w:tc>
          <w:tcPr/>
          <w:p>
            <w:pPr>
              <w:pStyle w:val="Compact"/>
              <w:jc w:val="center"/>
            </w:pPr>
            <w:r>
              <w:t xml:space="preserve">R-SETTLE</w:t>
            </w:r>
          </w:p>
        </w:tc>
        <w:tc>
          <w:tcPr/>
          <w:p>
            <w:pPr>
              <w:pStyle w:val="Compact"/>
              <w:jc w:val="center"/>
            </w:pPr>
            <w:r>
              <w:t xml:space="preserve">R-SETTLE-APV</w:t>
            </w:r>
          </w:p>
        </w:tc>
        <w:tc>
          <w:tcPr/>
          <w:p>
            <w:pPr>
              <w:pStyle w:val="Compact"/>
              <w:jc w:val="center"/>
            </w:pPr>
            <w:r>
              <w:t xml:space="preserve">R-MERCH-ONB</w:t>
            </w:r>
          </w:p>
        </w:tc>
        <w:tc>
          <w:tcPr/>
          <w:p>
            <w:pPr>
              <w:pStyle w:val="Compact"/>
              <w:jc w:val="center"/>
            </w:pPr>
            <w:r>
              <w:t xml:space="preserve">R-MERCH-APV</w:t>
            </w:r>
          </w:p>
        </w:tc>
        <w:tc>
          <w:tcPr/>
          <w:p>
            <w:pPr>
              <w:pStyle w:val="Compact"/>
              <w:jc w:val="center"/>
            </w:pPr>
            <w:r>
              <w:t xml:space="preserve">R-RISK</w:t>
            </w:r>
          </w:p>
        </w:tc>
        <w:tc>
          <w:tcPr/>
          <w:p>
            <w:pPr>
              <w:pStyle w:val="Compact"/>
              <w:jc w:val="center"/>
            </w:pPr>
            <w:r>
              <w:t xml:space="preserve">R-COMPL</w:t>
            </w:r>
          </w:p>
        </w:tc>
        <w:tc>
          <w:tcPr/>
          <w:p>
            <w:pPr>
              <w:pStyle w:val="Compact"/>
              <w:jc w:val="center"/>
            </w:pPr>
            <w:r>
              <w:t xml:space="preserve">R-MLRO</w:t>
            </w:r>
          </w:p>
        </w:tc>
        <w:tc>
          <w:tcPr/>
          <w:p>
            <w:pPr>
              <w:pStyle w:val="Compact"/>
              <w:jc w:val="center"/>
            </w:pPr>
            <w:r>
              <w:t xml:space="preserve">R-SRE-OPS</w:t>
            </w:r>
          </w:p>
        </w:tc>
        <w:tc>
          <w:tcPr/>
          <w:p>
            <w:pPr>
              <w:pStyle w:val="Compact"/>
              <w:jc w:val="center"/>
            </w:pPr>
            <w:r>
              <w:t xml:space="preserve">R-DBA</w:t>
            </w:r>
          </w:p>
        </w:tc>
        <w:tc>
          <w:tcPr/>
          <w:p>
            <w:pPr>
              <w:pStyle w:val="Compact"/>
              <w:jc w:val="center"/>
            </w:pPr>
            <w:r>
              <w:t xml:space="preserve">R-IAM-ADMIN</w:t>
            </w:r>
          </w:p>
        </w:tc>
        <w:tc>
          <w:tcPr/>
          <w:p>
            <w:pPr>
              <w:pStyle w:val="Compact"/>
              <w:jc w:val="center"/>
            </w:pPr>
            <w:r>
              <w:t xml:space="preserve">R-SEC</w:t>
            </w:r>
          </w:p>
        </w:tc>
        <w:tc>
          <w:tcPr/>
          <w:p>
            <w:pPr>
              <w:pStyle w:val="Compact"/>
              <w:jc w:val="center"/>
            </w:pPr>
            <w:r>
              <w:t xml:space="preserve">R-AUDIT</w:t>
            </w:r>
          </w:p>
        </w:tc>
      </w:tr>
      <w:tr>
        <w:tc>
          <w:tcPr/>
          <w:p>
            <w:pPr>
              <w:pStyle w:val="Compact"/>
            </w:pPr>
            <w:r>
              <w:t xml:space="preserve">Merchant onboarding / activate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Refund / Void ≤ threshold</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Refund / Void &gt; threshold</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Settlement / Payout batch</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Change fraud/risk rule in prod</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r>
      <w:tr>
        <w:tc>
          <w:tcPr/>
          <w:p>
            <w:pPr>
              <w:pStyle w:val="Compact"/>
            </w:pPr>
            <w:r>
              <w:t xml:space="preserve">Sanction screening — clear a hit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File SAR/STR to AMLO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Deploy code to production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C</w:t>
            </w:r>
          </w:p>
        </w:tc>
        <w:tc>
          <w:tcPr/>
          <w:p>
            <w:pPr>
              <w:pStyle w:val="Compact"/>
              <w:jc w:val="center"/>
            </w:pPr>
            <w:r>
              <w:t xml:space="preserve">R</w:t>
            </w:r>
          </w:p>
        </w:tc>
      </w:tr>
      <w:tr>
        <w:tc>
          <w:tcPr/>
          <w:p>
            <w:pPr>
              <w:pStyle w:val="Compact"/>
            </w:pPr>
            <w:r>
              <w:t xml:space="preserve">Modify production database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t xml:space="preserve">—</w:t>
            </w:r>
          </w:p>
        </w:tc>
        <w:tc>
          <w:tcPr/>
          <w:p>
            <w:pPr>
              <w:pStyle w:val="Compact"/>
              <w:jc w:val="center"/>
            </w:pPr>
            <w:r>
              <w:rPr>
                <w:b/>
                <w:bCs/>
              </w:rPr>
              <w:t xml:space="preserve">C</w:t>
            </w:r>
          </w:p>
        </w:tc>
        <w:tc>
          <w:tcPr/>
          <w:p>
            <w:pPr>
              <w:pStyle w:val="Compact"/>
              <w:jc w:val="center"/>
            </w:pPr>
            <w:r>
              <w:t xml:space="preserve">R</w:t>
            </w:r>
          </w:p>
        </w:tc>
      </w:tr>
      <w:tr>
        <w:tc>
          <w:tcPr/>
          <w:p>
            <w:pPr>
              <w:pStyle w:val="Compact"/>
            </w:pPr>
            <w:r>
              <w:t xml:space="preserve">Grant privileged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rPr>
                <w:b/>
                <w:bCs/>
              </w:rPr>
              <w:t xml:space="preserve">C</w:t>
            </w:r>
          </w:p>
        </w:tc>
        <w:tc>
          <w:tcPr/>
          <w:p>
            <w:pPr>
              <w:pStyle w:val="Compact"/>
              <w:jc w:val="center"/>
            </w:pPr>
            <w:r>
              <w:t xml:space="preserve">R</w:t>
            </w:r>
          </w:p>
        </w:tc>
      </w:tr>
      <w:tr>
        <w:tc>
          <w:tcPr/>
          <w:p>
            <w:pPr>
              <w:pStyle w:val="Compact"/>
            </w:pPr>
            <w:r>
              <w:t xml:space="preserve">Cryptographic key ceremony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M/C</w:t>
            </w:r>
          </w:p>
        </w:tc>
        <w:tc>
          <w:tcPr/>
          <w:p>
            <w:pPr>
              <w:pStyle w:val="Compact"/>
              <w:jc w:val="center"/>
            </w:pPr>
            <w:r>
              <w:t xml:space="preserve">R</w:t>
            </w:r>
          </w:p>
        </w:tc>
      </w:tr>
      <w:tr>
        <w:tc>
          <w:tcPr/>
          <w:p>
            <w:pPr>
              <w:pStyle w:val="Compact"/>
            </w:pPr>
            <w:r>
              <w:t xml:space="preserve">Change WAF/firewall config (CDE)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M</w:t>
            </w:r>
          </w:p>
        </w:tc>
        <w:tc>
          <w:tcPr/>
          <w:p>
            <w:pPr>
              <w:pStyle w:val="Compact"/>
              <w:jc w:val="center"/>
            </w:pPr>
            <w:r>
              <w:t xml:space="preserve">R</w:t>
            </w:r>
          </w:p>
        </w:tc>
      </w:tr>
    </w:tbl>
    <w:p>
      <w:pPr>
        <w:pStyle w:val="BlockText"/>
      </w:pPr>
      <w:r>
        <w:t xml:space="preserve">Key-ceremony note: requires</w:t>
      </w:r>
      <w:r>
        <w:t xml:space="preserve"> </w:t>
      </w:r>
      <w:r>
        <w:rPr>
          <w:b/>
          <w:bCs/>
        </w:rPr>
        <w:t xml:space="preserve">Key Custodian A + Key Custodian B</w:t>
      </w:r>
      <w:r>
        <w:t xml:space="preserve"> </w:t>
      </w:r>
      <w:r>
        <w:t xml:space="preserve">(split knowledge) with Security as witness — no one accesses both key components (see §6.3).</w:t>
      </w:r>
    </w:p>
    <w:p>
      <w:r>
        <w:pict>
          <v:rect style="width:0;height:1.5pt" o:hralign="center" o:hrstd="t" o:hr="t"/>
        </w:pict>
      </w:r>
    </w:p>
    <w:bookmarkEnd w:id="612"/>
    <w:bookmarkStart w:id="613" w:name="toxic-conflicting-combinations"/>
    <w:p>
      <w:pPr>
        <w:pStyle w:val="Heading2"/>
      </w:pPr>
      <w:r>
        <w:t xml:space="preserve">5. Toxic / Conflicting Combinations</w:t>
      </w:r>
    </w:p>
    <w:p>
      <w:pPr>
        <w:pStyle w:val="FirstParagraph"/>
      </w:pPr>
      <w:r>
        <w:t xml:space="preserve">The IdP and application-level checks must</w:t>
      </w:r>
      <w:r>
        <w:t xml:space="preserve"> </w:t>
      </w:r>
      <w:r>
        <w:rPr>
          <w:b/>
          <w:bCs/>
        </w:rPr>
        <w:t xml:space="preserve">preventively block</w:t>
      </w:r>
      <w:r>
        <w:t xml:space="preserve"> </w:t>
      </w:r>
      <w:r>
        <w:t xml:space="preserve">the following role pairs on one identity. If combination is unavoidable, an approved compensating control is required (§8).</w:t>
      </w:r>
    </w:p>
    <w:tbl>
      <w:tblPr>
        <w:tblStyle w:val="Table"/>
        <w:tblW w:type="pct" w:w="5000"/>
        <w:tblLayout w:type="fixed"/>
        <w:tblLook w:firstRow="1" w:lastRow="0" w:firstColumn="0" w:lastColumn="0" w:noHBand="0" w:noVBand="0" w:val="0020"/>
      </w:tblPr>
      <w:tblGrid>
        <w:gridCol w:w="720"/>
        <w:gridCol w:w="5760"/>
        <w:gridCol w:w="1440"/>
      </w:tblGrid>
      <w:tr>
        <w:trPr>
          <w:tblHeader w:val="on"/>
        </w:trPr>
        <w:tc>
          <w:tcPr/>
          <w:p>
            <w:pPr>
              <w:pStyle w:val="Compact"/>
            </w:pPr>
            <w:r>
              <w:t xml:space="preserve">#</w:t>
            </w:r>
          </w:p>
        </w:tc>
        <w:tc>
          <w:tcPr/>
          <w:p>
            <w:pPr>
              <w:pStyle w:val="Compact"/>
            </w:pPr>
            <w:r>
              <w:t xml:space="preserve">Prohibited combination</w:t>
            </w:r>
          </w:p>
        </w:tc>
        <w:tc>
          <w:tcPr/>
          <w:p>
            <w:pPr>
              <w:pStyle w:val="Compact"/>
            </w:pPr>
            <w:r>
              <w:t xml:space="preserve">Risk</w:t>
            </w:r>
          </w:p>
        </w:tc>
      </w:tr>
      <w:tr>
        <w:tc>
          <w:tcPr/>
          <w:p>
            <w:pPr>
              <w:pStyle w:val="Compact"/>
            </w:pPr>
            <w:r>
              <w:t xml:space="preserve">T1</w:t>
            </w:r>
          </w:p>
        </w:tc>
        <w:tc>
          <w:tcPr/>
          <w:p>
            <w:pPr>
              <w:pStyle w:val="Compact"/>
            </w:pPr>
            <w:r>
              <w:t xml:space="preserve">R-SETTLE</w:t>
            </w:r>
            <w:r>
              <w:t xml:space="preserve"> </w:t>
            </w:r>
            <w:r>
              <w:rPr>
                <w:b/>
                <w:bCs/>
              </w:rPr>
              <w:t xml:space="preserve">+</w:t>
            </w:r>
            <w:r>
              <w:t xml:space="preserve"> </w:t>
            </w:r>
            <w:r>
              <w:t xml:space="preserve">R-SETTLE-APV</w:t>
            </w:r>
          </w:p>
        </w:tc>
        <w:tc>
          <w:tcPr/>
          <w:p>
            <w:pPr>
              <w:pStyle w:val="Compact"/>
            </w:pPr>
            <w:r>
              <w:t xml:space="preserve">Initiate and approve own payouts → settlement embezzlement</w:t>
            </w:r>
          </w:p>
        </w:tc>
      </w:tr>
      <w:tr>
        <w:tc>
          <w:tcPr/>
          <w:p>
            <w:pPr>
              <w:pStyle w:val="Compact"/>
            </w:pPr>
            <w:r>
              <w:t xml:space="preserve">T2</w:t>
            </w:r>
          </w:p>
        </w:tc>
        <w:tc>
          <w:tcPr/>
          <w:p>
            <w:pPr>
              <w:pStyle w:val="Compact"/>
            </w:pPr>
            <w:r>
              <w:t xml:space="preserve">R-MERCH-ONB</w:t>
            </w:r>
            <w:r>
              <w:t xml:space="preserve"> </w:t>
            </w:r>
            <w:r>
              <w:rPr>
                <w:b/>
                <w:bCs/>
              </w:rPr>
              <w:t xml:space="preserve">+</w:t>
            </w:r>
            <w:r>
              <w:t xml:space="preserve"> </w:t>
            </w:r>
            <w:r>
              <w:t xml:space="preserve">R-MERCH-APV</w:t>
            </w:r>
          </w:p>
        </w:tc>
        <w:tc>
          <w:tcPr/>
          <w:p>
            <w:pPr>
              <w:pStyle w:val="Compact"/>
            </w:pPr>
            <w:r>
              <w:t xml:space="preserve">Create and approve fake merchants → laundering / self-payout</w:t>
            </w:r>
          </w:p>
        </w:tc>
      </w:tr>
      <w:tr>
        <w:tc>
          <w:tcPr/>
          <w:p>
            <w:pPr>
              <w:pStyle w:val="Compact"/>
            </w:pPr>
            <w:r>
              <w:t xml:space="preserve">T3</w:t>
            </w:r>
          </w:p>
        </w:tc>
        <w:tc>
          <w:tcPr/>
          <w:p>
            <w:pPr>
              <w:pStyle w:val="Compact"/>
            </w:pPr>
            <w:r>
              <w:t xml:space="preserve">R-ENG-DEV</w:t>
            </w:r>
            <w:r>
              <w:t xml:space="preserve"> </w:t>
            </w:r>
            <w:r>
              <w:rPr>
                <w:b/>
                <w:bCs/>
              </w:rPr>
              <w:t xml:space="preserve">+</w:t>
            </w:r>
            <w:r>
              <w:t xml:space="preserve"> </w:t>
            </w:r>
            <w:r>
              <w:t xml:space="preserve">deploy/prod-DB write</w:t>
            </w:r>
          </w:p>
        </w:tc>
        <w:tc>
          <w:tcPr/>
          <w:p>
            <w:pPr>
              <w:pStyle w:val="Compact"/>
            </w:pPr>
            <w:r>
              <w:t xml:space="preserve">Plant a backdoor and push to prod unreviewed (PCI Req 6/7)</w:t>
            </w:r>
          </w:p>
        </w:tc>
      </w:tr>
      <w:tr>
        <w:tc>
          <w:tcPr/>
          <w:p>
            <w:pPr>
              <w:pStyle w:val="Compact"/>
            </w:pPr>
            <w:r>
              <w:t xml:space="preserve">T4</w:t>
            </w:r>
          </w:p>
        </w:tc>
        <w:tc>
          <w:tcPr/>
          <w:p>
            <w:pPr>
              <w:pStyle w:val="Compact"/>
            </w:pPr>
            <w:r>
              <w:t xml:space="preserve">R-COMPL/R-MLRO acting as both maker and checker on the same SAR</w:t>
            </w:r>
          </w:p>
        </w:tc>
        <w:tc>
          <w:tcPr/>
          <w:p>
            <w:pPr>
              <w:pStyle w:val="Compact"/>
            </w:pPr>
            <w:r>
              <w:t xml:space="preserve">Conceal suspicious activity alone (contrary to AMLO intent)</w:t>
            </w:r>
          </w:p>
        </w:tc>
      </w:tr>
      <w:tr>
        <w:tc>
          <w:tcPr/>
          <w:p>
            <w:pPr>
              <w:pStyle w:val="Compact"/>
            </w:pPr>
            <w:r>
              <w:t xml:space="preserve">T5</w:t>
            </w:r>
          </w:p>
        </w:tc>
        <w:tc>
          <w:tcPr/>
          <w:p>
            <w:pPr>
              <w:pStyle w:val="Compact"/>
            </w:pPr>
            <w:r>
              <w:t xml:space="preserve">R-IAM-ADMIN approving own access</w:t>
            </w:r>
          </w:p>
        </w:tc>
        <w:tc>
          <w:tcPr/>
          <w:p>
            <w:pPr>
              <w:pStyle w:val="Compact"/>
            </w:pPr>
            <w:r>
              <w:t xml:space="preserve">Unchecked self privilege escalation</w:t>
            </w:r>
          </w:p>
        </w:tc>
      </w:tr>
      <w:tr>
        <w:tc>
          <w:tcPr/>
          <w:p>
            <w:pPr>
              <w:pStyle w:val="Compact"/>
            </w:pPr>
            <w:r>
              <w:t xml:space="preserve">T6</w:t>
            </w:r>
          </w:p>
        </w:tc>
        <w:tc>
          <w:tcPr/>
          <w:p>
            <w:pPr>
              <w:pStyle w:val="Compact"/>
            </w:pPr>
            <w:r>
              <w:t xml:space="preserve">R-AUDIT</w:t>
            </w:r>
            <w:r>
              <w:t xml:space="preserve"> </w:t>
            </w:r>
            <w:r>
              <w:rPr>
                <w:b/>
                <w:bCs/>
              </w:rPr>
              <w:t xml:space="preserve">+</w:t>
            </w:r>
            <w:r>
              <w:t xml:space="preserve"> </w:t>
            </w:r>
            <w:r>
              <w:t xml:space="preserve">any operational write role</w:t>
            </w:r>
          </w:p>
        </w:tc>
        <w:tc>
          <w:tcPr/>
          <w:p>
            <w:pPr>
              <w:pStyle w:val="Compact"/>
            </w:pPr>
            <w:r>
              <w:t xml:space="preserve">Destroys 3rd-line independence</w:t>
            </w:r>
          </w:p>
        </w:tc>
      </w:tr>
      <w:tr>
        <w:tc>
          <w:tcPr/>
          <w:p>
            <w:pPr>
              <w:pStyle w:val="Compact"/>
            </w:pPr>
            <w:r>
              <w:t xml:space="preserve">T7</w:t>
            </w:r>
          </w:p>
        </w:tc>
        <w:tc>
          <w:tcPr/>
          <w:p>
            <w:pPr>
              <w:pStyle w:val="Compact"/>
            </w:pPr>
            <w:r>
              <w:t xml:space="preserve">R-KEY-CUST-A</w:t>
            </w:r>
            <w:r>
              <w:t xml:space="preserve"> </w:t>
            </w:r>
            <w:r>
              <w:rPr>
                <w:b/>
                <w:bCs/>
              </w:rPr>
              <w:t xml:space="preserve">+</w:t>
            </w:r>
            <w:r>
              <w:t xml:space="preserve"> </w:t>
            </w:r>
            <w:r>
              <w:t xml:space="preserve">R-KEY-CUST-B</w:t>
            </w:r>
          </w:p>
        </w:tc>
        <w:tc>
          <w:tcPr/>
          <w:p>
            <w:pPr>
              <w:pStyle w:val="Compact"/>
            </w:pPr>
            <w:r>
              <w:t xml:space="preserve">Hold both key components → decrypt PAN alone (PCI Req 3.7)</w:t>
            </w:r>
          </w:p>
        </w:tc>
      </w:tr>
      <w:tr>
        <w:tc>
          <w:tcPr/>
          <w:p>
            <w:pPr>
              <w:pStyle w:val="Compact"/>
            </w:pPr>
            <w:r>
              <w:t xml:space="preserve">T8</w:t>
            </w:r>
          </w:p>
        </w:tc>
        <w:tc>
          <w:tcPr/>
          <w:p>
            <w:pPr>
              <w:pStyle w:val="Compact"/>
            </w:pPr>
            <w:r>
              <w:t xml:space="preserve">R-RISK maker</w:t>
            </w:r>
            <w:r>
              <w:t xml:space="preserve"> </w:t>
            </w:r>
            <w:r>
              <w:rPr>
                <w:b/>
                <w:bCs/>
              </w:rPr>
              <w:t xml:space="preserve">+</w:t>
            </w:r>
            <w:r>
              <w:t xml:space="preserve"> </w:t>
            </w:r>
            <w:r>
              <w:t xml:space="preserve">checker of the same rule</w:t>
            </w:r>
          </w:p>
        </w:tc>
        <w:tc>
          <w:tcPr/>
          <w:p>
            <w:pPr>
              <w:pStyle w:val="Compact"/>
            </w:pPr>
            <w:r>
              <w:t xml:space="preserve">Disable fraud controls to pass fraudulent traffic</w:t>
            </w:r>
          </w:p>
        </w:tc>
      </w:tr>
    </w:tbl>
    <w:p>
      <w:r>
        <w:pict>
          <v:rect style="width:0;height:1.5pt" o:hralign="center" o:hrstd="t" o:hr="t"/>
        </w:pict>
      </w:r>
    </w:p>
    <w:bookmarkEnd w:id="613"/>
    <w:bookmarkStart w:id="617" w:name="dual-control-for-key-operations"/>
    <w:p>
      <w:pPr>
        <w:pStyle w:val="Heading2"/>
      </w:pPr>
      <w:r>
        <w:t xml:space="preserve">6. Dual Control for Key Operations</w:t>
      </w:r>
    </w:p>
    <w:bookmarkStart w:id="614" w:name="thresholds-and-makerchecker-slas"/>
    <w:p>
      <w:pPr>
        <w:pStyle w:val="Heading3"/>
      </w:pPr>
      <w:r>
        <w:t xml:space="preserve">6.1 Thresholds and maker–checker SLAs</w:t>
      </w:r>
    </w:p>
    <w:tbl>
      <w:tblPr>
        <w:tblStyle w:val="Table"/>
        <w:tblW w:type="pct" w:w="5000"/>
        <w:tblLayout w:type="fixed"/>
        <w:tblLook w:firstRow="1" w:lastRow="0" w:firstColumn="0" w:lastColumn="0" w:noHBand="0" w:noVBand="0" w:val="0020"/>
      </w:tblPr>
      <w:tblGrid>
        <w:gridCol w:w="1161"/>
        <w:gridCol w:w="3590"/>
        <w:gridCol w:w="739"/>
        <w:gridCol w:w="950"/>
        <w:gridCol w:w="1478"/>
      </w:tblGrid>
      <w:tr>
        <w:trPr>
          <w:tblHeader w:val="on"/>
        </w:trPr>
        <w:tc>
          <w:tcPr/>
          <w:p>
            <w:pPr>
              <w:pStyle w:val="Compact"/>
            </w:pPr>
            <w:r>
              <w:t xml:space="preserve">Operation</w:t>
            </w:r>
          </w:p>
        </w:tc>
        <w:tc>
          <w:tcPr/>
          <w:p>
            <w:pPr>
              <w:pStyle w:val="Compact"/>
            </w:pPr>
            <w:r>
              <w:t xml:space="preserve">Threshold requiring dual control</w:t>
            </w:r>
          </w:p>
        </w:tc>
        <w:tc>
          <w:tcPr/>
          <w:p>
            <w:pPr>
              <w:pStyle w:val="Compact"/>
            </w:pPr>
            <w:r>
              <w:t xml:space="preserve">Maker</w:t>
            </w:r>
          </w:p>
        </w:tc>
        <w:tc>
          <w:tcPr/>
          <w:p>
            <w:pPr>
              <w:pStyle w:val="Compact"/>
            </w:pPr>
            <w:r>
              <w:t xml:space="preserve">Checker</w:t>
            </w:r>
          </w:p>
        </w:tc>
        <w:tc>
          <w:tcPr/>
          <w:p>
            <w:pPr>
              <w:pStyle w:val="Compact"/>
            </w:pPr>
            <w:r>
              <w:t xml:space="preserve">Approval SLA</w:t>
            </w:r>
          </w:p>
        </w:tc>
      </w:tr>
      <w:tr>
        <w:tc>
          <w:tcPr/>
          <w:p>
            <w:pPr>
              <w:pStyle w:val="Compact"/>
            </w:pPr>
            <w:r>
              <w:t xml:space="preserve">Refund/Void</w:t>
            </w:r>
          </w:p>
        </w:tc>
        <w:tc>
          <w:tcPr/>
          <w:p>
            <w:pPr>
              <w:pStyle w:val="Compact"/>
            </w:pPr>
            <w:r>
              <w:t xml:space="preserve">&gt; THB 50,000 per item, or &gt; THB 200,000/day/merchant</w:t>
            </w:r>
          </w:p>
        </w:tc>
        <w:tc>
          <w:tcPr/>
          <w:p>
            <w:pPr>
              <w:pStyle w:val="Compact"/>
            </w:pPr>
            <w:r>
              <w:t xml:space="preserve">R-PAY-OPS</w:t>
            </w:r>
          </w:p>
        </w:tc>
        <w:tc>
          <w:tcPr/>
          <w:p>
            <w:pPr>
              <w:pStyle w:val="Compact"/>
            </w:pPr>
            <w:r>
              <w:t xml:space="preserve">R-MERCH-APV (senior ops)</w:t>
            </w:r>
          </w:p>
        </w:tc>
        <w:tc>
          <w:tcPr/>
          <w:p>
            <w:pPr>
              <w:pStyle w:val="Compact"/>
            </w:pPr>
            <w:r>
              <w:t xml:space="preserve">≤ 4 business hours</w:t>
            </w:r>
          </w:p>
        </w:tc>
      </w:tr>
      <w:tr>
        <w:tc>
          <w:tcPr/>
          <w:p>
            <w:pPr>
              <w:pStyle w:val="Compact"/>
            </w:pPr>
            <w:r>
              <w:t xml:space="preserve">Settlement/Payout batch</w:t>
            </w:r>
          </w:p>
        </w:tc>
        <w:tc>
          <w:tcPr/>
          <w:p>
            <w:pPr>
              <w:pStyle w:val="Compact"/>
            </w:pPr>
            <w:r>
              <w:rPr>
                <w:b/>
                <w:bCs/>
              </w:rPr>
              <w:t xml:space="preserve">every batch</w:t>
            </w:r>
            <w:r>
              <w:t xml:space="preserve"> </w:t>
            </w:r>
            <w:r>
              <w:t xml:space="preserve">(no minimum)</w:t>
            </w:r>
          </w:p>
        </w:tc>
        <w:tc>
          <w:tcPr/>
          <w:p>
            <w:pPr>
              <w:pStyle w:val="Compact"/>
            </w:pPr>
            <w:r>
              <w:t xml:space="preserve">R-SETTLE</w:t>
            </w:r>
          </w:p>
        </w:tc>
        <w:tc>
          <w:tcPr/>
          <w:p>
            <w:pPr>
              <w:pStyle w:val="Compact"/>
            </w:pPr>
            <w:r>
              <w:t xml:space="preserve">R-SETTLE-APV</w:t>
            </w:r>
          </w:p>
        </w:tc>
        <w:tc>
          <w:tcPr/>
          <w:p>
            <w:pPr>
              <w:pStyle w:val="Compact"/>
            </w:pPr>
            <w:r>
              <w:t xml:space="preserve">≤ 2 hours before cut-off</w:t>
            </w:r>
          </w:p>
        </w:tc>
      </w:tr>
      <w:tr>
        <w:tc>
          <w:tcPr/>
          <w:p>
            <w:pPr>
              <w:pStyle w:val="Compact"/>
            </w:pPr>
            <w:r>
              <w:t xml:space="preserve">Merchant activation</w:t>
            </w:r>
          </w:p>
        </w:tc>
        <w:tc>
          <w:tcPr/>
          <w:p>
            <w:pPr>
              <w:pStyle w:val="Compact"/>
            </w:pPr>
            <w:r>
              <w:rPr>
                <w:b/>
                <w:bCs/>
              </w:rPr>
              <w:t xml:space="preserve">every merchant</w:t>
            </w:r>
          </w:p>
        </w:tc>
        <w:tc>
          <w:tcPr/>
          <w:p>
            <w:pPr>
              <w:pStyle w:val="Compact"/>
            </w:pPr>
            <w:r>
              <w:t xml:space="preserve">R-MERCH-ONB</w:t>
            </w:r>
          </w:p>
        </w:tc>
        <w:tc>
          <w:tcPr/>
          <w:p>
            <w:pPr>
              <w:pStyle w:val="Compact"/>
            </w:pPr>
            <w:r>
              <w:t xml:space="preserve">R-MERCH-APV</w:t>
            </w:r>
          </w:p>
        </w:tc>
        <w:tc>
          <w:tcPr/>
          <w:p>
            <w:pPr>
              <w:pStyle w:val="Compact"/>
            </w:pPr>
            <w:r>
              <w:t xml:space="preserve">per onboarding SLA</w:t>
            </w:r>
          </w:p>
        </w:tc>
      </w:tr>
      <w:tr>
        <w:tc>
          <w:tcPr/>
          <w:p>
            <w:pPr>
              <w:pStyle w:val="Compact"/>
            </w:pPr>
            <w:r>
              <w:t xml:space="preserve">Deploy to production</w:t>
            </w:r>
          </w:p>
        </w:tc>
        <w:tc>
          <w:tcPr/>
          <w:p>
            <w:pPr>
              <w:pStyle w:val="Compact"/>
            </w:pPr>
            <w:r>
              <w:rPr>
                <w:b/>
                <w:bCs/>
              </w:rPr>
              <w:t xml:space="preserve">every time</w:t>
            </w:r>
          </w:p>
        </w:tc>
        <w:tc>
          <w:tcPr/>
          <w:p>
            <w:pPr>
              <w:pStyle w:val="Compact"/>
            </w:pPr>
            <w:r>
              <w:t xml:space="preserve">R-SRE-OPS</w:t>
            </w:r>
          </w:p>
        </w:tc>
        <w:tc>
          <w:tcPr/>
          <w:p>
            <w:pPr>
              <w:pStyle w:val="Compact"/>
            </w:pPr>
            <w:r>
              <w:t xml:space="preserve">R-SEC (or a different senior SRE)</w:t>
            </w:r>
          </w:p>
        </w:tc>
        <w:tc>
          <w:tcPr/>
          <w:p>
            <w:pPr>
              <w:pStyle w:val="Compact"/>
            </w:pPr>
            <w:r>
              <w:t xml:space="preserve">per change window</w:t>
            </w:r>
          </w:p>
        </w:tc>
      </w:tr>
      <w:tr>
        <w:tc>
          <w:tcPr/>
          <w:p>
            <w:pPr>
              <w:pStyle w:val="Compact"/>
            </w:pPr>
            <w:r>
              <w:t xml:space="preserve">Modify production DB (out of pipeline)</w:t>
            </w:r>
          </w:p>
        </w:tc>
        <w:tc>
          <w:tcPr/>
          <w:p>
            <w:pPr>
              <w:pStyle w:val="Compact"/>
            </w:pPr>
            <w:r>
              <w:rPr>
                <w:b/>
                <w:bCs/>
              </w:rPr>
              <w:t xml:space="preserve">every time</w:t>
            </w:r>
          </w:p>
        </w:tc>
        <w:tc>
          <w:tcPr/>
          <w:p>
            <w:pPr>
              <w:pStyle w:val="Compact"/>
            </w:pPr>
            <w:r>
              <w:t xml:space="preserve">R-DBA</w:t>
            </w:r>
          </w:p>
        </w:tc>
        <w:tc>
          <w:tcPr/>
          <w:p>
            <w:pPr>
              <w:pStyle w:val="Compact"/>
            </w:pPr>
            <w:r>
              <w:t xml:space="preserve">R-SEC</w:t>
            </w:r>
          </w:p>
        </w:tc>
        <w:tc>
          <w:tcPr/>
          <w:p>
            <w:pPr>
              <w:pStyle w:val="Compact"/>
            </w:pPr>
            <w:r>
              <w:t xml:space="preserve">JIT ≤ 60 min</w:t>
            </w:r>
          </w:p>
        </w:tc>
      </w:tr>
      <w:tr>
        <w:tc>
          <w:tcPr/>
          <w:p>
            <w:pPr>
              <w:pStyle w:val="Compact"/>
            </w:pPr>
            <w:r>
              <w:t xml:space="preserve">Grant privileged access</w:t>
            </w:r>
          </w:p>
        </w:tc>
        <w:tc>
          <w:tcPr/>
          <w:p>
            <w:pPr>
              <w:pStyle w:val="Compact"/>
            </w:pPr>
            <w:r>
              <w:rPr>
                <w:b/>
                <w:bCs/>
              </w:rPr>
              <w:t xml:space="preserve">every time</w:t>
            </w:r>
          </w:p>
        </w:tc>
        <w:tc>
          <w:tcPr/>
          <w:p>
            <w:pPr>
              <w:pStyle w:val="Compact"/>
            </w:pPr>
            <w:r>
              <w:t xml:space="preserve">R-IAM-ADMIN</w:t>
            </w:r>
          </w:p>
        </w:tc>
        <w:tc>
          <w:tcPr/>
          <w:p>
            <w:pPr>
              <w:pStyle w:val="Compact"/>
            </w:pPr>
            <w:r>
              <w:t xml:space="preserve">Line manager + R-SEC</w:t>
            </w:r>
          </w:p>
        </w:tc>
        <w:tc>
          <w:tcPr/>
          <w:p>
            <w:pPr>
              <w:pStyle w:val="Compact"/>
            </w:pPr>
            <w:r>
              <w:t xml:space="preserve">≤ 1 business day</w:t>
            </w:r>
          </w:p>
        </w:tc>
      </w:tr>
      <w:tr>
        <w:tc>
          <w:tcPr/>
          <w:p>
            <w:pPr>
              <w:pStyle w:val="Compact"/>
            </w:pPr>
            <w:r>
              <w:t xml:space="preserve">Key ceremony (generate/rotate)</w:t>
            </w:r>
          </w:p>
        </w:tc>
        <w:tc>
          <w:tcPr/>
          <w:p>
            <w:pPr>
              <w:pStyle w:val="Compact"/>
            </w:pPr>
            <w:r>
              <w:rPr>
                <w:b/>
                <w:bCs/>
              </w:rPr>
              <w:t xml:space="preserve">every time</w:t>
            </w:r>
          </w:p>
        </w:tc>
        <w:tc>
          <w:tcPr/>
          <w:p>
            <w:pPr>
              <w:pStyle w:val="Compact"/>
            </w:pPr>
            <w:r>
              <w:t xml:space="preserve">Custodian A</w:t>
            </w:r>
          </w:p>
        </w:tc>
        <w:tc>
          <w:tcPr/>
          <w:p>
            <w:pPr>
              <w:pStyle w:val="Compact"/>
            </w:pPr>
            <w:r>
              <w:t xml:space="preserve">Custodian B + Security witness</w:t>
            </w:r>
          </w:p>
        </w:tc>
        <w:tc>
          <w:tcPr/>
          <w:p>
            <w:pPr>
              <w:pStyle w:val="Compact"/>
            </w:pPr>
            <w:r>
              <w:t xml:space="preserve">per ceremony schedule</w:t>
            </w:r>
          </w:p>
        </w:tc>
      </w:tr>
      <w:tr>
        <w:tc>
          <w:tcPr/>
          <w:p>
            <w:pPr>
              <w:pStyle w:val="Compact"/>
            </w:pPr>
            <w:r>
              <w:t xml:space="preserve">Change fraud rule in prod</w:t>
            </w:r>
          </w:p>
        </w:tc>
        <w:tc>
          <w:tcPr/>
          <w:p>
            <w:pPr>
              <w:pStyle w:val="Compact"/>
            </w:pPr>
            <w:r>
              <w:rPr>
                <w:b/>
                <w:bCs/>
              </w:rPr>
              <w:t xml:space="preserve">every time</w:t>
            </w:r>
          </w:p>
        </w:tc>
        <w:tc>
          <w:tcPr/>
          <w:p>
            <w:pPr>
              <w:pStyle w:val="Compact"/>
            </w:pPr>
            <w:r>
              <w:t xml:space="preserve">R-RISK</w:t>
            </w:r>
          </w:p>
        </w:tc>
        <w:tc>
          <w:tcPr/>
          <w:p>
            <w:pPr>
              <w:pStyle w:val="Compact"/>
            </w:pPr>
            <w:r>
              <w:t xml:space="preserve">R-SRE-OPS / senior risk</w:t>
            </w:r>
          </w:p>
        </w:tc>
        <w:tc>
          <w:tcPr/>
          <w:p>
            <w:pPr>
              <w:pStyle w:val="Compact"/>
            </w:pPr>
            <w:r>
              <w:t xml:space="preserve">≤ 8 hours</w:t>
            </w:r>
          </w:p>
        </w:tc>
      </w:tr>
    </w:tbl>
    <w:p>
      <w:pPr>
        <w:pStyle w:val="BlockText"/>
      </w:pPr>
      <w:r>
        <w:t xml:space="preserve">These thresholds are</w:t>
      </w:r>
      <w:r>
        <w:t xml:space="preserve"> </w:t>
      </w:r>
      <w:r>
        <w:rPr>
          <w:b/>
          <w:bCs/>
        </w:rPr>
        <w:t xml:space="preserve">recommended defaults</w:t>
      </w:r>
      <w:r>
        <w:t xml:space="preserve"> </w:t>
      </w:r>
      <w:r>
        <w:t xml:space="preserve">— they must be aligned with the Risk-Committee-approved risk appetite and reviewed at least annually.</w:t>
      </w:r>
    </w:p>
    <w:bookmarkEnd w:id="614"/>
    <w:bookmarkStart w:id="615" w:name="enforcement-mechanisms"/>
    <w:p>
      <w:pPr>
        <w:pStyle w:val="Heading3"/>
      </w:pPr>
      <w:r>
        <w:t xml:space="preserve">6.2 Enforcement mechanisms</w:t>
      </w:r>
    </w:p>
    <w:p>
      <w:pPr>
        <w:pStyle w:val="Compact"/>
        <w:numPr>
          <w:ilvl w:val="0"/>
          <w:numId w:val="1260"/>
        </w:numPr>
      </w:pPr>
      <w:r>
        <w:rPr>
          <w:b/>
          <w:bCs/>
        </w:rPr>
        <w:t xml:space="preserve">System-enforced, not discipline-based</w:t>
      </w:r>
      <w:r>
        <w:t xml:space="preserve"> </w:t>
      </w:r>
      <w:r>
        <w:t xml:space="preserve">— the application/CI-CD/IdP rejects any request where maker = checker.</w:t>
      </w:r>
    </w:p>
    <w:p>
      <w:pPr>
        <w:pStyle w:val="Compact"/>
        <w:numPr>
          <w:ilvl w:val="0"/>
          <w:numId w:val="1260"/>
        </w:numPr>
      </w:pPr>
      <w:r>
        <w:t xml:space="preserve">Every dual-control approval is written to</w:t>
      </w:r>
      <w:r>
        <w:t xml:space="preserve"> </w:t>
      </w:r>
      <w:r>
        <w:rPr>
          <w:rStyle w:val="VerbatimChar"/>
        </w:rPr>
        <w:t xml:space="preserve">audit_log</w:t>
      </w:r>
      <w:r>
        <w:t xml:space="preserve"> </w:t>
      </w:r>
      <w:r>
        <w:t xml:space="preserve">(append-only, see ARCHITECTURE §6) with both identities, timestamp, justification, and before/after state.</w:t>
      </w:r>
    </w:p>
    <w:p>
      <w:pPr>
        <w:pStyle w:val="Compact"/>
        <w:numPr>
          <w:ilvl w:val="0"/>
          <w:numId w:val="1260"/>
        </w:numPr>
      </w:pPr>
      <w:r>
        <w:t xml:space="preserve">The checker must confirm with</w:t>
      </w:r>
      <w:r>
        <w:t xml:space="preserve"> </w:t>
      </w:r>
      <w:r>
        <w:rPr>
          <w:b/>
          <w:bCs/>
        </w:rPr>
        <w:t xml:space="preserve">MFA</w:t>
      </w:r>
      <w:r>
        <w:t xml:space="preserve"> </w:t>
      </w:r>
      <w:r>
        <w:t xml:space="preserve">at approval time (PCI Req 8.4/8.5).</w:t>
      </w:r>
    </w:p>
    <w:p>
      <w:pPr>
        <w:pStyle w:val="Compact"/>
        <w:numPr>
          <w:ilvl w:val="0"/>
          <w:numId w:val="1260"/>
        </w:numPr>
      </w:pPr>
      <w:r>
        <w:t xml:space="preserve">No self-approval, no retroactive approval, and no delegation that turns a maker into the checker.</w:t>
      </w:r>
    </w:p>
    <w:bookmarkEnd w:id="615"/>
    <w:bookmarkStart w:id="616" w:name="Xa9da1e50c4b1f5caf72879559e874b685c725f8"/>
    <w:p>
      <w:pPr>
        <w:pStyle w:val="Heading3"/>
      </w:pPr>
      <w:r>
        <w:t xml:space="preserve">6.3 Split knowledge &amp; dual control for cryptographic keys (PCI Req 3.5–3.7)</w:t>
      </w:r>
    </w:p>
    <w:p>
      <w:pPr>
        <w:pStyle w:val="Compact"/>
        <w:numPr>
          <w:ilvl w:val="0"/>
          <w:numId w:val="1261"/>
        </w:numPr>
      </w:pPr>
      <w:r>
        <w:t xml:space="preserve">Master / Key-Encryption-Keys are generated and rotated inside an</w:t>
      </w:r>
      <w:r>
        <w:t xml:space="preserve"> </w:t>
      </w:r>
      <w:r>
        <w:rPr>
          <w:b/>
          <w:bCs/>
        </w:rPr>
        <w:t xml:space="preserve">HSM/KMS</w:t>
      </w:r>
      <w:r>
        <w:t xml:space="preserve"> </w:t>
      </w:r>
      <w:r>
        <w:t xml:space="preserve">(A5) via a key ceremony with</w:t>
      </w:r>
      <w:r>
        <w:t xml:space="preserve"> </w:t>
      </w:r>
      <w:r>
        <w:rPr>
          <w:b/>
          <w:bCs/>
        </w:rPr>
        <w:t xml:space="preserve">Key Custodians A + B</w:t>
      </w:r>
      <w:r>
        <w:t xml:space="preserve"> </w:t>
      </w:r>
      <w:r>
        <w:t xml:space="preserve">(different people) and Security as witness.</w:t>
      </w:r>
    </w:p>
    <w:p>
      <w:pPr>
        <w:pStyle w:val="Compact"/>
        <w:numPr>
          <w:ilvl w:val="0"/>
          <w:numId w:val="1261"/>
        </w:numPr>
      </w:pPr>
      <w:r>
        <w:t xml:space="preserve">No single person accesses all key components (split knowledge); no clear-text key exists outside the HSM.</w:t>
      </w:r>
    </w:p>
    <w:p>
      <w:pPr>
        <w:pStyle w:val="Compact"/>
        <w:numPr>
          <w:ilvl w:val="0"/>
          <w:numId w:val="1261"/>
        </w:numPr>
      </w:pPr>
      <w:r>
        <w:t xml:space="preserve">Every ceremony has a</w:t>
      </w:r>
      <w:r>
        <w:t xml:space="preserve"> </w:t>
      </w:r>
      <w:r>
        <w:rPr>
          <w:b/>
          <w:bCs/>
        </w:rPr>
        <w:t xml:space="preserve">script + signed ceremony log</w:t>
      </w:r>
      <w:r>
        <w:t xml:space="preserve"> </w:t>
      </w:r>
      <w:r>
        <w:t xml:space="preserve">retained as QSA evidence.</w:t>
      </w:r>
    </w:p>
    <w:p>
      <w:pPr>
        <w:pStyle w:val="Compact"/>
        <w:numPr>
          <w:ilvl w:val="0"/>
          <w:numId w:val="1261"/>
        </w:numPr>
      </w:pPr>
      <w:r>
        <w:t xml:space="preserve">Keys are rotated on the schedule defined in the key-management policy and whenever compromise is suspected.</w:t>
      </w:r>
    </w:p>
    <w:p>
      <w:r>
        <w:pict>
          <v:rect style="width:0;height:1.5pt" o:hralign="center" o:hrstd="t" o:hr="t"/>
        </w:pict>
      </w:r>
    </w:p>
    <w:bookmarkEnd w:id="616"/>
    <w:bookmarkEnd w:id="617"/>
    <w:bookmarkStart w:id="621" w:name="least-privilege-access-lifecycle"/>
    <w:p>
      <w:pPr>
        <w:pStyle w:val="Heading2"/>
      </w:pPr>
      <w:r>
        <w:t xml:space="preserve">7. Least Privilege &amp; Access Lifecycle</w:t>
      </w:r>
    </w:p>
    <w:bookmarkStart w:id="618" w:name="joinermoverleaver-jml"/>
    <w:p>
      <w:pPr>
        <w:pStyle w:val="Heading3"/>
      </w:pPr>
      <w:r>
        <w:t xml:space="preserve">7.1 Joiner–Mover–Leaver (JML)</w:t>
      </w:r>
    </w:p>
    <w:tbl>
      <w:tblPr>
        <w:tblStyle w:val="Table"/>
        <w:tblW w:type="pct" w:w="5000"/>
        <w:tblLayout w:type="fixed"/>
        <w:tblLook w:firstRow="1" w:lastRow="0" w:firstColumn="0" w:lastColumn="0" w:noHBand="0" w:noVBand="0" w:val="0020"/>
      </w:tblPr>
      <w:tblGrid>
        <w:gridCol w:w="2772"/>
        <w:gridCol w:w="3168"/>
        <w:gridCol w:w="1980"/>
      </w:tblGrid>
      <w:tr>
        <w:trPr>
          <w:tblHeader w:val="on"/>
        </w:trPr>
        <w:tc>
          <w:tcPr/>
          <w:p>
            <w:pPr>
              <w:pStyle w:val="Compact"/>
            </w:pPr>
            <w:r>
              <w:t xml:space="preserve">Event</w:t>
            </w:r>
          </w:p>
        </w:tc>
        <w:tc>
          <w:tcPr/>
          <w:p>
            <w:pPr>
              <w:pStyle w:val="Compact"/>
            </w:pPr>
            <w:r>
              <w:t xml:space="preserve">Action</w:t>
            </w:r>
          </w:p>
        </w:tc>
        <w:tc>
          <w:tcPr/>
          <w:p>
            <w:pPr>
              <w:pStyle w:val="Compact"/>
            </w:pPr>
            <w:r>
              <w:t xml:space="preserve">SLA</w:t>
            </w:r>
          </w:p>
        </w:tc>
      </w:tr>
      <w:tr>
        <w:tc>
          <w:tcPr/>
          <w:p>
            <w:pPr>
              <w:pStyle w:val="Compact"/>
            </w:pPr>
            <w:r>
              <w:rPr>
                <w:b/>
                <w:bCs/>
              </w:rPr>
              <w:t xml:space="preserve">Joiner</w:t>
            </w:r>
          </w:p>
        </w:tc>
        <w:tc>
          <w:tcPr/>
          <w:p>
            <w:pPr>
              <w:pStyle w:val="Compact"/>
            </w:pPr>
            <w:r>
              <w:t xml:space="preserve">Grant only the position’s role (RBAC template) — manager requests, R-IAM-ADMIN maker + checker</w:t>
            </w:r>
          </w:p>
        </w:tc>
        <w:tc>
          <w:tcPr/>
          <w:p>
            <w:pPr>
              <w:pStyle w:val="Compact"/>
            </w:pPr>
            <w:r>
              <w:t xml:space="preserve">by start date</w:t>
            </w:r>
          </w:p>
        </w:tc>
      </w:tr>
      <w:tr>
        <w:tc>
          <w:tcPr/>
          <w:p>
            <w:pPr>
              <w:pStyle w:val="Compact"/>
            </w:pPr>
            <w:r>
              <w:rPr>
                <w:b/>
                <w:bCs/>
              </w:rPr>
              <w:t xml:space="preserve">Mover</w:t>
            </w:r>
            <w:r>
              <w:t xml:space="preserve"> </w:t>
            </w:r>
            <w:r>
              <w:t xml:space="preserve">(role change)</w:t>
            </w:r>
          </w:p>
        </w:tc>
        <w:tc>
          <w:tcPr/>
          <w:p>
            <w:pPr>
              <w:pStyle w:val="Compact"/>
            </w:pPr>
            <w:r>
              <w:rPr>
                <w:b/>
                <w:bCs/>
              </w:rPr>
              <w:t xml:space="preserve">Revoke all prior access</w:t>
            </w:r>
            <w:r>
              <w:t xml:space="preserve">, then re-grant per the new role (no accumulation/privilege creep)</w:t>
            </w:r>
          </w:p>
        </w:tc>
        <w:tc>
          <w:tcPr/>
          <w:p>
            <w:pPr>
              <w:pStyle w:val="Compact"/>
            </w:pPr>
            <w:r>
              <w:t xml:space="preserve">≤ 2 business days</w:t>
            </w:r>
          </w:p>
        </w:tc>
      </w:tr>
      <w:tr>
        <w:tc>
          <w:tcPr/>
          <w:p>
            <w:pPr>
              <w:pStyle w:val="Compact"/>
            </w:pPr>
            <w:r>
              <w:rPr>
                <w:b/>
                <w:bCs/>
              </w:rPr>
              <w:t xml:space="preserve">Leaver</w:t>
            </w:r>
          </w:p>
        </w:tc>
        <w:tc>
          <w:tcPr/>
          <w:p>
            <w:pPr>
              <w:pStyle w:val="Compact"/>
            </w:pPr>
            <w:r>
              <w:t xml:space="preserve">Disable/suspend all accounts, revoke tokens/keys, recover devices</w:t>
            </w:r>
          </w:p>
        </w:tc>
        <w:tc>
          <w:tcPr/>
          <w:p>
            <w:pPr>
              <w:pStyle w:val="Compact"/>
            </w:pPr>
            <w:r>
              <w:rPr>
                <w:b/>
                <w:bCs/>
              </w:rPr>
              <w:t xml:space="preserve">≤ 4 hours</w:t>
            </w:r>
            <w:r>
              <w:t xml:space="preserve"> </w:t>
            </w:r>
            <w:r>
              <w:t xml:space="preserve">for CDE/privileged; ≤ 24 hours otherwise</w:t>
            </w:r>
          </w:p>
        </w:tc>
      </w:tr>
    </w:tbl>
    <w:bookmarkEnd w:id="618"/>
    <w:bookmarkStart w:id="619" w:name="just-in-time-jit-break-glass"/>
    <w:p>
      <w:pPr>
        <w:pStyle w:val="Heading3"/>
      </w:pPr>
      <w:r>
        <w:t xml:space="preserve">7.2 Just-In-Time (JIT) / Break-glass</w:t>
      </w:r>
    </w:p>
    <w:p>
      <w:pPr>
        <w:pStyle w:val="Compact"/>
        <w:numPr>
          <w:ilvl w:val="0"/>
          <w:numId w:val="1262"/>
        </w:numPr>
      </w:pPr>
      <w:r>
        <w:t xml:space="preserve">Elevated/CDE access is</w:t>
      </w:r>
      <w:r>
        <w:t xml:space="preserve"> </w:t>
      </w:r>
      <w:r>
        <w:rPr>
          <w:b/>
          <w:bCs/>
        </w:rPr>
        <w:t xml:space="preserve">Just-In-Time</w:t>
      </w:r>
      <w:r>
        <w:t xml:space="preserve"> </w:t>
      </w:r>
      <w:r>
        <w:t xml:space="preserve">via PAM (A4): request → justify → dual-approve → use →</w:t>
      </w:r>
      <w:r>
        <w:t xml:space="preserve"> </w:t>
      </w:r>
      <w:r>
        <w:rPr>
          <w:b/>
          <w:bCs/>
        </w:rPr>
        <w:t xml:space="preserve">auto-expire (e.g. ≤ 60 minutes)</w:t>
      </w:r>
      <w:r>
        <w:t xml:space="preserve">.</w:t>
      </w:r>
    </w:p>
    <w:p>
      <w:pPr>
        <w:pStyle w:val="Compact"/>
        <w:numPr>
          <w:ilvl w:val="0"/>
          <w:numId w:val="1262"/>
        </w:numPr>
      </w:pPr>
      <w:r>
        <w:t xml:space="preserve">Break-glass accounts for emergencies: credentials sealed in the vault; activation triggers an immediate alert to CISO + on-call; a post-incident review is required within 24 hours and credentials are rotated after use.</w:t>
      </w:r>
    </w:p>
    <w:bookmarkEnd w:id="619"/>
    <w:bookmarkStart w:id="620" w:name="access-recertification"/>
    <w:p>
      <w:pPr>
        <w:pStyle w:val="Heading3"/>
      </w:pPr>
      <w:r>
        <w:t xml:space="preserve">7.3 Access Recertification</w:t>
      </w:r>
    </w:p>
    <w:tbl>
      <w:tblPr>
        <w:tblStyle w:val="Table"/>
        <w:tblW w:type="pct" w:w="5000"/>
        <w:tblLayout w:type="fixed"/>
        <w:tblLook w:firstRow="1" w:lastRow="0" w:firstColumn="0" w:lastColumn="0" w:noHBand="0" w:noVBand="0" w:val="0020"/>
      </w:tblPr>
      <w:tblGrid>
        <w:gridCol w:w="2511"/>
        <w:gridCol w:w="3477"/>
        <w:gridCol w:w="1931"/>
      </w:tblGrid>
      <w:tr>
        <w:trPr>
          <w:tblHeader w:val="on"/>
        </w:trPr>
        <w:tc>
          <w:tcPr/>
          <w:p>
            <w:pPr>
              <w:pStyle w:val="Compact"/>
            </w:pPr>
            <w:r>
              <w:t xml:space="preserve">Access type</w:t>
            </w:r>
          </w:p>
        </w:tc>
        <w:tc>
          <w:tcPr/>
          <w:p>
            <w:pPr>
              <w:pStyle w:val="Compact"/>
            </w:pPr>
            <w:r>
              <w:t xml:space="preserve">Review frequency</w:t>
            </w:r>
          </w:p>
        </w:tc>
        <w:tc>
          <w:tcPr/>
          <w:p>
            <w:pPr>
              <w:pStyle w:val="Compact"/>
            </w:pPr>
            <w:r>
              <w:t xml:space="preserve">Reviewer</w:t>
            </w:r>
          </w:p>
        </w:tc>
      </w:tr>
      <w:tr>
        <w:tc>
          <w:tcPr/>
          <w:p>
            <w:pPr>
              <w:pStyle w:val="Compact"/>
            </w:pPr>
            <w:r>
              <w:t xml:space="preserve">Privileged / CDE / prod</w:t>
            </w:r>
          </w:p>
        </w:tc>
        <w:tc>
          <w:tcPr/>
          <w:p>
            <w:pPr>
              <w:pStyle w:val="Compact"/>
            </w:pPr>
            <w:r>
              <w:rPr>
                <w:b/>
                <w:bCs/>
              </w:rPr>
              <w:t xml:space="preserve">quarterly</w:t>
            </w:r>
          </w:p>
        </w:tc>
        <w:tc>
          <w:tcPr/>
          <w:p>
            <w:pPr>
              <w:pStyle w:val="Compact"/>
            </w:pPr>
            <w:r>
              <w:t xml:space="preserve">Line manager + R-SEC (PCI Req 7.2.4)</w:t>
            </w:r>
          </w:p>
        </w:tc>
      </w:tr>
      <w:tr>
        <w:tc>
          <w:tcPr/>
          <w:p>
            <w:pPr>
              <w:pStyle w:val="Compact"/>
            </w:pPr>
            <w:r>
              <w:t xml:space="preserve">General (non-privileged)</w:t>
            </w:r>
          </w:p>
        </w:tc>
        <w:tc>
          <w:tcPr/>
          <w:p>
            <w:pPr>
              <w:pStyle w:val="Compact"/>
            </w:pPr>
            <w:r>
              <w:t xml:space="preserve">every 6 months</w:t>
            </w:r>
          </w:p>
        </w:tc>
        <w:tc>
          <w:tcPr/>
          <w:p>
            <w:pPr>
              <w:pStyle w:val="Compact"/>
            </w:pPr>
            <w:r>
              <w:t xml:space="preserve">Line manager</w:t>
            </w:r>
          </w:p>
        </w:tc>
      </w:tr>
      <w:tr>
        <w:tc>
          <w:tcPr/>
          <w:p>
            <w:pPr>
              <w:pStyle w:val="Compact"/>
            </w:pPr>
            <w:r>
              <w:t xml:space="preserve">Service account &amp; scope</w:t>
            </w:r>
          </w:p>
        </w:tc>
        <w:tc>
          <w:tcPr/>
          <w:p>
            <w:pPr>
              <w:pStyle w:val="Compact"/>
            </w:pPr>
            <w:r>
              <w:t xml:space="preserve">quarterly</w:t>
            </w:r>
          </w:p>
        </w:tc>
        <w:tc>
          <w:tcPr/>
          <w:p>
            <w:pPr>
              <w:pStyle w:val="Compact"/>
            </w:pPr>
            <w:r>
              <w:t xml:space="preserve">Owner + R-SEC</w:t>
            </w:r>
          </w:p>
        </w:tc>
      </w:tr>
      <w:tr>
        <w:tc>
          <w:tcPr/>
          <w:p>
            <w:pPr>
              <w:pStyle w:val="Compact"/>
            </w:pPr>
            <w:r>
              <w:t xml:space="preserve">SoD toxic-combination scan</w:t>
            </w:r>
          </w:p>
        </w:tc>
        <w:tc>
          <w:tcPr/>
          <w:p>
            <w:pPr>
              <w:pStyle w:val="Compact"/>
            </w:pPr>
            <w:r>
              <w:t xml:space="preserve">monthly (automated) + quarterly review</w:t>
            </w:r>
          </w:p>
        </w:tc>
        <w:tc>
          <w:tcPr/>
          <w:p>
            <w:pPr>
              <w:pStyle w:val="Compact"/>
            </w:pPr>
            <w:r>
              <w:t xml:space="preserve">R-IAM-ADMIN + R-AUDIT</w:t>
            </w:r>
          </w:p>
        </w:tc>
      </w:tr>
    </w:tbl>
    <w:p>
      <w:pPr>
        <w:pStyle w:val="BlockText"/>
      </w:pPr>
      <w:r>
        <w:t xml:space="preserve">Recertification results and revocations are retained as evidence for Internal Audit and the QSA; access dormant for more than 90 days is auto-suspended.</w:t>
      </w:r>
    </w:p>
    <w:p>
      <w:r>
        <w:pict>
          <v:rect style="width:0;height:1.5pt" o:hralign="center" o:hrstd="t" o:hr="t"/>
        </w:pict>
      </w:r>
    </w:p>
    <w:bookmarkEnd w:id="620"/>
    <w:bookmarkEnd w:id="621"/>
    <w:bookmarkStart w:id="622" w:name="X92b0438ec955f5e855d2bb81d97c83cdc267295"/>
    <w:p>
      <w:pPr>
        <w:pStyle w:val="Heading2"/>
      </w:pPr>
      <w:r>
        <w:t xml:space="preserve">8. Compensating Controls (when the team is too small to fully separate)</w:t>
      </w:r>
    </w:p>
    <w:p>
      <w:pPr>
        <w:pStyle w:val="FirstParagraph"/>
      </w:pPr>
      <w:r>
        <w:t xml:space="preserve">In early phases (Phase 0–2 per ROADMAP), headcount may be insufficient to split every role (A6). If conflicting roles must be combined, a compensating control</w:t>
      </w:r>
      <w:r>
        <w:t xml:space="preserve"> </w:t>
      </w:r>
      <w:r>
        <w:rPr>
          <w:b/>
          <w:bCs/>
        </w:rPr>
        <w:t xml:space="preserve">approved in writing by the Risk Committee</w:t>
      </w:r>
      <w:r>
        <w:t xml:space="preserve"> </w:t>
      </w:r>
      <w:r>
        <w:t xml:space="preserve">and reviewed quarterly is required, for example:</w:t>
      </w:r>
    </w:p>
    <w:p>
      <w:pPr>
        <w:pStyle w:val="Compact"/>
        <w:numPr>
          <w:ilvl w:val="0"/>
          <w:numId w:val="1263"/>
        </w:numPr>
      </w:pPr>
      <w:r>
        <w:t xml:space="preserve">Use a</w:t>
      </w:r>
      <w:r>
        <w:t xml:space="preserve"> </w:t>
      </w:r>
      <w:r>
        <w:rPr>
          <w:b/>
          <w:bCs/>
        </w:rPr>
        <w:t xml:space="preserve">checker from the 2nd/3rd line</w:t>
      </w:r>
      <w:r>
        <w:t xml:space="preserve"> </w:t>
      </w:r>
      <w:r>
        <w:t xml:space="preserve">(e.g. CISO/CCO) instead of a teammate when in-team maker–checker separation is not possible.</w:t>
      </w:r>
    </w:p>
    <w:p>
      <w:pPr>
        <w:pStyle w:val="Compact"/>
        <w:numPr>
          <w:ilvl w:val="0"/>
          <w:numId w:val="1263"/>
        </w:numPr>
      </w:pPr>
      <w:r>
        <w:t xml:space="preserve">Add</w:t>
      </w:r>
      <w:r>
        <w:t xml:space="preserve"> </w:t>
      </w:r>
      <w:r>
        <w:rPr>
          <w:b/>
          <w:bCs/>
        </w:rPr>
        <w:t xml:space="preserve">detective controls</w:t>
      </w:r>
      <w:r>
        <w:t xml:space="preserve">: daily/sample reviews, automated alerts on any single-person action over a key operation, daily ledger reconciliation.</w:t>
      </w:r>
    </w:p>
    <w:p>
      <w:pPr>
        <w:pStyle w:val="Compact"/>
        <w:numPr>
          <w:ilvl w:val="0"/>
          <w:numId w:val="1263"/>
        </w:numPr>
      </w:pPr>
      <w:r>
        <w:rPr>
          <w:b/>
          <w:bCs/>
        </w:rPr>
        <w:t xml:space="preserve">Log the combination</w:t>
      </w:r>
      <w:r>
        <w:t xml:space="preserve"> </w:t>
      </w:r>
      <w:r>
        <w:t xml:space="preserve">in an SoD exception register with an expiry date and a plan to separate roles as headcount grows.</w:t>
      </w:r>
    </w:p>
    <w:p>
      <w:pPr>
        <w:pStyle w:val="Compact"/>
        <w:numPr>
          <w:ilvl w:val="0"/>
          <w:numId w:val="1263"/>
        </w:numPr>
      </w:pPr>
      <w:r>
        <w:t xml:space="preserve">Internal Audit tests the effectiveness of compensating controls quarterly and reports to the Audit Committee.</w:t>
      </w:r>
    </w:p>
    <w:p>
      <w:r>
        <w:pict>
          <v:rect style="width:0;height:1.5pt" o:hralign="center" o:hrstd="t" o:hr="t"/>
        </w:pict>
      </w:r>
    </w:p>
    <w:bookmarkEnd w:id="622"/>
    <w:bookmarkStart w:id="623" w:name="enforcement-audit-reporting"/>
    <w:p>
      <w:pPr>
        <w:pStyle w:val="Heading2"/>
      </w:pPr>
      <w:r>
        <w:t xml:space="preserve">9. Enforcement, Audit &amp; Reporting</w:t>
      </w:r>
    </w:p>
    <w:p>
      <w:pPr>
        <w:pStyle w:val="Compact"/>
        <w:numPr>
          <w:ilvl w:val="0"/>
          <w:numId w:val="1264"/>
        </w:numPr>
      </w:pPr>
      <w:r>
        <w:rPr>
          <w:b/>
          <w:bCs/>
        </w:rPr>
        <w:t xml:space="preserve">System-enforced:</w:t>
      </w:r>
      <w:r>
        <w:t xml:space="preserve"> </w:t>
      </w:r>
      <w:r>
        <w:t xml:space="preserve">IdP/PAM/application are the enforcement points for SoD and least privilege; document-only policy is insufficient.</w:t>
      </w:r>
    </w:p>
    <w:p>
      <w:pPr>
        <w:pStyle w:val="Compact"/>
        <w:numPr>
          <w:ilvl w:val="0"/>
          <w:numId w:val="1264"/>
        </w:numPr>
      </w:pPr>
      <w:r>
        <w:rPr>
          <w:b/>
          <w:bCs/>
        </w:rPr>
        <w:t xml:space="preserve">Logging (PCI Req 10):</w:t>
      </w:r>
      <w:r>
        <w:t xml:space="preserve"> </w:t>
      </w:r>
      <w:r>
        <w:t xml:space="preserve">every access grant, privileged use, dual-control approval, and break-glass event is written to an append-only</w:t>
      </w:r>
      <w:r>
        <w:t xml:space="preserve"> </w:t>
      </w:r>
      <w:r>
        <w:rPr>
          <w:rStyle w:val="VerbatimChar"/>
        </w:rPr>
        <w:t xml:space="preserve">audit_log</w:t>
      </w:r>
      <w:r>
        <w:t xml:space="preserve">, tamper-protected, retained</w:t>
      </w:r>
      <w:r>
        <w:t xml:space="preserve"> </w:t>
      </w:r>
      <w:r>
        <w:rPr>
          <w:b/>
          <w:bCs/>
        </w:rPr>
        <w:t xml:space="preserve">at least 1 year (with 12 months immediately available)</w:t>
      </w:r>
      <w:r>
        <w:t xml:space="preserve"> </w:t>
      </w:r>
      <w:r>
        <w:t xml:space="preserve">and archived per</w:t>
      </w:r>
      <w:r>
        <w:t xml:space="preserve"> </w:t>
      </w:r>
      <w:r>
        <w:rPr>
          <w:rStyle w:val="VerbatimChar"/>
        </w:rPr>
        <w:t xml:space="preserve">11-data-retention-deletion.md</w:t>
      </w:r>
      <w:r>
        <w:t xml:space="preserve">.</w:t>
      </w:r>
    </w:p>
    <w:p>
      <w:pPr>
        <w:pStyle w:val="Compact"/>
        <w:numPr>
          <w:ilvl w:val="0"/>
          <w:numId w:val="1264"/>
        </w:numPr>
      </w:pPr>
      <w:r>
        <w:rPr>
          <w:b/>
          <w:bCs/>
        </w:rPr>
        <w:t xml:space="preserve">Internal audit:</w:t>
      </w:r>
      <w:r>
        <w:t xml:space="preserve"> </w:t>
      </w:r>
      <w:r>
        <w:t xml:space="preserve">Internal Audit (3rd line) tests the SoD matrix and toxic combinations at least annually and reports to the Audit Committee.</w:t>
      </w:r>
    </w:p>
    <w:p>
      <w:pPr>
        <w:pStyle w:val="Compact"/>
        <w:numPr>
          <w:ilvl w:val="0"/>
          <w:numId w:val="1264"/>
        </w:numPr>
      </w:pPr>
      <w:r>
        <w:rPr>
          <w:b/>
          <w:bCs/>
        </w:rPr>
        <w:t xml:space="preserve">External assessment:</w:t>
      </w:r>
      <w:r>
        <w:t xml:space="preserve"> </w:t>
      </w:r>
      <w:r>
        <w:t xml:space="preserve">the QSA (A3) reviews SoD/least privilege/dual control as part of the annual PCI-DSS v4.0 RoC.</w:t>
      </w:r>
    </w:p>
    <w:p>
      <w:pPr>
        <w:pStyle w:val="Compact"/>
        <w:numPr>
          <w:ilvl w:val="0"/>
          <w:numId w:val="1264"/>
        </w:numPr>
      </w:pPr>
      <w:r>
        <w:rPr>
          <w:b/>
          <w:bCs/>
        </w:rPr>
        <w:t xml:space="preserve">Violations:</w:t>
      </w:r>
      <w:r>
        <w:t xml:space="preserve"> </w:t>
      </w:r>
      <w:r>
        <w:t xml:space="preserve">circumventing SoD/least privilege is a security-policy breach and may lead to disciplinary action and regulatory reporting where applicable.</w:t>
      </w:r>
    </w:p>
    <w:p>
      <w:r>
        <w:pict>
          <v:rect style="width:0;height:1.5pt" o:hralign="center" o:hrstd="t" o:hr="t"/>
        </w:pict>
      </w:r>
    </w:p>
    <w:bookmarkEnd w:id="623"/>
    <w:bookmarkStart w:id="624" w:name="document-review"/>
    <w:p>
      <w:pPr>
        <w:pStyle w:val="Heading2"/>
      </w:pPr>
      <w:r>
        <w:t xml:space="preserve">10. Document Review</w:t>
      </w:r>
    </w:p>
    <w:p>
      <w:pPr>
        <w:pStyle w:val="FirstParagraph"/>
      </w:pPr>
      <w:r>
        <w:t xml:space="preserve">Review this document at least</w:t>
      </w:r>
      <w:r>
        <w:t xml:space="preserve"> </w:t>
      </w:r>
      <w:r>
        <w:rPr>
          <w:b/>
          <w:bCs/>
        </w:rPr>
        <w:t xml:space="preserve">annually</w:t>
      </w:r>
      <w:r>
        <w:t xml:space="preserve"> </w:t>
      </w:r>
      <w:r>
        <w:t xml:space="preserve">and whenever (a) organizational/role structures change, (b) risk appetite changes, (c) an incident/audit finding reveals a gap, or (d) PCI-DSS or BOT/AMLO/PDPC notifications are updated. Owner: CISO with the CCO; approved by the Risk Committee.</w:t>
      </w:r>
    </w:p>
    <w:p>
      <w:r>
        <w:br w:type="page"/>
      </w:r>
    </w:p>
    <w:bookmarkEnd w:id="624"/>
    <w:bookmarkEnd w:id="625"/>
    <w:bookmarkStart w:id="647" w:name="แผนการปฏบตตาม-pci-dss-level-1-ไทย"/>
    <w:p>
      <w:pPr>
        <w:pStyle w:val="Heading1"/>
      </w:pPr>
      <w:r>
        <w:t xml:space="preserve">แผนการปฏิบัติตาม PCI-DSS Level 1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 พ.ร.บ. ระบบการชำระเงิน พ.ศ. 2560 ต่อธนาคารแห่งประเทศไทย (ธปท.) และเป็นแผนการได้มาซึ่งการรับรอง</w:t>
      </w:r>
      <w:r>
        <w:t xml:space="preserve"> </w:t>
      </w:r>
      <w:r>
        <w:rPr>
          <w:b/>
          <w:bCs/>
        </w:rPr>
        <w:t xml:space="preserve">PCI-DSS v4.0 Level 1</w:t>
      </w:r>
    </w:p>
    <w:p>
      <w:pPr>
        <w:pStyle w:val="BlockText"/>
      </w:pPr>
      <w:r>
        <w:t xml:space="preserve">เอกสารเลขที่:</w:t>
      </w:r>
      <w:r>
        <w:t xml:space="preserve"> </w:t>
      </w:r>
      <w:r>
        <w:rPr>
          <w:rStyle w:val="VerbatimChar"/>
        </w:rPr>
        <w:t xml:space="preserve">COMP-19</w:t>
      </w:r>
      <w:r>
        <w:t xml:space="preserve"> </w:t>
      </w:r>
      <w:r>
        <w:t xml:space="preserve">· เวอร์ชัน 1.0 · เจ้าของเอกสาร: Chief Information Security Officer (CISO) / PCI Program Lead</w:t>
      </w:r>
      <w:r>
        <w:t xml:space="preserve"> </w:t>
      </w:r>
      <w:r>
        <w:t xml:space="preserve">เอกสารอ้างอิง: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09-pdpa-privacy-policy.md</w:t>
      </w:r>
      <w:r>
        <w:t xml:space="preserve">,</w:t>
      </w:r>
      <w:r>
        <w:t xml:space="preserve"> </w:t>
      </w:r>
      <w:r>
        <w:rPr>
          <w:rStyle w:val="VerbatimChar"/>
        </w:rPr>
        <w:t xml:space="preserve">11-data-retention-deletion.md</w:t>
      </w:r>
    </w:p>
    <w:p>
      <w:pPr>
        <w:pStyle w:val="BlockText"/>
      </w:pPr>
      <w:r>
        <w:rPr>
          <w:b/>
          <w:bCs/>
        </w:rPr>
        <w:t xml:space="preserve">หมายเหตุ:</w:t>
      </w:r>
      <w:r>
        <w:t xml:space="preserve"> </w:t>
      </w:r>
      <w:r>
        <w:t xml:space="preserve">เอกสารนี้เป็นแผนงานและเอกสารเชิงนโยบายภายใน ไม่ใช่คำแนะนำทางกฎหมายหรือการรับรองการปฏิบัติตามมาตรฐาน สถานะการปฏิบัติตาม PCI-DSS ที่แท้จริงต้องได้รับการยืนยันโดย Qualified Security Assessor (QSA) ที่ขึ้นทะเบียนกับ PCI SSC เท่านั้น</w:t>
      </w:r>
    </w:p>
    <w:p>
      <w:r>
        <w:pict>
          <v:rect style="width:0;height:1.5pt" o:hralign="center" o:hrstd="t" o:hr="t"/>
        </w:pict>
      </w:r>
    </w:p>
    <w:p>
      <w:pPr>
        <w:pStyle w:val="Heading3"/>
      </w:pPr>
      <w:bookmarkStart w:id="626" w:name="ขอสมมตและสงทยงตองยนยน-assumptions-todo-1"/>
      <w:r>
        <w:t xml:space="preserve">⚠️ ข้อสมมติและสิ่งที่ยังต้องยืนยัน (Assumptions / TODO)</w:t>
      </w:r>
      <w:bookmarkEnd w:id="626"/>
    </w:p>
    <w:p>
      <w:pPr>
        <w:pStyle w:val="BlockText"/>
      </w:pPr>
      <w:r>
        <w:t xml:space="preserve">รายการต่อไปนี้ยังขึ้นกับคู่สัญญา/ผู้ให้บริการภายนอกที่ยังไม่สรุป —</w:t>
      </w:r>
      <w:r>
        <w:t xml:space="preserve"> </w:t>
      </w:r>
      <w:r>
        <w:rPr>
          <w:b/>
          <w:bCs/>
        </w:rPr>
        <w:t xml:space="preserve">ห้ามถือเป็นข้อเท็จจริงจนกว่าจะยืนยัน</w:t>
      </w:r>
      <w:r>
        <w:t xml:space="preserve">:</w:t>
      </w:r>
      <w:r>
        <w:t xml:space="preserve"> </w:t>
      </w:r>
      <w:r>
        <w:t xml:space="preserve">-</w:t>
      </w:r>
      <w:r>
        <w:t xml:space="preserve"> </w:t>
      </w:r>
      <w:r>
        <w:rPr>
          <w:b/>
          <w:bCs/>
        </w:rPr>
        <w:t xml:space="preserve">[TODO — Sponsor Bank / Acquirer]</w:t>
      </w:r>
      <w:r>
        <w:t xml:space="preserve"> </w:t>
      </w:r>
      <w:r>
        <w:t xml:space="preserve">ยังไม่ลงนามธนาคารผู้รับเชื่อม (sponsoring bank) และ card scheme (Visa/Mastercard) — ผู้กำหนดว่าจะต้องยื่น</w:t>
      </w:r>
      <w:r>
        <w:t xml:space="preserve"> </w:t>
      </w:r>
      <w:r>
        <w:rPr>
          <w:b/>
          <w:bCs/>
        </w:rPr>
        <w:t xml:space="preserve">RoC + AoC</w:t>
      </w:r>
      <w:r>
        <w:t xml:space="preserve"> </w:t>
      </w:r>
      <w:r>
        <w:t xml:space="preserve">ประจำปีในฐานะใด (Level 1 service provider) และกำหนด acquirer-mandated deadline สำหรับ compliance validation</w:t>
      </w:r>
      <w:r>
        <w:t xml:space="preserve"> </w:t>
      </w:r>
      <w:r>
        <w:t xml:space="preserve">-</w:t>
      </w:r>
      <w:r>
        <w:t xml:space="preserve"> </w:t>
      </w:r>
      <w:r>
        <w:rPr>
          <w:b/>
          <w:bCs/>
        </w:rPr>
        <w:t xml:space="preserve">[TODO — QSA vendor]</w:t>
      </w:r>
      <w:r>
        <w:t xml:space="preserve"> </w:t>
      </w:r>
      <w:r>
        <w:t xml:space="preserve">ยังไม่ลงนามผู้ประเมิน PCI-DSS (QSA firm) — ตัวอย่างผู้ให้บริการในไทย/ภูมิภาคที่อยู่ระหว่างพิจารณา ยังไม่ผูกมัด; ค่าธรรมเนียม, คิว และ scope walkthrough ต้องยืนยัน</w:t>
      </w:r>
      <w:r>
        <w:t xml:space="preserve"> </w:t>
      </w:r>
      <w:r>
        <w:t xml:space="preserve">-</w:t>
      </w:r>
      <w:r>
        <w:t xml:space="preserve"> </w:t>
      </w:r>
      <w:r>
        <w:rPr>
          <w:b/>
          <w:bCs/>
        </w:rPr>
        <w:t xml:space="preserve">[TODO — ASV vendor]</w:t>
      </w:r>
      <w:r>
        <w:t xml:space="preserve"> </w:t>
      </w:r>
      <w:r>
        <w:t xml:space="preserve">ยังไม่เลือก Approved Scanning Vendor สำหรับ quarterly external scan (PCI Req 11.3.2)</w:t>
      </w:r>
      <w:r>
        <w:t xml:space="preserve"> </w:t>
      </w:r>
      <w:r>
        <w:t xml:space="preserve">-</w:t>
      </w:r>
      <w:r>
        <w:t xml:space="preserve"> </w:t>
      </w:r>
      <w:r>
        <w:rPr>
          <w:b/>
          <w:bCs/>
        </w:rPr>
        <w:t xml:space="preserve">[TODO — Penetration test vendor]</w:t>
      </w:r>
      <w:r>
        <w:t xml:space="preserve"> </w:t>
      </w:r>
      <w:r>
        <w:t xml:space="preserve">ยังไม่เลือกผู้ทดสอบเจาะระบบภายนอก (annual pentest, PCI Req 11.4)</w:t>
      </w:r>
      <w:r>
        <w:t xml:space="preserve"> </w:t>
      </w:r>
      <w:r>
        <w:t xml:space="preserve">-</w:t>
      </w:r>
      <w:r>
        <w:t xml:space="preserve"> </w:t>
      </w:r>
      <w:r>
        <w:rPr>
          <w:b/>
          <w:bCs/>
        </w:rPr>
        <w:t xml:space="preserve">[TODO — ทุนจดทะเบียน]</w:t>
      </w:r>
      <w:r>
        <w:t xml:space="preserve"> </w:t>
      </w:r>
      <w:r>
        <w:t xml:space="preserve">ทุนจดทะเบียนชำระแล้วเป้าหมาย</w:t>
      </w:r>
      <w:r>
        <w:t xml:space="preserve"> </w:t>
      </w:r>
      <w:r>
        <w:rPr>
          <w:b/>
          <w:bCs/>
        </w:rPr>
        <w:t xml:space="preserve">50 ล้านบาท</w:t>
      </w:r>
      <w:r>
        <w:t xml:space="preserve"> </w:t>
      </w:r>
      <w:r>
        <w:t xml:space="preserve">(Full Acquiring) — ต้องยืนยันจำนวนที่ชำระจริงและรักษาไว้ ≥ 75% ตลอดการดำเนินงาน (ดู</w:t>
      </w:r>
      <w:r>
        <w:t xml:space="preserve"> </w:t>
      </w:r>
      <w:r>
        <w:rPr>
          <w:rStyle w:val="VerbatimChar"/>
        </w:rPr>
        <w:t xml:space="preserve">02-financial-projections-capital.md</w:t>
      </w:r>
      <w:r>
        <w:t xml:space="preserve">)</w:t>
      </w:r>
      <w:r>
        <w:t xml:space="preserve"> </w:t>
      </w:r>
      <w:r>
        <w:t xml:space="preserve">-</w:t>
      </w:r>
      <w:r>
        <w:t xml:space="preserve"> </w:t>
      </w:r>
      <w:r>
        <w:rPr>
          <w:b/>
          <w:bCs/>
        </w:rPr>
        <w:t xml:space="preserve">[TODO — HSM/KMS]</w:t>
      </w:r>
      <w:r>
        <w:t xml:space="preserve"> </w:t>
      </w:r>
      <w:r>
        <w:t xml:space="preserve">รุ่น/ผู้ให้บริการ HSM (on-prem PCI-PTS HSM หรือ cloud KMS ที่ผ่าน FIPS 140-2/140-3 Level 3) ยังไม่สรุป — กระทบ Req 3.5–3.7 (key management)</w:t>
      </w:r>
      <w:r>
        <w:t xml:space="preserve"> </w:t>
      </w:r>
      <w:r>
        <w:t xml:space="preserve">-</w:t>
      </w:r>
      <w:r>
        <w:t xml:space="preserve"> </w:t>
      </w:r>
      <w:r>
        <w:rPr>
          <w:b/>
          <w:bCs/>
        </w:rPr>
        <w:t xml:space="preserve">[TODO — Cloud region / data residency]</w:t>
      </w:r>
      <w:r>
        <w:t xml:space="preserve"> </w:t>
      </w:r>
      <w:r>
        <w:t xml:space="preserve">ผู้ให้บริการ cloud และ region (ต้องเก็บข้อมูลในไทยตาม ธปท./PDPA) และสถานะ AoC ของ cloud provider ต้องยืนยัน (shared responsibility matrix)</w:t>
      </w:r>
      <w:r>
        <w:t xml:space="preserve"> </w:t>
      </w:r>
      <w:r>
        <w:t xml:space="preserve">-</w:t>
      </w:r>
      <w:r>
        <w:t xml:space="preserve"> </w:t>
      </w:r>
      <w:r>
        <w:rPr>
          <w:b/>
          <w:bCs/>
        </w:rPr>
        <w:t xml:space="preserve">[TODO — ชื่อบริษัท/ที่อยู่/ผู้บริหาร]</w:t>
      </w:r>
      <w:r>
        <w:t xml:space="preserve"> </w:t>
      </w:r>
      <w:r>
        <w:t xml:space="preserve">ชื่อ</w:t>
      </w:r>
      <w:r>
        <w:t xml:space="preserve"> </w:t>
      </w:r>
      <w:r>
        <w:rPr>
          <w:rStyle w:val="VerbatimChar"/>
        </w:rPr>
        <w:t xml:space="preserve">[บริษัท / Company]</w:t>
      </w:r>
      <w:r>
        <w:t xml:space="preserve">, ที่อยู่จดทะเบียน, ชื่อ CISO/ISA ต้องเติมค่าจริงก่อนยื่น</w:t>
      </w:r>
    </w:p>
    <w:p>
      <w:r>
        <w:pict>
          <v:rect style="width:0;height:1.5pt" o:hralign="center" o:hrstd="t" o:hr="t"/>
        </w:pict>
      </w:r>
    </w:p>
    <w:bookmarkStart w:id="628" w:name="X9dfe2c93ef7f844c65b25d945fe00b8335c6baa"/>
    <w:p>
      <w:pPr>
        <w:pStyle w:val="Heading2"/>
      </w:pPr>
      <w:r>
        <w:t xml:space="preserve">1. บทนำ วัตถุประสงค์ และความสัมพันธ์กับใบอนุญาต ธปท.</w:t>
      </w:r>
    </w:p>
    <w:p>
      <w:pPr>
        <w:pStyle w:val="FirstParagraph"/>
      </w:pPr>
      <w:r>
        <w:rPr>
          <w:rStyle w:val="VerbatimChar"/>
        </w:rPr>
        <w:t xml:space="preserve">[บริษัท / Company]</w:t>
      </w:r>
      <w:r>
        <w:t xml:space="preserve"> </w:t>
      </w:r>
      <w:r>
        <w:t xml:space="preserve">(ต่อไปนี้เรียก</w:t>
      </w:r>
      <w:r>
        <w:t xml:space="preserve"> </w:t>
      </w:r>
      <w:r>
        <w:t xml:space="preserve">“บริษัท”</w:t>
      </w:r>
      <w:r>
        <w:t xml:space="preserve">) ประกอบธุรกิจให้บริการรับชำระเงินด้วยบัตร (Full Acquiring Payment Gateway) จึงเป็น</w:t>
      </w:r>
      <w:r>
        <w:t xml:space="preserve"> </w:t>
      </w:r>
      <w:r>
        <w:rPr>
          <w:b/>
          <w:bCs/>
        </w:rPr>
        <w:t xml:space="preserve">merchant-serving service provider</w:t>
      </w:r>
      <w:r>
        <w:t xml:space="preserve"> </w:t>
      </w:r>
      <w:r>
        <w:t xml:space="preserve">ที่ประมวลผล จัดเก็บ และ/หรือส่งผ่านข้อมูลผู้ถือบัตร (Cardholder Data — CHD) และต้องผ่านการรับรอง</w:t>
      </w:r>
      <w:r>
        <w:t xml:space="preserve"> </w:t>
      </w:r>
      <w:r>
        <w:rPr>
          <w:b/>
          <w:bCs/>
        </w:rPr>
        <w:t xml:space="preserve">PCI-DSS v4.0</w:t>
      </w:r>
      <w:r>
        <w:t xml:space="preserve"> </w:t>
      </w:r>
      <w:r>
        <w:t xml:space="preserve">ในระดับที่สูงที่สุด</w:t>
      </w:r>
    </w:p>
    <w:p>
      <w:pPr>
        <w:pStyle w:val="BodyText"/>
      </w:pPr>
      <w:r>
        <w:t xml:space="preserve">เอกสารนี้เป็น</w:t>
      </w:r>
      <w:r>
        <w:t xml:space="preserve"> </w:t>
      </w:r>
      <w:r>
        <w:rPr>
          <w:b/>
          <w:bCs/>
        </w:rPr>
        <w:t xml:space="preserve">แผนงาน (roadmap)</w:t>
      </w:r>
      <w:r>
        <w:t xml:space="preserve"> </w:t>
      </w:r>
      <w:r>
        <w:t xml:space="preserve">ที่ครอบคลุม: การกำหนด scope, เส้นทางจากการประเมินตนเอง (SAQ) ไปสู่การประเมินเต็มรูปโดย QSA และออก Report on Compliance (RoC), การจ้าง QSA/ASV, ไทม์ไลน์ และหลักฐาน (evidence) ที่ต้องเตรียม</w:t>
      </w:r>
    </w:p>
    <w:p>
      <w:pPr>
        <w:pStyle w:val="BodyText"/>
      </w:pPr>
      <w:r>
        <w:rPr>
          <w:b/>
          <w:bCs/>
        </w:rPr>
        <w:t xml:space="preserve">ความสัมพันธ์กับใบอนุญาต ธปท.:</w:t>
      </w:r>
      <w:r>
        <w:t xml:space="preserve"> </w:t>
      </w:r>
      <w:r>
        <w:t xml:space="preserve">ตาม</w:t>
      </w:r>
      <w:r>
        <w:t xml:space="preserve"> </w:t>
      </w:r>
      <w:r>
        <w:rPr>
          <w:rStyle w:val="VerbatimChar"/>
        </w:rPr>
        <w:t xml:space="preserve">COMPLIANCE-TH.md</w:t>
      </w:r>
      <w:r>
        <w:t xml:space="preserve"> </w:t>
      </w:r>
      <w:r>
        <w:t xml:space="preserve">§5 และ §6 การได้</w:t>
      </w:r>
      <w:r>
        <w:t xml:space="preserve"> </w:t>
      </w:r>
      <w:r>
        <w:rPr>
          <w:b/>
          <w:bCs/>
        </w:rPr>
        <w:t xml:space="preserve">PCI-DSS Level 1</w:t>
      </w:r>
      <w:r>
        <w:t xml:space="preserve"> </w:t>
      </w:r>
      <w:r>
        <w:t xml:space="preserve">เป็นหนึ่งในหลักฐานที่ ธปท. คาดหวังสำหรับผู้ขอใบอนุญาต acquiring และเป็นงาน</w:t>
      </w:r>
      <w:r>
        <w:t xml:space="preserve"> </w:t>
      </w:r>
      <w:r>
        <w:rPr>
          <w:b/>
          <w:bCs/>
        </w:rPr>
        <w:t xml:space="preserve">คู่ขนาน (parallel critical path)</w:t>
      </w:r>
      <w:r>
        <w:t xml:space="preserve"> </w:t>
      </w:r>
      <w:r>
        <w:t xml:space="preserve">กับการยื่นใบอนุญาต ไม่ใช่งานลำดับหลัง PCI-DSS ยังหนุนหลักเกณฑ์ ธปท. ด้าน IT risk, cyber resilience และ outsourcing โดยตรง</w:t>
      </w:r>
    </w:p>
    <w:bookmarkStart w:id="627" w:name="ทำไมตอง-level-1-ไมใชระดบตำกวา"/>
    <w:p>
      <w:pPr>
        <w:pStyle w:val="Heading3"/>
      </w:pPr>
      <w:r>
        <w:t xml:space="preserve">1.1 ทำไมต้อง Level 1 (ไม่ใช่ระดับต่ำกว่า)</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ปัจจัย</w:t>
            </w:r>
          </w:p>
        </w:tc>
        <w:tc>
          <w:tcPr/>
          <w:p>
            <w:pPr>
              <w:pStyle w:val="Compact"/>
            </w:pPr>
            <w:r>
              <w:t xml:space="preserve">เหตุผล</w:t>
            </w:r>
          </w:p>
        </w:tc>
      </w:tr>
      <w:tr>
        <w:tc>
          <w:tcPr/>
          <w:p>
            <w:pPr>
              <w:pStyle w:val="Compact"/>
            </w:pPr>
            <w:r>
              <w:t xml:space="preserve">ปริมาณธุรกรรม</w:t>
            </w:r>
          </w:p>
        </w:tc>
        <w:tc>
          <w:tcPr/>
          <w:p>
            <w:pPr>
              <w:pStyle w:val="Compact"/>
            </w:pPr>
            <w:r>
              <w:t xml:space="preserve">Level 1 service provider = ประมวลผล</w:t>
            </w:r>
            <w:r>
              <w:t xml:space="preserve"> </w:t>
            </w:r>
            <w:r>
              <w:rPr>
                <w:b/>
                <w:bCs/>
              </w:rPr>
              <w:t xml:space="preserve">&gt; 6 ล้านรายการ/ปี</w:t>
            </w:r>
            <w:r>
              <w:t xml:space="preserve"> </w:t>
            </w:r>
            <w:r>
              <w:t xml:space="preserve">ต่อแบรนด์บัตร (Visa/Mastercard) หรือถูกกำหนดโดย acquirer/แบรนด์</w:t>
            </w:r>
          </w:p>
        </w:tc>
      </w:tr>
      <w:tr>
        <w:tc>
          <w:tcPr/>
          <w:p>
            <w:pPr>
              <w:pStyle w:val="Compact"/>
            </w:pPr>
            <w:r>
              <w:t xml:space="preserve">บทบาท service provider</w:t>
            </w:r>
          </w:p>
        </w:tc>
        <w:tc>
          <w:tcPr/>
          <w:p>
            <w:pPr>
              <w:pStyle w:val="Compact"/>
            </w:pPr>
            <w:r>
              <w:t xml:space="preserve">ในฐานะ acquiring gateway ที่ให้บริการหลายร้านค้า card scheme มักกำหนดให้ validate ที่ Level 1 โดยไม่คำนึงปริมาณเริ่มต้น</w:t>
            </w:r>
          </w:p>
        </w:tc>
      </w:tr>
      <w:tr>
        <w:tc>
          <w:tcPr/>
          <w:p>
            <w:pPr>
              <w:pStyle w:val="Compact"/>
            </w:pPr>
            <w:r>
              <w:t xml:space="preserve">ข้อกำหนดหลักฐาน</w:t>
            </w:r>
          </w:p>
        </w:tc>
        <w:tc>
          <w:tcPr/>
          <w:p>
            <w:pPr>
              <w:pStyle w:val="Compact"/>
            </w:pPr>
            <w:r>
              <w:t xml:space="preserve">Level 1 บังคับ</w:t>
            </w:r>
            <w:r>
              <w:t xml:space="preserve"> </w:t>
            </w:r>
            <w:r>
              <w:rPr>
                <w:b/>
                <w:bCs/>
              </w:rPr>
              <w:t xml:space="preserve">on-site assessment โดย QSA → RoC + AoC</w:t>
            </w:r>
            <w:r>
              <w:t xml:space="preserve"> </w:t>
            </w:r>
            <w:r>
              <w:t xml:space="preserve">(ไม่ใช่ SAQ self-attest) + quarterly ASV scan</w:t>
            </w:r>
          </w:p>
        </w:tc>
      </w:tr>
      <w:tr>
        <w:tc>
          <w:tcPr/>
          <w:p>
            <w:pPr>
              <w:pStyle w:val="Compact"/>
            </w:pPr>
            <w:r>
              <w:t xml:space="preserve">ความคาดหวัง ธปท.</w:t>
            </w:r>
          </w:p>
        </w:tc>
        <w:tc>
          <w:tcPr/>
          <w:p>
            <w:pPr>
              <w:pStyle w:val="Compact"/>
            </w:pPr>
            <w:r>
              <w:t xml:space="preserve">สอดคล้อง ARCHITECTURE §7 ที่ระบุเป้าหมาย Level 1 ชัดเจน</w:t>
            </w:r>
          </w:p>
        </w:tc>
      </w:tr>
    </w:tbl>
    <w:p>
      <w:r>
        <w:pict>
          <v:rect style="width:0;height:1.5pt" o:hralign="center" o:hrstd="t" o:hr="t"/>
        </w:pict>
      </w:r>
    </w:p>
    <w:bookmarkEnd w:id="627"/>
    <w:bookmarkEnd w:id="628"/>
    <w:bookmarkStart w:id="632" w:name="Xb6fc610c25508e4979db3b29d6ebbd5f22181a0"/>
    <w:p>
      <w:pPr>
        <w:pStyle w:val="Heading2"/>
      </w:pPr>
      <w:r>
        <w:t xml:space="preserve">2. ขอบเขต (Scope) และ Cardholder Data Environment (CDE)</w:t>
      </w:r>
    </w:p>
    <w:bookmarkStart w:id="629" w:name="หลกการลด-scope-scope-minimization"/>
    <w:p>
      <w:pPr>
        <w:pStyle w:val="Heading3"/>
      </w:pPr>
      <w:r>
        <w:t xml:space="preserve">2.1 หลักการลด scope (Scope Minimization)</w:t>
      </w:r>
    </w:p>
    <w:p>
      <w:pPr>
        <w:pStyle w:val="FirstParagraph"/>
      </w:pPr>
      <w:r>
        <w:t xml:space="preserve">สอดคล้อง ARCHITECTURE §2, §6, §7 — บริษัทออกแบบให้</w:t>
      </w:r>
      <w:r>
        <w:t xml:space="preserve"> </w:t>
      </w:r>
      <w:r>
        <w:rPr>
          <w:b/>
          <w:bCs/>
        </w:rPr>
        <w:t xml:space="preserve">นำ CHD ออกจาก scope ให้มากที่สุด</w:t>
      </w:r>
      <w:r>
        <w:t xml:space="preserve">:</w:t>
      </w:r>
    </w:p>
    <w:p>
      <w:pPr>
        <w:pStyle w:val="Compact"/>
        <w:numPr>
          <w:ilvl w:val="0"/>
          <w:numId w:val="1265"/>
        </w:numPr>
      </w:pPr>
      <w:r>
        <w:rPr>
          <w:b/>
          <w:bCs/>
        </w:rPr>
        <w:t xml:space="preserve">Client-side tokenization</w:t>
      </w:r>
      <w:r>
        <w:t xml:space="preserve">: PAN ถูกส่งตรงจาก client (SDK/hosted field) ไปยัง Tokenization Vault ใน network segment ที่แยกออกอย่างชัดเจน โดย</w:t>
      </w:r>
      <w:r>
        <w:t xml:space="preserve"> </w:t>
      </w:r>
      <w:r>
        <w:rPr>
          <w:b/>
          <w:bCs/>
        </w:rPr>
        <w:t xml:space="preserve">ไม่ผ่านเซิร์ฟเวอร์ของร้านค้าและไม่ผ่านระบบหลัก (Payment Core)</w:t>
      </w:r>
      <w:r>
        <w:t xml:space="preserve"> </w:t>
      </w:r>
      <w:r>
        <w:t xml:space="preserve">ของบริษัท</w:t>
      </w:r>
    </w:p>
    <w:p>
      <w:pPr>
        <w:pStyle w:val="Compact"/>
        <w:numPr>
          <w:ilvl w:val="0"/>
          <w:numId w:val="1265"/>
        </w:numPr>
      </w:pPr>
      <w:r>
        <w:t xml:space="preserve">ระบบหลักและ operational DB เห็นเพียง</w:t>
      </w:r>
      <w:r>
        <w:t xml:space="preserve"> </w:t>
      </w:r>
      <w:r>
        <w:rPr>
          <w:b/>
          <w:bCs/>
        </w:rPr>
        <w:t xml:space="preserve">token +</w:t>
      </w:r>
      <w:r>
        <w:rPr>
          <w:b/>
          <w:bCs/>
        </w:rPr>
        <w:t xml:space="preserve"> </w:t>
      </w:r>
      <w:r>
        <w:rPr>
          <w:rStyle w:val="VerbatimChar"/>
          <w:b/>
          <w:bCs/>
        </w:rPr>
        <w:t xml:space="preserve">card_last4</w:t>
      </w:r>
      <w:r>
        <w:rPr>
          <w:b/>
          <w:bCs/>
        </w:rPr>
        <w:t xml:space="preserve"> </w:t>
      </w:r>
      <w:r>
        <w:rPr>
          <w:b/>
          <w:bCs/>
        </w:rPr>
        <w:t xml:space="preserve">+</w:t>
      </w:r>
      <w:r>
        <w:rPr>
          <w:b/>
          <w:bCs/>
        </w:rPr>
        <w:t xml:space="preserve"> </w:t>
      </w:r>
      <w:r>
        <w:rPr>
          <w:rStyle w:val="VerbatimChar"/>
          <w:b/>
          <w:bCs/>
        </w:rPr>
        <w:t xml:space="preserve">card_brand</w:t>
      </w:r>
      <w:r>
        <w:t xml:space="preserve"> </w:t>
      </w:r>
      <w:r>
        <w:t xml:space="preserve">เท่านั้น</w:t>
      </w:r>
    </w:p>
    <w:p>
      <w:pPr>
        <w:pStyle w:val="Compact"/>
        <w:numPr>
          <w:ilvl w:val="0"/>
          <w:numId w:val="1265"/>
        </w:numPr>
      </w:pPr>
      <w:r>
        <w:rPr>
          <w:b/>
          <w:bCs/>
        </w:rPr>
        <w:t xml:space="preserve">ห้ามจัดเก็บ Sensitive Authentication Data (SAD)</w:t>
      </w:r>
      <w:r>
        <w:t xml:space="preserve"> </w:t>
      </w:r>
      <w:r>
        <w:t xml:space="preserve">หลัง authorization โดยเด็ดขาด: CVV/CVV2/CVC2, PIN/PIN block, full magnetic-stripe/track data (PCI Req 3.3)</w:t>
      </w:r>
    </w:p>
    <w:bookmarkEnd w:id="629"/>
    <w:bookmarkStart w:id="630" w:name="การนยาม-cde-และการแบงประเภทระบบ"/>
    <w:p>
      <w:pPr>
        <w:pStyle w:val="Heading3"/>
      </w:pPr>
      <w:r>
        <w:t xml:space="preserve">2.2 การนิยาม CDE และการแบ่งประเภทระบบ</w:t>
      </w:r>
    </w:p>
    <w:tbl>
      <w:tblPr>
        <w:tblStyle w:val="Table"/>
        <w:tblW w:type="pct" w:w="5000"/>
        <w:tblLayout w:type="fixed"/>
        <w:tblLook w:firstRow="1" w:lastRow="0" w:firstColumn="0" w:lastColumn="0" w:noHBand="0" w:noVBand="0" w:val="0020"/>
      </w:tblPr>
      <w:tblGrid>
        <w:gridCol w:w="1131"/>
        <w:gridCol w:w="3111"/>
        <w:gridCol w:w="3677"/>
      </w:tblGrid>
      <w:tr>
        <w:trPr>
          <w:tblHeader w:val="on"/>
        </w:trPr>
        <w:tc>
          <w:tcPr/>
          <w:p>
            <w:pPr>
              <w:pStyle w:val="Compact"/>
            </w:pPr>
            <w:r>
              <w:t xml:space="preserve">ประเภท</w:t>
            </w:r>
          </w:p>
        </w:tc>
        <w:tc>
          <w:tcPr/>
          <w:p>
            <w:pPr>
              <w:pStyle w:val="Compact"/>
            </w:pPr>
            <w:r>
              <w:t xml:space="preserve">นิยาม (PCI-DSS v4.0)</w:t>
            </w:r>
          </w:p>
        </w:tc>
        <w:tc>
          <w:tcPr/>
          <w:p>
            <w:pPr>
              <w:pStyle w:val="Compact"/>
            </w:pPr>
            <w:r>
              <w:t xml:space="preserve">ตัวอย่างในสถาปัตยกรรมนี้</w:t>
            </w:r>
          </w:p>
        </w:tc>
      </w:tr>
      <w:tr>
        <w:tc>
          <w:tcPr/>
          <w:p>
            <w:pPr>
              <w:pStyle w:val="Compact"/>
            </w:pPr>
            <w:r>
              <w:rPr>
                <w:b/>
                <w:bCs/>
              </w:rPr>
              <w:t xml:space="preserve">CDE (in scope)</w:t>
            </w:r>
          </w:p>
        </w:tc>
        <w:tc>
          <w:tcPr/>
          <w:p>
            <w:pPr>
              <w:pStyle w:val="Compact"/>
            </w:pPr>
            <w:r>
              <w:t xml:space="preserve">ระบบที่ store/process/transmit CHD หรือ SAD</w:t>
            </w:r>
          </w:p>
        </w:tc>
        <w:tc>
          <w:tcPr/>
          <w:p>
            <w:pPr>
              <w:pStyle w:val="Compact"/>
            </w:pPr>
            <w:r>
              <w:t xml:space="preserve">Tokenization Vault, HSM/KMS, Acquirer Adapter (ISO 8583/REST) ที่ส่ง PAN, 3DS Adapter ในส่วนที่แตะ PAN</w:t>
            </w:r>
          </w:p>
        </w:tc>
      </w:tr>
      <w:tr>
        <w:tc>
          <w:tcPr/>
          <w:p>
            <w:pPr>
              <w:pStyle w:val="Compact"/>
            </w:pPr>
            <w:r>
              <w:rPr>
                <w:b/>
                <w:bCs/>
              </w:rPr>
              <w:t xml:space="preserve">Connected-to / Security-impacting</w:t>
            </w:r>
          </w:p>
        </w:tc>
        <w:tc>
          <w:tcPr/>
          <w:p>
            <w:pPr>
              <w:pStyle w:val="Compact"/>
            </w:pPr>
            <w:r>
              <w:t xml:space="preserve">ระบบที่เชื่อมต่อหรือกระทบความปลอดภัย CDE</w:t>
            </w:r>
          </w:p>
        </w:tc>
        <w:tc>
          <w:tcPr/>
          <w:p>
            <w:pPr>
              <w:pStyle w:val="Compact"/>
            </w:pPr>
            <w:r>
              <w:t xml:space="preserve">Payment Core (ผ่าน token), CI/CD ที่ deploy เข้า CDE, bastion/jump host, SIEM, IdP (SSO/MFA), NTP, DNS ภายใน</w:t>
            </w:r>
          </w:p>
        </w:tc>
      </w:tr>
      <w:tr>
        <w:tc>
          <w:tcPr/>
          <w:p>
            <w:pPr>
              <w:pStyle w:val="Compact"/>
            </w:pPr>
            <w:r>
              <w:rPr>
                <w:b/>
                <w:bCs/>
              </w:rPr>
              <w:t xml:space="preserve">Out of scope</w:t>
            </w:r>
          </w:p>
        </w:tc>
        <w:tc>
          <w:tcPr/>
          <w:p>
            <w:pPr>
              <w:pStyle w:val="Compact"/>
            </w:pPr>
            <w:r>
              <w:t xml:space="preserve">แยกจาก CDE ด้วย segmentation ที่ตรวจสอบได้</w:t>
            </w:r>
          </w:p>
        </w:tc>
        <w:tc>
          <w:tcPr/>
          <w:p>
            <w:pPr>
              <w:pStyle w:val="Compact"/>
            </w:pPr>
            <w:r>
              <w:t xml:space="preserve">Marketing site, merchant dashboard (อ่าน token), analytics ที่ไม่มี CHD</w:t>
            </w:r>
          </w:p>
        </w:tc>
      </w:tr>
    </w:tbl>
    <w:p>
      <w:pPr>
        <w:pStyle w:val="BlockText"/>
      </w:pPr>
      <w:r>
        <w:rPr>
          <w:b/>
          <w:bCs/>
        </w:rPr>
        <w:t xml:space="preserve">หลักฐาน segmentation:</w:t>
      </w:r>
      <w:r>
        <w:t xml:space="preserve"> </w:t>
      </w:r>
      <w:r>
        <w:t xml:space="preserve">ต้องพิสูจน์ด้วย</w:t>
      </w:r>
      <w:r>
        <w:t xml:space="preserve"> </w:t>
      </w:r>
      <w:r>
        <w:rPr>
          <w:b/>
          <w:bCs/>
        </w:rPr>
        <w:t xml:space="preserve">segmentation penetration test</w:t>
      </w:r>
      <w:r>
        <w:t xml:space="preserve"> </w:t>
      </w:r>
      <w:r>
        <w:t xml:space="preserve">อย่างน้อยปีละครั้ง (Req 11.4.5 สำหรับ service provider) เพื่อยืนยันว่าระบบ out-of-scope แยกจาก CDE จริง</w:t>
      </w:r>
    </w:p>
    <w:bookmarkEnd w:id="630"/>
    <w:bookmarkStart w:id="631" w:name="data-flow-และ-chd-inventory-สรป"/>
    <w:p>
      <w:pPr>
        <w:pStyle w:val="Heading3"/>
      </w:pPr>
      <w:r>
        <w:t xml:space="preserve">2.3 Data flow และ CHD inventory (สรุป)</w:t>
      </w:r>
    </w:p>
    <w:tbl>
      <w:tblPr>
        <w:tblStyle w:val="Table"/>
        <w:tblW w:type="pct" w:w="5000"/>
        <w:tblLayout w:type="fixed"/>
        <w:tblLook w:firstRow="1" w:lastRow="0" w:firstColumn="0" w:lastColumn="0" w:noHBand="0" w:noVBand="0" w:val="0020"/>
      </w:tblPr>
      <w:tblGrid>
        <w:gridCol w:w="1131"/>
        <w:gridCol w:w="1810"/>
        <w:gridCol w:w="2941"/>
        <w:gridCol w:w="2036"/>
      </w:tblGrid>
      <w:tr>
        <w:trPr>
          <w:tblHeader w:val="on"/>
        </w:trPr>
        <w:tc>
          <w:tcPr/>
          <w:p>
            <w:pPr>
              <w:pStyle w:val="Compact"/>
            </w:pPr>
            <w:r>
              <w:t xml:space="preserve">จุด</w:t>
            </w:r>
          </w:p>
        </w:tc>
        <w:tc>
          <w:tcPr/>
          <w:p>
            <w:pPr>
              <w:pStyle w:val="Compact"/>
            </w:pPr>
            <w:r>
              <w:t xml:space="preserve">ข้อมูล</w:t>
            </w:r>
          </w:p>
        </w:tc>
        <w:tc>
          <w:tcPr/>
          <w:p>
            <w:pPr>
              <w:pStyle w:val="Compact"/>
            </w:pPr>
            <w:r>
              <w:t xml:space="preserve">สถานะ scope</w:t>
            </w:r>
          </w:p>
        </w:tc>
        <w:tc>
          <w:tcPr/>
          <w:p>
            <w:pPr>
              <w:pStyle w:val="Compact"/>
            </w:pPr>
            <w:r>
              <w:t xml:space="preserve">มาตรการ</w:t>
            </w:r>
          </w:p>
        </w:tc>
      </w:tr>
      <w:tr>
        <w:tc>
          <w:tcPr/>
          <w:p>
            <w:pPr>
              <w:pStyle w:val="Compact"/>
            </w:pPr>
            <w:r>
              <w:t xml:space="preserve">Client → Vault</w:t>
            </w:r>
          </w:p>
        </w:tc>
        <w:tc>
          <w:tcPr/>
          <w:p>
            <w:pPr>
              <w:pStyle w:val="Compact"/>
            </w:pPr>
            <w:r>
              <w:t xml:space="preserve">PAN (single-use)</w:t>
            </w:r>
          </w:p>
        </w:tc>
        <w:tc>
          <w:tcPr/>
          <w:p>
            <w:pPr>
              <w:pStyle w:val="Compact"/>
            </w:pPr>
            <w:r>
              <w:t xml:space="preserve">เข้า scope ที่ Vault</w:t>
            </w:r>
          </w:p>
        </w:tc>
        <w:tc>
          <w:tcPr/>
          <w:p>
            <w:pPr>
              <w:pStyle w:val="Compact"/>
            </w:pPr>
            <w:r>
              <w:t xml:space="preserve">TLS 1.2+/1.3, tokenization ทันที</w:t>
            </w:r>
          </w:p>
        </w:tc>
      </w:tr>
      <w:tr>
        <w:tc>
          <w:tcPr/>
          <w:p>
            <w:pPr>
              <w:pStyle w:val="Compact"/>
            </w:pPr>
            <w:r>
              <w:t xml:space="preserve">Vault at rest</w:t>
            </w:r>
          </w:p>
        </w:tc>
        <w:tc>
          <w:tcPr/>
          <w:p>
            <w:pPr>
              <w:pStyle w:val="Compact"/>
            </w:pPr>
            <w:r>
              <w:t xml:space="preserve">PAN (ถ้าจำเป็น)</w:t>
            </w:r>
          </w:p>
        </w:tc>
        <w:tc>
          <w:tcPr/>
          <w:p>
            <w:pPr>
              <w:pStyle w:val="Compact"/>
            </w:pPr>
            <w:r>
              <w:t xml:space="preserve">ใน CDE</w:t>
            </w:r>
          </w:p>
        </w:tc>
        <w:tc>
          <w:tcPr/>
          <w:p>
            <w:pPr>
              <w:pStyle w:val="Compact"/>
            </w:pPr>
            <w:r>
              <w:t xml:space="preserve">envelope encryption, คีย์ใน HSM/KMS (Req 3.5–3.7)</w:t>
            </w:r>
          </w:p>
        </w:tc>
      </w:tr>
      <w:tr>
        <w:tc>
          <w:tcPr/>
          <w:p>
            <w:pPr>
              <w:pStyle w:val="Compact"/>
            </w:pPr>
            <w:r>
              <w:t xml:space="preserve">Payment Core / operational DB</w:t>
            </w:r>
          </w:p>
        </w:tc>
        <w:tc>
          <w:tcPr/>
          <w:p>
            <w:pPr>
              <w:pStyle w:val="Compact"/>
            </w:pPr>
            <w:r>
              <w:t xml:space="preserve">token,</w:t>
            </w:r>
            <w:r>
              <w:t xml:space="preserve"> </w:t>
            </w:r>
            <w:r>
              <w:rPr>
                <w:rStyle w:val="VerbatimChar"/>
              </w:rPr>
              <w:t xml:space="preserve">card_last4</w:t>
            </w:r>
            <w:r>
              <w:t xml:space="preserve">,</w:t>
            </w:r>
            <w:r>
              <w:t xml:space="preserve"> </w:t>
            </w:r>
            <w:r>
              <w:rPr>
                <w:rStyle w:val="VerbatimChar"/>
              </w:rPr>
              <w:t xml:space="preserve">card_brand</w:t>
            </w:r>
          </w:p>
        </w:tc>
        <w:tc>
          <w:tcPr/>
          <w:p>
            <w:pPr>
              <w:pStyle w:val="Compact"/>
            </w:pPr>
            <w:r>
              <w:t xml:space="preserve">นอก CDE</w:t>
            </w:r>
          </w:p>
        </w:tc>
        <w:tc>
          <w:tcPr/>
          <w:p>
            <w:pPr>
              <w:pStyle w:val="Compact"/>
            </w:pPr>
            <w:r>
              <w:t xml:space="preserve">ไม่มี PAN/SAD</w:t>
            </w:r>
          </w:p>
        </w:tc>
      </w:tr>
      <w:tr>
        <w:tc>
          <w:tcPr/>
          <w:p>
            <w:pPr>
              <w:pStyle w:val="Compact"/>
            </w:pPr>
            <w:r>
              <w:t xml:space="preserve">Gateway → Acquirer</w:t>
            </w:r>
          </w:p>
        </w:tc>
        <w:tc>
          <w:tcPr/>
          <w:p>
            <w:pPr>
              <w:pStyle w:val="Compact"/>
            </w:pPr>
            <w:r>
              <w:t xml:space="preserve">PAN (ระหว่าง authorize)</w:t>
            </w:r>
          </w:p>
        </w:tc>
        <w:tc>
          <w:tcPr/>
          <w:p>
            <w:pPr>
              <w:pStyle w:val="Compact"/>
            </w:pPr>
            <w:r>
              <w:t xml:space="preserve">ใน CDE</w:t>
            </w:r>
          </w:p>
        </w:tc>
        <w:tc>
          <w:tcPr/>
          <w:p>
            <w:pPr>
              <w:pStyle w:val="Compact"/>
            </w:pPr>
            <w:r>
              <w:t xml:space="preserve">mTLS, network segment แยก, ไม่ persist</w:t>
            </w:r>
          </w:p>
        </w:tc>
      </w:tr>
      <w:tr>
        <w:tc>
          <w:tcPr/>
          <w:p>
            <w:pPr>
              <w:pStyle w:val="Compact"/>
            </w:pPr>
            <w:r>
              <w:t xml:space="preserve">Ledger / audit_log</w:t>
            </w:r>
          </w:p>
        </w:tc>
        <w:tc>
          <w:tcPr/>
          <w:p>
            <w:pPr>
              <w:pStyle w:val="Compact"/>
            </w:pPr>
            <w:r>
              <w:t xml:space="preserve">จำนวนเงิน, สถานะ,</w:t>
            </w:r>
            <w:r>
              <w:t xml:space="preserve"> </w:t>
            </w:r>
            <w:r>
              <w:rPr>
                <w:rStyle w:val="VerbatimChar"/>
              </w:rPr>
              <w:t xml:space="preserve">auth_code</w:t>
            </w:r>
          </w:p>
        </w:tc>
        <w:tc>
          <w:tcPr/>
          <w:p>
            <w:pPr>
              <w:pStyle w:val="Compact"/>
            </w:pPr>
            <w:r>
              <w:t xml:space="preserve">นอก CDE</w:t>
            </w:r>
          </w:p>
        </w:tc>
        <w:tc>
          <w:tcPr/>
          <w:p>
            <w:pPr>
              <w:pStyle w:val="Compact"/>
            </w:pPr>
            <w:r>
              <w:t xml:space="preserve">append-only, ไม่มี CHD</w:t>
            </w:r>
          </w:p>
        </w:tc>
      </w:tr>
    </w:tbl>
    <w:p>
      <w:pPr>
        <w:pStyle w:val="BlockText"/>
      </w:pPr>
      <w:r>
        <w:rPr>
          <w:b/>
          <w:bCs/>
        </w:rPr>
        <w:t xml:space="preserve">Data flow diagram (DFD)</w:t>
      </w:r>
      <w:r>
        <w:t xml:space="preserve"> </w:t>
      </w:r>
      <w:r>
        <w:t xml:space="preserve">ฉบับสมบูรณ์ต้องจัดทำและให้ QSA ทวนสอบ (อ้าง</w:t>
      </w:r>
      <w:r>
        <w:t xml:space="preserve"> </w:t>
      </w:r>
      <w:r>
        <w:rPr>
          <w:rStyle w:val="VerbatimChar"/>
        </w:rPr>
        <w:t xml:space="preserve">DIAGRAMS.md</w:t>
      </w:r>
      <w:r>
        <w:t xml:space="preserve">) — เป็นหลักฐานบังคับสำหรับ Req 1 และ scope validation</w:t>
      </w:r>
    </w:p>
    <w:p>
      <w:r>
        <w:pict>
          <v:rect style="width:0;height:1.5pt" o:hralign="center" o:hrstd="t" o:hr="t"/>
        </w:pict>
      </w:r>
    </w:p>
    <w:bookmarkEnd w:id="631"/>
    <w:bookmarkEnd w:id="632"/>
    <w:bookmarkStart w:id="633" w:name="X9ac78c26aebd78610b6f87ceb6be0d30708c7a7"/>
    <w:p>
      <w:pPr>
        <w:pStyle w:val="Heading2"/>
      </w:pPr>
      <w:r>
        <w:t xml:space="preserve">3. การจับคู่ 12 Requirements ของ PCI-DSS v4.0 กับสถาปัตยกรรม</w:t>
      </w:r>
    </w:p>
    <w:tbl>
      <w:tblPr>
        <w:tblStyle w:val="Table"/>
        <w:tblW w:type="pct" w:w="5000"/>
        <w:tblLayout w:type="fixed"/>
        <w:tblLook w:firstRow="1" w:lastRow="0" w:firstColumn="0" w:lastColumn="0" w:noHBand="0" w:noVBand="0" w:val="0020"/>
      </w:tblPr>
      <w:tblGrid>
        <w:gridCol w:w="365"/>
        <w:gridCol w:w="2436"/>
        <w:gridCol w:w="2558"/>
        <w:gridCol w:w="2558"/>
      </w:tblGrid>
      <w:tr>
        <w:trPr>
          <w:tblHeader w:val="on"/>
        </w:trPr>
        <w:tc>
          <w:tcPr/>
          <w:p>
            <w:pPr>
              <w:pStyle w:val="Compact"/>
            </w:pPr>
            <w:r>
              <w:t xml:space="preserve">#</w:t>
            </w:r>
          </w:p>
        </w:tc>
        <w:tc>
          <w:tcPr/>
          <w:p>
            <w:pPr>
              <w:pStyle w:val="Compact"/>
            </w:pPr>
            <w:r>
              <w:t xml:space="preserve">Requirement (v4.0)</w:t>
            </w:r>
          </w:p>
        </w:tc>
        <w:tc>
          <w:tcPr/>
          <w:p>
            <w:pPr>
              <w:pStyle w:val="Compact"/>
            </w:pPr>
            <w:r>
              <w:t xml:space="preserve">การควบคุมหลักในระบบ</w:t>
            </w:r>
          </w:p>
        </w:tc>
        <w:tc>
          <w:tcPr/>
          <w:p>
            <w:pPr>
              <w:pStyle w:val="Compact"/>
            </w:pPr>
            <w:r>
              <w:t xml:space="preserve">เอกสาร/ผู้รับผิดชอบ</w:t>
            </w:r>
          </w:p>
        </w:tc>
      </w:tr>
      <w:tr>
        <w:tc>
          <w:tcPr/>
          <w:p>
            <w:pPr>
              <w:pStyle w:val="Compact"/>
            </w:pPr>
            <w:r>
              <w:t xml:space="preserve">1</w:t>
            </w:r>
          </w:p>
        </w:tc>
        <w:tc>
          <w:tcPr/>
          <w:p>
            <w:pPr>
              <w:pStyle w:val="Compact"/>
            </w:pPr>
            <w:r>
              <w:t xml:space="preserve">Network security controls (firewall/segmentation)</w:t>
            </w:r>
          </w:p>
        </w:tc>
        <w:tc>
          <w:tcPr/>
          <w:p>
            <w:pPr>
              <w:pStyle w:val="Compact"/>
            </w:pPr>
            <w:r>
              <w:t xml:space="preserve">WAF, security groups, segmentation CDE, IDS/IPS, DFD</w:t>
            </w:r>
          </w:p>
        </w:tc>
        <w:tc>
          <w:tcPr/>
          <w:p>
            <w:pPr>
              <w:pStyle w:val="Compact"/>
            </w:pPr>
            <w:r>
              <w:t xml:space="preserve">DevSecOps / SRE</w:t>
            </w:r>
          </w:p>
        </w:tc>
      </w:tr>
      <w:tr>
        <w:tc>
          <w:tcPr/>
          <w:p>
            <w:pPr>
              <w:pStyle w:val="Compact"/>
            </w:pPr>
            <w:r>
              <w:t xml:space="preserve">2</w:t>
            </w:r>
          </w:p>
        </w:tc>
        <w:tc>
          <w:tcPr/>
          <w:p>
            <w:pPr>
              <w:pStyle w:val="Compact"/>
            </w:pPr>
            <w:r>
              <w:t xml:space="preserve">Secure configurations</w:t>
            </w:r>
          </w:p>
        </w:tc>
        <w:tc>
          <w:tcPr/>
          <w:p>
            <w:pPr>
              <w:pStyle w:val="Compact"/>
            </w:pPr>
            <w:r>
              <w:t xml:space="preserve">distroless image, hardening baseline (CIS), ไม่มี default password</w:t>
            </w:r>
          </w:p>
        </w:tc>
        <w:tc>
          <w:tcPr/>
          <w:p>
            <w:pPr>
              <w:pStyle w:val="Compact"/>
            </w:pPr>
            <w:r>
              <w:t xml:space="preserve">DevSecOps</w:t>
            </w:r>
          </w:p>
        </w:tc>
      </w:tr>
      <w:tr>
        <w:tc>
          <w:tcPr/>
          <w:p>
            <w:pPr>
              <w:pStyle w:val="Compact"/>
            </w:pPr>
            <w:r>
              <w:t xml:space="preserve">3</w:t>
            </w:r>
          </w:p>
        </w:tc>
        <w:tc>
          <w:tcPr/>
          <w:p>
            <w:pPr>
              <w:pStyle w:val="Compact"/>
            </w:pPr>
            <w:r>
              <w:t xml:space="preserve">Protect stored account data</w:t>
            </w:r>
          </w:p>
        </w:tc>
        <w:tc>
          <w:tcPr/>
          <w:p>
            <w:pPr>
              <w:pStyle w:val="Compact"/>
            </w:pPr>
            <w:r>
              <w:t xml:space="preserve">envelope encryption, HSM/KMS, key rotation, dual control, split knowledge; ห้ามเก็บ SAD</w:t>
            </w:r>
          </w:p>
        </w:tc>
        <w:tc>
          <w:tcPr/>
          <w:p>
            <w:pPr>
              <w:pStyle w:val="Compact"/>
            </w:pPr>
            <w:r>
              <w:t xml:space="preserve">Security / CISO</w:t>
            </w:r>
          </w:p>
        </w:tc>
      </w:tr>
      <w:tr>
        <w:tc>
          <w:tcPr/>
          <w:p>
            <w:pPr>
              <w:pStyle w:val="Compact"/>
            </w:pPr>
            <w:r>
              <w:t xml:space="preserve">4</w:t>
            </w:r>
          </w:p>
        </w:tc>
        <w:tc>
          <w:tcPr/>
          <w:p>
            <w:pPr>
              <w:pStyle w:val="Compact"/>
            </w:pPr>
            <w:r>
              <w:t xml:space="preserve">Protect CHD in transit</w:t>
            </w:r>
          </w:p>
        </w:tc>
        <w:tc>
          <w:tcPr/>
          <w:p>
            <w:pPr>
              <w:pStyle w:val="Compact"/>
            </w:pPr>
            <w:r>
              <w:t xml:space="preserve">TLS 1.2+/1.3, mTLS ภายใน, cert management</w:t>
            </w:r>
          </w:p>
        </w:tc>
        <w:tc>
          <w:tcPr/>
          <w:p>
            <w:pPr>
              <w:pStyle w:val="Compact"/>
            </w:pPr>
            <w:r>
              <w:t xml:space="preserve">SRE</w:t>
            </w:r>
          </w:p>
        </w:tc>
      </w:tr>
      <w:tr>
        <w:tc>
          <w:tcPr/>
          <w:p>
            <w:pPr>
              <w:pStyle w:val="Compact"/>
            </w:pPr>
            <w:r>
              <w:t xml:space="preserve">5</w:t>
            </w:r>
          </w:p>
        </w:tc>
        <w:tc>
          <w:tcPr/>
          <w:p>
            <w:pPr>
              <w:pStyle w:val="Compact"/>
            </w:pPr>
            <w:r>
              <w:t xml:space="preserve">Anti-malware</w:t>
            </w:r>
          </w:p>
        </w:tc>
        <w:tc>
          <w:tcPr/>
          <w:p>
            <w:pPr>
              <w:pStyle w:val="Compact"/>
            </w:pPr>
            <w:r>
              <w:t xml:space="preserve">EDR บน host ใน CDE, image scanning</w:t>
            </w:r>
          </w:p>
        </w:tc>
        <w:tc>
          <w:tcPr/>
          <w:p>
            <w:pPr>
              <w:pStyle w:val="Compact"/>
            </w:pPr>
            <w:r>
              <w:t xml:space="preserve">DevSecOps</w:t>
            </w:r>
          </w:p>
        </w:tc>
      </w:tr>
      <w:tr>
        <w:tc>
          <w:tcPr/>
          <w:p>
            <w:pPr>
              <w:pStyle w:val="Compact"/>
            </w:pPr>
            <w:r>
              <w:t xml:space="preserve">6</w:t>
            </w:r>
          </w:p>
        </w:tc>
        <w:tc>
          <w:tcPr/>
          <w:p>
            <w:pPr>
              <w:pStyle w:val="Compact"/>
            </w:pPr>
            <w:r>
              <w:t xml:space="preserve">Secure software/systems</w:t>
            </w:r>
          </w:p>
        </w:tc>
        <w:tc>
          <w:tcPr/>
          <w:p>
            <w:pPr>
              <w:pStyle w:val="Compact"/>
            </w:pPr>
            <w:r>
              <w:t xml:space="preserve">SAST/DAST,</w:t>
            </w:r>
            <w:r>
              <w:t xml:space="preserve"> </w:t>
            </w:r>
            <w:r>
              <w:rPr>
                <w:rStyle w:val="VerbatimChar"/>
              </w:rPr>
              <w:t xml:space="preserve">govulncheck</w:t>
            </w:r>
            <w:r>
              <w:t xml:space="preserve">, secure SDLC, change control, patch SLA</w:t>
            </w:r>
          </w:p>
        </w:tc>
        <w:tc>
          <w:tcPr/>
          <w:p>
            <w:pPr>
              <w:pStyle w:val="Compact"/>
            </w:pPr>
            <w:r>
              <w:t xml:space="preserve">Engineering</w:t>
            </w:r>
          </w:p>
        </w:tc>
      </w:tr>
      <w:tr>
        <w:tc>
          <w:tcPr/>
          <w:p>
            <w:pPr>
              <w:pStyle w:val="Compact"/>
            </w:pPr>
            <w:r>
              <w:t xml:space="preserve">7</w:t>
            </w:r>
          </w:p>
        </w:tc>
        <w:tc>
          <w:tcPr/>
          <w:p>
            <w:pPr>
              <w:pStyle w:val="Compact"/>
            </w:pPr>
            <w:r>
              <w:t xml:space="preserve">Restrict access by need-to-know</w:t>
            </w:r>
          </w:p>
        </w:tc>
        <w:tc>
          <w:tcPr/>
          <w:p>
            <w:pPr>
              <w:pStyle w:val="Compact"/>
            </w:pPr>
            <w:r>
              <w:t xml:space="preserve">RBAC, least privilege, access review รายไตรมาส</w:t>
            </w:r>
          </w:p>
        </w:tc>
        <w:tc>
          <w:tcPr/>
          <w:p>
            <w:pPr>
              <w:pStyle w:val="Compact"/>
            </w:pPr>
            <w:r>
              <w:t xml:space="preserve">Security / HR</w:t>
            </w:r>
          </w:p>
        </w:tc>
      </w:tr>
      <w:tr>
        <w:tc>
          <w:tcPr/>
          <w:p>
            <w:pPr>
              <w:pStyle w:val="Compact"/>
            </w:pPr>
            <w:r>
              <w:t xml:space="preserve">8</w:t>
            </w:r>
          </w:p>
        </w:tc>
        <w:tc>
          <w:tcPr/>
          <w:p>
            <w:pPr>
              <w:pStyle w:val="Compact"/>
            </w:pPr>
            <w:r>
              <w:t xml:space="preserve">Identify &amp; authenticate</w:t>
            </w:r>
          </w:p>
        </w:tc>
        <w:tc>
          <w:tcPr/>
          <w:p>
            <w:pPr>
              <w:pStyle w:val="Compact"/>
            </w:pPr>
            <w:r>
              <w:t xml:space="preserve">MFA ทุกการเข้าถึง CDE และ admin (v4.0 เข้มขึ้น), password policy, no shared IDs</w:t>
            </w:r>
          </w:p>
        </w:tc>
        <w:tc>
          <w:tcPr/>
          <w:p>
            <w:pPr>
              <w:pStyle w:val="Compact"/>
            </w:pPr>
            <w:r>
              <w:t xml:space="preserve">Security / IT</w:t>
            </w:r>
          </w:p>
        </w:tc>
      </w:tr>
      <w:tr>
        <w:tc>
          <w:tcPr/>
          <w:p>
            <w:pPr>
              <w:pStyle w:val="Compact"/>
            </w:pPr>
            <w:r>
              <w:t xml:space="preserve">9</w:t>
            </w:r>
          </w:p>
        </w:tc>
        <w:tc>
          <w:tcPr/>
          <w:p>
            <w:pPr>
              <w:pStyle w:val="Compact"/>
            </w:pPr>
            <w:r>
              <w:t xml:space="preserve">Physical access</w:t>
            </w:r>
          </w:p>
        </w:tc>
        <w:tc>
          <w:tcPr/>
          <w:p>
            <w:pPr>
              <w:pStyle w:val="Compact"/>
            </w:pPr>
            <w:r>
              <w:t xml:space="preserve">ถ้าใช้ cloud → อ้าง AoC ของ provider; ถ้ามี HSM on-prem → ควบคุมทางกายภาพ</w:t>
            </w:r>
          </w:p>
        </w:tc>
        <w:tc>
          <w:tcPr/>
          <w:p>
            <w:pPr>
              <w:pStyle w:val="Compact"/>
            </w:pPr>
            <w:r>
              <w:t xml:space="preserve">SRE / Facilities</w:t>
            </w:r>
          </w:p>
        </w:tc>
      </w:tr>
      <w:tr>
        <w:tc>
          <w:tcPr/>
          <w:p>
            <w:pPr>
              <w:pStyle w:val="Compact"/>
            </w:pPr>
            <w:r>
              <w:t xml:space="preserve">10</w:t>
            </w:r>
          </w:p>
        </w:tc>
        <w:tc>
          <w:tcPr/>
          <w:p>
            <w:pPr>
              <w:pStyle w:val="Compact"/>
            </w:pPr>
            <w:r>
              <w:t xml:space="preserve">Log &amp; monitor</w:t>
            </w:r>
          </w:p>
        </w:tc>
        <w:tc>
          <w:tcPr/>
          <w:p>
            <w:pPr>
              <w:pStyle w:val="Compact"/>
            </w:pPr>
            <w:r>
              <w:t xml:space="preserve">structured log ไม่มี CHD, ห้าม log request body ที่มี PAN, SIEM, time-sync (NTP), เก็บ log ≥ 12 เดือน (ออนไลน์ ≥ 3 เดือน)</w:t>
            </w:r>
          </w:p>
        </w:tc>
        <w:tc>
          <w:tcPr/>
          <w:p>
            <w:pPr>
              <w:pStyle w:val="Compact"/>
            </w:pPr>
            <w:r>
              <w:t xml:space="preserve">SRE / SOC</w:t>
            </w:r>
          </w:p>
        </w:tc>
      </w:tr>
      <w:tr>
        <w:tc>
          <w:tcPr/>
          <w:p>
            <w:pPr>
              <w:pStyle w:val="Compact"/>
            </w:pPr>
            <w:r>
              <w:t xml:space="preserve">11</w:t>
            </w:r>
          </w:p>
        </w:tc>
        <w:tc>
          <w:tcPr/>
          <w:p>
            <w:pPr>
              <w:pStyle w:val="Compact"/>
            </w:pPr>
            <w:r>
              <w:t xml:space="preserve">Test security regularly</w:t>
            </w:r>
          </w:p>
        </w:tc>
        <w:tc>
          <w:tcPr/>
          <w:p>
            <w:pPr>
              <w:pStyle w:val="Compact"/>
            </w:pPr>
            <w:r>
              <w:t xml:space="preserve">quarterly ASV scan, internal vuln scan, annual pentest (external+internal), segmentation test</w:t>
            </w:r>
          </w:p>
        </w:tc>
        <w:tc>
          <w:tcPr/>
          <w:p>
            <w:pPr>
              <w:pStyle w:val="Compact"/>
            </w:pPr>
            <w:r>
              <w:t xml:space="preserve">Security / ASV / QSA</w:t>
            </w:r>
          </w:p>
        </w:tc>
      </w:tr>
      <w:tr>
        <w:tc>
          <w:tcPr/>
          <w:p>
            <w:pPr>
              <w:pStyle w:val="Compact"/>
            </w:pPr>
            <w:r>
              <w:t xml:space="preserve">12</w:t>
            </w:r>
          </w:p>
        </w:tc>
        <w:tc>
          <w:tcPr/>
          <w:p>
            <w:pPr>
              <w:pStyle w:val="Compact"/>
            </w:pPr>
            <w:r>
              <w:t xml:space="preserve">Security policy &amp; program</w:t>
            </w:r>
          </w:p>
        </w:tc>
        <w:tc>
          <w:tcPr/>
          <w:p>
            <w:pPr>
              <w:pStyle w:val="Compact"/>
            </w:pPr>
            <w:r>
              <w:t xml:space="preserve">ISMS, incident response, risk assessment, security awareness, TPSP management, targeted risk analysis (v4.0)</w:t>
            </w:r>
          </w:p>
        </w:tc>
        <w:tc>
          <w:tcPr/>
          <w:p>
            <w:pPr>
              <w:pStyle w:val="Compact"/>
            </w:pPr>
            <w:r>
              <w:t xml:space="preserve">CISO / Compliance</w:t>
            </w:r>
          </w:p>
        </w:tc>
      </w:tr>
    </w:tbl>
    <w:p>
      <w:pPr>
        <w:pStyle w:val="BlockText"/>
      </w:pPr>
      <w:r>
        <w:rPr>
          <w:b/>
          <w:bCs/>
        </w:rPr>
        <w:t xml:space="preserve">การเปลี่ยนแปลงสำคัญใน v4.0</w:t>
      </w:r>
      <w:r>
        <w:t xml:space="preserve"> </w:t>
      </w:r>
      <w:r>
        <w:t xml:space="preserve">ที่ต้องวางแผนล่วงหน้า: (ก)</w:t>
      </w:r>
      <w:r>
        <w:t xml:space="preserve"> </w:t>
      </w:r>
      <w:r>
        <w:rPr>
          <w:b/>
          <w:bCs/>
        </w:rPr>
        <w:t xml:space="preserve">client-side script integrity &amp; HTTP header monitoring</w:t>
      </w:r>
      <w:r>
        <w:t xml:space="preserve"> </w:t>
      </w:r>
      <w:r>
        <w:t xml:space="preserve">(Req 6.4.3, 11.6.1) สำหรับ payment page/hosted fields, (ข)</w:t>
      </w:r>
      <w:r>
        <w:t xml:space="preserve"> </w:t>
      </w:r>
      <w:r>
        <w:rPr>
          <w:b/>
          <w:bCs/>
        </w:rPr>
        <w:t xml:space="preserve">MFA เข้มขึ้น</w:t>
      </w:r>
      <w:r>
        <w:t xml:space="preserve"> </w:t>
      </w:r>
      <w:r>
        <w:t xml:space="preserve">(Req 8.4/8.5), (ค)</w:t>
      </w:r>
      <w:r>
        <w:t xml:space="preserve"> </w:t>
      </w:r>
      <w:r>
        <w:rPr>
          <w:b/>
          <w:bCs/>
        </w:rPr>
        <w:t xml:space="preserve">targeted risk analysis</w:t>
      </w:r>
      <w:r>
        <w:t xml:space="preserve"> </w:t>
      </w:r>
      <w:r>
        <w:t xml:space="preserve">สำหรับความถี่ของ control หลายข้อ (Req 12.3.1), (ง) การปฏิบัติเป็น</w:t>
      </w:r>
      <w:r>
        <w:t xml:space="preserve"> </w:t>
      </w:r>
      <w:r>
        <w:rPr>
          <w:b/>
          <w:bCs/>
        </w:rPr>
        <w:t xml:space="preserve">customized approach</w:t>
      </w:r>
      <w:r>
        <w:t xml:space="preserve"> </w:t>
      </w:r>
      <w:r>
        <w:t xml:space="preserve">ต้องมีเอกสาร targeted risk analysis กำกับ</w:t>
      </w:r>
    </w:p>
    <w:p>
      <w:r>
        <w:pict>
          <v:rect style="width:0;height:1.5pt" o:hralign="center" o:hrstd="t" o:hr="t"/>
        </w:pict>
      </w:r>
    </w:p>
    <w:bookmarkEnd w:id="633"/>
    <w:bookmarkStart w:id="636" w:name="เสนทาง-saq-roc-validation-path"/>
    <w:p>
      <w:pPr>
        <w:pStyle w:val="Heading2"/>
      </w:pPr>
      <w:r>
        <w:t xml:space="preserve">4. เส้นทาง SAQ → RoC (Validation Path)</w:t>
      </w:r>
    </w:p>
    <w:bookmarkStart w:id="634" w:name="บทบาทของ-saq-ในแผนน"/>
    <w:p>
      <w:pPr>
        <w:pStyle w:val="Heading3"/>
      </w:pPr>
      <w:r>
        <w:t xml:space="preserve">4.1 บทบาทของ SAQ ในแผนนี้</w:t>
      </w:r>
    </w:p>
    <w:p>
      <w:pPr>
        <w:pStyle w:val="FirstParagraph"/>
      </w:pPr>
      <w:r>
        <w:t xml:space="preserve">บริษัทเป็น</w:t>
      </w:r>
      <w:r>
        <w:t xml:space="preserve"> </w:t>
      </w:r>
      <w:r>
        <w:rPr>
          <w:b/>
          <w:bCs/>
        </w:rPr>
        <w:t xml:space="preserve">Level 1 service provider</w:t>
      </w:r>
      <w:r>
        <w:t xml:space="preserve"> </w:t>
      </w:r>
      <w:r>
        <w:t xml:space="preserve">จึง</w:t>
      </w:r>
      <w:r>
        <w:t xml:space="preserve"> </w:t>
      </w:r>
      <w:r>
        <w:rPr>
          <w:b/>
          <w:bCs/>
        </w:rPr>
        <w:t xml:space="preserve">ต้อง validate ด้วย RoC เต็มรูป</w:t>
      </w:r>
      <w:r>
        <w:t xml:space="preserve"> </w:t>
      </w:r>
      <w:r>
        <w:t xml:space="preserve">ไม่สามารถ self-attest ด้วย SAQ ได้ในสถานะปลายทาง อย่างไรก็ตาม บริษัทใช้</w:t>
      </w:r>
      <w:r>
        <w:t xml:space="preserve"> </w:t>
      </w:r>
      <w:r>
        <w:rPr>
          <w:b/>
          <w:bCs/>
        </w:rPr>
        <w:t xml:space="preserve">SAQ D (Service Provider)</w:t>
      </w:r>
      <w:r>
        <w:t xml:space="preserve"> </w:t>
      </w:r>
      <w:r>
        <w:t xml:space="preserve">เป็น</w:t>
      </w:r>
      <w:r>
        <w:t xml:space="preserve"> </w:t>
      </w:r>
      <w:r>
        <w:rPr>
          <w:b/>
          <w:bCs/>
        </w:rPr>
        <w:t xml:space="preserve">เครื่องมือ gap-assessment ภายใน (pre-audit readiness)</w:t>
      </w:r>
      <w:r>
        <w:t xml:space="preserve"> </w:t>
      </w:r>
      <w:r>
        <w:t xml:space="preserve">เพื่อประเมินความพร้อมก่อนจ้าง QSA — ไม่ใช่เอกสารยื่นสุดท้าย</w:t>
      </w:r>
    </w:p>
    <w:tbl>
      <w:tblPr>
        <w:tblStyle w:val="Table"/>
        <w:tblW w:type="pct" w:w="5000"/>
        <w:tblLayout w:type="fixed"/>
        <w:tblLook w:firstRow="1" w:lastRow="0" w:firstColumn="0" w:lastColumn="0" w:noHBand="0" w:noVBand="0" w:val="0020"/>
      </w:tblPr>
      <w:tblGrid>
        <w:gridCol w:w="1131"/>
        <w:gridCol w:w="3017"/>
        <w:gridCol w:w="1697"/>
        <w:gridCol w:w="2074"/>
      </w:tblGrid>
      <w:tr>
        <w:trPr>
          <w:tblHeader w:val="on"/>
        </w:trPr>
        <w:tc>
          <w:tcPr/>
          <w:p>
            <w:pPr>
              <w:pStyle w:val="Compact"/>
            </w:pPr>
            <w:r>
              <w:t xml:space="preserve">ขั้น</w:t>
            </w:r>
          </w:p>
        </w:tc>
        <w:tc>
          <w:tcPr/>
          <w:p>
            <w:pPr>
              <w:pStyle w:val="Compact"/>
            </w:pPr>
            <w:r>
              <w:t xml:space="preserve">เอกสาร/ผลลัพธ์</w:t>
            </w:r>
          </w:p>
        </w:tc>
        <w:tc>
          <w:tcPr/>
          <w:p>
            <w:pPr>
              <w:pStyle w:val="Compact"/>
            </w:pPr>
            <w:r>
              <w:t xml:space="preserve">ผู้จัดทำ</w:t>
            </w:r>
          </w:p>
        </w:tc>
        <w:tc>
          <w:tcPr/>
          <w:p>
            <w:pPr>
              <w:pStyle w:val="Compact"/>
            </w:pPr>
            <w:r>
              <w:t xml:space="preserve">ใช้ทำอะไร</w:t>
            </w:r>
          </w:p>
        </w:tc>
      </w:tr>
      <w:tr>
        <w:tc>
          <w:tcPr/>
          <w:p>
            <w:pPr>
              <w:pStyle w:val="Compact"/>
            </w:pPr>
            <w:r>
              <w:t xml:space="preserve">1. Internal gap assessment</w:t>
            </w:r>
          </w:p>
        </w:tc>
        <w:tc>
          <w:tcPr/>
          <w:p>
            <w:pPr>
              <w:pStyle w:val="Compact"/>
            </w:pPr>
            <w:r>
              <w:rPr>
                <w:b/>
                <w:bCs/>
              </w:rPr>
              <w:t xml:space="preserve">SAQ D (Service Provider) worksheet</w:t>
            </w:r>
          </w:p>
        </w:tc>
        <w:tc>
          <w:tcPr/>
          <w:p>
            <w:pPr>
              <w:pStyle w:val="Compact"/>
            </w:pPr>
            <w:r>
              <w:t xml:space="preserve">PCI Program Lead + ISA (ถ้ามี)</w:t>
            </w:r>
          </w:p>
        </w:tc>
        <w:tc>
          <w:tcPr/>
          <w:p>
            <w:pPr>
              <w:pStyle w:val="Compact"/>
            </w:pPr>
            <w:r>
              <w:t xml:space="preserve">หา gap ก่อน audit</w:t>
            </w:r>
          </w:p>
        </w:tc>
      </w:tr>
      <w:tr>
        <w:tc>
          <w:tcPr/>
          <w:p>
            <w:pPr>
              <w:pStyle w:val="Compact"/>
            </w:pPr>
            <w:r>
              <w:t xml:space="preserve">2. Remediation</w:t>
            </w:r>
          </w:p>
        </w:tc>
        <w:tc>
          <w:tcPr/>
          <w:p>
            <w:pPr>
              <w:pStyle w:val="Compact"/>
            </w:pPr>
            <w:r>
              <w:t xml:space="preserve">gap remediation tracker</w:t>
            </w:r>
          </w:p>
        </w:tc>
        <w:tc>
          <w:tcPr/>
          <w:p>
            <w:pPr>
              <w:pStyle w:val="Compact"/>
            </w:pPr>
            <w:r>
              <w:t xml:space="preserve">Engineering/Security</w:t>
            </w:r>
          </w:p>
        </w:tc>
        <w:tc>
          <w:tcPr/>
          <w:p>
            <w:pPr>
              <w:pStyle w:val="Compact"/>
            </w:pPr>
            <w:r>
              <w:t xml:space="preserve">ปิด gap ทุกข้อ</w:t>
            </w:r>
          </w:p>
        </w:tc>
      </w:tr>
      <w:tr>
        <w:tc>
          <w:tcPr/>
          <w:p>
            <w:pPr>
              <w:pStyle w:val="Compact"/>
            </w:pPr>
            <w:r>
              <w:t xml:space="preserve">3. Formal assessment</w:t>
            </w:r>
          </w:p>
        </w:tc>
        <w:tc>
          <w:tcPr/>
          <w:p>
            <w:pPr>
              <w:pStyle w:val="Compact"/>
            </w:pPr>
            <w:r>
              <w:rPr>
                <w:b/>
                <w:bCs/>
              </w:rPr>
              <w:t xml:space="preserve">RoC (Report on Compliance)</w:t>
            </w:r>
          </w:p>
        </w:tc>
        <w:tc>
          <w:tcPr/>
          <w:p>
            <w:pPr>
              <w:pStyle w:val="Compact"/>
            </w:pPr>
            <w:r>
              <w:rPr>
                <w:b/>
                <w:bCs/>
              </w:rPr>
              <w:t xml:space="preserve">QSA</w:t>
            </w:r>
          </w:p>
        </w:tc>
        <w:tc>
          <w:tcPr/>
          <w:p>
            <w:pPr>
              <w:pStyle w:val="Compact"/>
            </w:pPr>
            <w:r>
              <w:t xml:space="preserve">หลักฐานการปฏิบัติตามเต็มรูป</w:t>
            </w:r>
          </w:p>
        </w:tc>
      </w:tr>
      <w:tr>
        <w:tc>
          <w:tcPr/>
          <w:p>
            <w:pPr>
              <w:pStyle w:val="Compact"/>
            </w:pPr>
            <w:r>
              <w:t xml:space="preserve">4. Attestation</w:t>
            </w:r>
          </w:p>
        </w:tc>
        <w:tc>
          <w:tcPr/>
          <w:p>
            <w:pPr>
              <w:pStyle w:val="Compact"/>
            </w:pPr>
            <w:r>
              <w:rPr>
                <w:b/>
                <w:bCs/>
              </w:rPr>
              <w:t xml:space="preserve">AoC (Attestation of Compliance)</w:t>
            </w:r>
          </w:p>
        </w:tc>
        <w:tc>
          <w:tcPr/>
          <w:p>
            <w:pPr>
              <w:pStyle w:val="Compact"/>
            </w:pPr>
            <w:r>
              <w:t xml:space="preserve">QSA + ผู้บริหารบริษัท</w:t>
            </w:r>
          </w:p>
        </w:tc>
        <w:tc>
          <w:tcPr/>
          <w:p>
            <w:pPr>
              <w:pStyle w:val="Compact"/>
            </w:pPr>
            <w:r>
              <w:t xml:space="preserve">ยื่นต่อ acquirer/scheme/ธปท.</w:t>
            </w:r>
          </w:p>
        </w:tc>
      </w:tr>
      <w:tr>
        <w:tc>
          <w:tcPr/>
          <w:p>
            <w:pPr>
              <w:pStyle w:val="Compact"/>
            </w:pPr>
            <w:r>
              <w:t xml:space="preserve">5. Continuous</w:t>
            </w:r>
          </w:p>
        </w:tc>
        <w:tc>
          <w:tcPr/>
          <w:p>
            <w:pPr>
              <w:pStyle w:val="Compact"/>
            </w:pPr>
            <w:r>
              <w:t xml:space="preserve">quarterly ASV scan report, annual pentest report</w:t>
            </w:r>
          </w:p>
        </w:tc>
        <w:tc>
          <w:tcPr/>
          <w:p>
            <w:pPr>
              <w:pStyle w:val="Compact"/>
            </w:pPr>
            <w:r>
              <w:t xml:space="preserve">ASV / pentest vendor</w:t>
            </w:r>
          </w:p>
        </w:tc>
        <w:tc>
          <w:tcPr/>
          <w:p>
            <w:pPr>
              <w:pStyle w:val="Compact"/>
            </w:pPr>
            <w:r>
              <w:t xml:space="preserve">รักษาสถานะระหว่างปี</w:t>
            </w:r>
          </w:p>
        </w:tc>
      </w:tr>
    </w:tbl>
    <w:bookmarkEnd w:id="634"/>
    <w:bookmarkStart w:id="635" w:name="เกณฑผาน-definition-of-done"/>
    <w:p>
      <w:pPr>
        <w:pStyle w:val="Heading3"/>
      </w:pPr>
      <w:r>
        <w:t xml:space="preserve">4.2 เกณฑ์ผ่าน (Definition of Done)</w:t>
      </w:r>
    </w:p>
    <w:p>
      <w:pPr>
        <w:pStyle w:val="Compact"/>
        <w:numPr>
          <w:ilvl w:val="0"/>
          <w:numId w:val="1266"/>
        </w:numPr>
      </w:pPr>
      <w:r>
        <w:t xml:space="preserve">SAQ D ภายในผ่านทุก control (หรือมี compensating/customized control ที่มีเอกสารกำกับ)</w:t>
      </w:r>
    </w:p>
    <w:p>
      <w:pPr>
        <w:pStyle w:val="Compact"/>
        <w:numPr>
          <w:ilvl w:val="0"/>
          <w:numId w:val="1266"/>
        </w:numPr>
      </w:pPr>
      <w:r>
        <w:t xml:space="preserve">QSA ออก</w:t>
      </w:r>
      <w:r>
        <w:t xml:space="preserve"> </w:t>
      </w:r>
      <w:r>
        <w:rPr>
          <w:b/>
          <w:bCs/>
        </w:rPr>
        <w:t xml:space="preserve">RoC ที่มีผลลัพธ์ “In Place” ทุกข้อ</w:t>
      </w:r>
      <w:r>
        <w:t xml:space="preserve"> </w:t>
      </w:r>
      <w:r>
        <w:t xml:space="preserve">และ</w:t>
      </w:r>
      <w:r>
        <w:t xml:space="preserve"> </w:t>
      </w:r>
      <w:r>
        <w:rPr>
          <w:b/>
          <w:bCs/>
        </w:rPr>
        <w:t xml:space="preserve">AoC ที่ลงนาม</w:t>
      </w:r>
    </w:p>
    <w:p>
      <w:pPr>
        <w:pStyle w:val="Compact"/>
        <w:numPr>
          <w:ilvl w:val="0"/>
          <w:numId w:val="1266"/>
        </w:numPr>
      </w:pPr>
      <w:r>
        <w:t xml:space="preserve">Quarterly ASV scan ล่าสุดผ่าน (no failing/high vulnerabilities)</w:t>
      </w:r>
    </w:p>
    <w:p>
      <w:pPr>
        <w:pStyle w:val="Compact"/>
        <w:numPr>
          <w:ilvl w:val="0"/>
          <w:numId w:val="1266"/>
        </w:numPr>
      </w:pPr>
      <w:r>
        <w:t xml:space="preserve">Pentest ล่าสุดปิด finding ระดับ high/critical แล้ว</w:t>
      </w:r>
    </w:p>
    <w:p>
      <w:r>
        <w:pict>
          <v:rect style="width:0;height:1.5pt" o:hralign="center" o:hrstd="t" o:hr="t"/>
        </w:pict>
      </w:r>
    </w:p>
    <w:bookmarkEnd w:id="635"/>
    <w:bookmarkEnd w:id="636"/>
    <w:bookmarkStart w:id="640" w:name="การจาง-qsa-และ-asv-vendor-engagement"/>
    <w:p>
      <w:pPr>
        <w:pStyle w:val="Heading2"/>
      </w:pPr>
      <w:r>
        <w:t xml:space="preserve">5. การจ้าง QSA และ ASV (Vendor Engagement)</w:t>
      </w:r>
    </w:p>
    <w:bookmarkStart w:id="637" w:name="เกณฑคดเลอก-qsa"/>
    <w:p>
      <w:pPr>
        <w:pStyle w:val="Heading3"/>
      </w:pPr>
      <w:r>
        <w:t xml:space="preserve">5.1 เกณฑ์คัดเลือก QSA</w:t>
      </w:r>
    </w:p>
    <w:p>
      <w:pPr>
        <w:pStyle w:val="Compact"/>
        <w:numPr>
          <w:ilvl w:val="0"/>
          <w:numId w:val="1267"/>
        </w:numPr>
      </w:pPr>
      <w:r>
        <w:t xml:space="preserve">ขึ้นทะเบียนกับ</w:t>
      </w:r>
      <w:r>
        <w:t xml:space="preserve"> </w:t>
      </w:r>
      <w:r>
        <w:rPr>
          <w:b/>
          <w:bCs/>
        </w:rPr>
        <w:t xml:space="preserve">PCI SSC</w:t>
      </w:r>
      <w:r>
        <w:t xml:space="preserve"> </w:t>
      </w:r>
      <w:r>
        <w:t xml:space="preserve">และมีสิทธิประเมิน v4.0</w:t>
      </w:r>
    </w:p>
    <w:p>
      <w:pPr>
        <w:pStyle w:val="Compact"/>
        <w:numPr>
          <w:ilvl w:val="0"/>
          <w:numId w:val="1267"/>
        </w:numPr>
      </w:pPr>
      <w:r>
        <w:t xml:space="preserve">มีประสบการณ์กับ</w:t>
      </w:r>
      <w:r>
        <w:t xml:space="preserve"> </w:t>
      </w:r>
      <w:r>
        <w:rPr>
          <w:b/>
          <w:bCs/>
        </w:rPr>
        <w:t xml:space="preserve">acquirer/gateway ในไทย/อาเซียน</w:t>
      </w:r>
      <w:r>
        <w:t xml:space="preserve"> </w:t>
      </w:r>
      <w:r>
        <w:t xml:space="preserve">และเข้าใจข้อกำหนด ธปท. (data residency)</w:t>
      </w:r>
    </w:p>
    <w:p>
      <w:pPr>
        <w:pStyle w:val="Compact"/>
        <w:numPr>
          <w:ilvl w:val="0"/>
          <w:numId w:val="1267"/>
        </w:numPr>
      </w:pPr>
      <w:r>
        <w:t xml:space="preserve">ให้บริการ</w:t>
      </w:r>
      <w:r>
        <w:t xml:space="preserve"> </w:t>
      </w:r>
      <w:r>
        <w:rPr>
          <w:b/>
          <w:bCs/>
        </w:rPr>
        <w:t xml:space="preserve">scoping workshop + readiness (pre-assessment)</w:t>
      </w:r>
      <w:r>
        <w:t xml:space="preserve"> </w:t>
      </w:r>
      <w:r>
        <w:t xml:space="preserve">ก่อน formal RoC</w:t>
      </w:r>
    </w:p>
    <w:p>
      <w:pPr>
        <w:pStyle w:val="Compact"/>
        <w:numPr>
          <w:ilvl w:val="0"/>
          <w:numId w:val="1267"/>
        </w:numPr>
      </w:pPr>
      <w:r>
        <w:t xml:space="preserve">คิวและระยะเวลาสอดคล้องกับไทม์ไลน์ (§6)</w:t>
      </w:r>
    </w:p>
    <w:bookmarkEnd w:id="637"/>
    <w:bookmarkStart w:id="638" w:name="ขนตอนการทำงานรวม-qsa"/>
    <w:p>
      <w:pPr>
        <w:pStyle w:val="Heading3"/>
      </w:pPr>
      <w:r>
        <w:t xml:space="preserve">5.2 ขั้นตอนการทำงานร่วม QSA</w:t>
      </w:r>
    </w:p>
    <w:p>
      <w:pPr>
        <w:pStyle w:val="Compact"/>
        <w:numPr>
          <w:ilvl w:val="0"/>
          <w:numId w:val="1268"/>
        </w:numPr>
      </w:pPr>
      <w:r>
        <w:rPr>
          <w:b/>
          <w:bCs/>
        </w:rPr>
        <w:t xml:space="preserve">Scoping workshop</w:t>
      </w:r>
      <w:r>
        <w:t xml:space="preserve"> </w:t>
      </w:r>
      <w:r>
        <w:t xml:space="preserve">— ยืนยัน CDE, DFD, asset inventory, segmentation</w:t>
      </w:r>
    </w:p>
    <w:p>
      <w:pPr>
        <w:pStyle w:val="Compact"/>
        <w:numPr>
          <w:ilvl w:val="0"/>
          <w:numId w:val="1268"/>
        </w:numPr>
      </w:pPr>
      <w:r>
        <w:rPr>
          <w:b/>
          <w:bCs/>
        </w:rPr>
        <w:t xml:space="preserve">Readiness / gap assessment</w:t>
      </w:r>
      <w:r>
        <w:t xml:space="preserve"> </w:t>
      </w:r>
      <w:r>
        <w:t xml:space="preserve">— QSA ทวน SAQ D ภายใน + สุ่มหลักฐาน</w:t>
      </w:r>
    </w:p>
    <w:p>
      <w:pPr>
        <w:pStyle w:val="Compact"/>
        <w:numPr>
          <w:ilvl w:val="0"/>
          <w:numId w:val="1268"/>
        </w:numPr>
      </w:pPr>
      <w:r>
        <w:rPr>
          <w:b/>
          <w:bCs/>
        </w:rPr>
        <w:t xml:space="preserve">Remediation window</w:t>
      </w:r>
      <w:r>
        <w:t xml:space="preserve"> </w:t>
      </w:r>
      <w:r>
        <w:t xml:space="preserve">— ปิด gap (ควรกันเวลา ≥ 4–8 สัปดาห์)</w:t>
      </w:r>
    </w:p>
    <w:p>
      <w:pPr>
        <w:pStyle w:val="Compact"/>
        <w:numPr>
          <w:ilvl w:val="0"/>
          <w:numId w:val="1268"/>
        </w:numPr>
      </w:pPr>
      <w:r>
        <w:rPr>
          <w:b/>
          <w:bCs/>
        </w:rPr>
        <w:t xml:space="preserve">Formal assessment (on-site + evidence review)</w:t>
      </w:r>
      <w:r>
        <w:t xml:space="preserve"> </w:t>
      </w:r>
      <w:r>
        <w:t xml:space="preserve">— สัมภาษณ์, สังเกตการณ์, ทวน config/log/policy</w:t>
      </w:r>
    </w:p>
    <w:p>
      <w:pPr>
        <w:pStyle w:val="Compact"/>
        <w:numPr>
          <w:ilvl w:val="0"/>
          <w:numId w:val="1268"/>
        </w:numPr>
      </w:pPr>
      <w:r>
        <w:rPr>
          <w:b/>
          <w:bCs/>
        </w:rPr>
        <w:t xml:space="preserve">RoC drafting + QA</w:t>
      </w:r>
      <w:r>
        <w:t xml:space="preserve"> </w:t>
      </w:r>
      <w:r>
        <w:t xml:space="preserve">— QSA ร่าง RoC, บริษัทตอบข้อสังเกต</w:t>
      </w:r>
    </w:p>
    <w:p>
      <w:pPr>
        <w:pStyle w:val="Compact"/>
        <w:numPr>
          <w:ilvl w:val="0"/>
          <w:numId w:val="1268"/>
        </w:numPr>
      </w:pPr>
      <w:r>
        <w:rPr>
          <w:b/>
          <w:bCs/>
        </w:rPr>
        <w:t xml:space="preserve">AoC signing</w:t>
      </w:r>
      <w:r>
        <w:t xml:space="preserve"> </w:t>
      </w:r>
      <w:r>
        <w:t xml:space="preserve">— ลงนามและส่งให้ acquirer/scheme/ธปท.</w:t>
      </w:r>
    </w:p>
    <w:bookmarkEnd w:id="638"/>
    <w:bookmarkStart w:id="639" w:name="asv-และ-penetration-test"/>
    <w:p>
      <w:pPr>
        <w:pStyle w:val="Heading3"/>
      </w:pPr>
      <w:r>
        <w:t xml:space="preserve">5.3 ASV และ Penetration Test</w:t>
      </w:r>
    </w:p>
    <w:tbl>
      <w:tblPr>
        <w:tblStyle w:val="Table"/>
        <w:tblW w:type="pct" w:w="5000"/>
        <w:tblLayout w:type="fixed"/>
        <w:tblLook w:firstRow="1" w:lastRow="0" w:firstColumn="0" w:lastColumn="0" w:noHBand="0" w:noVBand="0" w:val="0020"/>
      </w:tblPr>
      <w:tblGrid>
        <w:gridCol w:w="1440"/>
        <w:gridCol w:w="2160"/>
        <w:gridCol w:w="1680"/>
        <w:gridCol w:w="2640"/>
      </w:tblGrid>
      <w:tr>
        <w:trPr>
          <w:tblHeader w:val="on"/>
        </w:trPr>
        <w:tc>
          <w:tcPr/>
          <w:p>
            <w:pPr>
              <w:pStyle w:val="Compact"/>
            </w:pPr>
            <w:r>
              <w:t xml:space="preserve">งาน</w:t>
            </w:r>
          </w:p>
        </w:tc>
        <w:tc>
          <w:tcPr/>
          <w:p>
            <w:pPr>
              <w:pStyle w:val="Compact"/>
            </w:pPr>
            <w:r>
              <w:t xml:space="preserve">ความถี่</w:t>
            </w:r>
          </w:p>
        </w:tc>
        <w:tc>
          <w:tcPr/>
          <w:p>
            <w:pPr>
              <w:pStyle w:val="Compact"/>
            </w:pPr>
            <w:r>
              <w:t xml:space="preserve">ผู้ทำ</w:t>
            </w:r>
          </w:p>
        </w:tc>
        <w:tc>
          <w:tcPr/>
          <w:p>
            <w:pPr>
              <w:pStyle w:val="Compact"/>
            </w:pPr>
            <w:r>
              <w:t xml:space="preserve">ข้อกำหนด</w:t>
            </w:r>
          </w:p>
        </w:tc>
      </w:tr>
      <w:tr>
        <w:tc>
          <w:tcPr/>
          <w:p>
            <w:pPr>
              <w:pStyle w:val="Compact"/>
            </w:pPr>
            <w:r>
              <w:t xml:space="preserve">External vulnerability scan</w:t>
            </w:r>
          </w:p>
        </w:tc>
        <w:tc>
          <w:tcPr/>
          <w:p>
            <w:pPr>
              <w:pStyle w:val="Compact"/>
            </w:pPr>
            <w:r>
              <w:rPr>
                <w:b/>
                <w:bCs/>
              </w:rPr>
              <w:t xml:space="preserve">รายไตรมาส</w:t>
            </w:r>
            <w:r>
              <w:t xml:space="preserve"> </w:t>
            </w:r>
            <w:r>
              <w:t xml:space="preserve">+ หลัง significant change</w:t>
            </w:r>
          </w:p>
        </w:tc>
        <w:tc>
          <w:tcPr/>
          <w:p>
            <w:pPr>
              <w:pStyle w:val="Compact"/>
            </w:pPr>
            <w:r>
              <w:rPr>
                <w:b/>
                <w:bCs/>
              </w:rPr>
              <w:t xml:space="preserve">ASV</w:t>
            </w:r>
            <w:r>
              <w:t xml:space="preserve"> </w:t>
            </w:r>
            <w:r>
              <w:t xml:space="preserve">(ขึ้นทะเบียน PCI SSC)</w:t>
            </w:r>
          </w:p>
        </w:tc>
        <w:tc>
          <w:tcPr/>
          <w:p>
            <w:pPr>
              <w:pStyle w:val="Compact"/>
            </w:pPr>
            <w:r>
              <w:t xml:space="preserve">Req 11.3.2 — ต้อง pass</w:t>
            </w:r>
          </w:p>
        </w:tc>
      </w:tr>
      <w:tr>
        <w:tc>
          <w:tcPr/>
          <w:p>
            <w:pPr>
              <w:pStyle w:val="Compact"/>
            </w:pPr>
            <w:r>
              <w:t xml:space="preserve">Internal vulnerability scan</w:t>
            </w:r>
          </w:p>
        </w:tc>
        <w:tc>
          <w:tcPr/>
          <w:p>
            <w:pPr>
              <w:pStyle w:val="Compact"/>
            </w:pPr>
            <w:r>
              <w:t xml:space="preserve">รายไตรมาส + หลัง change</w:t>
            </w:r>
          </w:p>
        </w:tc>
        <w:tc>
          <w:tcPr/>
          <w:p>
            <w:pPr>
              <w:pStyle w:val="Compact"/>
            </w:pPr>
            <w:r>
              <w:t xml:space="preserve">ทีมภายใน/เครื่องมือ</w:t>
            </w:r>
          </w:p>
        </w:tc>
        <w:tc>
          <w:tcPr/>
          <w:p>
            <w:pPr>
              <w:pStyle w:val="Compact"/>
            </w:pPr>
            <w:r>
              <w:t xml:space="preserve">Req 11.3.1</w:t>
            </w:r>
          </w:p>
        </w:tc>
      </w:tr>
      <w:tr>
        <w:tc>
          <w:tcPr/>
          <w:p>
            <w:pPr>
              <w:pStyle w:val="Compact"/>
            </w:pPr>
            <w:r>
              <w:t xml:space="preserve">Penetration test (external + internal)</w:t>
            </w:r>
          </w:p>
        </w:tc>
        <w:tc>
          <w:tcPr/>
          <w:p>
            <w:pPr>
              <w:pStyle w:val="Compact"/>
            </w:pPr>
            <w:r>
              <w:rPr>
                <w:b/>
                <w:bCs/>
              </w:rPr>
              <w:t xml:space="preserve">รายปี</w:t>
            </w:r>
            <w:r>
              <w:t xml:space="preserve"> </w:t>
            </w:r>
            <w:r>
              <w:t xml:space="preserve">+ หลัง significant change</w:t>
            </w:r>
          </w:p>
        </w:tc>
        <w:tc>
          <w:tcPr/>
          <w:p>
            <w:pPr>
              <w:pStyle w:val="Compact"/>
            </w:pPr>
            <w:r>
              <w:t xml:space="preserve">pentest vendor อิสระ</w:t>
            </w:r>
          </w:p>
        </w:tc>
        <w:tc>
          <w:tcPr/>
          <w:p>
            <w:pPr>
              <w:pStyle w:val="Compact"/>
            </w:pPr>
            <w:r>
              <w:t xml:space="preserve">Req 11.4</w:t>
            </w:r>
          </w:p>
        </w:tc>
      </w:tr>
      <w:tr>
        <w:tc>
          <w:tcPr/>
          <w:p>
            <w:pPr>
              <w:pStyle w:val="Compact"/>
            </w:pPr>
            <w:r>
              <w:t xml:space="preserve">Segmentation test</w:t>
            </w:r>
          </w:p>
        </w:tc>
        <w:tc>
          <w:tcPr/>
          <w:p>
            <w:pPr>
              <w:pStyle w:val="Compact"/>
            </w:pPr>
            <w:r>
              <w:rPr>
                <w:b/>
                <w:bCs/>
              </w:rPr>
              <w:t xml:space="preserve">รายปี</w:t>
            </w:r>
            <w:r>
              <w:t xml:space="preserve"> </w:t>
            </w:r>
            <w:r>
              <w:t xml:space="preserve">(service provider ทุก 6 เดือน หากใช้ segmentation เป็นการลด scope — Req 11.4.5/11.4.6)</w:t>
            </w:r>
          </w:p>
        </w:tc>
        <w:tc>
          <w:tcPr/>
          <w:p>
            <w:pPr>
              <w:pStyle w:val="Compact"/>
            </w:pPr>
            <w:r>
              <w:t xml:space="preserve">pentest vendor</w:t>
            </w:r>
          </w:p>
        </w:tc>
        <w:tc>
          <w:tcPr/>
          <w:p>
            <w:pPr>
              <w:pStyle w:val="Compact"/>
            </w:pPr>
            <w:r>
              <w:t xml:space="preserve">ยืนยัน isolation ของ CDE</w:t>
            </w:r>
          </w:p>
        </w:tc>
      </w:tr>
    </w:tbl>
    <w:p>
      <w:pPr>
        <w:pStyle w:val="BlockText"/>
      </w:pPr>
      <w:r>
        <w:rPr>
          <w:b/>
          <w:bCs/>
        </w:rPr>
        <w:t xml:space="preserve">[TODO]</w:t>
      </w:r>
      <w:r>
        <w:t xml:space="preserve"> </w:t>
      </w:r>
      <w:r>
        <w:t xml:space="preserve">ยืนยันความถี่ segmentation test: service provider ที่พึ่งพา segmentation ต้องทดสอบ</w:t>
      </w:r>
      <w:r>
        <w:t xml:space="preserve"> </w:t>
      </w:r>
      <w:r>
        <w:rPr>
          <w:b/>
          <w:bCs/>
        </w:rPr>
        <w:t xml:space="preserve">ทุก 6 เดือน</w:t>
      </w:r>
      <w:r>
        <w:t xml:space="preserve"> </w:t>
      </w:r>
      <w:r>
        <w:t xml:space="preserve">(Req 11.4.6)</w:t>
      </w:r>
    </w:p>
    <w:p>
      <w:r>
        <w:pict>
          <v:rect style="width:0;height:1.5pt" o:hralign="center" o:hrstd="t" o:hr="t"/>
        </w:pict>
      </w:r>
    </w:p>
    <w:bookmarkEnd w:id="639"/>
    <w:bookmarkEnd w:id="640"/>
    <w:bookmarkStart w:id="641" w:name="ไทมไลน-timeline"/>
    <w:p>
      <w:pPr>
        <w:pStyle w:val="Heading2"/>
      </w:pPr>
      <w:r>
        <w:t xml:space="preserve">6. ไทม์ไลน์ (Timeline)</w:t>
      </w:r>
    </w:p>
    <w:p>
      <w:pPr>
        <w:pStyle w:val="FirstParagraph"/>
      </w:pPr>
      <w:r>
        <w:t xml:space="preserve">สอดคล้องกับ</w:t>
      </w:r>
      <w:r>
        <w:t xml:space="preserve"> </w:t>
      </w:r>
      <w:r>
        <w:rPr>
          <w:rStyle w:val="VerbatimChar"/>
        </w:rPr>
        <w:t xml:space="preserve">ROADMAP.md</w:t>
      </w:r>
      <w:r>
        <w:t xml:space="preserve"> </w:t>
      </w:r>
      <w:r>
        <w:t xml:space="preserve">— PCI-DSS L1 (QSA) เริ่ม</w:t>
      </w:r>
      <w:r>
        <w:t xml:space="preserve"> </w:t>
      </w:r>
      <w:r>
        <w:rPr>
          <w:b/>
          <w:bCs/>
        </w:rPr>
        <w:t xml:space="preserve">2026-10-01</w:t>
      </w:r>
      <w:r>
        <w:t xml:space="preserve"> </w:t>
      </w:r>
      <w:r>
        <w:t xml:space="preserve">ระยะเวลาราว 120 วัน คู่ขนานกับ Phase 2–4 ของ engineering</w:t>
      </w:r>
    </w:p>
    <w:tbl>
      <w:tblPr>
        <w:tblStyle w:val="Table"/>
        <w:tblW w:type="pct" w:w="5000"/>
        <w:tblLayout w:type="fixed"/>
        <w:tblLook w:firstRow="1" w:lastRow="0" w:firstColumn="0" w:lastColumn="0" w:noHBand="0" w:noVBand="0" w:val="0020"/>
      </w:tblPr>
      <w:tblGrid>
        <w:gridCol w:w="1011"/>
        <w:gridCol w:w="3201"/>
        <w:gridCol w:w="2190"/>
        <w:gridCol w:w="1516"/>
      </w:tblGrid>
      <w:tr>
        <w:trPr>
          <w:tblHeader w:val="on"/>
        </w:trPr>
        <w:tc>
          <w:tcPr/>
          <w:p>
            <w:pPr>
              <w:pStyle w:val="Compact"/>
            </w:pPr>
            <w:r>
              <w:t xml:space="preserve">ช่วง</w:t>
            </w:r>
          </w:p>
        </w:tc>
        <w:tc>
          <w:tcPr/>
          <w:p>
            <w:pPr>
              <w:pStyle w:val="Compact"/>
            </w:pPr>
            <w:r>
              <w:t xml:space="preserve">เดือน (โดยประมาณ)</w:t>
            </w:r>
          </w:p>
        </w:tc>
        <w:tc>
          <w:tcPr/>
          <w:p>
            <w:pPr>
              <w:pStyle w:val="Compact"/>
            </w:pPr>
            <w:r>
              <w:t xml:space="preserve">กิจกรรม PCI</w:t>
            </w:r>
          </w:p>
        </w:tc>
        <w:tc>
          <w:tcPr/>
          <w:p>
            <w:pPr>
              <w:pStyle w:val="Compact"/>
            </w:pPr>
            <w:r>
              <w:t xml:space="preserve">ผลลัพธ์</w:t>
            </w:r>
          </w:p>
        </w:tc>
      </w:tr>
      <w:tr>
        <w:tc>
          <w:tcPr/>
          <w:p>
            <w:pPr>
              <w:pStyle w:val="Compact"/>
            </w:pPr>
            <w:r>
              <w:t xml:space="preserve">M0</w:t>
            </w:r>
          </w:p>
        </w:tc>
        <w:tc>
          <w:tcPr/>
          <w:p>
            <w:pPr>
              <w:pStyle w:val="Compact"/>
            </w:pPr>
            <w:r>
              <w:t xml:space="preserve">ก.ค.–ส.ค. 2026</w:t>
            </w:r>
          </w:p>
        </w:tc>
        <w:tc>
          <w:tcPr/>
          <w:p>
            <w:pPr>
              <w:pStyle w:val="Compact"/>
            </w:pPr>
            <w:r>
              <w:t xml:space="preserve">เลือก QSA/ASV/pentest vendor, กำหนด scope เบื้องต้น, เริ่ม SAQ D ภายใน</w:t>
            </w:r>
          </w:p>
        </w:tc>
        <w:tc>
          <w:tcPr/>
          <w:p>
            <w:pPr>
              <w:pStyle w:val="Compact"/>
            </w:pPr>
            <w:r>
              <w:t xml:space="preserve">vendor shortlist, draft scope</w:t>
            </w:r>
          </w:p>
        </w:tc>
      </w:tr>
      <w:tr>
        <w:tc>
          <w:tcPr/>
          <w:p>
            <w:pPr>
              <w:pStyle w:val="Compact"/>
            </w:pPr>
            <w:r>
              <w:t xml:space="preserve">M1</w:t>
            </w:r>
          </w:p>
        </w:tc>
        <w:tc>
          <w:tcPr/>
          <w:p>
            <w:pPr>
              <w:pStyle w:val="Compact"/>
            </w:pPr>
            <w:r>
              <w:t xml:space="preserve">ก.ย. 2026</w:t>
            </w:r>
          </w:p>
        </w:tc>
        <w:tc>
          <w:tcPr/>
          <w:p>
            <w:pPr>
              <w:pStyle w:val="Compact"/>
            </w:pPr>
            <w:r>
              <w:t xml:space="preserve">Scoping workshop, จัดทำ DFD/asset inventory, network segmentation, HSM/KMS setup</w:t>
            </w:r>
          </w:p>
        </w:tc>
        <w:tc>
          <w:tcPr/>
          <w:p>
            <w:pPr>
              <w:pStyle w:val="Compact"/>
            </w:pPr>
            <w:r>
              <w:t xml:space="preserve">scope baseline, segmentation</w:t>
            </w:r>
          </w:p>
        </w:tc>
      </w:tr>
      <w:tr>
        <w:tc>
          <w:tcPr/>
          <w:p>
            <w:pPr>
              <w:pStyle w:val="Compact"/>
            </w:pPr>
            <w:r>
              <w:t xml:space="preserve">M2–M3</w:t>
            </w:r>
          </w:p>
        </w:tc>
        <w:tc>
          <w:tcPr/>
          <w:p>
            <w:pPr>
              <w:pStyle w:val="Compact"/>
            </w:pPr>
            <w:r>
              <w:t xml:space="preserve">ต.ค.–พ.ย. 2026</w:t>
            </w:r>
          </w:p>
        </w:tc>
        <w:tc>
          <w:tcPr/>
          <w:p>
            <w:pPr>
              <w:pStyle w:val="Compact"/>
            </w:pPr>
            <w:r>
              <w:t xml:space="preserve">QSA readiness/gap assessment, remediation, ตั้ง SIEM/log, MFA, policy suite</w:t>
            </w:r>
          </w:p>
        </w:tc>
        <w:tc>
          <w:tcPr/>
          <w:p>
            <w:pPr>
              <w:pStyle w:val="Compact"/>
            </w:pPr>
            <w:r>
              <w:t xml:space="preserve">gap closed, evidence pack v1</w:t>
            </w:r>
          </w:p>
        </w:tc>
      </w:tr>
      <w:tr>
        <w:tc>
          <w:tcPr/>
          <w:p>
            <w:pPr>
              <w:pStyle w:val="Compact"/>
            </w:pPr>
            <w:r>
              <w:t xml:space="preserve">M3</w:t>
            </w:r>
          </w:p>
        </w:tc>
        <w:tc>
          <w:tcPr/>
          <w:p>
            <w:pPr>
              <w:pStyle w:val="Compact"/>
            </w:pPr>
            <w:r>
              <w:t xml:space="preserve">พ.ย. 2026</w:t>
            </w:r>
          </w:p>
        </w:tc>
        <w:tc>
          <w:tcPr/>
          <w:p>
            <w:pPr>
              <w:pStyle w:val="Compact"/>
            </w:pPr>
            <w:r>
              <w:t xml:space="preserve">Quarterly ASV scan รอบแรก (pass), pentest + segmentation test</w:t>
            </w:r>
          </w:p>
        </w:tc>
        <w:tc>
          <w:tcPr/>
          <w:p>
            <w:pPr>
              <w:pStyle w:val="Compact"/>
            </w:pPr>
            <w:r>
              <w:t xml:space="preserve">scan pass, pentest report</w:t>
            </w:r>
          </w:p>
        </w:tc>
      </w:tr>
      <w:tr>
        <w:tc>
          <w:tcPr/>
          <w:p>
            <w:pPr>
              <w:pStyle w:val="Compact"/>
            </w:pPr>
            <w:r>
              <w:t xml:space="preserve">M4</w:t>
            </w:r>
          </w:p>
        </w:tc>
        <w:tc>
          <w:tcPr/>
          <w:p>
            <w:pPr>
              <w:pStyle w:val="Compact"/>
            </w:pPr>
            <w:r>
              <w:t xml:space="preserve">ธ.ค. 2026–ม.ค. 2027</w:t>
            </w:r>
          </w:p>
        </w:tc>
        <w:tc>
          <w:tcPr/>
          <w:p>
            <w:pPr>
              <w:pStyle w:val="Compact"/>
            </w:pPr>
            <w:r>
              <w:t xml:space="preserve">QSA formal on-site assessment, evidence review</w:t>
            </w:r>
          </w:p>
        </w:tc>
        <w:tc>
          <w:tcPr/>
          <w:p>
            <w:pPr>
              <w:pStyle w:val="Compact"/>
            </w:pPr>
            <w:r>
              <w:t xml:space="preserve">RoC draft</w:t>
            </w:r>
          </w:p>
        </w:tc>
      </w:tr>
      <w:tr>
        <w:tc>
          <w:tcPr/>
          <w:p>
            <w:pPr>
              <w:pStyle w:val="Compact"/>
            </w:pPr>
            <w:r>
              <w:t xml:space="preserve">M4–M5</w:t>
            </w:r>
          </w:p>
        </w:tc>
        <w:tc>
          <w:tcPr/>
          <w:p>
            <w:pPr>
              <w:pStyle w:val="Compact"/>
            </w:pPr>
            <w:r>
              <w:t xml:space="preserve">ม.ค. 2027</w:t>
            </w:r>
          </w:p>
        </w:tc>
        <w:tc>
          <w:tcPr/>
          <w:p>
            <w:pPr>
              <w:pStyle w:val="Compact"/>
            </w:pPr>
            <w:r>
              <w:t xml:space="preserve">RoC finalize + AoC signing</w:t>
            </w:r>
          </w:p>
        </w:tc>
        <w:tc>
          <w:tcPr/>
          <w:p>
            <w:pPr>
              <w:pStyle w:val="Compact"/>
            </w:pPr>
            <w:r>
              <w:rPr>
                <w:b/>
                <w:bCs/>
              </w:rPr>
              <w:t xml:space="preserve">RoC + AoC</w:t>
            </w:r>
          </w:p>
        </w:tc>
      </w:tr>
      <w:tr>
        <w:tc>
          <w:tcPr/>
          <w:p>
            <w:pPr>
              <w:pStyle w:val="Compact"/>
            </w:pPr>
            <w:r>
              <w:t xml:space="preserve">ต่อเนื่อง</w:t>
            </w:r>
          </w:p>
        </w:tc>
        <w:tc>
          <w:tcPr/>
          <w:p>
            <w:pPr>
              <w:pStyle w:val="Compact"/>
            </w:pPr>
            <w:r>
              <w:t xml:space="preserve">ทุกไตรมาส/ทุกปี</w:t>
            </w:r>
          </w:p>
        </w:tc>
        <w:tc>
          <w:tcPr/>
          <w:p>
            <w:pPr>
              <w:pStyle w:val="Compact"/>
            </w:pPr>
            <w:r>
              <w:t xml:space="preserve">ASV scan รายไตรมาส, annual pentest, RoC ต่ออายุ</w:t>
            </w:r>
          </w:p>
        </w:tc>
        <w:tc>
          <w:tcPr/>
          <w:p>
            <w:pPr>
              <w:pStyle w:val="Compact"/>
            </w:pPr>
            <w:r>
              <w:t xml:space="preserve">รักษาสถานะ L1</w:t>
            </w:r>
          </w:p>
        </w:tc>
      </w:tr>
    </w:tbl>
    <w:p>
      <w:pPr>
        <w:pStyle w:val="SourceCode"/>
      </w:pPr>
      <w:r>
        <w:rPr>
          <w:rStyle w:val="VerbatimChar"/>
        </w:rPr>
        <w:t xml:space="preserve">gantt</w:t>
      </w:r>
      <w:r>
        <w:br/>
      </w:r>
      <w:r>
        <w:rPr>
          <w:rStyle w:val="VerbatimChar"/>
        </w:rPr>
        <w:t xml:space="preserve">    title PCI-DSS Level 1 Roadmap (โดยประมาณ)</w:t>
      </w:r>
      <w:r>
        <w:br/>
      </w:r>
      <w:r>
        <w:rPr>
          <w:rStyle w:val="VerbatimChar"/>
        </w:rPr>
        <w:t xml:space="preserve">    dateFormat  YYYY-MM-DD</w:t>
      </w:r>
      <w:r>
        <w:br/>
      </w:r>
      <w:r>
        <w:rPr>
          <w:rStyle w:val="VerbatimChar"/>
        </w:rPr>
        <w:t xml:space="preserve">    axisFormat  %b</w:t>
      </w:r>
      <w:r>
        <w:br/>
      </w:r>
      <w:r>
        <w:rPr>
          <w:rStyle w:val="VerbatimChar"/>
        </w:rPr>
        <w:t xml:space="preserve">    section PCI Program</w:t>
      </w:r>
      <w:r>
        <w:br/>
      </w:r>
      <w:r>
        <w:rPr>
          <w:rStyle w:val="VerbatimChar"/>
        </w:rPr>
        <w:t xml:space="preserve">    Vendor selection &amp; scope     :m0, 2026-07-15, 45d</w:t>
      </w:r>
      <w:r>
        <w:br/>
      </w:r>
      <w:r>
        <w:rPr>
          <w:rStyle w:val="VerbatimChar"/>
        </w:rPr>
        <w:t xml:space="preserve">    Scoping &amp; segmentation       :m1, 2026-09-01, 30d</w:t>
      </w:r>
      <w:r>
        <w:br/>
      </w:r>
      <w:r>
        <w:rPr>
          <w:rStyle w:val="VerbatimChar"/>
        </w:rPr>
        <w:t xml:space="preserve">    Readiness &amp; remediation      :m2, 2026-10-01, 60d</w:t>
      </w:r>
      <w:r>
        <w:br/>
      </w:r>
      <w:r>
        <w:rPr>
          <w:rStyle w:val="VerbatimChar"/>
        </w:rPr>
        <w:t xml:space="preserve">    ASV scan + Pentest           :m3, 2026-11-01, 30d</w:t>
      </w:r>
      <w:r>
        <w:br/>
      </w:r>
      <w:r>
        <w:rPr>
          <w:rStyle w:val="VerbatimChar"/>
        </w:rPr>
        <w:t xml:space="preserve">    QSA formal assessment (RoC)  :m4, 2026-12-01, 45d</w:t>
      </w:r>
      <w:r>
        <w:br/>
      </w:r>
      <w:r>
        <w:rPr>
          <w:rStyle w:val="VerbatimChar"/>
        </w:rPr>
        <w:t xml:space="preserve">    RoC + AoC signoff            :m5, 2027-01-15, 21d</w:t>
      </w:r>
    </w:p>
    <w:p>
      <w:r>
        <w:pict>
          <v:rect style="width:0;height:1.5pt" o:hralign="center" o:hrstd="t" o:hr="t"/>
        </w:pict>
      </w:r>
    </w:p>
    <w:bookmarkEnd w:id="641"/>
    <w:bookmarkStart w:id="642" w:name="หลกฐาน-evidence-ทตองเตรยมสำหรบ-roc"/>
    <w:p>
      <w:pPr>
        <w:pStyle w:val="Heading2"/>
      </w:pPr>
      <w:r>
        <w:t xml:space="preserve">7. หลักฐาน (Evidence) ที่ต้องเตรียมสำหรับ RoC</w:t>
      </w:r>
    </w:p>
    <w:tbl>
      <w:tblPr>
        <w:tblStyle w:val="Table"/>
        <w:tblW w:type="pct" w:w="5000"/>
        <w:tblLayout w:type="fixed"/>
        <w:tblLook w:firstRow="1" w:lastRow="0" w:firstColumn="0" w:lastColumn="0" w:noHBand="0" w:noVBand="0" w:val="0020"/>
      </w:tblPr>
      <w:tblGrid>
        <w:gridCol w:w="2880"/>
        <w:gridCol w:w="2160"/>
        <w:gridCol w:w="2880"/>
      </w:tblGrid>
      <w:tr>
        <w:trPr>
          <w:tblHeader w:val="on"/>
        </w:trPr>
        <w:tc>
          <w:tcPr/>
          <w:p>
            <w:pPr>
              <w:pStyle w:val="Compact"/>
            </w:pPr>
            <w:r>
              <w:t xml:space="preserve">หมวด (Req)</w:t>
            </w:r>
          </w:p>
        </w:tc>
        <w:tc>
          <w:tcPr/>
          <w:p>
            <w:pPr>
              <w:pStyle w:val="Compact"/>
            </w:pPr>
            <w:r>
              <w:t xml:space="preserve">หลักฐาน</w:t>
            </w:r>
          </w:p>
        </w:tc>
        <w:tc>
          <w:tcPr/>
          <w:p>
            <w:pPr>
              <w:pStyle w:val="Compact"/>
            </w:pPr>
            <w:r>
              <w:t xml:space="preserve">ที่มา/ระบบ</w:t>
            </w:r>
          </w:p>
        </w:tc>
      </w:tr>
      <w:tr>
        <w:tc>
          <w:tcPr/>
          <w:p>
            <w:pPr>
              <w:pStyle w:val="Compact"/>
            </w:pPr>
            <w:r>
              <w:t xml:space="preserve">Scope (1, 12)</w:t>
            </w:r>
          </w:p>
        </w:tc>
        <w:tc>
          <w:tcPr/>
          <w:p>
            <w:pPr>
              <w:pStyle w:val="Compact"/>
            </w:pPr>
            <w:r>
              <w:t xml:space="preserve">DFD, asset/CHD inventory, network diagram, segmentation test report</w:t>
            </w:r>
          </w:p>
        </w:tc>
        <w:tc>
          <w:tcPr/>
          <w:p>
            <w:pPr>
              <w:pStyle w:val="Compact"/>
            </w:pPr>
            <w:r>
              <w:rPr>
                <w:rStyle w:val="VerbatimChar"/>
              </w:rPr>
              <w:t xml:space="preserve">DIAGRAMS.md</w:t>
            </w:r>
            <w:r>
              <w:t xml:space="preserve">, SRE</w:t>
            </w:r>
          </w:p>
        </w:tc>
      </w:tr>
      <w:tr>
        <w:tc>
          <w:tcPr/>
          <w:p>
            <w:pPr>
              <w:pStyle w:val="Compact"/>
            </w:pPr>
            <w:r>
              <w:t xml:space="preserve">Req 3</w:t>
            </w:r>
          </w:p>
        </w:tc>
        <w:tc>
          <w:tcPr/>
          <w:p>
            <w:pPr>
              <w:pStyle w:val="Compact"/>
            </w:pPr>
            <w:r>
              <w:t xml:space="preserve">key management policy, HSM/KMS config, key rotation log, dual control record</w:t>
            </w:r>
          </w:p>
        </w:tc>
        <w:tc>
          <w:tcPr/>
          <w:p>
            <w:pPr>
              <w:pStyle w:val="Compact"/>
            </w:pPr>
            <w:r>
              <w:t xml:space="preserve">Security</w:t>
            </w:r>
          </w:p>
        </w:tc>
      </w:tr>
      <w:tr>
        <w:tc>
          <w:tcPr/>
          <w:p>
            <w:pPr>
              <w:pStyle w:val="Compact"/>
            </w:pPr>
            <w:r>
              <w:t xml:space="preserve">Req 4</w:t>
            </w:r>
          </w:p>
        </w:tc>
        <w:tc>
          <w:tcPr/>
          <w:p>
            <w:pPr>
              <w:pStyle w:val="Compact"/>
            </w:pPr>
            <w:r>
              <w:t xml:space="preserve">TLS config, cert inventory, mTLS proof</w:t>
            </w:r>
          </w:p>
        </w:tc>
        <w:tc>
          <w:tcPr/>
          <w:p>
            <w:pPr>
              <w:pStyle w:val="Compact"/>
            </w:pPr>
            <w:r>
              <w:t xml:space="preserve">SRE</w:t>
            </w:r>
          </w:p>
        </w:tc>
      </w:tr>
      <w:tr>
        <w:tc>
          <w:tcPr/>
          <w:p>
            <w:pPr>
              <w:pStyle w:val="Compact"/>
            </w:pPr>
            <w:r>
              <w:t xml:space="preserve">Req 6</w:t>
            </w:r>
          </w:p>
        </w:tc>
        <w:tc>
          <w:tcPr/>
          <w:p>
            <w:pPr>
              <w:pStyle w:val="Compact"/>
            </w:pPr>
            <w:r>
              <w:t xml:space="preserve">secure SDLC policy, SAST/DAST/</w:t>
            </w:r>
            <w:r>
              <w:rPr>
                <w:rStyle w:val="VerbatimChar"/>
              </w:rPr>
              <w:t xml:space="preserve">govulncheck</w:t>
            </w:r>
            <w:r>
              <w:t xml:space="preserve"> </w:t>
            </w:r>
            <w:r>
              <w:t xml:space="preserve">reports, change tickets, patch SLA log</w:t>
            </w:r>
          </w:p>
        </w:tc>
        <w:tc>
          <w:tcPr/>
          <w:p>
            <w:pPr>
              <w:pStyle w:val="Compact"/>
            </w:pPr>
            <w:r>
              <w:t xml:space="preserve">Engineering</w:t>
            </w:r>
          </w:p>
        </w:tc>
      </w:tr>
      <w:tr>
        <w:tc>
          <w:tcPr/>
          <w:p>
            <w:pPr>
              <w:pStyle w:val="Compact"/>
            </w:pPr>
            <w:r>
              <w:t xml:space="preserve">Req 6.4.3/11.6.1</w:t>
            </w:r>
          </w:p>
        </w:tc>
        <w:tc>
          <w:tcPr/>
          <w:p>
            <w:pPr>
              <w:pStyle w:val="Compact"/>
            </w:pPr>
            <w:r>
              <w:t xml:space="preserve">script inventory &amp; integrity, HTTP header/tamper monitoring บน payment page</w:t>
            </w:r>
          </w:p>
        </w:tc>
        <w:tc>
          <w:tcPr/>
          <w:p>
            <w:pPr>
              <w:pStyle w:val="Compact"/>
            </w:pPr>
            <w:r>
              <w:t xml:space="preserve">Frontend/Security</w:t>
            </w:r>
          </w:p>
        </w:tc>
      </w:tr>
      <w:tr>
        <w:tc>
          <w:tcPr/>
          <w:p>
            <w:pPr>
              <w:pStyle w:val="Compact"/>
            </w:pPr>
            <w:r>
              <w:t xml:space="preserve">Req 7–8</w:t>
            </w:r>
          </w:p>
        </w:tc>
        <w:tc>
          <w:tcPr/>
          <w:p>
            <w:pPr>
              <w:pStyle w:val="Compact"/>
            </w:pPr>
            <w:r>
              <w:t xml:space="preserve">RBAC matrix, access review records (รายไตรมาส), MFA config, joiner/mover/leaver log</w:t>
            </w:r>
          </w:p>
        </w:tc>
        <w:tc>
          <w:tcPr/>
          <w:p>
            <w:pPr>
              <w:pStyle w:val="Compact"/>
            </w:pPr>
            <w:r>
              <w:t xml:space="preserve">Security/HR</w:t>
            </w:r>
          </w:p>
        </w:tc>
      </w:tr>
      <w:tr>
        <w:tc>
          <w:tcPr/>
          <w:p>
            <w:pPr>
              <w:pStyle w:val="Compact"/>
            </w:pPr>
            <w:r>
              <w:t xml:space="preserve">Req 10</w:t>
            </w:r>
          </w:p>
        </w:tc>
        <w:tc>
          <w:tcPr/>
          <w:p>
            <w:pPr>
              <w:pStyle w:val="Compact"/>
            </w:pPr>
            <w:r>
              <w:t xml:space="preserve">SIEM config, log retention proof (≥12 เดือน), NTP config, log review evidence</w:t>
            </w:r>
          </w:p>
        </w:tc>
        <w:tc>
          <w:tcPr/>
          <w:p>
            <w:pPr>
              <w:pStyle w:val="Compact"/>
            </w:pPr>
            <w:r>
              <w:t xml:space="preserve">SOC/SRE</w:t>
            </w:r>
          </w:p>
        </w:tc>
      </w:tr>
      <w:tr>
        <w:tc>
          <w:tcPr/>
          <w:p>
            <w:pPr>
              <w:pStyle w:val="Compact"/>
            </w:pPr>
            <w:r>
              <w:t xml:space="preserve">Req 11</w:t>
            </w:r>
          </w:p>
        </w:tc>
        <w:tc>
          <w:tcPr/>
          <w:p>
            <w:pPr>
              <w:pStyle w:val="Compact"/>
            </w:pPr>
            <w:r>
              <w:t xml:space="preserve">ASV scan reports (4 ไตรมาส), pentest report, segmentation test</w:t>
            </w:r>
          </w:p>
        </w:tc>
        <w:tc>
          <w:tcPr/>
          <w:p>
            <w:pPr>
              <w:pStyle w:val="Compact"/>
            </w:pPr>
            <w:r>
              <w:t xml:space="preserve">ASV/pentest vendor</w:t>
            </w:r>
          </w:p>
        </w:tc>
      </w:tr>
      <w:tr>
        <w:tc>
          <w:tcPr/>
          <w:p>
            <w:pPr>
              <w:pStyle w:val="Compact"/>
            </w:pPr>
            <w:r>
              <w:t xml:space="preserve">Req 12</w:t>
            </w:r>
          </w:p>
        </w:tc>
        <w:tc>
          <w:tcPr/>
          <w:p>
            <w:pPr>
              <w:pStyle w:val="Compact"/>
            </w:pPr>
            <w:r>
              <w:t xml:space="preserve">ISMS/policy suite, incident response plan + test, risk assessment, security awareness records,</w:t>
            </w:r>
            <w:r>
              <w:t xml:space="preserve"> </w:t>
            </w:r>
            <w:r>
              <w:rPr>
                <w:b/>
                <w:bCs/>
              </w:rPr>
              <w:t xml:space="preserve">TPSP register + AoC ของผู้ให้บริการ</w:t>
            </w:r>
          </w:p>
        </w:tc>
        <w:tc>
          <w:tcPr/>
          <w:p>
            <w:pPr>
              <w:pStyle w:val="Compact"/>
            </w:pPr>
            <w:r>
              <w:t xml:space="preserve">Compliance/CISO</w:t>
            </w:r>
          </w:p>
        </w:tc>
      </w:tr>
    </w:tbl>
    <w:p>
      <w:pPr>
        <w:pStyle w:val="BlockText"/>
      </w:pPr>
      <w:r>
        <w:rPr>
          <w:b/>
          <w:bCs/>
        </w:rPr>
        <w:t xml:space="preserve">หลักการเก็บหลักฐาน:</w:t>
      </w:r>
      <w:r>
        <w:t xml:space="preserve"> </w:t>
      </w:r>
      <w:r>
        <w:t xml:space="preserve">จัดเก็บใน</w:t>
      </w:r>
      <w:r>
        <w:t xml:space="preserve"> </w:t>
      </w:r>
      <w:r>
        <w:rPr>
          <w:b/>
          <w:bCs/>
        </w:rPr>
        <w:t xml:space="preserve">evidence repository</w:t>
      </w:r>
      <w:r>
        <w:t xml:space="preserve"> </w:t>
      </w:r>
      <w:r>
        <w:t xml:space="preserve">ที่ควบคุมสิทธิ์ มี version + timestamp + owner; หลักฐานที่มี CHD ห้ามนำออกจาก CDE — ใช้ redaction; สอดคล้อง</w:t>
      </w:r>
      <w:r>
        <w:t xml:space="preserve"> </w:t>
      </w:r>
      <w:r>
        <w:rPr>
          <w:rStyle w:val="VerbatimChar"/>
        </w:rPr>
        <w:t xml:space="preserve">11-data-retention-deletion.md</w:t>
      </w:r>
    </w:p>
    <w:p>
      <w:r>
        <w:pict>
          <v:rect style="width:0;height:1.5pt" o:hralign="center" o:hrstd="t" o:hr="t"/>
        </w:pict>
      </w:r>
    </w:p>
    <w:bookmarkEnd w:id="642"/>
    <w:bookmarkStart w:id="646" w:name="X54e14ef9edfb47d23563eb6b706566b5221a4c1"/>
    <w:p>
      <w:pPr>
        <w:pStyle w:val="Heading2"/>
      </w:pPr>
      <w:r>
        <w:t xml:space="preserve">8. การกำกับ ความสัมพันธ์กับกฎหมายไทย และการรักษาสถานะ</w:t>
      </w:r>
    </w:p>
    <w:bookmarkStart w:id="643" w:name="บทบาทและความรบผดชอบ-raci-ระดบสรป"/>
    <w:p>
      <w:pPr>
        <w:pStyle w:val="Heading3"/>
      </w:pPr>
      <w:r>
        <w:t xml:space="preserve">8.1 บทบาทและความรับผิดชอบ (RACI ระดับสรุป)</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บทบาท</w:t>
            </w:r>
          </w:p>
        </w:tc>
        <w:tc>
          <w:tcPr/>
          <w:p>
            <w:pPr>
              <w:pStyle w:val="Compact"/>
            </w:pPr>
            <w:r>
              <w:t xml:space="preserve">ความรับผิดชอบหลัก</w:t>
            </w:r>
          </w:p>
        </w:tc>
      </w:tr>
      <w:tr>
        <w:tc>
          <w:tcPr/>
          <w:p>
            <w:pPr>
              <w:pStyle w:val="Compact"/>
            </w:pPr>
            <w:r>
              <w:rPr>
                <w:b/>
                <w:bCs/>
              </w:rPr>
              <w:t xml:space="preserve">CISO / PCI Program Lead</w:t>
            </w:r>
          </w:p>
        </w:tc>
        <w:tc>
          <w:tcPr/>
          <w:p>
            <w:pPr>
              <w:pStyle w:val="Compact"/>
            </w:pPr>
            <w:r>
              <w:t xml:space="preserve">เจ้าของโปรแกรม PCI, ตัดสิน scope, ลงนาม AoC ร่วมผู้บริหาร</w:t>
            </w:r>
          </w:p>
        </w:tc>
      </w:tr>
      <w:tr>
        <w:tc>
          <w:tcPr/>
          <w:p>
            <w:pPr>
              <w:pStyle w:val="Compact"/>
            </w:pPr>
            <w:r>
              <w:rPr>
                <w:b/>
                <w:bCs/>
              </w:rPr>
              <w:t xml:space="preserve">DevSecOps / SRE</w:t>
            </w:r>
          </w:p>
        </w:tc>
        <w:tc>
          <w:tcPr/>
          <w:p>
            <w:pPr>
              <w:pStyle w:val="Compact"/>
            </w:pPr>
            <w:r>
              <w:t xml:space="preserve">segmentation, firewall, hardening, TLS, logging, scan</w:t>
            </w:r>
          </w:p>
        </w:tc>
      </w:tr>
      <w:tr>
        <w:tc>
          <w:tcPr/>
          <w:p>
            <w:pPr>
              <w:pStyle w:val="Compact"/>
            </w:pPr>
            <w:r>
              <w:rPr>
                <w:b/>
                <w:bCs/>
              </w:rPr>
              <w:t xml:space="preserve">Engineering Lead</w:t>
            </w:r>
          </w:p>
        </w:tc>
        <w:tc>
          <w:tcPr/>
          <w:p>
            <w:pPr>
              <w:pStyle w:val="Compact"/>
            </w:pPr>
            <w:r>
              <w:t xml:space="preserve">secure SDLC, remediation ระดับแอป, change control</w:t>
            </w:r>
          </w:p>
        </w:tc>
      </w:tr>
      <w:tr>
        <w:tc>
          <w:tcPr/>
          <w:p>
            <w:pPr>
              <w:pStyle w:val="Compact"/>
            </w:pPr>
            <w:r>
              <w:rPr>
                <w:b/>
                <w:bCs/>
              </w:rPr>
              <w:t xml:space="preserve">Compliance / Legal</w:t>
            </w:r>
          </w:p>
        </w:tc>
        <w:tc>
          <w:tcPr/>
          <w:p>
            <w:pPr>
              <w:pStyle w:val="Compact"/>
            </w:pPr>
            <w:r>
              <w:t xml:space="preserve">เชื่อมกับใบอนุญาต ธปท., PDPA, AML, จัดการสัญญา QSA/TPSP</w:t>
            </w:r>
          </w:p>
        </w:tc>
      </w:tr>
      <w:tr>
        <w:tc>
          <w:tcPr/>
          <w:p>
            <w:pPr>
              <w:pStyle w:val="Compact"/>
            </w:pPr>
            <w:r>
              <w:rPr>
                <w:b/>
                <w:bCs/>
              </w:rPr>
              <w:t xml:space="preserve">QSA (ภายนอก)</w:t>
            </w:r>
          </w:p>
        </w:tc>
        <w:tc>
          <w:tcPr/>
          <w:p>
            <w:pPr>
              <w:pStyle w:val="Compact"/>
            </w:pPr>
            <w:r>
              <w:t xml:space="preserve">ประเมินและออก RoC/AoC</w:t>
            </w:r>
          </w:p>
        </w:tc>
      </w:tr>
      <w:tr>
        <w:tc>
          <w:tcPr/>
          <w:p>
            <w:pPr>
              <w:pStyle w:val="Compact"/>
            </w:pPr>
            <w:r>
              <w:rPr>
                <w:b/>
                <w:bCs/>
              </w:rPr>
              <w:t xml:space="preserve">ASV / Pentest (ภายนอก)</w:t>
            </w:r>
          </w:p>
        </w:tc>
        <w:tc>
          <w:tcPr/>
          <w:p>
            <w:pPr>
              <w:pStyle w:val="Compact"/>
            </w:pPr>
            <w:r>
              <w:t xml:space="preserve">scan รายไตรมาส / pentest รายปี</w:t>
            </w:r>
          </w:p>
        </w:tc>
      </w:tr>
    </w:tbl>
    <w:bookmarkEnd w:id="643"/>
    <w:bookmarkStart w:id="644" w:name="ความเชอมโยงกบหนวยงานกำกบไทย"/>
    <w:p>
      <w:pPr>
        <w:pStyle w:val="Heading3"/>
      </w:pPr>
      <w:r>
        <w:t xml:space="preserve">8.2 ความเชื่อมโยงกับหน่วยงานกำกับไทย</w:t>
      </w:r>
    </w:p>
    <w:p>
      <w:pPr>
        <w:pStyle w:val="Compact"/>
        <w:numPr>
          <w:ilvl w:val="0"/>
          <w:numId w:val="1269"/>
        </w:numPr>
      </w:pPr>
      <w:r>
        <w:rPr>
          <w:b/>
          <w:bCs/>
        </w:rPr>
        <w:t xml:space="preserve">ธปท.</w:t>
      </w:r>
      <w:r>
        <w:t xml:space="preserve"> </w:t>
      </w:r>
      <w:r>
        <w:t xml:space="preserve">— PCI L1 (RoC/AoC) เป็นหลักฐานประกอบใบอนุญาต acquiring และหนุนหลักเกณฑ์ IT risk/cyber resilience/outsourcing; ต้องพร้อมให้ตรวจ on-site</w:t>
      </w:r>
    </w:p>
    <w:p>
      <w:pPr>
        <w:pStyle w:val="Compact"/>
        <w:numPr>
          <w:ilvl w:val="0"/>
          <w:numId w:val="1269"/>
        </w:numPr>
      </w:pPr>
      <w:r>
        <w:rPr>
          <w:b/>
          <w:bCs/>
        </w:rPr>
        <w:t xml:space="preserve">PDPC (PDPA)</w:t>
      </w:r>
      <w:r>
        <w:t xml:space="preserve"> </w:t>
      </w:r>
      <w:r>
        <w:t xml:space="preserve">— การจัดการ CHD สอดคล้อง</w:t>
      </w:r>
      <w:r>
        <w:t xml:space="preserve"> </w:t>
      </w:r>
      <w:r>
        <w:rPr>
          <w:rStyle w:val="VerbatimChar"/>
        </w:rPr>
        <w:t xml:space="preserve">09-pdpa-privacy-policy.md</w:t>
      </w:r>
      <w:r>
        <w:t xml:space="preserve">; PCI segmentation/encryption เป็นมาตรการเชิงเทคนิคตามมาตรา 37</w:t>
      </w:r>
    </w:p>
    <w:p>
      <w:pPr>
        <w:pStyle w:val="Compact"/>
        <w:numPr>
          <w:ilvl w:val="0"/>
          <w:numId w:val="1269"/>
        </w:numPr>
      </w:pPr>
      <w:r>
        <w:rPr>
          <w:b/>
          <w:bCs/>
        </w:rPr>
        <w:t xml:space="preserve">ปปง./AMLO</w:t>
      </w:r>
      <w:r>
        <w:t xml:space="preserve"> </w:t>
      </w:r>
      <w:r>
        <w:t xml:space="preserve">— audit log และ transaction record ที่ PCI Req 10 กำหนด หนุนหลักฐาน AML/CDD และการเก็บรักษาเอกสาร</w:t>
      </w:r>
    </w:p>
    <w:bookmarkEnd w:id="644"/>
    <w:bookmarkStart w:id="645" w:name="การรกษาสถานะระหวางป-bau"/>
    <w:p>
      <w:pPr>
        <w:pStyle w:val="Heading3"/>
      </w:pPr>
      <w:r>
        <w:t xml:space="preserve">8.3 การรักษาสถานะระหว่างปี (BAU)</w:t>
      </w:r>
    </w:p>
    <w:p>
      <w:pPr>
        <w:pStyle w:val="Compact"/>
        <w:numPr>
          <w:ilvl w:val="0"/>
          <w:numId w:val="1270"/>
        </w:numPr>
      </w:pPr>
      <w:r>
        <w:rPr>
          <w:b/>
          <w:bCs/>
        </w:rPr>
        <w:t xml:space="preserve">รายไตรมาส:</w:t>
      </w:r>
      <w:r>
        <w:t xml:space="preserve"> </w:t>
      </w:r>
      <w:r>
        <w:t xml:space="preserve">ASV scan (pass), access review, internal vuln scan</w:t>
      </w:r>
    </w:p>
    <w:p>
      <w:pPr>
        <w:pStyle w:val="Compact"/>
        <w:numPr>
          <w:ilvl w:val="0"/>
          <w:numId w:val="1270"/>
        </w:numPr>
      </w:pPr>
      <w:r>
        <w:rPr>
          <w:b/>
          <w:bCs/>
        </w:rPr>
        <w:t xml:space="preserve">รายปี:</w:t>
      </w:r>
      <w:r>
        <w:t xml:space="preserve"> </w:t>
      </w:r>
      <w:r>
        <w:t xml:space="preserve">RoC/AoC renewal, penetration test, segmentation test, risk assessment, incident response test, security awareness</w:t>
      </w:r>
    </w:p>
    <w:p>
      <w:pPr>
        <w:pStyle w:val="Compact"/>
        <w:numPr>
          <w:ilvl w:val="0"/>
          <w:numId w:val="1270"/>
        </w:numPr>
      </w:pPr>
      <w:r>
        <w:rPr>
          <w:b/>
          <w:bCs/>
        </w:rPr>
        <w:t xml:space="preserve">เมื่อมี significant change:</w:t>
      </w:r>
      <w:r>
        <w:t xml:space="preserve"> </w:t>
      </w:r>
      <w:r>
        <w:t xml:space="preserve">re-scope, re-scan, ประเมินผลกระทบต่อ CDE ก่อน deploy</w:t>
      </w:r>
    </w:p>
    <w:p>
      <w:pPr>
        <w:pStyle w:val="Compact"/>
        <w:numPr>
          <w:ilvl w:val="0"/>
          <w:numId w:val="1270"/>
        </w:numPr>
      </w:pPr>
      <w:r>
        <w:rPr>
          <w:b/>
          <w:bCs/>
        </w:rPr>
        <w:t xml:space="preserve">TPSP management:</w:t>
      </w:r>
      <w:r>
        <w:t xml:space="preserve"> </w:t>
      </w:r>
      <w:r>
        <w:t xml:space="preserve">เก็บ AoC ของผู้ให้บริการภายนอก (cloud, 3DS, HSM/KMS) และทบทวนรายปี (Req 12.8)</w:t>
      </w:r>
    </w:p>
    <w:p>
      <w:r>
        <w:pict>
          <v:rect style="width:0;height:1.5pt" o:hralign="center" o:hrstd="t" o:hr="t"/>
        </w:pict>
      </w:r>
    </w:p>
    <w:bookmarkEnd w:id="645"/>
    <w:bookmarkEnd w:id="646"/>
    <w:bookmarkEnd w:id="647"/>
    <w:bookmarkStart w:id="669" w:name="X122003c3bd8d9d5f96fd22a94baaa4414c02a0c"/>
    <w:p>
      <w:pPr>
        <w:pStyle w:val="Heading1"/>
      </w:pPr>
      <w:r>
        <w:t xml:space="preserve">PCI-DSS Level 1 compliance roadmap: scope, SAQ-&gt;RoC, QSA engagement, timeline, evidence (English)</w:t>
      </w:r>
    </w:p>
    <w:p>
      <w:pPr>
        <w:pStyle w:val="BlockText"/>
      </w:pPr>
      <w:r>
        <w:t xml:space="preserve">Supporting document for the license application for</w:t>
      </w:r>
      <w:r>
        <w:t xml:space="preserve"> </w:t>
      </w:r>
      <w:r>
        <w:rPr>
          <w:b/>
          <w:bCs/>
        </w:rPr>
        <w:t xml:space="preserve">Electronic Payment Acquiring Service (Full Acquiring)</w:t>
      </w:r>
      <w:r>
        <w:t xml:space="preserve"> </w:t>
      </w:r>
      <w:r>
        <w:t xml:space="preserve">under the Payment Systems Act B.E. 2560 (2017), submitted to the Bank of Thailand (BOT / ธปท.), and the roadmap to achieve</w:t>
      </w:r>
      <w:r>
        <w:t xml:space="preserve"> </w:t>
      </w:r>
      <w:r>
        <w:rPr>
          <w:b/>
          <w:bCs/>
        </w:rPr>
        <w:t xml:space="preserve">PCI-DSS v4.0 Level 1</w:t>
      </w:r>
      <w:r>
        <w:t xml:space="preserve"> </w:t>
      </w:r>
      <w:r>
        <w:t xml:space="preserve">certification.</w:t>
      </w:r>
    </w:p>
    <w:p>
      <w:pPr>
        <w:pStyle w:val="BlockText"/>
      </w:pPr>
      <w:r>
        <w:t xml:space="preserve">Document No.:</w:t>
      </w:r>
      <w:r>
        <w:t xml:space="preserve"> </w:t>
      </w:r>
      <w:r>
        <w:rPr>
          <w:rStyle w:val="VerbatimChar"/>
        </w:rPr>
        <w:t xml:space="preserve">COMP-19</w:t>
      </w:r>
      <w:r>
        <w:t xml:space="preserve"> </w:t>
      </w:r>
      <w:r>
        <w:t xml:space="preserve">· Version 1.0 · Owner: Chief Information Security Officer (CISO) / PCI Program Lead</w:t>
      </w:r>
      <w:r>
        <w:t xml:space="preserve"> </w:t>
      </w:r>
      <w:r>
        <w:t xml:space="preserve">Related documents: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09-pdpa-privacy-policy.md</w:t>
      </w:r>
      <w:r>
        <w:t xml:space="preserve">,</w:t>
      </w:r>
      <w:r>
        <w:t xml:space="preserve"> </w:t>
      </w:r>
      <w:r>
        <w:rPr>
          <w:rStyle w:val="VerbatimChar"/>
        </w:rPr>
        <w:t xml:space="preserve">11-data-retention-deletion.md</w:t>
      </w:r>
    </w:p>
    <w:p>
      <w:pPr>
        <w:pStyle w:val="BlockText"/>
      </w:pPr>
      <w:r>
        <w:rPr>
          <w:b/>
          <w:bCs/>
        </w:rPr>
        <w:t xml:space="preserve">Note:</w:t>
      </w:r>
      <w:r>
        <w:t xml:space="preserve"> </w:t>
      </w:r>
      <w:r>
        <w:t xml:space="preserve">This is a roadmap and internal policy document, not legal advice or a certification of compliance. Actual PCI-DSS compliance status can only be confirmed by a Qualified Security Assessor (QSA) registered with the PCI SSC.</w:t>
      </w:r>
    </w:p>
    <w:p>
      <w:r>
        <w:pict>
          <v:rect style="width:0;height:1.5pt" o:hralign="center" o:hrstd="t" o:hr="t"/>
        </w:pict>
      </w:r>
    </w:p>
    <w:p>
      <w:pPr>
        <w:pStyle w:val="Heading3"/>
      </w:pPr>
      <w:bookmarkStart w:id="648" w:name="assumptions-todo-4"/>
      <w:r>
        <w:t xml:space="preserve">⚠️ Assumptions / TODO</w:t>
      </w:r>
      <w:bookmarkEnd w:id="648"/>
    </w:p>
    <w:p>
      <w:pPr>
        <w:pStyle w:val="BlockText"/>
      </w:pPr>
      <w:r>
        <w:t xml:space="preserve">The following depend on unresolved external parties —</w:t>
      </w:r>
      <w:r>
        <w:t xml:space="preserve"> </w:t>
      </w:r>
      <w:r>
        <w:rPr>
          <w:b/>
          <w:bCs/>
        </w:rPr>
        <w:t xml:space="preserve">do not treat as fact until confirmed</w:t>
      </w:r>
      <w:r>
        <w:t xml:space="preserve">:</w:t>
      </w:r>
      <w:r>
        <w:t xml:space="preserve"> </w:t>
      </w:r>
      <w:r>
        <w:t xml:space="preserve">-</w:t>
      </w:r>
      <w:r>
        <w:t xml:space="preserve"> </w:t>
      </w:r>
      <w:r>
        <w:rPr>
          <w:b/>
          <w:bCs/>
        </w:rPr>
        <w:t xml:space="preserve">[TODO — Sponsor Bank / Acquirer]</w:t>
      </w:r>
      <w:r>
        <w:t xml:space="preserve"> </w:t>
      </w:r>
      <w:r>
        <w:t xml:space="preserve">No sponsoring bank / card scheme (Visa/Mastercard) contract signed yet — this determines the Level 1 service-provider validation obligation (annual RoC + AoC) and the acquirer-mandated compliance deadline.</w:t>
      </w:r>
      <w:r>
        <w:t xml:space="preserve"> </w:t>
      </w:r>
      <w:r>
        <w:t xml:space="preserve">-</w:t>
      </w:r>
      <w:r>
        <w:t xml:space="preserve"> </w:t>
      </w:r>
      <w:r>
        <w:rPr>
          <w:b/>
          <w:bCs/>
        </w:rPr>
        <w:t xml:space="preserve">[TODO — QSA vendor]</w:t>
      </w:r>
      <w:r>
        <w:t xml:space="preserve"> </w:t>
      </w:r>
      <w:r>
        <w:t xml:space="preserve">QSA firm not yet engaged — candidate Thai/regional assessors under consideration but not committed; fees, lead time, and scope walkthrough to be confirmed.</w:t>
      </w:r>
      <w:r>
        <w:t xml:space="preserve"> </w:t>
      </w:r>
      <w:r>
        <w:t xml:space="preserve">-</w:t>
      </w:r>
      <w:r>
        <w:t xml:space="preserve"> </w:t>
      </w:r>
      <w:r>
        <w:rPr>
          <w:b/>
          <w:bCs/>
        </w:rPr>
        <w:t xml:space="preserve">[TODO — ASV vendor]</w:t>
      </w:r>
      <w:r>
        <w:t xml:space="preserve"> </w:t>
      </w:r>
      <w:r>
        <w:t xml:space="preserve">Approved Scanning Vendor for quarterly external scans (Req 11.3.2) not yet selected.</w:t>
      </w:r>
      <w:r>
        <w:t xml:space="preserve"> </w:t>
      </w:r>
      <w:r>
        <w:t xml:space="preserve">-</w:t>
      </w:r>
      <w:r>
        <w:t xml:space="preserve"> </w:t>
      </w:r>
      <w:r>
        <w:rPr>
          <w:b/>
          <w:bCs/>
        </w:rPr>
        <w:t xml:space="preserve">[TODO — Penetration test vendor]</w:t>
      </w:r>
      <w:r>
        <w:t xml:space="preserve"> </w:t>
      </w:r>
      <w:r>
        <w:t xml:space="preserve">Independent annual penetration test vendor (Req 11.4) not yet selected.</w:t>
      </w:r>
      <w:r>
        <w:t xml:space="preserve"> </w:t>
      </w:r>
      <w:r>
        <w:t xml:space="preserve">-</w:t>
      </w:r>
      <w:r>
        <w:t xml:space="preserve"> </w:t>
      </w:r>
      <w:r>
        <w:rPr>
          <w:b/>
          <w:bCs/>
        </w:rPr>
        <w:t xml:space="preserve">[TODO — Paid-up capital]</w:t>
      </w:r>
      <w:r>
        <w:t xml:space="preserve"> </w:t>
      </w:r>
      <w:r>
        <w:t xml:space="preserve">Target paid-up capital</w:t>
      </w:r>
      <w:r>
        <w:t xml:space="preserve"> </w:t>
      </w:r>
      <w:r>
        <w:rPr>
          <w:b/>
          <w:bCs/>
        </w:rPr>
        <w:t xml:space="preserve">THB 50M</w:t>
      </w:r>
      <w:r>
        <w:t xml:space="preserve"> </w:t>
      </w:r>
      <w:r>
        <w:t xml:space="preserve">(Full Acquiring) — actual paid amount and ≥ 75% maintenance must be confirmed (see</w:t>
      </w:r>
      <w:r>
        <w:t xml:space="preserve"> </w:t>
      </w:r>
      <w:r>
        <w:rPr>
          <w:rStyle w:val="VerbatimChar"/>
        </w:rPr>
        <w:t xml:space="preserve">02-financial-projections-capital.md</w:t>
      </w:r>
      <w:r>
        <w:t xml:space="preserve">).</w:t>
      </w:r>
      <w:r>
        <w:t xml:space="preserve"> </w:t>
      </w:r>
      <w:r>
        <w:t xml:space="preserve">-</w:t>
      </w:r>
      <w:r>
        <w:t xml:space="preserve"> </w:t>
      </w:r>
      <w:r>
        <w:rPr>
          <w:b/>
          <w:bCs/>
        </w:rPr>
        <w:t xml:space="preserve">[TODO — HSM/KMS]</w:t>
      </w:r>
      <w:r>
        <w:t xml:space="preserve"> </w:t>
      </w:r>
      <w:r>
        <w:t xml:space="preserve">HSM model / provider (on-prem PCI-PTS HSM or cloud KMS validated to FIPS 140-2/140-3 Level 3) not finalized — affects Req 3.5–3.7 (key management).</w:t>
      </w:r>
      <w:r>
        <w:t xml:space="preserve"> </w:t>
      </w:r>
      <w:r>
        <w:t xml:space="preserve">-</w:t>
      </w:r>
      <w:r>
        <w:t xml:space="preserve"> </w:t>
      </w:r>
      <w:r>
        <w:rPr>
          <w:b/>
          <w:bCs/>
        </w:rPr>
        <w:t xml:space="preserve">[TODO — Cloud region / data residency]</w:t>
      </w:r>
      <w:r>
        <w:t xml:space="preserve"> </w:t>
      </w:r>
      <w:r>
        <w:t xml:space="preserve">Cloud provider and region (data must reside in Thailand per BOT/PDPA) and the provider’s AoC status to be confirmed (shared responsibility matrix).</w:t>
      </w:r>
      <w:r>
        <w:t xml:space="preserve"> </w:t>
      </w:r>
      <w:r>
        <w:t xml:space="preserve">-</w:t>
      </w:r>
      <w:r>
        <w:t xml:space="preserve"> </w:t>
      </w:r>
      <w:r>
        <w:rPr>
          <w:b/>
          <w:bCs/>
        </w:rPr>
        <w:t xml:space="preserve">[TODO — Company details]</w:t>
      </w:r>
      <w:r>
        <w:t xml:space="preserve"> </w:t>
      </w:r>
      <w:r>
        <w:rPr>
          <w:rStyle w:val="VerbatimChar"/>
        </w:rPr>
        <w:t xml:space="preserve">[บริษัท / Company]</w:t>
      </w:r>
      <w:r>
        <w:t xml:space="preserve"> </w:t>
      </w:r>
      <w:r>
        <w:t xml:space="preserve">legal name, registered address, and named CISO/ISA to be filled before submission.</w:t>
      </w:r>
    </w:p>
    <w:p>
      <w:r>
        <w:pict>
          <v:rect style="width:0;height:1.5pt" o:hralign="center" o:hrstd="t" o:hr="t"/>
        </w:pict>
      </w:r>
    </w:p>
    <w:bookmarkStart w:id="650" w:name="Xb91f3390d0875a3030f486eef180f088b8c829e"/>
    <w:p>
      <w:pPr>
        <w:pStyle w:val="Heading2"/>
      </w:pPr>
      <w:r>
        <w:t xml:space="preserve">1. Introduction, purpose, and relationship to the BOT license</w:t>
      </w:r>
    </w:p>
    <w:p>
      <w:pPr>
        <w:pStyle w:val="FirstParagraph"/>
      </w:pPr>
      <w:r>
        <w:rPr>
          <w:rStyle w:val="VerbatimChar"/>
        </w:rPr>
        <w:t xml:space="preserve">[บริษัท / Company]</w:t>
      </w:r>
      <w:r>
        <w:t xml:space="preserve"> </w:t>
      </w:r>
      <w:r>
        <w:t xml:space="preserve">(the</w:t>
      </w:r>
      <w:r>
        <w:t xml:space="preserve"> </w:t>
      </w:r>
      <w:r>
        <w:t xml:space="preserve">“Company”</w:t>
      </w:r>
      <w:r>
        <w:t xml:space="preserve">) operates a Full Acquiring Payment Gateway and is therefore a</w:t>
      </w:r>
      <w:r>
        <w:t xml:space="preserve"> </w:t>
      </w:r>
      <w:r>
        <w:rPr>
          <w:b/>
          <w:bCs/>
        </w:rPr>
        <w:t xml:space="preserve">merchant-serving service provider</w:t>
      </w:r>
      <w:r>
        <w:t xml:space="preserve"> </w:t>
      </w:r>
      <w:r>
        <w:t xml:space="preserve">that processes, stores, and/or transmits Cardholder Data (CHD) and must be validated to the highest</w:t>
      </w:r>
      <w:r>
        <w:t xml:space="preserve"> </w:t>
      </w:r>
      <w:r>
        <w:rPr>
          <w:b/>
          <w:bCs/>
        </w:rPr>
        <w:t xml:space="preserve">PCI-DSS v4.0</w:t>
      </w:r>
      <w:r>
        <w:t xml:space="preserve"> </w:t>
      </w:r>
      <w:r>
        <w:t xml:space="preserve">level.</w:t>
      </w:r>
    </w:p>
    <w:p>
      <w:pPr>
        <w:pStyle w:val="BodyText"/>
      </w:pPr>
      <w:r>
        <w:t xml:space="preserve">This document is the</w:t>
      </w:r>
      <w:r>
        <w:t xml:space="preserve"> </w:t>
      </w:r>
      <w:r>
        <w:rPr>
          <w:b/>
          <w:bCs/>
        </w:rPr>
        <w:t xml:space="preserve">roadmap</w:t>
      </w:r>
      <w:r>
        <w:t xml:space="preserve"> </w:t>
      </w:r>
      <w:r>
        <w:t xml:space="preserve">covering: scope definition, the path from self-assessment (SAQ) to a full QSA-led assessment producing a Report on Compliance (RoC), QSA/ASV engagement, the timeline, and the evidence to be assembled.</w:t>
      </w:r>
    </w:p>
    <w:p>
      <w:pPr>
        <w:pStyle w:val="BodyText"/>
      </w:pPr>
      <w:r>
        <w:rPr>
          <w:b/>
          <w:bCs/>
        </w:rPr>
        <w:t xml:space="preserve">Relationship to the BOT license:</w:t>
      </w:r>
      <w:r>
        <w:t xml:space="preserve"> </w:t>
      </w:r>
      <w:r>
        <w:t xml:space="preserve">per</w:t>
      </w:r>
      <w:r>
        <w:t xml:space="preserve"> </w:t>
      </w:r>
      <w:r>
        <w:rPr>
          <w:rStyle w:val="VerbatimChar"/>
        </w:rPr>
        <w:t xml:space="preserve">COMPLIANCE-TH.md</w:t>
      </w:r>
      <w:r>
        <w:t xml:space="preserve"> </w:t>
      </w:r>
      <w:r>
        <w:t xml:space="preserve">§5 and §6, achieving</w:t>
      </w:r>
      <w:r>
        <w:t xml:space="preserve"> </w:t>
      </w:r>
      <w:r>
        <w:rPr>
          <w:b/>
          <w:bCs/>
        </w:rPr>
        <w:t xml:space="preserve">PCI-DSS Level 1</w:t>
      </w:r>
      <w:r>
        <w:t xml:space="preserve"> </w:t>
      </w:r>
      <w:r>
        <w:t xml:space="preserve">is one of the evidence items the BOT expects from an acquiring-license applicant and runs on a</w:t>
      </w:r>
      <w:r>
        <w:t xml:space="preserve"> </w:t>
      </w:r>
      <w:r>
        <w:rPr>
          <w:b/>
          <w:bCs/>
        </w:rPr>
        <w:t xml:space="preserve">parallel critical path</w:t>
      </w:r>
      <w:r>
        <w:t xml:space="preserve"> </w:t>
      </w:r>
      <w:r>
        <w:t xml:space="preserve">with the license filing — not afterward. PCI-DSS also directly supports the BOT’s IT-risk, cyber-resilience, and outsourcing requirements.</w:t>
      </w:r>
    </w:p>
    <w:bookmarkStart w:id="649" w:name="why-level-1-not-a-lower-tier"/>
    <w:p>
      <w:pPr>
        <w:pStyle w:val="Heading3"/>
      </w:pPr>
      <w:r>
        <w:t xml:space="preserve">1.1 Why Level 1 (not a lower tier)</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Factor</w:t>
            </w:r>
          </w:p>
        </w:tc>
        <w:tc>
          <w:tcPr/>
          <w:p>
            <w:pPr>
              <w:pStyle w:val="Compact"/>
            </w:pPr>
            <w:r>
              <w:t xml:space="preserve">Rationale</w:t>
            </w:r>
          </w:p>
        </w:tc>
      </w:tr>
      <w:tr>
        <w:tc>
          <w:tcPr/>
          <w:p>
            <w:pPr>
              <w:pStyle w:val="Compact"/>
            </w:pPr>
            <w:r>
              <w:t xml:space="preserve">Transaction volume</w:t>
            </w:r>
          </w:p>
        </w:tc>
        <w:tc>
          <w:tcPr/>
          <w:p>
            <w:pPr>
              <w:pStyle w:val="Compact"/>
            </w:pPr>
            <w:r>
              <w:t xml:space="preserve">Level 1 service provider =</w:t>
            </w:r>
            <w:r>
              <w:t xml:space="preserve"> </w:t>
            </w:r>
            <w:r>
              <w:rPr>
                <w:b/>
                <w:bCs/>
              </w:rPr>
              <w:t xml:space="preserve">&gt; 6M transactions/year</w:t>
            </w:r>
            <w:r>
              <w:t xml:space="preserve"> </w:t>
            </w:r>
            <w:r>
              <w:t xml:space="preserve">per card brand (Visa/Mastercard), or designated by acquirer/brand</w:t>
            </w:r>
          </w:p>
        </w:tc>
      </w:tr>
      <w:tr>
        <w:tc>
          <w:tcPr/>
          <w:p>
            <w:pPr>
              <w:pStyle w:val="Compact"/>
            </w:pPr>
            <w:r>
              <w:t xml:space="preserve">Service-provider role</w:t>
            </w:r>
          </w:p>
        </w:tc>
        <w:tc>
          <w:tcPr/>
          <w:p>
            <w:pPr>
              <w:pStyle w:val="Compact"/>
            </w:pPr>
            <w:r>
              <w:t xml:space="preserve">As a multi-merchant acquiring gateway, schemes typically require Level 1 validation regardless of initial volume</w:t>
            </w:r>
          </w:p>
        </w:tc>
      </w:tr>
      <w:tr>
        <w:tc>
          <w:tcPr/>
          <w:p>
            <w:pPr>
              <w:pStyle w:val="Compact"/>
            </w:pPr>
            <w:r>
              <w:t xml:space="preserve">Evidence requirement</w:t>
            </w:r>
          </w:p>
        </w:tc>
        <w:tc>
          <w:tcPr/>
          <w:p>
            <w:pPr>
              <w:pStyle w:val="Compact"/>
            </w:pPr>
            <w:r>
              <w:t xml:space="preserve">Level 1 mandates an</w:t>
            </w:r>
            <w:r>
              <w:t xml:space="preserve"> </w:t>
            </w:r>
            <w:r>
              <w:rPr>
                <w:b/>
                <w:bCs/>
              </w:rPr>
              <w:t xml:space="preserve">on-site QSA assessment → RoC + AoC</w:t>
            </w:r>
            <w:r>
              <w:t xml:space="preserve"> </w:t>
            </w:r>
            <w:r>
              <w:t xml:space="preserve">(not a self-attested SAQ) + quarterly ASV scans</w:t>
            </w:r>
          </w:p>
        </w:tc>
      </w:tr>
      <w:tr>
        <w:tc>
          <w:tcPr/>
          <w:p>
            <w:pPr>
              <w:pStyle w:val="Compact"/>
            </w:pPr>
            <w:r>
              <w:t xml:space="preserve">BOT expectation</w:t>
            </w:r>
          </w:p>
        </w:tc>
        <w:tc>
          <w:tcPr/>
          <w:p>
            <w:pPr>
              <w:pStyle w:val="Compact"/>
            </w:pPr>
            <w:r>
              <w:t xml:space="preserve">Consistent with ARCHITECTURE §7, which explicitly targets Level 1</w:t>
            </w:r>
          </w:p>
        </w:tc>
      </w:tr>
    </w:tbl>
    <w:p>
      <w:r>
        <w:pict>
          <v:rect style="width:0;height:1.5pt" o:hralign="center" o:hrstd="t" o:hr="t"/>
        </w:pict>
      </w:r>
    </w:p>
    <w:bookmarkEnd w:id="649"/>
    <w:bookmarkEnd w:id="650"/>
    <w:bookmarkStart w:id="654" w:name="Xd2fee016c56c8a57d1324cfaf0c892ac9034b8b"/>
    <w:p>
      <w:pPr>
        <w:pStyle w:val="Heading2"/>
      </w:pPr>
      <w:r>
        <w:t xml:space="preserve">2. Scope and the Cardholder Data Environment (CDE)</w:t>
      </w:r>
    </w:p>
    <w:bookmarkStart w:id="651" w:name="scope-minimization-principle"/>
    <w:p>
      <w:pPr>
        <w:pStyle w:val="Heading3"/>
      </w:pPr>
      <w:r>
        <w:t xml:space="preserve">2.1 Scope minimization principle</w:t>
      </w:r>
    </w:p>
    <w:p>
      <w:pPr>
        <w:pStyle w:val="FirstParagraph"/>
      </w:pPr>
      <w:r>
        <w:t xml:space="preserve">Consistent with ARCHITECTURE §2, §6, §7 — the Company keeps</w:t>
      </w:r>
      <w:r>
        <w:t xml:space="preserve"> </w:t>
      </w:r>
      <w:r>
        <w:rPr>
          <w:b/>
          <w:bCs/>
        </w:rPr>
        <w:t xml:space="preserve">CHD out of scope as much as possible</w:t>
      </w:r>
      <w:r>
        <w:t xml:space="preserve">:</w:t>
      </w:r>
    </w:p>
    <w:p>
      <w:pPr>
        <w:pStyle w:val="Compact"/>
        <w:numPr>
          <w:ilvl w:val="0"/>
          <w:numId w:val="1271"/>
        </w:numPr>
      </w:pPr>
      <w:r>
        <w:rPr>
          <w:b/>
          <w:bCs/>
        </w:rPr>
        <w:t xml:space="preserve">Client-side tokenization</w:t>
      </w:r>
      <w:r>
        <w:t xml:space="preserve">: the PAN is sent directly from the client (SDK/hosted field) to the Tokenization Vault in a clearly isolated network segment,</w:t>
      </w:r>
      <w:r>
        <w:t xml:space="preserve"> </w:t>
      </w:r>
      <w:r>
        <w:rPr>
          <w:b/>
          <w:bCs/>
        </w:rPr>
        <w:t xml:space="preserve">bypassing both the merchant’s servers and the Company’s core system (Payment Core)</w:t>
      </w:r>
      <w:r>
        <w:t xml:space="preserve">.</w:t>
      </w:r>
    </w:p>
    <w:p>
      <w:pPr>
        <w:pStyle w:val="Compact"/>
        <w:numPr>
          <w:ilvl w:val="0"/>
          <w:numId w:val="1271"/>
        </w:numPr>
      </w:pPr>
      <w:r>
        <w:t xml:space="preserve">The core system and operational DB only ever see</w:t>
      </w:r>
      <w:r>
        <w:t xml:space="preserve"> </w:t>
      </w:r>
      <w:r>
        <w:rPr>
          <w:b/>
          <w:bCs/>
        </w:rPr>
        <w:t xml:space="preserve">token +</w:t>
      </w:r>
      <w:r>
        <w:rPr>
          <w:b/>
          <w:bCs/>
        </w:rPr>
        <w:t xml:space="preserve"> </w:t>
      </w:r>
      <w:r>
        <w:rPr>
          <w:rStyle w:val="VerbatimChar"/>
          <w:b/>
          <w:bCs/>
        </w:rPr>
        <w:t xml:space="preserve">card_last4</w:t>
      </w:r>
      <w:r>
        <w:rPr>
          <w:b/>
          <w:bCs/>
        </w:rPr>
        <w:t xml:space="preserve"> </w:t>
      </w:r>
      <w:r>
        <w:rPr>
          <w:b/>
          <w:bCs/>
        </w:rPr>
        <w:t xml:space="preserve">+</w:t>
      </w:r>
      <w:r>
        <w:rPr>
          <w:b/>
          <w:bCs/>
        </w:rPr>
        <w:t xml:space="preserve"> </w:t>
      </w:r>
      <w:r>
        <w:rPr>
          <w:rStyle w:val="VerbatimChar"/>
          <w:b/>
          <w:bCs/>
        </w:rPr>
        <w:t xml:space="preserve">card_brand</w:t>
      </w:r>
      <w:r>
        <w:t xml:space="preserve">.</w:t>
      </w:r>
    </w:p>
    <w:p>
      <w:pPr>
        <w:pStyle w:val="Compact"/>
        <w:numPr>
          <w:ilvl w:val="0"/>
          <w:numId w:val="1271"/>
        </w:numPr>
      </w:pPr>
      <w:r>
        <w:rPr>
          <w:b/>
          <w:bCs/>
        </w:rPr>
        <w:t xml:space="preserve">Sensitive Authentication Data (SAD) is never stored</w:t>
      </w:r>
      <w:r>
        <w:t xml:space="preserve"> </w:t>
      </w:r>
      <w:r>
        <w:t xml:space="preserve">after authorization: CVV/CVV2/CVC2, PIN/PIN block, full magnetic-stripe/track data (Req 3.3).</w:t>
      </w:r>
    </w:p>
    <w:bookmarkEnd w:id="651"/>
    <w:bookmarkStart w:id="652" w:name="defining-the-cde-and-classifying-systems"/>
    <w:p>
      <w:pPr>
        <w:pStyle w:val="Heading3"/>
      </w:pPr>
      <w:r>
        <w:t xml:space="preserve">2.2 Defining the CDE and classifying systems</w:t>
      </w:r>
    </w:p>
    <w:tbl>
      <w:tblPr>
        <w:tblStyle w:val="Table"/>
        <w:tblW w:type="pct" w:w="5000"/>
        <w:tblLayout w:type="fixed"/>
        <w:tblLook w:firstRow="1" w:lastRow="0" w:firstColumn="0" w:lastColumn="0" w:noHBand="0" w:noVBand="0" w:val="0020"/>
      </w:tblPr>
      <w:tblGrid>
        <w:gridCol w:w="1182"/>
        <w:gridCol w:w="3191"/>
        <w:gridCol w:w="3546"/>
      </w:tblGrid>
      <w:tr>
        <w:trPr>
          <w:tblHeader w:val="on"/>
        </w:trPr>
        <w:tc>
          <w:tcPr/>
          <w:p>
            <w:pPr>
              <w:pStyle w:val="Compact"/>
            </w:pPr>
            <w:r>
              <w:t xml:space="preserve">Category</w:t>
            </w:r>
          </w:p>
        </w:tc>
        <w:tc>
          <w:tcPr/>
          <w:p>
            <w:pPr>
              <w:pStyle w:val="Compact"/>
            </w:pPr>
            <w:r>
              <w:t xml:space="preserve">Definition (PCI-DSS v4.0)</w:t>
            </w:r>
          </w:p>
        </w:tc>
        <w:tc>
          <w:tcPr/>
          <w:p>
            <w:pPr>
              <w:pStyle w:val="Compact"/>
            </w:pPr>
            <w:r>
              <w:t xml:space="preserve">Example in this architecture</w:t>
            </w:r>
          </w:p>
        </w:tc>
      </w:tr>
      <w:tr>
        <w:tc>
          <w:tcPr/>
          <w:p>
            <w:pPr>
              <w:pStyle w:val="Compact"/>
            </w:pPr>
            <w:r>
              <w:rPr>
                <w:b/>
                <w:bCs/>
              </w:rPr>
              <w:t xml:space="preserve">CDE (in scope)</w:t>
            </w:r>
          </w:p>
        </w:tc>
        <w:tc>
          <w:tcPr/>
          <w:p>
            <w:pPr>
              <w:pStyle w:val="Compact"/>
            </w:pPr>
            <w:r>
              <w:t xml:space="preserve">Systems that store/process/transmit CHD or SAD</w:t>
            </w:r>
          </w:p>
        </w:tc>
        <w:tc>
          <w:tcPr/>
          <w:p>
            <w:pPr>
              <w:pStyle w:val="Compact"/>
            </w:pPr>
            <w:r>
              <w:t xml:space="preserve">Tokenization Vault, HSM/KMS, Acquirer Adapter (ISO 8583/REST) transmitting PAN, 3DS Adapter where it touches PAN</w:t>
            </w:r>
          </w:p>
        </w:tc>
      </w:tr>
      <w:tr>
        <w:tc>
          <w:tcPr/>
          <w:p>
            <w:pPr>
              <w:pStyle w:val="Compact"/>
            </w:pPr>
            <w:r>
              <w:rPr>
                <w:b/>
                <w:bCs/>
              </w:rPr>
              <w:t xml:space="preserve">Connected-to / Security-impacting</w:t>
            </w:r>
          </w:p>
        </w:tc>
        <w:tc>
          <w:tcPr/>
          <w:p>
            <w:pPr>
              <w:pStyle w:val="Compact"/>
            </w:pPr>
            <w:r>
              <w:t xml:space="preserve">Systems connected to or impacting CDE security</w:t>
            </w:r>
          </w:p>
        </w:tc>
        <w:tc>
          <w:tcPr/>
          <w:p>
            <w:pPr>
              <w:pStyle w:val="Compact"/>
            </w:pPr>
            <w:r>
              <w:t xml:space="preserve">Payment Core (via token), CI/CD deploying into the CDE, bastion/jump host, SIEM, IdP (SSO/MFA), NTP, internal DNS</w:t>
            </w:r>
          </w:p>
        </w:tc>
      </w:tr>
      <w:tr>
        <w:tc>
          <w:tcPr/>
          <w:p>
            <w:pPr>
              <w:pStyle w:val="Compact"/>
            </w:pPr>
            <w:r>
              <w:rPr>
                <w:b/>
                <w:bCs/>
              </w:rPr>
              <w:t xml:space="preserve">Out of scope</w:t>
            </w:r>
          </w:p>
        </w:tc>
        <w:tc>
          <w:tcPr/>
          <w:p>
            <w:pPr>
              <w:pStyle w:val="Compact"/>
            </w:pPr>
            <w:r>
              <w:t xml:space="preserve">Isolated from the CDE by verifiable segmentation</w:t>
            </w:r>
          </w:p>
        </w:tc>
        <w:tc>
          <w:tcPr/>
          <w:p>
            <w:pPr>
              <w:pStyle w:val="Compact"/>
            </w:pPr>
            <w:r>
              <w:t xml:space="preserve">Marketing site, merchant dashboard (reads token), analytics with no CHD</w:t>
            </w:r>
          </w:p>
        </w:tc>
      </w:tr>
    </w:tbl>
    <w:p>
      <w:pPr>
        <w:pStyle w:val="BlockText"/>
      </w:pPr>
      <w:r>
        <w:rPr>
          <w:b/>
          <w:bCs/>
        </w:rPr>
        <w:t xml:space="preserve">Segmentation evidence:</w:t>
      </w:r>
      <w:r>
        <w:t xml:space="preserve"> </w:t>
      </w:r>
      <w:r>
        <w:t xml:space="preserve">must be proven by a</w:t>
      </w:r>
      <w:r>
        <w:t xml:space="preserve"> </w:t>
      </w:r>
      <w:r>
        <w:rPr>
          <w:b/>
          <w:bCs/>
        </w:rPr>
        <w:t xml:space="preserve">segmentation penetration test</w:t>
      </w:r>
      <w:r>
        <w:t xml:space="preserve"> </w:t>
      </w:r>
      <w:r>
        <w:t xml:space="preserve">at least annually (Req 11.4.5, and every 6 months for service providers per 11.4.6) to confirm out-of-scope systems are truly isolated from the CDE.</w:t>
      </w:r>
    </w:p>
    <w:bookmarkEnd w:id="652"/>
    <w:bookmarkStart w:id="653" w:name="data-flow-and-chd-inventory-summary"/>
    <w:p>
      <w:pPr>
        <w:pStyle w:val="Heading3"/>
      </w:pPr>
      <w:r>
        <w:t xml:space="preserve">2.3 Data flow and CHD inventory (summary)</w:t>
      </w:r>
    </w:p>
    <w:tbl>
      <w:tblPr>
        <w:tblStyle w:val="Table"/>
        <w:tblW w:type="pct" w:w="5000"/>
        <w:tblLayout w:type="fixed"/>
        <w:tblLook w:firstRow="1" w:lastRow="0" w:firstColumn="0" w:lastColumn="0" w:noHBand="0" w:noVBand="0" w:val="0020"/>
      </w:tblPr>
      <w:tblGrid>
        <w:gridCol w:w="1540"/>
        <w:gridCol w:w="1320"/>
        <w:gridCol w:w="3080"/>
        <w:gridCol w:w="1980"/>
      </w:tblGrid>
      <w:tr>
        <w:trPr>
          <w:tblHeader w:val="on"/>
        </w:trPr>
        <w:tc>
          <w:tcPr/>
          <w:p>
            <w:pPr>
              <w:pStyle w:val="Compact"/>
            </w:pPr>
            <w:r>
              <w:t xml:space="preserve">Point</w:t>
            </w:r>
          </w:p>
        </w:tc>
        <w:tc>
          <w:tcPr/>
          <w:p>
            <w:pPr>
              <w:pStyle w:val="Compact"/>
            </w:pPr>
            <w:r>
              <w:t xml:space="preserve">Data</w:t>
            </w:r>
          </w:p>
        </w:tc>
        <w:tc>
          <w:tcPr/>
          <w:p>
            <w:pPr>
              <w:pStyle w:val="Compact"/>
            </w:pPr>
            <w:r>
              <w:t xml:space="preserve">Scope status</w:t>
            </w:r>
          </w:p>
        </w:tc>
        <w:tc>
          <w:tcPr/>
          <w:p>
            <w:pPr>
              <w:pStyle w:val="Compact"/>
            </w:pPr>
            <w:r>
              <w:t xml:space="preserve">Control</w:t>
            </w:r>
          </w:p>
        </w:tc>
      </w:tr>
      <w:tr>
        <w:tc>
          <w:tcPr/>
          <w:p>
            <w:pPr>
              <w:pStyle w:val="Compact"/>
            </w:pPr>
            <w:r>
              <w:t xml:space="preserve">Client → Vault</w:t>
            </w:r>
          </w:p>
        </w:tc>
        <w:tc>
          <w:tcPr/>
          <w:p>
            <w:pPr>
              <w:pStyle w:val="Compact"/>
            </w:pPr>
            <w:r>
              <w:t xml:space="preserve">PAN (single-use)</w:t>
            </w:r>
          </w:p>
        </w:tc>
        <w:tc>
          <w:tcPr/>
          <w:p>
            <w:pPr>
              <w:pStyle w:val="Compact"/>
            </w:pPr>
            <w:r>
              <w:t xml:space="preserve">Enters scope at Vault</w:t>
            </w:r>
          </w:p>
        </w:tc>
        <w:tc>
          <w:tcPr/>
          <w:p>
            <w:pPr>
              <w:pStyle w:val="Compact"/>
            </w:pPr>
            <w:r>
              <w:t xml:space="preserve">TLS 1.2+/1.3, immediate tokenization</w:t>
            </w:r>
          </w:p>
        </w:tc>
      </w:tr>
      <w:tr>
        <w:tc>
          <w:tcPr/>
          <w:p>
            <w:pPr>
              <w:pStyle w:val="Compact"/>
            </w:pPr>
            <w:r>
              <w:t xml:space="preserve">Vault at rest</w:t>
            </w:r>
          </w:p>
        </w:tc>
        <w:tc>
          <w:tcPr/>
          <w:p>
            <w:pPr>
              <w:pStyle w:val="Compact"/>
            </w:pPr>
            <w:r>
              <w:t xml:space="preserve">PAN (if retained)</w:t>
            </w:r>
          </w:p>
        </w:tc>
        <w:tc>
          <w:tcPr/>
          <w:p>
            <w:pPr>
              <w:pStyle w:val="Compact"/>
            </w:pPr>
            <w:r>
              <w:t xml:space="preserve">In CDE</w:t>
            </w:r>
          </w:p>
        </w:tc>
        <w:tc>
          <w:tcPr/>
          <w:p>
            <w:pPr>
              <w:pStyle w:val="Compact"/>
            </w:pPr>
            <w:r>
              <w:t xml:space="preserve">Envelope encryption, keys in HSM/KMS (Req 3.5–3.7)</w:t>
            </w:r>
          </w:p>
        </w:tc>
      </w:tr>
      <w:tr>
        <w:tc>
          <w:tcPr/>
          <w:p>
            <w:pPr>
              <w:pStyle w:val="Compact"/>
            </w:pPr>
            <w:r>
              <w:t xml:space="preserve">Payment Core / operational DB</w:t>
            </w:r>
          </w:p>
        </w:tc>
        <w:tc>
          <w:tcPr/>
          <w:p>
            <w:pPr>
              <w:pStyle w:val="Compact"/>
            </w:pPr>
            <w:r>
              <w:t xml:space="preserve">token,</w:t>
            </w:r>
            <w:r>
              <w:t xml:space="preserve"> </w:t>
            </w:r>
            <w:r>
              <w:rPr>
                <w:rStyle w:val="VerbatimChar"/>
              </w:rPr>
              <w:t xml:space="preserve">card_last4</w:t>
            </w:r>
            <w:r>
              <w:t xml:space="preserve">,</w:t>
            </w:r>
            <w:r>
              <w:t xml:space="preserve"> </w:t>
            </w:r>
            <w:r>
              <w:rPr>
                <w:rStyle w:val="VerbatimChar"/>
              </w:rPr>
              <w:t xml:space="preserve">card_brand</w:t>
            </w:r>
          </w:p>
        </w:tc>
        <w:tc>
          <w:tcPr/>
          <w:p>
            <w:pPr>
              <w:pStyle w:val="Compact"/>
            </w:pPr>
            <w:r>
              <w:t xml:space="preserve">Out of CDE</w:t>
            </w:r>
          </w:p>
        </w:tc>
        <w:tc>
          <w:tcPr/>
          <w:p>
            <w:pPr>
              <w:pStyle w:val="Compact"/>
            </w:pPr>
            <w:r>
              <w:t xml:space="preserve">No PAN/SAD</w:t>
            </w:r>
          </w:p>
        </w:tc>
      </w:tr>
      <w:tr>
        <w:tc>
          <w:tcPr/>
          <w:p>
            <w:pPr>
              <w:pStyle w:val="Compact"/>
            </w:pPr>
            <w:r>
              <w:t xml:space="preserve">Gateway → Acquirer</w:t>
            </w:r>
          </w:p>
        </w:tc>
        <w:tc>
          <w:tcPr/>
          <w:p>
            <w:pPr>
              <w:pStyle w:val="Compact"/>
            </w:pPr>
            <w:r>
              <w:t xml:space="preserve">PAN (during authorize)</w:t>
            </w:r>
          </w:p>
        </w:tc>
        <w:tc>
          <w:tcPr/>
          <w:p>
            <w:pPr>
              <w:pStyle w:val="Compact"/>
            </w:pPr>
            <w:r>
              <w:t xml:space="preserve">In CDE</w:t>
            </w:r>
          </w:p>
        </w:tc>
        <w:tc>
          <w:tcPr/>
          <w:p>
            <w:pPr>
              <w:pStyle w:val="Compact"/>
            </w:pPr>
            <w:r>
              <w:t xml:space="preserve">mTLS, isolated segment, not persisted</w:t>
            </w:r>
          </w:p>
        </w:tc>
      </w:tr>
      <w:tr>
        <w:tc>
          <w:tcPr/>
          <w:p>
            <w:pPr>
              <w:pStyle w:val="Compact"/>
            </w:pPr>
            <w:r>
              <w:t xml:space="preserve">Ledger / audit_log</w:t>
            </w:r>
          </w:p>
        </w:tc>
        <w:tc>
          <w:tcPr/>
          <w:p>
            <w:pPr>
              <w:pStyle w:val="Compact"/>
            </w:pPr>
            <w:r>
              <w:t xml:space="preserve">amount, status,</w:t>
            </w:r>
            <w:r>
              <w:t xml:space="preserve"> </w:t>
            </w:r>
            <w:r>
              <w:rPr>
                <w:rStyle w:val="VerbatimChar"/>
              </w:rPr>
              <w:t xml:space="preserve">auth_code</w:t>
            </w:r>
          </w:p>
        </w:tc>
        <w:tc>
          <w:tcPr/>
          <w:p>
            <w:pPr>
              <w:pStyle w:val="Compact"/>
            </w:pPr>
            <w:r>
              <w:t xml:space="preserve">Out of CDE</w:t>
            </w:r>
          </w:p>
        </w:tc>
        <w:tc>
          <w:tcPr/>
          <w:p>
            <w:pPr>
              <w:pStyle w:val="Compact"/>
            </w:pPr>
            <w:r>
              <w:t xml:space="preserve">Append-only, no CHD</w:t>
            </w:r>
          </w:p>
        </w:tc>
      </w:tr>
    </w:tbl>
    <w:p>
      <w:pPr>
        <w:pStyle w:val="BlockText"/>
      </w:pPr>
      <w:r>
        <w:t xml:space="preserve">A complete</w:t>
      </w:r>
      <w:r>
        <w:t xml:space="preserve"> </w:t>
      </w:r>
      <w:r>
        <w:rPr>
          <w:b/>
          <w:bCs/>
        </w:rPr>
        <w:t xml:space="preserve">Data Flow Diagram (DFD)</w:t>
      </w:r>
      <w:r>
        <w:t xml:space="preserve"> </w:t>
      </w:r>
      <w:r>
        <w:t xml:space="preserve">must be produced and reviewed by the QSA (see</w:t>
      </w:r>
      <w:r>
        <w:t xml:space="preserve"> </w:t>
      </w:r>
      <w:r>
        <w:rPr>
          <w:rStyle w:val="VerbatimChar"/>
        </w:rPr>
        <w:t xml:space="preserve">DIAGRAMS.md</w:t>
      </w:r>
      <w:r>
        <w:t xml:space="preserve">) — mandatory evidence for Req 1 and scope validation.</w:t>
      </w:r>
    </w:p>
    <w:p>
      <w:r>
        <w:pict>
          <v:rect style="width:0;height:1.5pt" o:hralign="center" o:hrstd="t" o:hr="t"/>
        </w:pict>
      </w:r>
    </w:p>
    <w:bookmarkEnd w:id="653"/>
    <w:bookmarkEnd w:id="654"/>
    <w:bookmarkStart w:id="655" w:name="X92a48f24e156da4ab9e272a0f30910c8076caa3"/>
    <w:p>
      <w:pPr>
        <w:pStyle w:val="Heading2"/>
      </w:pPr>
      <w:r>
        <w:t xml:space="preserve">3. Mapping the 12 PCI-DSS v4.0 requirements to the architecture</w:t>
      </w:r>
    </w:p>
    <w:tbl>
      <w:tblPr>
        <w:tblStyle w:val="Table"/>
        <w:tblW w:type="pct" w:w="5000"/>
        <w:tblLayout w:type="fixed"/>
        <w:tblLook w:firstRow="1" w:lastRow="0" w:firstColumn="0" w:lastColumn="0" w:noHBand="0" w:noVBand="0" w:val="0020"/>
      </w:tblPr>
      <w:tblGrid>
        <w:gridCol w:w="456"/>
        <w:gridCol w:w="3046"/>
        <w:gridCol w:w="2741"/>
        <w:gridCol w:w="1675"/>
      </w:tblGrid>
      <w:tr>
        <w:trPr>
          <w:tblHeader w:val="on"/>
        </w:trPr>
        <w:tc>
          <w:tcPr/>
          <w:p>
            <w:pPr>
              <w:pStyle w:val="Compact"/>
            </w:pPr>
            <w:r>
              <w:t xml:space="preserve">#</w:t>
            </w:r>
          </w:p>
        </w:tc>
        <w:tc>
          <w:tcPr/>
          <w:p>
            <w:pPr>
              <w:pStyle w:val="Compact"/>
            </w:pPr>
            <w:r>
              <w:t xml:space="preserve">Requirement (v4.0)</w:t>
            </w:r>
          </w:p>
        </w:tc>
        <w:tc>
          <w:tcPr/>
          <w:p>
            <w:pPr>
              <w:pStyle w:val="Compact"/>
            </w:pPr>
            <w:r>
              <w:t xml:space="preserve">Primary controls</w:t>
            </w:r>
          </w:p>
        </w:tc>
        <w:tc>
          <w:tcPr/>
          <w:p>
            <w:pPr>
              <w:pStyle w:val="Compact"/>
            </w:pPr>
            <w:r>
              <w:t xml:space="preserve">Doc/owner</w:t>
            </w:r>
          </w:p>
        </w:tc>
      </w:tr>
      <w:tr>
        <w:tc>
          <w:tcPr/>
          <w:p>
            <w:pPr>
              <w:pStyle w:val="Compact"/>
            </w:pPr>
            <w:r>
              <w:t xml:space="preserve">1</w:t>
            </w:r>
          </w:p>
        </w:tc>
        <w:tc>
          <w:tcPr/>
          <w:p>
            <w:pPr>
              <w:pStyle w:val="Compact"/>
            </w:pPr>
            <w:r>
              <w:t xml:space="preserve">Network security controls</w:t>
            </w:r>
          </w:p>
        </w:tc>
        <w:tc>
          <w:tcPr/>
          <w:p>
            <w:pPr>
              <w:pStyle w:val="Compact"/>
            </w:pPr>
            <w:r>
              <w:t xml:space="preserve">WAF, security groups, CDE segmentation, IDS/IPS, DFD</w:t>
            </w:r>
          </w:p>
        </w:tc>
        <w:tc>
          <w:tcPr/>
          <w:p>
            <w:pPr>
              <w:pStyle w:val="Compact"/>
            </w:pPr>
            <w:r>
              <w:t xml:space="preserve">DevSecOps / SRE</w:t>
            </w:r>
          </w:p>
        </w:tc>
      </w:tr>
      <w:tr>
        <w:tc>
          <w:tcPr/>
          <w:p>
            <w:pPr>
              <w:pStyle w:val="Compact"/>
            </w:pPr>
            <w:r>
              <w:t xml:space="preserve">2</w:t>
            </w:r>
          </w:p>
        </w:tc>
        <w:tc>
          <w:tcPr/>
          <w:p>
            <w:pPr>
              <w:pStyle w:val="Compact"/>
            </w:pPr>
            <w:r>
              <w:t xml:space="preserve">Secure configurations</w:t>
            </w:r>
          </w:p>
        </w:tc>
        <w:tc>
          <w:tcPr/>
          <w:p>
            <w:pPr>
              <w:pStyle w:val="Compact"/>
            </w:pPr>
            <w:r>
              <w:t xml:space="preserve">Distroless images, CIS hardening baseline, no default passwords</w:t>
            </w:r>
          </w:p>
        </w:tc>
        <w:tc>
          <w:tcPr/>
          <w:p>
            <w:pPr>
              <w:pStyle w:val="Compact"/>
            </w:pPr>
            <w:r>
              <w:t xml:space="preserve">DevSecOps</w:t>
            </w:r>
          </w:p>
        </w:tc>
      </w:tr>
      <w:tr>
        <w:tc>
          <w:tcPr/>
          <w:p>
            <w:pPr>
              <w:pStyle w:val="Compact"/>
            </w:pPr>
            <w:r>
              <w:t xml:space="preserve">3</w:t>
            </w:r>
          </w:p>
        </w:tc>
        <w:tc>
          <w:tcPr/>
          <w:p>
            <w:pPr>
              <w:pStyle w:val="Compact"/>
            </w:pPr>
            <w:r>
              <w:t xml:space="preserve">Protect stored account data</w:t>
            </w:r>
          </w:p>
        </w:tc>
        <w:tc>
          <w:tcPr/>
          <w:p>
            <w:pPr>
              <w:pStyle w:val="Compact"/>
            </w:pPr>
            <w:r>
              <w:t xml:space="preserve">Envelope encryption, HSM/KMS, key rotation, dual control, split knowledge; no SAD stored</w:t>
            </w:r>
          </w:p>
        </w:tc>
        <w:tc>
          <w:tcPr/>
          <w:p>
            <w:pPr>
              <w:pStyle w:val="Compact"/>
            </w:pPr>
            <w:r>
              <w:t xml:space="preserve">Security / CISO</w:t>
            </w:r>
          </w:p>
        </w:tc>
      </w:tr>
      <w:tr>
        <w:tc>
          <w:tcPr/>
          <w:p>
            <w:pPr>
              <w:pStyle w:val="Compact"/>
            </w:pPr>
            <w:r>
              <w:t xml:space="preserve">4</w:t>
            </w:r>
          </w:p>
        </w:tc>
        <w:tc>
          <w:tcPr/>
          <w:p>
            <w:pPr>
              <w:pStyle w:val="Compact"/>
            </w:pPr>
            <w:r>
              <w:t xml:space="preserve">Protect CHD in transit</w:t>
            </w:r>
          </w:p>
        </w:tc>
        <w:tc>
          <w:tcPr/>
          <w:p>
            <w:pPr>
              <w:pStyle w:val="Compact"/>
            </w:pPr>
            <w:r>
              <w:t xml:space="preserve">TLS 1.2+/1.3, internal mTLS, certificate management</w:t>
            </w:r>
          </w:p>
        </w:tc>
        <w:tc>
          <w:tcPr/>
          <w:p>
            <w:pPr>
              <w:pStyle w:val="Compact"/>
            </w:pPr>
            <w:r>
              <w:t xml:space="preserve">SRE</w:t>
            </w:r>
          </w:p>
        </w:tc>
      </w:tr>
      <w:tr>
        <w:tc>
          <w:tcPr/>
          <w:p>
            <w:pPr>
              <w:pStyle w:val="Compact"/>
            </w:pPr>
            <w:r>
              <w:t xml:space="preserve">5</w:t>
            </w:r>
          </w:p>
        </w:tc>
        <w:tc>
          <w:tcPr/>
          <w:p>
            <w:pPr>
              <w:pStyle w:val="Compact"/>
            </w:pPr>
            <w:r>
              <w:t xml:space="preserve">Anti-malware</w:t>
            </w:r>
          </w:p>
        </w:tc>
        <w:tc>
          <w:tcPr/>
          <w:p>
            <w:pPr>
              <w:pStyle w:val="Compact"/>
            </w:pPr>
            <w:r>
              <w:t xml:space="preserve">EDR on CDE hosts, image scanning</w:t>
            </w:r>
          </w:p>
        </w:tc>
        <w:tc>
          <w:tcPr/>
          <w:p>
            <w:pPr>
              <w:pStyle w:val="Compact"/>
            </w:pPr>
            <w:r>
              <w:t xml:space="preserve">DevSecOps</w:t>
            </w:r>
          </w:p>
        </w:tc>
      </w:tr>
      <w:tr>
        <w:tc>
          <w:tcPr/>
          <w:p>
            <w:pPr>
              <w:pStyle w:val="Compact"/>
            </w:pPr>
            <w:r>
              <w:t xml:space="preserve">6</w:t>
            </w:r>
          </w:p>
        </w:tc>
        <w:tc>
          <w:tcPr/>
          <w:p>
            <w:pPr>
              <w:pStyle w:val="Compact"/>
            </w:pPr>
            <w:r>
              <w:t xml:space="preserve">Secure software/systems</w:t>
            </w:r>
          </w:p>
        </w:tc>
        <w:tc>
          <w:tcPr/>
          <w:p>
            <w:pPr>
              <w:pStyle w:val="Compact"/>
            </w:pPr>
            <w:r>
              <w:t xml:space="preserve">SAST/DAST,</w:t>
            </w:r>
            <w:r>
              <w:t xml:space="preserve"> </w:t>
            </w:r>
            <w:r>
              <w:rPr>
                <w:rStyle w:val="VerbatimChar"/>
              </w:rPr>
              <w:t xml:space="preserve">govulncheck</w:t>
            </w:r>
            <w:r>
              <w:t xml:space="preserve">, secure SDLC, change control, patch SLA</w:t>
            </w:r>
          </w:p>
        </w:tc>
        <w:tc>
          <w:tcPr/>
          <w:p>
            <w:pPr>
              <w:pStyle w:val="Compact"/>
            </w:pPr>
            <w:r>
              <w:t xml:space="preserve">Engineering</w:t>
            </w:r>
          </w:p>
        </w:tc>
      </w:tr>
      <w:tr>
        <w:tc>
          <w:tcPr/>
          <w:p>
            <w:pPr>
              <w:pStyle w:val="Compact"/>
            </w:pPr>
            <w:r>
              <w:t xml:space="preserve">6.4.3 / 11.6.1</w:t>
            </w:r>
          </w:p>
        </w:tc>
        <w:tc>
          <w:tcPr/>
          <w:p>
            <w:pPr>
              <w:pStyle w:val="Compact"/>
            </w:pPr>
            <w:r>
              <w:t xml:space="preserve">Payment-page script integrity &amp; tamper monitoring</w:t>
            </w:r>
          </w:p>
        </w:tc>
        <w:tc>
          <w:tcPr/>
          <w:p>
            <w:pPr>
              <w:pStyle w:val="Compact"/>
            </w:pPr>
            <w:r>
              <w:t xml:space="preserve">Script inventory + integrity, HTTP header/change monitoring</w:t>
            </w:r>
          </w:p>
        </w:tc>
        <w:tc>
          <w:tcPr/>
          <w:p>
            <w:pPr>
              <w:pStyle w:val="Compact"/>
            </w:pPr>
            <w:r>
              <w:t xml:space="preserve">Frontend/Security</w:t>
            </w:r>
          </w:p>
        </w:tc>
      </w:tr>
      <w:tr>
        <w:tc>
          <w:tcPr/>
          <w:p>
            <w:pPr>
              <w:pStyle w:val="Compact"/>
            </w:pPr>
            <w:r>
              <w:t xml:space="preserve">7</w:t>
            </w:r>
          </w:p>
        </w:tc>
        <w:tc>
          <w:tcPr/>
          <w:p>
            <w:pPr>
              <w:pStyle w:val="Compact"/>
            </w:pPr>
            <w:r>
              <w:t xml:space="preserve">Restrict access by need-to-know</w:t>
            </w:r>
          </w:p>
        </w:tc>
        <w:tc>
          <w:tcPr/>
          <w:p>
            <w:pPr>
              <w:pStyle w:val="Compact"/>
            </w:pPr>
            <w:r>
              <w:t xml:space="preserve">RBAC, least privilege, quarterly access review</w:t>
            </w:r>
          </w:p>
        </w:tc>
        <w:tc>
          <w:tcPr/>
          <w:p>
            <w:pPr>
              <w:pStyle w:val="Compact"/>
            </w:pPr>
            <w:r>
              <w:t xml:space="preserve">Security / HR</w:t>
            </w:r>
          </w:p>
        </w:tc>
      </w:tr>
      <w:tr>
        <w:tc>
          <w:tcPr/>
          <w:p>
            <w:pPr>
              <w:pStyle w:val="Compact"/>
            </w:pPr>
            <w:r>
              <w:t xml:space="preserve">8</w:t>
            </w:r>
          </w:p>
        </w:tc>
        <w:tc>
          <w:tcPr/>
          <w:p>
            <w:pPr>
              <w:pStyle w:val="Compact"/>
            </w:pPr>
            <w:r>
              <w:t xml:space="preserve">Identify &amp; authenticate</w:t>
            </w:r>
          </w:p>
        </w:tc>
        <w:tc>
          <w:tcPr/>
          <w:p>
            <w:pPr>
              <w:pStyle w:val="Compact"/>
            </w:pPr>
            <w:r>
              <w:t xml:space="preserve">MFA for all CDE and admin access (stricter in v4.0), password policy, no shared IDs</w:t>
            </w:r>
          </w:p>
        </w:tc>
        <w:tc>
          <w:tcPr/>
          <w:p>
            <w:pPr>
              <w:pStyle w:val="Compact"/>
            </w:pPr>
            <w:r>
              <w:t xml:space="preserve">Security / IT</w:t>
            </w:r>
          </w:p>
        </w:tc>
      </w:tr>
      <w:tr>
        <w:tc>
          <w:tcPr/>
          <w:p>
            <w:pPr>
              <w:pStyle w:val="Compact"/>
            </w:pPr>
            <w:r>
              <w:t xml:space="preserve">9</w:t>
            </w:r>
          </w:p>
        </w:tc>
        <w:tc>
          <w:tcPr/>
          <w:p>
            <w:pPr>
              <w:pStyle w:val="Compact"/>
            </w:pPr>
            <w:r>
              <w:t xml:space="preserve">Physical access</w:t>
            </w:r>
          </w:p>
        </w:tc>
        <w:tc>
          <w:tcPr/>
          <w:p>
            <w:pPr>
              <w:pStyle w:val="Compact"/>
            </w:pPr>
            <w:r>
              <w:t xml:space="preserve">If cloud → rely on provider AoC; if on-prem HSM → physical controls</w:t>
            </w:r>
          </w:p>
        </w:tc>
        <w:tc>
          <w:tcPr/>
          <w:p>
            <w:pPr>
              <w:pStyle w:val="Compact"/>
            </w:pPr>
            <w:r>
              <w:t xml:space="preserve">SRE / Facilities</w:t>
            </w:r>
          </w:p>
        </w:tc>
      </w:tr>
      <w:tr>
        <w:tc>
          <w:tcPr/>
          <w:p>
            <w:pPr>
              <w:pStyle w:val="Compact"/>
            </w:pPr>
            <w:r>
              <w:t xml:space="preserve">10</w:t>
            </w:r>
          </w:p>
        </w:tc>
        <w:tc>
          <w:tcPr/>
          <w:p>
            <w:pPr>
              <w:pStyle w:val="Compact"/>
            </w:pPr>
            <w:r>
              <w:t xml:space="preserve">Log &amp; monitor</w:t>
            </w:r>
          </w:p>
        </w:tc>
        <w:tc>
          <w:tcPr/>
          <w:p>
            <w:pPr>
              <w:pStyle w:val="Compact"/>
            </w:pPr>
            <w:r>
              <w:t xml:space="preserve">Structured logs with no CHD, no request-body logging of PAN, SIEM, NTP time-sync, retain logs ≥ 12 months (≥ 3 online)</w:t>
            </w:r>
          </w:p>
        </w:tc>
        <w:tc>
          <w:tcPr/>
          <w:p>
            <w:pPr>
              <w:pStyle w:val="Compact"/>
            </w:pPr>
            <w:r>
              <w:t xml:space="preserve">SRE / SOC</w:t>
            </w:r>
          </w:p>
        </w:tc>
      </w:tr>
      <w:tr>
        <w:tc>
          <w:tcPr/>
          <w:p>
            <w:pPr>
              <w:pStyle w:val="Compact"/>
            </w:pPr>
            <w:r>
              <w:t xml:space="preserve">11</w:t>
            </w:r>
          </w:p>
        </w:tc>
        <w:tc>
          <w:tcPr/>
          <w:p>
            <w:pPr>
              <w:pStyle w:val="Compact"/>
            </w:pPr>
            <w:r>
              <w:t xml:space="preserve">Test security regularly</w:t>
            </w:r>
          </w:p>
        </w:tc>
        <w:tc>
          <w:tcPr/>
          <w:p>
            <w:pPr>
              <w:pStyle w:val="Compact"/>
            </w:pPr>
            <w:r>
              <w:t xml:space="preserve">Quarterly ASV scan, internal vuln scan, annual pentest (external+internal), segmentation test</w:t>
            </w:r>
          </w:p>
        </w:tc>
        <w:tc>
          <w:tcPr/>
          <w:p>
            <w:pPr>
              <w:pStyle w:val="Compact"/>
            </w:pPr>
            <w:r>
              <w:t xml:space="preserve">Security / ASV / QSA</w:t>
            </w:r>
          </w:p>
        </w:tc>
      </w:tr>
      <w:tr>
        <w:tc>
          <w:tcPr/>
          <w:p>
            <w:pPr>
              <w:pStyle w:val="Compact"/>
            </w:pPr>
            <w:r>
              <w:t xml:space="preserve">12</w:t>
            </w:r>
          </w:p>
        </w:tc>
        <w:tc>
          <w:tcPr/>
          <w:p>
            <w:pPr>
              <w:pStyle w:val="Compact"/>
            </w:pPr>
            <w:r>
              <w:t xml:space="preserve">Security policy &amp; program</w:t>
            </w:r>
          </w:p>
        </w:tc>
        <w:tc>
          <w:tcPr/>
          <w:p>
            <w:pPr>
              <w:pStyle w:val="Compact"/>
            </w:pPr>
            <w:r>
              <w:t xml:space="preserve">ISMS, incident response, risk assessment, security awareness, TPSP management, targeted risk analysis (v4.0)</w:t>
            </w:r>
          </w:p>
        </w:tc>
        <w:tc>
          <w:tcPr/>
          <w:p>
            <w:pPr>
              <w:pStyle w:val="Compact"/>
            </w:pPr>
            <w:r>
              <w:t xml:space="preserve">CISO / Compliance</w:t>
            </w:r>
          </w:p>
        </w:tc>
      </w:tr>
    </w:tbl>
    <w:p>
      <w:pPr>
        <w:pStyle w:val="BlockText"/>
      </w:pPr>
      <w:r>
        <w:rPr>
          <w:b/>
          <w:bCs/>
        </w:rPr>
        <w:t xml:space="preserve">Key v4.0 changes to plan ahead for:</w:t>
      </w:r>
      <w:r>
        <w:t xml:space="preserve"> </w:t>
      </w:r>
      <w:r>
        <w:t xml:space="preserve">(a)</w:t>
      </w:r>
      <w:r>
        <w:t xml:space="preserve"> </w:t>
      </w:r>
      <w:r>
        <w:rPr>
          <w:b/>
          <w:bCs/>
        </w:rPr>
        <w:t xml:space="preserve">client-side script integrity &amp; HTTP header monitoring</w:t>
      </w:r>
      <w:r>
        <w:t xml:space="preserve"> </w:t>
      </w:r>
      <w:r>
        <w:t xml:space="preserve">(Req 6.4.3, 11.6.1) for payment pages/hosted fields; (b)</w:t>
      </w:r>
      <w:r>
        <w:t xml:space="preserve"> </w:t>
      </w:r>
      <w:r>
        <w:rPr>
          <w:b/>
          <w:bCs/>
        </w:rPr>
        <w:t xml:space="preserve">stronger MFA</w:t>
      </w:r>
      <w:r>
        <w:t xml:space="preserve"> </w:t>
      </w:r>
      <w:r>
        <w:t xml:space="preserve">(Req 8.4/8.5); (c)</w:t>
      </w:r>
      <w:r>
        <w:t xml:space="preserve"> </w:t>
      </w:r>
      <w:r>
        <w:rPr>
          <w:b/>
          <w:bCs/>
        </w:rPr>
        <w:t xml:space="preserve">targeted risk analysis</w:t>
      </w:r>
      <w:r>
        <w:t xml:space="preserve"> </w:t>
      </w:r>
      <w:r>
        <w:t xml:space="preserve">governing the frequency of several controls (Req 12.3.1); (d) any</w:t>
      </w:r>
      <w:r>
        <w:t xml:space="preserve"> </w:t>
      </w:r>
      <w:r>
        <w:rPr>
          <w:b/>
          <w:bCs/>
        </w:rPr>
        <w:t xml:space="preserve">customized approach</w:t>
      </w:r>
      <w:r>
        <w:t xml:space="preserve"> </w:t>
      </w:r>
      <w:r>
        <w:t xml:space="preserve">must be documented with a targeted risk analysis.</w:t>
      </w:r>
    </w:p>
    <w:p>
      <w:r>
        <w:pict>
          <v:rect style="width:0;height:1.5pt" o:hralign="center" o:hrstd="t" o:hr="t"/>
        </w:pict>
      </w:r>
    </w:p>
    <w:bookmarkEnd w:id="655"/>
    <w:bookmarkStart w:id="658" w:name="saq-roc-validation-path"/>
    <w:p>
      <w:pPr>
        <w:pStyle w:val="Heading2"/>
      </w:pPr>
      <w:r>
        <w:t xml:space="preserve">4. SAQ → RoC validation path</w:t>
      </w:r>
    </w:p>
    <w:bookmarkStart w:id="656" w:name="role-of-the-saq-in-this-plan"/>
    <w:p>
      <w:pPr>
        <w:pStyle w:val="Heading3"/>
      </w:pPr>
      <w:r>
        <w:t xml:space="preserve">4.1 Role of the SAQ in this plan</w:t>
      </w:r>
    </w:p>
    <w:p>
      <w:pPr>
        <w:pStyle w:val="FirstParagraph"/>
      </w:pPr>
      <w:r>
        <w:t xml:space="preserve">The Company is a</w:t>
      </w:r>
      <w:r>
        <w:t xml:space="preserve"> </w:t>
      </w:r>
      <w:r>
        <w:rPr>
          <w:b/>
          <w:bCs/>
        </w:rPr>
        <w:t xml:space="preserve">Level 1 service provider</w:t>
      </w:r>
      <w:r>
        <w:t xml:space="preserve"> </w:t>
      </w:r>
      <w:r>
        <w:t xml:space="preserve">and therefore</w:t>
      </w:r>
      <w:r>
        <w:t xml:space="preserve"> </w:t>
      </w:r>
      <w:r>
        <w:rPr>
          <w:b/>
          <w:bCs/>
        </w:rPr>
        <w:t xml:space="preserve">must validate with a full RoC</w:t>
      </w:r>
      <w:r>
        <w:t xml:space="preserve"> </w:t>
      </w:r>
      <w:r>
        <w:t xml:space="preserve">at its end state — it cannot self-attest with a SAQ. However, the Company uses the</w:t>
      </w:r>
      <w:r>
        <w:t xml:space="preserve"> </w:t>
      </w:r>
      <w:r>
        <w:rPr>
          <w:b/>
          <w:bCs/>
        </w:rPr>
        <w:t xml:space="preserve">SAQ D (Service Provider)</w:t>
      </w:r>
      <w:r>
        <w:t xml:space="preserve"> </w:t>
      </w:r>
      <w:r>
        <w:t xml:space="preserve">as an</w:t>
      </w:r>
      <w:r>
        <w:t xml:space="preserve"> </w:t>
      </w:r>
      <w:r>
        <w:rPr>
          <w:b/>
          <w:bCs/>
        </w:rPr>
        <w:t xml:space="preserve">internal pre-audit gap-assessment tool</w:t>
      </w:r>
      <w:r>
        <w:t xml:space="preserve"> </w:t>
      </w:r>
      <w:r>
        <w:t xml:space="preserve">to gauge readiness before engaging the QSA — not as the final submission artifact.</w:t>
      </w:r>
    </w:p>
    <w:tbl>
      <w:tblPr>
        <w:tblStyle w:val="Table"/>
        <w:tblW w:type="pct" w:w="5000"/>
        <w:tblLayout w:type="fixed"/>
        <w:tblLook w:firstRow="1" w:lastRow="0" w:firstColumn="0" w:lastColumn="0" w:noHBand="0" w:noVBand="0" w:val="0020"/>
      </w:tblPr>
      <w:tblGrid>
        <w:gridCol w:w="1056"/>
        <w:gridCol w:w="2992"/>
        <w:gridCol w:w="2288"/>
        <w:gridCol w:w="1584"/>
      </w:tblGrid>
      <w:tr>
        <w:trPr>
          <w:tblHeader w:val="on"/>
        </w:trPr>
        <w:tc>
          <w:tcPr/>
          <w:p>
            <w:pPr>
              <w:pStyle w:val="Compact"/>
            </w:pPr>
            <w:r>
              <w:t xml:space="preserve">Step</w:t>
            </w:r>
          </w:p>
        </w:tc>
        <w:tc>
          <w:tcPr/>
          <w:p>
            <w:pPr>
              <w:pStyle w:val="Compact"/>
            </w:pPr>
            <w:r>
              <w:t xml:space="preserve">Artifact/output</w:t>
            </w:r>
          </w:p>
        </w:tc>
        <w:tc>
          <w:tcPr/>
          <w:p>
            <w:pPr>
              <w:pStyle w:val="Compact"/>
            </w:pPr>
            <w:r>
              <w:t xml:space="preserve">Prepared by</w:t>
            </w:r>
          </w:p>
        </w:tc>
        <w:tc>
          <w:tcPr/>
          <w:p>
            <w:pPr>
              <w:pStyle w:val="Compact"/>
            </w:pPr>
            <w:r>
              <w:t xml:space="preserve">Purpose</w:t>
            </w:r>
          </w:p>
        </w:tc>
      </w:tr>
      <w:tr>
        <w:tc>
          <w:tcPr/>
          <w:p>
            <w:pPr>
              <w:pStyle w:val="Compact"/>
            </w:pPr>
            <w:r>
              <w:t xml:space="preserve">1. Internal gap assessment</w:t>
            </w:r>
          </w:p>
        </w:tc>
        <w:tc>
          <w:tcPr/>
          <w:p>
            <w:pPr>
              <w:pStyle w:val="Compact"/>
            </w:pPr>
            <w:r>
              <w:rPr>
                <w:b/>
                <w:bCs/>
              </w:rPr>
              <w:t xml:space="preserve">SAQ D (Service Provider) worksheet</w:t>
            </w:r>
          </w:p>
        </w:tc>
        <w:tc>
          <w:tcPr/>
          <w:p>
            <w:pPr>
              <w:pStyle w:val="Compact"/>
            </w:pPr>
            <w:r>
              <w:t xml:space="preserve">PCI Program Lead + ISA (if any)</w:t>
            </w:r>
          </w:p>
        </w:tc>
        <w:tc>
          <w:tcPr/>
          <w:p>
            <w:pPr>
              <w:pStyle w:val="Compact"/>
            </w:pPr>
            <w:r>
              <w:t xml:space="preserve">Find gaps before audit</w:t>
            </w:r>
          </w:p>
        </w:tc>
      </w:tr>
      <w:tr>
        <w:tc>
          <w:tcPr/>
          <w:p>
            <w:pPr>
              <w:pStyle w:val="Compact"/>
            </w:pPr>
            <w:r>
              <w:t xml:space="preserve">2. Remediation</w:t>
            </w:r>
          </w:p>
        </w:tc>
        <w:tc>
          <w:tcPr/>
          <w:p>
            <w:pPr>
              <w:pStyle w:val="Compact"/>
            </w:pPr>
            <w:r>
              <w:t xml:space="preserve">Gap remediation tracker</w:t>
            </w:r>
          </w:p>
        </w:tc>
        <w:tc>
          <w:tcPr/>
          <w:p>
            <w:pPr>
              <w:pStyle w:val="Compact"/>
            </w:pPr>
            <w:r>
              <w:t xml:space="preserve">Engineering/Security</w:t>
            </w:r>
          </w:p>
        </w:tc>
        <w:tc>
          <w:tcPr/>
          <w:p>
            <w:pPr>
              <w:pStyle w:val="Compact"/>
            </w:pPr>
            <w:r>
              <w:t xml:space="preserve">Close all gaps</w:t>
            </w:r>
          </w:p>
        </w:tc>
      </w:tr>
      <w:tr>
        <w:tc>
          <w:tcPr/>
          <w:p>
            <w:pPr>
              <w:pStyle w:val="Compact"/>
            </w:pPr>
            <w:r>
              <w:t xml:space="preserve">3. Formal assessment</w:t>
            </w:r>
          </w:p>
        </w:tc>
        <w:tc>
          <w:tcPr/>
          <w:p>
            <w:pPr>
              <w:pStyle w:val="Compact"/>
            </w:pPr>
            <w:r>
              <w:rPr>
                <w:b/>
                <w:bCs/>
              </w:rPr>
              <w:t xml:space="preserve">RoC (Report on Compliance)</w:t>
            </w:r>
          </w:p>
        </w:tc>
        <w:tc>
          <w:tcPr/>
          <w:p>
            <w:pPr>
              <w:pStyle w:val="Compact"/>
            </w:pPr>
            <w:r>
              <w:rPr>
                <w:b/>
                <w:bCs/>
              </w:rPr>
              <w:t xml:space="preserve">QSA</w:t>
            </w:r>
          </w:p>
        </w:tc>
        <w:tc>
          <w:tcPr/>
          <w:p>
            <w:pPr>
              <w:pStyle w:val="Compact"/>
            </w:pPr>
            <w:r>
              <w:t xml:space="preserve">Full compliance evidence</w:t>
            </w:r>
          </w:p>
        </w:tc>
      </w:tr>
      <w:tr>
        <w:tc>
          <w:tcPr/>
          <w:p>
            <w:pPr>
              <w:pStyle w:val="Compact"/>
            </w:pPr>
            <w:r>
              <w:t xml:space="preserve">4. Attestation</w:t>
            </w:r>
          </w:p>
        </w:tc>
        <w:tc>
          <w:tcPr/>
          <w:p>
            <w:pPr>
              <w:pStyle w:val="Compact"/>
            </w:pPr>
            <w:r>
              <w:rPr>
                <w:b/>
                <w:bCs/>
              </w:rPr>
              <w:t xml:space="preserve">AoC (Attestation of Compliance)</w:t>
            </w:r>
          </w:p>
        </w:tc>
        <w:tc>
          <w:tcPr/>
          <w:p>
            <w:pPr>
              <w:pStyle w:val="Compact"/>
            </w:pPr>
            <w:r>
              <w:t xml:space="preserve">QSA + Company executive</w:t>
            </w:r>
          </w:p>
        </w:tc>
        <w:tc>
          <w:tcPr/>
          <w:p>
            <w:pPr>
              <w:pStyle w:val="Compact"/>
            </w:pPr>
            <w:r>
              <w:t xml:space="preserve">Submit to acquirer/scheme/BOT</w:t>
            </w:r>
          </w:p>
        </w:tc>
      </w:tr>
      <w:tr>
        <w:tc>
          <w:tcPr/>
          <w:p>
            <w:pPr>
              <w:pStyle w:val="Compact"/>
            </w:pPr>
            <w:r>
              <w:t xml:space="preserve">5. Continuous</w:t>
            </w:r>
          </w:p>
        </w:tc>
        <w:tc>
          <w:tcPr/>
          <w:p>
            <w:pPr>
              <w:pStyle w:val="Compact"/>
            </w:pPr>
            <w:r>
              <w:t xml:space="preserve">Quarterly ASV scan report, annual pentest report</w:t>
            </w:r>
          </w:p>
        </w:tc>
        <w:tc>
          <w:tcPr/>
          <w:p>
            <w:pPr>
              <w:pStyle w:val="Compact"/>
            </w:pPr>
            <w:r>
              <w:t xml:space="preserve">ASV / pentest vendor</w:t>
            </w:r>
          </w:p>
        </w:tc>
        <w:tc>
          <w:tcPr/>
          <w:p>
            <w:pPr>
              <w:pStyle w:val="Compact"/>
            </w:pPr>
            <w:r>
              <w:t xml:space="preserve">Maintain status in-year</w:t>
            </w:r>
          </w:p>
        </w:tc>
      </w:tr>
    </w:tbl>
    <w:bookmarkEnd w:id="656"/>
    <w:bookmarkStart w:id="657" w:name="definition-of-done"/>
    <w:p>
      <w:pPr>
        <w:pStyle w:val="Heading3"/>
      </w:pPr>
      <w:r>
        <w:t xml:space="preserve">4.2 Definition of Done</w:t>
      </w:r>
    </w:p>
    <w:p>
      <w:pPr>
        <w:pStyle w:val="Compact"/>
        <w:numPr>
          <w:ilvl w:val="0"/>
          <w:numId w:val="1272"/>
        </w:numPr>
      </w:pPr>
      <w:r>
        <w:t xml:space="preserve">Internal SAQ D passes on every control (or has documented compensating/customized controls).</w:t>
      </w:r>
    </w:p>
    <w:p>
      <w:pPr>
        <w:pStyle w:val="Compact"/>
        <w:numPr>
          <w:ilvl w:val="0"/>
          <w:numId w:val="1272"/>
        </w:numPr>
      </w:pPr>
      <w:r>
        <w:t xml:space="preserve">The QSA issues a</w:t>
      </w:r>
      <w:r>
        <w:t xml:space="preserve"> </w:t>
      </w:r>
      <w:r>
        <w:rPr>
          <w:b/>
          <w:bCs/>
        </w:rPr>
        <w:t xml:space="preserve">RoC marked</w:t>
      </w:r>
      <w:r>
        <w:rPr>
          <w:b/>
          <w:bCs/>
        </w:rPr>
        <w:t xml:space="preserve"> </w:t>
      </w:r>
      <w:r>
        <w:rPr>
          <w:b/>
          <w:bCs/>
        </w:rPr>
        <w:t xml:space="preserve">“In Place”</w:t>
      </w:r>
      <w:r>
        <w:rPr>
          <w:b/>
          <w:bCs/>
        </w:rPr>
        <w:t xml:space="preserve"> </w:t>
      </w:r>
      <w:r>
        <w:rPr>
          <w:b/>
          <w:bCs/>
        </w:rPr>
        <w:t xml:space="preserve">on every requirement</w:t>
      </w:r>
      <w:r>
        <w:t xml:space="preserve"> </w:t>
      </w:r>
      <w:r>
        <w:t xml:space="preserve">and a</w:t>
      </w:r>
      <w:r>
        <w:t xml:space="preserve"> </w:t>
      </w:r>
      <w:r>
        <w:rPr>
          <w:b/>
          <w:bCs/>
        </w:rPr>
        <w:t xml:space="preserve">signed AoC</w:t>
      </w:r>
      <w:r>
        <w:t xml:space="preserve">.</w:t>
      </w:r>
    </w:p>
    <w:p>
      <w:pPr>
        <w:pStyle w:val="Compact"/>
        <w:numPr>
          <w:ilvl w:val="0"/>
          <w:numId w:val="1272"/>
        </w:numPr>
      </w:pPr>
      <w:r>
        <w:t xml:space="preserve">The latest quarterly ASV scan passes (no failing/high vulnerabilities).</w:t>
      </w:r>
    </w:p>
    <w:p>
      <w:pPr>
        <w:pStyle w:val="Compact"/>
        <w:numPr>
          <w:ilvl w:val="0"/>
          <w:numId w:val="1272"/>
        </w:numPr>
      </w:pPr>
      <w:r>
        <w:t xml:space="preserve">The latest pentest has all high/critical findings remediated.</w:t>
      </w:r>
    </w:p>
    <w:p>
      <w:r>
        <w:pict>
          <v:rect style="width:0;height:1.5pt" o:hralign="center" o:hrstd="t" o:hr="t"/>
        </w:pict>
      </w:r>
    </w:p>
    <w:bookmarkEnd w:id="657"/>
    <w:bookmarkEnd w:id="658"/>
    <w:bookmarkStart w:id="662" w:name="qsa-and-asv-engagement"/>
    <w:p>
      <w:pPr>
        <w:pStyle w:val="Heading2"/>
      </w:pPr>
      <w:r>
        <w:t xml:space="preserve">5. QSA and ASV engagement</w:t>
      </w:r>
    </w:p>
    <w:bookmarkStart w:id="659" w:name="qsa-selection-criteria"/>
    <w:p>
      <w:pPr>
        <w:pStyle w:val="Heading3"/>
      </w:pPr>
      <w:r>
        <w:t xml:space="preserve">5.1 QSA selection criteria</w:t>
      </w:r>
    </w:p>
    <w:p>
      <w:pPr>
        <w:pStyle w:val="Compact"/>
        <w:numPr>
          <w:ilvl w:val="0"/>
          <w:numId w:val="1273"/>
        </w:numPr>
      </w:pPr>
      <w:r>
        <w:t xml:space="preserve">Registered with the</w:t>
      </w:r>
      <w:r>
        <w:t xml:space="preserve"> </w:t>
      </w:r>
      <w:r>
        <w:rPr>
          <w:b/>
          <w:bCs/>
        </w:rPr>
        <w:t xml:space="preserve">PCI SSC</w:t>
      </w:r>
      <w:r>
        <w:t xml:space="preserve"> </w:t>
      </w:r>
      <w:r>
        <w:t xml:space="preserve">and authorized to assess v4.0.</w:t>
      </w:r>
    </w:p>
    <w:p>
      <w:pPr>
        <w:pStyle w:val="Compact"/>
        <w:numPr>
          <w:ilvl w:val="0"/>
          <w:numId w:val="1273"/>
        </w:numPr>
      </w:pPr>
      <w:r>
        <w:t xml:space="preserve">Experience with</w:t>
      </w:r>
      <w:r>
        <w:t xml:space="preserve"> </w:t>
      </w:r>
      <w:r>
        <w:rPr>
          <w:b/>
          <w:bCs/>
        </w:rPr>
        <w:t xml:space="preserve">acquirers/gateways in Thailand/ASEAN</w:t>
      </w:r>
      <w:r>
        <w:t xml:space="preserve"> </w:t>
      </w:r>
      <w:r>
        <w:t xml:space="preserve">and understanding of BOT requirements (data residency).</w:t>
      </w:r>
    </w:p>
    <w:p>
      <w:pPr>
        <w:pStyle w:val="Compact"/>
        <w:numPr>
          <w:ilvl w:val="0"/>
          <w:numId w:val="1273"/>
        </w:numPr>
      </w:pPr>
      <w:r>
        <w:t xml:space="preserve">Provides a</w:t>
      </w:r>
      <w:r>
        <w:t xml:space="preserve"> </w:t>
      </w:r>
      <w:r>
        <w:rPr>
          <w:b/>
          <w:bCs/>
        </w:rPr>
        <w:t xml:space="preserve">scoping workshop + readiness (pre-assessment)</w:t>
      </w:r>
      <w:r>
        <w:t xml:space="preserve"> </w:t>
      </w:r>
      <w:r>
        <w:t xml:space="preserve">before the formal RoC.</w:t>
      </w:r>
    </w:p>
    <w:p>
      <w:pPr>
        <w:pStyle w:val="Compact"/>
        <w:numPr>
          <w:ilvl w:val="0"/>
          <w:numId w:val="1273"/>
        </w:numPr>
      </w:pPr>
      <w:r>
        <w:t xml:space="preserve">Availability and lead time compatible with the timeline (§6).</w:t>
      </w:r>
    </w:p>
    <w:bookmarkEnd w:id="659"/>
    <w:bookmarkStart w:id="660" w:name="qsa-engagement-steps"/>
    <w:p>
      <w:pPr>
        <w:pStyle w:val="Heading3"/>
      </w:pPr>
      <w:r>
        <w:t xml:space="preserve">5.2 QSA engagement steps</w:t>
      </w:r>
    </w:p>
    <w:p>
      <w:pPr>
        <w:pStyle w:val="Compact"/>
        <w:numPr>
          <w:ilvl w:val="0"/>
          <w:numId w:val="1274"/>
        </w:numPr>
      </w:pPr>
      <w:r>
        <w:rPr>
          <w:b/>
          <w:bCs/>
        </w:rPr>
        <w:t xml:space="preserve">Scoping workshop</w:t>
      </w:r>
      <w:r>
        <w:t xml:space="preserve"> </w:t>
      </w:r>
      <w:r>
        <w:t xml:space="preserve">— confirm CDE, DFD, asset inventory, segmentation.</w:t>
      </w:r>
    </w:p>
    <w:p>
      <w:pPr>
        <w:pStyle w:val="Compact"/>
        <w:numPr>
          <w:ilvl w:val="0"/>
          <w:numId w:val="1274"/>
        </w:numPr>
      </w:pPr>
      <w:r>
        <w:rPr>
          <w:b/>
          <w:bCs/>
        </w:rPr>
        <w:t xml:space="preserve">Readiness / gap assessment</w:t>
      </w:r>
      <w:r>
        <w:t xml:space="preserve"> </w:t>
      </w:r>
      <w:r>
        <w:t xml:space="preserve">— QSA reviews the internal SAQ D and samples evidence.</w:t>
      </w:r>
    </w:p>
    <w:p>
      <w:pPr>
        <w:pStyle w:val="Compact"/>
        <w:numPr>
          <w:ilvl w:val="0"/>
          <w:numId w:val="1274"/>
        </w:numPr>
      </w:pPr>
      <w:r>
        <w:rPr>
          <w:b/>
          <w:bCs/>
        </w:rPr>
        <w:t xml:space="preserve">Remediation window</w:t>
      </w:r>
      <w:r>
        <w:t xml:space="preserve"> </w:t>
      </w:r>
      <w:r>
        <w:t xml:space="preserve">— close gaps (reserve ≥ 4–8 weeks).</w:t>
      </w:r>
    </w:p>
    <w:p>
      <w:pPr>
        <w:pStyle w:val="Compact"/>
        <w:numPr>
          <w:ilvl w:val="0"/>
          <w:numId w:val="1274"/>
        </w:numPr>
      </w:pPr>
      <w:r>
        <w:rPr>
          <w:b/>
          <w:bCs/>
        </w:rPr>
        <w:t xml:space="preserve">Formal assessment (on-site + evidence review)</w:t>
      </w:r>
      <w:r>
        <w:t xml:space="preserve"> </w:t>
      </w:r>
      <w:r>
        <w:t xml:space="preserve">— interviews, observation, review of config/logs/policy.</w:t>
      </w:r>
    </w:p>
    <w:p>
      <w:pPr>
        <w:pStyle w:val="Compact"/>
        <w:numPr>
          <w:ilvl w:val="0"/>
          <w:numId w:val="1274"/>
        </w:numPr>
      </w:pPr>
      <w:r>
        <w:rPr>
          <w:b/>
          <w:bCs/>
        </w:rPr>
        <w:t xml:space="preserve">RoC drafting + QA</w:t>
      </w:r>
      <w:r>
        <w:t xml:space="preserve"> </w:t>
      </w:r>
      <w:r>
        <w:t xml:space="preserve">— QSA drafts the RoC; the Company responds to observations.</w:t>
      </w:r>
    </w:p>
    <w:p>
      <w:pPr>
        <w:pStyle w:val="Compact"/>
        <w:numPr>
          <w:ilvl w:val="0"/>
          <w:numId w:val="1274"/>
        </w:numPr>
      </w:pPr>
      <w:r>
        <w:rPr>
          <w:b/>
          <w:bCs/>
        </w:rPr>
        <w:t xml:space="preserve">AoC signing</w:t>
      </w:r>
      <w:r>
        <w:t xml:space="preserve"> </w:t>
      </w:r>
      <w:r>
        <w:t xml:space="preserve">— sign and submit to acquirer/scheme/BOT.</w:t>
      </w:r>
    </w:p>
    <w:bookmarkEnd w:id="660"/>
    <w:bookmarkStart w:id="661" w:name="asv-and-penetration-testing"/>
    <w:p>
      <w:pPr>
        <w:pStyle w:val="Heading3"/>
      </w:pPr>
      <w:r>
        <w:t xml:space="preserve">5.3 ASV and penetration testing</w:t>
      </w:r>
    </w:p>
    <w:tbl>
      <w:tblPr>
        <w:tblStyle w:val="Table"/>
        <w:tblW w:type="pct" w:w="5000"/>
        <w:tblLayout w:type="fixed"/>
        <w:tblLook w:firstRow="1" w:lastRow="0" w:firstColumn="0" w:lastColumn="0" w:noHBand="0" w:noVBand="0" w:val="0020"/>
      </w:tblPr>
      <w:tblGrid>
        <w:gridCol w:w="1080"/>
        <w:gridCol w:w="1980"/>
        <w:gridCol w:w="2520"/>
        <w:gridCol w:w="2340"/>
      </w:tblGrid>
      <w:tr>
        <w:trPr>
          <w:tblHeader w:val="on"/>
        </w:trPr>
        <w:tc>
          <w:tcPr/>
          <w:p>
            <w:pPr>
              <w:pStyle w:val="Compact"/>
            </w:pPr>
            <w:r>
              <w:t xml:space="preserve">Task</w:t>
            </w:r>
          </w:p>
        </w:tc>
        <w:tc>
          <w:tcPr/>
          <w:p>
            <w:pPr>
              <w:pStyle w:val="Compact"/>
            </w:pPr>
            <w:r>
              <w:t xml:space="preserve">Frequency</w:t>
            </w:r>
          </w:p>
        </w:tc>
        <w:tc>
          <w:tcPr/>
          <w:p>
            <w:pPr>
              <w:pStyle w:val="Compact"/>
            </w:pPr>
            <w:r>
              <w:t xml:space="preserve">Performed by</w:t>
            </w:r>
          </w:p>
        </w:tc>
        <w:tc>
          <w:tcPr/>
          <w:p>
            <w:pPr>
              <w:pStyle w:val="Compact"/>
            </w:pPr>
            <w:r>
              <w:t xml:space="preserve">Requirement</w:t>
            </w:r>
          </w:p>
        </w:tc>
      </w:tr>
      <w:tr>
        <w:tc>
          <w:tcPr/>
          <w:p>
            <w:pPr>
              <w:pStyle w:val="Compact"/>
            </w:pPr>
            <w:r>
              <w:t xml:space="preserve">External vulnerability scan</w:t>
            </w:r>
          </w:p>
        </w:tc>
        <w:tc>
          <w:tcPr/>
          <w:p>
            <w:pPr>
              <w:pStyle w:val="Compact"/>
            </w:pPr>
            <w:r>
              <w:rPr>
                <w:b/>
                <w:bCs/>
              </w:rPr>
              <w:t xml:space="preserve">Quarterly</w:t>
            </w:r>
            <w:r>
              <w:t xml:space="preserve"> </w:t>
            </w:r>
            <w:r>
              <w:t xml:space="preserve">+ after significant change</w:t>
            </w:r>
          </w:p>
        </w:tc>
        <w:tc>
          <w:tcPr/>
          <w:p>
            <w:pPr>
              <w:pStyle w:val="Compact"/>
            </w:pPr>
            <w:r>
              <w:rPr>
                <w:b/>
                <w:bCs/>
              </w:rPr>
              <w:t xml:space="preserve">ASV</w:t>
            </w:r>
            <w:r>
              <w:t xml:space="preserve"> </w:t>
            </w:r>
            <w:r>
              <w:t xml:space="preserve">(PCI SSC registered)</w:t>
            </w:r>
          </w:p>
        </w:tc>
        <w:tc>
          <w:tcPr/>
          <w:p>
            <w:pPr>
              <w:pStyle w:val="Compact"/>
            </w:pPr>
            <w:r>
              <w:t xml:space="preserve">Req 11.3.2 — must pass</w:t>
            </w:r>
          </w:p>
        </w:tc>
      </w:tr>
      <w:tr>
        <w:tc>
          <w:tcPr/>
          <w:p>
            <w:pPr>
              <w:pStyle w:val="Compact"/>
            </w:pPr>
            <w:r>
              <w:t xml:space="preserve">Internal vulnerability scan</w:t>
            </w:r>
          </w:p>
        </w:tc>
        <w:tc>
          <w:tcPr/>
          <w:p>
            <w:pPr>
              <w:pStyle w:val="Compact"/>
            </w:pPr>
            <w:r>
              <w:t xml:space="preserve">Quarterly + after change</w:t>
            </w:r>
          </w:p>
        </w:tc>
        <w:tc>
          <w:tcPr/>
          <w:p>
            <w:pPr>
              <w:pStyle w:val="Compact"/>
            </w:pPr>
            <w:r>
              <w:t xml:space="preserve">Internal team/tooling</w:t>
            </w:r>
          </w:p>
        </w:tc>
        <w:tc>
          <w:tcPr/>
          <w:p>
            <w:pPr>
              <w:pStyle w:val="Compact"/>
            </w:pPr>
            <w:r>
              <w:t xml:space="preserve">Req 11.3.1</w:t>
            </w:r>
          </w:p>
        </w:tc>
      </w:tr>
      <w:tr>
        <w:tc>
          <w:tcPr/>
          <w:p>
            <w:pPr>
              <w:pStyle w:val="Compact"/>
            </w:pPr>
            <w:r>
              <w:t xml:space="preserve">Penetration test (external + internal)</w:t>
            </w:r>
          </w:p>
        </w:tc>
        <w:tc>
          <w:tcPr/>
          <w:p>
            <w:pPr>
              <w:pStyle w:val="Compact"/>
            </w:pPr>
            <w:r>
              <w:rPr>
                <w:b/>
                <w:bCs/>
              </w:rPr>
              <w:t xml:space="preserve">Annual</w:t>
            </w:r>
            <w:r>
              <w:t xml:space="preserve"> </w:t>
            </w:r>
            <w:r>
              <w:t xml:space="preserve">+ after significant change</w:t>
            </w:r>
          </w:p>
        </w:tc>
        <w:tc>
          <w:tcPr/>
          <w:p>
            <w:pPr>
              <w:pStyle w:val="Compact"/>
            </w:pPr>
            <w:r>
              <w:t xml:space="preserve">Independent pentest vendor</w:t>
            </w:r>
          </w:p>
        </w:tc>
        <w:tc>
          <w:tcPr/>
          <w:p>
            <w:pPr>
              <w:pStyle w:val="Compact"/>
            </w:pPr>
            <w:r>
              <w:t xml:space="preserve">Req 11.4</w:t>
            </w:r>
          </w:p>
        </w:tc>
      </w:tr>
      <w:tr>
        <w:tc>
          <w:tcPr/>
          <w:p>
            <w:pPr>
              <w:pStyle w:val="Compact"/>
            </w:pPr>
            <w:r>
              <w:t xml:space="preserve">Segmentation test</w:t>
            </w:r>
          </w:p>
        </w:tc>
        <w:tc>
          <w:tcPr/>
          <w:p>
            <w:pPr>
              <w:pStyle w:val="Compact"/>
            </w:pPr>
            <w:r>
              <w:t xml:space="preserve">Service providers using segmentation to reduce scope:</w:t>
            </w:r>
            <w:r>
              <w:t xml:space="preserve"> </w:t>
            </w:r>
            <w:r>
              <w:rPr>
                <w:b/>
                <w:bCs/>
              </w:rPr>
              <w:t xml:space="preserve">every 6 months</w:t>
            </w:r>
          </w:p>
        </w:tc>
        <w:tc>
          <w:tcPr/>
          <w:p>
            <w:pPr>
              <w:pStyle w:val="Compact"/>
            </w:pPr>
            <w:r>
              <w:t xml:space="preserve">Pentest vendor</w:t>
            </w:r>
          </w:p>
        </w:tc>
        <w:tc>
          <w:tcPr/>
          <w:p>
            <w:pPr>
              <w:pStyle w:val="Compact"/>
            </w:pPr>
            <w:r>
              <w:t xml:space="preserve">Req 11.4.6 — confirm CDE isolation</w:t>
            </w:r>
          </w:p>
        </w:tc>
      </w:tr>
    </w:tbl>
    <w:p>
      <w:r>
        <w:pict>
          <v:rect style="width:0;height:1.5pt" o:hralign="center" o:hrstd="t" o:hr="t"/>
        </w:pict>
      </w:r>
    </w:p>
    <w:bookmarkEnd w:id="661"/>
    <w:bookmarkEnd w:id="662"/>
    <w:bookmarkStart w:id="663" w:name="timeline"/>
    <w:p>
      <w:pPr>
        <w:pStyle w:val="Heading2"/>
      </w:pPr>
      <w:r>
        <w:t xml:space="preserve">6. Timeline</w:t>
      </w:r>
    </w:p>
    <w:p>
      <w:pPr>
        <w:pStyle w:val="FirstParagraph"/>
      </w:pPr>
      <w:r>
        <w:t xml:space="preserve">Consistent with</w:t>
      </w:r>
      <w:r>
        <w:t xml:space="preserve"> </w:t>
      </w:r>
      <w:r>
        <w:rPr>
          <w:rStyle w:val="VerbatimChar"/>
        </w:rPr>
        <w:t xml:space="preserve">ROADMAP.md</w:t>
      </w:r>
      <w:r>
        <w:t xml:space="preserve"> </w:t>
      </w:r>
      <w:r>
        <w:t xml:space="preserve">— PCI-DSS L1 (QSA) starts</w:t>
      </w:r>
      <w:r>
        <w:t xml:space="preserve"> </w:t>
      </w:r>
      <w:r>
        <w:rPr>
          <w:b/>
          <w:bCs/>
        </w:rPr>
        <w:t xml:space="preserve">2026-10-01</w:t>
      </w:r>
      <w:r>
        <w:t xml:space="preserve">, roughly 120 days, in parallel with engineering Phases 2–4.</w:t>
      </w:r>
    </w:p>
    <w:tbl>
      <w:tblPr>
        <w:tblStyle w:val="Table"/>
        <w:tblW w:type="pct" w:w="5000"/>
        <w:tblLayout w:type="fixed"/>
        <w:tblLook w:firstRow="1" w:lastRow="0" w:firstColumn="0" w:lastColumn="0" w:noHBand="0" w:noVBand="0" w:val="0020"/>
      </w:tblPr>
      <w:tblGrid>
        <w:gridCol w:w="1348"/>
        <w:gridCol w:w="2864"/>
        <w:gridCol w:w="2359"/>
        <w:gridCol w:w="1348"/>
      </w:tblGrid>
      <w:tr>
        <w:trPr>
          <w:tblHeader w:val="on"/>
        </w:trPr>
        <w:tc>
          <w:tcPr/>
          <w:p>
            <w:pPr>
              <w:pStyle w:val="Compact"/>
            </w:pPr>
            <w:r>
              <w:t xml:space="preserve">Window</w:t>
            </w:r>
          </w:p>
        </w:tc>
        <w:tc>
          <w:tcPr/>
          <w:p>
            <w:pPr>
              <w:pStyle w:val="Compact"/>
            </w:pPr>
            <w:r>
              <w:t xml:space="preserve">Month (approx.)</w:t>
            </w:r>
          </w:p>
        </w:tc>
        <w:tc>
          <w:tcPr/>
          <w:p>
            <w:pPr>
              <w:pStyle w:val="Compact"/>
            </w:pPr>
            <w:r>
              <w:t xml:space="preserve">PCI activity</w:t>
            </w:r>
          </w:p>
        </w:tc>
        <w:tc>
          <w:tcPr/>
          <w:p>
            <w:pPr>
              <w:pStyle w:val="Compact"/>
            </w:pPr>
            <w:r>
              <w:t xml:space="preserve">Output</w:t>
            </w:r>
          </w:p>
        </w:tc>
      </w:tr>
      <w:tr>
        <w:tc>
          <w:tcPr/>
          <w:p>
            <w:pPr>
              <w:pStyle w:val="Compact"/>
            </w:pPr>
            <w:r>
              <w:t xml:space="preserve">M0</w:t>
            </w:r>
          </w:p>
        </w:tc>
        <w:tc>
          <w:tcPr/>
          <w:p>
            <w:pPr>
              <w:pStyle w:val="Compact"/>
            </w:pPr>
            <w:r>
              <w:t xml:space="preserve">Jul–Aug 2026</w:t>
            </w:r>
          </w:p>
        </w:tc>
        <w:tc>
          <w:tcPr/>
          <w:p>
            <w:pPr>
              <w:pStyle w:val="Compact"/>
            </w:pPr>
            <w:r>
              <w:t xml:space="preserve">Select QSA/ASV/pentest vendors, draft scope, start internal SAQ D</w:t>
            </w:r>
          </w:p>
        </w:tc>
        <w:tc>
          <w:tcPr/>
          <w:p>
            <w:pPr>
              <w:pStyle w:val="Compact"/>
            </w:pPr>
            <w:r>
              <w:t xml:space="preserve">Vendor shortlist, draft scope</w:t>
            </w:r>
          </w:p>
        </w:tc>
      </w:tr>
      <w:tr>
        <w:tc>
          <w:tcPr/>
          <w:p>
            <w:pPr>
              <w:pStyle w:val="Compact"/>
            </w:pPr>
            <w:r>
              <w:t xml:space="preserve">M1</w:t>
            </w:r>
          </w:p>
        </w:tc>
        <w:tc>
          <w:tcPr/>
          <w:p>
            <w:pPr>
              <w:pStyle w:val="Compact"/>
            </w:pPr>
            <w:r>
              <w:t xml:space="preserve">Sep 2026</w:t>
            </w:r>
          </w:p>
        </w:tc>
        <w:tc>
          <w:tcPr/>
          <w:p>
            <w:pPr>
              <w:pStyle w:val="Compact"/>
            </w:pPr>
            <w:r>
              <w:t xml:space="preserve">Scoping workshop, produce DFD/asset inventory, network segmentation, HSM/KMS setup</w:t>
            </w:r>
          </w:p>
        </w:tc>
        <w:tc>
          <w:tcPr/>
          <w:p>
            <w:pPr>
              <w:pStyle w:val="Compact"/>
            </w:pPr>
            <w:r>
              <w:t xml:space="preserve">Scope baseline, segmentation</w:t>
            </w:r>
          </w:p>
        </w:tc>
      </w:tr>
      <w:tr>
        <w:tc>
          <w:tcPr/>
          <w:p>
            <w:pPr>
              <w:pStyle w:val="Compact"/>
            </w:pPr>
            <w:r>
              <w:t xml:space="preserve">M2–M3</w:t>
            </w:r>
          </w:p>
        </w:tc>
        <w:tc>
          <w:tcPr/>
          <w:p>
            <w:pPr>
              <w:pStyle w:val="Compact"/>
            </w:pPr>
            <w:r>
              <w:t xml:space="preserve">Oct–Nov 2026</w:t>
            </w:r>
          </w:p>
        </w:tc>
        <w:tc>
          <w:tcPr/>
          <w:p>
            <w:pPr>
              <w:pStyle w:val="Compact"/>
            </w:pPr>
            <w:r>
              <w:t xml:space="preserve">QSA readiness/gap assessment, remediation, SIEM/logging, MFA, policy suite</w:t>
            </w:r>
          </w:p>
        </w:tc>
        <w:tc>
          <w:tcPr/>
          <w:p>
            <w:pPr>
              <w:pStyle w:val="Compact"/>
            </w:pPr>
            <w:r>
              <w:t xml:space="preserve">Gaps closed, evidence pack v1</w:t>
            </w:r>
          </w:p>
        </w:tc>
      </w:tr>
      <w:tr>
        <w:tc>
          <w:tcPr/>
          <w:p>
            <w:pPr>
              <w:pStyle w:val="Compact"/>
            </w:pPr>
            <w:r>
              <w:t xml:space="preserve">M3</w:t>
            </w:r>
          </w:p>
        </w:tc>
        <w:tc>
          <w:tcPr/>
          <w:p>
            <w:pPr>
              <w:pStyle w:val="Compact"/>
            </w:pPr>
            <w:r>
              <w:t xml:space="preserve">Nov 2026</w:t>
            </w:r>
          </w:p>
        </w:tc>
        <w:tc>
          <w:tcPr/>
          <w:p>
            <w:pPr>
              <w:pStyle w:val="Compact"/>
            </w:pPr>
            <w:r>
              <w:t xml:space="preserve">First quarterly ASV scan (pass), pentest + segmentation test</w:t>
            </w:r>
          </w:p>
        </w:tc>
        <w:tc>
          <w:tcPr/>
          <w:p>
            <w:pPr>
              <w:pStyle w:val="Compact"/>
            </w:pPr>
            <w:r>
              <w:t xml:space="preserve">Scan pass, pentest report</w:t>
            </w:r>
          </w:p>
        </w:tc>
      </w:tr>
      <w:tr>
        <w:tc>
          <w:tcPr/>
          <w:p>
            <w:pPr>
              <w:pStyle w:val="Compact"/>
            </w:pPr>
            <w:r>
              <w:t xml:space="preserve">M4</w:t>
            </w:r>
          </w:p>
        </w:tc>
        <w:tc>
          <w:tcPr/>
          <w:p>
            <w:pPr>
              <w:pStyle w:val="Compact"/>
            </w:pPr>
            <w:r>
              <w:t xml:space="preserve">Dec 2026–Jan 2027</w:t>
            </w:r>
          </w:p>
        </w:tc>
        <w:tc>
          <w:tcPr/>
          <w:p>
            <w:pPr>
              <w:pStyle w:val="Compact"/>
            </w:pPr>
            <w:r>
              <w:t xml:space="preserve">QSA formal on-site assessment, evidence review</w:t>
            </w:r>
          </w:p>
        </w:tc>
        <w:tc>
          <w:tcPr/>
          <w:p>
            <w:pPr>
              <w:pStyle w:val="Compact"/>
            </w:pPr>
            <w:r>
              <w:t xml:space="preserve">RoC draft</w:t>
            </w:r>
          </w:p>
        </w:tc>
      </w:tr>
      <w:tr>
        <w:tc>
          <w:tcPr/>
          <w:p>
            <w:pPr>
              <w:pStyle w:val="Compact"/>
            </w:pPr>
            <w:r>
              <w:t xml:space="preserve">M4–M5</w:t>
            </w:r>
          </w:p>
        </w:tc>
        <w:tc>
          <w:tcPr/>
          <w:p>
            <w:pPr>
              <w:pStyle w:val="Compact"/>
            </w:pPr>
            <w:r>
              <w:t xml:space="preserve">Jan 2027</w:t>
            </w:r>
          </w:p>
        </w:tc>
        <w:tc>
          <w:tcPr/>
          <w:p>
            <w:pPr>
              <w:pStyle w:val="Compact"/>
            </w:pPr>
            <w:r>
              <w:t xml:space="preserve">RoC finalize + AoC signing</w:t>
            </w:r>
          </w:p>
        </w:tc>
        <w:tc>
          <w:tcPr/>
          <w:p>
            <w:pPr>
              <w:pStyle w:val="Compact"/>
            </w:pPr>
            <w:r>
              <w:rPr>
                <w:b/>
                <w:bCs/>
              </w:rPr>
              <w:t xml:space="preserve">RoC + AoC</w:t>
            </w:r>
          </w:p>
        </w:tc>
      </w:tr>
      <w:tr>
        <w:tc>
          <w:tcPr/>
          <w:p>
            <w:pPr>
              <w:pStyle w:val="Compact"/>
            </w:pPr>
            <w:r>
              <w:t xml:space="preserve">Ongoing</w:t>
            </w:r>
          </w:p>
        </w:tc>
        <w:tc>
          <w:tcPr/>
          <w:p>
            <w:pPr>
              <w:pStyle w:val="Compact"/>
            </w:pPr>
            <w:r>
              <w:t xml:space="preserve">Quarterly/annual</w:t>
            </w:r>
          </w:p>
        </w:tc>
        <w:tc>
          <w:tcPr/>
          <w:p>
            <w:pPr>
              <w:pStyle w:val="Compact"/>
            </w:pPr>
            <w:r>
              <w:t xml:space="preserve">Quarterly ASV scans, annual pentest, RoC renewal</w:t>
            </w:r>
          </w:p>
        </w:tc>
        <w:tc>
          <w:tcPr/>
          <w:p>
            <w:pPr>
              <w:pStyle w:val="Compact"/>
            </w:pPr>
            <w:r>
              <w:t xml:space="preserve">Maintain L1 status</w:t>
            </w:r>
          </w:p>
        </w:tc>
      </w:tr>
    </w:tbl>
    <w:p>
      <w:pPr>
        <w:pStyle w:val="SourceCode"/>
      </w:pPr>
      <w:r>
        <w:rPr>
          <w:rStyle w:val="VerbatimChar"/>
        </w:rPr>
        <w:t xml:space="preserve">gantt</w:t>
      </w:r>
      <w:r>
        <w:br/>
      </w:r>
      <w:r>
        <w:rPr>
          <w:rStyle w:val="VerbatimChar"/>
        </w:rPr>
        <w:t xml:space="preserve">    title PCI-DSS Level 1 Roadmap (approx.)</w:t>
      </w:r>
      <w:r>
        <w:br/>
      </w:r>
      <w:r>
        <w:rPr>
          <w:rStyle w:val="VerbatimChar"/>
        </w:rPr>
        <w:t xml:space="preserve">    dateFormat  YYYY-MM-DD</w:t>
      </w:r>
      <w:r>
        <w:br/>
      </w:r>
      <w:r>
        <w:rPr>
          <w:rStyle w:val="VerbatimChar"/>
        </w:rPr>
        <w:t xml:space="preserve">    axisFormat  %b</w:t>
      </w:r>
      <w:r>
        <w:br/>
      </w:r>
      <w:r>
        <w:rPr>
          <w:rStyle w:val="VerbatimChar"/>
        </w:rPr>
        <w:t xml:space="preserve">    section PCI Program</w:t>
      </w:r>
      <w:r>
        <w:br/>
      </w:r>
      <w:r>
        <w:rPr>
          <w:rStyle w:val="VerbatimChar"/>
        </w:rPr>
        <w:t xml:space="preserve">    Vendor selection &amp; scope     :m0, 2026-07-15, 45d</w:t>
      </w:r>
      <w:r>
        <w:br/>
      </w:r>
      <w:r>
        <w:rPr>
          <w:rStyle w:val="VerbatimChar"/>
        </w:rPr>
        <w:t xml:space="preserve">    Scoping &amp; segmentation       :m1, 2026-09-01, 30d</w:t>
      </w:r>
      <w:r>
        <w:br/>
      </w:r>
      <w:r>
        <w:rPr>
          <w:rStyle w:val="VerbatimChar"/>
        </w:rPr>
        <w:t xml:space="preserve">    Readiness &amp; remediation      :m2, 2026-10-01, 60d</w:t>
      </w:r>
      <w:r>
        <w:br/>
      </w:r>
      <w:r>
        <w:rPr>
          <w:rStyle w:val="VerbatimChar"/>
        </w:rPr>
        <w:t xml:space="preserve">    ASV scan + Pentest           :m3, 2026-11-01, 30d</w:t>
      </w:r>
      <w:r>
        <w:br/>
      </w:r>
      <w:r>
        <w:rPr>
          <w:rStyle w:val="VerbatimChar"/>
        </w:rPr>
        <w:t xml:space="preserve">    QSA formal assessment (RoC)  :m4, 2026-12-01, 45d</w:t>
      </w:r>
      <w:r>
        <w:br/>
      </w:r>
      <w:r>
        <w:rPr>
          <w:rStyle w:val="VerbatimChar"/>
        </w:rPr>
        <w:t xml:space="preserve">    RoC + AoC signoff            :m5, 2027-01-15, 21d</w:t>
      </w:r>
    </w:p>
    <w:p>
      <w:r>
        <w:pict>
          <v:rect style="width:0;height:1.5pt" o:hralign="center" o:hrstd="t" o:hr="t"/>
        </w:pict>
      </w:r>
    </w:p>
    <w:bookmarkEnd w:id="663"/>
    <w:bookmarkStart w:id="664" w:name="evidence-to-assemble-for-the-roc"/>
    <w:p>
      <w:pPr>
        <w:pStyle w:val="Heading2"/>
      </w:pPr>
      <w:r>
        <w:t xml:space="preserve">7. Evidence to assemble for the RoC</w:t>
      </w:r>
    </w:p>
    <w:tbl>
      <w:tblPr>
        <w:tblStyle w:val="Table"/>
        <w:tblW w:type="pct" w:w="5000"/>
        <w:tblLayout w:type="fixed"/>
        <w:tblLook w:firstRow="1" w:lastRow="0" w:firstColumn="0" w:lastColumn="0" w:noHBand="0" w:noVBand="0" w:val="0020"/>
      </w:tblPr>
      <w:tblGrid>
        <w:gridCol w:w="3090"/>
        <w:gridCol w:w="1931"/>
        <w:gridCol w:w="2897"/>
      </w:tblGrid>
      <w:tr>
        <w:trPr>
          <w:tblHeader w:val="on"/>
        </w:trPr>
        <w:tc>
          <w:tcPr/>
          <w:p>
            <w:pPr>
              <w:pStyle w:val="Compact"/>
            </w:pPr>
            <w:r>
              <w:t xml:space="preserve">Category (Req)</w:t>
            </w:r>
          </w:p>
        </w:tc>
        <w:tc>
          <w:tcPr/>
          <w:p>
            <w:pPr>
              <w:pStyle w:val="Compact"/>
            </w:pPr>
            <w:r>
              <w:t xml:space="preserve">Evidence</w:t>
            </w:r>
          </w:p>
        </w:tc>
        <w:tc>
          <w:tcPr/>
          <w:p>
            <w:pPr>
              <w:pStyle w:val="Compact"/>
            </w:pPr>
            <w:r>
              <w:t xml:space="preserve">Source/system</w:t>
            </w:r>
          </w:p>
        </w:tc>
      </w:tr>
      <w:tr>
        <w:tc>
          <w:tcPr/>
          <w:p>
            <w:pPr>
              <w:pStyle w:val="Compact"/>
            </w:pPr>
            <w:r>
              <w:t xml:space="preserve">Scope (1, 12)</w:t>
            </w:r>
          </w:p>
        </w:tc>
        <w:tc>
          <w:tcPr/>
          <w:p>
            <w:pPr>
              <w:pStyle w:val="Compact"/>
            </w:pPr>
            <w:r>
              <w:t xml:space="preserve">DFD, asset/CHD inventory, network diagram, segmentation test report</w:t>
            </w:r>
          </w:p>
        </w:tc>
        <w:tc>
          <w:tcPr/>
          <w:p>
            <w:pPr>
              <w:pStyle w:val="Compact"/>
            </w:pPr>
            <w:r>
              <w:rPr>
                <w:rStyle w:val="VerbatimChar"/>
              </w:rPr>
              <w:t xml:space="preserve">DIAGRAMS.md</w:t>
            </w:r>
            <w:r>
              <w:t xml:space="preserve">, SRE</w:t>
            </w:r>
          </w:p>
        </w:tc>
      </w:tr>
      <w:tr>
        <w:tc>
          <w:tcPr/>
          <w:p>
            <w:pPr>
              <w:pStyle w:val="Compact"/>
            </w:pPr>
            <w:r>
              <w:t xml:space="preserve">Req 3</w:t>
            </w:r>
          </w:p>
        </w:tc>
        <w:tc>
          <w:tcPr/>
          <w:p>
            <w:pPr>
              <w:pStyle w:val="Compact"/>
            </w:pPr>
            <w:r>
              <w:t xml:space="preserve">Key management policy, HSM/KMS config, key rotation log, dual-control record</w:t>
            </w:r>
          </w:p>
        </w:tc>
        <w:tc>
          <w:tcPr/>
          <w:p>
            <w:pPr>
              <w:pStyle w:val="Compact"/>
            </w:pPr>
            <w:r>
              <w:t xml:space="preserve">Security</w:t>
            </w:r>
          </w:p>
        </w:tc>
      </w:tr>
      <w:tr>
        <w:tc>
          <w:tcPr/>
          <w:p>
            <w:pPr>
              <w:pStyle w:val="Compact"/>
            </w:pPr>
            <w:r>
              <w:t xml:space="preserve">Req 4</w:t>
            </w:r>
          </w:p>
        </w:tc>
        <w:tc>
          <w:tcPr/>
          <w:p>
            <w:pPr>
              <w:pStyle w:val="Compact"/>
            </w:pPr>
            <w:r>
              <w:t xml:space="preserve">TLS config, certificate inventory, mTLS proof</w:t>
            </w:r>
          </w:p>
        </w:tc>
        <w:tc>
          <w:tcPr/>
          <w:p>
            <w:pPr>
              <w:pStyle w:val="Compact"/>
            </w:pPr>
            <w:r>
              <w:t xml:space="preserve">SRE</w:t>
            </w:r>
          </w:p>
        </w:tc>
      </w:tr>
      <w:tr>
        <w:tc>
          <w:tcPr/>
          <w:p>
            <w:pPr>
              <w:pStyle w:val="Compact"/>
            </w:pPr>
            <w:r>
              <w:t xml:space="preserve">Req 6</w:t>
            </w:r>
          </w:p>
        </w:tc>
        <w:tc>
          <w:tcPr/>
          <w:p>
            <w:pPr>
              <w:pStyle w:val="Compact"/>
            </w:pPr>
            <w:r>
              <w:t xml:space="preserve">Secure SDLC policy, SAST/DAST/</w:t>
            </w:r>
            <w:r>
              <w:rPr>
                <w:rStyle w:val="VerbatimChar"/>
              </w:rPr>
              <w:t xml:space="preserve">govulncheck</w:t>
            </w:r>
            <w:r>
              <w:t xml:space="preserve"> </w:t>
            </w:r>
            <w:r>
              <w:t xml:space="preserve">reports, change tickets, patch SLA log</w:t>
            </w:r>
          </w:p>
        </w:tc>
        <w:tc>
          <w:tcPr/>
          <w:p>
            <w:pPr>
              <w:pStyle w:val="Compact"/>
            </w:pPr>
            <w:r>
              <w:t xml:space="preserve">Engineering</w:t>
            </w:r>
          </w:p>
        </w:tc>
      </w:tr>
      <w:tr>
        <w:tc>
          <w:tcPr/>
          <w:p>
            <w:pPr>
              <w:pStyle w:val="Compact"/>
            </w:pPr>
            <w:r>
              <w:t xml:space="preserve">Req 6.4.3/11.6.1</w:t>
            </w:r>
          </w:p>
        </w:tc>
        <w:tc>
          <w:tcPr/>
          <w:p>
            <w:pPr>
              <w:pStyle w:val="Compact"/>
            </w:pPr>
            <w:r>
              <w:t xml:space="preserve">Script inventory &amp; integrity, HTTP header/tamper monitoring on payment page</w:t>
            </w:r>
          </w:p>
        </w:tc>
        <w:tc>
          <w:tcPr/>
          <w:p>
            <w:pPr>
              <w:pStyle w:val="Compact"/>
            </w:pPr>
            <w:r>
              <w:t xml:space="preserve">Frontend/Security</w:t>
            </w:r>
          </w:p>
        </w:tc>
      </w:tr>
      <w:tr>
        <w:tc>
          <w:tcPr/>
          <w:p>
            <w:pPr>
              <w:pStyle w:val="Compact"/>
            </w:pPr>
            <w:r>
              <w:t xml:space="preserve">Req 7–8</w:t>
            </w:r>
          </w:p>
        </w:tc>
        <w:tc>
          <w:tcPr/>
          <w:p>
            <w:pPr>
              <w:pStyle w:val="Compact"/>
            </w:pPr>
            <w:r>
              <w:t xml:space="preserve">RBAC matrix, quarterly access review records, MFA config, joiner/mover/leaver log</w:t>
            </w:r>
          </w:p>
        </w:tc>
        <w:tc>
          <w:tcPr/>
          <w:p>
            <w:pPr>
              <w:pStyle w:val="Compact"/>
            </w:pPr>
            <w:r>
              <w:t xml:space="preserve">Security/HR</w:t>
            </w:r>
          </w:p>
        </w:tc>
      </w:tr>
      <w:tr>
        <w:tc>
          <w:tcPr/>
          <w:p>
            <w:pPr>
              <w:pStyle w:val="Compact"/>
            </w:pPr>
            <w:r>
              <w:t xml:space="preserve">Req 10</w:t>
            </w:r>
          </w:p>
        </w:tc>
        <w:tc>
          <w:tcPr/>
          <w:p>
            <w:pPr>
              <w:pStyle w:val="Compact"/>
            </w:pPr>
            <w:r>
              <w:t xml:space="preserve">SIEM config, log retention proof (≥12 months), NTP config, log review evidence</w:t>
            </w:r>
          </w:p>
        </w:tc>
        <w:tc>
          <w:tcPr/>
          <w:p>
            <w:pPr>
              <w:pStyle w:val="Compact"/>
            </w:pPr>
            <w:r>
              <w:t xml:space="preserve">SOC/SRE</w:t>
            </w:r>
          </w:p>
        </w:tc>
      </w:tr>
      <w:tr>
        <w:tc>
          <w:tcPr/>
          <w:p>
            <w:pPr>
              <w:pStyle w:val="Compact"/>
            </w:pPr>
            <w:r>
              <w:t xml:space="preserve">Req 11</w:t>
            </w:r>
          </w:p>
        </w:tc>
        <w:tc>
          <w:tcPr/>
          <w:p>
            <w:pPr>
              <w:pStyle w:val="Compact"/>
            </w:pPr>
            <w:r>
              <w:t xml:space="preserve">ASV scan reports (4 quarters), pentest report, segmentation test</w:t>
            </w:r>
          </w:p>
        </w:tc>
        <w:tc>
          <w:tcPr/>
          <w:p>
            <w:pPr>
              <w:pStyle w:val="Compact"/>
            </w:pPr>
            <w:r>
              <w:t xml:space="preserve">ASV/pentest vendor</w:t>
            </w:r>
          </w:p>
        </w:tc>
      </w:tr>
      <w:tr>
        <w:tc>
          <w:tcPr/>
          <w:p>
            <w:pPr>
              <w:pStyle w:val="Compact"/>
            </w:pPr>
            <w:r>
              <w:t xml:space="preserve">Req 12</w:t>
            </w:r>
          </w:p>
        </w:tc>
        <w:tc>
          <w:tcPr/>
          <w:p>
            <w:pPr>
              <w:pStyle w:val="Compact"/>
            </w:pPr>
            <w:r>
              <w:t xml:space="preserve">ISMS/policy suite, incident response plan + test, risk assessment, security awareness records,</w:t>
            </w:r>
            <w:r>
              <w:t xml:space="preserve"> </w:t>
            </w:r>
            <w:r>
              <w:rPr>
                <w:b/>
                <w:bCs/>
              </w:rPr>
              <w:t xml:space="preserve">TPSP register + provider AoCs</w:t>
            </w:r>
          </w:p>
        </w:tc>
        <w:tc>
          <w:tcPr/>
          <w:p>
            <w:pPr>
              <w:pStyle w:val="Compact"/>
            </w:pPr>
            <w:r>
              <w:t xml:space="preserve">Compliance/CISO</w:t>
            </w:r>
          </w:p>
        </w:tc>
      </w:tr>
    </w:tbl>
    <w:p>
      <w:pPr>
        <w:pStyle w:val="BlockText"/>
      </w:pPr>
      <w:r>
        <w:rPr>
          <w:b/>
          <w:bCs/>
        </w:rPr>
        <w:t xml:space="preserve">Evidence handling principle:</w:t>
      </w:r>
      <w:r>
        <w:t xml:space="preserve"> </w:t>
      </w:r>
      <w:r>
        <w:t xml:space="preserve">store in an access-controlled</w:t>
      </w:r>
      <w:r>
        <w:t xml:space="preserve"> </w:t>
      </w:r>
      <w:r>
        <w:rPr>
          <w:b/>
          <w:bCs/>
        </w:rPr>
        <w:t xml:space="preserve">evidence repository</w:t>
      </w:r>
      <w:r>
        <w:t xml:space="preserve"> </w:t>
      </w:r>
      <w:r>
        <w:t xml:space="preserve">with version + timestamp + owner; evidence containing CHD must not leave the CDE — use redaction; consistent with</w:t>
      </w:r>
      <w:r>
        <w:t xml:space="preserve"> </w:t>
      </w:r>
      <w:r>
        <w:rPr>
          <w:rStyle w:val="VerbatimChar"/>
        </w:rPr>
        <w:t xml:space="preserve">11-data-retention-deletion.md</w:t>
      </w:r>
      <w:r>
        <w:t xml:space="preserve">.</w:t>
      </w:r>
    </w:p>
    <w:p>
      <w:r>
        <w:pict>
          <v:rect style="width:0;height:1.5pt" o:hralign="center" o:hrstd="t" o:hr="t"/>
        </w:pict>
      </w:r>
    </w:p>
    <w:bookmarkEnd w:id="664"/>
    <w:bookmarkStart w:id="668" w:name="Xaf9b776c15a323efeed62bc7b11e18c66013d41"/>
    <w:p>
      <w:pPr>
        <w:pStyle w:val="Heading2"/>
      </w:pPr>
      <w:r>
        <w:t xml:space="preserve">8. Governance, Thai regulatory linkage, and maintaining status</w:t>
      </w:r>
    </w:p>
    <w:bookmarkStart w:id="665" w:name="roles-and-responsibilities-summary-raci"/>
    <w:p>
      <w:pPr>
        <w:pStyle w:val="Heading3"/>
      </w:pPr>
      <w:r>
        <w:t xml:space="preserve">8.1 Roles and responsibilities (summary RACI)</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Role</w:t>
            </w:r>
          </w:p>
        </w:tc>
        <w:tc>
          <w:tcPr/>
          <w:p>
            <w:pPr>
              <w:pStyle w:val="Compact"/>
            </w:pPr>
            <w:r>
              <w:t xml:space="preserve">Primary responsibility</w:t>
            </w:r>
          </w:p>
        </w:tc>
      </w:tr>
      <w:tr>
        <w:tc>
          <w:tcPr/>
          <w:p>
            <w:pPr>
              <w:pStyle w:val="Compact"/>
            </w:pPr>
            <w:r>
              <w:rPr>
                <w:b/>
                <w:bCs/>
              </w:rPr>
              <w:t xml:space="preserve">CISO / PCI Program Lead</w:t>
            </w:r>
          </w:p>
        </w:tc>
        <w:tc>
          <w:tcPr/>
          <w:p>
            <w:pPr>
              <w:pStyle w:val="Compact"/>
            </w:pPr>
            <w:r>
              <w:t xml:space="preserve">Owns the PCI program, decides scope, co-signs the AoC</w:t>
            </w:r>
          </w:p>
        </w:tc>
      </w:tr>
      <w:tr>
        <w:tc>
          <w:tcPr/>
          <w:p>
            <w:pPr>
              <w:pStyle w:val="Compact"/>
            </w:pPr>
            <w:r>
              <w:rPr>
                <w:b/>
                <w:bCs/>
              </w:rPr>
              <w:t xml:space="preserve">DevSecOps / SRE</w:t>
            </w:r>
          </w:p>
        </w:tc>
        <w:tc>
          <w:tcPr/>
          <w:p>
            <w:pPr>
              <w:pStyle w:val="Compact"/>
            </w:pPr>
            <w:r>
              <w:t xml:space="preserve">Segmentation, firewall, hardening, TLS, logging, scanning</w:t>
            </w:r>
          </w:p>
        </w:tc>
      </w:tr>
      <w:tr>
        <w:tc>
          <w:tcPr/>
          <w:p>
            <w:pPr>
              <w:pStyle w:val="Compact"/>
            </w:pPr>
            <w:r>
              <w:rPr>
                <w:b/>
                <w:bCs/>
              </w:rPr>
              <w:t xml:space="preserve">Engineering Lead</w:t>
            </w:r>
          </w:p>
        </w:tc>
        <w:tc>
          <w:tcPr/>
          <w:p>
            <w:pPr>
              <w:pStyle w:val="Compact"/>
            </w:pPr>
            <w:r>
              <w:t xml:space="preserve">Secure SDLC, app-level remediation, change control</w:t>
            </w:r>
          </w:p>
        </w:tc>
      </w:tr>
      <w:tr>
        <w:tc>
          <w:tcPr/>
          <w:p>
            <w:pPr>
              <w:pStyle w:val="Compact"/>
            </w:pPr>
            <w:r>
              <w:rPr>
                <w:b/>
                <w:bCs/>
              </w:rPr>
              <w:t xml:space="preserve">Compliance / Legal</w:t>
            </w:r>
          </w:p>
        </w:tc>
        <w:tc>
          <w:tcPr/>
          <w:p>
            <w:pPr>
              <w:pStyle w:val="Compact"/>
            </w:pPr>
            <w:r>
              <w:t xml:space="preserve">Links to the BOT license, PDPA, AML; manages QSA/TPSP contracts</w:t>
            </w:r>
          </w:p>
        </w:tc>
      </w:tr>
      <w:tr>
        <w:tc>
          <w:tcPr/>
          <w:p>
            <w:pPr>
              <w:pStyle w:val="Compact"/>
            </w:pPr>
            <w:r>
              <w:rPr>
                <w:b/>
                <w:bCs/>
              </w:rPr>
              <w:t xml:space="preserve">QSA (external)</w:t>
            </w:r>
          </w:p>
        </w:tc>
        <w:tc>
          <w:tcPr/>
          <w:p>
            <w:pPr>
              <w:pStyle w:val="Compact"/>
            </w:pPr>
            <w:r>
              <w:t xml:space="preserve">Assesses and issues RoC/AoC</w:t>
            </w:r>
          </w:p>
        </w:tc>
      </w:tr>
      <w:tr>
        <w:tc>
          <w:tcPr/>
          <w:p>
            <w:pPr>
              <w:pStyle w:val="Compact"/>
            </w:pPr>
            <w:r>
              <w:rPr>
                <w:b/>
                <w:bCs/>
              </w:rPr>
              <w:t xml:space="preserve">ASV / Pentest (external)</w:t>
            </w:r>
          </w:p>
        </w:tc>
        <w:tc>
          <w:tcPr/>
          <w:p>
            <w:pPr>
              <w:pStyle w:val="Compact"/>
            </w:pPr>
            <w:r>
              <w:t xml:space="preserve">Quarterly scans / annual pentest</w:t>
            </w:r>
          </w:p>
        </w:tc>
      </w:tr>
    </w:tbl>
    <w:bookmarkEnd w:id="665"/>
    <w:bookmarkStart w:id="666" w:name="linkage-to-thai-regulators"/>
    <w:p>
      <w:pPr>
        <w:pStyle w:val="Heading3"/>
      </w:pPr>
      <w:r>
        <w:t xml:space="preserve">8.2 Linkage to Thai regulators</w:t>
      </w:r>
    </w:p>
    <w:p>
      <w:pPr>
        <w:pStyle w:val="Compact"/>
        <w:numPr>
          <w:ilvl w:val="0"/>
          <w:numId w:val="1275"/>
        </w:numPr>
      </w:pPr>
      <w:r>
        <w:rPr>
          <w:b/>
          <w:bCs/>
        </w:rPr>
        <w:t xml:space="preserve">BOT (ธปท.)</w:t>
      </w:r>
      <w:r>
        <w:t xml:space="preserve"> </w:t>
      </w:r>
      <w:r>
        <w:t xml:space="preserve">— PCI L1 (RoC/AoC) is evidence supporting the acquiring license and the IT-risk/cyber-resilience/outsourcing requirements; must be ready for on-site inspection.</w:t>
      </w:r>
    </w:p>
    <w:p>
      <w:pPr>
        <w:pStyle w:val="Compact"/>
        <w:numPr>
          <w:ilvl w:val="0"/>
          <w:numId w:val="1275"/>
        </w:numPr>
      </w:pPr>
      <w:r>
        <w:rPr>
          <w:b/>
          <w:bCs/>
        </w:rPr>
        <w:t xml:space="preserve">PDPC (PDPA)</w:t>
      </w:r>
      <w:r>
        <w:t xml:space="preserve"> </w:t>
      </w:r>
      <w:r>
        <w:t xml:space="preserve">— CHD handling aligns with</w:t>
      </w:r>
      <w:r>
        <w:t xml:space="preserve"> </w:t>
      </w:r>
      <w:r>
        <w:rPr>
          <w:rStyle w:val="VerbatimChar"/>
        </w:rPr>
        <w:t xml:space="preserve">09-pdpa-privacy-policy.md</w:t>
      </w:r>
      <w:r>
        <w:t xml:space="preserve">; PCI segmentation/encryption are the technical measures under Section 37.</w:t>
      </w:r>
    </w:p>
    <w:p>
      <w:pPr>
        <w:pStyle w:val="Compact"/>
        <w:numPr>
          <w:ilvl w:val="0"/>
          <w:numId w:val="1275"/>
        </w:numPr>
      </w:pPr>
      <w:r>
        <w:rPr>
          <w:b/>
          <w:bCs/>
        </w:rPr>
        <w:t xml:space="preserve">AMLO (ปปง.)</w:t>
      </w:r>
      <w:r>
        <w:t xml:space="preserve"> </w:t>
      </w:r>
      <w:r>
        <w:t xml:space="preserve">— the audit logs and transaction records required by PCI Req 10 support AML/CDD evidence and record retention.</w:t>
      </w:r>
    </w:p>
    <w:bookmarkEnd w:id="666"/>
    <w:bookmarkStart w:id="667" w:name="Xa98b27cdb985ca5d5ec64dc4c8e7ecda362219e"/>
    <w:p>
      <w:pPr>
        <w:pStyle w:val="Heading3"/>
      </w:pPr>
      <w:r>
        <w:t xml:space="preserve">8.3 Business-as-usual (maintaining status in-year)</w:t>
      </w:r>
    </w:p>
    <w:p>
      <w:pPr>
        <w:pStyle w:val="Compact"/>
        <w:numPr>
          <w:ilvl w:val="0"/>
          <w:numId w:val="1276"/>
        </w:numPr>
      </w:pPr>
      <w:r>
        <w:rPr>
          <w:b/>
          <w:bCs/>
        </w:rPr>
        <w:t xml:space="preserve">Quarterly:</w:t>
      </w:r>
      <w:r>
        <w:t xml:space="preserve"> </w:t>
      </w:r>
      <w:r>
        <w:t xml:space="preserve">ASV scan (pass), access review, internal vuln scan.</w:t>
      </w:r>
    </w:p>
    <w:p>
      <w:pPr>
        <w:pStyle w:val="Compact"/>
        <w:numPr>
          <w:ilvl w:val="0"/>
          <w:numId w:val="1276"/>
        </w:numPr>
      </w:pPr>
      <w:r>
        <w:rPr>
          <w:b/>
          <w:bCs/>
        </w:rPr>
        <w:t xml:space="preserve">Annually:</w:t>
      </w:r>
      <w:r>
        <w:t xml:space="preserve"> </w:t>
      </w:r>
      <w:r>
        <w:t xml:space="preserve">RoC/AoC renewal, penetration test, segmentation test, risk assessment, incident response test, security awareness.</w:t>
      </w:r>
    </w:p>
    <w:p>
      <w:pPr>
        <w:pStyle w:val="Compact"/>
        <w:numPr>
          <w:ilvl w:val="0"/>
          <w:numId w:val="1276"/>
        </w:numPr>
      </w:pPr>
      <w:r>
        <w:rPr>
          <w:b/>
          <w:bCs/>
        </w:rPr>
        <w:t xml:space="preserve">On significant change:</w:t>
      </w:r>
      <w:r>
        <w:t xml:space="preserve"> </w:t>
      </w:r>
      <w:r>
        <w:t xml:space="preserve">re-scope, re-scan, assess CDE impact before deploy.</w:t>
      </w:r>
    </w:p>
    <w:p>
      <w:pPr>
        <w:pStyle w:val="Compact"/>
        <w:numPr>
          <w:ilvl w:val="0"/>
          <w:numId w:val="1276"/>
        </w:numPr>
      </w:pPr>
      <w:r>
        <w:rPr>
          <w:b/>
          <w:bCs/>
        </w:rPr>
        <w:t xml:space="preserve">TPSP management:</w:t>
      </w:r>
      <w:r>
        <w:t xml:space="preserve"> </w:t>
      </w:r>
      <w:r>
        <w:t xml:space="preserve">retain external providers’ AoCs (cloud, 3DS, HSM/KMS) and review annually (Req 12.8).</w:t>
      </w:r>
    </w:p>
    <w:p>
      <w:r>
        <w:pict>
          <v:rect style="width:0;height:1.5pt" o:hralign="center" o:hrstd="t" o:hr="t"/>
        </w:pict>
      </w:r>
    </w:p>
    <w:p>
      <w:pPr>
        <w:pStyle w:val="BlockText"/>
      </w:pPr>
      <w:r>
        <w:rPr>
          <w:b/>
          <w:bCs/>
        </w:rPr>
        <w:t xml:space="preserve">Standards referenced:</w:t>
      </w:r>
      <w:r>
        <w:t xml:space="preserve"> </w:t>
      </w:r>
      <w:r>
        <w:t xml:space="preserve">PCI-DSS v4.0 (PCI SSC), EMV 3-D Secure (EMV 3DS) 2.x, ISO 8583, FIPS 140-2/140-3.</w:t>
      </w:r>
      <w:r>
        <w:t xml:space="preserve"> </w:t>
      </w:r>
      <w:r>
        <w:rPr>
          <w:b/>
          <w:bCs/>
        </w:rPr>
        <w:t xml:space="preserve">Thai regulations referenced:</w:t>
      </w:r>
      <w:r>
        <w:t xml:space="preserve"> </w:t>
      </w:r>
      <w:r>
        <w:t xml:space="preserve">พ.ร.บ. ระบบการชำระเงิน พ.ศ. 2560 (BOT/ธปท.), PDPA พ.ศ. 2562 (PDPC), พ.ร.บ. ปปง./AMLO.</w:t>
      </w:r>
      <w:r>
        <w:t xml:space="preserve"> </w:t>
      </w:r>
      <w:r>
        <w:t xml:space="preserve">This roadmap must be reviewed by legal counsel and the engaged QSA before submission.</w:t>
      </w:r>
    </w:p>
    <w:p>
      <w:r>
        <w:br w:type="page"/>
      </w:r>
    </w:p>
    <w:bookmarkEnd w:id="667"/>
    <w:bookmarkEnd w:id="668"/>
    <w:bookmarkEnd w:id="669"/>
    <w:bookmarkStart w:id="685" w:name="แผนภาพการแบงเครอขายและขอบเขต-cde-ไทย"/>
    <w:p>
      <w:pPr>
        <w:pStyle w:val="Heading1"/>
      </w:pPr>
      <w:r>
        <w:t xml:space="preserve">แผนภาพการแบ่งเครือข่ายและขอบเขต CDE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 พ.ร.บ. ระบบการชำระเงิน พ.ศ. 2560 ต่อธนาคารแห่งประเทศไทย (ธปท.) และเป็นเอกสารประกอบการประเมิน PCI-DSS v4.0 Level 1 (Requirement 1)</w:t>
      </w:r>
    </w:p>
    <w:p>
      <w:pPr>
        <w:pStyle w:val="BlockText"/>
      </w:pPr>
      <w:r>
        <w:t xml:space="preserve">เอกสารเลขที่:</w:t>
      </w:r>
      <w:r>
        <w:t xml:space="preserve"> </w:t>
      </w:r>
      <w:r>
        <w:rPr>
          <w:rStyle w:val="VerbatimChar"/>
        </w:rPr>
        <w:t xml:space="preserve">COMP-20</w:t>
      </w:r>
      <w:r>
        <w:t xml:space="preserve"> </w:t>
      </w:r>
      <w:r>
        <w:t xml:space="preserve">· เวอร์ชัน 1.0 · เจ้าของเอกสาร: Chief Information Security Officer (CISO) / DevSecOps</w:t>
      </w:r>
      <w:r>
        <w:t xml:space="preserve"> </w:t>
      </w:r>
      <w:r>
        <w:t xml:space="preserve">เอกสารอ้างอิง: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docs/compliance/09-pdpa-privacy-policy.md</w:t>
      </w:r>
    </w:p>
    <w:p>
      <w:pPr>
        <w:pStyle w:val="BlockText"/>
      </w:pPr>
      <w:r>
        <w:rPr>
          <w:b/>
          <w:bCs/>
        </w:rPr>
        <w:t xml:space="preserve">หมายเหตุ:</w:t>
      </w:r>
      <w:r>
        <w:t xml:space="preserve"> </w:t>
      </w:r>
      <w:r>
        <w:t xml:space="preserve">เอกสารนี้เป็นเอกสารเชิงเทคนิค/นโยบายภายใน ไม่ใช่คำแนะนำทางกฎหมาย ต้องผ่านการทบทวนโดยที่ปรึกษากฎหมายและ QSA ก่อนยื่นจริง</w:t>
      </w:r>
    </w:p>
    <w:p>
      <w:r>
        <w:pict>
          <v:rect style="width:0;height:1.5pt" o:hralign="center" o:hrstd="t" o:hr="t"/>
        </w:pict>
      </w:r>
    </w:p>
    <w:p>
      <w:pPr>
        <w:pStyle w:val="Heading3"/>
      </w:pPr>
      <w:bookmarkStart w:id="670" w:name="ขอสมมตและสงทยงตองยนยน-assumptions-todo-2"/>
      <w:r>
        <w:t xml:space="preserve">⚠️ ข้อสมมติและสิ่งที่ยังต้องยืนยัน (Assumptions / TODO)</w:t>
      </w:r>
      <w:bookmarkEnd w:id="670"/>
    </w:p>
    <w:p>
      <w:pPr>
        <w:pStyle w:val="BlockText"/>
      </w:pPr>
      <w:r>
        <w:t xml:space="preserve">รายการต่อไปนี้ยังขึ้นกับคู่สัญญา/ผู้ให้บริการภายนอกที่ยังไม่สรุป — ห้ามถือเป็นข้อเท็จจริงจนกว่าจะยืนยัน:</w:t>
      </w:r>
      <w:r>
        <w:t xml:space="preserve"> </w:t>
      </w:r>
      <w:r>
        <w:t xml:space="preserve">-</w:t>
      </w:r>
      <w:r>
        <w:t xml:space="preserve"> </w:t>
      </w:r>
      <w:r>
        <w:rPr>
          <w:b/>
          <w:bCs/>
        </w:rPr>
        <w:t xml:space="preserve">[TODO — Sponsor Bank / Acquirer]</w:t>
      </w:r>
      <w:r>
        <w:t xml:space="preserve"> </w:t>
      </w:r>
      <w:r>
        <w:t xml:space="preserve">ยังไม่ลงนามธนาคารผู้รับเชื่อม (sponsoring bank) และ card scheme (Visa/Mastercard) — วิธีเชื่อมต่อ (leased line / MPLS / IPsec VPN ไป acquirer switch), ช่วง IP และพอร์ต ISO 8583 จะกำหนดได้หลังลงนาม</w:t>
      </w:r>
      <w:r>
        <w:t xml:space="preserve"> </w:t>
      </w:r>
      <w:r>
        <w:t xml:space="preserve">-</w:t>
      </w:r>
      <w:r>
        <w:t xml:space="preserve"> </w:t>
      </w:r>
      <w:r>
        <w:rPr>
          <w:b/>
          <w:bCs/>
        </w:rPr>
        <w:t xml:space="preserve">[TODO — QSA / ASV]</w:t>
      </w:r>
      <w:r>
        <w:t xml:space="preserve"> </w:t>
      </w:r>
      <w:r>
        <w:t xml:space="preserve">ยังไม่เลือกผู้ประเมิน PCI-DSS (Qualified Security Assessor) และผู้ให้บริการ ASV — ขอบเขต CDE, การนิยาม segmentation และผลการทดสอบ penetration test เพื่อยืนยันการแยกส่วน (PCI Req 11.4.5) ต้องผ่านการรับรองโดย QSA</w:t>
      </w:r>
      <w:r>
        <w:t xml:space="preserve"> </w:t>
      </w:r>
      <w:r>
        <w:t xml:space="preserve">-</w:t>
      </w:r>
      <w:r>
        <w:t xml:space="preserve"> </w:t>
      </w:r>
      <w:r>
        <w:rPr>
          <w:b/>
          <w:bCs/>
        </w:rPr>
        <w:t xml:space="preserve">[TODO — Cloud / Data Residency]</w:t>
      </w:r>
      <w:r>
        <w:t xml:space="preserve"> </w:t>
      </w:r>
      <w:r>
        <w:t xml:space="preserve">ผู้ให้บริการ cloud และ region ยังไม่สรุป — ต้องเก็บข้อมูลในไทยตามข้อกำหนด ธปท./PDPA (ARCHITECTURE §8); หากใช้ cloud ต้องมีข้อตกลงและหลักฐาน region ในประเทศไทย</w:t>
      </w:r>
      <w:r>
        <w:t xml:space="preserve"> </w:t>
      </w:r>
      <w:r>
        <w:t xml:space="preserve">-</w:t>
      </w:r>
      <w:r>
        <w:t xml:space="preserve"> </w:t>
      </w:r>
      <w:r>
        <w:rPr>
          <w:b/>
          <w:bCs/>
        </w:rPr>
        <w:t xml:space="preserve">[TODO — HSM/KMS Vendor]</w:t>
      </w:r>
      <w:r>
        <w:t xml:space="preserve"> </w:t>
      </w:r>
      <w:r>
        <w:t xml:space="preserve">ยังไม่เลือกผู้ให้บริการ HSM/KMS (เช่น on-prem HSM ที่ผ่าน FIPS 140-2/140-3 Level 3, หรือ cloud HSM) — ตำแหน่งใน network zone และกลไก dual control ต้องยืนยัน</w:t>
      </w:r>
      <w:r>
        <w:t xml:space="preserve"> </w:t>
      </w:r>
      <w:r>
        <w:t xml:space="preserve">-</w:t>
      </w:r>
      <w:r>
        <w:t xml:space="preserve"> </w:t>
      </w:r>
      <w:r>
        <w:rPr>
          <w:b/>
          <w:bCs/>
        </w:rPr>
        <w:t xml:space="preserve">[TODO — ทุนจดทะเบียน]</w:t>
      </w:r>
      <w:r>
        <w:t xml:space="preserve"> </w:t>
      </w:r>
      <w:r>
        <w:t xml:space="preserve">ทุนจดทะเบียนชำระแล้วเป้าหมาย</w:t>
      </w:r>
      <w:r>
        <w:t xml:space="preserve"> </w:t>
      </w:r>
      <w:r>
        <w:rPr>
          <w:b/>
          <w:bCs/>
        </w:rPr>
        <w:t xml:space="preserve">50 ล้านบาท</w:t>
      </w:r>
      <w:r>
        <w:t xml:space="preserve"> </w:t>
      </w:r>
      <w:r>
        <w:t xml:space="preserve">(Full Acquiring) — ต้องยืนยันจำนวนที่ชำระจริงและรักษาไว้ ≥ 75% ตลอดการดำเนินงาน</w:t>
      </w:r>
      <w:r>
        <w:t xml:space="preserve"> </w:t>
      </w:r>
      <w:r>
        <w:t xml:space="preserve">-</w:t>
      </w:r>
      <w:r>
        <w:t xml:space="preserve"> </w:t>
      </w:r>
      <w:r>
        <w:rPr>
          <w:b/>
          <w:bCs/>
        </w:rPr>
        <w:t xml:space="preserve">[TODO — ชื่อบริษัท / IP ranges จริง]</w:t>
      </w:r>
      <w:r>
        <w:t xml:space="preserve"> </w:t>
      </w:r>
      <w:r>
        <w:t xml:space="preserve">ชื่อ</w:t>
      </w:r>
      <w:r>
        <w:t xml:space="preserve"> </w:t>
      </w:r>
      <w:r>
        <w:rPr>
          <w:rStyle w:val="VerbatimChar"/>
        </w:rPr>
        <w:t xml:space="preserve">[บริษัท / Company]</w:t>
      </w:r>
      <w:r>
        <w:t xml:space="preserve">, ช่วง IP/VLAN/subnet ที่ใช้จริง, ชื่อ VPC/subscription ต้องเติมค่าจริงก่อนยื่นและก่อนการประเมิน on-site</w:t>
      </w:r>
    </w:p>
    <w:p>
      <w:r>
        <w:pict>
          <v:rect style="width:0;height:1.5pt" o:hralign="center" o:hrstd="t" o:hr="t"/>
        </w:pict>
      </w:r>
    </w:p>
    <w:bookmarkStart w:id="672" w:name="วตถประสงคและขอบเขต-6"/>
    <w:p>
      <w:pPr>
        <w:pStyle w:val="Heading2"/>
      </w:pPr>
      <w:r>
        <w:t xml:space="preserve">1. วัตถุประสงค์และขอบเขต</w:t>
      </w:r>
    </w:p>
    <w:p>
      <w:pPr>
        <w:pStyle w:val="FirstParagraph"/>
      </w:pPr>
      <w:r>
        <w:t xml:space="preserve">เอกสารนี้กำหนด (ก) แผนภาพการแบ่งเครือข่าย (network segmentation diagram), (ข) แผนที่ขอบเขตสภาพแวดล้อมข้อมูลผู้ถือบัตร (Cardholder Data Environment – CDE scope map), และ (ค) มาตรการแยกส่วน (isolation controls) ของ</w:t>
      </w:r>
      <w:r>
        <w:t xml:space="preserve"> </w:t>
      </w:r>
      <w:r>
        <w:rPr>
          <w:rStyle w:val="VerbatimChar"/>
        </w:rPr>
        <w:t xml:space="preserve">[บริษัท / Company]</w:t>
      </w:r>
      <w:r>
        <w:t xml:space="preserve"> </w:t>
      </w:r>
      <w:r>
        <w:t xml:space="preserve">เพื่อจำกัดขอบเขต PCI-DSS ให้เล็กที่สุด สอดคล้องกับ</w:t>
      </w:r>
      <w:r>
        <w:t xml:space="preserve"> </w:t>
      </w:r>
      <w:r>
        <w:rPr>
          <w:b/>
          <w:bCs/>
        </w:rPr>
        <w:t xml:space="preserve">PCI-DSS v4.0 Requirement 1</w:t>
      </w:r>
      <w:r>
        <w:t xml:space="preserve"> </w:t>
      </w:r>
      <w:r>
        <w:t xml:space="preserve">(Install and Maintain Network Security Controls) และหลักการ</w:t>
      </w:r>
      <w:r>
        <w:t xml:space="preserve"> </w:t>
      </w:r>
      <w:r>
        <w:rPr>
          <w:b/>
          <w:bCs/>
        </w:rPr>
        <w:t xml:space="preserve">Scope minimization</w:t>
      </w:r>
      <w:r>
        <w:t xml:space="preserve"> </w:t>
      </w:r>
      <w:r>
        <w:t xml:space="preserve">ใน</w:t>
      </w:r>
      <w:r>
        <w:t xml:space="preserve"> </w:t>
      </w:r>
      <w:r>
        <w:rPr>
          <w:rStyle w:val="VerbatimChar"/>
        </w:rPr>
        <w:t xml:space="preserve">ARCHITECTURE.md</w:t>
      </w:r>
      <w:r>
        <w:t xml:space="preserve"> </w:t>
      </w:r>
      <w:r>
        <w:t xml:space="preserve">§2, §7</w:t>
      </w:r>
    </w:p>
    <w:p>
      <w:pPr>
        <w:pStyle w:val="BodyText"/>
      </w:pPr>
      <w:r>
        <w:rPr>
          <w:b/>
          <w:bCs/>
        </w:rPr>
        <w:t xml:space="preserve">หลักการนำ:</w:t>
      </w:r>
      <w:r>
        <w:t xml:space="preserve"> </w:t>
      </w:r>
      <w:r>
        <w:t xml:space="preserve">cardholder data ต้องออกจาก scope ให้มากที่สุด ระบบหลักเห็นเพียง</w:t>
      </w:r>
      <w:r>
        <w:t xml:space="preserve"> </w:t>
      </w:r>
      <w:r>
        <w:rPr>
          <w:rStyle w:val="VerbatimChar"/>
        </w:rPr>
        <w:t xml:space="preserve">token</w:t>
      </w:r>
      <w:r>
        <w:t xml:space="preserve"> </w:t>
      </w:r>
      <w:r>
        <w:t xml:space="preserve">+</w:t>
      </w:r>
      <w:r>
        <w:t xml:space="preserve"> </w:t>
      </w:r>
      <w:r>
        <w:rPr>
          <w:rStyle w:val="VerbatimChar"/>
        </w:rPr>
        <w:t xml:space="preserve">card_last4</w:t>
      </w:r>
      <w:r>
        <w:t xml:space="preserve"> </w:t>
      </w:r>
      <w:r>
        <w:t xml:space="preserve">+</w:t>
      </w:r>
      <w:r>
        <w:t xml:space="preserve"> </w:t>
      </w:r>
      <w:r>
        <w:rPr>
          <w:rStyle w:val="VerbatimChar"/>
        </w:rPr>
        <w:t xml:space="preserve">card_brand</w:t>
      </w:r>
      <w:r>
        <w:t xml:space="preserve"> </w:t>
      </w:r>
      <w:r>
        <w:t xml:space="preserve">(ARCHITECTURE §2, §6) — CDE ที่แท้จริงถูกจำกัดไว้เฉพาะ</w:t>
      </w:r>
      <w:r>
        <w:t xml:space="preserve"> </w:t>
      </w:r>
      <w:r>
        <w:rPr>
          <w:b/>
          <w:bCs/>
        </w:rPr>
        <w:t xml:space="preserve">Tokenization Vault segment</w:t>
      </w:r>
      <w:r>
        <w:t xml:space="preserve"> </w:t>
      </w:r>
      <w:r>
        <w:t xml:space="preserve">เท่านั้น</w:t>
      </w:r>
    </w:p>
    <w:bookmarkStart w:id="671" w:name="นยามสำคญ"/>
    <w:p>
      <w:pPr>
        <w:pStyle w:val="Heading3"/>
      </w:pPr>
      <w:r>
        <w:t xml:space="preserve">นิยามสำคัญ</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คำ</w:t>
            </w:r>
          </w:p>
        </w:tc>
        <w:tc>
          <w:tcPr/>
          <w:p>
            <w:pPr>
              <w:pStyle w:val="Compact"/>
            </w:pPr>
            <w:r>
              <w:t xml:space="preserve">นิยาม</w:t>
            </w:r>
          </w:p>
        </w:tc>
      </w:tr>
      <w:tr>
        <w:tc>
          <w:tcPr/>
          <w:p>
            <w:pPr>
              <w:pStyle w:val="Compact"/>
            </w:pPr>
            <w:r>
              <w:rPr>
                <w:b/>
                <w:bCs/>
              </w:rPr>
              <w:t xml:space="preserve">CDE</w:t>
            </w:r>
            <w:r>
              <w:t xml:space="preserve"> </w:t>
            </w:r>
            <w:r>
              <w:t xml:space="preserve">(Cardholder Data Environment)</w:t>
            </w:r>
          </w:p>
        </w:tc>
        <w:tc>
          <w:tcPr/>
          <w:p>
            <w:pPr>
              <w:pStyle w:val="Compact"/>
            </w:pPr>
            <w:r>
              <w:t xml:space="preserve">ส่วนของเครือข่าย/ระบบที่</w:t>
            </w:r>
            <w:r>
              <w:t xml:space="preserve"> </w:t>
            </w:r>
            <w:r>
              <w:rPr>
                <w:b/>
                <w:bCs/>
              </w:rPr>
              <w:t xml:space="preserve">จัดเก็บ ประมวลผล หรือส่งผ่าน</w:t>
            </w:r>
            <w:r>
              <w:t xml:space="preserve"> </w:t>
            </w:r>
            <w:r>
              <w:t xml:space="preserve">CHD (PAN) หรือ SAD (Sensitive Authentication Data)</w:t>
            </w:r>
          </w:p>
        </w:tc>
      </w:tr>
      <w:tr>
        <w:tc>
          <w:tcPr/>
          <w:p>
            <w:pPr>
              <w:pStyle w:val="Compact"/>
            </w:pPr>
            <w:r>
              <w:rPr>
                <w:b/>
                <w:bCs/>
              </w:rPr>
              <w:t xml:space="preserve">CHD</w:t>
            </w:r>
            <w:r>
              <w:t xml:space="preserve"> </w:t>
            </w:r>
            <w:r>
              <w:t xml:space="preserve">(Cardholder Data)</w:t>
            </w:r>
          </w:p>
        </w:tc>
        <w:tc>
          <w:tcPr/>
          <w:p>
            <w:pPr>
              <w:pStyle w:val="Compact"/>
            </w:pPr>
            <w:r>
              <w:t xml:space="preserve">PAN, ชื่อผู้ถือบัตร, วันหมดอายุ, service code</w:t>
            </w:r>
          </w:p>
        </w:tc>
      </w:tr>
      <w:tr>
        <w:tc>
          <w:tcPr/>
          <w:p>
            <w:pPr>
              <w:pStyle w:val="Compact"/>
            </w:pPr>
            <w:r>
              <w:rPr>
                <w:b/>
                <w:bCs/>
              </w:rPr>
              <w:t xml:space="preserve">SAD</w:t>
            </w:r>
            <w:r>
              <w:t xml:space="preserve"> </w:t>
            </w:r>
            <w:r>
              <w:t xml:space="preserve">(Sensitive Authentication Data)</w:t>
            </w:r>
          </w:p>
        </w:tc>
        <w:tc>
          <w:tcPr/>
          <w:p>
            <w:pPr>
              <w:pStyle w:val="Compact"/>
            </w:pPr>
            <w:r>
              <w:t xml:space="preserve">full track, CAV2/CVC2/CVV2/CID, PIN/PIN block —</w:t>
            </w:r>
            <w:r>
              <w:t xml:space="preserve"> </w:t>
            </w:r>
            <w:r>
              <w:rPr>
                <w:b/>
                <w:bCs/>
              </w:rPr>
              <w:t xml:space="preserve">ห้ามจัดเก็บหลัง authorization</w:t>
            </w:r>
            <w:r>
              <w:t xml:space="preserve"> </w:t>
            </w:r>
            <w:r>
              <w:t xml:space="preserve">(PCI Req 3.3)</w:t>
            </w:r>
          </w:p>
        </w:tc>
      </w:tr>
      <w:tr>
        <w:tc>
          <w:tcPr/>
          <w:p>
            <w:pPr>
              <w:pStyle w:val="Compact"/>
            </w:pPr>
            <w:r>
              <w:rPr>
                <w:b/>
                <w:bCs/>
              </w:rPr>
              <w:t xml:space="preserve">Connected-to / Security-impacting system</w:t>
            </w:r>
          </w:p>
        </w:tc>
        <w:tc>
          <w:tcPr/>
          <w:p>
            <w:pPr>
              <w:pStyle w:val="Compact"/>
            </w:pPr>
            <w:r>
              <w:t xml:space="preserve">ระบบที่ไม่เก็บ CHD แต่เชื่อมต่อหรือมีผลต่อความปลอดภัยของ CDE (อยู่ใน scope แต่คนละระดับ)</w:t>
            </w:r>
          </w:p>
        </w:tc>
      </w:tr>
      <w:tr>
        <w:tc>
          <w:tcPr/>
          <w:p>
            <w:pPr>
              <w:pStyle w:val="Compact"/>
            </w:pPr>
            <w:r>
              <w:rPr>
                <w:b/>
                <w:bCs/>
              </w:rPr>
              <w:t xml:space="preserve">Out-of-scope</w:t>
            </w:r>
          </w:p>
        </w:tc>
        <w:tc>
          <w:tcPr/>
          <w:p>
            <w:pPr>
              <w:pStyle w:val="Compact"/>
            </w:pPr>
            <w:r>
              <w:t xml:space="preserve">ระบบที่แยกส่วนจริง (proven segmentation) และไม่มีเส้นทางเข้าถึง CDE</w:t>
            </w:r>
          </w:p>
        </w:tc>
      </w:tr>
    </w:tbl>
    <w:p>
      <w:r>
        <w:pict>
          <v:rect style="width:0;height:1.5pt" o:hralign="center" o:hrstd="t" o:hr="t"/>
        </w:pict>
      </w:r>
    </w:p>
    <w:bookmarkEnd w:id="671"/>
    <w:bookmarkEnd w:id="672"/>
    <w:bookmarkStart w:id="673" w:name="โมเดลโซนเครอขาย-network-zoning-model"/>
    <w:p>
      <w:pPr>
        <w:pStyle w:val="Heading2"/>
      </w:pPr>
      <w:r>
        <w:t xml:space="preserve">2. โมเดลโซนเครือข่าย (Network Zoning Model)</w:t>
      </w:r>
    </w:p>
    <w:p>
      <w:pPr>
        <w:pStyle w:val="FirstParagraph"/>
      </w:pPr>
      <w:r>
        <w:rPr>
          <w:rStyle w:val="VerbatimChar"/>
        </w:rPr>
        <w:t xml:space="preserve">[บริษัท / Company]</w:t>
      </w:r>
      <w:r>
        <w:t xml:space="preserve"> </w:t>
      </w:r>
      <w:r>
        <w:t xml:space="preserve">ใช้สถาปัตยกรรม defense-in-depth แบ่งเป็น 6 โซนตรรกะ แต่ละโซนเป็น subnet/VLAN แยก มี security group / NACL ควบคุมทั้ง north-south และ east-west traffic (default-deny)</w:t>
      </w:r>
    </w:p>
    <w:tbl>
      <w:tblPr>
        <w:tblStyle w:val="Table"/>
        <w:tblW w:type="pct" w:w="5000"/>
        <w:tblLayout w:type="fixed"/>
        <w:tblLook w:firstRow="1" w:lastRow="0" w:firstColumn="0" w:lastColumn="0" w:noHBand="0" w:noVBand="0" w:val="0020"/>
      </w:tblPr>
      <w:tblGrid>
        <w:gridCol w:w="1284"/>
        <w:gridCol w:w="1284"/>
        <w:gridCol w:w="2354"/>
        <w:gridCol w:w="2996"/>
      </w:tblGrid>
      <w:tr>
        <w:trPr>
          <w:tblHeader w:val="on"/>
        </w:trPr>
        <w:tc>
          <w:tcPr/>
          <w:p>
            <w:pPr>
              <w:pStyle w:val="Compact"/>
            </w:pPr>
            <w:r>
              <w:t xml:space="preserve">Zone</w:t>
            </w:r>
          </w:p>
        </w:tc>
        <w:tc>
          <w:tcPr/>
          <w:p>
            <w:pPr>
              <w:pStyle w:val="Compact"/>
            </w:pPr>
            <w:r>
              <w:t xml:space="preserve">ชื่อ</w:t>
            </w:r>
          </w:p>
        </w:tc>
        <w:tc>
          <w:tcPr/>
          <w:p>
            <w:pPr>
              <w:pStyle w:val="Compact"/>
            </w:pPr>
            <w:r>
              <w:t xml:space="preserve">PCI Scope</w:t>
            </w:r>
          </w:p>
        </w:tc>
        <w:tc>
          <w:tcPr/>
          <w:p>
            <w:pPr>
              <w:pStyle w:val="Compact"/>
            </w:pPr>
            <w:r>
              <w:t xml:space="preserve">ตัวอย่างระบบ</w:t>
            </w:r>
          </w:p>
        </w:tc>
      </w:tr>
      <w:tr>
        <w:tc>
          <w:tcPr/>
          <w:p>
            <w:pPr>
              <w:pStyle w:val="Compact"/>
            </w:pPr>
            <w:r>
              <w:t xml:space="preserve">Z0</w:t>
            </w:r>
          </w:p>
        </w:tc>
        <w:tc>
          <w:tcPr/>
          <w:p>
            <w:pPr>
              <w:pStyle w:val="Compact"/>
            </w:pPr>
            <w:r>
              <w:t xml:space="preserve">Untrusted / Internet</w:t>
            </w:r>
          </w:p>
        </w:tc>
        <w:tc>
          <w:tcPr/>
          <w:p>
            <w:pPr>
              <w:pStyle w:val="Compact"/>
            </w:pPr>
            <w:r>
              <w:t xml:space="preserve">นอก scope</w:t>
            </w:r>
          </w:p>
        </w:tc>
        <w:tc>
          <w:tcPr/>
          <w:p>
            <w:pPr>
              <w:pStyle w:val="Compact"/>
            </w:pPr>
            <w:r>
              <w:t xml:space="preserve">ผู้ถือบัตร, merchant client, ธนาคาร (ผ่าน public edge)</w:t>
            </w:r>
          </w:p>
        </w:tc>
      </w:tr>
      <w:tr>
        <w:tc>
          <w:tcPr/>
          <w:p>
            <w:pPr>
              <w:pStyle w:val="Compact"/>
            </w:pPr>
            <w:r>
              <w:t xml:space="preserve">Z1</w:t>
            </w:r>
          </w:p>
        </w:tc>
        <w:tc>
          <w:tcPr/>
          <w:p>
            <w:pPr>
              <w:pStyle w:val="Compact"/>
            </w:pPr>
            <w:r>
              <w:t xml:space="preserve">Edge / DMZ</w:t>
            </w:r>
          </w:p>
        </w:tc>
        <w:tc>
          <w:tcPr/>
          <w:p>
            <w:pPr>
              <w:pStyle w:val="Compact"/>
            </w:pPr>
            <w:r>
              <w:t xml:space="preserve">Connected-to</w:t>
            </w:r>
          </w:p>
        </w:tc>
        <w:tc>
          <w:tcPr/>
          <w:p>
            <w:pPr>
              <w:pStyle w:val="Compact"/>
            </w:pPr>
            <w:r>
              <w:t xml:space="preserve">WAF, reverse proxy, DDoS scrubbing, load balancer, 3DS redirect endpoint</w:t>
            </w:r>
          </w:p>
        </w:tc>
      </w:tr>
      <w:tr>
        <w:tc>
          <w:tcPr/>
          <w:p>
            <w:pPr>
              <w:pStyle w:val="Compact"/>
            </w:pPr>
            <w:r>
              <w:t xml:space="preserve">Z2</w:t>
            </w:r>
          </w:p>
        </w:tc>
        <w:tc>
          <w:tcPr/>
          <w:p>
            <w:pPr>
              <w:pStyle w:val="Compact"/>
            </w:pPr>
            <w:r>
              <w:t xml:space="preserve">Application (Payment Core)</w:t>
            </w:r>
          </w:p>
        </w:tc>
        <w:tc>
          <w:tcPr/>
          <w:p>
            <w:pPr>
              <w:pStyle w:val="Compact"/>
            </w:pPr>
            <w:r>
              <w:t xml:space="preserve">Connected-to (security-impacting)</w:t>
            </w:r>
          </w:p>
        </w:tc>
        <w:tc>
          <w:tcPr/>
          <w:p>
            <w:pPr>
              <w:pStyle w:val="Compact"/>
            </w:pPr>
            <w:r>
              <w:t xml:space="preserve">API Edge (Go/Fiber), Payment Core service, Risk/Fraud engine, Webhook/Notifier</w:t>
            </w:r>
          </w:p>
        </w:tc>
      </w:tr>
      <w:tr>
        <w:tc>
          <w:tcPr/>
          <w:p>
            <w:pPr>
              <w:pStyle w:val="Compact"/>
            </w:pPr>
            <w:r>
              <w:rPr>
                <w:b/>
                <w:bCs/>
              </w:rPr>
              <w:t xml:space="preserve">Z3</w:t>
            </w:r>
          </w:p>
        </w:tc>
        <w:tc>
          <w:tcPr/>
          <w:p>
            <w:pPr>
              <w:pStyle w:val="Compact"/>
            </w:pPr>
            <w:r>
              <w:rPr>
                <w:b/>
                <w:bCs/>
              </w:rPr>
              <w:t xml:space="preserve">CDE — Tokenization Vault</w:t>
            </w:r>
          </w:p>
        </w:tc>
        <w:tc>
          <w:tcPr/>
          <w:p>
            <w:pPr>
              <w:pStyle w:val="Compact"/>
            </w:pPr>
            <w:r>
              <w:rPr>
                <w:b/>
                <w:bCs/>
              </w:rPr>
              <w:t xml:space="preserve">In-scope CDE</w:t>
            </w:r>
          </w:p>
        </w:tc>
        <w:tc>
          <w:tcPr/>
          <w:p>
            <w:pPr>
              <w:pStyle w:val="Compact"/>
            </w:pPr>
            <w:r>
              <w:rPr>
                <w:b/>
                <w:bCs/>
              </w:rPr>
              <w:t xml:space="preserve">Tokenization/detokenization service, HSM/KMS interface, PAN vault store</w:t>
            </w:r>
          </w:p>
        </w:tc>
      </w:tr>
      <w:tr>
        <w:tc>
          <w:tcPr/>
          <w:p>
            <w:pPr>
              <w:pStyle w:val="Compact"/>
            </w:pPr>
            <w:r>
              <w:t xml:space="preserve">Z4</w:t>
            </w:r>
          </w:p>
        </w:tc>
        <w:tc>
          <w:tcPr/>
          <w:p>
            <w:pPr>
              <w:pStyle w:val="Compact"/>
            </w:pPr>
            <w:r>
              <w:t xml:space="preserve">Data / Ledger</w:t>
            </w:r>
          </w:p>
        </w:tc>
        <w:tc>
          <w:tcPr/>
          <w:p>
            <w:pPr>
              <w:pStyle w:val="Compact"/>
            </w:pPr>
            <w:r>
              <w:t xml:space="preserve">Connected-to</w:t>
            </w:r>
          </w:p>
        </w:tc>
        <w:tc>
          <w:tcPr/>
          <w:p>
            <w:pPr>
              <w:pStyle w:val="Compact"/>
            </w:pPr>
            <w:r>
              <w:t xml:space="preserve">operational DB (payments, ledger_entries, audit_log) — เก็บเฉพาะ token + card_last4</w:t>
            </w:r>
          </w:p>
        </w:tc>
      </w:tr>
      <w:tr>
        <w:tc>
          <w:tcPr/>
          <w:p>
            <w:pPr>
              <w:pStyle w:val="Compact"/>
            </w:pPr>
            <w:r>
              <w:t xml:space="preserve">Z5</w:t>
            </w:r>
          </w:p>
        </w:tc>
        <w:tc>
          <w:tcPr/>
          <w:p>
            <w:pPr>
              <w:pStyle w:val="Compact"/>
            </w:pPr>
            <w:r>
              <w:t xml:space="preserve">Management / Shared Services</w:t>
            </w:r>
          </w:p>
        </w:tc>
        <w:tc>
          <w:tcPr/>
          <w:p>
            <w:pPr>
              <w:pStyle w:val="Compact"/>
            </w:pPr>
            <w:r>
              <w:t xml:space="preserve">Connected-to</w:t>
            </w:r>
          </w:p>
        </w:tc>
        <w:tc>
          <w:tcPr/>
          <w:p>
            <w:pPr>
              <w:pStyle w:val="Compact"/>
            </w:pPr>
            <w:r>
              <w:t xml:space="preserve">bastion/jump host, SIEM, log aggregator, secrets manager, CI/CD deploy runner, monitoring</w:t>
            </w:r>
          </w:p>
        </w:tc>
      </w:tr>
      <w:tr>
        <w:tc>
          <w:tcPr/>
          <w:p>
            <w:pPr>
              <w:pStyle w:val="Compact"/>
            </w:pPr>
            <w:r>
              <w:t xml:space="preserve">Z6</w:t>
            </w:r>
          </w:p>
        </w:tc>
        <w:tc>
          <w:tcPr/>
          <w:p>
            <w:pPr>
              <w:pStyle w:val="Compact"/>
            </w:pPr>
            <w:r>
              <w:t xml:space="preserve">Acquirer Uplink</w:t>
            </w:r>
          </w:p>
        </w:tc>
        <w:tc>
          <w:tcPr/>
          <w:p>
            <w:pPr>
              <w:pStyle w:val="Compact"/>
            </w:pPr>
            <w:r>
              <w:t xml:space="preserve">In-scope (transmits CHD)</w:t>
            </w:r>
          </w:p>
        </w:tc>
        <w:tc>
          <w:tcPr/>
          <w:p>
            <w:pPr>
              <w:pStyle w:val="Compact"/>
            </w:pPr>
            <w:r>
              <w:t xml:space="preserve">acquirer switch gateway (ISO 8583 / REST), settlement uplink (เช่น ITMX สำหรับ local rails)</w:t>
            </w:r>
          </w:p>
        </w:tc>
      </w:tr>
    </w:tbl>
    <w:p>
      <w:pPr>
        <w:pStyle w:val="BlockText"/>
      </w:pPr>
      <w:r>
        <w:rPr>
          <w:b/>
          <w:bCs/>
        </w:rPr>
        <w:t xml:space="preserve">สำคัญ:</w:t>
      </w:r>
      <w:r>
        <w:t xml:space="preserve"> </w:t>
      </w:r>
      <w:r>
        <w:t xml:space="preserve">เฉพาะ</w:t>
      </w:r>
      <w:r>
        <w:t xml:space="preserve"> </w:t>
      </w:r>
      <w:r>
        <w:rPr>
          <w:b/>
          <w:bCs/>
        </w:rPr>
        <w:t xml:space="preserve">Z3</w:t>
      </w:r>
      <w:r>
        <w:t xml:space="preserve"> </w:t>
      </w:r>
      <w:r>
        <w:t xml:space="preserve">และเส้นทาง</w:t>
      </w:r>
      <w:r>
        <w:t xml:space="preserve"> </w:t>
      </w:r>
      <w:r>
        <w:rPr>
          <w:b/>
          <w:bCs/>
        </w:rPr>
        <w:t xml:space="preserve">Z3 → Z6</w:t>
      </w:r>
      <w:r>
        <w:t xml:space="preserve"> </w:t>
      </w:r>
      <w:r>
        <w:t xml:space="preserve">ที่แตะ PAN โดยตรง ระบบใน Z2/Z4 ออกแบบให้เห็นเพียง token — จึงเป็น</w:t>
      </w:r>
      <w:r>
        <w:t xml:space="preserve"> </w:t>
      </w:r>
      <w:r>
        <w:rPr>
          <w:i/>
          <w:iCs/>
        </w:rPr>
        <w:t xml:space="preserve">connected-to</w:t>
      </w:r>
      <w:r>
        <w:t xml:space="preserve"> </w:t>
      </w:r>
      <w:r>
        <w:t xml:space="preserve">ไม่ใช่ CDE เต็มรูปแบบ ทำให้ scope แคบและต้นทุนการประเมินต่ำลง</w:t>
      </w:r>
    </w:p>
    <w:p>
      <w:r>
        <w:pict>
          <v:rect style="width:0;height:1.5pt" o:hralign="center" o:hrstd="t" o:hr="t"/>
        </w:pict>
      </w:r>
    </w:p>
    <w:bookmarkEnd w:id="673"/>
    <w:bookmarkStart w:id="674" w:name="X9801505d9b1c315ee74c8e8ee9aa57607fc12d3"/>
    <w:p>
      <w:pPr>
        <w:pStyle w:val="Heading2"/>
      </w:pPr>
      <w:r>
        <w:t xml:space="preserve">3. แผนภาพการแบ่งเครือข่าย (Network Segmentation Diagram)</w:t>
      </w:r>
    </w:p>
    <w:p>
      <w:pPr>
        <w:pStyle w:val="SourceCode"/>
      </w:pPr>
      <w:r>
        <w:rPr>
          <w:rStyle w:val="VerbatimChar"/>
        </w:rPr>
        <w:t xml:space="preserve">flowchart TB</w:t>
      </w:r>
      <w:r>
        <w:br/>
      </w:r>
      <w:r>
        <w:rPr>
          <w:rStyle w:val="VerbatimChar"/>
        </w:rPr>
        <w:t xml:space="preserve">    subgraph Z0["Z0 · Internet (Out of scope)"]</w:t>
      </w:r>
      <w:r>
        <w:br/>
      </w:r>
      <w:r>
        <w:rPr>
          <w:rStyle w:val="VerbatimChar"/>
        </w:rPr>
        <w:t xml:space="preserve">        CH["ผู้ถือบัตร / Merchant Client"]</w:t>
      </w:r>
      <w:r>
        <w:br/>
      </w:r>
      <w:r>
        <w:rPr>
          <w:rStyle w:val="VerbatimChar"/>
        </w:rPr>
        <w:t xml:space="preserve">    end</w:t>
      </w:r>
      <w:r>
        <w:br/>
      </w:r>
      <w:r>
        <w:br/>
      </w:r>
      <w:r>
        <w:rPr>
          <w:rStyle w:val="VerbatimChar"/>
        </w:rPr>
        <w:t xml:space="preserve">    subgraph Z1["Z1 · Edge / DMZ (Connected-to)"]</w:t>
      </w:r>
      <w:r>
        <w:br/>
      </w:r>
      <w:r>
        <w:rPr>
          <w:rStyle w:val="VerbatimChar"/>
        </w:rPr>
        <w:t xml:space="preserve">        WAF["WAF + DDoS + LB"]</w:t>
      </w:r>
      <w:r>
        <w:br/>
      </w:r>
      <w:r>
        <w:rPr>
          <w:rStyle w:val="VerbatimChar"/>
        </w:rPr>
        <w:t xml:space="preserve">        TDS["3DS 2.x Redirect / ACS callback"]</w:t>
      </w:r>
      <w:r>
        <w:br/>
      </w:r>
      <w:r>
        <w:rPr>
          <w:rStyle w:val="VerbatimChar"/>
        </w:rPr>
        <w:t xml:space="preserve">    end</w:t>
      </w:r>
      <w:r>
        <w:br/>
      </w:r>
      <w:r>
        <w:br/>
      </w:r>
      <w:r>
        <w:rPr>
          <w:rStyle w:val="VerbatimChar"/>
        </w:rPr>
        <w:t xml:space="preserve">    subgraph Z2["Z2 · Application (Connected-to)"]</w:t>
      </w:r>
      <w:r>
        <w:br/>
      </w:r>
      <w:r>
        <w:rPr>
          <w:rStyle w:val="VerbatimChar"/>
        </w:rPr>
        <w:t xml:space="preserve">        API["API Edge (Fiber)"]</w:t>
      </w:r>
      <w:r>
        <w:br/>
      </w:r>
      <w:r>
        <w:rPr>
          <w:rStyle w:val="VerbatimChar"/>
        </w:rPr>
        <w:t xml:space="preserve">        CORE["Payment Core + Risk Engine"]</w:t>
      </w:r>
      <w:r>
        <w:br/>
      </w:r>
      <w:r>
        <w:rPr>
          <w:rStyle w:val="VerbatimChar"/>
        </w:rPr>
        <w:t xml:space="preserve">        HOOK["Webhook / Notifier"]</w:t>
      </w:r>
      <w:r>
        <w:br/>
      </w:r>
      <w:r>
        <w:rPr>
          <w:rStyle w:val="VerbatimChar"/>
        </w:rPr>
        <w:t xml:space="preserve">    end</w:t>
      </w:r>
      <w:r>
        <w:br/>
      </w:r>
      <w:r>
        <w:br/>
      </w:r>
      <w:r>
        <w:rPr>
          <w:rStyle w:val="VerbatimChar"/>
        </w:rPr>
        <w:t xml:space="preserve">    subgraph Z3["Z3 · CDE — Tokenization Vault (IN SCOPE)"]</w:t>
      </w:r>
      <w:r>
        <w:br/>
      </w:r>
      <w:r>
        <w:rPr>
          <w:rStyle w:val="VerbatimChar"/>
        </w:rPr>
        <w:t xml:space="preserve">        VAULT["Tokenization / Detokenization"]</w:t>
      </w:r>
      <w:r>
        <w:br/>
      </w:r>
      <w:r>
        <w:rPr>
          <w:rStyle w:val="VerbatimChar"/>
        </w:rPr>
        <w:t xml:space="preserve">        HSM["HSM / KMS"]</w:t>
      </w:r>
      <w:r>
        <w:br/>
      </w:r>
      <w:r>
        <w:rPr>
          <w:rStyle w:val="VerbatimChar"/>
        </w:rPr>
        <w:t xml:space="preserve">        PANDB[("Encrypted PAN Vault")]</w:t>
      </w:r>
      <w:r>
        <w:br/>
      </w:r>
      <w:r>
        <w:rPr>
          <w:rStyle w:val="VerbatimChar"/>
        </w:rPr>
        <w:t xml:space="preserve">    end</w:t>
      </w:r>
      <w:r>
        <w:br/>
      </w:r>
      <w:r>
        <w:br/>
      </w:r>
      <w:r>
        <w:rPr>
          <w:rStyle w:val="VerbatimChar"/>
        </w:rPr>
        <w:t xml:space="preserve">    subgraph Z4["Z4 · Data / Ledger (Connected-to)"]</w:t>
      </w:r>
      <w:r>
        <w:br/>
      </w:r>
      <w:r>
        <w:rPr>
          <w:rStyle w:val="VerbatimChar"/>
        </w:rPr>
        <w:t xml:space="preserve">        OPDB[("Operational DB\ntoken + card_last4")]</w:t>
      </w:r>
      <w:r>
        <w:br/>
      </w:r>
      <w:r>
        <w:rPr>
          <w:rStyle w:val="VerbatimChar"/>
        </w:rPr>
        <w:t xml:space="preserve">    end</w:t>
      </w:r>
      <w:r>
        <w:br/>
      </w:r>
      <w:r>
        <w:br/>
      </w:r>
      <w:r>
        <w:rPr>
          <w:rStyle w:val="VerbatimChar"/>
        </w:rPr>
        <w:t xml:space="preserve">    subgraph Z5["Z5 · Management (Connected-to)"]</w:t>
      </w:r>
      <w:r>
        <w:br/>
      </w:r>
      <w:r>
        <w:rPr>
          <w:rStyle w:val="VerbatimChar"/>
        </w:rPr>
        <w:t xml:space="preserve">        BAS["Bastion / Jump Host + MFA"]</w:t>
      </w:r>
      <w:r>
        <w:br/>
      </w:r>
      <w:r>
        <w:rPr>
          <w:rStyle w:val="VerbatimChar"/>
        </w:rPr>
        <w:t xml:space="preserve">        SIEM["SIEM / Log Aggregator"]</w:t>
      </w:r>
      <w:r>
        <w:br/>
      </w:r>
      <w:r>
        <w:rPr>
          <w:rStyle w:val="VerbatimChar"/>
        </w:rPr>
        <w:t xml:space="preserve">        SEC["Secrets Manager"]</w:t>
      </w:r>
      <w:r>
        <w:br/>
      </w:r>
      <w:r>
        <w:rPr>
          <w:rStyle w:val="VerbatimChar"/>
        </w:rPr>
        <w:t xml:space="preserve">    end</w:t>
      </w:r>
      <w:r>
        <w:br/>
      </w:r>
      <w:r>
        <w:br/>
      </w:r>
      <w:r>
        <w:rPr>
          <w:rStyle w:val="VerbatimChar"/>
        </w:rPr>
        <w:t xml:space="preserve">    subgraph Z6["Z6 · Acquirer Uplink (IN SCOPE)"]</w:t>
      </w:r>
      <w:r>
        <w:br/>
      </w:r>
      <w:r>
        <w:rPr>
          <w:rStyle w:val="VerbatimChar"/>
        </w:rPr>
        <w:t xml:space="preserve">        SW["Acquirer Switch GW\nISO 8583 / REST"]</w:t>
      </w:r>
      <w:r>
        <w:br/>
      </w:r>
      <w:r>
        <w:rPr>
          <w:rStyle w:val="VerbatimChar"/>
        </w:rPr>
        <w:t xml:space="preserve">    end</w:t>
      </w:r>
      <w:r>
        <w:br/>
      </w:r>
      <w:r>
        <w:br/>
      </w:r>
      <w:r>
        <w:rPr>
          <w:rStyle w:val="VerbatimChar"/>
        </w:rPr>
        <w:t xml:space="preserve">    CH --&gt;|"TLS 1.2+ / 443"| WAF</w:t>
      </w:r>
      <w:r>
        <w:br/>
      </w:r>
      <w:r>
        <w:rPr>
          <w:rStyle w:val="VerbatimChar"/>
        </w:rPr>
        <w:t xml:space="preserve">    CH --&gt;|"tokenize PAN โดยตรง (client-side)"| WAF</w:t>
      </w:r>
      <w:r>
        <w:br/>
      </w:r>
      <w:r>
        <w:rPr>
          <w:rStyle w:val="VerbatimChar"/>
        </w:rPr>
        <w:t xml:space="preserve">    WAF --&gt; API</w:t>
      </w:r>
      <w:r>
        <w:br/>
      </w:r>
      <w:r>
        <w:rPr>
          <w:rStyle w:val="VerbatimChar"/>
        </w:rPr>
        <w:t xml:space="preserve">    TDS --&gt; API</w:t>
      </w:r>
      <w:r>
        <w:br/>
      </w:r>
      <w:r>
        <w:rPr>
          <w:rStyle w:val="VerbatimChar"/>
        </w:rPr>
        <w:t xml:space="preserve">    API --&gt;|mTLS| CORE</w:t>
      </w:r>
      <w:r>
        <w:br/>
      </w:r>
      <w:r>
        <w:rPr>
          <w:rStyle w:val="VerbatimChar"/>
        </w:rPr>
        <w:t xml:space="preserve">    CORE --&gt;|"mTLS · detokenize เฉพาะที่จำเป็น"| VAULT</w:t>
      </w:r>
      <w:r>
        <w:br/>
      </w:r>
      <w:r>
        <w:rPr>
          <w:rStyle w:val="VerbatimChar"/>
        </w:rPr>
        <w:t xml:space="preserve">    VAULT --&gt; HSM</w:t>
      </w:r>
      <w:r>
        <w:br/>
      </w:r>
      <w:r>
        <w:rPr>
          <w:rStyle w:val="VerbatimChar"/>
        </w:rPr>
        <w:t xml:space="preserve">    VAULT --&gt; PANDB</w:t>
      </w:r>
      <w:r>
        <w:br/>
      </w:r>
      <w:r>
        <w:rPr>
          <w:rStyle w:val="VerbatimChar"/>
        </w:rPr>
        <w:t xml:space="preserve">    CORE --&gt;|mTLS| OPDB</w:t>
      </w:r>
      <w:r>
        <w:br/>
      </w:r>
      <w:r>
        <w:rPr>
          <w:rStyle w:val="VerbatimChar"/>
        </w:rPr>
        <w:t xml:space="preserve">    CORE --&gt; HOOK</w:t>
      </w:r>
      <w:r>
        <w:br/>
      </w:r>
      <w:r>
        <w:rPr>
          <w:rStyle w:val="VerbatimChar"/>
        </w:rPr>
        <w:t xml:space="preserve">    HOOK --&gt;|"signed webhook"| CH</w:t>
      </w:r>
      <w:r>
        <w:br/>
      </w:r>
      <w:r>
        <w:rPr>
          <w:rStyle w:val="VerbatimChar"/>
        </w:rPr>
        <w:t xml:space="preserve">    VAULT --&gt;|"mTLS · authorization (PAN)"| SW</w:t>
      </w:r>
      <w:r>
        <w:br/>
      </w:r>
      <w:r>
        <w:rPr>
          <w:rStyle w:val="VerbatimChar"/>
        </w:rPr>
        <w:t xml:space="preserve">    SW --&gt;|"IPsec VPN / leased line"| EXT["Acquirer / Card Network"]</w:t>
      </w:r>
      <w:r>
        <w:br/>
      </w:r>
      <w:r>
        <w:rPr>
          <w:rStyle w:val="VerbatimChar"/>
        </w:rPr>
        <w:t xml:space="preserve">    BAS -.-&gt;|"admin จำกัดเวลา + MFA"| Z3</w:t>
      </w:r>
      <w:r>
        <w:br/>
      </w:r>
      <w:r>
        <w:rPr>
          <w:rStyle w:val="VerbatimChar"/>
        </w:rPr>
        <w:t xml:space="preserve">    BAS -.-&gt; Z2</w:t>
      </w:r>
      <w:r>
        <w:br/>
      </w:r>
      <w:r>
        <w:rPr>
          <w:rStyle w:val="VerbatimChar"/>
        </w:rPr>
        <w:t xml:space="preserve">    BAS -.-&gt; Z4</w:t>
      </w:r>
      <w:r>
        <w:br/>
      </w:r>
      <w:r>
        <w:rPr>
          <w:rStyle w:val="VerbatimChar"/>
        </w:rPr>
        <w:t xml:space="preserve">    SIEM -.-&gt;|"log pull เท่านั้น"| Z3</w:t>
      </w:r>
    </w:p>
    <w:p>
      <w:pPr>
        <w:pStyle w:val="FirstParagraph"/>
      </w:pPr>
      <w:r>
        <w:rPr>
          <w:b/>
          <w:bCs/>
        </w:rPr>
        <w:t xml:space="preserve">ข้อสังเกตสถาปัตยกรรมสำคัญ:</w:t>
      </w:r>
      <w:r>
        <w:t xml:space="preserve"> </w:t>
      </w:r>
      <w:r>
        <w:t xml:space="preserve">1.</w:t>
      </w:r>
      <w:r>
        <w:t xml:space="preserve"> </w:t>
      </w:r>
      <w:r>
        <w:rPr>
          <w:b/>
          <w:bCs/>
        </w:rPr>
        <w:t xml:space="preserve">Client-side tokenization</w:t>
      </w:r>
      <w:r>
        <w:t xml:space="preserve"> </w:t>
      </w:r>
      <w:r>
        <w:t xml:space="preserve">— PAN ถูกส่งจาก client ไป Vault (Z3) โดยตรง ผ่าน edge ที่กำหนด</w:t>
      </w:r>
      <w:r>
        <w:t xml:space="preserve"> </w:t>
      </w:r>
      <w:r>
        <w:rPr>
          <w:b/>
          <w:bCs/>
        </w:rPr>
        <w:t xml:space="preserve">ไม่ผ่านเซิร์ฟเวอร์ merchant และไม่ผ่าน Z2</w:t>
      </w:r>
      <w:r>
        <w:t xml:space="preserve"> </w:t>
      </w:r>
      <w:r>
        <w:t xml:space="preserve">(สอดคล้อง PDPA policy §3.1, ARCHITECTURE §5.1)</w:t>
      </w:r>
      <w:r>
        <w:t xml:space="preserve"> </w:t>
      </w:r>
      <w:r>
        <w:t xml:space="preserve">2.</w:t>
      </w:r>
      <w:r>
        <w:t xml:space="preserve"> </w:t>
      </w:r>
      <w:r>
        <w:rPr>
          <w:b/>
          <w:bCs/>
        </w:rPr>
        <w:t xml:space="preserve">การ detokenize</w:t>
      </w:r>
      <w:r>
        <w:t xml:space="preserve"> </w:t>
      </w:r>
      <w:r>
        <w:t xml:space="preserve">เกิดเฉพาะภายใน Z3 ตามคำขอที่ผ่าน mTLS และ authorization เท่านั้น PAN ไม่ออกจาก Z3 ยกเว้นเส้นทางไป Z6 (acquirer)</w:t>
      </w:r>
      <w:r>
        <w:t xml:space="preserve"> </w:t>
      </w:r>
      <w:r>
        <w:t xml:space="preserve">3.</w:t>
      </w:r>
      <w:r>
        <w:t xml:space="preserve"> </w:t>
      </w:r>
      <w:r>
        <w:rPr>
          <w:b/>
          <w:bCs/>
        </w:rPr>
        <w:t xml:space="preserve">Z4 (Ledger DB)</w:t>
      </w:r>
      <w:r>
        <w:t xml:space="preserve"> </w:t>
      </w:r>
      <w:r>
        <w:t xml:space="preserve">ไม่มี PAN — เก็บเพียง token + card_last4 (ARCHITECTURE §6) จึงเป็น connected-to ไม่ใช่ CDE</w:t>
      </w:r>
    </w:p>
    <w:p>
      <w:r>
        <w:pict>
          <v:rect style="width:0;height:1.5pt" o:hralign="center" o:hrstd="t" o:hr="t"/>
        </w:pict>
      </w:r>
    </w:p>
    <w:bookmarkEnd w:id="674"/>
    <w:bookmarkStart w:id="677" w:name="แผนทขอบเขต-cde-cde-scope-map"/>
    <w:p>
      <w:pPr>
        <w:pStyle w:val="Heading2"/>
      </w:pPr>
      <w:r>
        <w:t xml:space="preserve">4. แผนที่ขอบเขต CDE (CDE Scope Map)</w:t>
      </w:r>
    </w:p>
    <w:bookmarkStart w:id="675" w:name="การจำแนกระบบตาม-scope"/>
    <w:p>
      <w:pPr>
        <w:pStyle w:val="Heading3"/>
      </w:pPr>
      <w:r>
        <w:t xml:space="preserve">4.1 การจำแนกระบบตาม scope</w:t>
      </w:r>
    </w:p>
    <w:tbl>
      <w:tblPr>
        <w:tblStyle w:val="Table"/>
        <w:tblW w:type="pct" w:w="5000"/>
        <w:tblLayout w:type="fixed"/>
        <w:tblLook w:firstRow="1" w:lastRow="0" w:firstColumn="0" w:lastColumn="0" w:noHBand="0" w:noVBand="0" w:val="0020"/>
      </w:tblPr>
      <w:tblGrid>
        <w:gridCol w:w="2149"/>
        <w:gridCol w:w="565"/>
        <w:gridCol w:w="1697"/>
        <w:gridCol w:w="1244"/>
        <w:gridCol w:w="2262"/>
      </w:tblGrid>
      <w:tr>
        <w:trPr>
          <w:tblHeader w:val="on"/>
        </w:trPr>
        <w:tc>
          <w:tcPr/>
          <w:p>
            <w:pPr>
              <w:pStyle w:val="Compact"/>
            </w:pPr>
            <w:r>
              <w:t xml:space="preserve">ระบบ / Data store</w:t>
            </w:r>
          </w:p>
        </w:tc>
        <w:tc>
          <w:tcPr/>
          <w:p>
            <w:pPr>
              <w:pStyle w:val="Compact"/>
            </w:pPr>
            <w:r>
              <w:t xml:space="preserve">โซน</w:t>
            </w:r>
          </w:p>
        </w:tc>
        <w:tc>
          <w:tcPr/>
          <w:p>
            <w:pPr>
              <w:pStyle w:val="Compact"/>
            </w:pPr>
            <w:r>
              <w:t xml:space="preserve">เก็บ/ส่ง CHD?</w:t>
            </w:r>
          </w:p>
        </w:tc>
        <w:tc>
          <w:tcPr/>
          <w:p>
            <w:pPr>
              <w:pStyle w:val="Compact"/>
            </w:pPr>
            <w:r>
              <w:t xml:space="preserve">เก็บ SAD?</w:t>
            </w:r>
          </w:p>
        </w:tc>
        <w:tc>
          <w:tcPr/>
          <w:p>
            <w:pPr>
              <w:pStyle w:val="Compact"/>
            </w:pPr>
            <w:r>
              <w:t xml:space="preserve">การจัดประเภท scope</w:t>
            </w:r>
          </w:p>
        </w:tc>
      </w:tr>
      <w:tr>
        <w:tc>
          <w:tcPr/>
          <w:p>
            <w:pPr>
              <w:pStyle w:val="Compact"/>
            </w:pPr>
            <w:r>
              <w:t xml:space="preserve">Tokenization / Detokenization service</w:t>
            </w:r>
          </w:p>
        </w:tc>
        <w:tc>
          <w:tcPr/>
          <w:p>
            <w:pPr>
              <w:pStyle w:val="Compact"/>
            </w:pPr>
            <w:r>
              <w:t xml:space="preserve">Z3</w:t>
            </w:r>
          </w:p>
        </w:tc>
        <w:tc>
          <w:tcPr/>
          <w:p>
            <w:pPr>
              <w:pStyle w:val="Compact"/>
            </w:pPr>
            <w:r>
              <w:t xml:space="preserve">ใช่ (PAN)</w:t>
            </w:r>
          </w:p>
        </w:tc>
        <w:tc>
          <w:tcPr/>
          <w:p>
            <w:pPr>
              <w:pStyle w:val="Compact"/>
            </w:pPr>
            <w:r>
              <w:t xml:space="preserve">ไม่</w:t>
            </w:r>
          </w:p>
        </w:tc>
        <w:tc>
          <w:tcPr/>
          <w:p>
            <w:pPr>
              <w:pStyle w:val="Compact"/>
            </w:pPr>
            <w:r>
              <w:rPr>
                <w:b/>
                <w:bCs/>
              </w:rPr>
              <w:t xml:space="preserve">CDE</w:t>
            </w:r>
          </w:p>
        </w:tc>
      </w:tr>
      <w:tr>
        <w:tc>
          <w:tcPr/>
          <w:p>
            <w:pPr>
              <w:pStyle w:val="Compact"/>
            </w:pPr>
            <w:r>
              <w:t xml:space="preserve">HSM / KMS</w:t>
            </w:r>
          </w:p>
        </w:tc>
        <w:tc>
          <w:tcPr/>
          <w:p>
            <w:pPr>
              <w:pStyle w:val="Compact"/>
            </w:pPr>
            <w:r>
              <w:t xml:space="preserve">Z3</w:t>
            </w:r>
          </w:p>
        </w:tc>
        <w:tc>
          <w:tcPr/>
          <w:p>
            <w:pPr>
              <w:pStyle w:val="Compact"/>
            </w:pPr>
            <w:r>
              <w:t xml:space="preserve">คีย์เข้ารหัส PAN</w:t>
            </w:r>
          </w:p>
        </w:tc>
        <w:tc>
          <w:tcPr/>
          <w:p>
            <w:pPr>
              <w:pStyle w:val="Compact"/>
            </w:pPr>
            <w:r>
              <w:t xml:space="preserve">ไม่</w:t>
            </w:r>
          </w:p>
        </w:tc>
        <w:tc>
          <w:tcPr/>
          <w:p>
            <w:pPr>
              <w:pStyle w:val="Compact"/>
            </w:pPr>
            <w:r>
              <w:rPr>
                <w:b/>
                <w:bCs/>
              </w:rPr>
              <w:t xml:space="preserve">CDE (critical)</w:t>
            </w:r>
          </w:p>
        </w:tc>
      </w:tr>
      <w:tr>
        <w:tc>
          <w:tcPr/>
          <w:p>
            <w:pPr>
              <w:pStyle w:val="Compact"/>
            </w:pPr>
            <w:r>
              <w:t xml:space="preserve">Encrypted PAN Vault store</w:t>
            </w:r>
          </w:p>
        </w:tc>
        <w:tc>
          <w:tcPr/>
          <w:p>
            <w:pPr>
              <w:pStyle w:val="Compact"/>
            </w:pPr>
            <w:r>
              <w:t xml:space="preserve">Z3</w:t>
            </w:r>
          </w:p>
        </w:tc>
        <w:tc>
          <w:tcPr/>
          <w:p>
            <w:pPr>
              <w:pStyle w:val="Compact"/>
            </w:pPr>
            <w:r>
              <w:t xml:space="preserve">ใช่ (PAN เข้ารหัส)</w:t>
            </w:r>
          </w:p>
        </w:tc>
        <w:tc>
          <w:tcPr/>
          <w:p>
            <w:pPr>
              <w:pStyle w:val="Compact"/>
            </w:pPr>
            <w:r>
              <w:t xml:space="preserve">ไม่</w:t>
            </w:r>
          </w:p>
        </w:tc>
        <w:tc>
          <w:tcPr/>
          <w:p>
            <w:pPr>
              <w:pStyle w:val="Compact"/>
            </w:pPr>
            <w:r>
              <w:rPr>
                <w:b/>
                <w:bCs/>
              </w:rPr>
              <w:t xml:space="preserve">CDE</w:t>
            </w:r>
          </w:p>
        </w:tc>
      </w:tr>
      <w:tr>
        <w:tc>
          <w:tcPr/>
          <w:p>
            <w:pPr>
              <w:pStyle w:val="Compact"/>
            </w:pPr>
            <w:r>
              <w:t xml:space="preserve">Acquirer Switch Gateway</w:t>
            </w:r>
          </w:p>
        </w:tc>
        <w:tc>
          <w:tcPr/>
          <w:p>
            <w:pPr>
              <w:pStyle w:val="Compact"/>
            </w:pPr>
            <w:r>
              <w:t xml:space="preserve">Z6</w:t>
            </w:r>
          </w:p>
        </w:tc>
        <w:tc>
          <w:tcPr/>
          <w:p>
            <w:pPr>
              <w:pStyle w:val="Compact"/>
            </w:pPr>
            <w:r>
              <w:t xml:space="preserve">ใช่ (ส่ง PAN ในการ authorize)</w:t>
            </w:r>
          </w:p>
        </w:tc>
        <w:tc>
          <w:tcPr/>
          <w:p>
            <w:pPr>
              <w:pStyle w:val="Compact"/>
            </w:pPr>
            <w:r>
              <w:t xml:space="preserve">ชั่วคราวใน memory เท่านั้น</w:t>
            </w:r>
          </w:p>
        </w:tc>
        <w:tc>
          <w:tcPr/>
          <w:p>
            <w:pPr>
              <w:pStyle w:val="Compact"/>
            </w:pPr>
            <w:r>
              <w:rPr>
                <w:b/>
                <w:bCs/>
              </w:rPr>
              <w:t xml:space="preserve">CDE (transmits)</w:t>
            </w:r>
          </w:p>
        </w:tc>
      </w:tr>
      <w:tr>
        <w:tc>
          <w:tcPr/>
          <w:p>
            <w:pPr>
              <w:pStyle w:val="Compact"/>
            </w:pPr>
            <w:r>
              <w:t xml:space="preserve">API Edge (Fiber)</w:t>
            </w:r>
          </w:p>
        </w:tc>
        <w:tc>
          <w:tcPr/>
          <w:p>
            <w:pPr>
              <w:pStyle w:val="Compact"/>
            </w:pPr>
            <w:r>
              <w:t xml:space="preserve">Z2</w:t>
            </w:r>
          </w:p>
        </w:tc>
        <w:tc>
          <w:tcPr/>
          <w:p>
            <w:pPr>
              <w:pStyle w:val="Compact"/>
            </w:pPr>
            <w:r>
              <w:t xml:space="preserve">ไม่ (token เท่านั้น)</w:t>
            </w:r>
          </w:p>
        </w:tc>
        <w:tc>
          <w:tcPr/>
          <w:p>
            <w:pPr>
              <w:pStyle w:val="Compact"/>
            </w:pPr>
            <w:r>
              <w:t xml:space="preserve">ไม่</w:t>
            </w:r>
          </w:p>
        </w:tc>
        <w:tc>
          <w:tcPr/>
          <w:p>
            <w:pPr>
              <w:pStyle w:val="Compact"/>
            </w:pPr>
            <w:r>
              <w:t xml:space="preserve">Connected-to / security-impacting</w:t>
            </w:r>
          </w:p>
        </w:tc>
      </w:tr>
      <w:tr>
        <w:tc>
          <w:tcPr/>
          <w:p>
            <w:pPr>
              <w:pStyle w:val="Compact"/>
            </w:pPr>
            <w:r>
              <w:t xml:space="preserve">Payment Core + Risk engine</w:t>
            </w:r>
          </w:p>
        </w:tc>
        <w:tc>
          <w:tcPr/>
          <w:p>
            <w:pPr>
              <w:pStyle w:val="Compact"/>
            </w:pPr>
            <w:r>
              <w:t xml:space="preserve">Z2</w:t>
            </w:r>
          </w:p>
        </w:tc>
        <w:tc>
          <w:tcPr/>
          <w:p>
            <w:pPr>
              <w:pStyle w:val="Compact"/>
            </w:pPr>
            <w:r>
              <w:t xml:space="preserve">ไม่ (token, card_last4)</w:t>
            </w:r>
          </w:p>
        </w:tc>
        <w:tc>
          <w:tcPr/>
          <w:p>
            <w:pPr>
              <w:pStyle w:val="Compact"/>
            </w:pPr>
            <w:r>
              <w:t xml:space="preserve">ไม่</w:t>
            </w:r>
          </w:p>
        </w:tc>
        <w:tc>
          <w:tcPr/>
          <w:p>
            <w:pPr>
              <w:pStyle w:val="Compact"/>
            </w:pPr>
            <w:r>
              <w:t xml:space="preserve">Connected-to</w:t>
            </w:r>
          </w:p>
        </w:tc>
      </w:tr>
      <w:tr>
        <w:tc>
          <w:tcPr/>
          <w:p>
            <w:pPr>
              <w:pStyle w:val="Compact"/>
            </w:pPr>
            <w:r>
              <w:t xml:space="preserve">Webhook / Notifier</w:t>
            </w:r>
          </w:p>
        </w:tc>
        <w:tc>
          <w:tcPr/>
          <w:p>
            <w:pPr>
              <w:pStyle w:val="Compact"/>
            </w:pPr>
            <w:r>
              <w:t xml:space="preserve">Z2</w:t>
            </w:r>
          </w:p>
        </w:tc>
        <w:tc>
          <w:tcPr/>
          <w:p>
            <w:pPr>
              <w:pStyle w:val="Compact"/>
            </w:pPr>
            <w:r>
              <w:t xml:space="preserve">ไม่</w:t>
            </w:r>
          </w:p>
        </w:tc>
        <w:tc>
          <w:tcPr/>
          <w:p>
            <w:pPr>
              <w:pStyle w:val="Compact"/>
            </w:pPr>
            <w:r>
              <w:t xml:space="preserve">ไม่</w:t>
            </w:r>
          </w:p>
        </w:tc>
        <w:tc>
          <w:tcPr/>
          <w:p>
            <w:pPr>
              <w:pStyle w:val="Compact"/>
            </w:pPr>
            <w:r>
              <w:t xml:space="preserve">Connected-to</w:t>
            </w:r>
          </w:p>
        </w:tc>
      </w:tr>
      <w:tr>
        <w:tc>
          <w:tcPr/>
          <w:p>
            <w:pPr>
              <w:pStyle w:val="Compact"/>
            </w:pPr>
            <w:r>
              <w:t xml:space="preserve">WAF / LB / DMZ</w:t>
            </w:r>
          </w:p>
        </w:tc>
        <w:tc>
          <w:tcPr/>
          <w:p>
            <w:pPr>
              <w:pStyle w:val="Compact"/>
            </w:pPr>
            <w:r>
              <w:t xml:space="preserve">Z1</w:t>
            </w:r>
          </w:p>
        </w:tc>
        <w:tc>
          <w:tcPr/>
          <w:p>
            <w:pPr>
              <w:pStyle w:val="Compact"/>
            </w:pPr>
            <w:r>
              <w:t xml:space="preserve">ไม่ (TLS terminate ที่ edge, re-encrypt)</w:t>
            </w:r>
          </w:p>
        </w:tc>
        <w:tc>
          <w:tcPr/>
          <w:p>
            <w:pPr>
              <w:pStyle w:val="Compact"/>
            </w:pPr>
            <w:r>
              <w:t xml:space="preserve">ไม่</w:t>
            </w:r>
          </w:p>
        </w:tc>
        <w:tc>
          <w:tcPr/>
          <w:p>
            <w:pPr>
              <w:pStyle w:val="Compact"/>
            </w:pPr>
            <w:r>
              <w:t xml:space="preserve">Connected-to</w:t>
            </w:r>
          </w:p>
        </w:tc>
      </w:tr>
      <w:tr>
        <w:tc>
          <w:tcPr/>
          <w:p>
            <w:pPr>
              <w:pStyle w:val="Compact"/>
            </w:pPr>
            <w:r>
              <w:t xml:space="preserve">Operational DB (payments/ledger/audit)</w:t>
            </w:r>
          </w:p>
        </w:tc>
        <w:tc>
          <w:tcPr/>
          <w:p>
            <w:pPr>
              <w:pStyle w:val="Compact"/>
            </w:pPr>
            <w:r>
              <w:t xml:space="preserve">Z4</w:t>
            </w:r>
          </w:p>
        </w:tc>
        <w:tc>
          <w:tcPr/>
          <w:p>
            <w:pPr>
              <w:pStyle w:val="Compact"/>
            </w:pPr>
            <w:r>
              <w:t xml:space="preserve">ไม่ (token + card_last4)</w:t>
            </w:r>
          </w:p>
        </w:tc>
        <w:tc>
          <w:tcPr/>
          <w:p>
            <w:pPr>
              <w:pStyle w:val="Compact"/>
            </w:pPr>
            <w:r>
              <w:t xml:space="preserve">ไม่</w:t>
            </w:r>
          </w:p>
        </w:tc>
        <w:tc>
          <w:tcPr/>
          <w:p>
            <w:pPr>
              <w:pStyle w:val="Compact"/>
            </w:pPr>
            <w:r>
              <w:t xml:space="preserve">Connected-to</w:t>
            </w:r>
          </w:p>
        </w:tc>
      </w:tr>
      <w:tr>
        <w:tc>
          <w:tcPr/>
          <w:p>
            <w:pPr>
              <w:pStyle w:val="Compact"/>
            </w:pPr>
            <w:r>
              <w:t xml:space="preserve">Bastion, SIEM, Secrets Mgr, CI/CD</w:t>
            </w:r>
          </w:p>
        </w:tc>
        <w:tc>
          <w:tcPr/>
          <w:p>
            <w:pPr>
              <w:pStyle w:val="Compact"/>
            </w:pPr>
            <w:r>
              <w:t xml:space="preserve">Z5</w:t>
            </w:r>
          </w:p>
        </w:tc>
        <w:tc>
          <w:tcPr/>
          <w:p>
            <w:pPr>
              <w:pStyle w:val="Compact"/>
            </w:pPr>
            <w:r>
              <w:t xml:space="preserve">ไม่</w:t>
            </w:r>
          </w:p>
        </w:tc>
        <w:tc>
          <w:tcPr/>
          <w:p>
            <w:pPr>
              <w:pStyle w:val="Compact"/>
            </w:pPr>
            <w:r>
              <w:t xml:space="preserve">ไม่</w:t>
            </w:r>
          </w:p>
        </w:tc>
        <w:tc>
          <w:tcPr/>
          <w:p>
            <w:pPr>
              <w:pStyle w:val="Compact"/>
            </w:pPr>
            <w:r>
              <w:t xml:space="preserve">Connected-to (security-impacting)</w:t>
            </w:r>
          </w:p>
        </w:tc>
      </w:tr>
      <w:tr>
        <w:tc>
          <w:tcPr/>
          <w:p>
            <w:pPr>
              <w:pStyle w:val="Compact"/>
            </w:pPr>
            <w:r>
              <w:t xml:space="preserve">Corporate IT, email, HR, dev laptop</w:t>
            </w:r>
          </w:p>
        </w:tc>
        <w:tc>
          <w:tcPr/>
          <w:p>
            <w:pPr>
              <w:pStyle w:val="Compact"/>
            </w:pPr>
            <w:r>
              <w:t xml:space="preserve">นอก</w:t>
            </w:r>
          </w:p>
        </w:tc>
        <w:tc>
          <w:tcPr/>
          <w:p>
            <w:pPr>
              <w:pStyle w:val="Compact"/>
            </w:pPr>
            <w:r>
              <w:t xml:space="preserve">ไม่</w:t>
            </w:r>
          </w:p>
        </w:tc>
        <w:tc>
          <w:tcPr/>
          <w:p>
            <w:pPr>
              <w:pStyle w:val="Compact"/>
            </w:pPr>
            <w:r>
              <w:t xml:space="preserve">ไม่</w:t>
            </w:r>
          </w:p>
        </w:tc>
        <w:tc>
          <w:tcPr/>
          <w:p>
            <w:pPr>
              <w:pStyle w:val="Compact"/>
            </w:pPr>
            <w:r>
              <w:rPr>
                <w:b/>
                <w:bCs/>
              </w:rPr>
              <w:t xml:space="preserve">Out-of-scope</w:t>
            </w:r>
            <w:r>
              <w:t xml:space="preserve"> </w:t>
            </w:r>
            <w:r>
              <w:t xml:space="preserve">(แยกจริง)</w:t>
            </w:r>
          </w:p>
        </w:tc>
      </w:tr>
    </w:tbl>
    <w:bookmarkEnd w:id="675"/>
    <w:bookmarkStart w:id="676" w:name="การไหลของ-chd-cardholder-data-flow"/>
    <w:p>
      <w:pPr>
        <w:pStyle w:val="Heading3"/>
      </w:pPr>
      <w:r>
        <w:t xml:space="preserve">4.2 การไหลของ CHD (Cardholder Data Flow)</w:t>
      </w:r>
    </w:p>
    <w:tbl>
      <w:tblPr>
        <w:tblStyle w:val="Table"/>
        <w:tblW w:type="pct" w:w="5000"/>
        <w:tblLayout w:type="fixed"/>
        <w:tblLook w:firstRow="1" w:lastRow="0" w:firstColumn="0" w:lastColumn="0" w:noHBand="0" w:noVBand="0" w:val="0020"/>
      </w:tblPr>
      <w:tblGrid>
        <w:gridCol w:w="579"/>
        <w:gridCol w:w="1931"/>
        <w:gridCol w:w="1738"/>
        <w:gridCol w:w="1545"/>
        <w:gridCol w:w="2124"/>
      </w:tblGrid>
      <w:tr>
        <w:trPr>
          <w:tblHeader w:val="on"/>
        </w:trPr>
        <w:tc>
          <w:tcPr/>
          <w:p>
            <w:pPr>
              <w:pStyle w:val="Compact"/>
            </w:pPr>
            <w:r>
              <w:t xml:space="preserve">#</w:t>
            </w:r>
          </w:p>
        </w:tc>
        <w:tc>
          <w:tcPr/>
          <w:p>
            <w:pPr>
              <w:pStyle w:val="Compact"/>
            </w:pPr>
            <w:r>
              <w:t xml:space="preserve">จุดเริ่ม</w:t>
            </w:r>
          </w:p>
        </w:tc>
        <w:tc>
          <w:tcPr/>
          <w:p>
            <w:pPr>
              <w:pStyle w:val="Compact"/>
            </w:pPr>
            <w:r>
              <w:t xml:space="preserve">จุดปลาย</w:t>
            </w:r>
          </w:p>
        </w:tc>
        <w:tc>
          <w:tcPr/>
          <w:p>
            <w:pPr>
              <w:pStyle w:val="Compact"/>
            </w:pPr>
            <w:r>
              <w:t xml:space="preserve">ข้อมูล</w:t>
            </w:r>
          </w:p>
        </w:tc>
        <w:tc>
          <w:tcPr/>
          <w:p>
            <w:pPr>
              <w:pStyle w:val="Compact"/>
            </w:pPr>
            <w:r>
              <w:t xml:space="preserve">การป้องกัน</w:t>
            </w:r>
          </w:p>
        </w:tc>
      </w:tr>
      <w:tr>
        <w:tc>
          <w:tcPr/>
          <w:p>
            <w:pPr>
              <w:pStyle w:val="Compact"/>
            </w:pPr>
            <w:r>
              <w:t xml:space="preserve">F1</w:t>
            </w:r>
          </w:p>
        </w:tc>
        <w:tc>
          <w:tcPr/>
          <w:p>
            <w:pPr>
              <w:pStyle w:val="Compact"/>
            </w:pPr>
            <w:r>
              <w:t xml:space="preserve">Client (Z0)</w:t>
            </w:r>
          </w:p>
        </w:tc>
        <w:tc>
          <w:tcPr/>
          <w:p>
            <w:pPr>
              <w:pStyle w:val="Compact"/>
            </w:pPr>
            <w:r>
              <w:t xml:space="preserve">Vault (Z3) ผ่าน edge</w:t>
            </w:r>
          </w:p>
        </w:tc>
        <w:tc>
          <w:tcPr/>
          <w:p>
            <w:pPr>
              <w:pStyle w:val="Compact"/>
            </w:pPr>
            <w:r>
              <w:t xml:space="preserve">PAN</w:t>
            </w:r>
          </w:p>
        </w:tc>
        <w:tc>
          <w:tcPr/>
          <w:p>
            <w:pPr>
              <w:pStyle w:val="Compact"/>
            </w:pPr>
            <w:r>
              <w:t xml:space="preserve">TLS 1.2+, client-side tokenization, ไม่ผ่าน Z2</w:t>
            </w:r>
          </w:p>
        </w:tc>
      </w:tr>
      <w:tr>
        <w:tc>
          <w:tcPr/>
          <w:p>
            <w:pPr>
              <w:pStyle w:val="Compact"/>
            </w:pPr>
            <w:r>
              <w:t xml:space="preserve">F2</w:t>
            </w:r>
          </w:p>
        </w:tc>
        <w:tc>
          <w:tcPr/>
          <w:p>
            <w:pPr>
              <w:pStyle w:val="Compact"/>
            </w:pPr>
            <w:r>
              <w:t xml:space="preserve">Vault (Z3)</w:t>
            </w:r>
          </w:p>
        </w:tc>
        <w:tc>
          <w:tcPr/>
          <w:p>
            <w:pPr>
              <w:pStyle w:val="Compact"/>
            </w:pPr>
            <w:r>
              <w:t xml:space="preserve">PAN Vault store (Z3)</w:t>
            </w:r>
          </w:p>
        </w:tc>
        <w:tc>
          <w:tcPr/>
          <w:p>
            <w:pPr>
              <w:pStyle w:val="Compact"/>
            </w:pPr>
            <w:r>
              <w:t xml:space="preserve">PAN เข้ารหัส</w:t>
            </w:r>
          </w:p>
        </w:tc>
        <w:tc>
          <w:tcPr/>
          <w:p>
            <w:pPr>
              <w:pStyle w:val="Compact"/>
            </w:pPr>
            <w:r>
              <w:t xml:space="preserve">envelope encryption, คีย์ใน HSM (PCI Req 3)</w:t>
            </w:r>
          </w:p>
        </w:tc>
      </w:tr>
      <w:tr>
        <w:tc>
          <w:tcPr/>
          <w:p>
            <w:pPr>
              <w:pStyle w:val="Compact"/>
            </w:pPr>
            <w:r>
              <w:t xml:space="preserve">F3</w:t>
            </w:r>
          </w:p>
        </w:tc>
        <w:tc>
          <w:tcPr/>
          <w:p>
            <w:pPr>
              <w:pStyle w:val="Compact"/>
            </w:pPr>
            <w:r>
              <w:t xml:space="preserve">Payment Core (Z2)</w:t>
            </w:r>
          </w:p>
        </w:tc>
        <w:tc>
          <w:tcPr/>
          <w:p>
            <w:pPr>
              <w:pStyle w:val="Compact"/>
            </w:pPr>
            <w:r>
              <w:t xml:space="preserve">Vault (Z3)</w:t>
            </w:r>
          </w:p>
        </w:tc>
        <w:tc>
          <w:tcPr/>
          <w:p>
            <w:pPr>
              <w:pStyle w:val="Compact"/>
            </w:pPr>
            <w:r>
              <w:t xml:space="preserve">token → ขอ detokenize</w:t>
            </w:r>
          </w:p>
        </w:tc>
        <w:tc>
          <w:tcPr/>
          <w:p>
            <w:pPr>
              <w:pStyle w:val="Compact"/>
            </w:pPr>
            <w:r>
              <w:t xml:space="preserve">mTLS, RBAC, audit ทุกครั้ง</w:t>
            </w:r>
          </w:p>
        </w:tc>
      </w:tr>
      <w:tr>
        <w:tc>
          <w:tcPr/>
          <w:p>
            <w:pPr>
              <w:pStyle w:val="Compact"/>
            </w:pPr>
            <w:r>
              <w:t xml:space="preserve">F4</w:t>
            </w:r>
          </w:p>
        </w:tc>
        <w:tc>
          <w:tcPr/>
          <w:p>
            <w:pPr>
              <w:pStyle w:val="Compact"/>
            </w:pPr>
            <w:r>
              <w:t xml:space="preserve">Vault (Z3)</w:t>
            </w:r>
          </w:p>
        </w:tc>
        <w:tc>
          <w:tcPr/>
          <w:p>
            <w:pPr>
              <w:pStyle w:val="Compact"/>
            </w:pPr>
            <w:r>
              <w:t xml:space="preserve">Acquirer GW (Z6)</w:t>
            </w:r>
          </w:p>
        </w:tc>
        <w:tc>
          <w:tcPr/>
          <w:p>
            <w:pPr>
              <w:pStyle w:val="Compact"/>
            </w:pPr>
            <w:r>
              <w:t xml:space="preserve">PAN (authorize)</w:t>
            </w:r>
          </w:p>
        </w:tc>
        <w:tc>
          <w:tcPr/>
          <w:p>
            <w:pPr>
              <w:pStyle w:val="Compact"/>
            </w:pPr>
            <w:r>
              <w:t xml:space="preserve">mTLS ภายใน + IPsec/leased line ไป acquirer</w:t>
            </w:r>
          </w:p>
        </w:tc>
      </w:tr>
      <w:tr>
        <w:tc>
          <w:tcPr/>
          <w:p>
            <w:pPr>
              <w:pStyle w:val="Compact"/>
            </w:pPr>
            <w:r>
              <w:t xml:space="preserve">F5</w:t>
            </w:r>
          </w:p>
        </w:tc>
        <w:tc>
          <w:tcPr/>
          <w:p>
            <w:pPr>
              <w:pStyle w:val="Compact"/>
            </w:pPr>
            <w:r>
              <w:t xml:space="preserve">Vault/HSM (Z3)</w:t>
            </w:r>
          </w:p>
        </w:tc>
        <w:tc>
          <w:tcPr/>
          <w:p>
            <w:pPr>
              <w:pStyle w:val="Compact"/>
            </w:pPr>
            <w:r>
              <w:t xml:space="preserve">HSM (Z3)</w:t>
            </w:r>
          </w:p>
        </w:tc>
        <w:tc>
          <w:tcPr/>
          <w:p>
            <w:pPr>
              <w:pStyle w:val="Compact"/>
            </w:pPr>
            <w:r>
              <w:t xml:space="preserve">key operations</w:t>
            </w:r>
          </w:p>
        </w:tc>
        <w:tc>
          <w:tcPr/>
          <w:p>
            <w:pPr>
              <w:pStyle w:val="Compact"/>
            </w:pPr>
            <w:r>
              <w:t xml:space="preserve">dual control, split knowledge (PCI Req 3)</w:t>
            </w:r>
          </w:p>
        </w:tc>
      </w:tr>
    </w:tbl>
    <w:p>
      <w:pPr>
        <w:pStyle w:val="BlockText"/>
      </w:pPr>
      <w:r>
        <w:t xml:space="preserve">เอกสาร data-flow diagram (DFD) ฉบับเต็มต้องปรับปรุงอย่างน้อยปีละครั้งและเมื่อมีการเปลี่ยนแปลงสำคัญ ตาม</w:t>
      </w:r>
      <w:r>
        <w:t xml:space="preserve"> </w:t>
      </w:r>
      <w:r>
        <w:rPr>
          <w:b/>
          <w:bCs/>
        </w:rPr>
        <w:t xml:space="preserve">PCI Req 1.2.4</w:t>
      </w:r>
    </w:p>
    <w:p>
      <w:r>
        <w:pict>
          <v:rect style="width:0;height:1.5pt" o:hralign="center" o:hrstd="t" o:hr="t"/>
        </w:pict>
      </w:r>
    </w:p>
    <w:bookmarkEnd w:id="676"/>
    <w:bookmarkEnd w:id="677"/>
    <w:bookmarkStart w:id="682" w:name="มาตรการแยกสวน-isolation-controls"/>
    <w:p>
      <w:pPr>
        <w:pStyle w:val="Heading2"/>
      </w:pPr>
      <w:r>
        <w:t xml:space="preserve">5. มาตรการแยกส่วน (Isolation Controls)</w:t>
      </w:r>
    </w:p>
    <w:bookmarkStart w:id="678" w:name="การควบคมเครอขาย-network-level"/>
    <w:p>
      <w:pPr>
        <w:pStyle w:val="Heading3"/>
      </w:pPr>
      <w:r>
        <w:t xml:space="preserve">5.1 การควบคุมเครือข่าย (Network-level)</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มาตรการ</w:t>
            </w:r>
          </w:p>
        </w:tc>
        <w:tc>
          <w:tcPr/>
          <w:p>
            <w:pPr>
              <w:pStyle w:val="Compact"/>
            </w:pPr>
            <w:r>
              <w:t xml:space="preserve">รายละเอียด</w:t>
            </w:r>
          </w:p>
        </w:tc>
        <w:tc>
          <w:tcPr/>
          <w:p>
            <w:pPr>
              <w:pStyle w:val="Compact"/>
            </w:pPr>
            <w:r>
              <w:t xml:space="preserve">PCI Req</w:t>
            </w:r>
          </w:p>
        </w:tc>
      </w:tr>
      <w:tr>
        <w:tc>
          <w:tcPr/>
          <w:p>
            <w:pPr>
              <w:pStyle w:val="Compact"/>
            </w:pPr>
            <w:r>
              <w:rPr>
                <w:b/>
                <w:bCs/>
              </w:rPr>
              <w:t xml:space="preserve">Default-deny</w:t>
            </w:r>
          </w:p>
        </w:tc>
        <w:tc>
          <w:tcPr/>
          <w:p>
            <w:pPr>
              <w:pStyle w:val="Compact"/>
            </w:pPr>
            <w:r>
              <w:t xml:space="preserve">firewall/security group ทุกโซนปฏิเสธโดยปริยาย อนุญาตเฉพาะ port/protocol ที่จำเป็นและมีเหตุผลทางธุรกิจ</w:t>
            </w:r>
          </w:p>
        </w:tc>
        <w:tc>
          <w:tcPr/>
          <w:p>
            <w:pPr>
              <w:pStyle w:val="Compact"/>
            </w:pPr>
            <w:r>
              <w:t xml:space="preserve">1.2.1, 1.4</w:t>
            </w:r>
          </w:p>
        </w:tc>
      </w:tr>
      <w:tr>
        <w:tc>
          <w:tcPr/>
          <w:p>
            <w:pPr>
              <w:pStyle w:val="Compact"/>
            </w:pPr>
            <w:r>
              <w:rPr>
                <w:b/>
                <w:bCs/>
              </w:rPr>
              <w:t xml:space="preserve">Micro-segmentation</w:t>
            </w:r>
          </w:p>
        </w:tc>
        <w:tc>
          <w:tcPr/>
          <w:p>
            <w:pPr>
              <w:pStyle w:val="Compact"/>
            </w:pPr>
            <w:r>
              <w:t xml:space="preserve">Z3 (CDE) แยกเป็น subnet/VLAN เฉพาะ เข้าถึงได้เฉพาะจาก Z2 (mTLS) และ Z5 (admin จำกัด) เท่านั้น</w:t>
            </w:r>
          </w:p>
        </w:tc>
        <w:tc>
          <w:tcPr/>
          <w:p>
            <w:pPr>
              <w:pStyle w:val="Compact"/>
            </w:pPr>
            <w:r>
              <w:t xml:space="preserve">1.3</w:t>
            </w:r>
          </w:p>
        </w:tc>
      </w:tr>
      <w:tr>
        <w:tc>
          <w:tcPr/>
          <w:p>
            <w:pPr>
              <w:pStyle w:val="Compact"/>
            </w:pPr>
            <w:r>
              <w:rPr>
                <w:b/>
                <w:bCs/>
              </w:rPr>
              <w:t xml:space="preserve">East-west control</w:t>
            </w:r>
          </w:p>
        </w:tc>
        <w:tc>
          <w:tcPr/>
          <w:p>
            <w:pPr>
              <w:pStyle w:val="Compact"/>
            </w:pPr>
            <w:r>
              <w:t xml:space="preserve">บังคับ mTLS ระหว่าง service ภายใน (ARCHITECTURE §7); ปฏิเสธ lateral movement ระหว่างโซน</w:t>
            </w:r>
          </w:p>
        </w:tc>
        <w:tc>
          <w:tcPr/>
          <w:p>
            <w:pPr>
              <w:pStyle w:val="Compact"/>
            </w:pPr>
            <w:r>
              <w:t xml:space="preserve">1.3, 1.4</w:t>
            </w:r>
          </w:p>
        </w:tc>
      </w:tr>
      <w:tr>
        <w:tc>
          <w:tcPr/>
          <w:p>
            <w:pPr>
              <w:pStyle w:val="Compact"/>
            </w:pPr>
            <w:r>
              <w:rPr>
                <w:b/>
                <w:bCs/>
              </w:rPr>
              <w:t xml:space="preserve">No direct internet ↔ CDE</w:t>
            </w:r>
          </w:p>
        </w:tc>
        <w:tc>
          <w:tcPr/>
          <w:p>
            <w:pPr>
              <w:pStyle w:val="Compact"/>
            </w:pPr>
            <w:r>
              <w:t xml:space="preserve">Z3 ไม่มี route ตรงเข้า/ออก internet ทุกทิศทาง</w:t>
            </w:r>
          </w:p>
        </w:tc>
        <w:tc>
          <w:tcPr/>
          <w:p>
            <w:pPr>
              <w:pStyle w:val="Compact"/>
            </w:pPr>
            <w:r>
              <w:t xml:space="preserve">1.3.1, 1.3.2</w:t>
            </w:r>
          </w:p>
        </w:tc>
      </w:tr>
      <w:tr>
        <w:tc>
          <w:tcPr/>
          <w:p>
            <w:pPr>
              <w:pStyle w:val="Compact"/>
            </w:pPr>
            <w:r>
              <w:rPr>
                <w:b/>
                <w:bCs/>
              </w:rPr>
              <w:t xml:space="preserve">Egress control</w:t>
            </w:r>
          </w:p>
        </w:tc>
        <w:tc>
          <w:tcPr/>
          <w:p>
            <w:pPr>
              <w:pStyle w:val="Compact"/>
            </w:pPr>
            <w:r>
              <w:t xml:space="preserve">Z3 ออกได้เฉพาะปลายทางที่ allowlist (HSM, acquirer GW)</w:t>
            </w:r>
          </w:p>
        </w:tc>
        <w:tc>
          <w:tcPr/>
          <w:p>
            <w:pPr>
              <w:pStyle w:val="Compact"/>
            </w:pPr>
            <w:r>
              <w:t xml:space="preserve">1.3.2</w:t>
            </w:r>
          </w:p>
        </w:tc>
      </w:tr>
      <w:tr>
        <w:tc>
          <w:tcPr/>
          <w:p>
            <w:pPr>
              <w:pStyle w:val="Compact"/>
            </w:pPr>
            <w:r>
              <w:rPr>
                <w:b/>
                <w:bCs/>
              </w:rPr>
              <w:t xml:space="preserve">NTP, DNS, จัดการช่องทาง</w:t>
            </w:r>
          </w:p>
        </w:tc>
        <w:tc>
          <w:tcPr/>
          <w:p>
            <w:pPr>
              <w:pStyle w:val="Compact"/>
            </w:pPr>
            <w:r>
              <w:t xml:space="preserve">ผ่าน jump host/บริการภายในเท่านั้น</w:t>
            </w:r>
          </w:p>
        </w:tc>
        <w:tc>
          <w:tcPr/>
          <w:p>
            <w:pPr>
              <w:pStyle w:val="Compact"/>
            </w:pPr>
            <w:r>
              <w:t xml:space="preserve">1.4</w:t>
            </w:r>
          </w:p>
        </w:tc>
      </w:tr>
    </w:tbl>
    <w:bookmarkEnd w:id="678"/>
    <w:bookmarkStart w:id="679" w:name="การควบคมการเขาถง-access-level"/>
    <w:p>
      <w:pPr>
        <w:pStyle w:val="Heading3"/>
      </w:pPr>
      <w:r>
        <w:t xml:space="preserve">5.2 การควบคุมการเข้าถึง (Access-level)</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มาตรการ</w:t>
            </w:r>
          </w:p>
        </w:tc>
        <w:tc>
          <w:tcPr/>
          <w:p>
            <w:pPr>
              <w:pStyle w:val="Compact"/>
            </w:pPr>
            <w:r>
              <w:t xml:space="preserve">รายละเอียด</w:t>
            </w:r>
          </w:p>
        </w:tc>
        <w:tc>
          <w:tcPr/>
          <w:p>
            <w:pPr>
              <w:pStyle w:val="Compact"/>
            </w:pPr>
            <w:r>
              <w:t xml:space="preserve">PCI Req</w:t>
            </w:r>
          </w:p>
        </w:tc>
      </w:tr>
      <w:tr>
        <w:tc>
          <w:tcPr/>
          <w:p>
            <w:pPr>
              <w:pStyle w:val="Compact"/>
            </w:pPr>
            <w:r>
              <w:rPr>
                <w:b/>
                <w:bCs/>
              </w:rPr>
              <w:t xml:space="preserve">RBAC + least privilege</w:t>
            </w:r>
          </w:p>
        </w:tc>
        <w:tc>
          <w:tcPr/>
          <w:p>
            <w:pPr>
              <w:pStyle w:val="Compact"/>
            </w:pPr>
            <w:r>
              <w:t xml:space="preserve">สิทธิ์ต่ำสุดตามหน้าที่ (ARCHITECTURE §7)</w:t>
            </w:r>
          </w:p>
        </w:tc>
        <w:tc>
          <w:tcPr/>
          <w:p>
            <w:pPr>
              <w:pStyle w:val="Compact"/>
            </w:pPr>
            <w:r>
              <w:t xml:space="preserve">7.2</w:t>
            </w:r>
          </w:p>
        </w:tc>
      </w:tr>
      <w:tr>
        <w:tc>
          <w:tcPr/>
          <w:p>
            <w:pPr>
              <w:pStyle w:val="Compact"/>
            </w:pPr>
            <w:r>
              <w:rPr>
                <w:b/>
                <w:bCs/>
              </w:rPr>
              <w:t xml:space="preserve">MFA บังคับ</w:t>
            </w:r>
          </w:p>
        </w:tc>
        <w:tc>
          <w:tcPr/>
          <w:p>
            <w:pPr>
              <w:pStyle w:val="Compact"/>
            </w:pPr>
            <w:r>
              <w:t xml:space="preserve">ทุกการเข้าถึง CDE และการเข้าถึงระยะไกล/admin</w:t>
            </w:r>
          </w:p>
        </w:tc>
        <w:tc>
          <w:tcPr/>
          <w:p>
            <w:pPr>
              <w:pStyle w:val="Compact"/>
            </w:pPr>
            <w:r>
              <w:t xml:space="preserve">8.4, 8.5</w:t>
            </w:r>
          </w:p>
        </w:tc>
      </w:tr>
      <w:tr>
        <w:tc>
          <w:tcPr/>
          <w:p>
            <w:pPr>
              <w:pStyle w:val="Compact"/>
            </w:pPr>
            <w:r>
              <w:rPr>
                <w:b/>
                <w:bCs/>
              </w:rPr>
              <w:t xml:space="preserve">Bastion/Jump host</w:t>
            </w:r>
          </w:p>
        </w:tc>
        <w:tc>
          <w:tcPr/>
          <w:p>
            <w:pPr>
              <w:pStyle w:val="Compact"/>
            </w:pPr>
            <w:r>
              <w:t xml:space="preserve">admin เข้าถึง Z3 ผ่าน bastion (Z5) เท่านั้น + session recording + เวลาจำกัด (JIT)</w:t>
            </w:r>
          </w:p>
        </w:tc>
        <w:tc>
          <w:tcPr/>
          <w:p>
            <w:pPr>
              <w:pStyle w:val="Compact"/>
            </w:pPr>
            <w:r>
              <w:t xml:space="preserve">7, 8</w:t>
            </w:r>
          </w:p>
        </w:tc>
      </w:tr>
      <w:tr>
        <w:tc>
          <w:tcPr/>
          <w:p>
            <w:pPr>
              <w:pStyle w:val="Compact"/>
            </w:pPr>
            <w:r>
              <w:rPr>
                <w:b/>
                <w:bCs/>
              </w:rPr>
              <w:t xml:space="preserve">แยกหน้าที่ (SoD)</w:t>
            </w:r>
          </w:p>
        </w:tc>
        <w:tc>
          <w:tcPr/>
          <w:p>
            <w:pPr>
              <w:pStyle w:val="Compact"/>
            </w:pPr>
            <w:r>
              <w:t xml:space="preserve">dev ไม่มีสิทธิ์ prod CDE; deploy ผ่าน CI/CD pipeline ที่ควบคุม</w:t>
            </w:r>
          </w:p>
        </w:tc>
        <w:tc>
          <w:tcPr/>
          <w:p>
            <w:pPr>
              <w:pStyle w:val="Compact"/>
            </w:pPr>
            <w:r>
              <w:t xml:space="preserve">6, 7</w:t>
            </w:r>
          </w:p>
        </w:tc>
      </w:tr>
    </w:tbl>
    <w:bookmarkEnd w:id="679"/>
    <w:bookmarkStart w:id="680" w:name="การเขารหสและคย-crypto"/>
    <w:p>
      <w:pPr>
        <w:pStyle w:val="Heading3"/>
      </w:pPr>
      <w:r>
        <w:t xml:space="preserve">5.3 การเข้ารหัสและคีย์ (Crypto)</w:t>
      </w:r>
    </w:p>
    <w:p>
      <w:pPr>
        <w:pStyle w:val="Compact"/>
        <w:numPr>
          <w:ilvl w:val="0"/>
          <w:numId w:val="1277"/>
        </w:numPr>
      </w:pPr>
      <w:r>
        <w:rPr>
          <w:b/>
          <w:bCs/>
        </w:rPr>
        <w:t xml:space="preserve">In transit:</w:t>
      </w:r>
      <w:r>
        <w:t xml:space="preserve"> </w:t>
      </w:r>
      <w:r>
        <w:t xml:space="preserve">TLS 1.2+ ทุกเส้นทาง, mTLS ภายใน (ARCHITECTURE §7) — PCI Req 4</w:t>
      </w:r>
    </w:p>
    <w:p>
      <w:pPr>
        <w:pStyle w:val="Compact"/>
        <w:numPr>
          <w:ilvl w:val="0"/>
          <w:numId w:val="1277"/>
        </w:numPr>
      </w:pPr>
      <w:r>
        <w:rPr>
          <w:b/>
          <w:bCs/>
        </w:rPr>
        <w:t xml:space="preserve">At rest:</w:t>
      </w:r>
      <w:r>
        <w:t xml:space="preserve"> </w:t>
      </w:r>
      <w:r>
        <w:t xml:space="preserve">PAN เข้ารหัสด้วย envelope encryption, คีย์อยู่ใน HSM/KMS, key rotation + dual control + split knowledge — PCI Req 3</w:t>
      </w:r>
    </w:p>
    <w:p>
      <w:pPr>
        <w:pStyle w:val="Compact"/>
        <w:numPr>
          <w:ilvl w:val="0"/>
          <w:numId w:val="1277"/>
        </w:numPr>
      </w:pPr>
      <w:r>
        <w:rPr>
          <w:b/>
          <w:bCs/>
        </w:rPr>
        <w:t xml:space="preserve">ห้ามมีคีย์ในโค้ด/คอนฟิก</w:t>
      </w:r>
      <w:r>
        <w:t xml:space="preserve"> </w:t>
      </w:r>
      <w:r>
        <w:t xml:space="preserve">ใช้ secrets manager (Z5) — PCI Req 3, 6</w:t>
      </w:r>
    </w:p>
    <w:bookmarkEnd w:id="680"/>
    <w:bookmarkStart w:id="681" w:name="การเฝาระวงและตรวจสอบการแยกสวน"/>
    <w:p>
      <w:pPr>
        <w:pStyle w:val="Heading3"/>
      </w:pPr>
      <w:r>
        <w:t xml:space="preserve">5.4 การเฝ้าระวังและตรวจสอบการแยกส่วน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มาตรการ</w:t>
            </w:r>
          </w:p>
        </w:tc>
        <w:tc>
          <w:tcPr/>
          <w:p>
            <w:pPr>
              <w:pStyle w:val="Compact"/>
            </w:pPr>
            <w:r>
              <w:t xml:space="preserve">ความถี่</w:t>
            </w:r>
          </w:p>
        </w:tc>
        <w:tc>
          <w:tcPr/>
          <w:p>
            <w:pPr>
              <w:pStyle w:val="Compact"/>
            </w:pPr>
            <w:r>
              <w:t xml:space="preserve">PCI Req</w:t>
            </w:r>
          </w:p>
        </w:tc>
      </w:tr>
      <w:tr>
        <w:tc>
          <w:tcPr/>
          <w:p>
            <w:pPr>
              <w:pStyle w:val="Compact"/>
            </w:pPr>
            <w:r>
              <w:rPr>
                <w:b/>
                <w:bCs/>
              </w:rPr>
              <w:t xml:space="preserve">Penetration test ยืนยัน segmentation</w:t>
            </w:r>
          </w:p>
        </w:tc>
        <w:tc>
          <w:tcPr/>
          <w:p>
            <w:pPr>
              <w:pStyle w:val="Compact"/>
            </w:pPr>
            <w:r>
              <w:t xml:space="preserve">อย่างน้อยทุก 6 เดือน และหลังเปลี่ยนแปลงสำคัญ</w:t>
            </w:r>
          </w:p>
        </w:tc>
        <w:tc>
          <w:tcPr/>
          <w:p>
            <w:pPr>
              <w:pStyle w:val="Compact"/>
            </w:pPr>
            <w:r>
              <w:t xml:space="preserve">11.4.5</w:t>
            </w:r>
          </w:p>
        </w:tc>
      </w:tr>
      <w:tr>
        <w:tc>
          <w:tcPr/>
          <w:p>
            <w:pPr>
              <w:pStyle w:val="Compact"/>
            </w:pPr>
            <w:r>
              <w:rPr>
                <w:b/>
                <w:bCs/>
              </w:rPr>
              <w:t xml:space="preserve">ASV external scan</w:t>
            </w:r>
          </w:p>
        </w:tc>
        <w:tc>
          <w:tcPr/>
          <w:p>
            <w:pPr>
              <w:pStyle w:val="Compact"/>
            </w:pPr>
            <w:r>
              <w:t xml:space="preserve">รายไตรมาส (quarterly)</w:t>
            </w:r>
          </w:p>
        </w:tc>
        <w:tc>
          <w:tcPr/>
          <w:p>
            <w:pPr>
              <w:pStyle w:val="Compact"/>
            </w:pPr>
            <w:r>
              <w:t xml:space="preserve">11.3.2</w:t>
            </w:r>
          </w:p>
        </w:tc>
      </w:tr>
      <w:tr>
        <w:tc>
          <w:tcPr/>
          <w:p>
            <w:pPr>
              <w:pStyle w:val="Compact"/>
            </w:pPr>
            <w:r>
              <w:rPr>
                <w:b/>
                <w:bCs/>
              </w:rPr>
              <w:t xml:space="preserve">Internal vulnerability scan</w:t>
            </w:r>
          </w:p>
        </w:tc>
        <w:tc>
          <w:tcPr/>
          <w:p>
            <w:pPr>
              <w:pStyle w:val="Compact"/>
            </w:pPr>
            <w:r>
              <w:t xml:space="preserve">รายไตรมาส + หลังเปลี่ยนแปลง</w:t>
            </w:r>
          </w:p>
        </w:tc>
        <w:tc>
          <w:tcPr/>
          <w:p>
            <w:pPr>
              <w:pStyle w:val="Compact"/>
            </w:pPr>
            <w:r>
              <w:t xml:space="preserve">11.3.1</w:t>
            </w:r>
          </w:p>
        </w:tc>
      </w:tr>
      <w:tr>
        <w:tc>
          <w:tcPr/>
          <w:p>
            <w:pPr>
              <w:pStyle w:val="Compact"/>
            </w:pPr>
            <w:r>
              <w:rPr>
                <w:b/>
                <w:bCs/>
              </w:rPr>
              <w:t xml:space="preserve">Firewall/ruleset review</w:t>
            </w:r>
          </w:p>
        </w:tc>
        <w:tc>
          <w:tcPr/>
          <w:p>
            <w:pPr>
              <w:pStyle w:val="Compact"/>
            </w:pPr>
            <w:r>
              <w:t xml:space="preserve">ทุก 6 เดือน</w:t>
            </w:r>
          </w:p>
        </w:tc>
        <w:tc>
          <w:tcPr/>
          <w:p>
            <w:pPr>
              <w:pStyle w:val="Compact"/>
            </w:pPr>
            <w:r>
              <w:t xml:space="preserve">1.2.7</w:t>
            </w:r>
          </w:p>
        </w:tc>
      </w:tr>
      <w:tr>
        <w:tc>
          <w:tcPr/>
          <w:p>
            <w:pPr>
              <w:pStyle w:val="Compact"/>
            </w:pPr>
            <w:r>
              <w:rPr>
                <w:b/>
                <w:bCs/>
              </w:rPr>
              <w:t xml:space="preserve">IDS/IPS + FIM</w:t>
            </w:r>
          </w:p>
        </w:tc>
        <w:tc>
          <w:tcPr/>
          <w:p>
            <w:pPr>
              <w:pStyle w:val="Compact"/>
            </w:pPr>
            <w:r>
              <w:t xml:space="preserve">ต่อเนื่อง (Z1, Z3, Z6)</w:t>
            </w:r>
          </w:p>
        </w:tc>
        <w:tc>
          <w:tcPr/>
          <w:p>
            <w:pPr>
              <w:pStyle w:val="Compact"/>
            </w:pPr>
            <w:r>
              <w:t xml:space="preserve">11.5</w:t>
            </w:r>
          </w:p>
        </w:tc>
      </w:tr>
      <w:tr>
        <w:tc>
          <w:tcPr/>
          <w:p>
            <w:pPr>
              <w:pStyle w:val="Compact"/>
            </w:pPr>
            <w:r>
              <w:rPr>
                <w:b/>
                <w:bCs/>
              </w:rPr>
              <w:t xml:space="preserve">Centralized logging (SIEM)</w:t>
            </w:r>
          </w:p>
        </w:tc>
        <w:tc>
          <w:tcPr/>
          <w:p>
            <w:pPr>
              <w:pStyle w:val="Compact"/>
            </w:pPr>
            <w:r>
              <w:t xml:space="preserve">real-time, ไม่มี card data ใน log (ARCHITECTURE §7)</w:t>
            </w:r>
          </w:p>
        </w:tc>
        <w:tc>
          <w:tcPr/>
          <w:p>
            <w:pPr>
              <w:pStyle w:val="Compact"/>
            </w:pPr>
            <w:r>
              <w:t xml:space="preserve">10.2–10.7</w:t>
            </w:r>
          </w:p>
        </w:tc>
      </w:tr>
    </w:tbl>
    <w:p>
      <w:r>
        <w:pict>
          <v:rect style="width:0;height:1.5pt" o:hralign="center" o:hrstd="t" o:hr="t"/>
        </w:pict>
      </w:r>
    </w:p>
    <w:bookmarkEnd w:id="681"/>
    <w:bookmarkEnd w:id="682"/>
    <w:bookmarkStart w:id="683" w:name="บทบาทและความรบผดชอบ-raci-ยอ"/>
    <w:p>
      <w:pPr>
        <w:pStyle w:val="Heading2"/>
      </w:pPr>
      <w:r>
        <w:t xml:space="preserve">6. บทบาทและความรับผิดชอบ (RACI ย่อ)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กิจกรรม</w:t>
            </w:r>
          </w:p>
        </w:tc>
        <w:tc>
          <w:tcPr/>
          <w:p>
            <w:pPr>
              <w:pStyle w:val="Compact"/>
            </w:pPr>
            <w:r>
              <w:t xml:space="preserve">CISO</w:t>
            </w:r>
          </w:p>
        </w:tc>
        <w:tc>
          <w:tcPr/>
          <w:p>
            <w:pPr>
              <w:pStyle w:val="Compact"/>
            </w:pPr>
            <w:r>
              <w:t xml:space="preserve">DevSecOps</w:t>
            </w:r>
          </w:p>
        </w:tc>
        <w:tc>
          <w:tcPr/>
          <w:p>
            <w:pPr>
              <w:pStyle w:val="Compact"/>
            </w:pPr>
            <w:r>
              <w:t xml:space="preserve">SRE/Infra</w:t>
            </w:r>
          </w:p>
        </w:tc>
        <w:tc>
          <w:tcPr/>
          <w:p>
            <w:pPr>
              <w:pStyle w:val="Compact"/>
            </w:pPr>
            <w:r>
              <w:t xml:space="preserve">QSA (ภายนอก)</w:t>
            </w:r>
          </w:p>
        </w:tc>
      </w:tr>
      <w:tr>
        <w:tc>
          <w:tcPr/>
          <w:p>
            <w:pPr>
              <w:pStyle w:val="Compact"/>
            </w:pPr>
            <w:r>
              <w:t xml:space="preserve">นิยาม CDE scope &amp; DFD</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r>
      <w:tr>
        <w:tc>
          <w:tcPr/>
          <w:p>
            <w:pPr>
              <w:pStyle w:val="Compact"/>
            </w:pPr>
            <w:r>
              <w:t xml:space="preserve">ตั้งค่า/ทบทวน firewall</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Segmentation pentest</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r>
      <w:tr>
        <w:tc>
          <w:tcPr/>
          <w:p>
            <w:pPr>
              <w:pStyle w:val="Compact"/>
            </w:pPr>
            <w:r>
              <w:t xml:space="preserve">Quarterly ASV scan</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R (ASV)</w:t>
            </w:r>
          </w:p>
        </w:tc>
      </w:tr>
      <w:tr>
        <w:tc>
          <w:tcPr/>
          <w:p>
            <w:pPr>
              <w:pStyle w:val="Compact"/>
            </w:pPr>
            <w:r>
              <w:t xml:space="preserve">Ruleset review 6 เดือน</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จัดการ HSM/KMS (dual control)</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r>
    </w:tbl>
    <w:p>
      <w:pPr>
        <w:pStyle w:val="BodyText"/>
      </w:pPr>
      <w:r>
        <w:t xml:space="preserve">(R=รับผิดชอบทำ, A=อนุมัติ/รับผิดชอบสุดท้าย, C=ปรึกษา, I=แจ้งทราบ)</w:t>
      </w:r>
    </w:p>
    <w:p>
      <w:r>
        <w:pict>
          <v:rect style="width:0;height:1.5pt" o:hralign="center" o:hrstd="t" o:hr="t"/>
        </w:pict>
      </w:r>
    </w:p>
    <w:bookmarkEnd w:id="683"/>
    <w:bookmarkStart w:id="684" w:name="การกำกบ-ทบทวน-และสอดคลองกฎระเบยบไทย"/>
    <w:p>
      <w:pPr>
        <w:pStyle w:val="Heading2"/>
      </w:pPr>
      <w:r>
        <w:t xml:space="preserve">7. การกำกับ ทบทวน และสอดคล้องกฎระเบียบไทย</w:t>
      </w:r>
    </w:p>
    <w:p>
      <w:pPr>
        <w:pStyle w:val="Compact"/>
        <w:numPr>
          <w:ilvl w:val="0"/>
          <w:numId w:val="1278"/>
        </w:numPr>
      </w:pPr>
      <w:r>
        <w:rPr>
          <w:b/>
          <w:bCs/>
        </w:rPr>
        <w:t xml:space="preserve">ธปท.:</w:t>
      </w:r>
      <w:r>
        <w:t xml:space="preserve"> </w:t>
      </w:r>
      <w:r>
        <w:t xml:space="preserve">สอดคล้องประกาศด้าน IT risk / cyber resilience — เอกสาร segmentation นี้เป็นส่วนหนึ่งของการยื่นและการตรวจ on-site</w:t>
      </w:r>
    </w:p>
    <w:p>
      <w:pPr>
        <w:pStyle w:val="Compact"/>
        <w:numPr>
          <w:ilvl w:val="0"/>
          <w:numId w:val="1278"/>
        </w:numPr>
      </w:pPr>
      <w:r>
        <w:rPr>
          <w:b/>
          <w:bCs/>
        </w:rPr>
        <w:t xml:space="preserve">PDPA / PDPC:</w:t>
      </w:r>
      <w:r>
        <w:t xml:space="preserve"> </w:t>
      </w:r>
      <w:r>
        <w:t xml:space="preserve">การแยก CDE สนับสนุนหลัก data minimization และความมั่นคงปลอดภัย (มาตรา 37) — สอดคล้อง</w:t>
      </w:r>
      <w:r>
        <w:t xml:space="preserve"> </w:t>
      </w:r>
      <w:r>
        <w:rPr>
          <w:rStyle w:val="VerbatimChar"/>
        </w:rPr>
        <w:t xml:space="preserve">09-pdpa-privacy-policy.md</w:t>
      </w:r>
    </w:p>
    <w:p>
      <w:pPr>
        <w:pStyle w:val="Compact"/>
        <w:numPr>
          <w:ilvl w:val="0"/>
          <w:numId w:val="1278"/>
        </w:numPr>
      </w:pPr>
      <w:r>
        <w:rPr>
          <w:b/>
          <w:bCs/>
        </w:rPr>
        <w:t xml:space="preserve">ปปง./AMLO:</w:t>
      </w:r>
      <w:r>
        <w:t xml:space="preserve"> </w:t>
      </w:r>
      <w:r>
        <w:t xml:space="preserve">เส้นทางข้อมูลธุรกรรมและ audit log (Z4) รองรับการรายงานและการเก็บหลักฐาน</w:t>
      </w:r>
    </w:p>
    <w:p>
      <w:pPr>
        <w:pStyle w:val="Compact"/>
        <w:numPr>
          <w:ilvl w:val="0"/>
          <w:numId w:val="1278"/>
        </w:numPr>
      </w:pPr>
      <w:r>
        <w:rPr>
          <w:b/>
          <w:bCs/>
        </w:rPr>
        <w:t xml:space="preserve">รอบทบทวน:</w:t>
      </w:r>
      <w:r>
        <w:t xml:space="preserve"> </w:t>
      </w:r>
      <w:r>
        <w:t xml:space="preserve">เอกสารนี้และแผนภาพต้องทบทวนอย่างน้อย</w:t>
      </w:r>
      <w:r>
        <w:t xml:space="preserve"> </w:t>
      </w:r>
      <w:r>
        <w:rPr>
          <w:b/>
          <w:bCs/>
        </w:rPr>
        <w:t xml:space="preserve">ปีละครั้ง</w:t>
      </w:r>
      <w:r>
        <w:t xml:space="preserve"> </w:t>
      </w:r>
      <w:r>
        <w:t xml:space="preserve">และเมื่อมีการเปลี่ยนแปลงสถาปัตยกรรม/ผู้ให้บริการภายนอกสำคัญ (PCI Req 1.2.4)</w:t>
      </w:r>
    </w:p>
    <w:bookmarkEnd w:id="684"/>
    <w:bookmarkEnd w:id="685"/>
    <w:bookmarkStart w:id="701" w:name="X00103d0fabd1ef7fe693539625f68df8305fa6e"/>
    <w:p>
      <w:pPr>
        <w:pStyle w:val="Heading1"/>
      </w:pPr>
      <w:r>
        <w:t xml:space="preserve">Network segmentation diagram + Cardholder Data Environment scope map, isolation controls (English)</w:t>
      </w:r>
    </w:p>
    <w:p>
      <w:pPr>
        <w:pStyle w:val="BlockText"/>
      </w:pPr>
      <w:r>
        <w:t xml:space="preserve">Supporting document for the</w:t>
      </w:r>
      <w:r>
        <w:t xml:space="preserve"> </w:t>
      </w:r>
      <w:r>
        <w:rPr>
          <w:b/>
          <w:bCs/>
        </w:rPr>
        <w:t xml:space="preserve">Electronic Payment Acquiring Service (Full Acquiring)</w:t>
      </w:r>
      <w:r>
        <w:t xml:space="preserve"> </w:t>
      </w:r>
      <w:r>
        <w:t xml:space="preserve">license application under the Payment Systems Act B.E. 2560 to the Bank of Thailand (BOT), and for the</w:t>
      </w:r>
      <w:r>
        <w:t xml:space="preserve"> </w:t>
      </w:r>
      <w:r>
        <w:rPr>
          <w:b/>
          <w:bCs/>
        </w:rPr>
        <w:t xml:space="preserve">PCI-DSS v4.0 Level 1</w:t>
      </w:r>
      <w:r>
        <w:t xml:space="preserve"> </w:t>
      </w:r>
      <w:r>
        <w:t xml:space="preserve">assessment (Requirement 1).</w:t>
      </w:r>
    </w:p>
    <w:p>
      <w:pPr>
        <w:pStyle w:val="BlockText"/>
      </w:pPr>
      <w:r>
        <w:t xml:space="preserve">Document No.:</w:t>
      </w:r>
      <w:r>
        <w:t xml:space="preserve"> </w:t>
      </w:r>
      <w:r>
        <w:rPr>
          <w:rStyle w:val="VerbatimChar"/>
        </w:rPr>
        <w:t xml:space="preserve">COMP-20</w:t>
      </w:r>
      <w:r>
        <w:t xml:space="preserve"> </w:t>
      </w:r>
      <w:r>
        <w:t xml:space="preserve">· Version 1.0 · Owner: Chief Information Security Officer (CISO) / DevSecOps</w:t>
      </w:r>
      <w:r>
        <w:t xml:space="preserve"> </w:t>
      </w:r>
      <w:r>
        <w:t xml:space="preserve">References: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docs/compliance/09-pdpa-privacy-policy.md</w:t>
      </w:r>
    </w:p>
    <w:p>
      <w:pPr>
        <w:pStyle w:val="BlockText"/>
      </w:pPr>
      <w:r>
        <w:rPr>
          <w:b/>
          <w:bCs/>
        </w:rPr>
        <w:t xml:space="preserve">Note:</w:t>
      </w:r>
      <w:r>
        <w:t xml:space="preserve"> </w:t>
      </w:r>
      <w:r>
        <w:t xml:space="preserve">This is an internal technical/policy document, not legal advice. It must be reviewed by legal counsel and the QSA before actual submission.</w:t>
      </w:r>
    </w:p>
    <w:p>
      <w:r>
        <w:pict>
          <v:rect style="width:0;height:1.5pt" o:hralign="center" o:hrstd="t" o:hr="t"/>
        </w:pict>
      </w:r>
    </w:p>
    <w:p>
      <w:pPr>
        <w:pStyle w:val="Heading3"/>
      </w:pPr>
      <w:bookmarkStart w:id="686" w:name="assumptions-todo-5"/>
      <w:r>
        <w:t xml:space="preserve">⚠️ Assumptions / TODO</w:t>
      </w:r>
      <w:bookmarkEnd w:id="686"/>
    </w:p>
    <w:p>
      <w:pPr>
        <w:pStyle w:val="BlockText"/>
      </w:pPr>
      <w:r>
        <w:t xml:space="preserve">The following depend on external parties not yet finalized — do NOT treat as fact until confirmed:</w:t>
      </w:r>
      <w:r>
        <w:t xml:space="preserve"> </w:t>
      </w:r>
      <w:r>
        <w:t xml:space="preserve">-</w:t>
      </w:r>
      <w:r>
        <w:t xml:space="preserve"> </w:t>
      </w:r>
      <w:r>
        <w:rPr>
          <w:b/>
          <w:bCs/>
        </w:rPr>
        <w:t xml:space="preserve">[TODO — Sponsor Bank / Acquirer]</w:t>
      </w:r>
      <w:r>
        <w:t xml:space="preserve"> </w:t>
      </w:r>
      <w:r>
        <w:t xml:space="preserve">Sponsoring bank and card scheme (Visa/Mastercard) not yet signed — connectivity method (leased line / MPLS / IPsec VPN to the acquirer switch), IP ranges and ISO 8583 ports will be defined post-signing.</w:t>
      </w:r>
      <w:r>
        <w:t xml:space="preserve"> </w:t>
      </w:r>
      <w:r>
        <w:t xml:space="preserve">-</w:t>
      </w:r>
      <w:r>
        <w:t xml:space="preserve"> </w:t>
      </w:r>
      <w:r>
        <w:rPr>
          <w:b/>
          <w:bCs/>
        </w:rPr>
        <w:t xml:space="preserve">[TODO — QSA / ASV]</w:t>
      </w:r>
      <w:r>
        <w:t xml:space="preserve"> </w:t>
      </w:r>
      <w:r>
        <w:t xml:space="preserve">PCI-DSS Qualified Security Assessor and ASV not yet selected — CDE scope, segmentation definition, and the penetration test that validates isolation (PCI Req 11.4.5) must be QSA-confirmed.</w:t>
      </w:r>
      <w:r>
        <w:t xml:space="preserve"> </w:t>
      </w:r>
      <w:r>
        <w:t xml:space="preserve">-</w:t>
      </w:r>
      <w:r>
        <w:t xml:space="preserve"> </w:t>
      </w:r>
      <w:r>
        <w:rPr>
          <w:b/>
          <w:bCs/>
        </w:rPr>
        <w:t xml:space="preserve">[TODO — Cloud / Data Residency]</w:t>
      </w:r>
      <w:r>
        <w:t xml:space="preserve"> </w:t>
      </w:r>
      <w:r>
        <w:t xml:space="preserve">Cloud provider and region not finalized — data must reside in Thailand per BOT/PDPA (ARCHITECTURE §8); if cloud is used, an in-country region and contractual evidence are required.</w:t>
      </w:r>
      <w:r>
        <w:t xml:space="preserve"> </w:t>
      </w:r>
      <w:r>
        <w:t xml:space="preserve">-</w:t>
      </w:r>
      <w:r>
        <w:t xml:space="preserve"> </w:t>
      </w:r>
      <w:r>
        <w:rPr>
          <w:b/>
          <w:bCs/>
        </w:rPr>
        <w:t xml:space="preserve">[TODO — HSM/KMS Vendor]</w:t>
      </w:r>
      <w:r>
        <w:t xml:space="preserve"> </w:t>
      </w:r>
      <w:r>
        <w:t xml:space="preserve">HSM/KMS vendor not selected (e.g. on-prem FIPS 140-2/140-3 Level 3 HSM, or cloud HSM) — placement in the network zone and dual-control mechanism must be confirmed.</w:t>
      </w:r>
      <w:r>
        <w:t xml:space="preserve"> </w:t>
      </w:r>
      <w:r>
        <w:t xml:space="preserve">-</w:t>
      </w:r>
      <w:r>
        <w:t xml:space="preserve"> </w:t>
      </w:r>
      <w:r>
        <w:rPr>
          <w:b/>
          <w:bCs/>
        </w:rPr>
        <w:t xml:space="preserve">[TODO — Registered Capital]</w:t>
      </w:r>
      <w:r>
        <w:t xml:space="preserve"> </w:t>
      </w:r>
      <w:r>
        <w:t xml:space="preserve">Target paid-up capital</w:t>
      </w:r>
      <w:r>
        <w:t xml:space="preserve"> </w:t>
      </w:r>
      <w:r>
        <w:rPr>
          <w:b/>
          <w:bCs/>
        </w:rPr>
        <w:t xml:space="preserve">THB 50M</w:t>
      </w:r>
      <w:r>
        <w:t xml:space="preserve"> </w:t>
      </w:r>
      <w:r>
        <w:t xml:space="preserve">(Full Acquiring) — actual paid amount to be confirmed and maintained ≥ 75% throughout operations.</w:t>
      </w:r>
      <w:r>
        <w:t xml:space="preserve"> </w:t>
      </w:r>
      <w:r>
        <w:t xml:space="preserve">-</w:t>
      </w:r>
      <w:r>
        <w:t xml:space="preserve"> </w:t>
      </w:r>
      <w:r>
        <w:rPr>
          <w:b/>
          <w:bCs/>
        </w:rPr>
        <w:t xml:space="preserve">[TODO — Company name / real IP ranges]</w:t>
      </w:r>
      <w:r>
        <w:t xml:space="preserve"> </w:t>
      </w:r>
      <w:r>
        <w:rPr>
          <w:rStyle w:val="VerbatimChar"/>
        </w:rPr>
        <w:t xml:space="preserve">[บริษัท / Company]</w:t>
      </w:r>
      <w:r>
        <w:t xml:space="preserve">, actual IP/VLAN/subnet ranges, and VPC/subscription names must be filled in before submission and on-site assessment.</w:t>
      </w:r>
    </w:p>
    <w:p>
      <w:r>
        <w:pict>
          <v:rect style="width:0;height:1.5pt" o:hralign="center" o:hrstd="t" o:hr="t"/>
        </w:pict>
      </w:r>
    </w:p>
    <w:bookmarkStart w:id="688" w:name="purpose-and-scope-2"/>
    <w:p>
      <w:pPr>
        <w:pStyle w:val="Heading2"/>
      </w:pPr>
      <w:r>
        <w:t xml:space="preserve">1. Purpose and Scope</w:t>
      </w:r>
    </w:p>
    <w:p>
      <w:pPr>
        <w:pStyle w:val="FirstParagraph"/>
      </w:pPr>
      <w:r>
        <w:t xml:space="preserve">This document defines (a) the network segmentation diagram, (b) the Cardholder Data Environment (CDE) scope map, and (c) the isolation controls for</w:t>
      </w:r>
      <w:r>
        <w:t xml:space="preserve"> </w:t>
      </w:r>
      <w:r>
        <w:rPr>
          <w:rStyle w:val="VerbatimChar"/>
        </w:rPr>
        <w:t xml:space="preserve">[บริษัท / Company]</w:t>
      </w:r>
      <w:r>
        <w:t xml:space="preserve">, in order to minimize the PCI-DSS scope. It aligns with</w:t>
      </w:r>
      <w:r>
        <w:t xml:space="preserve"> </w:t>
      </w:r>
      <w:r>
        <w:rPr>
          <w:b/>
          <w:bCs/>
        </w:rPr>
        <w:t xml:space="preserve">PCI-DSS v4.0 Requirement 1</w:t>
      </w:r>
      <w:r>
        <w:t xml:space="preserve"> </w:t>
      </w:r>
      <w:r>
        <w:t xml:space="preserve">(Install and Maintain Network Security Controls) and the</w:t>
      </w:r>
      <w:r>
        <w:t xml:space="preserve"> </w:t>
      </w:r>
      <w:r>
        <w:rPr>
          <w:b/>
          <w:bCs/>
        </w:rPr>
        <w:t xml:space="preserve">scope minimization</w:t>
      </w:r>
      <w:r>
        <w:t xml:space="preserve"> </w:t>
      </w:r>
      <w:r>
        <w:t xml:space="preserve">principle in</w:t>
      </w:r>
      <w:r>
        <w:t xml:space="preserve"> </w:t>
      </w:r>
      <w:r>
        <w:rPr>
          <w:rStyle w:val="VerbatimChar"/>
        </w:rPr>
        <w:t xml:space="preserve">ARCHITECTURE.md</w:t>
      </w:r>
      <w:r>
        <w:t xml:space="preserve"> </w:t>
      </w:r>
      <w:r>
        <w:t xml:space="preserve">§2, §7.</w:t>
      </w:r>
    </w:p>
    <w:p>
      <w:pPr>
        <w:pStyle w:val="BodyText"/>
      </w:pPr>
      <w:r>
        <w:rPr>
          <w:b/>
          <w:bCs/>
        </w:rPr>
        <w:t xml:space="preserve">Guiding principle:</w:t>
      </w:r>
      <w:r>
        <w:t xml:space="preserve"> </w:t>
      </w:r>
      <w:r>
        <w:t xml:space="preserve">cardholder data must be kept out of scope as much as possible; the core system sees only</w:t>
      </w:r>
      <w:r>
        <w:t xml:space="preserve"> </w:t>
      </w:r>
      <w:r>
        <w:rPr>
          <w:rStyle w:val="VerbatimChar"/>
        </w:rPr>
        <w:t xml:space="preserve">token</w:t>
      </w:r>
      <w:r>
        <w:t xml:space="preserve"> </w:t>
      </w:r>
      <w:r>
        <w:t xml:space="preserve">+</w:t>
      </w:r>
      <w:r>
        <w:t xml:space="preserve"> </w:t>
      </w:r>
      <w:r>
        <w:rPr>
          <w:rStyle w:val="VerbatimChar"/>
        </w:rPr>
        <w:t xml:space="preserve">card_last4</w:t>
      </w:r>
      <w:r>
        <w:t xml:space="preserve"> </w:t>
      </w:r>
      <w:r>
        <w:t xml:space="preserve">+</w:t>
      </w:r>
      <w:r>
        <w:t xml:space="preserve"> </w:t>
      </w:r>
      <w:r>
        <w:rPr>
          <w:rStyle w:val="VerbatimChar"/>
        </w:rPr>
        <w:t xml:space="preserve">card_brand</w:t>
      </w:r>
      <w:r>
        <w:t xml:space="preserve"> </w:t>
      </w:r>
      <w:r>
        <w:t xml:space="preserve">(ARCHITECTURE §2, §6). The true CDE is confined to the</w:t>
      </w:r>
      <w:r>
        <w:t xml:space="preserve"> </w:t>
      </w:r>
      <w:r>
        <w:rPr>
          <w:b/>
          <w:bCs/>
        </w:rPr>
        <w:t xml:space="preserve">Tokenization Vault segment</w:t>
      </w:r>
      <w:r>
        <w:t xml:space="preserve"> </w:t>
      </w:r>
      <w:r>
        <w:t xml:space="preserve">only.</w:t>
      </w:r>
    </w:p>
    <w:bookmarkStart w:id="687" w:name="key-definitions"/>
    <w:p>
      <w:pPr>
        <w:pStyle w:val="Heading3"/>
      </w:pPr>
      <w:r>
        <w:t xml:space="preserve">Key definitions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CDE</w:t>
            </w:r>
          </w:p>
        </w:tc>
        <w:tc>
          <w:tcPr/>
          <w:p>
            <w:pPr>
              <w:pStyle w:val="Compact"/>
            </w:pPr>
            <w:r>
              <w:t xml:space="preserve">Portion of the network/systems that</w:t>
            </w:r>
            <w:r>
              <w:t xml:space="preserve"> </w:t>
            </w:r>
            <w:r>
              <w:rPr>
                <w:b/>
                <w:bCs/>
              </w:rPr>
              <w:t xml:space="preserve">stores, processes, or transmits</w:t>
            </w:r>
            <w:r>
              <w:t xml:space="preserve"> </w:t>
            </w:r>
            <w:r>
              <w:t xml:space="preserve">CHD (PAN) or SAD</w:t>
            </w:r>
          </w:p>
        </w:tc>
      </w:tr>
      <w:tr>
        <w:tc>
          <w:tcPr/>
          <w:p>
            <w:pPr>
              <w:pStyle w:val="Compact"/>
            </w:pPr>
            <w:r>
              <w:rPr>
                <w:b/>
                <w:bCs/>
              </w:rPr>
              <w:t xml:space="preserve">CHD</w:t>
            </w:r>
          </w:p>
        </w:tc>
        <w:tc>
          <w:tcPr/>
          <w:p>
            <w:pPr>
              <w:pStyle w:val="Compact"/>
            </w:pPr>
            <w:r>
              <w:t xml:space="preserve">PAN, cardholder name, expiry date, service code</w:t>
            </w:r>
          </w:p>
        </w:tc>
      </w:tr>
      <w:tr>
        <w:tc>
          <w:tcPr/>
          <w:p>
            <w:pPr>
              <w:pStyle w:val="Compact"/>
            </w:pPr>
            <w:r>
              <w:rPr>
                <w:b/>
                <w:bCs/>
              </w:rPr>
              <w:t xml:space="preserve">SAD</w:t>
            </w:r>
          </w:p>
        </w:tc>
        <w:tc>
          <w:tcPr/>
          <w:p>
            <w:pPr>
              <w:pStyle w:val="Compact"/>
            </w:pPr>
            <w:r>
              <w:t xml:space="preserve">Full track, CAV2/CVC2/CVV2/CID, PIN/PIN block —</w:t>
            </w:r>
            <w:r>
              <w:t xml:space="preserve"> </w:t>
            </w:r>
            <w:r>
              <w:rPr>
                <w:b/>
                <w:bCs/>
              </w:rPr>
              <w:t xml:space="preserve">must not be stored post-authorization</w:t>
            </w:r>
            <w:r>
              <w:t xml:space="preserve"> </w:t>
            </w:r>
            <w:r>
              <w:t xml:space="preserve">(PCI Req 3.3)</w:t>
            </w:r>
          </w:p>
        </w:tc>
      </w:tr>
      <w:tr>
        <w:tc>
          <w:tcPr/>
          <w:p>
            <w:pPr>
              <w:pStyle w:val="Compact"/>
            </w:pPr>
            <w:r>
              <w:rPr>
                <w:b/>
                <w:bCs/>
              </w:rPr>
              <w:t xml:space="preserve">Connected-to / Security-impacting</w:t>
            </w:r>
          </w:p>
        </w:tc>
        <w:tc>
          <w:tcPr/>
          <w:p>
            <w:pPr>
              <w:pStyle w:val="Compact"/>
            </w:pPr>
            <w:r>
              <w:t xml:space="preserve">Systems that do not store CHD but connect to, or can impact the security of, the CDE (in-scope, lower tier)</w:t>
            </w:r>
          </w:p>
        </w:tc>
      </w:tr>
      <w:tr>
        <w:tc>
          <w:tcPr/>
          <w:p>
            <w:pPr>
              <w:pStyle w:val="Compact"/>
            </w:pPr>
            <w:r>
              <w:rPr>
                <w:b/>
                <w:bCs/>
              </w:rPr>
              <w:t xml:space="preserve">Out-of-scope</w:t>
            </w:r>
          </w:p>
        </w:tc>
        <w:tc>
          <w:tcPr/>
          <w:p>
            <w:pPr>
              <w:pStyle w:val="Compact"/>
            </w:pPr>
            <w:r>
              <w:t xml:space="preserve">Systems with proven segmentation and no path to the CDE</w:t>
            </w:r>
          </w:p>
        </w:tc>
      </w:tr>
    </w:tbl>
    <w:p>
      <w:r>
        <w:pict>
          <v:rect style="width:0;height:1.5pt" o:hralign="center" o:hrstd="t" o:hr="t"/>
        </w:pict>
      </w:r>
    </w:p>
    <w:bookmarkEnd w:id="687"/>
    <w:bookmarkEnd w:id="688"/>
    <w:bookmarkStart w:id="689" w:name="network-zoning-model"/>
    <w:p>
      <w:pPr>
        <w:pStyle w:val="Heading2"/>
      </w:pPr>
      <w:r>
        <w:t xml:space="preserve">2. Network Zoning Model</w:t>
      </w:r>
    </w:p>
    <w:p>
      <w:pPr>
        <w:pStyle w:val="FirstParagraph"/>
      </w:pPr>
      <w:r>
        <w:rPr>
          <w:rStyle w:val="VerbatimChar"/>
        </w:rPr>
        <w:t xml:space="preserve">[บริษัท / Company]</w:t>
      </w:r>
      <w:r>
        <w:t xml:space="preserve"> </w:t>
      </w:r>
      <w:r>
        <w:t xml:space="preserve">uses a defense-in-depth architecture split into 6 logical zones. Each zone is a separate subnet/VLAN with security groups / NACLs controlling both north-south and east-west traffic (default-deny).</w:t>
      </w:r>
    </w:p>
    <w:tbl>
      <w:tblPr>
        <w:tblStyle w:val="Table"/>
        <w:tblW w:type="pct" w:w="5000"/>
        <w:tblLayout w:type="fixed"/>
        <w:tblLook w:firstRow="1" w:lastRow="0" w:firstColumn="0" w:lastColumn="0" w:noHBand="0" w:noVBand="0" w:val="0020"/>
      </w:tblPr>
      <w:tblGrid>
        <w:gridCol w:w="1188"/>
        <w:gridCol w:w="1188"/>
        <w:gridCol w:w="2178"/>
        <w:gridCol w:w="3366"/>
      </w:tblGrid>
      <w:tr>
        <w:trPr>
          <w:tblHeader w:val="on"/>
        </w:trPr>
        <w:tc>
          <w:tcPr/>
          <w:p>
            <w:pPr>
              <w:pStyle w:val="Compact"/>
            </w:pPr>
            <w:r>
              <w:t xml:space="preserve">Zone</w:t>
            </w:r>
          </w:p>
        </w:tc>
        <w:tc>
          <w:tcPr/>
          <w:p>
            <w:pPr>
              <w:pStyle w:val="Compact"/>
            </w:pPr>
            <w:r>
              <w:t xml:space="preserve">Name</w:t>
            </w:r>
          </w:p>
        </w:tc>
        <w:tc>
          <w:tcPr/>
          <w:p>
            <w:pPr>
              <w:pStyle w:val="Compact"/>
            </w:pPr>
            <w:r>
              <w:t xml:space="preserve">PCI Scope</w:t>
            </w:r>
          </w:p>
        </w:tc>
        <w:tc>
          <w:tcPr/>
          <w:p>
            <w:pPr>
              <w:pStyle w:val="Compact"/>
            </w:pPr>
            <w:r>
              <w:t xml:space="preserve">Example systems</w:t>
            </w:r>
          </w:p>
        </w:tc>
      </w:tr>
      <w:tr>
        <w:tc>
          <w:tcPr/>
          <w:p>
            <w:pPr>
              <w:pStyle w:val="Compact"/>
            </w:pPr>
            <w:r>
              <w:t xml:space="preserve">Z0</w:t>
            </w:r>
          </w:p>
        </w:tc>
        <w:tc>
          <w:tcPr/>
          <w:p>
            <w:pPr>
              <w:pStyle w:val="Compact"/>
            </w:pPr>
            <w:r>
              <w:t xml:space="preserve">Untrusted / Internet</w:t>
            </w:r>
          </w:p>
        </w:tc>
        <w:tc>
          <w:tcPr/>
          <w:p>
            <w:pPr>
              <w:pStyle w:val="Compact"/>
            </w:pPr>
            <w:r>
              <w:t xml:space="preserve">Out of scope</w:t>
            </w:r>
          </w:p>
        </w:tc>
        <w:tc>
          <w:tcPr/>
          <w:p>
            <w:pPr>
              <w:pStyle w:val="Compact"/>
            </w:pPr>
            <w:r>
              <w:t xml:space="preserve">Cardholders, merchant clients, banks (via public edge)</w:t>
            </w:r>
          </w:p>
        </w:tc>
      </w:tr>
      <w:tr>
        <w:tc>
          <w:tcPr/>
          <w:p>
            <w:pPr>
              <w:pStyle w:val="Compact"/>
            </w:pPr>
            <w:r>
              <w:t xml:space="preserve">Z1</w:t>
            </w:r>
          </w:p>
        </w:tc>
        <w:tc>
          <w:tcPr/>
          <w:p>
            <w:pPr>
              <w:pStyle w:val="Compact"/>
            </w:pPr>
            <w:r>
              <w:t xml:space="preserve">Edge / DMZ</w:t>
            </w:r>
          </w:p>
        </w:tc>
        <w:tc>
          <w:tcPr/>
          <w:p>
            <w:pPr>
              <w:pStyle w:val="Compact"/>
            </w:pPr>
            <w:r>
              <w:t xml:space="preserve">Connected-to</w:t>
            </w:r>
          </w:p>
        </w:tc>
        <w:tc>
          <w:tcPr/>
          <w:p>
            <w:pPr>
              <w:pStyle w:val="Compact"/>
            </w:pPr>
            <w:r>
              <w:t xml:space="preserve">WAF, reverse proxy, DDoS scrubbing, load balancer, 3DS redirect endpoint</w:t>
            </w:r>
          </w:p>
        </w:tc>
      </w:tr>
      <w:tr>
        <w:tc>
          <w:tcPr/>
          <w:p>
            <w:pPr>
              <w:pStyle w:val="Compact"/>
            </w:pPr>
            <w:r>
              <w:t xml:space="preserve">Z2</w:t>
            </w:r>
          </w:p>
        </w:tc>
        <w:tc>
          <w:tcPr/>
          <w:p>
            <w:pPr>
              <w:pStyle w:val="Compact"/>
            </w:pPr>
            <w:r>
              <w:t xml:space="preserve">Application (Payment Core)</w:t>
            </w:r>
          </w:p>
        </w:tc>
        <w:tc>
          <w:tcPr/>
          <w:p>
            <w:pPr>
              <w:pStyle w:val="Compact"/>
            </w:pPr>
            <w:r>
              <w:t xml:space="preserve">Connected-to (security-impacting)</w:t>
            </w:r>
          </w:p>
        </w:tc>
        <w:tc>
          <w:tcPr/>
          <w:p>
            <w:pPr>
              <w:pStyle w:val="Compact"/>
            </w:pPr>
            <w:r>
              <w:t xml:space="preserve">API Edge (Go/Fiber), Payment Core, Risk/Fraud engine, Webhook/Notifier</w:t>
            </w:r>
          </w:p>
        </w:tc>
      </w:tr>
      <w:tr>
        <w:tc>
          <w:tcPr/>
          <w:p>
            <w:pPr>
              <w:pStyle w:val="Compact"/>
            </w:pPr>
            <w:r>
              <w:rPr>
                <w:b/>
                <w:bCs/>
              </w:rPr>
              <w:t xml:space="preserve">Z3</w:t>
            </w:r>
          </w:p>
        </w:tc>
        <w:tc>
          <w:tcPr/>
          <w:p>
            <w:pPr>
              <w:pStyle w:val="Compact"/>
            </w:pPr>
            <w:r>
              <w:rPr>
                <w:b/>
                <w:bCs/>
              </w:rPr>
              <w:t xml:space="preserve">CDE — Tokenization Vault</w:t>
            </w:r>
          </w:p>
        </w:tc>
        <w:tc>
          <w:tcPr/>
          <w:p>
            <w:pPr>
              <w:pStyle w:val="Compact"/>
            </w:pPr>
            <w:r>
              <w:rPr>
                <w:b/>
                <w:bCs/>
              </w:rPr>
              <w:t xml:space="preserve">In-scope CDE</w:t>
            </w:r>
          </w:p>
        </w:tc>
        <w:tc>
          <w:tcPr/>
          <w:p>
            <w:pPr>
              <w:pStyle w:val="Compact"/>
            </w:pPr>
            <w:r>
              <w:rPr>
                <w:b/>
                <w:bCs/>
              </w:rPr>
              <w:t xml:space="preserve">Tokenization/detokenization service, HSM/KMS interface, PAN vault store</w:t>
            </w:r>
          </w:p>
        </w:tc>
      </w:tr>
      <w:tr>
        <w:tc>
          <w:tcPr/>
          <w:p>
            <w:pPr>
              <w:pStyle w:val="Compact"/>
            </w:pPr>
            <w:r>
              <w:t xml:space="preserve">Z4</w:t>
            </w:r>
          </w:p>
        </w:tc>
        <w:tc>
          <w:tcPr/>
          <w:p>
            <w:pPr>
              <w:pStyle w:val="Compact"/>
            </w:pPr>
            <w:r>
              <w:t xml:space="preserve">Data / Ledger</w:t>
            </w:r>
          </w:p>
        </w:tc>
        <w:tc>
          <w:tcPr/>
          <w:p>
            <w:pPr>
              <w:pStyle w:val="Compact"/>
            </w:pPr>
            <w:r>
              <w:t xml:space="preserve">Connected-to</w:t>
            </w:r>
          </w:p>
        </w:tc>
        <w:tc>
          <w:tcPr/>
          <w:p>
            <w:pPr>
              <w:pStyle w:val="Compact"/>
            </w:pPr>
            <w:r>
              <w:t xml:space="preserve">Operational DB (payments, ledger_entries, audit_log) — stores only token + card_last4</w:t>
            </w:r>
          </w:p>
        </w:tc>
      </w:tr>
      <w:tr>
        <w:tc>
          <w:tcPr/>
          <w:p>
            <w:pPr>
              <w:pStyle w:val="Compact"/>
            </w:pPr>
            <w:r>
              <w:t xml:space="preserve">Z5</w:t>
            </w:r>
          </w:p>
        </w:tc>
        <w:tc>
          <w:tcPr/>
          <w:p>
            <w:pPr>
              <w:pStyle w:val="Compact"/>
            </w:pPr>
            <w:r>
              <w:t xml:space="preserve">Management / Shared Services</w:t>
            </w:r>
          </w:p>
        </w:tc>
        <w:tc>
          <w:tcPr/>
          <w:p>
            <w:pPr>
              <w:pStyle w:val="Compact"/>
            </w:pPr>
            <w:r>
              <w:t xml:space="preserve">Connected-to</w:t>
            </w:r>
          </w:p>
        </w:tc>
        <w:tc>
          <w:tcPr/>
          <w:p>
            <w:pPr>
              <w:pStyle w:val="Compact"/>
            </w:pPr>
            <w:r>
              <w:t xml:space="preserve">Bastion/jump host, SIEM, log aggregator, secrets manager, CI/CD runner, monitoring</w:t>
            </w:r>
          </w:p>
        </w:tc>
      </w:tr>
      <w:tr>
        <w:tc>
          <w:tcPr/>
          <w:p>
            <w:pPr>
              <w:pStyle w:val="Compact"/>
            </w:pPr>
            <w:r>
              <w:t xml:space="preserve">Z6</w:t>
            </w:r>
          </w:p>
        </w:tc>
        <w:tc>
          <w:tcPr/>
          <w:p>
            <w:pPr>
              <w:pStyle w:val="Compact"/>
            </w:pPr>
            <w:r>
              <w:t xml:space="preserve">Acquirer Uplink</w:t>
            </w:r>
          </w:p>
        </w:tc>
        <w:tc>
          <w:tcPr/>
          <w:p>
            <w:pPr>
              <w:pStyle w:val="Compact"/>
            </w:pPr>
            <w:r>
              <w:t xml:space="preserve">In-scope (transmits CHD)</w:t>
            </w:r>
          </w:p>
        </w:tc>
        <w:tc>
          <w:tcPr/>
          <w:p>
            <w:pPr>
              <w:pStyle w:val="Compact"/>
            </w:pPr>
            <w:r>
              <w:t xml:space="preserve">Acquirer switch gateway (ISO 8583 / REST), settlement uplink (e.g. ITMX for local rails)</w:t>
            </w:r>
          </w:p>
        </w:tc>
      </w:tr>
    </w:tbl>
    <w:p>
      <w:pPr>
        <w:pStyle w:val="BlockText"/>
      </w:pPr>
      <w:r>
        <w:rPr>
          <w:b/>
          <w:bCs/>
        </w:rPr>
        <w:t xml:space="preserve">Important:</w:t>
      </w:r>
      <w:r>
        <w:t xml:space="preserve"> </w:t>
      </w:r>
      <w:r>
        <w:t xml:space="preserve">only</w:t>
      </w:r>
      <w:r>
        <w:t xml:space="preserve"> </w:t>
      </w:r>
      <w:r>
        <w:rPr>
          <w:b/>
          <w:bCs/>
        </w:rPr>
        <w:t xml:space="preserve">Z3</w:t>
      </w:r>
      <w:r>
        <w:t xml:space="preserve"> </w:t>
      </w:r>
      <w:r>
        <w:t xml:space="preserve">and the</w:t>
      </w:r>
      <w:r>
        <w:t xml:space="preserve"> </w:t>
      </w:r>
      <w:r>
        <w:rPr>
          <w:b/>
          <w:bCs/>
        </w:rPr>
        <w:t xml:space="preserve">Z3 → Z6</w:t>
      </w:r>
      <w:r>
        <w:t xml:space="preserve"> </w:t>
      </w:r>
      <w:r>
        <w:t xml:space="preserve">path touch PAN directly. Systems in Z2/Z4 are designed to see only tokens — hence</w:t>
      </w:r>
      <w:r>
        <w:t xml:space="preserve"> </w:t>
      </w:r>
      <w:r>
        <w:rPr>
          <w:i/>
          <w:iCs/>
        </w:rPr>
        <w:t xml:space="preserve">connected-to</w:t>
      </w:r>
      <w:r>
        <w:t xml:space="preserve">, not full CDE — narrowing the scope and lowering assessment cost.</w:t>
      </w:r>
    </w:p>
    <w:p>
      <w:r>
        <w:pict>
          <v:rect style="width:0;height:1.5pt" o:hralign="center" o:hrstd="t" o:hr="t"/>
        </w:pict>
      </w:r>
    </w:p>
    <w:bookmarkEnd w:id="689"/>
    <w:bookmarkStart w:id="690" w:name="network-segmentation-diagram"/>
    <w:p>
      <w:pPr>
        <w:pStyle w:val="Heading2"/>
      </w:pPr>
      <w:r>
        <w:t xml:space="preserve">3. Network Segmentation Diagram</w:t>
      </w:r>
    </w:p>
    <w:p>
      <w:pPr>
        <w:pStyle w:val="SourceCode"/>
      </w:pPr>
      <w:r>
        <w:rPr>
          <w:rStyle w:val="VerbatimChar"/>
        </w:rPr>
        <w:t xml:space="preserve">flowchart TB</w:t>
      </w:r>
      <w:r>
        <w:br/>
      </w:r>
      <w:r>
        <w:rPr>
          <w:rStyle w:val="VerbatimChar"/>
        </w:rPr>
        <w:t xml:space="preserve">    subgraph Z0["Z0 · Internet (Out of scope)"]</w:t>
      </w:r>
      <w:r>
        <w:br/>
      </w:r>
      <w:r>
        <w:rPr>
          <w:rStyle w:val="VerbatimChar"/>
        </w:rPr>
        <w:t xml:space="preserve">        CH["Cardholder / Merchant Client"]</w:t>
      </w:r>
      <w:r>
        <w:br/>
      </w:r>
      <w:r>
        <w:rPr>
          <w:rStyle w:val="VerbatimChar"/>
        </w:rPr>
        <w:t xml:space="preserve">    end</w:t>
      </w:r>
      <w:r>
        <w:br/>
      </w:r>
      <w:r>
        <w:br/>
      </w:r>
      <w:r>
        <w:rPr>
          <w:rStyle w:val="VerbatimChar"/>
        </w:rPr>
        <w:t xml:space="preserve">    subgraph Z1["Z1 · Edge / DMZ (Connected-to)"]</w:t>
      </w:r>
      <w:r>
        <w:br/>
      </w:r>
      <w:r>
        <w:rPr>
          <w:rStyle w:val="VerbatimChar"/>
        </w:rPr>
        <w:t xml:space="preserve">        WAF["WAF + DDoS + LB"]</w:t>
      </w:r>
      <w:r>
        <w:br/>
      </w:r>
      <w:r>
        <w:rPr>
          <w:rStyle w:val="VerbatimChar"/>
        </w:rPr>
        <w:t xml:space="preserve">        TDS["3DS 2.x Redirect / ACS callback"]</w:t>
      </w:r>
      <w:r>
        <w:br/>
      </w:r>
      <w:r>
        <w:rPr>
          <w:rStyle w:val="VerbatimChar"/>
        </w:rPr>
        <w:t xml:space="preserve">    end</w:t>
      </w:r>
      <w:r>
        <w:br/>
      </w:r>
      <w:r>
        <w:br/>
      </w:r>
      <w:r>
        <w:rPr>
          <w:rStyle w:val="VerbatimChar"/>
        </w:rPr>
        <w:t xml:space="preserve">    subgraph Z2["Z2 · Application (Connected-to)"]</w:t>
      </w:r>
      <w:r>
        <w:br/>
      </w:r>
      <w:r>
        <w:rPr>
          <w:rStyle w:val="VerbatimChar"/>
        </w:rPr>
        <w:t xml:space="preserve">        API["API Edge (Fiber)"]</w:t>
      </w:r>
      <w:r>
        <w:br/>
      </w:r>
      <w:r>
        <w:rPr>
          <w:rStyle w:val="VerbatimChar"/>
        </w:rPr>
        <w:t xml:space="preserve">        CORE["Payment Core + Risk Engine"]</w:t>
      </w:r>
      <w:r>
        <w:br/>
      </w:r>
      <w:r>
        <w:rPr>
          <w:rStyle w:val="VerbatimChar"/>
        </w:rPr>
        <w:t xml:space="preserve">        HOOK["Webhook / Notifier"]</w:t>
      </w:r>
      <w:r>
        <w:br/>
      </w:r>
      <w:r>
        <w:rPr>
          <w:rStyle w:val="VerbatimChar"/>
        </w:rPr>
        <w:t xml:space="preserve">    end</w:t>
      </w:r>
      <w:r>
        <w:br/>
      </w:r>
      <w:r>
        <w:br/>
      </w:r>
      <w:r>
        <w:rPr>
          <w:rStyle w:val="VerbatimChar"/>
        </w:rPr>
        <w:t xml:space="preserve">    subgraph Z3["Z3 · CDE — Tokenization Vault (IN SCOPE)"]</w:t>
      </w:r>
      <w:r>
        <w:br/>
      </w:r>
      <w:r>
        <w:rPr>
          <w:rStyle w:val="VerbatimChar"/>
        </w:rPr>
        <w:t xml:space="preserve">        VAULT["Tokenization / Detokenization"]</w:t>
      </w:r>
      <w:r>
        <w:br/>
      </w:r>
      <w:r>
        <w:rPr>
          <w:rStyle w:val="VerbatimChar"/>
        </w:rPr>
        <w:t xml:space="preserve">        HSM["HSM / KMS"]</w:t>
      </w:r>
      <w:r>
        <w:br/>
      </w:r>
      <w:r>
        <w:rPr>
          <w:rStyle w:val="VerbatimChar"/>
        </w:rPr>
        <w:t xml:space="preserve">        PANDB[("Encrypted PAN Vault")]</w:t>
      </w:r>
      <w:r>
        <w:br/>
      </w:r>
      <w:r>
        <w:rPr>
          <w:rStyle w:val="VerbatimChar"/>
        </w:rPr>
        <w:t xml:space="preserve">    end</w:t>
      </w:r>
      <w:r>
        <w:br/>
      </w:r>
      <w:r>
        <w:br/>
      </w:r>
      <w:r>
        <w:rPr>
          <w:rStyle w:val="VerbatimChar"/>
        </w:rPr>
        <w:t xml:space="preserve">    subgraph Z4["Z4 · Data / Ledger (Connected-to)"]</w:t>
      </w:r>
      <w:r>
        <w:br/>
      </w:r>
      <w:r>
        <w:rPr>
          <w:rStyle w:val="VerbatimChar"/>
        </w:rPr>
        <w:t xml:space="preserve">        OPDB[("Operational DB\ntoken + card_last4")]</w:t>
      </w:r>
      <w:r>
        <w:br/>
      </w:r>
      <w:r>
        <w:rPr>
          <w:rStyle w:val="VerbatimChar"/>
        </w:rPr>
        <w:t xml:space="preserve">    end</w:t>
      </w:r>
      <w:r>
        <w:br/>
      </w:r>
      <w:r>
        <w:br/>
      </w:r>
      <w:r>
        <w:rPr>
          <w:rStyle w:val="VerbatimChar"/>
        </w:rPr>
        <w:t xml:space="preserve">    subgraph Z5["Z5 · Management (Connected-to)"]</w:t>
      </w:r>
      <w:r>
        <w:br/>
      </w:r>
      <w:r>
        <w:rPr>
          <w:rStyle w:val="VerbatimChar"/>
        </w:rPr>
        <w:t xml:space="preserve">        BAS["Bastion / Jump Host + MFA"]</w:t>
      </w:r>
      <w:r>
        <w:br/>
      </w:r>
      <w:r>
        <w:rPr>
          <w:rStyle w:val="VerbatimChar"/>
        </w:rPr>
        <w:t xml:space="preserve">        SIEM["SIEM / Log Aggregator"]</w:t>
      </w:r>
      <w:r>
        <w:br/>
      </w:r>
      <w:r>
        <w:rPr>
          <w:rStyle w:val="VerbatimChar"/>
        </w:rPr>
        <w:t xml:space="preserve">        SEC["Secrets Manager"]</w:t>
      </w:r>
      <w:r>
        <w:br/>
      </w:r>
      <w:r>
        <w:rPr>
          <w:rStyle w:val="VerbatimChar"/>
        </w:rPr>
        <w:t xml:space="preserve">    end</w:t>
      </w:r>
      <w:r>
        <w:br/>
      </w:r>
      <w:r>
        <w:br/>
      </w:r>
      <w:r>
        <w:rPr>
          <w:rStyle w:val="VerbatimChar"/>
        </w:rPr>
        <w:t xml:space="preserve">    subgraph Z6["Z6 · Acquirer Uplink (IN SCOPE)"]</w:t>
      </w:r>
      <w:r>
        <w:br/>
      </w:r>
      <w:r>
        <w:rPr>
          <w:rStyle w:val="VerbatimChar"/>
        </w:rPr>
        <w:t xml:space="preserve">        SW["Acquirer Switch GW\nISO 8583 / REST"]</w:t>
      </w:r>
      <w:r>
        <w:br/>
      </w:r>
      <w:r>
        <w:rPr>
          <w:rStyle w:val="VerbatimChar"/>
        </w:rPr>
        <w:t xml:space="preserve">    end</w:t>
      </w:r>
      <w:r>
        <w:br/>
      </w:r>
      <w:r>
        <w:br/>
      </w:r>
      <w:r>
        <w:rPr>
          <w:rStyle w:val="VerbatimChar"/>
        </w:rPr>
        <w:t xml:space="preserve">    CH --&gt;|"TLS 1.2+ / 443"| WAF</w:t>
      </w:r>
      <w:r>
        <w:br/>
      </w:r>
      <w:r>
        <w:rPr>
          <w:rStyle w:val="VerbatimChar"/>
        </w:rPr>
        <w:t xml:space="preserve">    CH --&gt;|"tokenize PAN directly (client-side)"| WAF</w:t>
      </w:r>
      <w:r>
        <w:br/>
      </w:r>
      <w:r>
        <w:rPr>
          <w:rStyle w:val="VerbatimChar"/>
        </w:rPr>
        <w:t xml:space="preserve">    WAF --&gt; API</w:t>
      </w:r>
      <w:r>
        <w:br/>
      </w:r>
      <w:r>
        <w:rPr>
          <w:rStyle w:val="VerbatimChar"/>
        </w:rPr>
        <w:t xml:space="preserve">    TDS --&gt; API</w:t>
      </w:r>
      <w:r>
        <w:br/>
      </w:r>
      <w:r>
        <w:rPr>
          <w:rStyle w:val="VerbatimChar"/>
        </w:rPr>
        <w:t xml:space="preserve">    API --&gt;|mTLS| CORE</w:t>
      </w:r>
      <w:r>
        <w:br/>
      </w:r>
      <w:r>
        <w:rPr>
          <w:rStyle w:val="VerbatimChar"/>
        </w:rPr>
        <w:t xml:space="preserve">    CORE --&gt;|"mTLS · detokenize only when required"| VAULT</w:t>
      </w:r>
      <w:r>
        <w:br/>
      </w:r>
      <w:r>
        <w:rPr>
          <w:rStyle w:val="VerbatimChar"/>
        </w:rPr>
        <w:t xml:space="preserve">    VAULT --&gt; HSM</w:t>
      </w:r>
      <w:r>
        <w:br/>
      </w:r>
      <w:r>
        <w:rPr>
          <w:rStyle w:val="VerbatimChar"/>
        </w:rPr>
        <w:t xml:space="preserve">    VAULT --&gt; PANDB</w:t>
      </w:r>
      <w:r>
        <w:br/>
      </w:r>
      <w:r>
        <w:rPr>
          <w:rStyle w:val="VerbatimChar"/>
        </w:rPr>
        <w:t xml:space="preserve">    CORE --&gt;|mTLS| OPDB</w:t>
      </w:r>
      <w:r>
        <w:br/>
      </w:r>
      <w:r>
        <w:rPr>
          <w:rStyle w:val="VerbatimChar"/>
        </w:rPr>
        <w:t xml:space="preserve">    CORE --&gt; HOOK</w:t>
      </w:r>
      <w:r>
        <w:br/>
      </w:r>
      <w:r>
        <w:rPr>
          <w:rStyle w:val="VerbatimChar"/>
        </w:rPr>
        <w:t xml:space="preserve">    HOOK --&gt;|"signed webhook"| CH</w:t>
      </w:r>
      <w:r>
        <w:br/>
      </w:r>
      <w:r>
        <w:rPr>
          <w:rStyle w:val="VerbatimChar"/>
        </w:rPr>
        <w:t xml:space="preserve">    VAULT --&gt;|"mTLS · authorization (PAN)"| SW</w:t>
      </w:r>
      <w:r>
        <w:br/>
      </w:r>
      <w:r>
        <w:rPr>
          <w:rStyle w:val="VerbatimChar"/>
        </w:rPr>
        <w:t xml:space="preserve">    SW --&gt;|"IPsec VPN / leased line"| EXT["Acquirer / Card Network"]</w:t>
      </w:r>
      <w:r>
        <w:br/>
      </w:r>
      <w:r>
        <w:rPr>
          <w:rStyle w:val="VerbatimChar"/>
        </w:rPr>
        <w:t xml:space="preserve">    BAS -.-&gt;|"time-bound admin + MFA"| Z3</w:t>
      </w:r>
      <w:r>
        <w:br/>
      </w:r>
      <w:r>
        <w:rPr>
          <w:rStyle w:val="VerbatimChar"/>
        </w:rPr>
        <w:t xml:space="preserve">    BAS -.-&gt; Z2</w:t>
      </w:r>
      <w:r>
        <w:br/>
      </w:r>
      <w:r>
        <w:rPr>
          <w:rStyle w:val="VerbatimChar"/>
        </w:rPr>
        <w:t xml:space="preserve">    BAS -.-&gt; Z4</w:t>
      </w:r>
      <w:r>
        <w:br/>
      </w:r>
      <w:r>
        <w:rPr>
          <w:rStyle w:val="VerbatimChar"/>
        </w:rPr>
        <w:t xml:space="preserve">    SIEM -.-&gt;|"log pull only"| Z3</w:t>
      </w:r>
    </w:p>
    <w:p>
      <w:pPr>
        <w:pStyle w:val="FirstParagraph"/>
      </w:pPr>
      <w:r>
        <w:rPr>
          <w:b/>
          <w:bCs/>
        </w:rPr>
        <w:t xml:space="preserve">Key architectural notes:</w:t>
      </w:r>
      <w:r>
        <w:t xml:space="preserve"> </w:t>
      </w:r>
      <w:r>
        <w:t xml:space="preserve">1.</w:t>
      </w:r>
      <w:r>
        <w:t xml:space="preserve"> </w:t>
      </w:r>
      <w:r>
        <w:rPr>
          <w:b/>
          <w:bCs/>
        </w:rPr>
        <w:t xml:space="preserve">Client-side tokenization</w:t>
      </w:r>
      <w:r>
        <w:t xml:space="preserve"> </w:t>
      </w:r>
      <w:r>
        <w:t xml:space="preserve">— PAN is sent from the client to the Vault (Z3) directly through a designated edge,</w:t>
      </w:r>
      <w:r>
        <w:t xml:space="preserve"> </w:t>
      </w:r>
      <w:r>
        <w:rPr>
          <w:b/>
          <w:bCs/>
        </w:rPr>
        <w:t xml:space="preserve">bypassing merchant servers and Z2</w:t>
      </w:r>
      <w:r>
        <w:t xml:space="preserve"> </w:t>
      </w:r>
      <w:r>
        <w:t xml:space="preserve">(aligned with PDPA policy §3.1, ARCHITECTURE §5.1).</w:t>
      </w:r>
      <w:r>
        <w:t xml:space="preserve"> </w:t>
      </w:r>
      <w:r>
        <w:t xml:space="preserve">2.</w:t>
      </w:r>
      <w:r>
        <w:t xml:space="preserve"> </w:t>
      </w:r>
      <w:r>
        <w:rPr>
          <w:b/>
          <w:bCs/>
        </w:rPr>
        <w:t xml:space="preserve">Detokenization</w:t>
      </w:r>
      <w:r>
        <w:t xml:space="preserve"> </w:t>
      </w:r>
      <w:r>
        <w:t xml:space="preserve">occurs only inside Z3 upon an mTLS-authenticated, authorized request. PAN never leaves Z3 except on the path to Z6 (acquirer).</w:t>
      </w:r>
      <w:r>
        <w:t xml:space="preserve"> </w:t>
      </w:r>
      <w:r>
        <w:t xml:space="preserve">3.</w:t>
      </w:r>
      <w:r>
        <w:t xml:space="preserve"> </w:t>
      </w:r>
      <w:r>
        <w:rPr>
          <w:b/>
          <w:bCs/>
        </w:rPr>
        <w:t xml:space="preserve">Z4 (Ledger DB)</w:t>
      </w:r>
      <w:r>
        <w:t xml:space="preserve"> </w:t>
      </w:r>
      <w:r>
        <w:t xml:space="preserve">holds no PAN — only token + card_last4 (ARCHITECTURE §6), so it is connected-to, not CDE.</w:t>
      </w:r>
    </w:p>
    <w:p>
      <w:r>
        <w:pict>
          <v:rect style="width:0;height:1.5pt" o:hralign="center" o:hrstd="t" o:hr="t"/>
        </w:pict>
      </w:r>
    </w:p>
    <w:bookmarkEnd w:id="690"/>
    <w:bookmarkStart w:id="693" w:name="cde-scope-map"/>
    <w:p>
      <w:pPr>
        <w:pStyle w:val="Heading2"/>
      </w:pPr>
      <w:r>
        <w:t xml:space="preserve">4. CDE Scope Map</w:t>
      </w:r>
    </w:p>
    <w:bookmarkStart w:id="691" w:name="system-classification-by-scope"/>
    <w:p>
      <w:pPr>
        <w:pStyle w:val="Heading3"/>
      </w:pPr>
      <w:r>
        <w:t xml:space="preserve">4.1 System classification by scope</w:t>
      </w:r>
    </w:p>
    <w:tbl>
      <w:tblPr>
        <w:tblStyle w:val="Table"/>
        <w:tblW w:type="pct" w:w="5000"/>
        <w:tblLayout w:type="fixed"/>
        <w:tblLook w:firstRow="1" w:lastRow="0" w:firstColumn="0" w:lastColumn="0" w:noHBand="0" w:noVBand="0" w:val="0020"/>
      </w:tblPr>
      <w:tblGrid>
        <w:gridCol w:w="1956"/>
        <w:gridCol w:w="559"/>
        <w:gridCol w:w="2143"/>
        <w:gridCol w:w="1211"/>
        <w:gridCol w:w="2049"/>
      </w:tblGrid>
      <w:tr>
        <w:trPr>
          <w:tblHeader w:val="on"/>
        </w:trPr>
        <w:tc>
          <w:tcPr/>
          <w:p>
            <w:pPr>
              <w:pStyle w:val="Compact"/>
            </w:pPr>
            <w:r>
              <w:t xml:space="preserve">System / Data store</w:t>
            </w:r>
          </w:p>
        </w:tc>
        <w:tc>
          <w:tcPr/>
          <w:p>
            <w:pPr>
              <w:pStyle w:val="Compact"/>
            </w:pPr>
            <w:r>
              <w:t xml:space="preserve">Zone</w:t>
            </w:r>
          </w:p>
        </w:tc>
        <w:tc>
          <w:tcPr/>
          <w:p>
            <w:pPr>
              <w:pStyle w:val="Compact"/>
            </w:pPr>
            <w:r>
              <w:t xml:space="preserve">Stores/transmits CHD?</w:t>
            </w:r>
          </w:p>
        </w:tc>
        <w:tc>
          <w:tcPr/>
          <w:p>
            <w:pPr>
              <w:pStyle w:val="Compact"/>
            </w:pPr>
            <w:r>
              <w:t xml:space="preserve">Stores SAD?</w:t>
            </w:r>
          </w:p>
        </w:tc>
        <w:tc>
          <w:tcPr/>
          <w:p>
            <w:pPr>
              <w:pStyle w:val="Compact"/>
            </w:pPr>
            <w:r>
              <w:t xml:space="preserve">Scope classification</w:t>
            </w:r>
          </w:p>
        </w:tc>
      </w:tr>
      <w:tr>
        <w:tc>
          <w:tcPr/>
          <w:p>
            <w:pPr>
              <w:pStyle w:val="Compact"/>
            </w:pPr>
            <w:r>
              <w:t xml:space="preserve">Tokenization / Detokenization service</w:t>
            </w:r>
          </w:p>
        </w:tc>
        <w:tc>
          <w:tcPr/>
          <w:p>
            <w:pPr>
              <w:pStyle w:val="Compact"/>
            </w:pPr>
            <w:r>
              <w:t xml:space="preserve">Z3</w:t>
            </w:r>
          </w:p>
        </w:tc>
        <w:tc>
          <w:tcPr/>
          <w:p>
            <w:pPr>
              <w:pStyle w:val="Compact"/>
            </w:pPr>
            <w:r>
              <w:t xml:space="preserve">Yes (PAN)</w:t>
            </w:r>
          </w:p>
        </w:tc>
        <w:tc>
          <w:tcPr/>
          <w:p>
            <w:pPr>
              <w:pStyle w:val="Compact"/>
            </w:pPr>
            <w:r>
              <w:t xml:space="preserve">No</w:t>
            </w:r>
          </w:p>
        </w:tc>
        <w:tc>
          <w:tcPr/>
          <w:p>
            <w:pPr>
              <w:pStyle w:val="Compact"/>
            </w:pPr>
            <w:r>
              <w:rPr>
                <w:b/>
                <w:bCs/>
              </w:rPr>
              <w:t xml:space="preserve">CDE</w:t>
            </w:r>
          </w:p>
        </w:tc>
      </w:tr>
      <w:tr>
        <w:tc>
          <w:tcPr/>
          <w:p>
            <w:pPr>
              <w:pStyle w:val="Compact"/>
            </w:pPr>
            <w:r>
              <w:t xml:space="preserve">HSM / KMS</w:t>
            </w:r>
          </w:p>
        </w:tc>
        <w:tc>
          <w:tcPr/>
          <w:p>
            <w:pPr>
              <w:pStyle w:val="Compact"/>
            </w:pPr>
            <w:r>
              <w:t xml:space="preserve">Z3</w:t>
            </w:r>
          </w:p>
        </w:tc>
        <w:tc>
          <w:tcPr/>
          <w:p>
            <w:pPr>
              <w:pStyle w:val="Compact"/>
            </w:pPr>
            <w:r>
              <w:t xml:space="preserve">PAN-encrypting keys</w:t>
            </w:r>
          </w:p>
        </w:tc>
        <w:tc>
          <w:tcPr/>
          <w:p>
            <w:pPr>
              <w:pStyle w:val="Compact"/>
            </w:pPr>
            <w:r>
              <w:t xml:space="preserve">No</w:t>
            </w:r>
          </w:p>
        </w:tc>
        <w:tc>
          <w:tcPr/>
          <w:p>
            <w:pPr>
              <w:pStyle w:val="Compact"/>
            </w:pPr>
            <w:r>
              <w:rPr>
                <w:b/>
                <w:bCs/>
              </w:rPr>
              <w:t xml:space="preserve">CDE (critical)</w:t>
            </w:r>
          </w:p>
        </w:tc>
      </w:tr>
      <w:tr>
        <w:tc>
          <w:tcPr/>
          <w:p>
            <w:pPr>
              <w:pStyle w:val="Compact"/>
            </w:pPr>
            <w:r>
              <w:t xml:space="preserve">Encrypted PAN Vault store</w:t>
            </w:r>
          </w:p>
        </w:tc>
        <w:tc>
          <w:tcPr/>
          <w:p>
            <w:pPr>
              <w:pStyle w:val="Compact"/>
            </w:pPr>
            <w:r>
              <w:t xml:space="preserve">Z3</w:t>
            </w:r>
          </w:p>
        </w:tc>
        <w:tc>
          <w:tcPr/>
          <w:p>
            <w:pPr>
              <w:pStyle w:val="Compact"/>
            </w:pPr>
            <w:r>
              <w:t xml:space="preserve">Yes (encrypted PAN)</w:t>
            </w:r>
          </w:p>
        </w:tc>
        <w:tc>
          <w:tcPr/>
          <w:p>
            <w:pPr>
              <w:pStyle w:val="Compact"/>
            </w:pPr>
            <w:r>
              <w:t xml:space="preserve">No</w:t>
            </w:r>
          </w:p>
        </w:tc>
        <w:tc>
          <w:tcPr/>
          <w:p>
            <w:pPr>
              <w:pStyle w:val="Compact"/>
            </w:pPr>
            <w:r>
              <w:rPr>
                <w:b/>
                <w:bCs/>
              </w:rPr>
              <w:t xml:space="preserve">CDE</w:t>
            </w:r>
          </w:p>
        </w:tc>
      </w:tr>
      <w:tr>
        <w:tc>
          <w:tcPr/>
          <w:p>
            <w:pPr>
              <w:pStyle w:val="Compact"/>
            </w:pPr>
            <w:r>
              <w:t xml:space="preserve">Acquirer Switch Gateway</w:t>
            </w:r>
          </w:p>
        </w:tc>
        <w:tc>
          <w:tcPr/>
          <w:p>
            <w:pPr>
              <w:pStyle w:val="Compact"/>
            </w:pPr>
            <w:r>
              <w:t xml:space="preserve">Z6</w:t>
            </w:r>
          </w:p>
        </w:tc>
        <w:tc>
          <w:tcPr/>
          <w:p>
            <w:pPr>
              <w:pStyle w:val="Compact"/>
            </w:pPr>
            <w:r>
              <w:t xml:space="preserve">Yes (transmits PAN on authorize)</w:t>
            </w:r>
          </w:p>
        </w:tc>
        <w:tc>
          <w:tcPr/>
          <w:p>
            <w:pPr>
              <w:pStyle w:val="Compact"/>
            </w:pPr>
            <w:r>
              <w:t xml:space="preserve">Transient in-memory only</w:t>
            </w:r>
          </w:p>
        </w:tc>
        <w:tc>
          <w:tcPr/>
          <w:p>
            <w:pPr>
              <w:pStyle w:val="Compact"/>
            </w:pPr>
            <w:r>
              <w:rPr>
                <w:b/>
                <w:bCs/>
              </w:rPr>
              <w:t xml:space="preserve">CDE (transmits)</w:t>
            </w:r>
          </w:p>
        </w:tc>
      </w:tr>
      <w:tr>
        <w:tc>
          <w:tcPr/>
          <w:p>
            <w:pPr>
              <w:pStyle w:val="Compact"/>
            </w:pPr>
            <w:r>
              <w:t xml:space="preserve">API Edge (Fiber)</w:t>
            </w:r>
          </w:p>
        </w:tc>
        <w:tc>
          <w:tcPr/>
          <w:p>
            <w:pPr>
              <w:pStyle w:val="Compact"/>
            </w:pPr>
            <w:r>
              <w:t xml:space="preserve">Z2</w:t>
            </w:r>
          </w:p>
        </w:tc>
        <w:tc>
          <w:tcPr/>
          <w:p>
            <w:pPr>
              <w:pStyle w:val="Compact"/>
            </w:pPr>
            <w:r>
              <w:t xml:space="preserve">No (tokens only)</w:t>
            </w:r>
          </w:p>
        </w:tc>
        <w:tc>
          <w:tcPr/>
          <w:p>
            <w:pPr>
              <w:pStyle w:val="Compact"/>
            </w:pPr>
            <w:r>
              <w:t xml:space="preserve">No</w:t>
            </w:r>
          </w:p>
        </w:tc>
        <w:tc>
          <w:tcPr/>
          <w:p>
            <w:pPr>
              <w:pStyle w:val="Compact"/>
            </w:pPr>
            <w:r>
              <w:t xml:space="preserve">Connected-to / security-impacting</w:t>
            </w:r>
          </w:p>
        </w:tc>
      </w:tr>
      <w:tr>
        <w:tc>
          <w:tcPr/>
          <w:p>
            <w:pPr>
              <w:pStyle w:val="Compact"/>
            </w:pPr>
            <w:r>
              <w:t xml:space="preserve">Payment Core + Risk engine</w:t>
            </w:r>
          </w:p>
        </w:tc>
        <w:tc>
          <w:tcPr/>
          <w:p>
            <w:pPr>
              <w:pStyle w:val="Compact"/>
            </w:pPr>
            <w:r>
              <w:t xml:space="preserve">Z2</w:t>
            </w:r>
          </w:p>
        </w:tc>
        <w:tc>
          <w:tcPr/>
          <w:p>
            <w:pPr>
              <w:pStyle w:val="Compact"/>
            </w:pPr>
            <w:r>
              <w:t xml:space="preserve">No (token, card_last4)</w:t>
            </w:r>
          </w:p>
        </w:tc>
        <w:tc>
          <w:tcPr/>
          <w:p>
            <w:pPr>
              <w:pStyle w:val="Compact"/>
            </w:pPr>
            <w:r>
              <w:t xml:space="preserve">No</w:t>
            </w:r>
          </w:p>
        </w:tc>
        <w:tc>
          <w:tcPr/>
          <w:p>
            <w:pPr>
              <w:pStyle w:val="Compact"/>
            </w:pPr>
            <w:r>
              <w:t xml:space="preserve">Connected-to</w:t>
            </w:r>
          </w:p>
        </w:tc>
      </w:tr>
      <w:tr>
        <w:tc>
          <w:tcPr/>
          <w:p>
            <w:pPr>
              <w:pStyle w:val="Compact"/>
            </w:pPr>
            <w:r>
              <w:t xml:space="preserve">Webhook / Notifier</w:t>
            </w:r>
          </w:p>
        </w:tc>
        <w:tc>
          <w:tcPr/>
          <w:p>
            <w:pPr>
              <w:pStyle w:val="Compact"/>
            </w:pPr>
            <w:r>
              <w:t xml:space="preserve">Z2</w:t>
            </w:r>
          </w:p>
        </w:tc>
        <w:tc>
          <w:tcPr/>
          <w:p>
            <w:pPr>
              <w:pStyle w:val="Compact"/>
            </w:pPr>
            <w:r>
              <w:t xml:space="preserve">No</w:t>
            </w:r>
          </w:p>
        </w:tc>
        <w:tc>
          <w:tcPr/>
          <w:p>
            <w:pPr>
              <w:pStyle w:val="Compact"/>
            </w:pPr>
            <w:r>
              <w:t xml:space="preserve">No</w:t>
            </w:r>
          </w:p>
        </w:tc>
        <w:tc>
          <w:tcPr/>
          <w:p>
            <w:pPr>
              <w:pStyle w:val="Compact"/>
            </w:pPr>
            <w:r>
              <w:t xml:space="preserve">Connected-to</w:t>
            </w:r>
          </w:p>
        </w:tc>
      </w:tr>
      <w:tr>
        <w:tc>
          <w:tcPr/>
          <w:p>
            <w:pPr>
              <w:pStyle w:val="Compact"/>
            </w:pPr>
            <w:r>
              <w:t xml:space="preserve">WAF / LB / DMZ</w:t>
            </w:r>
          </w:p>
        </w:tc>
        <w:tc>
          <w:tcPr/>
          <w:p>
            <w:pPr>
              <w:pStyle w:val="Compact"/>
            </w:pPr>
            <w:r>
              <w:t xml:space="preserve">Z1</w:t>
            </w:r>
          </w:p>
        </w:tc>
        <w:tc>
          <w:tcPr/>
          <w:p>
            <w:pPr>
              <w:pStyle w:val="Compact"/>
            </w:pPr>
            <w:r>
              <w:t xml:space="preserve">No (TLS terminate at edge, re-encrypt)</w:t>
            </w:r>
          </w:p>
        </w:tc>
        <w:tc>
          <w:tcPr/>
          <w:p>
            <w:pPr>
              <w:pStyle w:val="Compact"/>
            </w:pPr>
            <w:r>
              <w:t xml:space="preserve">No</w:t>
            </w:r>
          </w:p>
        </w:tc>
        <w:tc>
          <w:tcPr/>
          <w:p>
            <w:pPr>
              <w:pStyle w:val="Compact"/>
            </w:pPr>
            <w:r>
              <w:t xml:space="preserve">Connected-to</w:t>
            </w:r>
          </w:p>
        </w:tc>
      </w:tr>
      <w:tr>
        <w:tc>
          <w:tcPr/>
          <w:p>
            <w:pPr>
              <w:pStyle w:val="Compact"/>
            </w:pPr>
            <w:r>
              <w:t xml:space="preserve">Operational DB (payments/ledger/audit)</w:t>
            </w:r>
          </w:p>
        </w:tc>
        <w:tc>
          <w:tcPr/>
          <w:p>
            <w:pPr>
              <w:pStyle w:val="Compact"/>
            </w:pPr>
            <w:r>
              <w:t xml:space="preserve">Z4</w:t>
            </w:r>
          </w:p>
        </w:tc>
        <w:tc>
          <w:tcPr/>
          <w:p>
            <w:pPr>
              <w:pStyle w:val="Compact"/>
            </w:pPr>
            <w:r>
              <w:t xml:space="preserve">No (token + card_last4)</w:t>
            </w:r>
          </w:p>
        </w:tc>
        <w:tc>
          <w:tcPr/>
          <w:p>
            <w:pPr>
              <w:pStyle w:val="Compact"/>
            </w:pPr>
            <w:r>
              <w:t xml:space="preserve">No</w:t>
            </w:r>
          </w:p>
        </w:tc>
        <w:tc>
          <w:tcPr/>
          <w:p>
            <w:pPr>
              <w:pStyle w:val="Compact"/>
            </w:pPr>
            <w:r>
              <w:t xml:space="preserve">Connected-to</w:t>
            </w:r>
          </w:p>
        </w:tc>
      </w:tr>
      <w:tr>
        <w:tc>
          <w:tcPr/>
          <w:p>
            <w:pPr>
              <w:pStyle w:val="Compact"/>
            </w:pPr>
            <w:r>
              <w:t xml:space="preserve">Bastion, SIEM, Secrets Mgr, CI/CD</w:t>
            </w:r>
          </w:p>
        </w:tc>
        <w:tc>
          <w:tcPr/>
          <w:p>
            <w:pPr>
              <w:pStyle w:val="Compact"/>
            </w:pPr>
            <w:r>
              <w:t xml:space="preserve">Z5</w:t>
            </w:r>
          </w:p>
        </w:tc>
        <w:tc>
          <w:tcPr/>
          <w:p>
            <w:pPr>
              <w:pStyle w:val="Compact"/>
            </w:pPr>
            <w:r>
              <w:t xml:space="preserve">No</w:t>
            </w:r>
          </w:p>
        </w:tc>
        <w:tc>
          <w:tcPr/>
          <w:p>
            <w:pPr>
              <w:pStyle w:val="Compact"/>
            </w:pPr>
            <w:r>
              <w:t xml:space="preserve">No</w:t>
            </w:r>
          </w:p>
        </w:tc>
        <w:tc>
          <w:tcPr/>
          <w:p>
            <w:pPr>
              <w:pStyle w:val="Compact"/>
            </w:pPr>
            <w:r>
              <w:t xml:space="preserve">Connected-to (security-impacting)</w:t>
            </w:r>
          </w:p>
        </w:tc>
      </w:tr>
      <w:tr>
        <w:tc>
          <w:tcPr/>
          <w:p>
            <w:pPr>
              <w:pStyle w:val="Compact"/>
            </w:pPr>
            <w:r>
              <w:t xml:space="preserve">Corporate IT, email, HR, dev laptops</w:t>
            </w:r>
          </w:p>
        </w:tc>
        <w:tc>
          <w:tcPr/>
          <w:p>
            <w:pPr>
              <w:pStyle w:val="Compact"/>
            </w:pPr>
            <w:r>
              <w:t xml:space="preserve">—</w:t>
            </w:r>
          </w:p>
        </w:tc>
        <w:tc>
          <w:tcPr/>
          <w:p>
            <w:pPr>
              <w:pStyle w:val="Compact"/>
            </w:pPr>
            <w:r>
              <w:t xml:space="preserve">No</w:t>
            </w:r>
          </w:p>
        </w:tc>
        <w:tc>
          <w:tcPr/>
          <w:p>
            <w:pPr>
              <w:pStyle w:val="Compact"/>
            </w:pPr>
            <w:r>
              <w:t xml:space="preserve">No</w:t>
            </w:r>
          </w:p>
        </w:tc>
        <w:tc>
          <w:tcPr/>
          <w:p>
            <w:pPr>
              <w:pStyle w:val="Compact"/>
            </w:pPr>
            <w:r>
              <w:rPr>
                <w:b/>
                <w:bCs/>
              </w:rPr>
              <w:t xml:space="preserve">Out-of-scope</w:t>
            </w:r>
            <w:r>
              <w:t xml:space="preserve"> </w:t>
            </w:r>
            <w:r>
              <w:t xml:space="preserve">(truly segmented)</w:t>
            </w:r>
          </w:p>
        </w:tc>
      </w:tr>
    </w:tbl>
    <w:bookmarkEnd w:id="691"/>
    <w:bookmarkStart w:id="692" w:name="cardholder-data-flow"/>
    <w:p>
      <w:pPr>
        <w:pStyle w:val="Heading3"/>
      </w:pPr>
      <w:r>
        <w:t xml:space="preserve">4.2 Cardholder Data Flow</w:t>
      </w:r>
    </w:p>
    <w:tbl>
      <w:tblPr>
        <w:tblStyle w:val="Table"/>
        <w:tblW w:type="pct" w:w="5000"/>
        <w:tblLayout w:type="fixed"/>
        <w:tblLook w:firstRow="1" w:lastRow="0" w:firstColumn="0" w:lastColumn="0" w:noHBand="0" w:noVBand="0" w:val="0020"/>
      </w:tblPr>
      <w:tblGrid>
        <w:gridCol w:w="579"/>
        <w:gridCol w:w="1545"/>
        <w:gridCol w:w="2511"/>
        <w:gridCol w:w="1159"/>
        <w:gridCol w:w="2124"/>
      </w:tblGrid>
      <w:tr>
        <w:trPr>
          <w:tblHeader w:val="on"/>
        </w:trPr>
        <w:tc>
          <w:tcPr/>
          <w:p>
            <w:pPr>
              <w:pStyle w:val="Compact"/>
            </w:pPr>
            <w:r>
              <w:t xml:space="preserve">#</w:t>
            </w:r>
          </w:p>
        </w:tc>
        <w:tc>
          <w:tcPr/>
          <w:p>
            <w:pPr>
              <w:pStyle w:val="Compact"/>
            </w:pPr>
            <w:r>
              <w:t xml:space="preserve">Source</w:t>
            </w:r>
          </w:p>
        </w:tc>
        <w:tc>
          <w:tcPr/>
          <w:p>
            <w:pPr>
              <w:pStyle w:val="Compact"/>
            </w:pPr>
            <w:r>
              <w:t xml:space="preserve">Destination</w:t>
            </w:r>
          </w:p>
        </w:tc>
        <w:tc>
          <w:tcPr/>
          <w:p>
            <w:pPr>
              <w:pStyle w:val="Compact"/>
            </w:pPr>
            <w:r>
              <w:t xml:space="preserve">Data</w:t>
            </w:r>
          </w:p>
        </w:tc>
        <w:tc>
          <w:tcPr/>
          <w:p>
            <w:pPr>
              <w:pStyle w:val="Compact"/>
            </w:pPr>
            <w:r>
              <w:t xml:space="preserve">Protection</w:t>
            </w:r>
          </w:p>
        </w:tc>
      </w:tr>
      <w:tr>
        <w:tc>
          <w:tcPr/>
          <w:p>
            <w:pPr>
              <w:pStyle w:val="Compact"/>
            </w:pPr>
            <w:r>
              <w:t xml:space="preserve">F1</w:t>
            </w:r>
          </w:p>
        </w:tc>
        <w:tc>
          <w:tcPr/>
          <w:p>
            <w:pPr>
              <w:pStyle w:val="Compact"/>
            </w:pPr>
            <w:r>
              <w:t xml:space="preserve">Client (Z0)</w:t>
            </w:r>
          </w:p>
        </w:tc>
        <w:tc>
          <w:tcPr/>
          <w:p>
            <w:pPr>
              <w:pStyle w:val="Compact"/>
            </w:pPr>
            <w:r>
              <w:t xml:space="preserve">Vault (Z3) via edge</w:t>
            </w:r>
          </w:p>
        </w:tc>
        <w:tc>
          <w:tcPr/>
          <w:p>
            <w:pPr>
              <w:pStyle w:val="Compact"/>
            </w:pPr>
            <w:r>
              <w:t xml:space="preserve">PAN</w:t>
            </w:r>
          </w:p>
        </w:tc>
        <w:tc>
          <w:tcPr/>
          <w:p>
            <w:pPr>
              <w:pStyle w:val="Compact"/>
            </w:pPr>
            <w:r>
              <w:t xml:space="preserve">TLS 1.2+, client-side tokenization, bypasses Z2</w:t>
            </w:r>
          </w:p>
        </w:tc>
      </w:tr>
      <w:tr>
        <w:tc>
          <w:tcPr/>
          <w:p>
            <w:pPr>
              <w:pStyle w:val="Compact"/>
            </w:pPr>
            <w:r>
              <w:t xml:space="preserve">F2</w:t>
            </w:r>
          </w:p>
        </w:tc>
        <w:tc>
          <w:tcPr/>
          <w:p>
            <w:pPr>
              <w:pStyle w:val="Compact"/>
            </w:pPr>
            <w:r>
              <w:t xml:space="preserve">Vault (Z3)</w:t>
            </w:r>
          </w:p>
        </w:tc>
        <w:tc>
          <w:tcPr/>
          <w:p>
            <w:pPr>
              <w:pStyle w:val="Compact"/>
            </w:pPr>
            <w:r>
              <w:t xml:space="preserve">PAN Vault store (Z3)</w:t>
            </w:r>
          </w:p>
        </w:tc>
        <w:tc>
          <w:tcPr/>
          <w:p>
            <w:pPr>
              <w:pStyle w:val="Compact"/>
            </w:pPr>
            <w:r>
              <w:t xml:space="preserve">Encrypted PAN</w:t>
            </w:r>
          </w:p>
        </w:tc>
        <w:tc>
          <w:tcPr/>
          <w:p>
            <w:pPr>
              <w:pStyle w:val="Compact"/>
            </w:pPr>
            <w:r>
              <w:t xml:space="preserve">Envelope encryption, keys in HSM (PCI Req 3)</w:t>
            </w:r>
          </w:p>
        </w:tc>
      </w:tr>
      <w:tr>
        <w:tc>
          <w:tcPr/>
          <w:p>
            <w:pPr>
              <w:pStyle w:val="Compact"/>
            </w:pPr>
            <w:r>
              <w:t xml:space="preserve">F3</w:t>
            </w:r>
          </w:p>
        </w:tc>
        <w:tc>
          <w:tcPr/>
          <w:p>
            <w:pPr>
              <w:pStyle w:val="Compact"/>
            </w:pPr>
            <w:r>
              <w:t xml:space="preserve">Payment Core (Z2)</w:t>
            </w:r>
          </w:p>
        </w:tc>
        <w:tc>
          <w:tcPr/>
          <w:p>
            <w:pPr>
              <w:pStyle w:val="Compact"/>
            </w:pPr>
            <w:r>
              <w:t xml:space="preserve">Vault (Z3)</w:t>
            </w:r>
          </w:p>
        </w:tc>
        <w:tc>
          <w:tcPr/>
          <w:p>
            <w:pPr>
              <w:pStyle w:val="Compact"/>
            </w:pPr>
            <w:r>
              <w:t xml:space="preserve">token → detokenize request</w:t>
            </w:r>
          </w:p>
        </w:tc>
        <w:tc>
          <w:tcPr/>
          <w:p>
            <w:pPr>
              <w:pStyle w:val="Compact"/>
            </w:pPr>
            <w:r>
              <w:t xml:space="preserve">mTLS, RBAC, audited every time</w:t>
            </w:r>
          </w:p>
        </w:tc>
      </w:tr>
      <w:tr>
        <w:tc>
          <w:tcPr/>
          <w:p>
            <w:pPr>
              <w:pStyle w:val="Compact"/>
            </w:pPr>
            <w:r>
              <w:t xml:space="preserve">F4</w:t>
            </w:r>
          </w:p>
        </w:tc>
        <w:tc>
          <w:tcPr/>
          <w:p>
            <w:pPr>
              <w:pStyle w:val="Compact"/>
            </w:pPr>
            <w:r>
              <w:t xml:space="preserve">Vault (Z3)</w:t>
            </w:r>
          </w:p>
        </w:tc>
        <w:tc>
          <w:tcPr/>
          <w:p>
            <w:pPr>
              <w:pStyle w:val="Compact"/>
            </w:pPr>
            <w:r>
              <w:t xml:space="preserve">Acquirer GW (Z6)</w:t>
            </w:r>
          </w:p>
        </w:tc>
        <w:tc>
          <w:tcPr/>
          <w:p>
            <w:pPr>
              <w:pStyle w:val="Compact"/>
            </w:pPr>
            <w:r>
              <w:t xml:space="preserve">PAN (authorize)</w:t>
            </w:r>
          </w:p>
        </w:tc>
        <w:tc>
          <w:tcPr/>
          <w:p>
            <w:pPr>
              <w:pStyle w:val="Compact"/>
            </w:pPr>
            <w:r>
              <w:t xml:space="preserve">Internal mTLS + IPsec/leased line to acquirer</w:t>
            </w:r>
          </w:p>
        </w:tc>
      </w:tr>
      <w:tr>
        <w:tc>
          <w:tcPr/>
          <w:p>
            <w:pPr>
              <w:pStyle w:val="Compact"/>
            </w:pPr>
            <w:r>
              <w:t xml:space="preserve">F5</w:t>
            </w:r>
          </w:p>
        </w:tc>
        <w:tc>
          <w:tcPr/>
          <w:p>
            <w:pPr>
              <w:pStyle w:val="Compact"/>
            </w:pPr>
            <w:r>
              <w:t xml:space="preserve">Vault/HSM (Z3)</w:t>
            </w:r>
          </w:p>
        </w:tc>
        <w:tc>
          <w:tcPr/>
          <w:p>
            <w:pPr>
              <w:pStyle w:val="Compact"/>
            </w:pPr>
            <w:r>
              <w:t xml:space="preserve">HSM (Z3)</w:t>
            </w:r>
          </w:p>
        </w:tc>
        <w:tc>
          <w:tcPr/>
          <w:p>
            <w:pPr>
              <w:pStyle w:val="Compact"/>
            </w:pPr>
            <w:r>
              <w:t xml:space="preserve">Key operations</w:t>
            </w:r>
          </w:p>
        </w:tc>
        <w:tc>
          <w:tcPr/>
          <w:p>
            <w:pPr>
              <w:pStyle w:val="Compact"/>
            </w:pPr>
            <w:r>
              <w:t xml:space="preserve">Dual control, split knowledge (PCI Req 3)</w:t>
            </w:r>
          </w:p>
        </w:tc>
      </w:tr>
    </w:tbl>
    <w:p>
      <w:pPr>
        <w:pStyle w:val="BlockText"/>
      </w:pPr>
      <w:r>
        <w:t xml:space="preserve">The full data-flow diagram (DFD) must be updated at least annually and upon any significant change, per</w:t>
      </w:r>
      <w:r>
        <w:t xml:space="preserve"> </w:t>
      </w:r>
      <w:r>
        <w:rPr>
          <w:b/>
          <w:bCs/>
        </w:rPr>
        <w:t xml:space="preserve">PCI Req 1.2.4</w:t>
      </w:r>
      <w:r>
        <w:t xml:space="preserve">.</w:t>
      </w:r>
    </w:p>
    <w:p>
      <w:r>
        <w:pict>
          <v:rect style="width:0;height:1.5pt" o:hralign="center" o:hrstd="t" o:hr="t"/>
        </w:pict>
      </w:r>
    </w:p>
    <w:bookmarkEnd w:id="692"/>
    <w:bookmarkEnd w:id="693"/>
    <w:bookmarkStart w:id="698" w:name="isolation-controls"/>
    <w:p>
      <w:pPr>
        <w:pStyle w:val="Heading2"/>
      </w:pPr>
      <w:r>
        <w:t xml:space="preserve">5. Isolation Controls</w:t>
      </w:r>
    </w:p>
    <w:bookmarkStart w:id="694" w:name="network-level"/>
    <w:p>
      <w:pPr>
        <w:pStyle w:val="Heading3"/>
      </w:pPr>
      <w:r>
        <w:t xml:space="preserve">5.1 Network-level</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t xml:space="preserve">Control</w:t>
            </w:r>
          </w:p>
        </w:tc>
        <w:tc>
          <w:tcPr/>
          <w:p>
            <w:pPr>
              <w:pStyle w:val="Compact"/>
            </w:pPr>
            <w:r>
              <w:t xml:space="preserve">Detail</w:t>
            </w:r>
          </w:p>
        </w:tc>
        <w:tc>
          <w:tcPr/>
          <w:p>
            <w:pPr>
              <w:pStyle w:val="Compact"/>
            </w:pPr>
            <w:r>
              <w:t xml:space="preserve">PCI Req</w:t>
            </w:r>
          </w:p>
        </w:tc>
      </w:tr>
      <w:tr>
        <w:tc>
          <w:tcPr/>
          <w:p>
            <w:pPr>
              <w:pStyle w:val="Compact"/>
            </w:pPr>
            <w:r>
              <w:rPr>
                <w:b/>
                <w:bCs/>
              </w:rPr>
              <w:t xml:space="preserve">Default-deny</w:t>
            </w:r>
          </w:p>
        </w:tc>
        <w:tc>
          <w:tcPr/>
          <w:p>
            <w:pPr>
              <w:pStyle w:val="Compact"/>
            </w:pPr>
            <w:r>
              <w:t xml:space="preserve">Firewalls/security groups in every zone deny by default; allow only necessary port/protocol with documented business justification</w:t>
            </w:r>
          </w:p>
        </w:tc>
        <w:tc>
          <w:tcPr/>
          <w:p>
            <w:pPr>
              <w:pStyle w:val="Compact"/>
            </w:pPr>
            <w:r>
              <w:t xml:space="preserve">1.2.1, 1.4</w:t>
            </w:r>
          </w:p>
        </w:tc>
      </w:tr>
      <w:tr>
        <w:tc>
          <w:tcPr/>
          <w:p>
            <w:pPr>
              <w:pStyle w:val="Compact"/>
            </w:pPr>
            <w:r>
              <w:rPr>
                <w:b/>
                <w:bCs/>
              </w:rPr>
              <w:t xml:space="preserve">Micro-segmentation</w:t>
            </w:r>
          </w:p>
        </w:tc>
        <w:tc>
          <w:tcPr/>
          <w:p>
            <w:pPr>
              <w:pStyle w:val="Compact"/>
            </w:pPr>
            <w:r>
              <w:t xml:space="preserve">Z3 (CDE) is a dedicated subnet/VLAN reachable only from Z2 (mTLS) and Z5 (restricted admin)</w:t>
            </w:r>
          </w:p>
        </w:tc>
        <w:tc>
          <w:tcPr/>
          <w:p>
            <w:pPr>
              <w:pStyle w:val="Compact"/>
            </w:pPr>
            <w:r>
              <w:t xml:space="preserve">1.3</w:t>
            </w:r>
          </w:p>
        </w:tc>
      </w:tr>
      <w:tr>
        <w:tc>
          <w:tcPr/>
          <w:p>
            <w:pPr>
              <w:pStyle w:val="Compact"/>
            </w:pPr>
            <w:r>
              <w:rPr>
                <w:b/>
                <w:bCs/>
              </w:rPr>
              <w:t xml:space="preserve">East-west control</w:t>
            </w:r>
          </w:p>
        </w:tc>
        <w:tc>
          <w:tcPr/>
          <w:p>
            <w:pPr>
              <w:pStyle w:val="Compact"/>
            </w:pPr>
            <w:r>
              <w:t xml:space="preserve">mTLS enforced between internal services (ARCHITECTURE §7); lateral movement between zones denied</w:t>
            </w:r>
          </w:p>
        </w:tc>
        <w:tc>
          <w:tcPr/>
          <w:p>
            <w:pPr>
              <w:pStyle w:val="Compact"/>
            </w:pPr>
            <w:r>
              <w:t xml:space="preserve">1.3, 1.4</w:t>
            </w:r>
          </w:p>
        </w:tc>
      </w:tr>
      <w:tr>
        <w:tc>
          <w:tcPr/>
          <w:p>
            <w:pPr>
              <w:pStyle w:val="Compact"/>
            </w:pPr>
            <w:r>
              <w:rPr>
                <w:b/>
                <w:bCs/>
              </w:rPr>
              <w:t xml:space="preserve">No direct internet ↔ CDE</w:t>
            </w:r>
          </w:p>
        </w:tc>
        <w:tc>
          <w:tcPr/>
          <w:p>
            <w:pPr>
              <w:pStyle w:val="Compact"/>
            </w:pPr>
            <w:r>
              <w:t xml:space="preserve">Z3 has no direct route to/from the internet in any direction</w:t>
            </w:r>
          </w:p>
        </w:tc>
        <w:tc>
          <w:tcPr/>
          <w:p>
            <w:pPr>
              <w:pStyle w:val="Compact"/>
            </w:pPr>
            <w:r>
              <w:t xml:space="preserve">1.3.1, 1.3.2</w:t>
            </w:r>
          </w:p>
        </w:tc>
      </w:tr>
      <w:tr>
        <w:tc>
          <w:tcPr/>
          <w:p>
            <w:pPr>
              <w:pStyle w:val="Compact"/>
            </w:pPr>
            <w:r>
              <w:rPr>
                <w:b/>
                <w:bCs/>
              </w:rPr>
              <w:t xml:space="preserve">Egress control</w:t>
            </w:r>
          </w:p>
        </w:tc>
        <w:tc>
          <w:tcPr/>
          <w:p>
            <w:pPr>
              <w:pStyle w:val="Compact"/>
            </w:pPr>
            <w:r>
              <w:t xml:space="preserve">Z3 may only reach allowlisted destinations (HSM, acquirer GW)</w:t>
            </w:r>
          </w:p>
        </w:tc>
        <w:tc>
          <w:tcPr/>
          <w:p>
            <w:pPr>
              <w:pStyle w:val="Compact"/>
            </w:pPr>
            <w:r>
              <w:t xml:space="preserve">1.3.2</w:t>
            </w:r>
          </w:p>
        </w:tc>
      </w:tr>
      <w:tr>
        <w:tc>
          <w:tcPr/>
          <w:p>
            <w:pPr>
              <w:pStyle w:val="Compact"/>
            </w:pPr>
            <w:r>
              <w:rPr>
                <w:b/>
                <w:bCs/>
              </w:rPr>
              <w:t xml:space="preserve">NTP, DNS, management channels</w:t>
            </w:r>
          </w:p>
        </w:tc>
        <w:tc>
          <w:tcPr/>
          <w:p>
            <w:pPr>
              <w:pStyle w:val="Compact"/>
            </w:pPr>
            <w:r>
              <w:t xml:space="preserve">Via jump host / internal services only</w:t>
            </w:r>
          </w:p>
        </w:tc>
        <w:tc>
          <w:tcPr/>
          <w:p>
            <w:pPr>
              <w:pStyle w:val="Compact"/>
            </w:pPr>
            <w:r>
              <w:t xml:space="preserve">1.4</w:t>
            </w:r>
          </w:p>
        </w:tc>
      </w:tr>
    </w:tbl>
    <w:bookmarkEnd w:id="694"/>
    <w:bookmarkStart w:id="695" w:name="access-level"/>
    <w:p>
      <w:pPr>
        <w:pStyle w:val="Heading3"/>
      </w:pPr>
      <w:r>
        <w:t xml:space="preserve">5.2 Access-level</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t xml:space="preserve">Control</w:t>
            </w:r>
          </w:p>
        </w:tc>
        <w:tc>
          <w:tcPr/>
          <w:p>
            <w:pPr>
              <w:pStyle w:val="Compact"/>
            </w:pPr>
            <w:r>
              <w:t xml:space="preserve">Detail</w:t>
            </w:r>
          </w:p>
        </w:tc>
        <w:tc>
          <w:tcPr/>
          <w:p>
            <w:pPr>
              <w:pStyle w:val="Compact"/>
            </w:pPr>
            <w:r>
              <w:t xml:space="preserve">PCI Req</w:t>
            </w:r>
          </w:p>
        </w:tc>
      </w:tr>
      <w:tr>
        <w:tc>
          <w:tcPr/>
          <w:p>
            <w:pPr>
              <w:pStyle w:val="Compact"/>
            </w:pPr>
            <w:r>
              <w:rPr>
                <w:b/>
                <w:bCs/>
              </w:rPr>
              <w:t xml:space="preserve">RBAC + least privilege</w:t>
            </w:r>
          </w:p>
        </w:tc>
        <w:tc>
          <w:tcPr/>
          <w:p>
            <w:pPr>
              <w:pStyle w:val="Compact"/>
            </w:pPr>
            <w:r>
              <w:t xml:space="preserve">Minimum privilege by role (ARCHITECTURE §7)</w:t>
            </w:r>
          </w:p>
        </w:tc>
        <w:tc>
          <w:tcPr/>
          <w:p>
            <w:pPr>
              <w:pStyle w:val="Compact"/>
            </w:pPr>
            <w:r>
              <w:t xml:space="preserve">7.2</w:t>
            </w:r>
          </w:p>
        </w:tc>
      </w:tr>
      <w:tr>
        <w:tc>
          <w:tcPr/>
          <w:p>
            <w:pPr>
              <w:pStyle w:val="Compact"/>
            </w:pPr>
            <w:r>
              <w:rPr>
                <w:b/>
                <w:bCs/>
              </w:rPr>
              <w:t xml:space="preserve">MFA enforced</w:t>
            </w:r>
          </w:p>
        </w:tc>
        <w:tc>
          <w:tcPr/>
          <w:p>
            <w:pPr>
              <w:pStyle w:val="Compact"/>
            </w:pPr>
            <w:r>
              <w:t xml:space="preserve">For all CDE access and all remote/admin access</w:t>
            </w:r>
          </w:p>
        </w:tc>
        <w:tc>
          <w:tcPr/>
          <w:p>
            <w:pPr>
              <w:pStyle w:val="Compact"/>
            </w:pPr>
            <w:r>
              <w:t xml:space="preserve">8.4, 8.5</w:t>
            </w:r>
          </w:p>
        </w:tc>
      </w:tr>
      <w:tr>
        <w:tc>
          <w:tcPr/>
          <w:p>
            <w:pPr>
              <w:pStyle w:val="Compact"/>
            </w:pPr>
            <w:r>
              <w:rPr>
                <w:b/>
                <w:bCs/>
              </w:rPr>
              <w:t xml:space="preserve">Bastion/Jump host</w:t>
            </w:r>
          </w:p>
        </w:tc>
        <w:tc>
          <w:tcPr/>
          <w:p>
            <w:pPr>
              <w:pStyle w:val="Compact"/>
            </w:pPr>
            <w:r>
              <w:t xml:space="preserve">Admins reach Z3 only via bastion (Z5) with session recording and time-bound (JIT) access</w:t>
            </w:r>
          </w:p>
        </w:tc>
        <w:tc>
          <w:tcPr/>
          <w:p>
            <w:pPr>
              <w:pStyle w:val="Compact"/>
            </w:pPr>
            <w:r>
              <w:t xml:space="preserve">7, 8</w:t>
            </w:r>
          </w:p>
        </w:tc>
      </w:tr>
      <w:tr>
        <w:tc>
          <w:tcPr/>
          <w:p>
            <w:pPr>
              <w:pStyle w:val="Compact"/>
            </w:pPr>
            <w:r>
              <w:rPr>
                <w:b/>
                <w:bCs/>
              </w:rPr>
              <w:t xml:space="preserve">Separation of duties (SoD)</w:t>
            </w:r>
          </w:p>
        </w:tc>
        <w:tc>
          <w:tcPr/>
          <w:p>
            <w:pPr>
              <w:pStyle w:val="Compact"/>
            </w:pPr>
            <w:r>
              <w:t xml:space="preserve">Devs have no prod-CDE access; deployment via controlled CI/CD pipeline</w:t>
            </w:r>
          </w:p>
        </w:tc>
        <w:tc>
          <w:tcPr/>
          <w:p>
            <w:pPr>
              <w:pStyle w:val="Compact"/>
            </w:pPr>
            <w:r>
              <w:t xml:space="preserve">6, 7</w:t>
            </w:r>
          </w:p>
        </w:tc>
      </w:tr>
    </w:tbl>
    <w:bookmarkEnd w:id="695"/>
    <w:bookmarkStart w:id="696" w:name="crypto"/>
    <w:p>
      <w:pPr>
        <w:pStyle w:val="Heading3"/>
      </w:pPr>
      <w:r>
        <w:t xml:space="preserve">5.3 Crypto</w:t>
      </w:r>
    </w:p>
    <w:p>
      <w:pPr>
        <w:pStyle w:val="Compact"/>
        <w:numPr>
          <w:ilvl w:val="0"/>
          <w:numId w:val="1279"/>
        </w:numPr>
      </w:pPr>
      <w:r>
        <w:rPr>
          <w:b/>
          <w:bCs/>
        </w:rPr>
        <w:t xml:space="preserve">In transit:</w:t>
      </w:r>
      <w:r>
        <w:t xml:space="preserve"> </w:t>
      </w:r>
      <w:r>
        <w:t xml:space="preserve">TLS 1.2+ everywhere, internal mTLS (ARCHITECTURE §7) — PCI Req 4</w:t>
      </w:r>
    </w:p>
    <w:p>
      <w:pPr>
        <w:pStyle w:val="Compact"/>
        <w:numPr>
          <w:ilvl w:val="0"/>
          <w:numId w:val="1279"/>
        </w:numPr>
      </w:pPr>
      <w:r>
        <w:rPr>
          <w:b/>
          <w:bCs/>
        </w:rPr>
        <w:t xml:space="preserve">At rest:</w:t>
      </w:r>
      <w:r>
        <w:t xml:space="preserve"> </w:t>
      </w:r>
      <w:r>
        <w:t xml:space="preserve">PAN encrypted via envelope encryption, keys in HSM/KMS, key rotation + dual control + split knowledge — PCI Req 3</w:t>
      </w:r>
    </w:p>
    <w:p>
      <w:pPr>
        <w:pStyle w:val="Compact"/>
        <w:numPr>
          <w:ilvl w:val="0"/>
          <w:numId w:val="1279"/>
        </w:numPr>
      </w:pPr>
      <w:r>
        <w:rPr>
          <w:b/>
          <w:bCs/>
        </w:rPr>
        <w:t xml:space="preserve">No keys in code/config</w:t>
      </w:r>
      <w:r>
        <w:t xml:space="preserve">; use secrets manager (Z5) — PCI Req 3, 6</w:t>
      </w:r>
    </w:p>
    <w:bookmarkEnd w:id="696"/>
    <w:bookmarkStart w:id="697" w:name="segmentation-monitoring-validation"/>
    <w:p>
      <w:pPr>
        <w:pStyle w:val="Heading3"/>
      </w:pPr>
      <w:r>
        <w:t xml:space="preserve">5.4 Segmentation monitoring &amp; validation</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Control</w:t>
            </w:r>
          </w:p>
        </w:tc>
        <w:tc>
          <w:tcPr/>
          <w:p>
            <w:pPr>
              <w:pStyle w:val="Compact"/>
            </w:pPr>
            <w:r>
              <w:t xml:space="preserve">Frequency</w:t>
            </w:r>
          </w:p>
        </w:tc>
        <w:tc>
          <w:tcPr/>
          <w:p>
            <w:pPr>
              <w:pStyle w:val="Compact"/>
            </w:pPr>
            <w:r>
              <w:t xml:space="preserve">PCI Req</w:t>
            </w:r>
          </w:p>
        </w:tc>
      </w:tr>
      <w:tr>
        <w:tc>
          <w:tcPr/>
          <w:p>
            <w:pPr>
              <w:pStyle w:val="Compact"/>
            </w:pPr>
            <w:r>
              <w:rPr>
                <w:b/>
                <w:bCs/>
              </w:rPr>
              <w:t xml:space="preserve">Segmentation penetration test</w:t>
            </w:r>
          </w:p>
        </w:tc>
        <w:tc>
          <w:tcPr/>
          <w:p>
            <w:pPr>
              <w:pStyle w:val="Compact"/>
            </w:pPr>
            <w:r>
              <w:t xml:space="preserve">At least every 6 months and after significant change</w:t>
            </w:r>
          </w:p>
        </w:tc>
        <w:tc>
          <w:tcPr/>
          <w:p>
            <w:pPr>
              <w:pStyle w:val="Compact"/>
            </w:pPr>
            <w:r>
              <w:t xml:space="preserve">11.4.5</w:t>
            </w:r>
          </w:p>
        </w:tc>
      </w:tr>
      <w:tr>
        <w:tc>
          <w:tcPr/>
          <w:p>
            <w:pPr>
              <w:pStyle w:val="Compact"/>
            </w:pPr>
            <w:r>
              <w:rPr>
                <w:b/>
                <w:bCs/>
              </w:rPr>
              <w:t xml:space="preserve">ASV external scan</w:t>
            </w:r>
          </w:p>
        </w:tc>
        <w:tc>
          <w:tcPr/>
          <w:p>
            <w:pPr>
              <w:pStyle w:val="Compact"/>
            </w:pPr>
            <w:r>
              <w:t xml:space="preserve">Quarterly</w:t>
            </w:r>
          </w:p>
        </w:tc>
        <w:tc>
          <w:tcPr/>
          <w:p>
            <w:pPr>
              <w:pStyle w:val="Compact"/>
            </w:pPr>
            <w:r>
              <w:t xml:space="preserve">11.3.2</w:t>
            </w:r>
          </w:p>
        </w:tc>
      </w:tr>
      <w:tr>
        <w:tc>
          <w:tcPr/>
          <w:p>
            <w:pPr>
              <w:pStyle w:val="Compact"/>
            </w:pPr>
            <w:r>
              <w:rPr>
                <w:b/>
                <w:bCs/>
              </w:rPr>
              <w:t xml:space="preserve">Internal vulnerability scan</w:t>
            </w:r>
          </w:p>
        </w:tc>
        <w:tc>
          <w:tcPr/>
          <w:p>
            <w:pPr>
              <w:pStyle w:val="Compact"/>
            </w:pPr>
            <w:r>
              <w:t xml:space="preserve">Quarterly + after change</w:t>
            </w:r>
          </w:p>
        </w:tc>
        <w:tc>
          <w:tcPr/>
          <w:p>
            <w:pPr>
              <w:pStyle w:val="Compact"/>
            </w:pPr>
            <w:r>
              <w:t xml:space="preserve">11.3.1</w:t>
            </w:r>
          </w:p>
        </w:tc>
      </w:tr>
      <w:tr>
        <w:tc>
          <w:tcPr/>
          <w:p>
            <w:pPr>
              <w:pStyle w:val="Compact"/>
            </w:pPr>
            <w:r>
              <w:rPr>
                <w:b/>
                <w:bCs/>
              </w:rPr>
              <w:t xml:space="preserve">Firewall/ruleset review</w:t>
            </w:r>
          </w:p>
        </w:tc>
        <w:tc>
          <w:tcPr/>
          <w:p>
            <w:pPr>
              <w:pStyle w:val="Compact"/>
            </w:pPr>
            <w:r>
              <w:t xml:space="preserve">Every 6 months</w:t>
            </w:r>
          </w:p>
        </w:tc>
        <w:tc>
          <w:tcPr/>
          <w:p>
            <w:pPr>
              <w:pStyle w:val="Compact"/>
            </w:pPr>
            <w:r>
              <w:t xml:space="preserve">1.2.7</w:t>
            </w:r>
          </w:p>
        </w:tc>
      </w:tr>
      <w:tr>
        <w:tc>
          <w:tcPr/>
          <w:p>
            <w:pPr>
              <w:pStyle w:val="Compact"/>
            </w:pPr>
            <w:r>
              <w:rPr>
                <w:b/>
                <w:bCs/>
              </w:rPr>
              <w:t xml:space="preserve">IDS/IPS + FIM</w:t>
            </w:r>
          </w:p>
        </w:tc>
        <w:tc>
          <w:tcPr/>
          <w:p>
            <w:pPr>
              <w:pStyle w:val="Compact"/>
            </w:pPr>
            <w:r>
              <w:t xml:space="preserve">Continuous (Z1, Z3, Z6)</w:t>
            </w:r>
          </w:p>
        </w:tc>
        <w:tc>
          <w:tcPr/>
          <w:p>
            <w:pPr>
              <w:pStyle w:val="Compact"/>
            </w:pPr>
            <w:r>
              <w:t xml:space="preserve">11.5</w:t>
            </w:r>
          </w:p>
        </w:tc>
      </w:tr>
      <w:tr>
        <w:tc>
          <w:tcPr/>
          <w:p>
            <w:pPr>
              <w:pStyle w:val="Compact"/>
            </w:pPr>
            <w:r>
              <w:rPr>
                <w:b/>
                <w:bCs/>
              </w:rPr>
              <w:t xml:space="preserve">Centralized logging (SIEM)</w:t>
            </w:r>
          </w:p>
        </w:tc>
        <w:tc>
          <w:tcPr/>
          <w:p>
            <w:pPr>
              <w:pStyle w:val="Compact"/>
            </w:pPr>
            <w:r>
              <w:t xml:space="preserve">Real-time, no card data in logs (ARCHITECTURE §7)</w:t>
            </w:r>
          </w:p>
        </w:tc>
        <w:tc>
          <w:tcPr/>
          <w:p>
            <w:pPr>
              <w:pStyle w:val="Compact"/>
            </w:pPr>
            <w:r>
              <w:t xml:space="preserve">10.2–10.7</w:t>
            </w:r>
          </w:p>
        </w:tc>
      </w:tr>
    </w:tbl>
    <w:p>
      <w:r>
        <w:pict>
          <v:rect style="width:0;height:1.5pt" o:hralign="center" o:hrstd="t" o:hr="t"/>
        </w:pict>
      </w:r>
    </w:p>
    <w:bookmarkEnd w:id="697"/>
    <w:bookmarkEnd w:id="698"/>
    <w:bookmarkStart w:id="699" w:name="roles-responsibilities-raci-summary"/>
    <w:p>
      <w:pPr>
        <w:pStyle w:val="Heading2"/>
      </w:pPr>
      <w:r>
        <w:t xml:space="preserve">6. Roles &amp; Responsibilities (RACI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Activity</w:t>
            </w:r>
          </w:p>
        </w:tc>
        <w:tc>
          <w:tcPr/>
          <w:p>
            <w:pPr>
              <w:pStyle w:val="Compact"/>
            </w:pPr>
            <w:r>
              <w:t xml:space="preserve">CISO</w:t>
            </w:r>
          </w:p>
        </w:tc>
        <w:tc>
          <w:tcPr/>
          <w:p>
            <w:pPr>
              <w:pStyle w:val="Compact"/>
            </w:pPr>
            <w:r>
              <w:t xml:space="preserve">DevSecOps</w:t>
            </w:r>
          </w:p>
        </w:tc>
        <w:tc>
          <w:tcPr/>
          <w:p>
            <w:pPr>
              <w:pStyle w:val="Compact"/>
            </w:pPr>
            <w:r>
              <w:t xml:space="preserve">SRE/Infra</w:t>
            </w:r>
          </w:p>
        </w:tc>
        <w:tc>
          <w:tcPr/>
          <w:p>
            <w:pPr>
              <w:pStyle w:val="Compact"/>
            </w:pPr>
            <w:r>
              <w:t xml:space="preserve">QSA (external)</w:t>
            </w:r>
          </w:p>
        </w:tc>
      </w:tr>
      <w:tr>
        <w:tc>
          <w:tcPr/>
          <w:p>
            <w:pPr>
              <w:pStyle w:val="Compact"/>
            </w:pPr>
            <w:r>
              <w:t xml:space="preserve">Define CDE scope &amp; DFD</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r>
      <w:tr>
        <w:tc>
          <w:tcPr/>
          <w:p>
            <w:pPr>
              <w:pStyle w:val="Compact"/>
            </w:pPr>
            <w:r>
              <w:t xml:space="preserve">Configure/review firewalls</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Segmentation pentest</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r>
      <w:tr>
        <w:tc>
          <w:tcPr/>
          <w:p>
            <w:pPr>
              <w:pStyle w:val="Compact"/>
            </w:pPr>
            <w:r>
              <w:t xml:space="preserve">Quarterly ASV scan</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R (ASV)</w:t>
            </w:r>
          </w:p>
        </w:tc>
      </w:tr>
      <w:tr>
        <w:tc>
          <w:tcPr/>
          <w:p>
            <w:pPr>
              <w:pStyle w:val="Compact"/>
            </w:pPr>
            <w:r>
              <w:t xml:space="preserve">6-month ruleset review</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HSM/KMS management (dual control)</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r>
    </w:tbl>
    <w:p>
      <w:pPr>
        <w:pStyle w:val="BodyText"/>
      </w:pPr>
      <w:r>
        <w:t xml:space="preserve">(R=Responsible, A=Accountable, C=Consulted, I=Informed)</w:t>
      </w:r>
    </w:p>
    <w:p>
      <w:r>
        <w:pict>
          <v:rect style="width:0;height:1.5pt" o:hralign="center" o:hrstd="t" o:hr="t"/>
        </w:pict>
      </w:r>
    </w:p>
    <w:bookmarkEnd w:id="699"/>
    <w:bookmarkStart w:id="700" w:name="X09d5ae6fbb51160d2385aed85930e84520a3de6"/>
    <w:p>
      <w:pPr>
        <w:pStyle w:val="Heading2"/>
      </w:pPr>
      <w:r>
        <w:t xml:space="preserve">7. Governance, Review &amp; Thai Regulatory Alignment</w:t>
      </w:r>
    </w:p>
    <w:p>
      <w:pPr>
        <w:pStyle w:val="Compact"/>
        <w:numPr>
          <w:ilvl w:val="0"/>
          <w:numId w:val="1280"/>
        </w:numPr>
      </w:pPr>
      <w:r>
        <w:rPr>
          <w:b/>
          <w:bCs/>
        </w:rPr>
        <w:t xml:space="preserve">BOT (ธปท.):</w:t>
      </w:r>
      <w:r>
        <w:t xml:space="preserve"> </w:t>
      </w:r>
      <w:r>
        <w:t xml:space="preserve">Aligned with IT risk / cyber resilience notifications — this segmentation document forms part of the license submission and on-site inspection package.</w:t>
      </w:r>
    </w:p>
    <w:p>
      <w:pPr>
        <w:pStyle w:val="Compact"/>
        <w:numPr>
          <w:ilvl w:val="0"/>
          <w:numId w:val="1280"/>
        </w:numPr>
      </w:pPr>
      <w:r>
        <w:rPr>
          <w:b/>
          <w:bCs/>
        </w:rPr>
        <w:t xml:space="preserve">PDPA / PDPC:</w:t>
      </w:r>
      <w:r>
        <w:t xml:space="preserve"> </w:t>
      </w:r>
      <w:r>
        <w:t xml:space="preserve">CDE isolation supports data-minimization and security-of-processing (Section 37) — consistent with</w:t>
      </w:r>
      <w:r>
        <w:t xml:space="preserve"> </w:t>
      </w:r>
      <w:r>
        <w:rPr>
          <w:rStyle w:val="VerbatimChar"/>
        </w:rPr>
        <w:t xml:space="preserve">09-pdpa-privacy-policy.md</w:t>
      </w:r>
      <w:r>
        <w:t xml:space="preserve">.</w:t>
      </w:r>
    </w:p>
    <w:p>
      <w:pPr>
        <w:pStyle w:val="Compact"/>
        <w:numPr>
          <w:ilvl w:val="0"/>
          <w:numId w:val="1280"/>
        </w:numPr>
      </w:pPr>
      <w:r>
        <w:rPr>
          <w:b/>
          <w:bCs/>
        </w:rPr>
        <w:t xml:space="preserve">AMLO (ปปง.):</w:t>
      </w:r>
      <w:r>
        <w:t xml:space="preserve"> </w:t>
      </w:r>
      <w:r>
        <w:t xml:space="preserve">Transaction data flows and audit logs (Z4) support reporting and evidence retention.</w:t>
      </w:r>
    </w:p>
    <w:p>
      <w:pPr>
        <w:pStyle w:val="Compact"/>
        <w:numPr>
          <w:ilvl w:val="0"/>
          <w:numId w:val="1280"/>
        </w:numPr>
      </w:pPr>
      <w:r>
        <w:rPr>
          <w:b/>
          <w:bCs/>
        </w:rPr>
        <w:t xml:space="preserve">Review cycle:</w:t>
      </w:r>
      <w:r>
        <w:t xml:space="preserve"> </w:t>
      </w:r>
      <w:r>
        <w:t xml:space="preserve">This document and its diagrams must be reviewed at least</w:t>
      </w:r>
      <w:r>
        <w:t xml:space="preserve"> </w:t>
      </w:r>
      <w:r>
        <w:rPr>
          <w:b/>
          <w:bCs/>
        </w:rPr>
        <w:t xml:space="preserve">annually</w:t>
      </w:r>
      <w:r>
        <w:t xml:space="preserve"> </w:t>
      </w:r>
      <w:r>
        <w:t xml:space="preserve">and upon any significant architecture or key-external-provider change (PCI Req 1.2.4).</w:t>
      </w:r>
    </w:p>
    <w:p>
      <w:r>
        <w:br w:type="page"/>
      </w:r>
    </w:p>
    <w:bookmarkEnd w:id="700"/>
    <w:bookmarkEnd w:id="701"/>
    <w:bookmarkStart w:id="723" w:name="X42d46e18cb4c8b51aaecb8e0dcc73c544d131eb"/>
    <w:p>
      <w:pPr>
        <w:pStyle w:val="Heading1"/>
      </w:pPr>
      <w:r>
        <w:t xml:space="preserve">การออกแบบ Tokenization และการบริหารกุญแจ HSM/KMS (ไทย)</w:t>
      </w:r>
    </w:p>
    <w:p>
      <w:pPr>
        <w:pStyle w:val="BlockText"/>
      </w:pPr>
      <w:r>
        <w:t xml:space="preserve">เอกสารเลขที่</w:t>
      </w:r>
      <w:r>
        <w:t xml:space="preserve"> </w:t>
      </w:r>
      <w:r>
        <w:rPr>
          <w:b/>
          <w:bCs/>
        </w:rPr>
        <w:t xml:space="preserve">21</w:t>
      </w:r>
      <w:r>
        <w:t xml:space="preserve"> </w:t>
      </w:r>
      <w:r>
        <w:t xml:space="preserve">ในชุดเอกสาร Compliance สำหรับการยื่นขอใบอนุญาต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และคู่ขนานกับ</w:t>
      </w:r>
      <w:r>
        <w:t xml:space="preserve"> </w:t>
      </w:r>
      <w:r>
        <w:rPr>
          <w:b/>
          <w:bCs/>
        </w:rPr>
        <w:t xml:space="preserve">PCI-DSS Level 1</w:t>
      </w:r>
      <w:r>
        <w:t xml:space="preserve"> </w:t>
      </w:r>
      <w:r>
        <w:t xml:space="preserve">(ทุนจดทะเบียนชำระแล้ว 50 ล้านบาท)</w:t>
      </w:r>
    </w:p>
    <w:p>
      <w:pPr>
        <w:pStyle w:val="BlockText"/>
      </w:pPr>
      <w:r>
        <w:rPr>
          <w:b/>
          <w:bCs/>
        </w:rPr>
        <w:t xml:space="preserve">สถานะเอกสาร:</w:t>
      </w:r>
      <w:r>
        <w:t xml:space="preserve"> </w:t>
      </w:r>
      <w:r>
        <w:t xml:space="preserve">ฉบับร่างเพื่อยื่นขออนุมัติ (submission draft) · เวอร์ชัน 0.1 · วันที่ปรับปรุง 2026-07-22</w:t>
      </w:r>
      <w:r>
        <w:t xml:space="preserve"> </w:t>
      </w:r>
      <w:r>
        <w:rPr>
          <w:b/>
          <w:bCs/>
        </w:rPr>
        <w:t xml:space="preserve">เจ้าของเอกสาร:</w:t>
      </w:r>
      <w:r>
        <w:t xml:space="preserve"> </w:t>
      </w:r>
      <w:r>
        <w:t xml:space="preserve">ประธานเจ้าหน้าที่ด้านความมั่นคงปลอดภัยสารสนเทศ (CISO) และผู้ดูแลระบบบริหารกุญแจ (Key Custodian Team / Cryptographic Key Management) ของ</w:t>
      </w:r>
      <w:r>
        <w:t xml:space="preserve"> </w:t>
      </w:r>
      <w:r>
        <w:rPr>
          <w:b/>
          <w:bCs/>
        </w:rPr>
        <w:t xml:space="preserve">[บริษัท / Company]</w:t>
      </w:r>
    </w:p>
    <w:p>
      <w:pPr>
        <w:pStyle w:val="BlockText"/>
      </w:pPr>
      <w:r>
        <w:t xml:space="preserve">เอกสารนี้เป็นนโยบายและมาตรฐานภายในและเอกสารประกอบคำขอใบอนุญาต</w:t>
      </w:r>
      <w:r>
        <w:t xml:space="preserve"> </w:t>
      </w:r>
      <w:r>
        <w:rPr>
          <w:b/>
          <w:bCs/>
        </w:rPr>
        <w:t xml:space="preserve">มิใช่คำแนะนำทางกฎหมาย</w:t>
      </w:r>
      <w:r>
        <w:t xml:space="preserve"> </w:t>
      </w:r>
      <w:r>
        <w:t xml:space="preserve">— ต้องผ่านการตรวจทานโดยที่ปรึกษากฎหมาย, CISO และ QSA ก่อนบังคับใช้จริง เนื่องจากประกาศ/หลักเกณฑ์ของ ธปท. และข้อกำหนด PCI-DSS อาจปรับปรุงได้</w:t>
      </w:r>
    </w:p>
    <w:p>
      <w:r>
        <w:pict>
          <v:rect style="width:0;height:1.5pt" o:hralign="center" o:hrstd="t" o:hr="t"/>
        </w:pict>
      </w:r>
    </w:p>
    <w:bookmarkStart w:id="702" w:name="บทสรปสำหรบผบรหาร-executive-summary-3"/>
    <w:p>
      <w:pPr>
        <w:pStyle w:val="Heading2"/>
      </w:pPr>
      <w:r>
        <w:t xml:space="preserve">บทสรุปสำหรับผู้บริหาร (Executive Summary)</w:t>
      </w:r>
    </w:p>
    <w:p>
      <w:pPr>
        <w:pStyle w:val="FirstParagraph"/>
      </w:pPr>
      <w:r>
        <w:t xml:space="preserve">[บริษัท / Company] ออกแบบให้</w:t>
      </w:r>
      <w:r>
        <w:t xml:space="preserve"> </w:t>
      </w:r>
      <w:r>
        <w:rPr>
          <w:b/>
          <w:bCs/>
        </w:rPr>
        <w:t xml:space="preserve">ข้อมูลบัตร (Cardholder Data — PAN) ไม่ถูกจัดเก็บในระบบปฏิบัติการหลัก (operational database)</w:t>
      </w:r>
      <w:r>
        <w:t xml:space="preserve"> </w:t>
      </w:r>
      <w:r>
        <w:t xml:space="preserve">โดยเด็ดขาด แต่ถูกแทนที่ด้วย</w:t>
      </w:r>
      <w:r>
        <w:t xml:space="preserve"> </w:t>
      </w:r>
      <w:r>
        <w:rPr>
          <w:b/>
          <w:bCs/>
        </w:rPr>
        <w:t xml:space="preserve">โทเคน (token)</w:t>
      </w:r>
      <w:r>
        <w:t xml:space="preserve"> </w:t>
      </w:r>
      <w:r>
        <w:t xml:space="preserve">ที่ไม่มีความสัมพันธ์ทางคณิตศาสตร์กับ PAN และไม่สามารถย้อนกลับได้หากไม่มีสิทธิ์เข้าถึง</w:t>
      </w:r>
      <w:r>
        <w:t xml:space="preserve"> </w:t>
      </w:r>
      <w:r>
        <w:rPr>
          <w:b/>
          <w:bCs/>
        </w:rPr>
        <w:t xml:space="preserve">Tokenization Vault</w:t>
      </w:r>
      <w:r>
        <w:t xml:space="preserve"> </w:t>
      </w:r>
      <w:r>
        <w:t xml:space="preserve">ที่แยก network segment ออกจากระบบหลัก แนวทางนี้เป็นการ</w:t>
      </w:r>
      <w:r>
        <w:t xml:space="preserve"> </w:t>
      </w:r>
      <w:r>
        <w:rPr>
          <w:b/>
          <w:bCs/>
        </w:rPr>
        <w:t xml:space="preserve">ลดขอบเขต PCI (scope minimization)</w:t>
      </w:r>
      <w:r>
        <w:t xml:space="preserve"> </w:t>
      </w:r>
      <w:r>
        <w:t xml:space="preserve">ให้ระบบหลักเห็นเพียง</w:t>
      </w:r>
      <w:r>
        <w:t xml:space="preserve"> </w:t>
      </w:r>
      <w:r>
        <w:rPr>
          <w:rStyle w:val="VerbatimChar"/>
        </w:rPr>
        <w:t xml:space="preserve">token</w:t>
      </w:r>
      <w:r>
        <w:t xml:space="preserve">,</w:t>
      </w:r>
      <w:r>
        <w:t xml:space="preserve"> </w:t>
      </w:r>
      <w:r>
        <w:rPr>
          <w:rStyle w:val="VerbatimChar"/>
        </w:rPr>
        <w:t xml:space="preserve">card_brand</w:t>
      </w:r>
      <w:r>
        <w:t xml:space="preserve"> </w:t>
      </w:r>
      <w:r>
        <w:t xml:space="preserve">และ</w:t>
      </w:r>
      <w:r>
        <w:t xml:space="preserve"> </w:t>
      </w:r>
      <w:r>
        <w:rPr>
          <w:rStyle w:val="VerbatimChar"/>
        </w:rPr>
        <w:t xml:space="preserve">card_last4</w:t>
      </w:r>
      <w:r>
        <w:t xml:space="preserve"> </w:t>
      </w:r>
      <w:r>
        <w:t xml:space="preserve">ตามที่ระบุใน</w:t>
      </w:r>
      <w:r>
        <w:t xml:space="preserve"> </w:t>
      </w:r>
      <w:r>
        <w:rPr>
          <w:rStyle w:val="VerbatimChar"/>
        </w:rPr>
        <w:t xml:space="preserve">ARCHITECTURE.md</w:t>
      </w:r>
    </w:p>
    <w:p>
      <w:pPr>
        <w:pStyle w:val="BodyText"/>
      </w:pPr>
      <w:r>
        <w:t xml:space="preserve">การเข้ารหัสข้อมูลใช้สถาปัตยกรรม</w:t>
      </w:r>
      <w:r>
        <w:t xml:space="preserve"> </w:t>
      </w:r>
      <w:r>
        <w:rPr>
          <w:b/>
          <w:bCs/>
        </w:rPr>
        <w:t xml:space="preserve">Envelope Encryption 3 ชั้น</w:t>
      </w:r>
      <w:r>
        <w:t xml:space="preserve"> </w:t>
      </w:r>
      <w:r>
        <w:t xml:space="preserve">ได้แก่ Root Key (KEK ระดับสูงสุด) → Key-Encrypting Key (KEK) → Data-Encrypting Key (DEK) โดยกุญแจระดับสูงสุด (Root/Master Key)</w:t>
      </w:r>
      <w:r>
        <w:t xml:space="preserve"> </w:t>
      </w:r>
      <w:r>
        <w:rPr>
          <w:b/>
          <w:bCs/>
        </w:rPr>
        <w:t xml:space="preserve">ไม่เคยออกจาก HSM</w:t>
      </w:r>
      <w:r>
        <w:t xml:space="preserve"> </w:t>
      </w:r>
      <w:r>
        <w:t xml:space="preserve">ที่ผ่านการรับรอง</w:t>
      </w:r>
      <w:r>
        <w:t xml:space="preserve"> </w:t>
      </w:r>
      <w:r>
        <w:rPr>
          <w:b/>
          <w:bCs/>
        </w:rPr>
        <w:t xml:space="preserve">FIPS 140-2 Level 3 (หรือ FIPS 140-3)</w:t>
      </w:r>
      <w:r>
        <w:t xml:space="preserve"> </w:t>
      </w:r>
      <w:r>
        <w:t xml:space="preserve">การเข้าถึงและการดำเนินการกับกุญแจสำคัญทุกครั้งถูกควบคุมด้วยหลักการ</w:t>
      </w:r>
      <w:r>
        <w:t xml:space="preserve"> </w:t>
      </w:r>
      <w:r>
        <w:rPr>
          <w:b/>
          <w:bCs/>
        </w:rPr>
        <w:t xml:space="preserve">Dual Control (สองคนควบคุม)</w:t>
      </w:r>
      <w:r>
        <w:t xml:space="preserve"> </w:t>
      </w:r>
      <w:r>
        <w:t xml:space="preserve">และ</w:t>
      </w:r>
      <w:r>
        <w:t xml:space="preserve"> </w:t>
      </w:r>
      <w:r>
        <w:rPr>
          <w:b/>
          <w:bCs/>
        </w:rPr>
        <w:t xml:space="preserve">Split Knowledge (ความรู้แยกส่วน)</w:t>
      </w:r>
      <w:r>
        <w:t xml:space="preserve"> </w:t>
      </w:r>
      <w:r>
        <w:t xml:space="preserve">เพื่อให้ไม่มีบุคคลใดบุคคลหนึ่งสามารถประกอบหรือใช้กุญแจได้โดยลำพัง</w:t>
      </w:r>
    </w:p>
    <w:p>
      <w:pPr>
        <w:pStyle w:val="BodyText"/>
      </w:pPr>
      <w:r>
        <w:t xml:space="preserve">เอกสารนี้กำหนดนโยบาย มาตรฐาน และขั้นตอนปฏิบัติ (SOP) ที่ตอบสนอง</w:t>
      </w:r>
      <w:r>
        <w:t xml:space="preserve"> </w:t>
      </w:r>
      <w:r>
        <w:rPr>
          <w:b/>
          <w:bCs/>
        </w:rPr>
        <w:t xml:space="preserve">PCI-DSS v4.0 Requirement 3 (Protect Stored Account Data) และ Requirement 4 (Protect CHD with Strong Cryptography in Transit)</w:t>
      </w:r>
      <w:r>
        <w:t xml:space="preserve"> </w:t>
      </w:r>
      <w:r>
        <w:t xml:space="preserve">โดยตรง พร้อมเชื่อมโยงกับข้อกำหนดของ ธปท. ด้าน IT risk / cyber resilience, พ.ร.บ. คุ้มครองข้อมูลส่วนบุคคล พ.ศ. 2562 (PDPA — กำกับโดย PDPC) และภาระ AML/CDD ภายใต้ ปปง./AMLO</w:t>
      </w:r>
    </w:p>
    <w:p>
      <w:pPr>
        <w:pStyle w:val="BlockText"/>
      </w:pPr>
      <w:r>
        <w:rPr>
          <w:b/>
          <w:bCs/>
        </w:rPr>
        <w:t xml:space="preserve">ความเชื่อมโยงกับสถาปัตยกรรม:</w:t>
      </w:r>
      <w:r>
        <w:t xml:space="preserve"> </w:t>
      </w:r>
      <w:r>
        <w:t xml:space="preserve">เอกสารนี้ให้รายละเอียดเชิงลึกของการควบคุมที่อ้างถึงใน</w:t>
      </w:r>
      <w:r>
        <w:t xml:space="preserve"> </w:t>
      </w:r>
      <w:r>
        <w:rPr>
          <w:rStyle w:val="VerbatimChar"/>
        </w:rPr>
        <w:t xml:space="preserve">ARCHITECTURE.md</w:t>
      </w:r>
      <w:r>
        <w:t xml:space="preserve"> </w:t>
      </w:r>
      <w:r>
        <w:t xml:space="preserve">หัวข้อ 7 (Encryption at rest, Key management, Scope minimization) และเอกสาร</w:t>
      </w:r>
      <w:r>
        <w:t xml:space="preserve"> </w:t>
      </w:r>
      <w:r>
        <w:rPr>
          <w:rStyle w:val="VerbatimChar"/>
        </w:rPr>
        <w:t xml:space="preserve">13-it-risk-management.md</w:t>
      </w:r>
    </w:p>
    <w:p>
      <w:r>
        <w:pict>
          <v:rect style="width:0;height:1.5pt" o:hralign="center" o:hrstd="t" o:hr="t"/>
        </w:pict>
      </w:r>
    </w:p>
    <w:bookmarkEnd w:id="702"/>
    <w:bookmarkStart w:id="703" w:name="ฐานกฎหมายและมาตรฐานอางอง-3"/>
    <w:p>
      <w:pPr>
        <w:pStyle w:val="Heading2"/>
      </w:pPr>
      <w:r>
        <w:t xml:space="preserve">1. ฐานกฎหมายและมาตรฐานอ้างอิง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กฎหมาย / มาตรฐาน</w:t>
            </w:r>
          </w:p>
        </w:tc>
        <w:tc>
          <w:tcPr/>
          <w:p>
            <w:pPr>
              <w:pStyle w:val="Compact"/>
            </w:pPr>
            <w:r>
              <w:t xml:space="preserve">สาระสำคัญที่เกี่ยวข้อง</w:t>
            </w:r>
          </w:p>
        </w:tc>
      </w:tr>
      <w:tr>
        <w:tc>
          <w:tcPr/>
          <w:p>
            <w:pPr>
              <w:pStyle w:val="Compact"/>
            </w:pPr>
            <w:r>
              <w:rPr>
                <w:b/>
                <w:bCs/>
              </w:rPr>
              <w:t xml:space="preserve">พ.ร.บ. ระบบการชำระเงิน พ.ศ. 2560</w:t>
            </w:r>
            <w:r>
              <w:t xml:space="preserve"> </w:t>
            </w:r>
            <w:r>
              <w:t xml:space="preserve">—</w:t>
            </w:r>
            <w:r>
              <w:t xml:space="preserve"> </w:t>
            </w:r>
            <w:r>
              <w:rPr>
                <w:b/>
                <w:bCs/>
              </w:rPr>
              <w:t xml:space="preserve">ธปท.</w:t>
            </w:r>
          </w:p>
        </w:tc>
        <w:tc>
          <w:tcPr/>
          <w:p>
            <w:pPr>
              <w:pStyle w:val="Compact"/>
            </w:pPr>
            <w:r>
              <w:t xml:space="preserve">เงื่อนไขใบอนุญาต Acquiring กำหนดให้มีการควบคุมความมั่นคงปลอดภัยของข้อมูลและระบบบริหารความเสี่ยง IT ที่ได้มาตรฐาน</w:t>
            </w:r>
          </w:p>
        </w:tc>
      </w:tr>
      <w:tr>
        <w:tc>
          <w:tcPr/>
          <w:p>
            <w:pPr>
              <w:pStyle w:val="Compact"/>
            </w:pPr>
            <w:r>
              <w:rPr>
                <w:b/>
                <w:bCs/>
              </w:rPr>
              <w:t xml:space="preserve">แนวปฏิบัติ ธปท. ด้าน IT Risk &amp; Cyber Resilience</w:t>
            </w:r>
          </w:p>
        </w:tc>
        <w:tc>
          <w:tcPr/>
          <w:p>
            <w:pPr>
              <w:pStyle w:val="Compact"/>
            </w:pPr>
            <w:r>
              <w:t xml:space="preserve">การเข้ารหัสข้อมูลสำคัญ, การบริหารกุญแจ, การควบคุมการเข้าถึง, data residency ในไทย</w:t>
            </w:r>
          </w:p>
        </w:tc>
      </w:tr>
      <w:tr>
        <w:tc>
          <w:tcPr/>
          <w:p>
            <w:pPr>
              <w:pStyle w:val="Compact"/>
            </w:pPr>
            <w:r>
              <w:rPr>
                <w:b/>
                <w:bCs/>
              </w:rPr>
              <w:t xml:space="preserve">PCI-DSS v4.0 — Requirement 3</w:t>
            </w:r>
          </w:p>
        </w:tc>
        <w:tc>
          <w:tcPr/>
          <w:p>
            <w:pPr>
              <w:pStyle w:val="Compact"/>
            </w:pPr>
            <w:r>
              <w:t xml:space="preserve">การคุ้มครองข้อมูลบัญชีที่จัดเก็บ: เข้ารหัส PAN, บริหารกุญแจ, dual control, split knowledge, key rotation, key retirement (3.5–3.7)</w:t>
            </w:r>
          </w:p>
        </w:tc>
      </w:tr>
      <w:tr>
        <w:tc>
          <w:tcPr/>
          <w:p>
            <w:pPr>
              <w:pStyle w:val="Compact"/>
            </w:pPr>
            <w:r>
              <w:rPr>
                <w:b/>
                <w:bCs/>
              </w:rPr>
              <w:t xml:space="preserve">PCI-DSS v4.0 — Requirement 4</w:t>
            </w:r>
          </w:p>
        </w:tc>
        <w:tc>
          <w:tcPr/>
          <w:p>
            <w:pPr>
              <w:pStyle w:val="Compact"/>
            </w:pPr>
            <w:r>
              <w:t xml:space="preserve">เข้ารหัส CHD ระหว่างการส่งผ่านเครือข่ายสาธารณะด้วย strong cryptography (TLS 1.2+)</w:t>
            </w:r>
          </w:p>
        </w:tc>
      </w:tr>
      <w:tr>
        <w:tc>
          <w:tcPr/>
          <w:p>
            <w:pPr>
              <w:pStyle w:val="Compact"/>
            </w:pPr>
            <w:r>
              <w:rPr>
                <w:b/>
                <w:bCs/>
              </w:rPr>
              <w:t xml:space="preserve">PCI-DSS v4.0 — Requirement 8 &amp; 12</w:t>
            </w:r>
          </w:p>
        </w:tc>
        <w:tc>
          <w:tcPr/>
          <w:p>
            <w:pPr>
              <w:pStyle w:val="Compact"/>
            </w:pPr>
            <w:r>
              <w:t xml:space="preserve">การพิสูจน์ตัวตน (MFA), บทบาทหน้าที่ key custodian และหนังสือรับทราบหน้าที่ (acknowledgement)</w:t>
            </w:r>
          </w:p>
        </w:tc>
      </w:tr>
      <w:tr>
        <w:tc>
          <w:tcPr/>
          <w:p>
            <w:pPr>
              <w:pStyle w:val="Compact"/>
            </w:pPr>
            <w:r>
              <w:rPr>
                <w:b/>
                <w:bCs/>
              </w:rPr>
              <w:t xml:space="preserve">พ.ร.บ. คุ้มครองข้อมูลส่วนบุคคล พ.ศ. 2562 (PDPA)</w:t>
            </w:r>
            <w:r>
              <w:t xml:space="preserve"> </w:t>
            </w:r>
            <w:r>
              <w:t xml:space="preserve">—</w:t>
            </w:r>
            <w:r>
              <w:t xml:space="preserve"> </w:t>
            </w:r>
            <w:r>
              <w:rPr>
                <w:b/>
                <w:bCs/>
              </w:rPr>
              <w:t xml:space="preserve">PDPC</w:t>
            </w:r>
          </w:p>
        </w:tc>
        <w:tc>
          <w:tcPr/>
          <w:p>
            <w:pPr>
              <w:pStyle w:val="Compact"/>
            </w:pPr>
            <w:r>
              <w:t xml:space="preserve">มาตรการรักษาความมั่นคงปลอดภัยที่เหมาะสม (มาตรา 37), การแจ้งเหตุละเมิดภายใน 72 ชั่วโมง; PAN เป็นข้อมูลส่วนบุคคล</w:t>
            </w:r>
          </w:p>
        </w:tc>
      </w:tr>
      <w:tr>
        <w:tc>
          <w:tcPr/>
          <w:p>
            <w:pPr>
              <w:pStyle w:val="Compact"/>
            </w:pPr>
            <w:r>
              <w:rPr>
                <w:b/>
                <w:bCs/>
              </w:rPr>
              <w:t xml:space="preserve">พ.ร.บ. ป้องกันและปราบปรามการฟอกเงิน (ปปง./AMLO)</w:t>
            </w:r>
          </w:p>
        </w:tc>
        <w:tc>
          <w:tcPr/>
          <w:p>
            <w:pPr>
              <w:pStyle w:val="Compact"/>
            </w:pPr>
            <w:r>
              <w:t xml:space="preserve">ต้องคง audit trail ของ detokenization ที่เชื่อมโยงธุรกรรมเพื่อรองรับการสอบสวน/รายงาน STR</w:t>
            </w:r>
          </w:p>
        </w:tc>
      </w:tr>
      <w:tr>
        <w:tc>
          <w:tcPr/>
          <w:p>
            <w:pPr>
              <w:pStyle w:val="Compact"/>
            </w:pPr>
            <w:r>
              <w:rPr>
                <w:b/>
                <w:bCs/>
              </w:rPr>
              <w:t xml:space="preserve">EMV 3-D Secure (3DS) 2.x</w:t>
            </w:r>
          </w:p>
        </w:tc>
        <w:tc>
          <w:tcPr/>
          <w:p>
            <w:pPr>
              <w:pStyle w:val="Compact"/>
            </w:pPr>
            <w:r>
              <w:t xml:space="preserve">โทเคนและกุญแจที่เกี่ยวกับ 3DS device/session ต้องอยู่ในกรอบการบริหารกุญแจเดียวกัน</w:t>
            </w:r>
          </w:p>
        </w:tc>
      </w:tr>
      <w:tr>
        <w:tc>
          <w:tcPr/>
          <w:p>
            <w:pPr>
              <w:pStyle w:val="Compact"/>
            </w:pPr>
            <w:r>
              <w:rPr>
                <w:b/>
                <w:bCs/>
              </w:rPr>
              <w:t xml:space="preserve">FIPS 140-2 Level 3 / FIPS 140-3</w:t>
            </w:r>
          </w:p>
        </w:tc>
        <w:tc>
          <w:tcPr/>
          <w:p>
            <w:pPr>
              <w:pStyle w:val="Compact"/>
            </w:pPr>
            <w:r>
              <w:t xml:space="preserve">มาตรฐานการรับรองโมดูลเข้ารหัส (HSM)</w:t>
            </w:r>
          </w:p>
        </w:tc>
      </w:tr>
      <w:tr>
        <w:tc>
          <w:tcPr/>
          <w:p>
            <w:pPr>
              <w:pStyle w:val="Compact"/>
            </w:pPr>
            <w:r>
              <w:rPr>
                <w:b/>
                <w:bCs/>
              </w:rPr>
              <w:t xml:space="preserve">NIST SP 800-57 / SP 800-38 / ISO 11568</w:t>
            </w:r>
          </w:p>
        </w:tc>
        <w:tc>
          <w:tcPr/>
          <w:p>
            <w:pPr>
              <w:pStyle w:val="Compact"/>
            </w:pPr>
            <w:r>
              <w:t xml:space="preserve">หลักการบริหารวงจรชีวิตกุญแจและ key lengths</w:t>
            </w:r>
          </w:p>
        </w:tc>
      </w:tr>
    </w:tbl>
    <w:p>
      <w:pPr>
        <w:pStyle w:val="BlockText"/>
      </w:pPr>
      <w:r>
        <w:rPr>
          <w:b/>
          <w:bCs/>
        </w:rPr>
        <w:t xml:space="preserve">[TODO / ข้อสมมติ]</w:t>
      </w:r>
      <w:r>
        <w:t xml:space="preserve"> </w:t>
      </w:r>
      <w:r>
        <w:t xml:space="preserve">ต้องยืนยันเลขที่/ปีของประกาศ ธปท. ด้าน IT risk &amp; cyber resilience ฉบับล่าสุด ณ วันยื่น และปรับการอ้างอิงให้ตรง โดยที่ปรึกษากฎหมายและ QSA</w:t>
      </w:r>
    </w:p>
    <w:p>
      <w:r>
        <w:pict>
          <v:rect style="width:0;height:1.5pt" o:hralign="center" o:hrstd="t" o:hr="t"/>
        </w:pict>
      </w:r>
    </w:p>
    <w:bookmarkEnd w:id="703"/>
    <w:bookmarkStart w:id="704" w:name="ขอบเขตและนยาม-scope-definitions-1"/>
    <w:p>
      <w:pPr>
        <w:pStyle w:val="Heading2"/>
      </w:pPr>
      <w:r>
        <w:t xml:space="preserve">2. ขอบเขตและนิยาม (Scope &amp; Definitions)</w:t>
      </w:r>
    </w:p>
    <w:p>
      <w:pPr>
        <w:pStyle w:val="FirstParagraph"/>
      </w:pPr>
      <w:r>
        <w:rPr>
          <w:b/>
          <w:bCs/>
        </w:rPr>
        <w:t xml:space="preserve">ขอบเขต:</w:t>
      </w:r>
      <w:r>
        <w:t xml:space="preserve"> </w:t>
      </w:r>
      <w:r>
        <w:t xml:space="preserve">ครอบคลุมกุญแจเข้ารหัสทั้งหมดที่คุ้มครองข้อมูลบัตร (CHD) และข้อมูลลับ (Sensitive Authentication Data — SAD ที่ห้ามจัดเก็บหลัง authorization), Tokenization Vault, HSM/KMS, ระบบ payment core (Go/Fiber), ฐานข้อมูล และ backup ทั้งหมดของ [บริษัท / Company]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คำ</w:t>
            </w:r>
          </w:p>
        </w:tc>
        <w:tc>
          <w:tcPr/>
          <w:p>
            <w:pPr>
              <w:pStyle w:val="Compact"/>
            </w:pPr>
            <w:r>
              <w:t xml:space="preserve">นิยาม</w:t>
            </w:r>
          </w:p>
        </w:tc>
      </w:tr>
      <w:tr>
        <w:tc>
          <w:tcPr/>
          <w:p>
            <w:pPr>
              <w:pStyle w:val="Compact"/>
            </w:pPr>
            <w:r>
              <w:rPr>
                <w:b/>
                <w:bCs/>
              </w:rPr>
              <w:t xml:space="preserve">PAN</w:t>
            </w:r>
          </w:p>
        </w:tc>
        <w:tc>
          <w:tcPr/>
          <w:p>
            <w:pPr>
              <w:pStyle w:val="Compact"/>
            </w:pPr>
            <w:r>
              <w:t xml:space="preserve">Primary Account Number — เลขบัตร 13–19 หลัก</w:t>
            </w:r>
          </w:p>
        </w:tc>
      </w:tr>
      <w:tr>
        <w:tc>
          <w:tcPr/>
          <w:p>
            <w:pPr>
              <w:pStyle w:val="Compact"/>
            </w:pPr>
            <w:r>
              <w:rPr>
                <w:b/>
                <w:bCs/>
              </w:rPr>
              <w:t xml:space="preserve">CHD / SAD</w:t>
            </w:r>
          </w:p>
        </w:tc>
        <w:tc>
          <w:tcPr/>
          <w:p>
            <w:pPr>
              <w:pStyle w:val="Compact"/>
            </w:pPr>
            <w:r>
              <w:t xml:space="preserve">Cardholder Data / Sensitive Authentication Data (CVV2, PIN, full track —</w:t>
            </w:r>
            <w:r>
              <w:t xml:space="preserve"> </w:t>
            </w:r>
            <w:r>
              <w:rPr>
                <w:b/>
                <w:bCs/>
              </w:rPr>
              <w:t xml:space="preserve">ห้ามจัดเก็บ</w:t>
            </w:r>
            <w:r>
              <w:t xml:space="preserve">)</w:t>
            </w:r>
          </w:p>
        </w:tc>
      </w:tr>
      <w:tr>
        <w:tc>
          <w:tcPr/>
          <w:p>
            <w:pPr>
              <w:pStyle w:val="Compact"/>
            </w:pPr>
            <w:r>
              <w:rPr>
                <w:b/>
                <w:bCs/>
              </w:rPr>
              <w:t xml:space="preserve">Token</w:t>
            </w:r>
          </w:p>
        </w:tc>
        <w:tc>
          <w:tcPr/>
          <w:p>
            <w:pPr>
              <w:pStyle w:val="Compact"/>
            </w:pPr>
            <w:r>
              <w:t xml:space="preserve">ค่าแทน PAN ที่ไม่สามารถย้อนกลับได้ทางคณิตศาสตร์ (irreversible token) สร้างและจับคู่ใน Vault เท่านั้น</w:t>
            </w:r>
          </w:p>
        </w:tc>
      </w:tr>
      <w:tr>
        <w:tc>
          <w:tcPr/>
          <w:p>
            <w:pPr>
              <w:pStyle w:val="Compact"/>
            </w:pPr>
            <w:r>
              <w:rPr>
                <w:b/>
                <w:bCs/>
              </w:rPr>
              <w:t xml:space="preserve">Detokenization</w:t>
            </w:r>
          </w:p>
        </w:tc>
        <w:tc>
          <w:tcPr/>
          <w:p>
            <w:pPr>
              <w:pStyle w:val="Compact"/>
            </w:pPr>
            <w:r>
              <w:t xml:space="preserve">การเรียกคืน PAN จาก token — ทำได้เฉพาะภายใน CDE ผ่าน API ที่พิสูจน์ตัวตนแล้ว</w:t>
            </w:r>
          </w:p>
        </w:tc>
      </w:tr>
      <w:tr>
        <w:tc>
          <w:tcPr/>
          <w:p>
            <w:pPr>
              <w:pStyle w:val="Compact"/>
            </w:pPr>
            <w:r>
              <w:rPr>
                <w:b/>
                <w:bCs/>
              </w:rPr>
              <w:t xml:space="preserve">Root/Master Key</w:t>
            </w:r>
          </w:p>
        </w:tc>
        <w:tc>
          <w:tcPr/>
          <w:p>
            <w:pPr>
              <w:pStyle w:val="Compact"/>
            </w:pPr>
            <w:r>
              <w:t xml:space="preserve">กุญแจระดับสูงสุด สร้างและใช้งานภายใน HSM เท่านั้น ไม่เคย export เป็น plaintext</w:t>
            </w:r>
          </w:p>
        </w:tc>
      </w:tr>
      <w:tr>
        <w:tc>
          <w:tcPr/>
          <w:p>
            <w:pPr>
              <w:pStyle w:val="Compact"/>
            </w:pPr>
            <w:r>
              <w:rPr>
                <w:b/>
                <w:bCs/>
              </w:rPr>
              <w:t xml:space="preserve">KEK</w:t>
            </w:r>
          </w:p>
        </w:tc>
        <w:tc>
          <w:tcPr/>
          <w:p>
            <w:pPr>
              <w:pStyle w:val="Compact"/>
            </w:pPr>
            <w:r>
              <w:t xml:space="preserve">Key-Encrypting Key — กุญแจสำหรับเข้ารหัส DEK</w:t>
            </w:r>
          </w:p>
        </w:tc>
      </w:tr>
      <w:tr>
        <w:tc>
          <w:tcPr/>
          <w:p>
            <w:pPr>
              <w:pStyle w:val="Compact"/>
            </w:pPr>
            <w:r>
              <w:rPr>
                <w:b/>
                <w:bCs/>
              </w:rPr>
              <w:t xml:space="preserve">DEK</w:t>
            </w:r>
          </w:p>
        </w:tc>
        <w:tc>
          <w:tcPr/>
          <w:p>
            <w:pPr>
              <w:pStyle w:val="Compact"/>
            </w:pPr>
            <w:r>
              <w:t xml:space="preserve">Data-Encrypting Key — กุญแจที่ใช้เข้ารหัส PAN โดยตรง (AES-256-GCM)</w:t>
            </w:r>
          </w:p>
        </w:tc>
      </w:tr>
      <w:tr>
        <w:tc>
          <w:tcPr/>
          <w:p>
            <w:pPr>
              <w:pStyle w:val="Compact"/>
            </w:pPr>
            <w:r>
              <w:rPr>
                <w:b/>
                <w:bCs/>
              </w:rPr>
              <w:t xml:space="preserve">Dual Control</w:t>
            </w:r>
          </w:p>
        </w:tc>
        <w:tc>
          <w:tcPr/>
          <w:p>
            <w:pPr>
              <w:pStyle w:val="Compact"/>
            </w:pPr>
            <w:r>
              <w:t xml:space="preserve">ต้องใช้บุคคลอย่างน้อย 2 คนร่วมกันจึงจะดำเนินการกับกุญแจสำคัญได้</w:t>
            </w:r>
          </w:p>
        </w:tc>
      </w:tr>
      <w:tr>
        <w:tc>
          <w:tcPr/>
          <w:p>
            <w:pPr>
              <w:pStyle w:val="Compact"/>
            </w:pPr>
            <w:r>
              <w:rPr>
                <w:b/>
                <w:bCs/>
              </w:rPr>
              <w:t xml:space="preserve">Split Knowledge</w:t>
            </w:r>
          </w:p>
        </w:tc>
        <w:tc>
          <w:tcPr/>
          <w:p>
            <w:pPr>
              <w:pStyle w:val="Compact"/>
            </w:pPr>
            <w:r>
              <w:t xml:space="preserve">ไม่มีบุคคลใดรู้ส่วนประกอบของกุญแจทั้งหมด แต่ละคนรู้เพียง key component/share เดียว</w:t>
            </w:r>
          </w:p>
        </w:tc>
      </w:tr>
      <w:tr>
        <w:tc>
          <w:tcPr/>
          <w:p>
            <w:pPr>
              <w:pStyle w:val="Compact"/>
            </w:pPr>
            <w:r>
              <w:rPr>
                <w:b/>
                <w:bCs/>
              </w:rPr>
              <w:t xml:space="preserve">Key Custodian</w:t>
            </w:r>
          </w:p>
        </w:tc>
        <w:tc>
          <w:tcPr/>
          <w:p>
            <w:pPr>
              <w:pStyle w:val="Compact"/>
            </w:pPr>
            <w:r>
              <w:t xml:space="preserve">เจ้าหน้าที่ที่ได้รับมอบหมายให้ถือครองและจัดการ key component ตาม PCI Req 3.6/12.3</w:t>
            </w:r>
          </w:p>
        </w:tc>
      </w:tr>
      <w:tr>
        <w:tc>
          <w:tcPr/>
          <w:p>
            <w:pPr>
              <w:pStyle w:val="Compact"/>
            </w:pPr>
            <w:r>
              <w:rPr>
                <w:b/>
                <w:bCs/>
              </w:rPr>
              <w:t xml:space="preserve">CDE</w:t>
            </w:r>
          </w:p>
        </w:tc>
        <w:tc>
          <w:tcPr/>
          <w:p>
            <w:pPr>
              <w:pStyle w:val="Compact"/>
            </w:pPr>
            <w:r>
              <w:t xml:space="preserve">Cardholder Data Environment ตามนิยาม PCI-DSS</w:t>
            </w:r>
          </w:p>
        </w:tc>
      </w:tr>
    </w:tbl>
    <w:p>
      <w:r>
        <w:pict>
          <v:rect style="width:0;height:1.5pt" o:hralign="center" o:hrstd="t" o:hr="t"/>
        </w:pict>
      </w:r>
    </w:p>
    <w:bookmarkEnd w:id="704"/>
    <w:bookmarkStart w:id="707" w:name="สถาปตยกรรม-tokenization"/>
    <w:p>
      <w:pPr>
        <w:pStyle w:val="Heading2"/>
      </w:pPr>
      <w:r>
        <w:t xml:space="preserve">3. สถาปัตยกรรม Tokenization</w:t>
      </w:r>
    </w:p>
    <w:bookmarkStart w:id="705" w:name="หลกการ-2"/>
    <w:p>
      <w:pPr>
        <w:pStyle w:val="Heading3"/>
      </w:pPr>
      <w:r>
        <w:t xml:space="preserve">3.1 หลักการ</w:t>
      </w:r>
    </w:p>
    <w:p>
      <w:pPr>
        <w:pStyle w:val="Compact"/>
        <w:numPr>
          <w:ilvl w:val="0"/>
          <w:numId w:val="1281"/>
        </w:numPr>
      </w:pPr>
      <w:r>
        <w:rPr>
          <w:b/>
          <w:bCs/>
        </w:rPr>
        <w:t xml:space="preserve">Irreversible tokens</w:t>
      </w:r>
      <w:r>
        <w:t xml:space="preserve"> </w:t>
      </w:r>
      <w:r>
        <w:t xml:space="preserve">— โทเคนสร้างแบบสุ่ม (random, high-entropy) และจับคู่กับ PAN ใน token vault ผ่านตารางค้นหา (lookup) ที่เข้ารหัส</w:t>
      </w:r>
      <w:r>
        <w:t xml:space="preserve"> </w:t>
      </w:r>
      <w:r>
        <w:rPr>
          <w:b/>
          <w:bCs/>
        </w:rPr>
        <w:t xml:space="preserve">ไม่ใช้</w:t>
      </w:r>
      <w:r>
        <w:t xml:space="preserve"> </w:t>
      </w:r>
      <w:r>
        <w:t xml:space="preserve">format-preserving encryption ที่ย้อนกลับได้จาก token โดยตรง</w:t>
      </w:r>
    </w:p>
    <w:p>
      <w:pPr>
        <w:pStyle w:val="Compact"/>
        <w:numPr>
          <w:ilvl w:val="0"/>
          <w:numId w:val="1281"/>
        </w:numPr>
      </w:pPr>
      <w:r>
        <w:rPr>
          <w:b/>
          <w:bCs/>
        </w:rPr>
        <w:t xml:space="preserve">Vault แยก segment</w:t>
      </w:r>
      <w:r>
        <w:t xml:space="preserve"> </w:t>
      </w:r>
      <w:r>
        <w:t xml:space="preserve">— Token Vault และ HSM อยู่ใน network zone ที่แยกจากระบบหลัก มี firewall/ACL เข้มงวด และเข้าถึงได้เฉพาะผ่าน mTLS + service identity</w:t>
      </w:r>
    </w:p>
    <w:p>
      <w:pPr>
        <w:pStyle w:val="Compact"/>
        <w:numPr>
          <w:ilvl w:val="0"/>
          <w:numId w:val="1281"/>
        </w:numPr>
      </w:pPr>
      <w:r>
        <w:rPr>
          <w:b/>
          <w:bCs/>
        </w:rPr>
        <w:t xml:space="preserve">ระบบหลักไม่แตะ PAN</w:t>
      </w:r>
      <w:r>
        <w:t xml:space="preserve"> </w:t>
      </w:r>
      <w:r>
        <w:t xml:space="preserve">— payment core เก็บเพียง</w:t>
      </w:r>
      <w:r>
        <w:t xml:space="preserve"> </w:t>
      </w:r>
      <w:r>
        <w:rPr>
          <w:rStyle w:val="VerbatimChar"/>
        </w:rPr>
        <w:t xml:space="preserve">token</w:t>
      </w:r>
      <w:r>
        <w:t xml:space="preserve">,</w:t>
      </w:r>
      <w:r>
        <w:t xml:space="preserve"> </w:t>
      </w:r>
      <w:r>
        <w:rPr>
          <w:rStyle w:val="VerbatimChar"/>
        </w:rPr>
        <w:t xml:space="preserve">card_brand</w:t>
      </w:r>
      <w:r>
        <w:t xml:space="preserve">,</w:t>
      </w:r>
      <w:r>
        <w:t xml:space="preserve"> </w:t>
      </w:r>
      <w:r>
        <w:rPr>
          <w:rStyle w:val="VerbatimChar"/>
        </w:rPr>
        <w:t xml:space="preserve">card_last4</w:t>
      </w:r>
      <w:r>
        <w:t xml:space="preserve">; ไม่มี PAN เต็มในตาราง</w:t>
      </w:r>
      <w:r>
        <w:t xml:space="preserve"> </w:t>
      </w:r>
      <w:r>
        <w:rPr>
          <w:rStyle w:val="VerbatimChar"/>
        </w:rPr>
        <w:t xml:space="preserve">payments</w:t>
      </w:r>
      <w:r>
        <w:t xml:space="preserve">, log, หรือ webhook payload</w:t>
      </w:r>
    </w:p>
    <w:p>
      <w:pPr>
        <w:pStyle w:val="Compact"/>
        <w:numPr>
          <w:ilvl w:val="0"/>
          <w:numId w:val="1281"/>
        </w:numPr>
      </w:pPr>
      <w:r>
        <w:rPr>
          <w:b/>
          <w:bCs/>
        </w:rPr>
        <w:t xml:space="preserve">Single-use payment token ฝั่ง client</w:t>
      </w:r>
      <w:r>
        <w:t xml:space="preserve"> </w:t>
      </w:r>
      <w:r>
        <w:t xml:space="preserve">— ตามข้อ 5.1 ของ</w:t>
      </w:r>
      <w:r>
        <w:t xml:space="preserve"> </w:t>
      </w:r>
      <w:r>
        <w:rPr>
          <w:rStyle w:val="VerbatimChar"/>
        </w:rPr>
        <w:t xml:space="preserve">ARCHITECTURE.md</w:t>
      </w:r>
      <w:r>
        <w:t xml:space="preserve"> </w:t>
      </w:r>
      <w:r>
        <w:t xml:space="preserve">PAN ถูกส่งจาก client ไป Vault โดยตรง ไม่ผ่าน server ของ merchant</w:t>
      </w:r>
    </w:p>
    <w:bookmarkEnd w:id="705"/>
    <w:bookmarkStart w:id="706" w:name="การไหลของ-tokenization-detokenization"/>
    <w:p>
      <w:pPr>
        <w:pStyle w:val="Heading3"/>
      </w:pPr>
      <w:r>
        <w:t xml:space="preserve">3.2 การไหลของ Tokenization / Detokenization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ขั้นตอน</w:t>
            </w:r>
          </w:p>
        </w:tc>
        <w:tc>
          <w:tcPr/>
          <w:p>
            <w:pPr>
              <w:pStyle w:val="Compact"/>
            </w:pPr>
            <w:r>
              <w:t xml:space="preserve">การดำเนินการ</w:t>
            </w:r>
          </w:p>
        </w:tc>
        <w:tc>
          <w:tcPr/>
          <w:p>
            <w:pPr>
              <w:pStyle w:val="Compact"/>
            </w:pPr>
            <w:r>
              <w:t xml:space="preserve">ผู้เกี่ยวข้อง</w:t>
            </w:r>
          </w:p>
        </w:tc>
      </w:tr>
      <w:tr>
        <w:tc>
          <w:tcPr/>
          <w:p>
            <w:pPr>
              <w:pStyle w:val="Compact"/>
            </w:pPr>
            <w:r>
              <w:rPr>
                <w:b/>
                <w:bCs/>
              </w:rPr>
              <w:t xml:space="preserve">Tokenize</w:t>
            </w:r>
          </w:p>
        </w:tc>
        <w:tc>
          <w:tcPr/>
          <w:p>
            <w:pPr>
              <w:pStyle w:val="Compact"/>
            </w:pPr>
            <w:r>
              <w:t xml:space="preserve">client ส่ง PAN → Vault → HSM สร้าง token + เข้ารหัส PAN ด้วย DEK → เก็บ ciphertext + mapping → คืน token</w:t>
            </w:r>
          </w:p>
        </w:tc>
        <w:tc>
          <w:tcPr/>
          <w:p>
            <w:pPr>
              <w:pStyle w:val="Compact"/>
            </w:pPr>
            <w:r>
              <w:t xml:space="preserve">client, Vault, HSM</w:t>
            </w:r>
          </w:p>
        </w:tc>
      </w:tr>
      <w:tr>
        <w:tc>
          <w:tcPr/>
          <w:p>
            <w:pPr>
              <w:pStyle w:val="Compact"/>
            </w:pPr>
            <w:r>
              <w:rPr>
                <w:b/>
                <w:bCs/>
              </w:rPr>
              <w:t xml:space="preserve">Store</w:t>
            </w:r>
          </w:p>
        </w:tc>
        <w:tc>
          <w:tcPr/>
          <w:p>
            <w:pPr>
              <w:pStyle w:val="Compact"/>
            </w:pPr>
            <w:r>
              <w:t xml:space="preserve">payment core เก็บเฉพาะ token + last4 + brand</w:t>
            </w:r>
          </w:p>
        </w:tc>
        <w:tc>
          <w:tcPr/>
          <w:p>
            <w:pPr>
              <w:pStyle w:val="Compact"/>
            </w:pPr>
            <w:r>
              <w:t xml:space="preserve">payment core</w:t>
            </w:r>
          </w:p>
        </w:tc>
      </w:tr>
      <w:tr>
        <w:tc>
          <w:tcPr/>
          <w:p>
            <w:pPr>
              <w:pStyle w:val="Compact"/>
            </w:pPr>
            <w:r>
              <w:rPr>
                <w:b/>
                <w:bCs/>
              </w:rPr>
              <w:t xml:space="preserve">Detokenize</w:t>
            </w:r>
          </w:p>
        </w:tc>
        <w:tc>
          <w:tcPr/>
          <w:p>
            <w:pPr>
              <w:pStyle w:val="Compact"/>
            </w:pPr>
            <w:r>
              <w:t xml:space="preserve">เฉพาะเมื่อ authorize/settle/chargeback → payment core เรียก Vault API (mTLS + JWT scope=</w:t>
            </w:r>
            <w:r>
              <w:rPr>
                <w:rStyle w:val="VerbatimChar"/>
              </w:rPr>
              <w:t xml:space="preserve">detok</w:t>
            </w:r>
            <w:r>
              <w:t xml:space="preserve">) → Vault ตรวจสิทธิ์ → คืน PAN ชั่วคราวในหน่วยความจำเท่านั้น</w:t>
            </w:r>
          </w:p>
        </w:tc>
        <w:tc>
          <w:tcPr/>
          <w:p>
            <w:pPr>
              <w:pStyle w:val="Compact"/>
            </w:pPr>
            <w:r>
              <w:t xml:space="preserve">payment core (ใน CDE), Vault</w:t>
            </w:r>
          </w:p>
        </w:tc>
      </w:tr>
      <w:tr>
        <w:tc>
          <w:tcPr/>
          <w:p>
            <w:pPr>
              <w:pStyle w:val="Compact"/>
            </w:pPr>
            <w:r>
              <w:rPr>
                <w:b/>
                <w:bCs/>
              </w:rPr>
              <w:t xml:space="preserve">Audit</w:t>
            </w:r>
          </w:p>
        </w:tc>
        <w:tc>
          <w:tcPr/>
          <w:p>
            <w:pPr>
              <w:pStyle w:val="Compact"/>
            </w:pPr>
            <w:r>
              <w:t xml:space="preserve">ทุกครั้งของ detokenize เขียน</w:t>
            </w:r>
            <w:r>
              <w:t xml:space="preserve"> </w:t>
            </w:r>
            <w:r>
              <w:rPr>
                <w:rStyle w:val="VerbatimChar"/>
              </w:rPr>
              <w:t xml:space="preserve">audit_log</w:t>
            </w:r>
            <w:r>
              <w:t xml:space="preserve"> </w:t>
            </w:r>
            <w:r>
              <w:t xml:space="preserve">(ใคร/เมื่อไร/token/เหตุผล/txn_id) แบบ append-only</w:t>
            </w:r>
          </w:p>
        </w:tc>
        <w:tc>
          <w:tcPr/>
          <w:p>
            <w:pPr>
              <w:pStyle w:val="Compact"/>
            </w:pPr>
            <w:r>
              <w:t xml:space="preserve">ทุกฝ่าย</w:t>
            </w:r>
          </w:p>
        </w:tc>
      </w:tr>
    </w:tbl>
    <w:p>
      <w:pPr>
        <w:pStyle w:val="BlockText"/>
      </w:pPr>
      <w:r>
        <w:rPr>
          <w:b/>
          <w:bCs/>
        </w:rPr>
        <w:t xml:space="preserve">ข้อห้าม:</w:t>
      </w:r>
      <w:r>
        <w:t xml:space="preserve"> </w:t>
      </w:r>
      <w:r>
        <w:t xml:space="preserve">ห้าม detokenize เพื่อแสดงผล PAN เต็มบน UI/รายงาน ยกเว้นกรณีจำเป็นตามกฎหมาย (เช่น การสอบสวน ปปง.) และต้องมีการอนุมัติ Dual Control + บันทึกเหตุผล</w:t>
      </w:r>
    </w:p>
    <w:p>
      <w:r>
        <w:pict>
          <v:rect style="width:0;height:1.5pt" o:hralign="center" o:hrstd="t" o:hr="t"/>
        </w:pict>
      </w:r>
    </w:p>
    <w:bookmarkEnd w:id="706"/>
    <w:bookmarkEnd w:id="707"/>
    <w:bookmarkStart w:id="711" w:name="X992b1690fc1ef6b857d5ad636085c9b65e7b8b0"/>
    <w:p>
      <w:pPr>
        <w:pStyle w:val="Heading2"/>
      </w:pPr>
      <w:r>
        <w:t xml:space="preserve">4. Envelope Encryption (การเข้ารหัสแบบซองจดหมาย 3 ชั้น)</w:t>
      </w:r>
    </w:p>
    <w:bookmarkStart w:id="708" w:name="ลำดบชนกญแจ-key-hierarchy"/>
    <w:p>
      <w:pPr>
        <w:pStyle w:val="Heading3"/>
      </w:pPr>
      <w:r>
        <w:t xml:space="preserve">4.1 ลำดับชั้นกุญแจ (Key Hierarchy)</w:t>
      </w:r>
    </w:p>
    <w:p>
      <w:pPr>
        <w:pStyle w:val="SourceCode"/>
      </w:pPr>
      <w:r>
        <w:rPr>
          <w:rStyle w:val="VerbatimChar"/>
        </w:rPr>
        <w:t xml:space="preserve">Root/Master Key (RK)         ← สร้าง &amp; ใช้ภายใน HSM เท่านั้น, ไม่เคย export plaintext</w:t>
      </w:r>
      <w:r>
        <w:br/>
      </w:r>
      <w:r>
        <w:rPr>
          <w:rStyle w:val="VerbatimChar"/>
        </w:rPr>
        <w:t xml:space="preserve">        │  (เข้ารหัส/ปลดล็อก)</w:t>
      </w:r>
      <w:r>
        <w:br/>
      </w:r>
      <w:r>
        <w:rPr>
          <w:rStyle w:val="VerbatimChar"/>
        </w:rPr>
        <w:t xml:space="preserve">        ▼</w:t>
      </w:r>
      <w:r>
        <w:br/>
      </w:r>
      <w:r>
        <w:rPr>
          <w:rStyle w:val="VerbatimChar"/>
        </w:rPr>
        <w:t xml:space="preserve">Key-Encrypting Key (KEK)     ← เก็บในรูป wrapped (RK-encrypted), โหลดใน HSM เมื่อใช้งาน</w:t>
      </w:r>
      <w:r>
        <w:br/>
      </w:r>
      <w:r>
        <w:rPr>
          <w:rStyle w:val="VerbatimChar"/>
        </w:rPr>
        <w:t xml:space="preserve">        │  (เข้ารหัส/ปลดล็อก)</w:t>
      </w:r>
      <w:r>
        <w:br/>
      </w:r>
      <w:r>
        <w:rPr>
          <w:rStyle w:val="VerbatimChar"/>
        </w:rPr>
        <w:t xml:space="preserve">        ▼</w:t>
      </w:r>
      <w:r>
        <w:br/>
      </w:r>
      <w:r>
        <w:rPr>
          <w:rStyle w:val="VerbatimChar"/>
        </w:rPr>
        <w:t xml:space="preserve">Data-Encrypting Key (DEK)    ← per-tenant / per-partition, เก็บในรูป KEK-encrypted ข้าง ciphertext</w:t>
      </w:r>
      <w:r>
        <w:br/>
      </w:r>
      <w:r>
        <w:rPr>
          <w:rStyle w:val="VerbatimChar"/>
        </w:rPr>
        <w:t xml:space="preserve">        │  (AES-256-GCM)</w:t>
      </w:r>
      <w:r>
        <w:br/>
      </w:r>
      <w:r>
        <w:rPr>
          <w:rStyle w:val="VerbatimChar"/>
        </w:rPr>
        <w:t xml:space="preserve">        ▼</w:t>
      </w:r>
      <w:r>
        <w:br/>
      </w:r>
      <w:r>
        <w:rPr>
          <w:rStyle w:val="VerbatimChar"/>
        </w:rPr>
        <w:t xml:space="preserve">PAN ciphertext + auth tag    ← จัดเก็บใน Token Vault</w:t>
      </w:r>
    </w:p>
    <w:bookmarkEnd w:id="708"/>
    <w:bookmarkStart w:id="709" w:name="พารามเตอรการเขารหส"/>
    <w:p>
      <w:pPr>
        <w:pStyle w:val="Heading3"/>
      </w:pPr>
      <w:r>
        <w:t xml:space="preserve">4.2 พารามิเตอร์การเข้ารหัส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รายการ</w:t>
            </w:r>
          </w:p>
        </w:tc>
        <w:tc>
          <w:tcPr/>
          <w:p>
            <w:pPr>
              <w:pStyle w:val="Compact"/>
            </w:pPr>
            <w:r>
              <w:t xml:space="preserve">ค่ามาตรฐาน</w:t>
            </w:r>
          </w:p>
        </w:tc>
      </w:tr>
      <w:tr>
        <w:tc>
          <w:tcPr/>
          <w:p>
            <w:pPr>
              <w:pStyle w:val="Compact"/>
            </w:pPr>
            <w:r>
              <w:t xml:space="preserve">อัลกอริทึมข้อมูล (DEK)</w:t>
            </w:r>
          </w:p>
        </w:tc>
        <w:tc>
          <w:tcPr/>
          <w:p>
            <w:pPr>
              <w:pStyle w:val="Compact"/>
            </w:pPr>
            <w:r>
              <w:rPr>
                <w:b/>
                <w:bCs/>
              </w:rPr>
              <w:t xml:space="preserve">AES-256-GCM</w:t>
            </w:r>
            <w:r>
              <w:t xml:space="preserve"> </w:t>
            </w:r>
            <w:r>
              <w:t xml:space="preserve">(authenticated encryption)</w:t>
            </w:r>
          </w:p>
        </w:tc>
      </w:tr>
      <w:tr>
        <w:tc>
          <w:tcPr/>
          <w:p>
            <w:pPr>
              <w:pStyle w:val="Compact"/>
            </w:pPr>
            <w:r>
              <w:t xml:space="preserve">อัลกอริทึม wrap (KEK/RK)</w:t>
            </w:r>
          </w:p>
        </w:tc>
        <w:tc>
          <w:tcPr/>
          <w:p>
            <w:pPr>
              <w:pStyle w:val="Compact"/>
            </w:pPr>
            <w:r>
              <w:t xml:space="preserve">AES-256-KW หรือ RSA-3072/RSA-4096 (ตาม HSM)</w:t>
            </w:r>
          </w:p>
        </w:tc>
      </w:tr>
      <w:tr>
        <w:tc>
          <w:tcPr/>
          <w:p>
            <w:pPr>
              <w:pStyle w:val="Compact"/>
            </w:pPr>
            <w:r>
              <w:t xml:space="preserve">ความยาวกุญแจขั้นต่ำ</w:t>
            </w:r>
          </w:p>
        </w:tc>
        <w:tc>
          <w:tcPr/>
          <w:p>
            <w:pPr>
              <w:pStyle w:val="Compact"/>
            </w:pPr>
            <w:r>
              <w:t xml:space="preserve">สมมาตร ≥ 256-bit; อสมมาตร RSA ≥ 3072-bit / ECC ≥ P-256</w:t>
            </w:r>
          </w:p>
        </w:tc>
      </w:tr>
      <w:tr>
        <w:tc>
          <w:tcPr/>
          <w:p>
            <w:pPr>
              <w:pStyle w:val="Compact"/>
            </w:pPr>
            <w:r>
              <w:t xml:space="preserve">แหล่งสุ่ม</w:t>
            </w:r>
          </w:p>
        </w:tc>
        <w:tc>
          <w:tcPr/>
          <w:p>
            <w:pPr>
              <w:pStyle w:val="Compact"/>
            </w:pPr>
            <w:r>
              <w:t xml:space="preserve">HSM TRNG (FIPS-approved)</w:t>
            </w:r>
          </w:p>
        </w:tc>
      </w:tr>
      <w:tr>
        <w:tc>
          <w:tcPr/>
          <w:p>
            <w:pPr>
              <w:pStyle w:val="Compact"/>
            </w:pPr>
            <w:r>
              <w:t xml:space="preserve">การจัดเก็บ DEK</w:t>
            </w:r>
          </w:p>
        </w:tc>
        <w:tc>
          <w:tcPr/>
          <w:p>
            <w:pPr>
              <w:pStyle w:val="Compact"/>
            </w:pPr>
            <w:r>
              <w:t xml:space="preserve">เก็บในรูป</w:t>
            </w:r>
            <w:r>
              <w:t xml:space="preserve"> </w:t>
            </w:r>
            <w:r>
              <w:rPr>
                <w:b/>
                <w:bCs/>
              </w:rPr>
              <w:t xml:space="preserve">KEK-encrypted</w:t>
            </w:r>
            <w:r>
              <w:t xml:space="preserve"> </w:t>
            </w:r>
            <w:r>
              <w:t xml:space="preserve">ติดกับ ciphertext ไม่เก็บ plaintext DEK ลงดิสก์</w:t>
            </w:r>
          </w:p>
        </w:tc>
      </w:tr>
      <w:tr>
        <w:tc>
          <w:tcPr/>
          <w:p>
            <w:pPr>
              <w:pStyle w:val="Compact"/>
            </w:pPr>
            <w:r>
              <w:t xml:space="preserve">การจัดเก็บ RK</w:t>
            </w:r>
          </w:p>
        </w:tc>
        <w:tc>
          <w:tcPr/>
          <w:p>
            <w:pPr>
              <w:pStyle w:val="Compact"/>
            </w:pPr>
            <w:r>
              <w:t xml:space="preserve">ภายใน HSM เท่านั้น (non-exportable)</w:t>
            </w:r>
          </w:p>
        </w:tc>
      </w:tr>
    </w:tbl>
    <w:bookmarkEnd w:id="709"/>
    <w:bookmarkStart w:id="710" w:name="การแยกกญแจ-key-separation"/>
    <w:p>
      <w:pPr>
        <w:pStyle w:val="Heading3"/>
      </w:pPr>
      <w:r>
        <w:t xml:space="preserve">4.3 การแยกกุญแจ (Key Separation)</w:t>
      </w:r>
    </w:p>
    <w:p>
      <w:pPr>
        <w:pStyle w:val="Compact"/>
        <w:numPr>
          <w:ilvl w:val="0"/>
          <w:numId w:val="1282"/>
        </w:numPr>
      </w:pPr>
      <w:r>
        <w:rPr>
          <w:b/>
          <w:bCs/>
        </w:rPr>
        <w:t xml:space="preserve">DEK แยกต่อวัตถุประสงค์</w:t>
      </w:r>
      <w:r>
        <w:t xml:space="preserve"> </w:t>
      </w:r>
      <w:r>
        <w:t xml:space="preserve">— CHD storage, backup, log encryption, 3DS session ใช้ DEK คนละชุด</w:t>
      </w:r>
    </w:p>
    <w:p>
      <w:pPr>
        <w:pStyle w:val="Compact"/>
        <w:numPr>
          <w:ilvl w:val="0"/>
          <w:numId w:val="1282"/>
        </w:numPr>
      </w:pPr>
      <w:r>
        <w:rPr>
          <w:b/>
          <w:bCs/>
        </w:rPr>
        <w:t xml:space="preserve">ไม่ใช้กุญแจ production ร่วมกับ non-production</w:t>
      </w:r>
      <w:r>
        <w:t xml:space="preserve"> </w:t>
      </w:r>
      <w:r>
        <w:t xml:space="preserve">— dev/staging ใช้กุญแจแยกและข้อมูลปลอม (ห้าม PAN จริงใน non-prod)</w:t>
      </w:r>
    </w:p>
    <w:p>
      <w:r>
        <w:pict>
          <v:rect style="width:0;height:1.5pt" o:hralign="center" o:hrstd="t" o:hr="t"/>
        </w:pict>
      </w:r>
    </w:p>
    <w:bookmarkEnd w:id="710"/>
    <w:bookmarkEnd w:id="711"/>
    <w:bookmarkStart w:id="715" w:name="การหมนเวยนกญแจ-key-rotation"/>
    <w:p>
      <w:pPr>
        <w:pStyle w:val="Heading2"/>
      </w:pPr>
      <w:r>
        <w:t xml:space="preserve">5. การหมุนเวียนกุญแจ (Key Rotation)</w:t>
      </w:r>
    </w:p>
    <w:bookmarkStart w:id="712" w:name="กำหนดการหมนเวยนตามรอบ-cryptoperiod"/>
    <w:p>
      <w:pPr>
        <w:pStyle w:val="Heading3"/>
      </w:pPr>
      <w:r>
        <w:t xml:space="preserve">5.1 กำหนดการหมุนเวียนตามรอบ (Cryptoperiod)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ประเภทกุญแจ</w:t>
            </w:r>
          </w:p>
        </w:tc>
        <w:tc>
          <w:tcPr/>
          <w:p>
            <w:pPr>
              <w:pStyle w:val="Compact"/>
            </w:pPr>
            <w:r>
              <w:t xml:space="preserve">รอบหมุนเวียนปกติ</w:t>
            </w:r>
          </w:p>
        </w:tc>
        <w:tc>
          <w:tcPr/>
          <w:p>
            <w:pPr>
              <w:pStyle w:val="Compact"/>
            </w:pPr>
            <w:r>
              <w:t xml:space="preserve">วิธีการ</w:t>
            </w:r>
          </w:p>
        </w:tc>
      </w:tr>
      <w:tr>
        <w:tc>
          <w:tcPr/>
          <w:p>
            <w:pPr>
              <w:pStyle w:val="Compact"/>
            </w:pPr>
            <w:r>
              <w:rPr>
                <w:b/>
                <w:bCs/>
              </w:rPr>
              <w:t xml:space="preserve">DEK (ข้อมูลบัตร)</w:t>
            </w:r>
          </w:p>
        </w:tc>
        <w:tc>
          <w:tcPr/>
          <w:p>
            <w:pPr>
              <w:pStyle w:val="Compact"/>
            </w:pPr>
            <w:r>
              <w:t xml:space="preserve">อย่างน้อย</w:t>
            </w:r>
            <w:r>
              <w:t xml:space="preserve"> </w:t>
            </w:r>
            <w:r>
              <w:rPr>
                <w:b/>
                <w:bCs/>
              </w:rPr>
              <w:t xml:space="preserve">ทุก 12 เดือน</w:t>
            </w:r>
            <w:r>
              <w:t xml:space="preserve"> </w:t>
            </w:r>
            <w:r>
              <w:t xml:space="preserve">หรือเมื่อถึงขีดจำกัดปริมาณข้อมูลที่เข้ารหัส</w:t>
            </w:r>
          </w:p>
        </w:tc>
        <w:tc>
          <w:tcPr/>
          <w:p>
            <w:pPr>
              <w:pStyle w:val="Compact"/>
            </w:pPr>
            <w:r>
              <w:t xml:space="preserve">สร้าง DEK ใหม่, re-encrypt ข้อมูลใหม่ด้วย DEK ใหม่ (lazy หรือ batch)</w:t>
            </w:r>
          </w:p>
        </w:tc>
      </w:tr>
      <w:tr>
        <w:tc>
          <w:tcPr/>
          <w:p>
            <w:pPr>
              <w:pStyle w:val="Compact"/>
            </w:pPr>
            <w:r>
              <w:rPr>
                <w:b/>
                <w:bCs/>
              </w:rPr>
              <w:t xml:space="preserve">KEK</w:t>
            </w:r>
          </w:p>
        </w:tc>
        <w:tc>
          <w:tcPr/>
          <w:p>
            <w:pPr>
              <w:pStyle w:val="Compact"/>
            </w:pPr>
            <w:r>
              <w:t xml:space="preserve">อย่างน้อย</w:t>
            </w:r>
            <w:r>
              <w:t xml:space="preserve"> </w:t>
            </w:r>
            <w:r>
              <w:rPr>
                <w:b/>
                <w:bCs/>
              </w:rPr>
              <w:t xml:space="preserve">ทุก 12–24 เดือน</w:t>
            </w:r>
          </w:p>
        </w:tc>
        <w:tc>
          <w:tcPr/>
          <w:p>
            <w:pPr>
              <w:pStyle w:val="Compact"/>
            </w:pPr>
            <w:r>
              <w:t xml:space="preserve">re-wrap DEK ทั้งหมดด้วย KEK ใหม่ ภายใน HSM</w:t>
            </w:r>
          </w:p>
        </w:tc>
      </w:tr>
      <w:tr>
        <w:tc>
          <w:tcPr/>
          <w:p>
            <w:pPr>
              <w:pStyle w:val="Compact"/>
            </w:pPr>
            <w:r>
              <w:rPr>
                <w:b/>
                <w:bCs/>
              </w:rPr>
              <w:t xml:space="preserve">Root/Master Key</w:t>
            </w:r>
          </w:p>
        </w:tc>
        <w:tc>
          <w:tcPr/>
          <w:p>
            <w:pPr>
              <w:pStyle w:val="Compact"/>
            </w:pPr>
            <w:r>
              <w:t xml:space="preserve">ทุก</w:t>
            </w:r>
            <w:r>
              <w:t xml:space="preserve"> </w:t>
            </w:r>
            <w:r>
              <w:rPr>
                <w:b/>
                <w:bCs/>
              </w:rPr>
              <w:t xml:space="preserve">1–2 ปี</w:t>
            </w:r>
            <w:r>
              <w:t xml:space="preserve"> </w:t>
            </w:r>
            <w:r>
              <w:t xml:space="preserve">หรือเมื่อมีเหตุ (ceremony)</w:t>
            </w:r>
          </w:p>
        </w:tc>
        <w:tc>
          <w:tcPr/>
          <w:p>
            <w:pPr>
              <w:pStyle w:val="Compact"/>
            </w:pPr>
            <w:r>
              <w:t xml:space="preserve">Key Ceremony ภายใต้ Dual Control + Split Knowledge</w:t>
            </w:r>
          </w:p>
        </w:tc>
      </w:tr>
      <w:tr>
        <w:tc>
          <w:tcPr/>
          <w:p>
            <w:pPr>
              <w:pStyle w:val="Compact"/>
            </w:pPr>
            <w:r>
              <w:rPr>
                <w:b/>
                <w:bCs/>
              </w:rPr>
              <w:t xml:space="preserve">TLS/mTLS cert</w:t>
            </w:r>
          </w:p>
        </w:tc>
        <w:tc>
          <w:tcPr/>
          <w:p>
            <w:pPr>
              <w:pStyle w:val="Compact"/>
            </w:pPr>
            <w:r>
              <w:t xml:space="preserve">≤</w:t>
            </w:r>
            <w:r>
              <w:t xml:space="preserve"> </w:t>
            </w:r>
            <w:r>
              <w:rPr>
                <w:b/>
                <w:bCs/>
              </w:rPr>
              <w:t xml:space="preserve">12 เดือน</w:t>
            </w:r>
            <w:r>
              <w:t xml:space="preserve"> </w:t>
            </w:r>
            <w:r>
              <w:t xml:space="preserve">(แนะนำ 90 วันหากอัตโนมัติ)</w:t>
            </w:r>
          </w:p>
        </w:tc>
        <w:tc>
          <w:tcPr/>
          <w:p>
            <w:pPr>
              <w:pStyle w:val="Compact"/>
            </w:pPr>
            <w:r>
              <w:t xml:space="preserve">หมุนผ่าน ACME/PKI ภายใน</w:t>
            </w:r>
          </w:p>
        </w:tc>
      </w:tr>
    </w:tbl>
    <w:bookmarkEnd w:id="712"/>
    <w:bookmarkStart w:id="713" w:name="Xceed687df9dabe52c897995db804e1a06695c00"/>
    <w:p>
      <w:pPr>
        <w:pStyle w:val="Heading3"/>
      </w:pPr>
      <w:r>
        <w:t xml:space="preserve">5.2 การหมุนเวียนแบบฉุกเฉิน (Emergency Rotation / Key Compromise)</w:t>
      </w:r>
    </w:p>
    <w:p>
      <w:pPr>
        <w:pStyle w:val="FirstParagraph"/>
      </w:pPr>
      <w:r>
        <w:t xml:space="preserve">หมุนเวียนทันทีเมื่อ: สงสัยว่ากุญแจรั่ว, key custodian ลาออก/เปลี่ยนบทบาท, พบช่องโหว่ในอัลกอริทึม, หรือ QSA/ธปท. สั่งการ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ขั้นตอน</w:t>
            </w:r>
          </w:p>
        </w:tc>
        <w:tc>
          <w:tcPr/>
          <w:p>
            <w:pPr>
              <w:pStyle w:val="Compact"/>
            </w:pPr>
            <w:r>
              <w:t xml:space="preserve">เวลาเป้าหมาย (SLA)</w:t>
            </w:r>
          </w:p>
        </w:tc>
      </w:tr>
      <w:tr>
        <w:tc>
          <w:tcPr/>
          <w:p>
            <w:pPr>
              <w:pStyle w:val="Compact"/>
            </w:pPr>
            <w:r>
              <w:t xml:space="preserve">ประกาศเหตุ + เรียก Key Ceremony ฉุกเฉิน</w:t>
            </w:r>
          </w:p>
        </w:tc>
        <w:tc>
          <w:tcPr/>
          <w:p>
            <w:pPr>
              <w:pStyle w:val="Compact"/>
            </w:pPr>
            <w:r>
              <w:t xml:space="preserve">≤ 4 ชั่วโมง</w:t>
            </w:r>
          </w:p>
        </w:tc>
      </w:tr>
      <w:tr>
        <w:tc>
          <w:tcPr/>
          <w:p>
            <w:pPr>
              <w:pStyle w:val="Compact"/>
            </w:pPr>
            <w:r>
              <w:t xml:space="preserve">สร้างกุญแจใหม่ + re-wrap/re-encrypt</w:t>
            </w:r>
          </w:p>
        </w:tc>
        <w:tc>
          <w:tcPr/>
          <w:p>
            <w:pPr>
              <w:pStyle w:val="Compact"/>
            </w:pPr>
            <w:r>
              <w:t xml:space="preserve">≤ 24 ชั่วโมง (ขึ้นกับปริมาณข้อมูล)</w:t>
            </w:r>
          </w:p>
        </w:tc>
      </w:tr>
      <w:tr>
        <w:tc>
          <w:tcPr/>
          <w:p>
            <w:pPr>
              <w:pStyle w:val="Compact"/>
            </w:pPr>
            <w:r>
              <w:t xml:space="preserve">เพิกถอน (retire) กุญแจเดิม + บันทึก</w:t>
            </w:r>
          </w:p>
        </w:tc>
        <w:tc>
          <w:tcPr/>
          <w:p>
            <w:pPr>
              <w:pStyle w:val="Compact"/>
            </w:pPr>
            <w:r>
              <w:t xml:space="preserve">ทันทีหลัง re-encrypt เสร็จ</w:t>
            </w:r>
          </w:p>
        </w:tc>
      </w:tr>
      <w:tr>
        <w:tc>
          <w:tcPr/>
          <w:p>
            <w:pPr>
              <w:pStyle w:val="Compact"/>
            </w:pPr>
            <w:r>
              <w:t xml:space="preserve">แจ้ง PDPC/ธปท. (หากเข้าข่ายละเมิดข้อมูล)</w:t>
            </w:r>
          </w:p>
        </w:tc>
        <w:tc>
          <w:tcPr/>
          <w:p>
            <w:pPr>
              <w:pStyle w:val="Compact"/>
            </w:pPr>
            <w:r>
              <w:t xml:space="preserve">ตามกำหนด (PDPA: ภายใน 72 ชม.)</w:t>
            </w:r>
          </w:p>
        </w:tc>
      </w:tr>
    </w:tbl>
    <w:bookmarkEnd w:id="713"/>
    <w:bookmarkStart w:id="714" w:name="Xaae7cf04470e133aa53a9e317d551c729541f67"/>
    <w:p>
      <w:pPr>
        <w:pStyle w:val="Heading3"/>
      </w:pPr>
      <w:r>
        <w:t xml:space="preserve">5.3 การเลิกใช้และทำลายกุญแจ (Key Retirement &amp; Destruction)</w:t>
      </w:r>
    </w:p>
    <w:p>
      <w:pPr>
        <w:pStyle w:val="Compact"/>
        <w:numPr>
          <w:ilvl w:val="0"/>
          <w:numId w:val="1283"/>
        </w:numPr>
      </w:pPr>
      <w:r>
        <w:t xml:space="preserve">กุญแจที่หมุนออกจะเปลี่ยนสถานะเป็น</w:t>
      </w:r>
      <w:r>
        <w:t xml:space="preserve"> </w:t>
      </w:r>
      <w:r>
        <w:rPr>
          <w:b/>
          <w:bCs/>
        </w:rPr>
        <w:t xml:space="preserve">retired</w:t>
      </w:r>
      <w:r>
        <w:t xml:space="preserve"> </w:t>
      </w:r>
      <w:r>
        <w:t xml:space="preserve">ใช้ได้เฉพาะ</w:t>
      </w:r>
      <w:r>
        <w:t xml:space="preserve"> </w:t>
      </w:r>
      <w:r>
        <w:rPr>
          <w:b/>
          <w:bCs/>
        </w:rPr>
        <w:t xml:space="preserve">decrypt ข้อมูลเก่า</w:t>
      </w:r>
      <w:r>
        <w:t xml:space="preserve"> </w:t>
      </w:r>
      <w:r>
        <w:t xml:space="preserve">จนกว่าจะ re-encrypt ครบ</w:t>
      </w:r>
    </w:p>
    <w:p>
      <w:pPr>
        <w:pStyle w:val="Compact"/>
        <w:numPr>
          <w:ilvl w:val="0"/>
          <w:numId w:val="1283"/>
        </w:numPr>
      </w:pPr>
      <w:r>
        <w:t xml:space="preserve">เมื่อไม่มีข้อมูลใดอ้างอิงกุญแจแล้ว →</w:t>
      </w:r>
      <w:r>
        <w:t xml:space="preserve"> </w:t>
      </w:r>
      <w:r>
        <w:rPr>
          <w:b/>
          <w:bCs/>
        </w:rPr>
        <w:t xml:space="preserve">destroy</w:t>
      </w:r>
      <w:r>
        <w:t xml:space="preserve"> </w:t>
      </w:r>
      <w:r>
        <w:t xml:space="preserve">(crypto-shredding) ภายใน HSM และบันทึกใน key inventory</w:t>
      </w:r>
    </w:p>
    <w:p>
      <w:pPr>
        <w:pStyle w:val="Compact"/>
        <w:numPr>
          <w:ilvl w:val="0"/>
          <w:numId w:val="1283"/>
        </w:numPr>
      </w:pPr>
      <w:r>
        <w:t xml:space="preserve">ทุกการทำลายต้องมี Dual Control และ audit trail</w:t>
      </w:r>
    </w:p>
    <w:p>
      <w:r>
        <w:pict>
          <v:rect style="width:0;height:1.5pt" o:hralign="center" o:hrstd="t" o:hr="t"/>
        </w:pict>
      </w:r>
    </w:p>
    <w:bookmarkEnd w:id="714"/>
    <w:bookmarkEnd w:id="715"/>
    <w:bookmarkStart w:id="719" w:name="dual-control-และ-split-knowledge"/>
    <w:p>
      <w:pPr>
        <w:pStyle w:val="Heading2"/>
      </w:pPr>
      <w:r>
        <w:t xml:space="preserve">6. Dual Control และ Split Knowledge</w:t>
      </w:r>
    </w:p>
    <w:bookmarkStart w:id="716" w:name="หลกการ-pci-dss-req-3.6-3.7-12.3"/>
    <w:p>
      <w:pPr>
        <w:pStyle w:val="Heading3"/>
      </w:pPr>
      <w:r>
        <w:t xml:space="preserve">6.1 หลักการ (PCI-DSS Req 3.6 / 3.7 / 12.3)</w:t>
      </w:r>
    </w:p>
    <w:p>
      <w:pPr>
        <w:pStyle w:val="Compact"/>
        <w:numPr>
          <w:ilvl w:val="0"/>
          <w:numId w:val="1284"/>
        </w:numPr>
      </w:pPr>
      <w:r>
        <w:rPr>
          <w:b/>
          <w:bCs/>
        </w:rPr>
        <w:t xml:space="preserve">Split Knowledge:</w:t>
      </w:r>
      <w:r>
        <w:t xml:space="preserve"> </w:t>
      </w:r>
      <w:r>
        <w:t xml:space="preserve">Root/Master Key (หรือ KEK ที่โหลดด้วยมือ) แบ่งเป็น</w:t>
      </w:r>
      <w:r>
        <w:t xml:space="preserve"> </w:t>
      </w:r>
      <w:r>
        <w:rPr>
          <w:b/>
          <w:bCs/>
        </w:rPr>
        <w:t xml:space="preserve">3 key components (shares)</w:t>
      </w:r>
      <w:r>
        <w:t xml:space="preserve"> </w:t>
      </w:r>
      <w:r>
        <w:t xml:space="preserve">ด้วย secret sharing (เช่น Shamir k-of-n, กำหนด</w:t>
      </w:r>
      <w:r>
        <w:t xml:space="preserve"> </w:t>
      </w:r>
      <w:r>
        <w:rPr>
          <w:b/>
          <w:bCs/>
        </w:rPr>
        <w:t xml:space="preserve">2-of-3</w:t>
      </w:r>
      <w:r>
        <w:t xml:space="preserve">) — ไม่มีบุคคลใดรู้กุญแจเต็ม</w:t>
      </w:r>
    </w:p>
    <w:p>
      <w:pPr>
        <w:pStyle w:val="Compact"/>
        <w:numPr>
          <w:ilvl w:val="0"/>
          <w:numId w:val="1284"/>
        </w:numPr>
      </w:pPr>
      <w:r>
        <w:rPr>
          <w:b/>
          <w:bCs/>
        </w:rPr>
        <w:t xml:space="preserve">Dual Control:</w:t>
      </w:r>
      <w:r>
        <w:t xml:space="preserve"> </w:t>
      </w:r>
      <w:r>
        <w:t xml:space="preserve">การประกอบ/ใช้/ทำลายกุญแจต้องมี key custodian อย่างน้อย</w:t>
      </w:r>
      <w:r>
        <w:t xml:space="preserve"> </w:t>
      </w:r>
      <w:r>
        <w:rPr>
          <w:b/>
          <w:bCs/>
        </w:rPr>
        <w:t xml:space="preserve">2 คน</w:t>
      </w:r>
      <w:r>
        <w:t xml:space="preserve"> </w:t>
      </w:r>
      <w:r>
        <w:t xml:space="preserve">ปรากฏตัวพร้อมกัน</w:t>
      </w:r>
    </w:p>
    <w:bookmarkEnd w:id="716"/>
    <w:bookmarkStart w:id="717" w:name="บทบาท-key-custodian"/>
    <w:p>
      <w:pPr>
        <w:pStyle w:val="Heading3"/>
      </w:pPr>
      <w:r>
        <w:t xml:space="preserve">6.2 บทบาท Key Custodian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บทบาท</w:t>
            </w:r>
          </w:p>
        </w:tc>
        <w:tc>
          <w:tcPr/>
          <w:p>
            <w:pPr>
              <w:pStyle w:val="Compact"/>
            </w:pPr>
            <w:r>
              <w:t xml:space="preserve">ผู้รับผิดชอบ</w:t>
            </w:r>
          </w:p>
        </w:tc>
        <w:tc>
          <w:tcPr/>
          <w:p>
            <w:pPr>
              <w:pStyle w:val="Compact"/>
            </w:pPr>
            <w:r>
              <w:t xml:space="preserve">หน้าที่</w:t>
            </w:r>
          </w:p>
        </w:tc>
      </w:tr>
      <w:tr>
        <w:tc>
          <w:tcPr/>
          <w:p>
            <w:pPr>
              <w:pStyle w:val="Compact"/>
            </w:pPr>
            <w:r>
              <w:rPr>
                <w:b/>
                <w:bCs/>
              </w:rPr>
              <w:t xml:space="preserve">Key Custodian A</w:t>
            </w:r>
          </w:p>
        </w:tc>
        <w:tc>
          <w:tcPr/>
          <w:p>
            <w:pPr>
              <w:pStyle w:val="Compact"/>
            </w:pPr>
            <w:r>
              <w:t xml:space="preserve">Security Engineer (DevSecOps)</w:t>
            </w:r>
          </w:p>
        </w:tc>
        <w:tc>
          <w:tcPr/>
          <w:p>
            <w:pPr>
              <w:pStyle w:val="Compact"/>
            </w:pPr>
            <w:r>
              <w:t xml:space="preserve">ถือ key component / smartcard #1 + PIN</w:t>
            </w:r>
          </w:p>
        </w:tc>
      </w:tr>
      <w:tr>
        <w:tc>
          <w:tcPr/>
          <w:p>
            <w:pPr>
              <w:pStyle w:val="Compact"/>
            </w:pPr>
            <w:r>
              <w:rPr>
                <w:b/>
                <w:bCs/>
              </w:rPr>
              <w:t xml:space="preserve">Key Custodian B</w:t>
            </w:r>
          </w:p>
        </w:tc>
        <w:tc>
          <w:tcPr/>
          <w:p>
            <w:pPr>
              <w:pStyle w:val="Compact"/>
            </w:pPr>
            <w:r>
              <w:t xml:space="preserve">SRE/Infra Lead</w:t>
            </w:r>
          </w:p>
        </w:tc>
        <w:tc>
          <w:tcPr/>
          <w:p>
            <w:pPr>
              <w:pStyle w:val="Compact"/>
            </w:pPr>
            <w:r>
              <w:t xml:space="preserve">ถือ key component / smartcard #2 + PIN</w:t>
            </w:r>
          </w:p>
        </w:tc>
      </w:tr>
      <w:tr>
        <w:tc>
          <w:tcPr/>
          <w:p>
            <w:pPr>
              <w:pStyle w:val="Compact"/>
            </w:pPr>
            <w:r>
              <w:rPr>
                <w:b/>
                <w:bCs/>
              </w:rPr>
              <w:t xml:space="preserve">Key Custodian C (backup)</w:t>
            </w:r>
          </w:p>
        </w:tc>
        <w:tc>
          <w:tcPr/>
          <w:p>
            <w:pPr>
              <w:pStyle w:val="Compact"/>
            </w:pPr>
            <w:r>
              <w:t xml:space="preserve">CISO หรือผู้แทน</w:t>
            </w:r>
          </w:p>
        </w:tc>
        <w:tc>
          <w:tcPr/>
          <w:p>
            <w:pPr>
              <w:pStyle w:val="Compact"/>
            </w:pPr>
            <w:r>
              <w:t xml:space="preserve">ถือ key component #3 (สำรอง, ในตู้เซฟแยก)</w:t>
            </w:r>
          </w:p>
        </w:tc>
      </w:tr>
      <w:tr>
        <w:tc>
          <w:tcPr/>
          <w:p>
            <w:pPr>
              <w:pStyle w:val="Compact"/>
            </w:pPr>
            <w:r>
              <w:rPr>
                <w:b/>
                <w:bCs/>
              </w:rPr>
              <w:t xml:space="preserve">Ceremony Witness</w:t>
            </w:r>
          </w:p>
        </w:tc>
        <w:tc>
          <w:tcPr/>
          <w:p>
            <w:pPr>
              <w:pStyle w:val="Compact"/>
            </w:pPr>
            <w:r>
              <w:t xml:space="preserve">Internal Audit / Compliance</w:t>
            </w:r>
          </w:p>
        </w:tc>
        <w:tc>
          <w:tcPr/>
          <w:p>
            <w:pPr>
              <w:pStyle w:val="Compact"/>
            </w:pPr>
            <w:r>
              <w:t xml:space="preserve">สังเกตการณ์ + ลงนามบันทึก ไม่ถือ component</w:t>
            </w:r>
          </w:p>
        </w:tc>
      </w:tr>
      <w:tr>
        <w:tc>
          <w:tcPr/>
          <w:p>
            <w:pPr>
              <w:pStyle w:val="Compact"/>
            </w:pPr>
            <w:r>
              <w:rPr>
                <w:b/>
                <w:bCs/>
              </w:rPr>
              <w:t xml:space="preserve">Vault/HSM Admin</w:t>
            </w:r>
          </w:p>
        </w:tc>
        <w:tc>
          <w:tcPr/>
          <w:p>
            <w:pPr>
              <w:pStyle w:val="Compact"/>
            </w:pPr>
            <w:r>
              <w:t xml:space="preserve">แยกจากผู้ถือ component</w:t>
            </w:r>
          </w:p>
        </w:tc>
        <w:tc>
          <w:tcPr/>
          <w:p>
            <w:pPr>
              <w:pStyle w:val="Compact"/>
            </w:pPr>
            <w:r>
              <w:t xml:space="preserve">ดำเนินการทางเทคนิค แต่เข้าถึงกุญแจไม่ได้โดยลำพัง</w:t>
            </w:r>
          </w:p>
        </w:tc>
      </w:tr>
    </w:tbl>
    <w:p>
      <w:pPr>
        <w:pStyle w:val="BlockText"/>
      </w:pPr>
      <w:r>
        <w:rPr>
          <w:b/>
          <w:bCs/>
        </w:rPr>
        <w:t xml:space="preserve">Separation of Duties:</w:t>
      </w:r>
      <w:r>
        <w:t xml:space="preserve"> </w:t>
      </w:r>
      <w:r>
        <w:t xml:space="preserve">ผู้ที่ถือ key component ต้อง</w:t>
      </w:r>
      <w:r>
        <w:rPr>
          <w:b/>
          <w:bCs/>
        </w:rPr>
        <w:t xml:space="preserve">ไม่ใช่</w:t>
      </w:r>
      <w:r>
        <w:t xml:space="preserve">คนเดียวกับ HSM Admin และต้องลงนามหนังสือรับทราบหน้าที่ key custodian (acknowledgement form) ตาม PCI Req 12.3.1</w:t>
      </w:r>
    </w:p>
    <w:bookmarkEnd w:id="717"/>
    <w:bookmarkStart w:id="718" w:name="key-ceremony-พธสรางหมนกญแจ"/>
    <w:p>
      <w:pPr>
        <w:pStyle w:val="Heading3"/>
      </w:pPr>
      <w:r>
        <w:t xml:space="preserve">6.3 Key Ceremony (พิธีสร้าง/หมุนกุญแจ)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ขั้นตอน</w:t>
            </w:r>
          </w:p>
        </w:tc>
        <w:tc>
          <w:tcPr/>
          <w:p>
            <w:pPr>
              <w:pStyle w:val="Compact"/>
            </w:pPr>
            <w:r>
              <w:t xml:space="preserve">รายละเอียด</w:t>
            </w:r>
          </w:p>
        </w:tc>
        <w:tc>
          <w:tcPr/>
          <w:p>
            <w:pPr>
              <w:pStyle w:val="Compact"/>
            </w:pPr>
            <w:r>
              <w:t xml:space="preserve">การควบคุม</w:t>
            </w:r>
          </w:p>
        </w:tc>
      </w:tr>
      <w:tr>
        <w:tc>
          <w:tcPr/>
          <w:p>
            <w:pPr>
              <w:pStyle w:val="Compact"/>
            </w:pPr>
            <w:r>
              <w:t xml:space="preserve">1. เตรียมการ</w:t>
            </w:r>
          </w:p>
        </w:tc>
        <w:tc>
          <w:tcPr/>
          <w:p>
            <w:pPr>
              <w:pStyle w:val="Compact"/>
            </w:pPr>
            <w:r>
              <w:t xml:space="preserve">จองห้องปลอดภัย, เตรียม HSM, ตรวจ smartcard</w:t>
            </w:r>
          </w:p>
        </w:tc>
        <w:tc>
          <w:tcPr/>
          <w:p>
            <w:pPr>
              <w:pStyle w:val="Compact"/>
            </w:pPr>
            <w:r>
              <w:t xml:space="preserve">Dual Control</w:t>
            </w:r>
          </w:p>
        </w:tc>
      </w:tr>
      <w:tr>
        <w:tc>
          <w:tcPr/>
          <w:p>
            <w:pPr>
              <w:pStyle w:val="Compact"/>
            </w:pPr>
            <w:r>
              <w:t xml:space="preserve">2. ยืนยันตัวตน</w:t>
            </w:r>
          </w:p>
        </w:tc>
        <w:tc>
          <w:tcPr/>
          <w:p>
            <w:pPr>
              <w:pStyle w:val="Compact"/>
            </w:pPr>
            <w:r>
              <w:t xml:space="preserve">custodian ≥ 2 คน + witness เข้าห้อง, ลงชื่อ log</w:t>
            </w:r>
          </w:p>
        </w:tc>
        <w:tc>
          <w:tcPr/>
          <w:p>
            <w:pPr>
              <w:pStyle w:val="Compact"/>
            </w:pPr>
            <w:r>
              <w:t xml:space="preserve">MFA + biometric (ถ้ามี)</w:t>
            </w:r>
          </w:p>
        </w:tc>
      </w:tr>
      <w:tr>
        <w:tc>
          <w:tcPr/>
          <w:p>
            <w:pPr>
              <w:pStyle w:val="Compact"/>
            </w:pPr>
            <w:r>
              <w:t xml:space="preserve">3. สร้าง/โหลดกุญแจ</w:t>
            </w:r>
          </w:p>
        </w:tc>
        <w:tc>
          <w:tcPr/>
          <w:p>
            <w:pPr>
              <w:pStyle w:val="Compact"/>
            </w:pPr>
            <w:r>
              <w:t xml:space="preserve">HSM สร้าง RK; แจก component ให้ custodian แต่ละคน</w:t>
            </w:r>
          </w:p>
        </w:tc>
        <w:tc>
          <w:tcPr/>
          <w:p>
            <w:pPr>
              <w:pStyle w:val="Compact"/>
            </w:pPr>
            <w:r>
              <w:t xml:space="preserve">Split Knowledge</w:t>
            </w:r>
          </w:p>
        </w:tc>
      </w:tr>
      <w:tr>
        <w:tc>
          <w:tcPr/>
          <w:p>
            <w:pPr>
              <w:pStyle w:val="Compact"/>
            </w:pPr>
            <w:r>
              <w:t xml:space="preserve">4. ทดสอบ (KCV)</w:t>
            </w:r>
          </w:p>
        </w:tc>
        <w:tc>
          <w:tcPr/>
          <w:p>
            <w:pPr>
              <w:pStyle w:val="Compact"/>
            </w:pPr>
            <w:r>
              <w:t xml:space="preserve">ตรวจ Key Check Value ยืนยันโหลดถูกต้อง</w:t>
            </w:r>
          </w:p>
        </w:tc>
        <w:tc>
          <w:tcPr/>
          <w:p>
            <w:pPr>
              <w:pStyle w:val="Compact"/>
            </w:pPr>
            <w:r>
              <w:t xml:space="preserve">ทั้งสองฝ่ายยืนยัน</w:t>
            </w:r>
          </w:p>
        </w:tc>
      </w:tr>
      <w:tr>
        <w:tc>
          <w:tcPr/>
          <w:p>
            <w:pPr>
              <w:pStyle w:val="Compact"/>
            </w:pPr>
            <w:r>
              <w:t xml:space="preserve">5. จัดเก็บ</w:t>
            </w:r>
          </w:p>
        </w:tc>
        <w:tc>
          <w:tcPr/>
          <w:p>
            <w:pPr>
              <w:pStyle w:val="Compact"/>
            </w:pPr>
            <w:r>
              <w:t xml:space="preserve">เก็บ smartcard/component ในตู้เซฟแยกกัน</w:t>
            </w:r>
          </w:p>
        </w:tc>
        <w:tc>
          <w:tcPr/>
          <w:p>
            <w:pPr>
              <w:pStyle w:val="Compact"/>
            </w:pPr>
            <w:r>
              <w:t xml:space="preserve">tamper-evident bag</w:t>
            </w:r>
          </w:p>
        </w:tc>
      </w:tr>
      <w:tr>
        <w:tc>
          <w:tcPr/>
          <w:p>
            <w:pPr>
              <w:pStyle w:val="Compact"/>
            </w:pPr>
            <w:r>
              <w:t xml:space="preserve">6. บันทึก</w:t>
            </w:r>
          </w:p>
        </w:tc>
        <w:tc>
          <w:tcPr/>
          <w:p>
            <w:pPr>
              <w:pStyle w:val="Compact"/>
            </w:pPr>
            <w:r>
              <w:t xml:space="preserve">จัดทำ ceremony log ลงนามทุกคน + witness</w:t>
            </w:r>
          </w:p>
        </w:tc>
        <w:tc>
          <w:tcPr/>
          <w:p>
            <w:pPr>
              <w:pStyle w:val="Compact"/>
            </w:pPr>
            <w:r>
              <w:t xml:space="preserve">เก็บ ≥ 3 ปี / ตาม PCI</w:t>
            </w:r>
          </w:p>
        </w:tc>
      </w:tr>
    </w:tbl>
    <w:p>
      <w:r>
        <w:pict>
          <v:rect style="width:0;height:1.5pt" o:hralign="center" o:hrstd="t" o:hr="t"/>
        </w:pict>
      </w:r>
    </w:p>
    <w:bookmarkEnd w:id="718"/>
    <w:bookmarkEnd w:id="719"/>
    <w:bookmarkStart w:id="720" w:name="เมทรกซบทบาทและสทธ-raci-สรป"/>
    <w:p>
      <w:pPr>
        <w:pStyle w:val="Heading2"/>
      </w:pPr>
      <w:r>
        <w:t xml:space="preserve">7. เมทริกซ์บทบาทและสิทธิ์ (RACI สรุป)</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กิจกรรม</w:t>
            </w:r>
          </w:p>
        </w:tc>
        <w:tc>
          <w:tcPr/>
          <w:p>
            <w:pPr>
              <w:pStyle w:val="Compact"/>
            </w:pPr>
            <w:r>
              <w:t xml:space="preserve">CISO</w:t>
            </w:r>
          </w:p>
        </w:tc>
        <w:tc>
          <w:tcPr/>
          <w:p>
            <w:pPr>
              <w:pStyle w:val="Compact"/>
            </w:pPr>
            <w:r>
              <w:t xml:space="preserve">Key Custodian</w:t>
            </w:r>
          </w:p>
        </w:tc>
        <w:tc>
          <w:tcPr/>
          <w:p>
            <w:pPr>
              <w:pStyle w:val="Compact"/>
            </w:pPr>
            <w:r>
              <w:t xml:space="preserve">HSM Admin</w:t>
            </w:r>
          </w:p>
        </w:tc>
        <w:tc>
          <w:tcPr/>
          <w:p>
            <w:pPr>
              <w:pStyle w:val="Compact"/>
            </w:pPr>
            <w:r>
              <w:t xml:space="preserve">Internal Audit</w:t>
            </w:r>
          </w:p>
        </w:tc>
        <w:tc>
          <w:tcPr/>
          <w:p>
            <w:pPr>
              <w:pStyle w:val="Compact"/>
            </w:pPr>
            <w:r>
              <w:t xml:space="preserve">Payment Core</w:t>
            </w:r>
          </w:p>
        </w:tc>
      </w:tr>
      <w:tr>
        <w:tc>
          <w:tcPr/>
          <w:p>
            <w:pPr>
              <w:pStyle w:val="Compact"/>
            </w:pPr>
            <w:r>
              <w:t xml:space="preserve">กำหนดนโยบายกุญแจ</w:t>
            </w:r>
          </w:p>
        </w:tc>
        <w:tc>
          <w:tcPr/>
          <w:p>
            <w:pPr>
              <w:pStyle w:val="Compact"/>
            </w:pPr>
            <w:r>
              <w:rPr>
                <w:b/>
                <w:bCs/>
              </w:rPr>
              <w:t xml:space="preserve">A/R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Key Ceremony</w:t>
            </w:r>
          </w:p>
        </w:tc>
        <w:tc>
          <w:tcPr/>
          <w:p>
            <w:pPr>
              <w:pStyle w:val="Compact"/>
            </w:pPr>
            <w:r>
              <w:t xml:space="preserve">A</w:t>
            </w:r>
          </w:p>
        </w:tc>
        <w:tc>
          <w:tcPr/>
          <w:p>
            <w:pPr>
              <w:pStyle w:val="Compact"/>
            </w:pPr>
            <w:r>
              <w:rPr>
                <w:b/>
                <w:bCs/>
              </w:rPr>
              <w:t xml:space="preserve">R</w:t>
            </w:r>
            <w:r>
              <w:t xml:space="preserve"> </w:t>
            </w:r>
            <w:r>
              <w:t xml:space="preserve">(dual)</w:t>
            </w:r>
          </w:p>
        </w:tc>
        <w:tc>
          <w:tcPr/>
          <w:p>
            <w:pPr>
              <w:pStyle w:val="Compact"/>
            </w:pPr>
            <w:r>
              <w:t xml:space="preserve">C</w:t>
            </w:r>
          </w:p>
        </w:tc>
        <w:tc>
          <w:tcPr/>
          <w:p>
            <w:pPr>
              <w:pStyle w:val="Compact"/>
            </w:pPr>
            <w:r>
              <w:t xml:space="preserve">Witness</w:t>
            </w:r>
          </w:p>
        </w:tc>
        <w:tc>
          <w:tcPr/>
          <w:p>
            <w:pPr>
              <w:pStyle w:val="Compact"/>
            </w:pPr>
            <w:r>
              <w:t xml:space="preserve">—</w:t>
            </w:r>
          </w:p>
        </w:tc>
      </w:tr>
      <w:tr>
        <w:tc>
          <w:tcPr/>
          <w:p>
            <w:pPr>
              <w:pStyle w:val="Compact"/>
            </w:pPr>
            <w:r>
              <w:t xml:space="preserve">Key rotation ปกติ</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Emergency rotation</w:t>
            </w:r>
          </w:p>
        </w:tc>
        <w:tc>
          <w:tcPr/>
          <w:p>
            <w:pPr>
              <w:pStyle w:val="Compact"/>
            </w:pPr>
            <w:r>
              <w:rPr>
                <w:b/>
                <w:bCs/>
              </w:rPr>
              <w:t xml:space="preserve">A</w:t>
            </w:r>
          </w:p>
        </w:tc>
        <w:tc>
          <w:tcPr/>
          <w:p>
            <w:pPr>
              <w:pStyle w:val="Compact"/>
            </w:pPr>
            <w:r>
              <w:t xml:space="preserve">R</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Detokenize (runtime)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I (audit)</w:t>
            </w:r>
          </w:p>
        </w:tc>
        <w:tc>
          <w:tcPr/>
          <w:p>
            <w:pPr>
              <w:pStyle w:val="Compact"/>
            </w:pPr>
            <w:r>
              <w:rPr>
                <w:b/>
                <w:bCs/>
              </w:rPr>
              <w:t xml:space="preserve">R</w:t>
            </w:r>
            <w:r>
              <w:t xml:space="preserve"> </w:t>
            </w:r>
            <w:r>
              <w:t xml:space="preserve">(มีสิทธิ์เฉพาะ)</w:t>
            </w:r>
          </w:p>
        </w:tc>
      </w:tr>
      <w:tr>
        <w:tc>
          <w:tcPr/>
          <w:p>
            <w:pPr>
              <w:pStyle w:val="Compact"/>
            </w:pPr>
            <w:r>
              <w:t xml:space="preserve">ทำลายกุญแจ</w:t>
            </w:r>
          </w:p>
        </w:tc>
        <w:tc>
          <w:tcPr/>
          <w:p>
            <w:pPr>
              <w:pStyle w:val="Compact"/>
            </w:pPr>
            <w:r>
              <w:t xml:space="preserve">A</w:t>
            </w:r>
          </w:p>
        </w:tc>
        <w:tc>
          <w:tcPr/>
          <w:p>
            <w:pPr>
              <w:pStyle w:val="Compact"/>
            </w:pPr>
            <w:r>
              <w:rPr>
                <w:b/>
                <w:bCs/>
              </w:rPr>
              <w:t xml:space="preserve">R</w:t>
            </w:r>
            <w:r>
              <w:t xml:space="preserve"> </w:t>
            </w:r>
            <w:r>
              <w:t xml:space="preserve">(dual)</w:t>
            </w:r>
          </w:p>
        </w:tc>
        <w:tc>
          <w:tcPr/>
          <w:p>
            <w:pPr>
              <w:pStyle w:val="Compact"/>
            </w:pPr>
            <w:r>
              <w:t xml:space="preserve">R</w:t>
            </w:r>
          </w:p>
        </w:tc>
        <w:tc>
          <w:tcPr/>
          <w:p>
            <w:pPr>
              <w:pStyle w:val="Compact"/>
            </w:pPr>
            <w:r>
              <w:t xml:space="preserve">Witness</w:t>
            </w:r>
          </w:p>
        </w:tc>
        <w:tc>
          <w:tcPr/>
          <w:p>
            <w:pPr>
              <w:pStyle w:val="Compact"/>
            </w:pPr>
            <w:r>
              <w:t xml:space="preserve">—</w:t>
            </w:r>
          </w:p>
        </w:tc>
      </w:tr>
    </w:tbl>
    <w:p>
      <w:pPr>
        <w:pStyle w:val="BodyText"/>
      </w:pPr>
      <w:r>
        <w:t xml:space="preserve">(A=Accountable, R=Responsible, C=Consulted, I=Informed)</w:t>
      </w:r>
    </w:p>
    <w:p>
      <w:r>
        <w:pict>
          <v:rect style="width:0;height:1.5pt" o:hralign="center" o:hrstd="t" o:hr="t"/>
        </w:pict>
      </w:r>
    </w:p>
    <w:bookmarkEnd w:id="720"/>
    <w:bookmarkStart w:id="721" w:name="การควบคมสนบสนน-supporting-controls"/>
    <w:p>
      <w:pPr>
        <w:pStyle w:val="Heading2"/>
      </w:pPr>
      <w:r>
        <w:t xml:space="preserve">8. การควบคุมสนับสนุน (Supporting Controls)</w:t>
      </w:r>
    </w:p>
    <w:p>
      <w:pPr>
        <w:pStyle w:val="Compact"/>
        <w:numPr>
          <w:ilvl w:val="0"/>
          <w:numId w:val="1285"/>
        </w:numPr>
      </w:pPr>
      <w:r>
        <w:rPr>
          <w:b/>
          <w:bCs/>
        </w:rPr>
        <w:t xml:space="preserve">Encryption in transit:</w:t>
      </w:r>
      <w:r>
        <w:t xml:space="preserve"> </w:t>
      </w:r>
      <w:r>
        <w:t xml:space="preserve">TLS 1.2+ ทุกช่องทางภายนอก; mTLS ระหว่าง payment core ↔ Vault (PCI Req 4)</w:t>
      </w:r>
    </w:p>
    <w:p>
      <w:pPr>
        <w:pStyle w:val="Compact"/>
        <w:numPr>
          <w:ilvl w:val="0"/>
          <w:numId w:val="1285"/>
        </w:numPr>
      </w:pPr>
      <w:r>
        <w:rPr>
          <w:b/>
          <w:bCs/>
        </w:rPr>
        <w:t xml:space="preserve">Access control:</w:t>
      </w:r>
      <w:r>
        <w:t xml:space="preserve"> </w:t>
      </w:r>
      <w:r>
        <w:t xml:space="preserve">RBAC + least privilege; MFA บังคับสำหรับผู้เข้าถึง Vault/HSM/KMS (PCI Req 7–8)</w:t>
      </w:r>
    </w:p>
    <w:p>
      <w:pPr>
        <w:pStyle w:val="Compact"/>
        <w:numPr>
          <w:ilvl w:val="0"/>
          <w:numId w:val="1285"/>
        </w:numPr>
      </w:pPr>
      <w:r>
        <w:rPr>
          <w:b/>
          <w:bCs/>
        </w:rPr>
        <w:t xml:space="preserve">Logging:</w:t>
      </w:r>
      <w:r>
        <w:t xml:space="preserve"> </w:t>
      </w:r>
      <w:r>
        <w:t xml:space="preserve">ทุก key operation และ detokenize เขียน</w:t>
      </w:r>
      <w:r>
        <w:t xml:space="preserve"> </w:t>
      </w:r>
      <w:r>
        <w:rPr>
          <w:rStyle w:val="VerbatimChar"/>
        </w:rPr>
        <w:t xml:space="preserve">audit_log</w:t>
      </w:r>
      <w:r>
        <w:t xml:space="preserve"> </w:t>
      </w:r>
      <w:r>
        <w:t xml:space="preserve">แบบ append-only;</w:t>
      </w:r>
      <w:r>
        <w:t xml:space="preserve"> </w:t>
      </w:r>
      <w:r>
        <w:rPr>
          <w:b/>
          <w:bCs/>
        </w:rPr>
        <w:t xml:space="preserve">ห้าม log PAN/DEK plaintext</w:t>
      </w:r>
      <w:r>
        <w:t xml:space="preserve"> </w:t>
      </w:r>
      <w:r>
        <w:t xml:space="preserve">(PCI Req 10)</w:t>
      </w:r>
    </w:p>
    <w:p>
      <w:pPr>
        <w:pStyle w:val="Compact"/>
        <w:numPr>
          <w:ilvl w:val="0"/>
          <w:numId w:val="1285"/>
        </w:numPr>
      </w:pPr>
      <w:r>
        <w:rPr>
          <w:b/>
          <w:bCs/>
        </w:rPr>
        <w:t xml:space="preserve">Key inventory:</w:t>
      </w:r>
      <w:r>
        <w:t xml:space="preserve"> </w:t>
      </w:r>
      <w:r>
        <w:t xml:space="preserve">ทะเบียนกุญแจกลาง (key ID, ประเภท, สถานะ, วันสร้าง/หมุน/เพิกถอน, custodian) ทบทวนรายไตรมาส</w:t>
      </w:r>
    </w:p>
    <w:p>
      <w:pPr>
        <w:pStyle w:val="Compact"/>
        <w:numPr>
          <w:ilvl w:val="0"/>
          <w:numId w:val="1285"/>
        </w:numPr>
      </w:pPr>
      <w:r>
        <w:rPr>
          <w:b/>
          <w:bCs/>
        </w:rPr>
        <w:t xml:space="preserve">HSM HA/DR:</w:t>
      </w:r>
      <w:r>
        <w:t xml:space="preserve"> </w:t>
      </w:r>
      <w:r>
        <w:t xml:space="preserve">HSM คู่ (active-active หรือ active-standby) พร้อม secure key backup ข้าม DC ในไทย (data residency) — สอดคล้อง RPO ≤ 5 นาที / RTO ≤ 30 นาที ตาม</w:t>
      </w:r>
      <w:r>
        <w:t xml:space="preserve"> </w:t>
      </w:r>
      <w:r>
        <w:rPr>
          <w:rStyle w:val="VerbatimChar"/>
        </w:rPr>
        <w:t xml:space="preserve">ARCHITECTURE.md</w:t>
      </w:r>
    </w:p>
    <w:p>
      <w:pPr>
        <w:pStyle w:val="Compact"/>
        <w:numPr>
          <w:ilvl w:val="0"/>
          <w:numId w:val="1285"/>
        </w:numPr>
      </w:pPr>
      <w:r>
        <w:rPr>
          <w:b/>
          <w:bCs/>
        </w:rPr>
        <w:t xml:space="preserve">การทดสอบ:</w:t>
      </w:r>
      <w:r>
        <w:t xml:space="preserve"> </w:t>
      </w:r>
      <w:r>
        <w:t xml:space="preserve">ทดสอบขั้นตอน key recovery/DR อย่างน้อยปีละครั้ง; รวมใน scope ASV scan รายไตรมาส + pentest ประจำปี</w:t>
      </w:r>
    </w:p>
    <w:p>
      <w:r>
        <w:pict>
          <v:rect style="width:0;height:1.5pt" o:hralign="center" o:hrstd="t" o:hr="t"/>
        </w:pict>
      </w:r>
    </w:p>
    <w:bookmarkEnd w:id="721"/>
    <w:bookmarkStart w:id="722" w:name="ขอสมมตและสงทตองยนยน-assumptions-todo"/>
    <w:p>
      <w:pPr>
        <w:pStyle w:val="Heading2"/>
      </w:pPr>
      <w:r>
        <w:t xml:space="preserve">9. ข้อสมมติและสิ่งที่ต้องยืนยัน (Assumptions / TODO)</w:t>
      </w:r>
    </w:p>
    <w:p>
      <w:pPr>
        <w:pStyle w:val="BlockText"/>
      </w:pPr>
      <w:r>
        <w:rPr>
          <w:b/>
          <w:bCs/>
        </w:rPr>
        <w:t xml:space="preserve">[TODO / ข้อสมมติ]</w:t>
      </w:r>
      <w:r>
        <w:t xml:space="preserve"> </w:t>
      </w:r>
      <w:r>
        <w:t xml:space="preserve">รายการต่อไปนี้ยังขึ้นกับปัจจัยภายนอกที่ยังไม่ยุติ — ระบุเป็นข้อสมมติ ไม่ใช่ข้อเท็จจริงที่ยืนยันแล้ว:</w:t>
      </w:r>
      <w:r>
        <w:t xml:space="preserve"> </w:t>
      </w:r>
      <w:r>
        <w:t xml:space="preserve">1.</w:t>
      </w:r>
      <w:r>
        <w:t xml:space="preserve"> </w:t>
      </w:r>
      <w:r>
        <w:rPr>
          <w:b/>
          <w:bCs/>
        </w:rPr>
        <w:t xml:space="preserve">ผู้ให้บริการ HSM/KMS จริง</w:t>
      </w:r>
      <w:r>
        <w:t xml:space="preserve"> </w:t>
      </w:r>
      <w:r>
        <w:t xml:space="preserve">(เช่น cloud KMS + CloudHSM หรือ on-prem HSM แบรนด์ใด) ยังไม่เลือกขั้นสุดท้าย — ต้องยืนยันว่ารองรับ FIPS 140-2 L3/140-3 และ data residency ในไทย</w:t>
      </w:r>
      <w:r>
        <w:t xml:space="preserve"> </w:t>
      </w:r>
      <w:r>
        <w:t xml:space="preserve">2.</w:t>
      </w:r>
      <w:r>
        <w:t xml:space="preserve"> </w:t>
      </w:r>
      <w:r>
        <w:rPr>
          <w:b/>
          <w:bCs/>
        </w:rPr>
        <w:t xml:space="preserve">QSA vendor</w:t>
      </w:r>
      <w:r>
        <w:t xml:space="preserve"> </w:t>
      </w:r>
      <w:r>
        <w:t xml:space="preserve">สำหรับ PCI-DSS Level 1 RoC ยังไม่ลงนามสัญญา — พารามิเตอร์ (รอบหมุนกุญแจ, k-of-n) ต้องได้รับการรับรองจาก QSA</w:t>
      </w:r>
      <w:r>
        <w:t xml:space="preserve"> </w:t>
      </w:r>
      <w:r>
        <w:t xml:space="preserve">3.</w:t>
      </w:r>
      <w:r>
        <w:t xml:space="preserve"> </w:t>
      </w:r>
      <w:r>
        <w:rPr>
          <w:b/>
          <w:bCs/>
        </w:rPr>
        <w:t xml:space="preserve">Sponsor bank / card scheme</w:t>
      </w:r>
      <w:r>
        <w:t xml:space="preserve"> </w:t>
      </w:r>
      <w:r>
        <w:t xml:space="preserve">(Visa/Mastercard) อาจมีข้อกำหนดเพิ่มเรื่อง token/BIN และ key management ที่ต้อง align</w:t>
      </w:r>
      <w:r>
        <w:t xml:space="preserve"> </w:t>
      </w:r>
      <w:r>
        <w:t xml:space="preserve">4.</w:t>
      </w:r>
      <w:r>
        <w:t xml:space="preserve"> </w:t>
      </w:r>
      <w:r>
        <w:rPr>
          <w:b/>
          <w:bCs/>
        </w:rPr>
        <w:t xml:space="preserve">ทุนจดทะเบียนชำระแล้ว 50 ล้านบาท</w:t>
      </w:r>
      <w:r>
        <w:t xml:space="preserve"> </w:t>
      </w:r>
      <w:r>
        <w:t xml:space="preserve">อ้างอิงเกณฑ์ Acquiring ต้องยืนยันสถานะการชำระทุนจริงกับฝ่ายการเงิน/ทะเบียน</w:t>
      </w:r>
      <w:r>
        <w:t xml:space="preserve"> </w:t>
      </w:r>
      <w:r>
        <w:t xml:space="preserve">5. รายละเอียดประกาศ ธปท. ฉบับล่าสุดด้าน IT risk/cyber resilience ต้องยืนยันเลขที่/ปีโดยที่ปรึกษากฎหมาย</w:t>
      </w:r>
    </w:p>
    <w:bookmarkEnd w:id="722"/>
    <w:bookmarkEnd w:id="723"/>
    <w:bookmarkStart w:id="745" w:name="Xb7be7d09ee9a04d0e97463a2de33a0c99fbf7e3"/>
    <w:p>
      <w:pPr>
        <w:pStyle w:val="Heading1"/>
      </w:pPr>
      <w:r>
        <w:t xml:space="preserve">Tokenization + HSM/KMS key management design: envelope encryption, rotation, dual control, split knowledge (English)</w:t>
      </w:r>
    </w:p>
    <w:p>
      <w:pPr>
        <w:pStyle w:val="BlockText"/>
      </w:pPr>
      <w:r>
        <w:t xml:space="preserve">Document No. </w:t>
      </w:r>
      <w:r>
        <w:rPr>
          <w:b/>
          <w:bCs/>
        </w:rPr>
        <w:t xml:space="preserve">21</w:t>
      </w:r>
      <w:r>
        <w:t xml:space="preserve"> </w:t>
      </w:r>
      <w:r>
        <w:t xml:space="preserve">in the Compliance document set for the</w:t>
      </w:r>
      <w:r>
        <w:t xml:space="preserve"> </w:t>
      </w:r>
      <w:r>
        <w:rPr>
          <w:b/>
          <w:bCs/>
        </w:rPr>
        <w:t xml:space="preserve">Full Acquiring</w:t>
      </w:r>
      <w:r>
        <w:t xml:space="preserve"> </w:t>
      </w:r>
      <w:r>
        <w:t xml:space="preserve">payment service license application under the</w:t>
      </w:r>
      <w:r>
        <w:t xml:space="preserve"> </w:t>
      </w:r>
      <w:r>
        <w:rPr>
          <w:b/>
          <w:bCs/>
        </w:rPr>
        <w:t xml:space="preserve">Payment Systems Act B.E. 2560 (2017)</w:t>
      </w:r>
      <w:r>
        <w:t xml:space="preserve">, supervised by the</w:t>
      </w:r>
      <w:r>
        <w:t xml:space="preserve"> </w:t>
      </w:r>
      <w:r>
        <w:rPr>
          <w:b/>
          <w:bCs/>
        </w:rPr>
        <w:t xml:space="preserve">Bank of Thailand (BOT)</w:t>
      </w:r>
      <w:r>
        <w:t xml:space="preserve">, in parallel with</w:t>
      </w:r>
      <w:r>
        <w:t xml:space="preserve"> </w:t>
      </w:r>
      <w:r>
        <w:rPr>
          <w:b/>
          <w:bCs/>
        </w:rPr>
        <w:t xml:space="preserve">PCI-DSS Level 1</w:t>
      </w:r>
      <w:r>
        <w:t xml:space="preserve"> </w:t>
      </w:r>
      <w:r>
        <w:t xml:space="preserve">(paid-up registered capital THB 50M).</w:t>
      </w:r>
    </w:p>
    <w:p>
      <w:pPr>
        <w:pStyle w:val="BlockText"/>
      </w:pPr>
      <w:r>
        <w:rPr>
          <w:b/>
          <w:bCs/>
        </w:rPr>
        <w:t xml:space="preserve">Status:</w:t>
      </w:r>
      <w:r>
        <w:t xml:space="preserve"> </w:t>
      </w:r>
      <w:r>
        <w:t xml:space="preserve">submission draft · v0.1 · last updated 2026-07-22</w:t>
      </w:r>
      <w:r>
        <w:t xml:space="preserve"> </w:t>
      </w:r>
      <w:r>
        <w:rPr>
          <w:b/>
          <w:bCs/>
        </w:rPr>
        <w:t xml:space="preserve">Owner:</w:t>
      </w:r>
      <w:r>
        <w:t xml:space="preserve"> </w:t>
      </w:r>
      <w:r>
        <w:t xml:space="preserve">Chief Information Security Officer (CISO) and Cryptographic Key Custodian Team of</w:t>
      </w:r>
      <w:r>
        <w:t xml:space="preserve"> </w:t>
      </w:r>
      <w:r>
        <w:rPr>
          <w:b/>
          <w:bCs/>
        </w:rPr>
        <w:t xml:space="preserve">[บริษัท / Company]</w:t>
      </w:r>
    </w:p>
    <w:p>
      <w:pPr>
        <w:pStyle w:val="BlockText"/>
      </w:pPr>
      <w:r>
        <w:t xml:space="preserve">This is an internal policy/standard and a license-application supporting document; it is</w:t>
      </w:r>
      <w:r>
        <w:t xml:space="preserve"> </w:t>
      </w:r>
      <w:r>
        <w:rPr>
          <w:b/>
          <w:bCs/>
        </w:rPr>
        <w:t xml:space="preserve">not legal advice</w:t>
      </w:r>
      <w:r>
        <w:t xml:space="preserve"> </w:t>
      </w:r>
      <w:r>
        <w:t xml:space="preserve">and must be reviewed by legal counsel, the CISO, and the QSA before enforcement, as BOT notifications and PCI-DSS requirements may change.</w:t>
      </w:r>
    </w:p>
    <w:p>
      <w:r>
        <w:pict>
          <v:rect style="width:0;height:1.5pt" o:hralign="center" o:hrstd="t" o:hr="t"/>
        </w:pict>
      </w:r>
    </w:p>
    <w:bookmarkStart w:id="724" w:name="executive-summary-5"/>
    <w:p>
      <w:pPr>
        <w:pStyle w:val="Heading2"/>
      </w:pPr>
      <w:r>
        <w:t xml:space="preserve">Executive Summary</w:t>
      </w:r>
    </w:p>
    <w:p>
      <w:pPr>
        <w:pStyle w:val="FirstParagraph"/>
      </w:pPr>
      <w:r>
        <w:t xml:space="preserve">[บริษัท / Company] is designed so that</w:t>
      </w:r>
      <w:r>
        <w:t xml:space="preserve"> </w:t>
      </w:r>
      <w:r>
        <w:rPr>
          <w:b/>
          <w:bCs/>
        </w:rPr>
        <w:t xml:space="preserve">Cardholder Data (PAN) is never stored in the operational database</w:t>
      </w:r>
      <w:r>
        <w:t xml:space="preserve">. PAN is replaced by an</w:t>
      </w:r>
      <w:r>
        <w:t xml:space="preserve"> </w:t>
      </w:r>
      <w:r>
        <w:rPr>
          <w:b/>
          <w:bCs/>
        </w:rPr>
        <w:t xml:space="preserve">irreversible token</w:t>
      </w:r>
      <w:r>
        <w:t xml:space="preserve"> </w:t>
      </w:r>
      <w:r>
        <w:t xml:space="preserve">with no mathematical relationship to the PAN, which cannot be reversed without authorized access to the</w:t>
      </w:r>
      <w:r>
        <w:t xml:space="preserve"> </w:t>
      </w:r>
      <w:r>
        <w:rPr>
          <w:b/>
          <w:bCs/>
        </w:rPr>
        <w:t xml:space="preserve">Tokenization Vault</w:t>
      </w:r>
      <w:r>
        <w:t xml:space="preserve"> </w:t>
      </w:r>
      <w:r>
        <w:t xml:space="preserve">residing in a network segment isolated from the core system. This achieves</w:t>
      </w:r>
      <w:r>
        <w:t xml:space="preserve"> </w:t>
      </w:r>
      <w:r>
        <w:rPr>
          <w:b/>
          <w:bCs/>
        </w:rPr>
        <w:t xml:space="preserve">PCI scope minimization</w:t>
      </w:r>
      <w:r>
        <w:t xml:space="preserve">, leaving the core system to hold only</w:t>
      </w:r>
      <w:r>
        <w:t xml:space="preserve"> </w:t>
      </w:r>
      <w:r>
        <w:rPr>
          <w:rStyle w:val="VerbatimChar"/>
        </w:rPr>
        <w:t xml:space="preserve">token</w:t>
      </w:r>
      <w:r>
        <w:t xml:space="preserve">,</w:t>
      </w:r>
      <w:r>
        <w:t xml:space="preserve"> </w:t>
      </w:r>
      <w:r>
        <w:rPr>
          <w:rStyle w:val="VerbatimChar"/>
        </w:rPr>
        <w:t xml:space="preserve">card_brand</w:t>
      </w:r>
      <w:r>
        <w:t xml:space="preserve">, and</w:t>
      </w:r>
      <w:r>
        <w:t xml:space="preserve"> </w:t>
      </w:r>
      <w:r>
        <w:rPr>
          <w:rStyle w:val="VerbatimChar"/>
        </w:rPr>
        <w:t xml:space="preserve">card_last4</w:t>
      </w:r>
      <w:r>
        <w:t xml:space="preserve">, consistent with</w:t>
      </w:r>
      <w:r>
        <w:t xml:space="preserve"> </w:t>
      </w:r>
      <w:r>
        <w:rPr>
          <w:rStyle w:val="VerbatimChar"/>
        </w:rPr>
        <w:t xml:space="preserve">ARCHITECTURE.md</w:t>
      </w:r>
      <w:r>
        <w:t xml:space="preserve">.</w:t>
      </w:r>
    </w:p>
    <w:p>
      <w:pPr>
        <w:pStyle w:val="BodyText"/>
      </w:pPr>
      <w:r>
        <w:t xml:space="preserve">Encryption uses a</w:t>
      </w:r>
      <w:r>
        <w:t xml:space="preserve"> </w:t>
      </w:r>
      <w:r>
        <w:rPr>
          <w:b/>
          <w:bCs/>
        </w:rPr>
        <w:t xml:space="preserve">three-tier Envelope Encryption</w:t>
      </w:r>
      <w:r>
        <w:t xml:space="preserve"> </w:t>
      </w:r>
      <w:r>
        <w:t xml:space="preserve">architecture: Root/Master Key → Key-Encrypting Key (KEK) → Data-Encrypting Key (DEK). The Root/Master Key</w:t>
      </w:r>
      <w:r>
        <w:t xml:space="preserve"> </w:t>
      </w:r>
      <w:r>
        <w:rPr>
          <w:b/>
          <w:bCs/>
        </w:rPr>
        <w:t xml:space="preserve">never leaves the HSM</w:t>
      </w:r>
      <w:r>
        <w:t xml:space="preserve">, which is certified to</w:t>
      </w:r>
      <w:r>
        <w:t xml:space="preserve"> </w:t>
      </w:r>
      <w:r>
        <w:rPr>
          <w:b/>
          <w:bCs/>
        </w:rPr>
        <w:t xml:space="preserve">FIPS 140-2 Level 3 (or FIPS 140-3)</w:t>
      </w:r>
      <w:r>
        <w:t xml:space="preserve">. Every sensitive key operation is governed by</w:t>
      </w:r>
      <w:r>
        <w:t xml:space="preserve"> </w:t>
      </w:r>
      <w:r>
        <w:rPr>
          <w:b/>
          <w:bCs/>
        </w:rPr>
        <w:t xml:space="preserve">Dual Control</w:t>
      </w:r>
      <w:r>
        <w:t xml:space="preserve"> </w:t>
      </w:r>
      <w:r>
        <w:t xml:space="preserve">and</w:t>
      </w:r>
      <w:r>
        <w:t xml:space="preserve"> </w:t>
      </w:r>
      <w:r>
        <w:rPr>
          <w:b/>
          <w:bCs/>
        </w:rPr>
        <w:t xml:space="preserve">Split Knowledge</w:t>
      </w:r>
      <w:r>
        <w:t xml:space="preserve">, so no single individual can assemble or use a key alone.</w:t>
      </w:r>
    </w:p>
    <w:p>
      <w:pPr>
        <w:pStyle w:val="BodyText"/>
      </w:pPr>
      <w:r>
        <w:t xml:space="preserve">This document defines policy, standards, and SOPs that directly address</w:t>
      </w:r>
      <w:r>
        <w:t xml:space="preserve"> </w:t>
      </w:r>
      <w:r>
        <w:rPr>
          <w:b/>
          <w:bCs/>
        </w:rPr>
        <w:t xml:space="preserve">PCI-DSS v4.0 Requirement 3 (Protect Stored Account Data)</w:t>
      </w:r>
      <w:r>
        <w:t xml:space="preserve"> </w:t>
      </w:r>
      <w:r>
        <w:t xml:space="preserve">and</w:t>
      </w:r>
      <w:r>
        <w:t xml:space="preserve"> </w:t>
      </w:r>
      <w:r>
        <w:rPr>
          <w:b/>
          <w:bCs/>
        </w:rPr>
        <w:t xml:space="preserve">Requirement 4 (Protect CHD in transit with strong cryptography)</w:t>
      </w:r>
      <w:r>
        <w:t xml:space="preserve">, and links to BOT IT risk / cyber-resilience expectations, the Personal Data Protection Act B.E. 2562 (PDPA, supervised by the PDPC), and AML/CDD obligations under AMLO.</w:t>
      </w:r>
    </w:p>
    <w:p>
      <w:pPr>
        <w:pStyle w:val="BlockText"/>
      </w:pPr>
      <w:r>
        <w:rPr>
          <w:b/>
          <w:bCs/>
        </w:rPr>
        <w:t xml:space="preserve">Architecture link:</w:t>
      </w:r>
      <w:r>
        <w:t xml:space="preserve"> </w:t>
      </w:r>
      <w:r>
        <w:t xml:space="preserve">this document details the controls referenced in</w:t>
      </w:r>
      <w:r>
        <w:t xml:space="preserve"> </w:t>
      </w:r>
      <w:r>
        <w:rPr>
          <w:rStyle w:val="VerbatimChar"/>
        </w:rPr>
        <w:t xml:space="preserve">ARCHITECTURE.md</w:t>
      </w:r>
      <w:r>
        <w:t xml:space="preserve"> </w:t>
      </w:r>
      <w:r>
        <w:t xml:space="preserve">§7 (Encryption at rest, Key management, Scope minimization) and in</w:t>
      </w:r>
      <w:r>
        <w:t xml:space="preserve"> </w:t>
      </w:r>
      <w:r>
        <w:rPr>
          <w:rStyle w:val="VerbatimChar"/>
        </w:rPr>
        <w:t xml:space="preserve">13-it-risk-management.md</w:t>
      </w:r>
      <w:r>
        <w:t xml:space="preserve">.</w:t>
      </w:r>
    </w:p>
    <w:p>
      <w:r>
        <w:pict>
          <v:rect style="width:0;height:1.5pt" o:hralign="center" o:hrstd="t" o:hr="t"/>
        </w:pict>
      </w:r>
    </w:p>
    <w:bookmarkEnd w:id="724"/>
    <w:bookmarkStart w:id="725" w:name="legal-basis-reference-standards-1"/>
    <w:p>
      <w:pPr>
        <w:pStyle w:val="Heading2"/>
      </w:pPr>
      <w:r>
        <w:t xml:space="preserve">1. Legal Basis &amp; Reference Standards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Law / Standard</w:t>
            </w:r>
          </w:p>
        </w:tc>
        <w:tc>
          <w:tcPr/>
          <w:p>
            <w:pPr>
              <w:pStyle w:val="Compact"/>
            </w:pPr>
            <w:r>
              <w:t xml:space="preserve">Relevance</w:t>
            </w:r>
          </w:p>
        </w:tc>
      </w:tr>
      <w:tr>
        <w:tc>
          <w:tcPr/>
          <w:p>
            <w:pPr>
              <w:pStyle w:val="Compact"/>
            </w:pPr>
            <w:r>
              <w:rPr>
                <w:b/>
                <w:bCs/>
              </w:rPr>
              <w:t xml:space="preserve">Payment Systems Act B.E. 2560</w:t>
            </w:r>
            <w:r>
              <w:t xml:space="preserve"> </w:t>
            </w:r>
            <w:r>
              <w:t xml:space="preserve">—</w:t>
            </w:r>
            <w:r>
              <w:t xml:space="preserve"> </w:t>
            </w:r>
            <w:r>
              <w:rPr>
                <w:b/>
                <w:bCs/>
              </w:rPr>
              <w:t xml:space="preserve">BOT</w:t>
            </w:r>
          </w:p>
        </w:tc>
        <w:tc>
          <w:tcPr/>
          <w:p>
            <w:pPr>
              <w:pStyle w:val="Compact"/>
            </w:pPr>
            <w:r>
              <w:t xml:space="preserve">Acquiring license conditions require standard data-security controls and IT risk management</w:t>
            </w:r>
          </w:p>
        </w:tc>
      </w:tr>
      <w:tr>
        <w:tc>
          <w:tcPr/>
          <w:p>
            <w:pPr>
              <w:pStyle w:val="Compact"/>
            </w:pPr>
            <w:r>
              <w:rPr>
                <w:b/>
                <w:bCs/>
              </w:rPr>
              <w:t xml:space="preserve">BOT IT Risk &amp; Cyber Resilience guidelines</w:t>
            </w:r>
          </w:p>
        </w:tc>
        <w:tc>
          <w:tcPr/>
          <w:p>
            <w:pPr>
              <w:pStyle w:val="Compact"/>
            </w:pPr>
            <w:r>
              <w:t xml:space="preserve">Encryption of sensitive data, key management, access control, in-Thailand data residency</w:t>
            </w:r>
          </w:p>
        </w:tc>
      </w:tr>
      <w:tr>
        <w:tc>
          <w:tcPr/>
          <w:p>
            <w:pPr>
              <w:pStyle w:val="Compact"/>
            </w:pPr>
            <w:r>
              <w:rPr>
                <w:b/>
                <w:bCs/>
              </w:rPr>
              <w:t xml:space="preserve">PCI-DSS v4.0 — Requirement 3</w:t>
            </w:r>
          </w:p>
        </w:tc>
        <w:tc>
          <w:tcPr/>
          <w:p>
            <w:pPr>
              <w:pStyle w:val="Compact"/>
            </w:pPr>
            <w:r>
              <w:t xml:space="preserve">Protect stored account data: PAN encryption, key management, dual control, split knowledge, rotation, retirement (3.5–3.7)</w:t>
            </w:r>
          </w:p>
        </w:tc>
      </w:tr>
      <w:tr>
        <w:tc>
          <w:tcPr/>
          <w:p>
            <w:pPr>
              <w:pStyle w:val="Compact"/>
            </w:pPr>
            <w:r>
              <w:rPr>
                <w:b/>
                <w:bCs/>
              </w:rPr>
              <w:t xml:space="preserve">PCI-DSS v4.0 — Requirement 4</w:t>
            </w:r>
          </w:p>
        </w:tc>
        <w:tc>
          <w:tcPr/>
          <w:p>
            <w:pPr>
              <w:pStyle w:val="Compact"/>
            </w:pPr>
            <w:r>
              <w:t xml:space="preserve">Encrypt CHD over public networks with strong cryptography (TLS 1.2+)</w:t>
            </w:r>
          </w:p>
        </w:tc>
      </w:tr>
      <w:tr>
        <w:tc>
          <w:tcPr/>
          <w:p>
            <w:pPr>
              <w:pStyle w:val="Compact"/>
            </w:pPr>
            <w:r>
              <w:rPr>
                <w:b/>
                <w:bCs/>
              </w:rPr>
              <w:t xml:space="preserve">PCI-DSS v4.0 — Requirement 8 &amp; 12</w:t>
            </w:r>
          </w:p>
        </w:tc>
        <w:tc>
          <w:tcPr/>
          <w:p>
            <w:pPr>
              <w:pStyle w:val="Compact"/>
            </w:pPr>
            <w:r>
              <w:t xml:space="preserve">Authentication (MFA), key custodian roles and written acknowledgement</w:t>
            </w:r>
          </w:p>
        </w:tc>
      </w:tr>
      <w:tr>
        <w:tc>
          <w:tcPr/>
          <w:p>
            <w:pPr>
              <w:pStyle w:val="Compact"/>
            </w:pPr>
            <w:r>
              <w:rPr>
                <w:b/>
                <w:bCs/>
              </w:rPr>
              <w:t xml:space="preserve">PDPA B.E. 2562</w:t>
            </w:r>
            <w:r>
              <w:t xml:space="preserve"> </w:t>
            </w:r>
            <w:r>
              <w:t xml:space="preserve">—</w:t>
            </w:r>
            <w:r>
              <w:t xml:space="preserve"> </w:t>
            </w:r>
            <w:r>
              <w:rPr>
                <w:b/>
                <w:bCs/>
              </w:rPr>
              <w:t xml:space="preserve">PDPC</w:t>
            </w:r>
          </w:p>
        </w:tc>
        <w:tc>
          <w:tcPr/>
          <w:p>
            <w:pPr>
              <w:pStyle w:val="Compact"/>
            </w:pPr>
            <w:r>
              <w:t xml:space="preserve">Appropriate security measures (§37); breach notification within 72 hours; PAN is personal data</w:t>
            </w:r>
          </w:p>
        </w:tc>
      </w:tr>
      <w:tr>
        <w:tc>
          <w:tcPr/>
          <w:p>
            <w:pPr>
              <w:pStyle w:val="Compact"/>
            </w:pPr>
            <w:r>
              <w:rPr>
                <w:b/>
                <w:bCs/>
              </w:rPr>
              <w:t xml:space="preserve">Anti-Money Laundering Act (AMLO)</w:t>
            </w:r>
          </w:p>
        </w:tc>
        <w:tc>
          <w:tcPr/>
          <w:p>
            <w:pPr>
              <w:pStyle w:val="Compact"/>
            </w:pPr>
            <w:r>
              <w:t xml:space="preserve">Retain detokenization audit trail linked to transactions to support investigation/STR</w:t>
            </w:r>
          </w:p>
        </w:tc>
      </w:tr>
      <w:tr>
        <w:tc>
          <w:tcPr/>
          <w:p>
            <w:pPr>
              <w:pStyle w:val="Compact"/>
            </w:pPr>
            <w:r>
              <w:rPr>
                <w:b/>
                <w:bCs/>
              </w:rPr>
              <w:t xml:space="preserve">EMV 3-D Secure (3DS) 2.x</w:t>
            </w:r>
          </w:p>
        </w:tc>
        <w:tc>
          <w:tcPr/>
          <w:p>
            <w:pPr>
              <w:pStyle w:val="Compact"/>
            </w:pPr>
            <w:r>
              <w:t xml:space="preserve">3DS device/session tokens and keys fall under the same key-management framework</w:t>
            </w:r>
          </w:p>
        </w:tc>
      </w:tr>
      <w:tr>
        <w:tc>
          <w:tcPr/>
          <w:p>
            <w:pPr>
              <w:pStyle w:val="Compact"/>
            </w:pPr>
            <w:r>
              <w:rPr>
                <w:b/>
                <w:bCs/>
              </w:rPr>
              <w:t xml:space="preserve">FIPS 140-2 Level 3 / FIPS 140-3</w:t>
            </w:r>
          </w:p>
        </w:tc>
        <w:tc>
          <w:tcPr/>
          <w:p>
            <w:pPr>
              <w:pStyle w:val="Compact"/>
            </w:pPr>
            <w:r>
              <w:t xml:space="preserve">HSM cryptographic-module certification</w:t>
            </w:r>
          </w:p>
        </w:tc>
      </w:tr>
      <w:tr>
        <w:tc>
          <w:tcPr/>
          <w:p>
            <w:pPr>
              <w:pStyle w:val="Compact"/>
            </w:pPr>
            <w:r>
              <w:rPr>
                <w:b/>
                <w:bCs/>
              </w:rPr>
              <w:t xml:space="preserve">NIST SP 800-57 / SP 800-38 / ISO 11568</w:t>
            </w:r>
          </w:p>
        </w:tc>
        <w:tc>
          <w:tcPr/>
          <w:p>
            <w:pPr>
              <w:pStyle w:val="Compact"/>
            </w:pPr>
            <w:r>
              <w:t xml:space="preserve">Key lifecycle and key-length principles</w:t>
            </w:r>
          </w:p>
        </w:tc>
      </w:tr>
    </w:tbl>
    <w:p>
      <w:pPr>
        <w:pStyle w:val="BlockText"/>
      </w:pPr>
      <w:r>
        <w:rPr>
          <w:b/>
          <w:bCs/>
        </w:rPr>
        <w:t xml:space="preserve">[TODO / Assumption]</w:t>
      </w:r>
      <w:r>
        <w:t xml:space="preserve"> </w:t>
      </w:r>
      <w:r>
        <w:t xml:space="preserve">Confirm the number/year of the latest BOT IT risk &amp; cyber-resilience notification at filing time and align citations, via legal counsel and the QSA.</w:t>
      </w:r>
    </w:p>
    <w:p>
      <w:r>
        <w:pict>
          <v:rect style="width:0;height:1.5pt" o:hralign="center" o:hrstd="t" o:hr="t"/>
        </w:pict>
      </w:r>
    </w:p>
    <w:bookmarkEnd w:id="725"/>
    <w:bookmarkStart w:id="726" w:name="scope-definitions-1"/>
    <w:p>
      <w:pPr>
        <w:pStyle w:val="Heading2"/>
      </w:pPr>
      <w:r>
        <w:t xml:space="preserve">2. Scope &amp; Definitions</w:t>
      </w:r>
    </w:p>
    <w:p>
      <w:pPr>
        <w:pStyle w:val="FirstParagraph"/>
      </w:pPr>
      <w:r>
        <w:rPr>
          <w:b/>
          <w:bCs/>
        </w:rPr>
        <w:t xml:space="preserve">Scope:</w:t>
      </w:r>
      <w:r>
        <w:t xml:space="preserve"> </w:t>
      </w:r>
      <w:r>
        <w:t xml:space="preserve">all cryptographic keys protecting CHD (and SAD, which must never be stored after authorization), the Tokenization Vault, HSM/KMS, the payment core (Go/Fiber), databases, and all backups of [บริษัท / Company].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PAN</w:t>
            </w:r>
          </w:p>
        </w:tc>
        <w:tc>
          <w:tcPr/>
          <w:p>
            <w:pPr>
              <w:pStyle w:val="Compact"/>
            </w:pPr>
            <w:r>
              <w:t xml:space="preserve">Primary Account Number (13–19 digits)</w:t>
            </w:r>
          </w:p>
        </w:tc>
      </w:tr>
      <w:tr>
        <w:tc>
          <w:tcPr/>
          <w:p>
            <w:pPr>
              <w:pStyle w:val="Compact"/>
            </w:pPr>
            <w:r>
              <w:rPr>
                <w:b/>
                <w:bCs/>
              </w:rPr>
              <w:t xml:space="preserve">CHD / SAD</w:t>
            </w:r>
          </w:p>
        </w:tc>
        <w:tc>
          <w:tcPr/>
          <w:p>
            <w:pPr>
              <w:pStyle w:val="Compact"/>
            </w:pPr>
            <w:r>
              <w:t xml:space="preserve">Cardholder Data / Sensitive Authentication Data (CVV2, PIN, full track —</w:t>
            </w:r>
            <w:r>
              <w:t xml:space="preserve"> </w:t>
            </w:r>
            <w:r>
              <w:rPr>
                <w:b/>
                <w:bCs/>
              </w:rPr>
              <w:t xml:space="preserve">must not be stored</w:t>
            </w:r>
            <w:r>
              <w:t xml:space="preserve">)</w:t>
            </w:r>
          </w:p>
        </w:tc>
      </w:tr>
      <w:tr>
        <w:tc>
          <w:tcPr/>
          <w:p>
            <w:pPr>
              <w:pStyle w:val="Compact"/>
            </w:pPr>
            <w:r>
              <w:rPr>
                <w:b/>
                <w:bCs/>
              </w:rPr>
              <w:t xml:space="preserve">Token</w:t>
            </w:r>
          </w:p>
        </w:tc>
        <w:tc>
          <w:tcPr/>
          <w:p>
            <w:pPr>
              <w:pStyle w:val="Compact"/>
            </w:pPr>
            <w:r>
              <w:t xml:space="preserve">Mathematically irreversible surrogate for PAN, created and mapped only inside the Vault</w:t>
            </w:r>
          </w:p>
        </w:tc>
      </w:tr>
      <w:tr>
        <w:tc>
          <w:tcPr/>
          <w:p>
            <w:pPr>
              <w:pStyle w:val="Compact"/>
            </w:pPr>
            <w:r>
              <w:rPr>
                <w:b/>
                <w:bCs/>
              </w:rPr>
              <w:t xml:space="preserve">Detokenization</w:t>
            </w:r>
          </w:p>
        </w:tc>
        <w:tc>
          <w:tcPr/>
          <w:p>
            <w:pPr>
              <w:pStyle w:val="Compact"/>
            </w:pPr>
            <w:r>
              <w:t xml:space="preserve">Recovering PAN from a token — only inside the CDE via an authenticated API</w:t>
            </w:r>
          </w:p>
        </w:tc>
      </w:tr>
      <w:tr>
        <w:tc>
          <w:tcPr/>
          <w:p>
            <w:pPr>
              <w:pStyle w:val="Compact"/>
            </w:pPr>
            <w:r>
              <w:rPr>
                <w:b/>
                <w:bCs/>
              </w:rPr>
              <w:t xml:space="preserve">Root/Master Key</w:t>
            </w:r>
          </w:p>
        </w:tc>
        <w:tc>
          <w:tcPr/>
          <w:p>
            <w:pPr>
              <w:pStyle w:val="Compact"/>
            </w:pPr>
            <w:r>
              <w:t xml:space="preserve">Top-tier key, generated and used inside the HSM only, never exported in plaintext</w:t>
            </w:r>
          </w:p>
        </w:tc>
      </w:tr>
      <w:tr>
        <w:tc>
          <w:tcPr/>
          <w:p>
            <w:pPr>
              <w:pStyle w:val="Compact"/>
            </w:pPr>
            <w:r>
              <w:rPr>
                <w:b/>
                <w:bCs/>
              </w:rPr>
              <w:t xml:space="preserve">KEK</w:t>
            </w:r>
          </w:p>
        </w:tc>
        <w:tc>
          <w:tcPr/>
          <w:p>
            <w:pPr>
              <w:pStyle w:val="Compact"/>
            </w:pPr>
            <w:r>
              <w:t xml:space="preserve">Key-Encrypting Key — encrypts DEKs</w:t>
            </w:r>
          </w:p>
        </w:tc>
      </w:tr>
      <w:tr>
        <w:tc>
          <w:tcPr/>
          <w:p>
            <w:pPr>
              <w:pStyle w:val="Compact"/>
            </w:pPr>
            <w:r>
              <w:rPr>
                <w:b/>
                <w:bCs/>
              </w:rPr>
              <w:t xml:space="preserve">DEK</w:t>
            </w:r>
          </w:p>
        </w:tc>
        <w:tc>
          <w:tcPr/>
          <w:p>
            <w:pPr>
              <w:pStyle w:val="Compact"/>
            </w:pPr>
            <w:r>
              <w:t xml:space="preserve">Data-Encrypting Key — encrypts PAN directly (AES-256-GCM)</w:t>
            </w:r>
          </w:p>
        </w:tc>
      </w:tr>
      <w:tr>
        <w:tc>
          <w:tcPr/>
          <w:p>
            <w:pPr>
              <w:pStyle w:val="Compact"/>
            </w:pPr>
            <w:r>
              <w:rPr>
                <w:b/>
                <w:bCs/>
              </w:rPr>
              <w:t xml:space="preserve">Dual Control</w:t>
            </w:r>
          </w:p>
        </w:tc>
        <w:tc>
          <w:tcPr/>
          <w:p>
            <w:pPr>
              <w:pStyle w:val="Compact"/>
            </w:pPr>
            <w:r>
              <w:t xml:space="preserve">At least two people are required to perform a sensitive key operation</w:t>
            </w:r>
          </w:p>
        </w:tc>
      </w:tr>
      <w:tr>
        <w:tc>
          <w:tcPr/>
          <w:p>
            <w:pPr>
              <w:pStyle w:val="Compact"/>
            </w:pPr>
            <w:r>
              <w:rPr>
                <w:b/>
                <w:bCs/>
              </w:rPr>
              <w:t xml:space="preserve">Split Knowledge</w:t>
            </w:r>
          </w:p>
        </w:tc>
        <w:tc>
          <w:tcPr/>
          <w:p>
            <w:pPr>
              <w:pStyle w:val="Compact"/>
            </w:pPr>
            <w:r>
              <w:t xml:space="preserve">No single person knows the full key; each holds only one component/share</w:t>
            </w:r>
          </w:p>
        </w:tc>
      </w:tr>
      <w:tr>
        <w:tc>
          <w:tcPr/>
          <w:p>
            <w:pPr>
              <w:pStyle w:val="Compact"/>
            </w:pPr>
            <w:r>
              <w:rPr>
                <w:b/>
                <w:bCs/>
              </w:rPr>
              <w:t xml:space="preserve">Key Custodian</w:t>
            </w:r>
          </w:p>
        </w:tc>
        <w:tc>
          <w:tcPr/>
          <w:p>
            <w:pPr>
              <w:pStyle w:val="Compact"/>
            </w:pPr>
            <w:r>
              <w:t xml:space="preserve">Assigned person holding/managing a key component per PCI Req 3.6/12.3</w:t>
            </w:r>
          </w:p>
        </w:tc>
      </w:tr>
      <w:tr>
        <w:tc>
          <w:tcPr/>
          <w:p>
            <w:pPr>
              <w:pStyle w:val="Compact"/>
            </w:pPr>
            <w:r>
              <w:rPr>
                <w:b/>
                <w:bCs/>
              </w:rPr>
              <w:t xml:space="preserve">CDE</w:t>
            </w:r>
          </w:p>
        </w:tc>
        <w:tc>
          <w:tcPr/>
          <w:p>
            <w:pPr>
              <w:pStyle w:val="Compact"/>
            </w:pPr>
            <w:r>
              <w:t xml:space="preserve">Cardholder Data Environment (PCI-DSS)</w:t>
            </w:r>
          </w:p>
        </w:tc>
      </w:tr>
    </w:tbl>
    <w:p>
      <w:r>
        <w:pict>
          <v:rect style="width:0;height:1.5pt" o:hralign="center" o:hrstd="t" o:hr="t"/>
        </w:pict>
      </w:r>
    </w:p>
    <w:bookmarkEnd w:id="726"/>
    <w:bookmarkStart w:id="729" w:name="tokenization-architecture"/>
    <w:p>
      <w:pPr>
        <w:pStyle w:val="Heading2"/>
      </w:pPr>
      <w:r>
        <w:t xml:space="preserve">3. Tokenization Architecture</w:t>
      </w:r>
    </w:p>
    <w:bookmarkStart w:id="727" w:name="principles-2"/>
    <w:p>
      <w:pPr>
        <w:pStyle w:val="Heading3"/>
      </w:pPr>
      <w:r>
        <w:t xml:space="preserve">3.1 Principles</w:t>
      </w:r>
    </w:p>
    <w:p>
      <w:pPr>
        <w:pStyle w:val="Compact"/>
        <w:numPr>
          <w:ilvl w:val="0"/>
          <w:numId w:val="1286"/>
        </w:numPr>
      </w:pPr>
      <w:r>
        <w:rPr>
          <w:b/>
          <w:bCs/>
        </w:rPr>
        <w:t xml:space="preserve">Irreversible tokens</w:t>
      </w:r>
      <w:r>
        <w:t xml:space="preserve"> </w:t>
      </w:r>
      <w:r>
        <w:t xml:space="preserve">— random, high-entropy tokens mapped to PAN via an encrypted lookup in the vault; not directly reversible from the token.</w:t>
      </w:r>
    </w:p>
    <w:p>
      <w:pPr>
        <w:pStyle w:val="Compact"/>
        <w:numPr>
          <w:ilvl w:val="0"/>
          <w:numId w:val="1286"/>
        </w:numPr>
      </w:pPr>
      <w:r>
        <w:rPr>
          <w:b/>
          <w:bCs/>
        </w:rPr>
        <w:t xml:space="preserve">Segmented vault</w:t>
      </w:r>
      <w:r>
        <w:t xml:space="preserve"> </w:t>
      </w:r>
      <w:r>
        <w:t xml:space="preserve">— Token Vault and HSM sit in a network zone isolated from the core, with strict firewall/ACLs, reachable only via mTLS + service identity.</w:t>
      </w:r>
    </w:p>
    <w:p>
      <w:pPr>
        <w:pStyle w:val="Compact"/>
        <w:numPr>
          <w:ilvl w:val="0"/>
          <w:numId w:val="1286"/>
        </w:numPr>
      </w:pPr>
      <w:r>
        <w:rPr>
          <w:b/>
          <w:bCs/>
        </w:rPr>
        <w:t xml:space="preserve">Core never touches PAN</w:t>
      </w:r>
      <w:r>
        <w:t xml:space="preserve"> </w:t>
      </w:r>
      <w:r>
        <w:t xml:space="preserve">— the payment core stores only</w:t>
      </w:r>
      <w:r>
        <w:t xml:space="preserve"> </w:t>
      </w:r>
      <w:r>
        <w:rPr>
          <w:rStyle w:val="VerbatimChar"/>
        </w:rPr>
        <w:t xml:space="preserve">token</w:t>
      </w:r>
      <w:r>
        <w:t xml:space="preserve">,</w:t>
      </w:r>
      <w:r>
        <w:t xml:space="preserve"> </w:t>
      </w:r>
      <w:r>
        <w:rPr>
          <w:rStyle w:val="VerbatimChar"/>
        </w:rPr>
        <w:t xml:space="preserve">card_brand</w:t>
      </w:r>
      <w:r>
        <w:t xml:space="preserve">,</w:t>
      </w:r>
      <w:r>
        <w:t xml:space="preserve"> </w:t>
      </w:r>
      <w:r>
        <w:rPr>
          <w:rStyle w:val="VerbatimChar"/>
        </w:rPr>
        <w:t xml:space="preserve">card_last4</w:t>
      </w:r>
      <w:r>
        <w:t xml:space="preserve">; no full PAN in</w:t>
      </w:r>
      <w:r>
        <w:t xml:space="preserve"> </w:t>
      </w:r>
      <w:r>
        <w:rPr>
          <w:rStyle w:val="VerbatimChar"/>
        </w:rPr>
        <w:t xml:space="preserve">payments</w:t>
      </w:r>
      <w:r>
        <w:t xml:space="preserve">, logs, or webhook payloads.</w:t>
      </w:r>
    </w:p>
    <w:p>
      <w:pPr>
        <w:pStyle w:val="Compact"/>
        <w:numPr>
          <w:ilvl w:val="0"/>
          <w:numId w:val="1286"/>
        </w:numPr>
      </w:pPr>
      <w:r>
        <w:rPr>
          <w:b/>
          <w:bCs/>
        </w:rPr>
        <w:t xml:space="preserve">Client-side single-use payment token</w:t>
      </w:r>
      <w:r>
        <w:t xml:space="preserve"> </w:t>
      </w:r>
      <w:r>
        <w:t xml:space="preserve">— per</w:t>
      </w:r>
      <w:r>
        <w:t xml:space="preserve"> </w:t>
      </w:r>
      <w:r>
        <w:rPr>
          <w:rStyle w:val="VerbatimChar"/>
        </w:rPr>
        <w:t xml:space="preserve">ARCHITECTURE.md</w:t>
      </w:r>
      <w:r>
        <w:t xml:space="preserve"> </w:t>
      </w:r>
      <w:r>
        <w:t xml:space="preserve">§5.1, PAN goes from client directly to the Vault, bypassing the merchant server.</w:t>
      </w:r>
    </w:p>
    <w:bookmarkEnd w:id="727"/>
    <w:bookmarkStart w:id="728" w:name="tokenize-detokenize-flow"/>
    <w:p>
      <w:pPr>
        <w:pStyle w:val="Heading3"/>
      </w:pPr>
      <w:r>
        <w:t xml:space="preserve">3.2 Tokenize / Detokenize 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Actors</w:t>
            </w:r>
          </w:p>
        </w:tc>
      </w:tr>
      <w:tr>
        <w:tc>
          <w:tcPr/>
          <w:p>
            <w:pPr>
              <w:pStyle w:val="Compact"/>
            </w:pPr>
            <w:r>
              <w:rPr>
                <w:b/>
                <w:bCs/>
              </w:rPr>
              <w:t xml:space="preserve">Tokenize</w:t>
            </w:r>
          </w:p>
        </w:tc>
        <w:tc>
          <w:tcPr/>
          <w:p>
            <w:pPr>
              <w:pStyle w:val="Compact"/>
            </w:pPr>
            <w:r>
              <w:t xml:space="preserve">client sends PAN → Vault → HSM mints token + encrypts PAN with DEK → stores ciphertext + mapping → returns token</w:t>
            </w:r>
          </w:p>
        </w:tc>
        <w:tc>
          <w:tcPr/>
          <w:p>
            <w:pPr>
              <w:pStyle w:val="Compact"/>
            </w:pPr>
            <w:r>
              <w:t xml:space="preserve">client, Vault, HSM</w:t>
            </w:r>
          </w:p>
        </w:tc>
      </w:tr>
      <w:tr>
        <w:tc>
          <w:tcPr/>
          <w:p>
            <w:pPr>
              <w:pStyle w:val="Compact"/>
            </w:pPr>
            <w:r>
              <w:rPr>
                <w:b/>
                <w:bCs/>
              </w:rPr>
              <w:t xml:space="preserve">Store</w:t>
            </w:r>
          </w:p>
        </w:tc>
        <w:tc>
          <w:tcPr/>
          <w:p>
            <w:pPr>
              <w:pStyle w:val="Compact"/>
            </w:pPr>
            <w:r>
              <w:t xml:space="preserve">core stores only token + last4 + brand</w:t>
            </w:r>
          </w:p>
        </w:tc>
        <w:tc>
          <w:tcPr/>
          <w:p>
            <w:pPr>
              <w:pStyle w:val="Compact"/>
            </w:pPr>
            <w:r>
              <w:t xml:space="preserve">payment core</w:t>
            </w:r>
          </w:p>
        </w:tc>
      </w:tr>
      <w:tr>
        <w:tc>
          <w:tcPr/>
          <w:p>
            <w:pPr>
              <w:pStyle w:val="Compact"/>
            </w:pPr>
            <w:r>
              <w:rPr>
                <w:b/>
                <w:bCs/>
              </w:rPr>
              <w:t xml:space="preserve">Detokenize</w:t>
            </w:r>
          </w:p>
        </w:tc>
        <w:tc>
          <w:tcPr/>
          <w:p>
            <w:pPr>
              <w:pStyle w:val="Compact"/>
            </w:pPr>
            <w:r>
              <w:t xml:space="preserve">only during authorize/settle/chargeback → core calls Vault API (mTLS + JWT scope=</w:t>
            </w:r>
            <w:r>
              <w:rPr>
                <w:rStyle w:val="VerbatimChar"/>
              </w:rPr>
              <w:t xml:space="preserve">detok</w:t>
            </w:r>
            <w:r>
              <w:t xml:space="preserve">) → Vault authorizes → PAN returned in memory only</w:t>
            </w:r>
          </w:p>
        </w:tc>
        <w:tc>
          <w:tcPr/>
          <w:p>
            <w:pPr>
              <w:pStyle w:val="Compact"/>
            </w:pPr>
            <w:r>
              <w:t xml:space="preserve">payment core (in CDE), Vault</w:t>
            </w:r>
          </w:p>
        </w:tc>
      </w:tr>
      <w:tr>
        <w:tc>
          <w:tcPr/>
          <w:p>
            <w:pPr>
              <w:pStyle w:val="Compact"/>
            </w:pPr>
            <w:r>
              <w:rPr>
                <w:b/>
                <w:bCs/>
              </w:rPr>
              <w:t xml:space="preserve">Audit</w:t>
            </w:r>
          </w:p>
        </w:tc>
        <w:tc>
          <w:tcPr/>
          <w:p>
            <w:pPr>
              <w:pStyle w:val="Compact"/>
            </w:pPr>
            <w:r>
              <w:t xml:space="preserve">every detokenize writes append-only</w:t>
            </w:r>
            <w:r>
              <w:t xml:space="preserve"> </w:t>
            </w:r>
            <w:r>
              <w:rPr>
                <w:rStyle w:val="VerbatimChar"/>
              </w:rPr>
              <w:t xml:space="preserve">audit_log</w:t>
            </w:r>
            <w:r>
              <w:t xml:space="preserve"> </w:t>
            </w:r>
            <w:r>
              <w:t xml:space="preserve">(who/when/token/reason/txn_id)</w:t>
            </w:r>
          </w:p>
        </w:tc>
        <w:tc>
          <w:tcPr/>
          <w:p>
            <w:pPr>
              <w:pStyle w:val="Compact"/>
            </w:pPr>
            <w:r>
              <w:t xml:space="preserve">all</w:t>
            </w:r>
          </w:p>
        </w:tc>
      </w:tr>
    </w:tbl>
    <w:p>
      <w:pPr>
        <w:pStyle w:val="BlockText"/>
      </w:pPr>
      <w:r>
        <w:rPr>
          <w:b/>
          <w:bCs/>
        </w:rPr>
        <w:t xml:space="preserve">Prohibition:</w:t>
      </w:r>
      <w:r>
        <w:t xml:space="preserve"> </w:t>
      </w:r>
      <w:r>
        <w:t xml:space="preserve">never detokenize to display full PAN on UI/reports, except where legally required (e.g., AMLO investigation), and only with Dual Control approval and a recorded justification.</w:t>
      </w:r>
    </w:p>
    <w:p>
      <w:r>
        <w:pict>
          <v:rect style="width:0;height:1.5pt" o:hralign="center" o:hrstd="t" o:hr="t"/>
        </w:pict>
      </w:r>
    </w:p>
    <w:bookmarkEnd w:id="728"/>
    <w:bookmarkEnd w:id="729"/>
    <w:bookmarkStart w:id="733" w:name="envelope-encryption-three-tier"/>
    <w:p>
      <w:pPr>
        <w:pStyle w:val="Heading2"/>
      </w:pPr>
      <w:r>
        <w:t xml:space="preserve">4. Envelope Encryption (three-tier)</w:t>
      </w:r>
    </w:p>
    <w:bookmarkStart w:id="730" w:name="key-hierarchy"/>
    <w:p>
      <w:pPr>
        <w:pStyle w:val="Heading3"/>
      </w:pPr>
      <w:r>
        <w:t xml:space="preserve">4.1 Key Hierarchy</w:t>
      </w:r>
    </w:p>
    <w:p>
      <w:pPr>
        <w:pStyle w:val="SourceCode"/>
      </w:pPr>
      <w:r>
        <w:rPr>
          <w:rStyle w:val="VerbatimChar"/>
        </w:rPr>
        <w:t xml:space="preserve">Root/Master Key (RK)         ← generated &amp; used inside HSM only, never exported in plaintext</w:t>
      </w:r>
      <w:r>
        <w:br/>
      </w:r>
      <w:r>
        <w:rPr>
          <w:rStyle w:val="VerbatimChar"/>
        </w:rPr>
        <w:t xml:space="preserve">        │  (wrap / unwrap)</w:t>
      </w:r>
      <w:r>
        <w:br/>
      </w:r>
      <w:r>
        <w:rPr>
          <w:rStyle w:val="VerbatimChar"/>
        </w:rPr>
        <w:t xml:space="preserve">        ▼</w:t>
      </w:r>
      <w:r>
        <w:br/>
      </w:r>
      <w:r>
        <w:rPr>
          <w:rStyle w:val="VerbatimChar"/>
        </w:rPr>
        <w:t xml:space="preserve">Key-Encrypting Key (KEK)     ← stored RK-wrapped, loaded into HSM at use time</w:t>
      </w:r>
      <w:r>
        <w:br/>
      </w:r>
      <w:r>
        <w:rPr>
          <w:rStyle w:val="VerbatimChar"/>
        </w:rPr>
        <w:t xml:space="preserve">        │  (wrap / unwrap)</w:t>
      </w:r>
      <w:r>
        <w:br/>
      </w:r>
      <w:r>
        <w:rPr>
          <w:rStyle w:val="VerbatimChar"/>
        </w:rPr>
        <w:t xml:space="preserve">        ▼</w:t>
      </w:r>
      <w:r>
        <w:br/>
      </w:r>
      <w:r>
        <w:rPr>
          <w:rStyle w:val="VerbatimChar"/>
        </w:rPr>
        <w:t xml:space="preserve">Data-Encrypting Key (DEK)    ← per-tenant / per-partition, stored KEK-encrypted beside ciphertext</w:t>
      </w:r>
      <w:r>
        <w:br/>
      </w:r>
      <w:r>
        <w:rPr>
          <w:rStyle w:val="VerbatimChar"/>
        </w:rPr>
        <w:t xml:space="preserve">        │  (AES-256-GCM)</w:t>
      </w:r>
      <w:r>
        <w:br/>
      </w:r>
      <w:r>
        <w:rPr>
          <w:rStyle w:val="VerbatimChar"/>
        </w:rPr>
        <w:t xml:space="preserve">        ▼</w:t>
      </w:r>
      <w:r>
        <w:br/>
      </w:r>
      <w:r>
        <w:rPr>
          <w:rStyle w:val="VerbatimChar"/>
        </w:rPr>
        <w:t xml:space="preserve">PAN ciphertext + auth tag    ← stored in Token Vault</w:t>
      </w:r>
    </w:p>
    <w:bookmarkEnd w:id="730"/>
    <w:bookmarkStart w:id="731" w:name="cryptographic-parameters"/>
    <w:p>
      <w:pPr>
        <w:pStyle w:val="Heading3"/>
      </w:pPr>
      <w:r>
        <w:t xml:space="preserve">4.2 Cryptographic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Standard</w:t>
            </w:r>
          </w:p>
        </w:tc>
      </w:tr>
      <w:tr>
        <w:tc>
          <w:tcPr/>
          <w:p>
            <w:pPr>
              <w:pStyle w:val="Compact"/>
            </w:pPr>
            <w:r>
              <w:t xml:space="preserve">Data algorithm (DEK)</w:t>
            </w:r>
          </w:p>
        </w:tc>
        <w:tc>
          <w:tcPr/>
          <w:p>
            <w:pPr>
              <w:pStyle w:val="Compact"/>
            </w:pPr>
            <w:r>
              <w:rPr>
                <w:b/>
                <w:bCs/>
              </w:rPr>
              <w:t xml:space="preserve">AES-256-GCM</w:t>
            </w:r>
            <w:r>
              <w:t xml:space="preserve"> </w:t>
            </w:r>
            <w:r>
              <w:t xml:space="preserve">(authenticated encryption)</w:t>
            </w:r>
          </w:p>
        </w:tc>
      </w:tr>
      <w:tr>
        <w:tc>
          <w:tcPr/>
          <w:p>
            <w:pPr>
              <w:pStyle w:val="Compact"/>
            </w:pPr>
            <w:r>
              <w:t xml:space="preserve">Wrap algorithm (KEK/RK)</w:t>
            </w:r>
          </w:p>
        </w:tc>
        <w:tc>
          <w:tcPr/>
          <w:p>
            <w:pPr>
              <w:pStyle w:val="Compact"/>
            </w:pPr>
            <w:r>
              <w:t xml:space="preserve">AES-256-KW or RSA-3072/4096 (per HSM)</w:t>
            </w:r>
          </w:p>
        </w:tc>
      </w:tr>
      <w:tr>
        <w:tc>
          <w:tcPr/>
          <w:p>
            <w:pPr>
              <w:pStyle w:val="Compact"/>
            </w:pPr>
            <w:r>
              <w:t xml:space="preserve">Minimum key length</w:t>
            </w:r>
          </w:p>
        </w:tc>
        <w:tc>
          <w:tcPr/>
          <w:p>
            <w:pPr>
              <w:pStyle w:val="Compact"/>
            </w:pPr>
            <w:r>
              <w:t xml:space="preserve">Symmetric ≥ 256-bit; asymmetric RSA ≥ 3072-bit / ECC ≥ P-256</w:t>
            </w:r>
          </w:p>
        </w:tc>
      </w:tr>
      <w:tr>
        <w:tc>
          <w:tcPr/>
          <w:p>
            <w:pPr>
              <w:pStyle w:val="Compact"/>
            </w:pPr>
            <w:r>
              <w:t xml:space="preserve">Randomness source</w:t>
            </w:r>
          </w:p>
        </w:tc>
        <w:tc>
          <w:tcPr/>
          <w:p>
            <w:pPr>
              <w:pStyle w:val="Compact"/>
            </w:pPr>
            <w:r>
              <w:t xml:space="preserve">HSM TRNG (FIPS-approved)</w:t>
            </w:r>
          </w:p>
        </w:tc>
      </w:tr>
      <w:tr>
        <w:tc>
          <w:tcPr/>
          <w:p>
            <w:pPr>
              <w:pStyle w:val="Compact"/>
            </w:pPr>
            <w:r>
              <w:t xml:space="preserve">DEK storage</w:t>
            </w:r>
          </w:p>
        </w:tc>
        <w:tc>
          <w:tcPr/>
          <w:p>
            <w:pPr>
              <w:pStyle w:val="Compact"/>
            </w:pPr>
            <w:r>
              <w:t xml:space="preserve">stored</w:t>
            </w:r>
            <w:r>
              <w:t xml:space="preserve"> </w:t>
            </w:r>
            <w:r>
              <w:rPr>
                <w:b/>
                <w:bCs/>
              </w:rPr>
              <w:t xml:space="preserve">KEK-encrypted</w:t>
            </w:r>
            <w:r>
              <w:t xml:space="preserve"> </w:t>
            </w:r>
            <w:r>
              <w:t xml:space="preserve">next to ciphertext; never plaintext DEK on disk</w:t>
            </w:r>
          </w:p>
        </w:tc>
      </w:tr>
      <w:tr>
        <w:tc>
          <w:tcPr/>
          <w:p>
            <w:pPr>
              <w:pStyle w:val="Compact"/>
            </w:pPr>
            <w:r>
              <w:t xml:space="preserve">RK storage</w:t>
            </w:r>
          </w:p>
        </w:tc>
        <w:tc>
          <w:tcPr/>
          <w:p>
            <w:pPr>
              <w:pStyle w:val="Compact"/>
            </w:pPr>
            <w:r>
              <w:t xml:space="preserve">inside HSM only (non-exportable)</w:t>
            </w:r>
          </w:p>
        </w:tc>
      </w:tr>
    </w:tbl>
    <w:bookmarkEnd w:id="731"/>
    <w:bookmarkStart w:id="732" w:name="key-separation"/>
    <w:p>
      <w:pPr>
        <w:pStyle w:val="Heading3"/>
      </w:pPr>
      <w:r>
        <w:t xml:space="preserve">4.3 Key Separation</w:t>
      </w:r>
    </w:p>
    <w:p>
      <w:pPr>
        <w:pStyle w:val="Compact"/>
        <w:numPr>
          <w:ilvl w:val="0"/>
          <w:numId w:val="1287"/>
        </w:numPr>
      </w:pPr>
      <w:r>
        <w:rPr>
          <w:b/>
          <w:bCs/>
        </w:rPr>
        <w:t xml:space="preserve">Purpose-specific DEKs</w:t>
      </w:r>
      <w:r>
        <w:t xml:space="preserve"> </w:t>
      </w:r>
      <w:r>
        <w:t xml:space="preserve">— CHD storage, backup, log encryption, and 3DS session each use distinct DEKs.</w:t>
      </w:r>
    </w:p>
    <w:p>
      <w:pPr>
        <w:pStyle w:val="Compact"/>
        <w:numPr>
          <w:ilvl w:val="0"/>
          <w:numId w:val="1287"/>
        </w:numPr>
      </w:pPr>
      <w:r>
        <w:rPr>
          <w:b/>
          <w:bCs/>
        </w:rPr>
        <w:t xml:space="preserve">No shared keys across environments</w:t>
      </w:r>
      <w:r>
        <w:t xml:space="preserve"> </w:t>
      </w:r>
      <w:r>
        <w:t xml:space="preserve">— dev/staging use separate keys and synthetic data (no real PANs in non-prod).</w:t>
      </w:r>
    </w:p>
    <w:p>
      <w:r>
        <w:pict>
          <v:rect style="width:0;height:1.5pt" o:hralign="center" o:hrstd="t" o:hr="t"/>
        </w:pict>
      </w:r>
    </w:p>
    <w:bookmarkEnd w:id="732"/>
    <w:bookmarkEnd w:id="733"/>
    <w:bookmarkStart w:id="737" w:name="key-rotation"/>
    <w:p>
      <w:pPr>
        <w:pStyle w:val="Heading2"/>
      </w:pPr>
      <w:r>
        <w:t xml:space="preserve">5. Key Rotation</w:t>
      </w:r>
    </w:p>
    <w:bookmarkStart w:id="734" w:name="scheduled-rotation-cryptoperiod"/>
    <w:p>
      <w:pPr>
        <w:pStyle w:val="Heading3"/>
      </w:pPr>
      <w:r>
        <w:t xml:space="preserve">5.1 Scheduled Rotation (Cryptoperiod)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 Type</w:t>
            </w:r>
          </w:p>
        </w:tc>
        <w:tc>
          <w:tcPr/>
          <w:p>
            <w:pPr>
              <w:pStyle w:val="Compact"/>
            </w:pPr>
            <w:r>
              <w:t xml:space="preserve">Normal Cadence</w:t>
            </w:r>
          </w:p>
        </w:tc>
        <w:tc>
          <w:tcPr/>
          <w:p>
            <w:pPr>
              <w:pStyle w:val="Compact"/>
            </w:pPr>
            <w:r>
              <w:t xml:space="preserve">Method</w:t>
            </w:r>
          </w:p>
        </w:tc>
      </w:tr>
      <w:tr>
        <w:tc>
          <w:tcPr/>
          <w:p>
            <w:pPr>
              <w:pStyle w:val="Compact"/>
            </w:pPr>
            <w:r>
              <w:rPr>
                <w:b/>
                <w:bCs/>
              </w:rPr>
              <w:t xml:space="preserve">DEK (CHD)</w:t>
            </w:r>
          </w:p>
        </w:tc>
        <w:tc>
          <w:tcPr/>
          <w:p>
            <w:pPr>
              <w:pStyle w:val="Compact"/>
            </w:pPr>
            <w:r>
              <w:t xml:space="preserve">at least</w:t>
            </w:r>
            <w:r>
              <w:t xml:space="preserve"> </w:t>
            </w:r>
            <w:r>
              <w:rPr>
                <w:b/>
                <w:bCs/>
              </w:rPr>
              <w:t xml:space="preserve">every 12 months</w:t>
            </w:r>
            <w:r>
              <w:t xml:space="preserve"> </w:t>
            </w:r>
            <w:r>
              <w:t xml:space="preserve">or on data-volume threshold</w:t>
            </w:r>
          </w:p>
        </w:tc>
        <w:tc>
          <w:tcPr/>
          <w:p>
            <w:pPr>
              <w:pStyle w:val="Compact"/>
            </w:pPr>
            <w:r>
              <w:t xml:space="preserve">mint new DEK; re-encrypt data (lazy or batch)</w:t>
            </w:r>
          </w:p>
        </w:tc>
      </w:tr>
      <w:tr>
        <w:tc>
          <w:tcPr/>
          <w:p>
            <w:pPr>
              <w:pStyle w:val="Compact"/>
            </w:pPr>
            <w:r>
              <w:rPr>
                <w:b/>
                <w:bCs/>
              </w:rPr>
              <w:t xml:space="preserve">KEK</w:t>
            </w:r>
          </w:p>
        </w:tc>
        <w:tc>
          <w:tcPr/>
          <w:p>
            <w:pPr>
              <w:pStyle w:val="Compact"/>
            </w:pPr>
            <w:r>
              <w:t xml:space="preserve">at least</w:t>
            </w:r>
            <w:r>
              <w:t xml:space="preserve"> </w:t>
            </w:r>
            <w:r>
              <w:rPr>
                <w:b/>
                <w:bCs/>
              </w:rPr>
              <w:t xml:space="preserve">every 12–24 months</w:t>
            </w:r>
          </w:p>
        </w:tc>
        <w:tc>
          <w:tcPr/>
          <w:p>
            <w:pPr>
              <w:pStyle w:val="Compact"/>
            </w:pPr>
            <w:r>
              <w:t xml:space="preserve">re-wrap all DEKs with new KEK inside HSM</w:t>
            </w:r>
          </w:p>
        </w:tc>
      </w:tr>
      <w:tr>
        <w:tc>
          <w:tcPr/>
          <w:p>
            <w:pPr>
              <w:pStyle w:val="Compact"/>
            </w:pPr>
            <w:r>
              <w:rPr>
                <w:b/>
                <w:bCs/>
              </w:rPr>
              <w:t xml:space="preserve">Root/Master Key</w:t>
            </w:r>
          </w:p>
        </w:tc>
        <w:tc>
          <w:tcPr/>
          <w:p>
            <w:pPr>
              <w:pStyle w:val="Compact"/>
            </w:pPr>
            <w:r>
              <w:t xml:space="preserve">every</w:t>
            </w:r>
            <w:r>
              <w:t xml:space="preserve"> </w:t>
            </w:r>
            <w:r>
              <w:rPr>
                <w:b/>
                <w:bCs/>
              </w:rPr>
              <w:t xml:space="preserve">1–2 years</w:t>
            </w:r>
            <w:r>
              <w:t xml:space="preserve"> </w:t>
            </w:r>
            <w:r>
              <w:t xml:space="preserve">or on event (ceremony)</w:t>
            </w:r>
          </w:p>
        </w:tc>
        <w:tc>
          <w:tcPr/>
          <w:p>
            <w:pPr>
              <w:pStyle w:val="Compact"/>
            </w:pPr>
            <w:r>
              <w:t xml:space="preserve">Key Ceremony under Dual Control + Split Knowledge</w:t>
            </w:r>
          </w:p>
        </w:tc>
      </w:tr>
      <w:tr>
        <w:tc>
          <w:tcPr/>
          <w:p>
            <w:pPr>
              <w:pStyle w:val="Compact"/>
            </w:pPr>
            <w:r>
              <w:rPr>
                <w:b/>
                <w:bCs/>
              </w:rPr>
              <w:t xml:space="preserve">TLS/mTLS cert</w:t>
            </w:r>
          </w:p>
        </w:tc>
        <w:tc>
          <w:tcPr/>
          <w:p>
            <w:pPr>
              <w:pStyle w:val="Compact"/>
            </w:pPr>
            <w:r>
              <w:t xml:space="preserve">≤</w:t>
            </w:r>
            <w:r>
              <w:t xml:space="preserve"> </w:t>
            </w:r>
            <w:r>
              <w:rPr>
                <w:b/>
                <w:bCs/>
              </w:rPr>
              <w:t xml:space="preserve">12 months</w:t>
            </w:r>
            <w:r>
              <w:t xml:space="preserve"> </w:t>
            </w:r>
            <w:r>
              <w:t xml:space="preserve">(90 days recommended if automated)</w:t>
            </w:r>
          </w:p>
        </w:tc>
        <w:tc>
          <w:tcPr/>
          <w:p>
            <w:pPr>
              <w:pStyle w:val="Compact"/>
            </w:pPr>
            <w:r>
              <w:t xml:space="preserve">rotate via ACME/internal PKI</w:t>
            </w:r>
          </w:p>
        </w:tc>
      </w:tr>
    </w:tbl>
    <w:bookmarkEnd w:id="734"/>
    <w:bookmarkStart w:id="735" w:name="emergency-rotation-key-compromise"/>
    <w:p>
      <w:pPr>
        <w:pStyle w:val="Heading3"/>
      </w:pPr>
      <w:r>
        <w:t xml:space="preserve">5.2 Emergency Rotation (Key Compromise)</w:t>
      </w:r>
    </w:p>
    <w:p>
      <w:pPr>
        <w:pStyle w:val="FirstParagraph"/>
      </w:pPr>
      <w:r>
        <w:t xml:space="preserve">Rotate immediately when: suspected key leak; a key custodian departs/changes role; algorithm vulnerability; or QSA/BOT directive.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Target SLA</w:t>
            </w:r>
          </w:p>
        </w:tc>
      </w:tr>
      <w:tr>
        <w:tc>
          <w:tcPr/>
          <w:p>
            <w:pPr>
              <w:pStyle w:val="Compact"/>
            </w:pPr>
            <w:r>
              <w:t xml:space="preserve">Declare event + convene emergency Key Ceremony</w:t>
            </w:r>
          </w:p>
        </w:tc>
        <w:tc>
          <w:tcPr/>
          <w:p>
            <w:pPr>
              <w:pStyle w:val="Compact"/>
            </w:pPr>
            <w:r>
              <w:t xml:space="preserve">≤ 4 hours</w:t>
            </w:r>
          </w:p>
        </w:tc>
      </w:tr>
      <w:tr>
        <w:tc>
          <w:tcPr/>
          <w:p>
            <w:pPr>
              <w:pStyle w:val="Compact"/>
            </w:pPr>
            <w:r>
              <w:t xml:space="preserve">Mint new key + re-wrap/re-encrypt</w:t>
            </w:r>
          </w:p>
        </w:tc>
        <w:tc>
          <w:tcPr/>
          <w:p>
            <w:pPr>
              <w:pStyle w:val="Compact"/>
            </w:pPr>
            <w:r>
              <w:t xml:space="preserve">≤ 24 hours (data-volume dependent)</w:t>
            </w:r>
          </w:p>
        </w:tc>
      </w:tr>
      <w:tr>
        <w:tc>
          <w:tcPr/>
          <w:p>
            <w:pPr>
              <w:pStyle w:val="Compact"/>
            </w:pPr>
            <w:r>
              <w:t xml:space="preserve">Retire old key + record</w:t>
            </w:r>
          </w:p>
        </w:tc>
        <w:tc>
          <w:tcPr/>
          <w:p>
            <w:pPr>
              <w:pStyle w:val="Compact"/>
            </w:pPr>
            <w:r>
              <w:t xml:space="preserve">immediately after re-encrypt completes</w:t>
            </w:r>
          </w:p>
        </w:tc>
      </w:tr>
      <w:tr>
        <w:tc>
          <w:tcPr/>
          <w:p>
            <w:pPr>
              <w:pStyle w:val="Compact"/>
            </w:pPr>
            <w:r>
              <w:t xml:space="preserve">Notify PDPC/BOT (if a data breach)</w:t>
            </w:r>
          </w:p>
        </w:tc>
        <w:tc>
          <w:tcPr/>
          <w:p>
            <w:pPr>
              <w:pStyle w:val="Compact"/>
            </w:pPr>
            <w:r>
              <w:t xml:space="preserve">as required (PDPA: within 72 hours)</w:t>
            </w:r>
          </w:p>
        </w:tc>
      </w:tr>
    </w:tbl>
    <w:bookmarkEnd w:id="735"/>
    <w:bookmarkStart w:id="736" w:name="key-retirement-destruction"/>
    <w:p>
      <w:pPr>
        <w:pStyle w:val="Heading3"/>
      </w:pPr>
      <w:r>
        <w:t xml:space="preserve">5.3 Key Retirement &amp; Destruction</w:t>
      </w:r>
    </w:p>
    <w:p>
      <w:pPr>
        <w:pStyle w:val="Compact"/>
        <w:numPr>
          <w:ilvl w:val="0"/>
          <w:numId w:val="1288"/>
        </w:numPr>
      </w:pPr>
      <w:r>
        <w:t xml:space="preserve">Rotated-out keys become</w:t>
      </w:r>
      <w:r>
        <w:t xml:space="preserve"> </w:t>
      </w:r>
      <w:r>
        <w:rPr>
          <w:b/>
          <w:bCs/>
        </w:rPr>
        <w:t xml:space="preserve">retired</w:t>
      </w:r>
      <w:r>
        <w:t xml:space="preserve">, usable only to</w:t>
      </w:r>
      <w:r>
        <w:t xml:space="preserve"> </w:t>
      </w:r>
      <w:r>
        <w:rPr>
          <w:b/>
          <w:bCs/>
        </w:rPr>
        <w:t xml:space="preserve">decrypt legacy data</w:t>
      </w:r>
      <w:r>
        <w:t xml:space="preserve"> </w:t>
      </w:r>
      <w:r>
        <w:t xml:space="preserve">until re-encryption completes.</w:t>
      </w:r>
    </w:p>
    <w:p>
      <w:pPr>
        <w:pStyle w:val="Compact"/>
        <w:numPr>
          <w:ilvl w:val="0"/>
          <w:numId w:val="1288"/>
        </w:numPr>
      </w:pPr>
      <w:r>
        <w:t xml:space="preserve">Once no data references a key →</w:t>
      </w:r>
      <w:r>
        <w:t xml:space="preserve"> </w:t>
      </w:r>
      <w:r>
        <w:rPr>
          <w:b/>
          <w:bCs/>
        </w:rPr>
        <w:t xml:space="preserve">destroy</w:t>
      </w:r>
      <w:r>
        <w:t xml:space="preserve"> </w:t>
      </w:r>
      <w:r>
        <w:t xml:space="preserve">(crypto-shredding) inside the HSM and record in inventory.</w:t>
      </w:r>
    </w:p>
    <w:p>
      <w:pPr>
        <w:pStyle w:val="Compact"/>
        <w:numPr>
          <w:ilvl w:val="0"/>
          <w:numId w:val="1288"/>
        </w:numPr>
      </w:pPr>
      <w:r>
        <w:t xml:space="preserve">Every destruction requires Dual Control and an audit trail.</w:t>
      </w:r>
    </w:p>
    <w:p>
      <w:r>
        <w:pict>
          <v:rect style="width:0;height:1.5pt" o:hralign="center" o:hrstd="t" o:hr="t"/>
        </w:pict>
      </w:r>
    </w:p>
    <w:bookmarkEnd w:id="736"/>
    <w:bookmarkEnd w:id="737"/>
    <w:bookmarkStart w:id="741" w:name="dual-control-split-knowledge"/>
    <w:p>
      <w:pPr>
        <w:pStyle w:val="Heading2"/>
      </w:pPr>
      <w:r>
        <w:t xml:space="preserve">6. Dual Control &amp; Split Knowledge</w:t>
      </w:r>
    </w:p>
    <w:bookmarkStart w:id="738" w:name="principles-pci-dss-req-3.6-3.7-12.3"/>
    <w:p>
      <w:pPr>
        <w:pStyle w:val="Heading3"/>
      </w:pPr>
      <w:r>
        <w:t xml:space="preserve">6.1 Principles (PCI-DSS Req 3.6 / 3.7 / 12.3)</w:t>
      </w:r>
    </w:p>
    <w:p>
      <w:pPr>
        <w:pStyle w:val="Compact"/>
        <w:numPr>
          <w:ilvl w:val="0"/>
          <w:numId w:val="1289"/>
        </w:numPr>
      </w:pPr>
      <w:r>
        <w:rPr>
          <w:b/>
          <w:bCs/>
        </w:rPr>
        <w:t xml:space="preserve">Split Knowledge:</w:t>
      </w:r>
      <w:r>
        <w:t xml:space="preserve"> </w:t>
      </w:r>
      <w:r>
        <w:t xml:space="preserve">the Root/Master Key (or manually loaded KEK) is split into</w:t>
      </w:r>
      <w:r>
        <w:t xml:space="preserve"> </w:t>
      </w:r>
      <w:r>
        <w:rPr>
          <w:b/>
          <w:bCs/>
        </w:rPr>
        <w:t xml:space="preserve">3 key components (shares)</w:t>
      </w:r>
      <w:r>
        <w:t xml:space="preserve"> </w:t>
      </w:r>
      <w:r>
        <w:t xml:space="preserve">via secret sharing (e.g., Shamir</w:t>
      </w:r>
      <w:r>
        <w:t xml:space="preserve"> </w:t>
      </w:r>
      <w:r>
        <w:rPr>
          <w:b/>
          <w:bCs/>
        </w:rPr>
        <w:t xml:space="preserve">2-of-3</w:t>
      </w:r>
      <w:r>
        <w:t xml:space="preserve">) — no one knows the full key.</w:t>
      </w:r>
    </w:p>
    <w:p>
      <w:pPr>
        <w:pStyle w:val="Compact"/>
        <w:numPr>
          <w:ilvl w:val="0"/>
          <w:numId w:val="1289"/>
        </w:numPr>
      </w:pPr>
      <w:r>
        <w:rPr>
          <w:b/>
          <w:bCs/>
        </w:rPr>
        <w:t xml:space="preserve">Dual Control:</w:t>
      </w:r>
      <w:r>
        <w:t xml:space="preserve"> </w:t>
      </w:r>
      <w:r>
        <w:t xml:space="preserve">assembling/using/destroying a key requires at least</w:t>
      </w:r>
      <w:r>
        <w:t xml:space="preserve"> </w:t>
      </w:r>
      <w:r>
        <w:rPr>
          <w:b/>
          <w:bCs/>
        </w:rPr>
        <w:t xml:space="preserve">2 key custodians</w:t>
      </w:r>
      <w:r>
        <w:t xml:space="preserve"> </w:t>
      </w:r>
      <w:r>
        <w:t xml:space="preserve">present together.</w:t>
      </w:r>
    </w:p>
    <w:bookmarkEnd w:id="738"/>
    <w:bookmarkStart w:id="739" w:name="key-custodian-roles"/>
    <w:p>
      <w:pPr>
        <w:pStyle w:val="Heading3"/>
      </w:pPr>
      <w:r>
        <w:t xml:space="preserve">6.2 Key Custodian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Owner</w:t>
            </w:r>
          </w:p>
        </w:tc>
        <w:tc>
          <w:tcPr/>
          <w:p>
            <w:pPr>
              <w:pStyle w:val="Compact"/>
            </w:pPr>
            <w:r>
              <w:t xml:space="preserve">Duty</w:t>
            </w:r>
          </w:p>
        </w:tc>
      </w:tr>
      <w:tr>
        <w:tc>
          <w:tcPr/>
          <w:p>
            <w:pPr>
              <w:pStyle w:val="Compact"/>
            </w:pPr>
            <w:r>
              <w:rPr>
                <w:b/>
                <w:bCs/>
              </w:rPr>
              <w:t xml:space="preserve">Key Custodian A</w:t>
            </w:r>
          </w:p>
        </w:tc>
        <w:tc>
          <w:tcPr/>
          <w:p>
            <w:pPr>
              <w:pStyle w:val="Compact"/>
            </w:pPr>
            <w:r>
              <w:t xml:space="preserve">Security Engineer (DevSecOps)</w:t>
            </w:r>
          </w:p>
        </w:tc>
        <w:tc>
          <w:tcPr/>
          <w:p>
            <w:pPr>
              <w:pStyle w:val="Compact"/>
            </w:pPr>
            <w:r>
              <w:t xml:space="preserve">holds component / smartcard #1 + PIN</w:t>
            </w:r>
          </w:p>
        </w:tc>
      </w:tr>
      <w:tr>
        <w:tc>
          <w:tcPr/>
          <w:p>
            <w:pPr>
              <w:pStyle w:val="Compact"/>
            </w:pPr>
            <w:r>
              <w:rPr>
                <w:b/>
                <w:bCs/>
              </w:rPr>
              <w:t xml:space="preserve">Key Custodian B</w:t>
            </w:r>
          </w:p>
        </w:tc>
        <w:tc>
          <w:tcPr/>
          <w:p>
            <w:pPr>
              <w:pStyle w:val="Compact"/>
            </w:pPr>
            <w:r>
              <w:t xml:space="preserve">SRE/Infra Lead</w:t>
            </w:r>
          </w:p>
        </w:tc>
        <w:tc>
          <w:tcPr/>
          <w:p>
            <w:pPr>
              <w:pStyle w:val="Compact"/>
            </w:pPr>
            <w:r>
              <w:t xml:space="preserve">holds component / smartcard #2 + PIN</w:t>
            </w:r>
          </w:p>
        </w:tc>
      </w:tr>
      <w:tr>
        <w:tc>
          <w:tcPr/>
          <w:p>
            <w:pPr>
              <w:pStyle w:val="Compact"/>
            </w:pPr>
            <w:r>
              <w:rPr>
                <w:b/>
                <w:bCs/>
              </w:rPr>
              <w:t xml:space="preserve">Key Custodian C (backup)</w:t>
            </w:r>
          </w:p>
        </w:tc>
        <w:tc>
          <w:tcPr/>
          <w:p>
            <w:pPr>
              <w:pStyle w:val="Compact"/>
            </w:pPr>
            <w:r>
              <w:t xml:space="preserve">CISO or delegate</w:t>
            </w:r>
          </w:p>
        </w:tc>
        <w:tc>
          <w:tcPr/>
          <w:p>
            <w:pPr>
              <w:pStyle w:val="Compact"/>
            </w:pPr>
            <w:r>
              <w:t xml:space="preserve">holds component #3 (backup, separate safe)</w:t>
            </w:r>
          </w:p>
        </w:tc>
      </w:tr>
      <w:tr>
        <w:tc>
          <w:tcPr/>
          <w:p>
            <w:pPr>
              <w:pStyle w:val="Compact"/>
            </w:pPr>
            <w:r>
              <w:rPr>
                <w:b/>
                <w:bCs/>
              </w:rPr>
              <w:t xml:space="preserve">Ceremony Witness</w:t>
            </w:r>
          </w:p>
        </w:tc>
        <w:tc>
          <w:tcPr/>
          <w:p>
            <w:pPr>
              <w:pStyle w:val="Compact"/>
            </w:pPr>
            <w:r>
              <w:t xml:space="preserve">Internal Audit / Compliance</w:t>
            </w:r>
          </w:p>
        </w:tc>
        <w:tc>
          <w:tcPr/>
          <w:p>
            <w:pPr>
              <w:pStyle w:val="Compact"/>
            </w:pPr>
            <w:r>
              <w:t xml:space="preserve">observes + signs record; holds no component</w:t>
            </w:r>
          </w:p>
        </w:tc>
      </w:tr>
      <w:tr>
        <w:tc>
          <w:tcPr/>
          <w:p>
            <w:pPr>
              <w:pStyle w:val="Compact"/>
            </w:pPr>
            <w:r>
              <w:rPr>
                <w:b/>
                <w:bCs/>
              </w:rPr>
              <w:t xml:space="preserve">Vault/HSM Admin</w:t>
            </w:r>
          </w:p>
        </w:tc>
        <w:tc>
          <w:tcPr/>
          <w:p>
            <w:pPr>
              <w:pStyle w:val="Compact"/>
            </w:pPr>
            <w:r>
              <w:t xml:space="preserve">separate from component holders</w:t>
            </w:r>
          </w:p>
        </w:tc>
        <w:tc>
          <w:tcPr/>
          <w:p>
            <w:pPr>
              <w:pStyle w:val="Compact"/>
            </w:pPr>
            <w:r>
              <w:t xml:space="preserve">performs technical ops but cannot access keys alone</w:t>
            </w:r>
          </w:p>
        </w:tc>
      </w:tr>
    </w:tbl>
    <w:p>
      <w:pPr>
        <w:pStyle w:val="BlockText"/>
      </w:pPr>
      <w:r>
        <w:rPr>
          <w:b/>
          <w:bCs/>
        </w:rPr>
        <w:t xml:space="preserve">Separation of Duties:</w:t>
      </w:r>
      <w:r>
        <w:t xml:space="preserve"> </w:t>
      </w:r>
      <w:r>
        <w:t xml:space="preserve">component holders must</w:t>
      </w:r>
      <w:r>
        <w:t xml:space="preserve"> </w:t>
      </w:r>
      <w:r>
        <w:rPr>
          <w:b/>
          <w:bCs/>
        </w:rPr>
        <w:t xml:space="preserve">not</w:t>
      </w:r>
      <w:r>
        <w:t xml:space="preserve"> </w:t>
      </w:r>
      <w:r>
        <w:t xml:space="preserve">be the HSM Admin, and must sign the key-custodian acknowledgement form per PCI Req 12.3.1.</w:t>
      </w:r>
    </w:p>
    <w:bookmarkEnd w:id="739"/>
    <w:bookmarkStart w:id="740" w:name="key-ceremony"/>
    <w:p>
      <w:pPr>
        <w:pStyle w:val="Heading3"/>
      </w:pPr>
      <w:r>
        <w:t xml:space="preserve">6.3 Key Ceremony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Detail</w:t>
            </w:r>
          </w:p>
        </w:tc>
        <w:tc>
          <w:tcPr/>
          <w:p>
            <w:pPr>
              <w:pStyle w:val="Compact"/>
            </w:pPr>
            <w:r>
              <w:t xml:space="preserve">Control</w:t>
            </w:r>
          </w:p>
        </w:tc>
      </w:tr>
      <w:tr>
        <w:tc>
          <w:tcPr/>
          <w:p>
            <w:pPr>
              <w:pStyle w:val="Compact"/>
            </w:pPr>
            <w:r>
              <w:t xml:space="preserve">1. Prepare</w:t>
            </w:r>
          </w:p>
        </w:tc>
        <w:tc>
          <w:tcPr/>
          <w:p>
            <w:pPr>
              <w:pStyle w:val="Compact"/>
            </w:pPr>
            <w:r>
              <w:t xml:space="preserve">reserve secure room, ready HSM, check smartcards</w:t>
            </w:r>
          </w:p>
        </w:tc>
        <w:tc>
          <w:tcPr/>
          <w:p>
            <w:pPr>
              <w:pStyle w:val="Compact"/>
            </w:pPr>
            <w:r>
              <w:t xml:space="preserve">Dual Control</w:t>
            </w:r>
          </w:p>
        </w:tc>
      </w:tr>
      <w:tr>
        <w:tc>
          <w:tcPr/>
          <w:p>
            <w:pPr>
              <w:pStyle w:val="Compact"/>
            </w:pPr>
            <w:r>
              <w:t xml:space="preserve">2. Authenticate</w:t>
            </w:r>
          </w:p>
        </w:tc>
        <w:tc>
          <w:tcPr/>
          <w:p>
            <w:pPr>
              <w:pStyle w:val="Compact"/>
            </w:pPr>
            <w:r>
              <w:t xml:space="preserve">≥ 2 custodians + witness enter, sign log</w:t>
            </w:r>
          </w:p>
        </w:tc>
        <w:tc>
          <w:tcPr/>
          <w:p>
            <w:pPr>
              <w:pStyle w:val="Compact"/>
            </w:pPr>
            <w:r>
              <w:t xml:space="preserve">MFA + biometric (if available)</w:t>
            </w:r>
          </w:p>
        </w:tc>
      </w:tr>
      <w:tr>
        <w:tc>
          <w:tcPr/>
          <w:p>
            <w:pPr>
              <w:pStyle w:val="Compact"/>
            </w:pPr>
            <w:r>
              <w:t xml:space="preserve">3. Generate/load</w:t>
            </w:r>
          </w:p>
        </w:tc>
        <w:tc>
          <w:tcPr/>
          <w:p>
            <w:pPr>
              <w:pStyle w:val="Compact"/>
            </w:pPr>
            <w:r>
              <w:t xml:space="preserve">HSM generates RK; distribute components</w:t>
            </w:r>
          </w:p>
        </w:tc>
        <w:tc>
          <w:tcPr/>
          <w:p>
            <w:pPr>
              <w:pStyle w:val="Compact"/>
            </w:pPr>
            <w:r>
              <w:t xml:space="preserve">Split Knowledge</w:t>
            </w:r>
          </w:p>
        </w:tc>
      </w:tr>
      <w:tr>
        <w:tc>
          <w:tcPr/>
          <w:p>
            <w:pPr>
              <w:pStyle w:val="Compact"/>
            </w:pPr>
            <w:r>
              <w:t xml:space="preserve">4. Verify (KCV)</w:t>
            </w:r>
          </w:p>
        </w:tc>
        <w:tc>
          <w:tcPr/>
          <w:p>
            <w:pPr>
              <w:pStyle w:val="Compact"/>
            </w:pPr>
            <w:r>
              <w:t xml:space="preserve">check Key Check Value confirms correct load</w:t>
            </w:r>
          </w:p>
        </w:tc>
        <w:tc>
          <w:tcPr/>
          <w:p>
            <w:pPr>
              <w:pStyle w:val="Compact"/>
            </w:pPr>
            <w:r>
              <w:t xml:space="preserve">both parties confirm</w:t>
            </w:r>
          </w:p>
        </w:tc>
      </w:tr>
      <w:tr>
        <w:tc>
          <w:tcPr/>
          <w:p>
            <w:pPr>
              <w:pStyle w:val="Compact"/>
            </w:pPr>
            <w:r>
              <w:t xml:space="preserve">5. Store</w:t>
            </w:r>
          </w:p>
        </w:tc>
        <w:tc>
          <w:tcPr/>
          <w:p>
            <w:pPr>
              <w:pStyle w:val="Compact"/>
            </w:pPr>
            <w:r>
              <w:t xml:space="preserve">components/smartcards in separate safes</w:t>
            </w:r>
          </w:p>
        </w:tc>
        <w:tc>
          <w:tcPr/>
          <w:p>
            <w:pPr>
              <w:pStyle w:val="Compact"/>
            </w:pPr>
            <w:r>
              <w:t xml:space="preserve">tamper-evident bags</w:t>
            </w:r>
          </w:p>
        </w:tc>
      </w:tr>
      <w:tr>
        <w:tc>
          <w:tcPr/>
          <w:p>
            <w:pPr>
              <w:pStyle w:val="Compact"/>
            </w:pPr>
            <w:r>
              <w:t xml:space="preserve">6. Record</w:t>
            </w:r>
          </w:p>
        </w:tc>
        <w:tc>
          <w:tcPr/>
          <w:p>
            <w:pPr>
              <w:pStyle w:val="Compact"/>
            </w:pPr>
            <w:r>
              <w:t xml:space="preserve">ceremony log signed by all + witness</w:t>
            </w:r>
          </w:p>
        </w:tc>
        <w:tc>
          <w:tcPr/>
          <w:p>
            <w:pPr>
              <w:pStyle w:val="Compact"/>
            </w:pPr>
            <w:r>
              <w:t xml:space="preserve">retain ≥ 3 years / per PCI</w:t>
            </w:r>
          </w:p>
        </w:tc>
      </w:tr>
    </w:tbl>
    <w:p>
      <w:r>
        <w:pict>
          <v:rect style="width:0;height:1.5pt" o:hralign="center" o:hrstd="t" o:hr="t"/>
        </w:pict>
      </w:r>
    </w:p>
    <w:bookmarkEnd w:id="740"/>
    <w:bookmarkEnd w:id="741"/>
    <w:bookmarkStart w:id="742" w:name="role-authority-matrix-raci-summary"/>
    <w:p>
      <w:pPr>
        <w:pStyle w:val="Heading2"/>
      </w:pPr>
      <w:r>
        <w:t xml:space="preserve">7. Role &amp; Authority Matrix (RACI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Activity</w:t>
            </w:r>
          </w:p>
        </w:tc>
        <w:tc>
          <w:tcPr/>
          <w:p>
            <w:pPr>
              <w:pStyle w:val="Compact"/>
            </w:pPr>
            <w:r>
              <w:t xml:space="preserve">CISO</w:t>
            </w:r>
          </w:p>
        </w:tc>
        <w:tc>
          <w:tcPr/>
          <w:p>
            <w:pPr>
              <w:pStyle w:val="Compact"/>
            </w:pPr>
            <w:r>
              <w:t xml:space="preserve">Key Custodian</w:t>
            </w:r>
          </w:p>
        </w:tc>
        <w:tc>
          <w:tcPr/>
          <w:p>
            <w:pPr>
              <w:pStyle w:val="Compact"/>
            </w:pPr>
            <w:r>
              <w:t xml:space="preserve">HSM Admin</w:t>
            </w:r>
          </w:p>
        </w:tc>
        <w:tc>
          <w:tcPr/>
          <w:p>
            <w:pPr>
              <w:pStyle w:val="Compact"/>
            </w:pPr>
            <w:r>
              <w:t xml:space="preserve">Internal Audit</w:t>
            </w:r>
          </w:p>
        </w:tc>
        <w:tc>
          <w:tcPr/>
          <w:p>
            <w:pPr>
              <w:pStyle w:val="Compact"/>
            </w:pPr>
            <w:r>
              <w:t xml:space="preserve">Payment Core</w:t>
            </w:r>
          </w:p>
        </w:tc>
      </w:tr>
      <w:tr>
        <w:tc>
          <w:tcPr/>
          <w:p>
            <w:pPr>
              <w:pStyle w:val="Compact"/>
            </w:pPr>
            <w:r>
              <w:t xml:space="preserve">Define key policy</w:t>
            </w:r>
          </w:p>
        </w:tc>
        <w:tc>
          <w:tcPr/>
          <w:p>
            <w:pPr>
              <w:pStyle w:val="Compact"/>
            </w:pPr>
            <w:r>
              <w:rPr>
                <w:b/>
                <w:bCs/>
              </w:rPr>
              <w:t xml:space="preserve">A/R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Key Ceremony</w:t>
            </w:r>
          </w:p>
        </w:tc>
        <w:tc>
          <w:tcPr/>
          <w:p>
            <w:pPr>
              <w:pStyle w:val="Compact"/>
            </w:pPr>
            <w:r>
              <w:t xml:space="preserve">A</w:t>
            </w:r>
          </w:p>
        </w:tc>
        <w:tc>
          <w:tcPr/>
          <w:p>
            <w:pPr>
              <w:pStyle w:val="Compact"/>
            </w:pPr>
            <w:r>
              <w:rPr>
                <w:b/>
                <w:bCs/>
              </w:rPr>
              <w:t xml:space="preserve">R</w:t>
            </w:r>
            <w:r>
              <w:t xml:space="preserve"> </w:t>
            </w:r>
            <w:r>
              <w:t xml:space="preserve">(dual)</w:t>
            </w:r>
          </w:p>
        </w:tc>
        <w:tc>
          <w:tcPr/>
          <w:p>
            <w:pPr>
              <w:pStyle w:val="Compact"/>
            </w:pPr>
            <w:r>
              <w:t xml:space="preserve">C</w:t>
            </w:r>
          </w:p>
        </w:tc>
        <w:tc>
          <w:tcPr/>
          <w:p>
            <w:pPr>
              <w:pStyle w:val="Compact"/>
            </w:pPr>
            <w:r>
              <w:t xml:space="preserve">Witness</w:t>
            </w:r>
          </w:p>
        </w:tc>
        <w:tc>
          <w:tcPr/>
          <w:p>
            <w:pPr>
              <w:pStyle w:val="Compact"/>
            </w:pPr>
            <w:r>
              <w:t xml:space="preserve">—</w:t>
            </w:r>
          </w:p>
        </w:tc>
      </w:tr>
      <w:tr>
        <w:tc>
          <w:tcPr/>
          <w:p>
            <w:pPr>
              <w:pStyle w:val="Compact"/>
            </w:pPr>
            <w:r>
              <w:t xml:space="preserve">Scheduled rotation</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Emergency rotation</w:t>
            </w:r>
          </w:p>
        </w:tc>
        <w:tc>
          <w:tcPr/>
          <w:p>
            <w:pPr>
              <w:pStyle w:val="Compact"/>
            </w:pPr>
            <w:r>
              <w:rPr>
                <w:b/>
                <w:bCs/>
              </w:rPr>
              <w:t xml:space="preserve">A</w:t>
            </w:r>
          </w:p>
        </w:tc>
        <w:tc>
          <w:tcPr/>
          <w:p>
            <w:pPr>
              <w:pStyle w:val="Compact"/>
            </w:pPr>
            <w:r>
              <w:t xml:space="preserve">R</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Detokenize (runtime)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I (audit)</w:t>
            </w:r>
          </w:p>
        </w:tc>
        <w:tc>
          <w:tcPr/>
          <w:p>
            <w:pPr>
              <w:pStyle w:val="Compact"/>
            </w:pPr>
            <w:r>
              <w:rPr>
                <w:b/>
                <w:bCs/>
              </w:rPr>
              <w:t xml:space="preserve">R</w:t>
            </w:r>
            <w:r>
              <w:t xml:space="preserve"> </w:t>
            </w:r>
            <w:r>
              <w:t xml:space="preserve">(scoped)</w:t>
            </w:r>
          </w:p>
        </w:tc>
      </w:tr>
      <w:tr>
        <w:tc>
          <w:tcPr/>
          <w:p>
            <w:pPr>
              <w:pStyle w:val="Compact"/>
            </w:pPr>
            <w:r>
              <w:t xml:space="preserve">Key destruction</w:t>
            </w:r>
          </w:p>
        </w:tc>
        <w:tc>
          <w:tcPr/>
          <w:p>
            <w:pPr>
              <w:pStyle w:val="Compact"/>
            </w:pPr>
            <w:r>
              <w:t xml:space="preserve">A</w:t>
            </w:r>
          </w:p>
        </w:tc>
        <w:tc>
          <w:tcPr/>
          <w:p>
            <w:pPr>
              <w:pStyle w:val="Compact"/>
            </w:pPr>
            <w:r>
              <w:rPr>
                <w:b/>
                <w:bCs/>
              </w:rPr>
              <w:t xml:space="preserve">R</w:t>
            </w:r>
            <w:r>
              <w:t xml:space="preserve"> </w:t>
            </w:r>
            <w:r>
              <w:t xml:space="preserve">(dual)</w:t>
            </w:r>
          </w:p>
        </w:tc>
        <w:tc>
          <w:tcPr/>
          <w:p>
            <w:pPr>
              <w:pStyle w:val="Compact"/>
            </w:pPr>
            <w:r>
              <w:t xml:space="preserve">R</w:t>
            </w:r>
          </w:p>
        </w:tc>
        <w:tc>
          <w:tcPr/>
          <w:p>
            <w:pPr>
              <w:pStyle w:val="Compact"/>
            </w:pPr>
            <w:r>
              <w:t xml:space="preserve">Witness</w:t>
            </w:r>
          </w:p>
        </w:tc>
        <w:tc>
          <w:tcPr/>
          <w:p>
            <w:pPr>
              <w:pStyle w:val="Compact"/>
            </w:pPr>
            <w:r>
              <w:t xml:space="preserve">—</w:t>
            </w:r>
          </w:p>
        </w:tc>
      </w:tr>
    </w:tbl>
    <w:p>
      <w:pPr>
        <w:pStyle w:val="BodyText"/>
      </w:pPr>
      <w:r>
        <w:t xml:space="preserve">(A=Accountable, R=Responsible, C=Consulted, I=Informed)</w:t>
      </w:r>
    </w:p>
    <w:p>
      <w:r>
        <w:pict>
          <v:rect style="width:0;height:1.5pt" o:hralign="center" o:hrstd="t" o:hr="t"/>
        </w:pict>
      </w:r>
    </w:p>
    <w:bookmarkEnd w:id="742"/>
    <w:bookmarkStart w:id="743" w:name="supporting-controls"/>
    <w:p>
      <w:pPr>
        <w:pStyle w:val="Heading2"/>
      </w:pPr>
      <w:r>
        <w:t xml:space="preserve">8. Supporting Controls</w:t>
      </w:r>
    </w:p>
    <w:p>
      <w:pPr>
        <w:pStyle w:val="Compact"/>
        <w:numPr>
          <w:ilvl w:val="0"/>
          <w:numId w:val="1290"/>
        </w:numPr>
      </w:pPr>
      <w:r>
        <w:rPr>
          <w:b/>
          <w:bCs/>
        </w:rPr>
        <w:t xml:space="preserve">Encryption in transit:</w:t>
      </w:r>
      <w:r>
        <w:t xml:space="preserve"> </w:t>
      </w:r>
      <w:r>
        <w:t xml:space="preserve">TLS 1.2+ on all external channels; mTLS between payment core ↔ Vault (PCI Req 4).</w:t>
      </w:r>
    </w:p>
    <w:p>
      <w:pPr>
        <w:pStyle w:val="Compact"/>
        <w:numPr>
          <w:ilvl w:val="0"/>
          <w:numId w:val="1290"/>
        </w:numPr>
      </w:pPr>
      <w:r>
        <w:rPr>
          <w:b/>
          <w:bCs/>
        </w:rPr>
        <w:t xml:space="preserve">Access control:</w:t>
      </w:r>
      <w:r>
        <w:t xml:space="preserve"> </w:t>
      </w:r>
      <w:r>
        <w:t xml:space="preserve">RBAC + least privilege; MFA mandatory for Vault/HSM/KMS access (PCI Req 7–8).</w:t>
      </w:r>
    </w:p>
    <w:p>
      <w:pPr>
        <w:pStyle w:val="Compact"/>
        <w:numPr>
          <w:ilvl w:val="0"/>
          <w:numId w:val="1290"/>
        </w:numPr>
      </w:pPr>
      <w:r>
        <w:rPr>
          <w:b/>
          <w:bCs/>
        </w:rPr>
        <w:t xml:space="preserve">Logging:</w:t>
      </w:r>
      <w:r>
        <w:t xml:space="preserve"> </w:t>
      </w:r>
      <w:r>
        <w:t xml:space="preserve">every key operation and detokenize writes append-only</w:t>
      </w:r>
      <w:r>
        <w:t xml:space="preserve"> </w:t>
      </w:r>
      <w:r>
        <w:rPr>
          <w:rStyle w:val="VerbatimChar"/>
        </w:rPr>
        <w:t xml:space="preserve">audit_log</w:t>
      </w:r>
      <w:r>
        <w:t xml:space="preserve">;</w:t>
      </w:r>
      <w:r>
        <w:t xml:space="preserve"> </w:t>
      </w:r>
      <w:r>
        <w:rPr>
          <w:b/>
          <w:bCs/>
        </w:rPr>
        <w:t xml:space="preserve">never log plaintext PAN/DEK</w:t>
      </w:r>
      <w:r>
        <w:t xml:space="preserve"> </w:t>
      </w:r>
      <w:r>
        <w:t xml:space="preserve">(PCI Req 10).</w:t>
      </w:r>
    </w:p>
    <w:p>
      <w:pPr>
        <w:pStyle w:val="Compact"/>
        <w:numPr>
          <w:ilvl w:val="0"/>
          <w:numId w:val="1290"/>
        </w:numPr>
      </w:pPr>
      <w:r>
        <w:rPr>
          <w:b/>
          <w:bCs/>
        </w:rPr>
        <w:t xml:space="preserve">Key inventory:</w:t>
      </w:r>
      <w:r>
        <w:t xml:space="preserve"> </w:t>
      </w:r>
      <w:r>
        <w:t xml:space="preserve">central register (key ID, type, status, created/rotated/retired dates, custodian), reviewed quarterly.</w:t>
      </w:r>
    </w:p>
    <w:p>
      <w:pPr>
        <w:pStyle w:val="Compact"/>
        <w:numPr>
          <w:ilvl w:val="0"/>
          <w:numId w:val="1290"/>
        </w:numPr>
      </w:pPr>
      <w:r>
        <w:rPr>
          <w:b/>
          <w:bCs/>
        </w:rPr>
        <w:t xml:space="preserve">HSM HA/DR:</w:t>
      </w:r>
      <w:r>
        <w:t xml:space="preserve"> </w:t>
      </w:r>
      <w:r>
        <w:t xml:space="preserve">dual HSM (active-active or active-standby) with secure key backup across in-Thailand DCs (data residency) — supporting RPO ≤ 5 min / RTO ≤ 30 min per</w:t>
      </w:r>
      <w:r>
        <w:t xml:space="preserve"> </w:t>
      </w:r>
      <w:r>
        <w:rPr>
          <w:rStyle w:val="VerbatimChar"/>
        </w:rPr>
        <w:t xml:space="preserve">ARCHITECTURE.md</w:t>
      </w:r>
      <w:r>
        <w:t xml:space="preserve">.</w:t>
      </w:r>
    </w:p>
    <w:p>
      <w:pPr>
        <w:pStyle w:val="Compact"/>
        <w:numPr>
          <w:ilvl w:val="0"/>
          <w:numId w:val="1290"/>
        </w:numPr>
      </w:pPr>
      <w:r>
        <w:rPr>
          <w:b/>
          <w:bCs/>
        </w:rPr>
        <w:t xml:space="preserve">Testing:</w:t>
      </w:r>
      <w:r>
        <w:t xml:space="preserve"> </w:t>
      </w:r>
      <w:r>
        <w:t xml:space="preserve">exercise key recovery/DR at least annually; include in quarterly ASV scan + annual pentest scope.</w:t>
      </w:r>
    </w:p>
    <w:p>
      <w:r>
        <w:pict>
          <v:rect style="width:0;height:1.5pt" o:hralign="center" o:hrstd="t" o:hr="t"/>
        </w:pict>
      </w:r>
    </w:p>
    <w:bookmarkEnd w:id="743"/>
    <w:bookmarkStart w:id="744" w:name="assumptions-todo-6"/>
    <w:p>
      <w:pPr>
        <w:pStyle w:val="Heading2"/>
      </w:pPr>
      <w:r>
        <w:t xml:space="preserve">9. Assumptions / TODO</w:t>
      </w:r>
    </w:p>
    <w:p>
      <w:pPr>
        <w:pStyle w:val="BlockText"/>
      </w:pPr>
      <w:r>
        <w:rPr>
          <w:b/>
          <w:bCs/>
        </w:rPr>
        <w:t xml:space="preserve">[TODO / Assumption]</w:t>
      </w:r>
      <w:r>
        <w:t xml:space="preserve"> </w:t>
      </w:r>
      <w:r>
        <w:t xml:space="preserve">The following remain dependent on unresolved external factors — stated as assumptions, not confirmed facts:</w:t>
      </w:r>
      <w:r>
        <w:t xml:space="preserve"> </w:t>
      </w:r>
      <w:r>
        <w:t xml:space="preserve">1.</w:t>
      </w:r>
      <w:r>
        <w:t xml:space="preserve"> </w:t>
      </w:r>
      <w:r>
        <w:rPr>
          <w:b/>
          <w:bCs/>
        </w:rPr>
        <w:t xml:space="preserve">Actual HSM/KMS provider</w:t>
      </w:r>
      <w:r>
        <w:t xml:space="preserve"> </w:t>
      </w:r>
      <w:r>
        <w:t xml:space="preserve">(cloud KMS + CloudHSM, or on-prem HSM brand) is not finalized — confirm FIPS 140-2 L3/140-3 support and in-Thailand data residency.</w:t>
      </w:r>
      <w:r>
        <w:t xml:space="preserve"> </w:t>
      </w:r>
      <w:r>
        <w:t xml:space="preserve">2.</w:t>
      </w:r>
      <w:r>
        <w:t xml:space="preserve"> </w:t>
      </w:r>
      <w:r>
        <w:rPr>
          <w:b/>
          <w:bCs/>
        </w:rPr>
        <w:t xml:space="preserve">QSA vendor</w:t>
      </w:r>
      <w:r>
        <w:t xml:space="preserve"> </w:t>
      </w:r>
      <w:r>
        <w:t xml:space="preserve">for PCI-DSS Level 1 RoC is not yet contracted — parameters (rotation cadence, k-of-n) must be endorsed by the QSA.</w:t>
      </w:r>
      <w:r>
        <w:t xml:space="preserve"> </w:t>
      </w:r>
      <w:r>
        <w:t xml:space="preserve">3.</w:t>
      </w:r>
      <w:r>
        <w:t xml:space="preserve"> </w:t>
      </w:r>
      <w:r>
        <w:rPr>
          <w:b/>
          <w:bCs/>
        </w:rPr>
        <w:t xml:space="preserve">Sponsor bank / card scheme</w:t>
      </w:r>
      <w:r>
        <w:t xml:space="preserve"> </w:t>
      </w:r>
      <w:r>
        <w:t xml:space="preserve">(Visa/Mastercard) may impose additional token/BIN and key-management requirements to align.</w:t>
      </w:r>
      <w:r>
        <w:t xml:space="preserve"> </w:t>
      </w:r>
      <w:r>
        <w:t xml:space="preserve">4.</w:t>
      </w:r>
      <w:r>
        <w:t xml:space="preserve"> </w:t>
      </w:r>
      <w:r>
        <w:rPr>
          <w:b/>
          <w:bCs/>
        </w:rPr>
        <w:t xml:space="preserve">Paid-up capital of THB 50M</w:t>
      </w:r>
      <w:r>
        <w:t xml:space="preserve"> </w:t>
      </w:r>
      <w:r>
        <w:t xml:space="preserve">reflects the Acquiring threshold — confirm actual capital status with Finance/registration.</w:t>
      </w:r>
      <w:r>
        <w:t xml:space="preserve"> </w:t>
      </w:r>
      <w:r>
        <w:t xml:space="preserve">5. The exact latest BOT IT-risk/cyber-resilience notification number/year must be confirmed by legal counsel.</w:t>
      </w:r>
    </w:p>
    <w:p>
      <w:r>
        <w:br w:type="page"/>
      </w:r>
    </w:p>
    <w:bookmarkEnd w:id="744"/>
    <w:bookmarkEnd w:id="745"/>
    <w:bookmarkStart w:id="765" w:name="กลยทธการยนยนตวตน-3-d-secure-2.x-ไทย"/>
    <w:p>
      <w:pPr>
        <w:pStyle w:val="Heading1"/>
      </w:pPr>
      <w:r>
        <w:t xml:space="preserve">กลยุทธ์การยืนยันตัวตน 3-D Secure 2.x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(Acquiring)</w:t>
      </w:r>
      <w:r>
        <w:t xml:space="preserve"> </w:t>
      </w:r>
      <w:r>
        <w:t xml:space="preserve">ต่อธนาคารแห่งประเทศไทย (ธปท.) ภายใต้</w:t>
      </w:r>
      <w:r>
        <w:t xml:space="preserve"> </w:t>
      </w:r>
      <w:r>
        <w:rPr>
          <w:b/>
          <w:bCs/>
        </w:rPr>
        <w:t xml:space="preserve">พ.ร.บ. ระบบการชำระเงิน พ.ศ. 2560</w:t>
      </w:r>
      <w:r>
        <w:t xml:space="preserve"> </w:t>
      </w:r>
      <w:r>
        <w:t xml:space="preserve">และมาตรฐาน</w:t>
      </w:r>
      <w:r>
        <w:t xml:space="preserve"> </w:t>
      </w:r>
      <w:r>
        <w:rPr>
          <w:b/>
          <w:bCs/>
        </w:rPr>
        <w:t xml:space="preserve">PCI-DSS v4.0 Level 1</w:t>
      </w:r>
      <w:r>
        <w:t xml:space="preserve"> </w:t>
      </w:r>
      <w:r>
        <w:t xml:space="preserve">จัดทำโดย</w:t>
      </w:r>
      <w:r>
        <w:t xml:space="preserve"> </w:t>
      </w:r>
      <w:r>
        <w:rPr>
          <w:b/>
          <w:bCs/>
        </w:rPr>
        <w:t xml:space="preserve">[บริษัท / Company]</w:t>
      </w:r>
      <w:r>
        <w:t xml:space="preserve"> </w:t>
      </w:r>
      <w:r>
        <w:t xml:space="preserve">· เวอร์ชัน 0.1 · วันที่จัดทำ: 2026-07-22</w:t>
      </w:r>
      <w:r>
        <w:t xml:space="preserve"> </w:t>
      </w:r>
      <w:r>
        <w:t xml:space="preserve">เอกสารอ้างอิงภายในชุด:</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p>
    <w:p>
      <w:pPr>
        <w:pStyle w:val="BlockText"/>
      </w:pPr>
      <w:r>
        <w:rPr>
          <w:b/>
          <w:bCs/>
        </w:rPr>
        <w:t xml:space="preserve">ข้อจำกัด:</w:t>
      </w:r>
      <w:r>
        <w:t xml:space="preserve"> </w:t>
      </w:r>
      <w:r>
        <w:t xml:space="preserve">เอกสารนี้เป็นข้อมูลอ้างอิงเชิงเทคนิค/ปฏิบัติการ ไม่ใช่คำแนะนำทางกฎหมาย</w:t>
      </w:r>
      <w:r>
        <w:t xml:space="preserve"> </w:t>
      </w:r>
      <w:r>
        <w:t xml:space="preserve">เกณฑ์ exemption และ liability shift อ้างอิงกฎ scheme (Visa/Mastercard) ซึ่งอาจปรับปรุงได้</w:t>
      </w:r>
      <w:r>
        <w:t xml:space="preserve"> </w:t>
      </w:r>
      <w:r>
        <w:t xml:space="preserve">ต้องยืนยันกับ sponsor bank และ QSA ก่อนใช้จริง (ดูกล่อง ASSUMPTIONS / TODO ท้ายเอกสาร)</w:t>
      </w:r>
    </w:p>
    <w:p>
      <w:r>
        <w:pict>
          <v:rect style="width:0;height:1.5pt" o:hralign="center" o:hrstd="t" o:hr="t"/>
        </w:pict>
      </w:r>
    </w:p>
    <w:bookmarkStart w:id="746" w:name="วตถประสงคและขอบเขต-7"/>
    <w:p>
      <w:pPr>
        <w:pStyle w:val="Heading2"/>
      </w:pPr>
      <w:r>
        <w:t xml:space="preserve">1. วัตถุประสงค์และขอบเขต</w:t>
      </w:r>
    </w:p>
    <w:p>
      <w:pPr>
        <w:pStyle w:val="FirstParagraph"/>
      </w:pPr>
      <w:r>
        <w:rPr>
          <w:b/>
          <w:bCs/>
        </w:rPr>
        <w:t xml:space="preserve">3-D Secure 2.x (EMV 3DS)</w:t>
      </w:r>
      <w:r>
        <w:t xml:space="preserve"> </w:t>
      </w:r>
      <w:r>
        <w:t xml:space="preserve">คือโปรโตคอลยืนยันตัวตนผู้ถือบัตร (cardholder authentication) สำหรับธุรกรรม</w:t>
      </w:r>
      <w:r>
        <w:t xml:space="preserve"> </w:t>
      </w:r>
      <w:r>
        <w:t xml:space="preserve">Card-Not-Present (CNP) — เว็บ, in-app, และ recurring — เพื่อ (1) ลดการฉ้อโกง (fraud), (2) ย้ายความรับผิดชอบ</w:t>
      </w:r>
      <w:r>
        <w:t xml:space="preserve"> </w:t>
      </w:r>
      <w:r>
        <w:t xml:space="preserve">กรณี fraud chargeback ไปยัง issuer (</w:t>
      </w:r>
      <w:r>
        <w:rPr>
          <w:b/>
          <w:bCs/>
        </w:rPr>
        <w:t xml:space="preserve">liability shift</w:t>
      </w:r>
      <w:r>
        <w:t xml:space="preserve">), และ (3) รองรับ</w:t>
      </w:r>
      <w:r>
        <w:t xml:space="preserve"> </w:t>
      </w:r>
      <w:r>
        <w:rPr>
          <w:b/>
          <w:bCs/>
        </w:rPr>
        <w:t xml:space="preserve">frictionless flow</w:t>
      </w:r>
      <w:r>
        <w:t xml:space="preserve"> </w:t>
      </w:r>
      <w:r>
        <w:t xml:space="preserve">ที่ลด abandonment</w:t>
      </w:r>
      <w:r>
        <w:t xml:space="preserve"> </w:t>
      </w:r>
      <w:r>
        <w:t xml:space="preserve">โดยใช้ข้อมูลอุปกรณ์/บริบทกว่า 100 ตัวแปรในการประเมินความเสี่ยง (Risk-Based Authentication, RBA)</w:t>
      </w:r>
    </w:p>
    <w:p>
      <w:pPr>
        <w:pStyle w:val="BodyText"/>
      </w:pPr>
      <w:r>
        <w:rPr>
          <w:b/>
          <w:bCs/>
        </w:rPr>
        <w:t xml:space="preserve">ขอบเขตของกลยุทธ์นี้ครอบคลุม:</w:t>
      </w:r>
      <w:r>
        <w:t xml:space="preserve"> </w:t>
      </w:r>
      <w:r>
        <w:t xml:space="preserve">- เกณฑ์ว่าเมื่อใด 3DS</w:t>
      </w:r>
      <w:r>
        <w:t xml:space="preserve"> </w:t>
      </w:r>
      <w:r>
        <w:rPr>
          <w:b/>
          <w:bCs/>
        </w:rPr>
        <w:t xml:space="preserve">บังคับ / แนะนำ / ยกเว้นได้</w:t>
      </w:r>
      <w:r>
        <w:t xml:space="preserve"> </w:t>
      </w:r>
      <w:r>
        <w:t xml:space="preserve">- ประเภท exemption และเงื่อนไขการใช้</w:t>
      </w:r>
      <w:r>
        <w:t xml:space="preserve"> </w:t>
      </w:r>
      <w:r>
        <w:t xml:space="preserve">- Challenge flow (frictionless vs challenge) และ SLA</w:t>
      </w:r>
      <w:r>
        <w:t xml:space="preserve"> </w:t>
      </w:r>
      <w:r>
        <w:t xml:space="preserve">- กลไก liability shift และผลต่อ dispute/chargeback</w:t>
      </w:r>
      <w:r>
        <w:t xml:space="preserve"> </w:t>
      </w:r>
      <w:r>
        <w:t xml:space="preserve">- บทบาทหน้าที่ (RACI), ตัวชี้วัด (KPI), และแผน rollout ตาม</w:t>
      </w:r>
      <w:r>
        <w:t xml:space="preserve"> </w:t>
      </w:r>
      <w:r>
        <w:rPr>
          <w:rStyle w:val="VerbatimChar"/>
        </w:rPr>
        <w:t xml:space="preserve">ROADMAP.md</w:t>
      </w:r>
      <w:r>
        <w:t xml:space="preserve"> </w:t>
      </w:r>
      <w:r>
        <w:t xml:space="preserve">(Phase 2 — Security &amp; 3DS)</w:t>
      </w:r>
    </w:p>
    <w:p>
      <w:pPr>
        <w:pStyle w:val="BodyText"/>
      </w:pPr>
      <w:r>
        <w:rPr>
          <w:b/>
          <w:bCs/>
        </w:rPr>
        <w:t xml:space="preserve">สอดคล้องกับสถาปัตยกรรม:</w:t>
      </w:r>
      <w:r>
        <w:t xml:space="preserve"> </w:t>
      </w:r>
      <w:r>
        <w:t xml:space="preserve">3DS ทำงานผ่านชั้น</w:t>
      </w:r>
      <w:r>
        <w:t xml:space="preserve"> </w:t>
      </w:r>
      <w:r>
        <w:rPr>
          <w:rStyle w:val="VerbatimChar"/>
        </w:rPr>
        <w:t xml:space="preserve">3DS Adapter</w:t>
      </w:r>
      <w:r>
        <w:t xml:space="preserve"> </w:t>
      </w:r>
      <w:r>
        <w:t xml:space="preserve">(</w:t>
      </w:r>
      <w:r>
        <w:rPr>
          <w:rStyle w:val="VerbatimChar"/>
        </w:rPr>
        <w:t xml:space="preserve">internal/external</w:t>
      </w:r>
      <w:r>
        <w:t xml:space="preserve"> </w:t>
      </w:r>
      <w:r>
        <w:t xml:space="preserve">+</w:t>
      </w:r>
      <w:r>
        <w:t xml:space="preserve"> </w:t>
      </w:r>
      <w:r>
        <w:rPr>
          <w:rStyle w:val="VerbatimChar"/>
        </w:rPr>
        <w:t xml:space="preserve">internal/pkg/threeds</w:t>
      </w:r>
      <w:r>
        <w:t xml:space="preserve">)</w:t>
      </w:r>
      <w:r>
        <w:t xml:space="preserve"> </w:t>
      </w:r>
      <w:r>
        <w:t xml:space="preserve">ตาม</w:t>
      </w:r>
      <w:r>
        <w:t xml:space="preserve"> </w:t>
      </w:r>
      <w:r>
        <w:rPr>
          <w:rStyle w:val="VerbatimChar"/>
        </w:rPr>
        <w:t xml:space="preserve">ARCHITECTURE.md</w:t>
      </w:r>
      <w:r>
        <w:t xml:space="preserve"> </w:t>
      </w:r>
      <w:r>
        <w:t xml:space="preserve">ข้อ 4 และ transaction flow ข้อ 5.1 (ขั้นตอน</w:t>
      </w:r>
      <w:r>
        <w:t xml:space="preserve"> </w:t>
      </w:r>
      <w:r>
        <w:rPr>
          <w:rStyle w:val="VerbatimChar"/>
        </w:rPr>
        <w:t xml:space="preserve">requires_action</w:t>
      </w:r>
      <w:r>
        <w:t xml:space="preserve"> </w:t>
      </w:r>
      <w:r>
        <w:t xml:space="preserve">→</w:t>
      </w:r>
      <w:r>
        <w:t xml:space="preserve"> </w:t>
      </w:r>
      <w:r>
        <w:rPr>
          <w:rStyle w:val="VerbatimChar"/>
        </w:rPr>
        <w:t xml:space="preserve">next_action_url</w:t>
      </w:r>
      <w:r>
        <w:t xml:space="preserve">)</w:t>
      </w:r>
    </w:p>
    <w:p>
      <w:r>
        <w:pict>
          <v:rect style="width:0;height:1.5pt" o:hralign="center" o:hrstd="t" o:hr="t"/>
        </w:pict>
      </w:r>
    </w:p>
    <w:bookmarkEnd w:id="746"/>
    <w:bookmarkStart w:id="747" w:name="องคประกอบและบทบาทในระบบ-3ds-2.x"/>
    <w:p>
      <w:pPr>
        <w:pStyle w:val="Heading2"/>
      </w:pPr>
      <w:r>
        <w:t xml:space="preserve">2. องค์ประกอบและบทบาทในระบบ 3DS 2.x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องค์ประกอบ (EMV 3DS)</w:t>
            </w:r>
          </w:p>
        </w:tc>
        <w:tc>
          <w:tcPr/>
          <w:p>
            <w:pPr>
              <w:pStyle w:val="Compact"/>
            </w:pPr>
            <w:r>
              <w:t xml:space="preserve">หน้าที่</w:t>
            </w:r>
          </w:p>
        </w:tc>
        <w:tc>
          <w:tcPr/>
          <w:p>
            <w:pPr>
              <w:pStyle w:val="Compact"/>
            </w:pPr>
            <w:r>
              <w:t xml:space="preserve">ใครดูแลในบริบทเรา</w:t>
            </w:r>
          </w:p>
        </w:tc>
      </w:tr>
      <w:tr>
        <w:tc>
          <w:tcPr/>
          <w:p>
            <w:pPr>
              <w:pStyle w:val="Compact"/>
            </w:pPr>
            <w:r>
              <w:rPr>
                <w:b/>
                <w:bCs/>
              </w:rPr>
              <w:t xml:space="preserve">3DS Server (3DSS)</w:t>
            </w:r>
          </w:p>
        </w:tc>
        <w:tc>
          <w:tcPr/>
          <w:p>
            <w:pPr>
              <w:pStyle w:val="Compact"/>
            </w:pPr>
            <w:r>
              <w:t xml:space="preserve">ริเริ่ม authentication, รวบรวมข้อมูลอุปกรณ์/ธุรกรรม, คุย DS</w:t>
            </w:r>
          </w:p>
        </w:tc>
        <w:tc>
          <w:tcPr/>
          <w:p>
            <w:pPr>
              <w:pStyle w:val="Compact"/>
            </w:pPr>
            <w:r>
              <w:rPr>
                <w:b/>
                <w:bCs/>
              </w:rPr>
              <w:t xml:space="preserve">[บริษัท / Company]</w:t>
            </w:r>
            <w:r>
              <w:t xml:space="preserve"> </w:t>
            </w:r>
            <w:r>
              <w:t xml:space="preserve">ผ่าน 3DS Adapter (หรือใช้ผู้ให้บริการ 3DS Server — ดู TODO)</w:t>
            </w:r>
          </w:p>
        </w:tc>
      </w:tr>
      <w:tr>
        <w:tc>
          <w:tcPr/>
          <w:p>
            <w:pPr>
              <w:pStyle w:val="Compact"/>
            </w:pPr>
            <w:r>
              <w:rPr>
                <w:b/>
                <w:bCs/>
              </w:rPr>
              <w:t xml:space="preserve">Directory Server (DS)</w:t>
            </w:r>
          </w:p>
        </w:tc>
        <w:tc>
          <w:tcPr/>
          <w:p>
            <w:pPr>
              <w:pStyle w:val="Compact"/>
            </w:pPr>
            <w:r>
              <w:t xml:space="preserve">สวิตช์กลางของ scheme (Visa, Mastercard) กำหนดเส้นทางไป ACS</w:t>
            </w:r>
          </w:p>
        </w:tc>
        <w:tc>
          <w:tcPr/>
          <w:p>
            <w:pPr>
              <w:pStyle w:val="Compact"/>
            </w:pPr>
            <w:r>
              <w:t xml:space="preserve">Card scheme</w:t>
            </w:r>
          </w:p>
        </w:tc>
      </w:tr>
      <w:tr>
        <w:tc>
          <w:tcPr/>
          <w:p>
            <w:pPr>
              <w:pStyle w:val="Compact"/>
            </w:pPr>
            <w:r>
              <w:rPr>
                <w:b/>
                <w:bCs/>
              </w:rPr>
              <w:t xml:space="preserve">Access Control Server (ACS)</w:t>
            </w:r>
          </w:p>
        </w:tc>
        <w:tc>
          <w:tcPr/>
          <w:p>
            <w:pPr>
              <w:pStyle w:val="Compact"/>
            </w:pPr>
            <w:r>
              <w:t xml:space="preserve">ของ issuer ตัดสิน frictionless/challenge และทำ challenge</w:t>
            </w:r>
          </w:p>
        </w:tc>
        <w:tc>
          <w:tcPr/>
          <w:p>
            <w:pPr>
              <w:pStyle w:val="Compact"/>
            </w:pPr>
            <w:r>
              <w:t xml:space="preserve">Issuing bank</w:t>
            </w:r>
          </w:p>
        </w:tc>
      </w:tr>
      <w:tr>
        <w:tc>
          <w:tcPr/>
          <w:p>
            <w:pPr>
              <w:pStyle w:val="Compact"/>
            </w:pPr>
            <w:r>
              <w:rPr>
                <w:b/>
                <w:bCs/>
              </w:rPr>
              <w:t xml:space="preserve">3DS SDK</w:t>
            </w:r>
          </w:p>
        </w:tc>
        <w:tc>
          <w:tcPr/>
          <w:p>
            <w:pPr>
              <w:pStyle w:val="Compact"/>
            </w:pPr>
            <w:r>
              <w:t xml:space="preserve">สำหรับ in-app (mobile) เก็บ device data</w:t>
            </w:r>
          </w:p>
        </w:tc>
        <w:tc>
          <w:tcPr/>
          <w:p>
            <w:pPr>
              <w:pStyle w:val="Compact"/>
            </w:pPr>
            <w:r>
              <w:t xml:space="preserve">ฝัง SDK ในแอป merchant / SDK ของผู้ให้บริการ</w:t>
            </w:r>
          </w:p>
        </w:tc>
      </w:tr>
      <w:tr>
        <w:tc>
          <w:tcPr/>
          <w:p>
            <w:pPr>
              <w:pStyle w:val="Compact"/>
            </w:pPr>
            <w:r>
              <w:rPr>
                <w:b/>
                <w:bCs/>
              </w:rPr>
              <w:t xml:space="preserve">3DS Requestor</w:t>
            </w:r>
          </w:p>
        </w:tc>
        <w:tc>
          <w:tcPr/>
          <w:p>
            <w:pPr>
              <w:pStyle w:val="Compact"/>
            </w:pPr>
            <w:r>
              <w:t xml:space="preserve">merchant ที่ริเริ่มธุรกรรม</w:t>
            </w:r>
          </w:p>
        </w:tc>
        <w:tc>
          <w:tcPr/>
          <w:p>
            <w:pPr>
              <w:pStyle w:val="Compact"/>
            </w:pPr>
            <w:r>
              <w:t xml:space="preserve">Merchant (ผ่าน API ของเรา)</w:t>
            </w:r>
          </w:p>
        </w:tc>
      </w:tr>
    </w:tbl>
    <w:p>
      <w:pPr>
        <w:pStyle w:val="BodyText"/>
      </w:pPr>
      <w:r>
        <w:rPr>
          <w:b/>
          <w:bCs/>
        </w:rPr>
        <w:t xml:space="preserve">เวอร์ชันโปรโตคอล:</w:t>
      </w:r>
      <w:r>
        <w:t xml:space="preserve"> </w:t>
      </w:r>
      <w:r>
        <w:t xml:space="preserve">รองรับ</w:t>
      </w:r>
      <w:r>
        <w:t xml:space="preserve"> </w:t>
      </w:r>
      <w:r>
        <w:rPr>
          <w:b/>
          <w:bCs/>
        </w:rPr>
        <w:t xml:space="preserve">EMV 3DS 2.2.0 เป็นขั้นต่ำ</w:t>
      </w:r>
      <w:r>
        <w:t xml:space="preserve"> </w:t>
      </w:r>
      <w:r>
        <w:t xml:space="preserve">และเตรียมพร้อม</w:t>
      </w:r>
      <w:r>
        <w:t xml:space="preserve"> </w:t>
      </w:r>
      <w:r>
        <w:rPr>
          <w:b/>
          <w:bCs/>
        </w:rPr>
        <w:t xml:space="preserve">2.3.x</w:t>
      </w:r>
      <w:r>
        <w:t xml:space="preserve"> </w:t>
      </w:r>
      <w:r>
        <w:t xml:space="preserve">(2.2.0 รองรับ</w:t>
      </w:r>
      <w:r>
        <w:t xml:space="preserve"> </w:t>
      </w:r>
      <w:r>
        <w:t xml:space="preserve">decoupled authentication, delegated authentication, และ acquirer exemption flags ที่จำเป็นต่อ RBA/SCA)</w:t>
      </w:r>
      <w:r>
        <w:t xml:space="preserve"> </w:t>
      </w:r>
      <w:r>
        <w:rPr>
          <w:b/>
          <w:bCs/>
        </w:rPr>
        <w:t xml:space="preserve">ยุติการรองรับ 3DS 1.0 (3DS1)</w:t>
      </w:r>
      <w:r>
        <w:t xml:space="preserve"> </w:t>
      </w:r>
      <w:r>
        <w:t xml:space="preserve">ซึ่ง scheme ประกาศ end-of-life แล้ว — ใช้เฉพาะ fallback ชั่วคราวหากจำเป็น</w:t>
      </w:r>
    </w:p>
    <w:p>
      <w:r>
        <w:pict>
          <v:rect style="width:0;height:1.5pt" o:hralign="center" o:hrstd="t" o:hr="t"/>
        </w:pict>
      </w:r>
    </w:p>
    <w:bookmarkEnd w:id="747"/>
    <w:bookmarkStart w:id="748" w:name="Xc18e7214cc1680aeb8fc3322f25b193a1f2c2f3"/>
    <w:p>
      <w:pPr>
        <w:pStyle w:val="Heading2"/>
      </w:pPr>
      <w:r>
        <w:t xml:space="preserve">3. เมื่อใดที่ต้องใช้ 3DS (Mandatory / Recommended / Optional)</w:t>
      </w:r>
    </w:p>
    <w:p>
      <w:pPr>
        <w:pStyle w:val="BlockText"/>
      </w:pPr>
      <w:r>
        <w:t xml:space="preserve">ประเทศไทย (ธปท.) กำหนดกรอบผ่านประกาศด้านความปลอดภัยการชำระเงินและ e-payment โดยอ้างอิงมาตรฐานสากล</w:t>
      </w:r>
      <w:r>
        <w:t xml:space="preserve"> </w:t>
      </w:r>
      <w:r>
        <w:t xml:space="preserve">ในทางปฏิบัติ</w:t>
      </w:r>
      <w:r>
        <w:t xml:space="preserve"> </w:t>
      </w:r>
      <w:r>
        <w:rPr>
          <w:b/>
          <w:bCs/>
        </w:rPr>
        <w:t xml:space="preserve">การบังคับใช้ระดับรายการมาจากกฎ scheme (Visa/Mastercard) และ sponsor bank</w:t>
      </w:r>
      <w:r>
        <w:t xml:space="preserve"> </w:t>
      </w:r>
      <w:r>
        <w:t xml:space="preserve">ธปท. เน้น</w:t>
      </w:r>
      <w:r>
        <w:t xml:space="preserve"> </w:t>
      </w:r>
      <w:r>
        <w:t xml:space="preserve">“มีมาตรการยืนยันตัวตนที่รัดกุมสำหรับธุรกรรม CNP”</w:t>
      </w:r>
      <w:r>
        <w:t xml:space="preserve"> </w:t>
      </w:r>
      <w:r>
        <w:t xml:space="preserve">และการควบคุมความเสี่ยง fraud/AML</w:t>
      </w:r>
    </w:p>
    <w:p>
      <w:pPr>
        <w:pStyle w:val="FirstParagraph"/>
      </w:pPr>
      <w:r>
        <w:rPr>
          <w:b/>
          <w:bCs/>
        </w:rPr>
        <w:t xml:space="preserve">นโยบายของ [บริษัท / Company] (policy statement):</w:t>
      </w:r>
      <w:r>
        <w:t xml:space="preserve"> </w:t>
      </w:r>
      <w:r>
        <w:t xml:space="preserve">&gt; ธุรกรรมบัตร</w:t>
      </w:r>
      <w:r>
        <w:t xml:space="preserve"> </w:t>
      </w:r>
      <w:r>
        <w:rPr>
          <w:b/>
          <w:bCs/>
        </w:rPr>
        <w:t xml:space="preserve">Card-Not-Present ทุกรายการต้องผ่าน 3DS 2.x authentication เป็นค่าเริ่มต้น (secure-by-default)</w:t>
      </w:r>
      <w:r>
        <w:t xml:space="preserve"> </w:t>
      </w:r>
      <w:r>
        <w:t xml:space="preserve">&gt; ยกเว้นเข้าเงื่อนไข exemption ที่ได้รับอนุมัติในหมวด 4 เท่านั้น การข้าม 3DS โดยไม่มี exemption ที่ถูกต้อง</w:t>
      </w:r>
      <w:r>
        <w:t xml:space="preserve"> </w:t>
      </w:r>
      <w:r>
        <w:t xml:space="preserve">&gt; ถือเป็นการละเมิดนโยบายและถูก block ที่ระดับ Payment Core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สถานการณ์</w:t>
            </w:r>
          </w:p>
        </w:tc>
        <w:tc>
          <w:tcPr/>
          <w:p>
            <w:pPr>
              <w:pStyle w:val="Compact"/>
            </w:pPr>
            <w:r>
              <w:t xml:space="preserve">สถานะ 3DS</w:t>
            </w:r>
          </w:p>
        </w:tc>
        <w:tc>
          <w:tcPr/>
          <w:p>
            <w:pPr>
              <w:pStyle w:val="Compact"/>
            </w:pPr>
            <w:r>
              <w:t xml:space="preserve">เหตุผล</w:t>
            </w:r>
          </w:p>
        </w:tc>
      </w:tr>
      <w:tr>
        <w:tc>
          <w:tcPr/>
          <w:p>
            <w:pPr>
              <w:pStyle w:val="Compact"/>
            </w:pPr>
            <w:r>
              <w:t xml:space="preserve">E-commerce web / in-app CNP (บัตรเครดิต/เดบิต)</w:t>
            </w:r>
          </w:p>
        </w:tc>
        <w:tc>
          <w:tcPr/>
          <w:p>
            <w:pPr>
              <w:pStyle w:val="Compact"/>
            </w:pPr>
            <w:r>
              <w:rPr>
                <w:b/>
                <w:bCs/>
              </w:rPr>
              <w:t xml:space="preserve">บังคับ (default)</w:t>
            </w:r>
          </w:p>
        </w:tc>
        <w:tc>
          <w:tcPr/>
          <w:p>
            <w:pPr>
              <w:pStyle w:val="Compact"/>
            </w:pPr>
            <w:r>
              <w:t xml:space="preserve">ลด fraud + ได้ liability shift; ค่าเริ่มต้นของนโยบาย</w:t>
            </w:r>
          </w:p>
        </w:tc>
      </w:tr>
      <w:tr>
        <w:tc>
          <w:tcPr/>
          <w:p>
            <w:pPr>
              <w:pStyle w:val="Compact"/>
            </w:pPr>
            <w:r>
              <w:t xml:space="preserve">ธุรกรรมข้ามพรมแดน (cross-border)</w:t>
            </w:r>
          </w:p>
        </w:tc>
        <w:tc>
          <w:tcPr/>
          <w:p>
            <w:pPr>
              <w:pStyle w:val="Compact"/>
            </w:pPr>
            <w:r>
              <w:rPr>
                <w:b/>
                <w:bCs/>
              </w:rPr>
              <w:t xml:space="preserve">บังคับ</w:t>
            </w:r>
          </w:p>
        </w:tc>
        <w:tc>
          <w:tcPr/>
          <w:p>
            <w:pPr>
              <w:pStyle w:val="Compact"/>
            </w:pPr>
            <w:r>
              <w:t xml:space="preserve">ความเสี่ยง fraud สูง; issuer มักบังคับ challenge</w:t>
            </w:r>
          </w:p>
        </w:tc>
      </w:tr>
      <w:tr>
        <w:tc>
          <w:tcPr/>
          <w:p>
            <w:pPr>
              <w:pStyle w:val="Compact"/>
            </w:pPr>
            <w:r>
              <w:t xml:space="preserve">ยอดสูงกว่า threshold ความเสี่ยง (ดูหมวด 4.3)</w:t>
            </w:r>
          </w:p>
        </w:tc>
        <w:tc>
          <w:tcPr/>
          <w:p>
            <w:pPr>
              <w:pStyle w:val="Compact"/>
            </w:pPr>
            <w:r>
              <w:rPr>
                <w:b/>
                <w:bCs/>
              </w:rPr>
              <w:t xml:space="preserve">บังคับ</w:t>
            </w:r>
          </w:p>
        </w:tc>
        <w:tc>
          <w:tcPr/>
          <w:p>
            <w:pPr>
              <w:pStyle w:val="Compact"/>
            </w:pPr>
            <w:r>
              <w:t xml:space="preserve">เกิน TRA/low-value exemption</w:t>
            </w:r>
          </w:p>
        </w:tc>
      </w:tr>
      <w:tr>
        <w:tc>
          <w:tcPr/>
          <w:p>
            <w:pPr>
              <w:pStyle w:val="Compact"/>
            </w:pPr>
            <w:r>
              <w:t xml:space="preserve">Merchant/บัตร/อุปกรณ์ในรายการเฝ้าระวัง (watchlist)</w:t>
            </w:r>
          </w:p>
        </w:tc>
        <w:tc>
          <w:tcPr/>
          <w:p>
            <w:pPr>
              <w:pStyle w:val="Compact"/>
            </w:pPr>
            <w:r>
              <w:rPr>
                <w:b/>
                <w:bCs/>
              </w:rPr>
              <w:t xml:space="preserve">บังคับ (force challenge)</w:t>
            </w:r>
          </w:p>
        </w:tc>
        <w:tc>
          <w:tcPr/>
          <w:p>
            <w:pPr>
              <w:pStyle w:val="Compact"/>
            </w:pPr>
            <w:r>
              <w:t xml:space="preserve">risk engine flag</w:t>
            </w:r>
          </w:p>
        </w:tc>
      </w:tr>
      <w:tr>
        <w:tc>
          <w:tcPr/>
          <w:p>
            <w:pPr>
              <w:pStyle w:val="Compact"/>
            </w:pPr>
            <w:r>
              <w:t xml:space="preserve">First-time recurring / initial MIT setup</w:t>
            </w:r>
          </w:p>
        </w:tc>
        <w:tc>
          <w:tcPr/>
          <w:p>
            <w:pPr>
              <w:pStyle w:val="Compact"/>
            </w:pPr>
            <w:r>
              <w:rPr>
                <w:b/>
                <w:bCs/>
              </w:rPr>
              <w:t xml:space="preserve">บังคับ</w:t>
            </w:r>
          </w:p>
        </w:tc>
        <w:tc>
          <w:tcPr/>
          <w:p>
            <w:pPr>
              <w:pStyle w:val="Compact"/>
            </w:pPr>
            <w:r>
              <w:t xml:space="preserve">ต้องยืนยันตัวตนครั้งแรกเพื่อผูก MIT</w:t>
            </w:r>
          </w:p>
        </w:tc>
      </w:tr>
      <w:tr>
        <w:tc>
          <w:tcPr/>
          <w:p>
            <w:pPr>
              <w:pStyle w:val="Compact"/>
            </w:pPr>
            <w:r>
              <w:t xml:space="preserve">Subsequent MIT (recurring, installment ที่ตกลงไว้)</w:t>
            </w:r>
          </w:p>
        </w:tc>
        <w:tc>
          <w:tcPr/>
          <w:p>
            <w:pPr>
              <w:pStyle w:val="Compact"/>
            </w:pPr>
            <w:r>
              <w:rPr>
                <w:b/>
                <w:bCs/>
              </w:rPr>
              <w:t xml:space="preserve">ยกเว้นได้</w:t>
            </w:r>
          </w:p>
        </w:tc>
        <w:tc>
          <w:tcPr/>
          <w:p>
            <w:pPr>
              <w:pStyle w:val="Compact"/>
            </w:pPr>
            <w:r>
              <w:t xml:space="preserve">ไม่มี cardholder ณ ขณะนั้น (ดู 4.4)</w:t>
            </w:r>
          </w:p>
        </w:tc>
      </w:tr>
      <w:tr>
        <w:tc>
          <w:tcPr/>
          <w:p>
            <w:pPr>
              <w:pStyle w:val="Compact"/>
            </w:pPr>
            <w:r>
              <w:t xml:space="preserve">Low-value &lt; เกณฑ์ (LVP)</w:t>
            </w:r>
          </w:p>
        </w:tc>
        <w:tc>
          <w:tcPr/>
          <w:p>
            <w:pPr>
              <w:pStyle w:val="Compact"/>
            </w:pPr>
            <w:r>
              <w:rPr>
                <w:b/>
                <w:bCs/>
              </w:rPr>
              <w:t xml:space="preserve">ยกเว้นได้</w:t>
            </w:r>
          </w:p>
        </w:tc>
        <w:tc>
          <w:tcPr/>
          <w:p>
            <w:pPr>
              <w:pStyle w:val="Compact"/>
            </w:pPr>
            <w:r>
              <w:t xml:space="preserve">LVP exemption (4.3)</w:t>
            </w:r>
          </w:p>
        </w:tc>
      </w:tr>
      <w:tr>
        <w:tc>
          <w:tcPr/>
          <w:p>
            <w:pPr>
              <w:pStyle w:val="Compact"/>
            </w:pPr>
            <w:r>
              <w:t xml:space="preserve">Card-Present (POS, contactless)</w:t>
            </w:r>
          </w:p>
        </w:tc>
        <w:tc>
          <w:tcPr/>
          <w:p>
            <w:pPr>
              <w:pStyle w:val="Compact"/>
            </w:pPr>
            <w:r>
              <w:rPr>
                <w:b/>
                <w:bCs/>
              </w:rPr>
              <w:t xml:space="preserve">ไม่ใช้ 3DS</w:t>
            </w:r>
          </w:p>
        </w:tc>
        <w:tc>
          <w:tcPr/>
          <w:p>
            <w:pPr>
              <w:pStyle w:val="Compact"/>
            </w:pPr>
            <w:r>
              <w:t xml:space="preserve">ใช้ EMV chip/PIN แทน (นอกขอบเขต 3DS)</w:t>
            </w:r>
          </w:p>
        </w:tc>
      </w:tr>
    </w:tbl>
    <w:p>
      <w:pPr>
        <w:pStyle w:val="BodyText"/>
      </w:pPr>
      <w:r>
        <w:rPr>
          <w:b/>
          <w:bCs/>
        </w:rPr>
        <w:t xml:space="preserve">Fallback / soft-decline:</w:t>
      </w:r>
      <w:r>
        <w:t xml:space="preserve"> </w:t>
      </w:r>
      <w:r>
        <w:t xml:space="preserve">หากได้ soft decline</w:t>
      </w:r>
      <w:r>
        <w:t xml:space="preserve"> </w:t>
      </w:r>
      <w:r>
        <w:rPr>
          <w:rStyle w:val="VerbatimChar"/>
        </w:rPr>
        <w:t xml:space="preserve">65</w:t>
      </w:r>
      <w:r>
        <w:t xml:space="preserve">/</w:t>
      </w:r>
      <w:r>
        <w:rPr>
          <w:rStyle w:val="VerbatimChar"/>
        </w:rPr>
        <w:t xml:space="preserve">1A</w:t>
      </w:r>
      <w:r>
        <w:t xml:space="preserve"> </w:t>
      </w:r>
      <w:r>
        <w:t xml:space="preserve">จาก issuer (SCA required) → ระบบต้อง</w:t>
      </w:r>
      <w:r>
        <w:t xml:space="preserve"> </w:t>
      </w:r>
      <w:r>
        <w:rPr>
          <w:b/>
          <w:bCs/>
        </w:rPr>
        <w:t xml:space="preserve">retry</w:t>
      </w:r>
      <w:r>
        <w:rPr>
          <w:b/>
          <w:bCs/>
        </w:rPr>
        <w:t xml:space="preserve"> </w:t>
      </w:r>
      <w:r>
        <w:rPr>
          <w:b/>
          <w:bCs/>
        </w:rPr>
        <w:t xml:space="preserve">ด้วย 3DS challenge อัตโนมัติ</w:t>
      </w:r>
      <w:r>
        <w:t xml:space="preserve"> </w:t>
      </w:r>
      <w:r>
        <w:t xml:space="preserve">ก่อน decline จริง (ห้าม decline ทันที)</w:t>
      </w:r>
    </w:p>
    <w:p>
      <w:r>
        <w:pict>
          <v:rect style="width:0;height:1.5pt" o:hralign="center" o:hrstd="t" o:hr="t"/>
        </w:pict>
      </w:r>
    </w:p>
    <w:bookmarkEnd w:id="748"/>
    <w:bookmarkStart w:id="753" w:name="exemptions-ประเภทและเงอนไข"/>
    <w:p>
      <w:pPr>
        <w:pStyle w:val="Heading2"/>
      </w:pPr>
      <w:r>
        <w:t xml:space="preserve">4. Exemptions — ประเภทและเงื่อนไข</w:t>
      </w:r>
    </w:p>
    <w:p>
      <w:pPr>
        <w:pStyle w:val="FirstParagraph"/>
      </w:pPr>
      <w:r>
        <w:t xml:space="preserve">Exemption คือการที่</w:t>
      </w:r>
      <w:r>
        <w:t xml:space="preserve"> </w:t>
      </w:r>
      <w:r>
        <w:rPr>
          <w:b/>
          <w:bCs/>
        </w:rPr>
        <w:t xml:space="preserve">acquirer/merchant ร้องขอ (ผ่าน flag ใน authorization) ให้ข้าม challenge</w:t>
      </w:r>
      <w:r>
        <w:t xml:space="preserve"> </w:t>
      </w:r>
      <w:r>
        <w:t xml:space="preserve">โดยยังคง</w:t>
      </w:r>
      <w:r>
        <w:t xml:space="preserve"> </w:t>
      </w:r>
      <w:r>
        <w:t xml:space="preserve">ส่งข้อมูลผ่าน 3DS Server เพื่อ RBA ทั้งนี้</w:t>
      </w:r>
      <w:r>
        <w:t xml:space="preserve"> </w:t>
      </w:r>
      <w:r>
        <w:rPr>
          <w:b/>
          <w:bCs/>
        </w:rPr>
        <w:t xml:space="preserve">issuer เป็นผู้ตัดสินสุดท้าย</w:t>
      </w:r>
      <w:r>
        <w:t xml:space="preserve"> </w:t>
      </w:r>
      <w:r>
        <w:t xml:space="preserve">ว่าจะยอมรับ exemption หรือ</w:t>
      </w:r>
      <w:r>
        <w:t xml:space="preserve"> </w:t>
      </w:r>
      <w:r>
        <w:t xml:space="preserve">บังคับ challenge (soft decline) — และ</w:t>
      </w:r>
      <w:r>
        <w:t xml:space="preserve"> </w:t>
      </w:r>
      <w:r>
        <w:rPr>
          <w:b/>
          <w:bCs/>
        </w:rPr>
        <w:t xml:space="preserve">การใช้ exemption ส่วนใหญ่ทำให้ liability shift กลับมาที่ acquirer/merchant</w:t>
      </w:r>
    </w:p>
    <w:bookmarkStart w:id="749" w:name="ตาราง-exemption-ทรองรบ"/>
    <w:p>
      <w:pPr>
        <w:pStyle w:val="Heading3"/>
      </w:pPr>
      <w:r>
        <w:t xml:space="preserve">4.1 ตาราง Exemption ที่รองรับ</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Exemption</w:t>
            </w:r>
          </w:p>
        </w:tc>
        <w:tc>
          <w:tcPr/>
          <w:p>
            <w:pPr>
              <w:pStyle w:val="Compact"/>
            </w:pPr>
            <w:r>
              <w:t xml:space="preserve">ผู้ร้องขอ</w:t>
            </w:r>
          </w:p>
        </w:tc>
        <w:tc>
          <w:tcPr/>
          <w:p>
            <w:pPr>
              <w:pStyle w:val="Compact"/>
            </w:pPr>
            <w:r>
              <w:t xml:space="preserve">เพดาน/เงื่อนไข (indicative)</w:t>
            </w:r>
          </w:p>
        </w:tc>
        <w:tc>
          <w:tcPr/>
          <w:p>
            <w:pPr>
              <w:pStyle w:val="Compact"/>
            </w:pPr>
            <w:r>
              <w:t xml:space="preserve">Liability</w:t>
            </w:r>
          </w:p>
        </w:tc>
        <w:tc>
          <w:tcPr/>
          <w:p>
            <w:pPr>
              <w:pStyle w:val="Compact"/>
            </w:pPr>
            <w:r>
              <w:t xml:space="preserve">นโยบายของเรา</w:t>
            </w:r>
          </w:p>
        </w:tc>
      </w:tr>
      <w:tr>
        <w:tc>
          <w:tcPr/>
          <w:p>
            <w:pPr>
              <w:pStyle w:val="Compact"/>
            </w:pPr>
            <w:r>
              <w:rPr>
                <w:b/>
                <w:bCs/>
              </w:rPr>
              <w:t xml:space="preserve">Low-Value Payment (LVP)</w:t>
            </w:r>
          </w:p>
        </w:tc>
        <w:tc>
          <w:tcPr/>
          <w:p>
            <w:pPr>
              <w:pStyle w:val="Compact"/>
            </w:pPr>
            <w:r>
              <w:t xml:space="preserve">Acquirer</w:t>
            </w:r>
          </w:p>
        </w:tc>
        <w:tc>
          <w:tcPr/>
          <w:p>
            <w:pPr>
              <w:pStyle w:val="Compact"/>
            </w:pPr>
            <w:r>
              <w:t xml:space="preserve">≤ ~30 EUR หรือเทียบเท่า; สะสม ≤ 5 รายการ หรือ ≤ ~100 EUR/บัตร</w:t>
            </w:r>
          </w:p>
        </w:tc>
        <w:tc>
          <w:tcPr/>
          <w:p>
            <w:pPr>
              <w:pStyle w:val="Compact"/>
            </w:pPr>
            <w:r>
              <w:t xml:space="preserve">อยู่ที่ merchant/acquirer</w:t>
            </w:r>
          </w:p>
        </w:tc>
        <w:tc>
          <w:tcPr/>
          <w:p>
            <w:pPr>
              <w:pStyle w:val="Compact"/>
            </w:pPr>
            <w:r>
              <w:t xml:space="preserve">ใช้ได้เฉพาะ MCC ความเสี่ยงต่ำ</w:t>
            </w:r>
          </w:p>
        </w:tc>
      </w:tr>
      <w:tr>
        <w:tc>
          <w:tcPr/>
          <w:p>
            <w:pPr>
              <w:pStyle w:val="Compact"/>
            </w:pPr>
            <w:r>
              <w:rPr>
                <w:b/>
                <w:bCs/>
              </w:rPr>
              <w:t xml:space="preserve">Transaction Risk Analysis (TRA)</w:t>
            </w:r>
          </w:p>
        </w:tc>
        <w:tc>
          <w:tcPr/>
          <w:p>
            <w:pPr>
              <w:pStyle w:val="Compact"/>
            </w:pPr>
            <w:r>
              <w:t xml:space="preserve">Acquirer</w:t>
            </w:r>
          </w:p>
        </w:tc>
        <w:tc>
          <w:tcPr/>
          <w:p>
            <w:pPr>
              <w:pStyle w:val="Compact"/>
            </w:pPr>
            <w:r>
              <w:t xml:space="preserve">ต้องอยู่ใต้ fraud-rate threshold ตาม RTS (เช่น ≤ 0.13% ที่ ≤100 EUR, ≤0.06% ที่ ≤250 EUR, ≤0.01% ที่ ≤500 EUR)</w:t>
            </w:r>
          </w:p>
        </w:tc>
        <w:tc>
          <w:tcPr/>
          <w:p>
            <w:pPr>
              <w:pStyle w:val="Compact"/>
            </w:pPr>
            <w:r>
              <w:t xml:space="preserve">อยู่ที่ acquirer</w:t>
            </w:r>
          </w:p>
        </w:tc>
        <w:tc>
          <w:tcPr/>
          <w:p>
            <w:pPr>
              <w:pStyle w:val="Compact"/>
            </w:pPr>
            <w:r>
              <w:t xml:space="preserve">ใช้เมื่อ portfolio fraud rate ต่ำกว่าเกณฑ์เท่านั้น</w:t>
            </w:r>
          </w:p>
        </w:tc>
      </w:tr>
      <w:tr>
        <w:tc>
          <w:tcPr/>
          <w:p>
            <w:pPr>
              <w:pStyle w:val="Compact"/>
            </w:pPr>
            <w:r>
              <w:rPr>
                <w:b/>
                <w:bCs/>
              </w:rPr>
              <w:t xml:space="preserve">Trusted Beneficiary / Whitelisting</w:t>
            </w:r>
          </w:p>
        </w:tc>
        <w:tc>
          <w:tcPr/>
          <w:p>
            <w:pPr>
              <w:pStyle w:val="Compact"/>
            </w:pPr>
            <w:r>
              <w:t xml:space="preserve">Issuer/Cardholder</w:t>
            </w:r>
          </w:p>
        </w:tc>
        <w:tc>
          <w:tcPr/>
          <w:p>
            <w:pPr>
              <w:pStyle w:val="Compact"/>
            </w:pPr>
            <w:r>
              <w:t xml:space="preserve">cardholder เพิ่ม merchant เป็น trusted ที่ ACS</w:t>
            </w:r>
          </w:p>
        </w:tc>
        <w:tc>
          <w:tcPr/>
          <w:p>
            <w:pPr>
              <w:pStyle w:val="Compact"/>
            </w:pPr>
            <w:r>
              <w:t xml:space="preserve">อยู่ที่ issuer</w:t>
            </w:r>
          </w:p>
        </w:tc>
        <w:tc>
          <w:tcPr/>
          <w:p>
            <w:pPr>
              <w:pStyle w:val="Compact"/>
            </w:pPr>
            <w:r>
              <w:t xml:space="preserve">รองรับ แต่ควบคุมโดย issuer</w:t>
            </w:r>
          </w:p>
        </w:tc>
      </w:tr>
      <w:tr>
        <w:tc>
          <w:tcPr/>
          <w:p>
            <w:pPr>
              <w:pStyle w:val="Compact"/>
            </w:pPr>
            <w:r>
              <w:rPr>
                <w:b/>
                <w:bCs/>
              </w:rPr>
              <w:t xml:space="preserve">Secure Corporate Payment</w:t>
            </w:r>
          </w:p>
        </w:tc>
        <w:tc>
          <w:tcPr/>
          <w:p>
            <w:pPr>
              <w:pStyle w:val="Compact"/>
            </w:pPr>
            <w:r>
              <w:t xml:space="preserve">Acquirer</w:t>
            </w:r>
          </w:p>
        </w:tc>
        <w:tc>
          <w:tcPr/>
          <w:p>
            <w:pPr>
              <w:pStyle w:val="Compact"/>
            </w:pPr>
            <w:r>
              <w:t xml:space="preserve">บัตร B2B/lodged card, virtual card, dedicated process</w:t>
            </w:r>
          </w:p>
        </w:tc>
        <w:tc>
          <w:tcPr/>
          <w:p>
            <w:pPr>
              <w:pStyle w:val="Compact"/>
            </w:pPr>
            <w:r>
              <w:t xml:space="preserve">อยู่ที่ acquirer</w:t>
            </w:r>
          </w:p>
        </w:tc>
        <w:tc>
          <w:tcPr/>
          <w:p>
            <w:pPr>
              <w:pStyle w:val="Compact"/>
            </w:pPr>
            <w:r>
              <w:t xml:space="preserve">เฉพาะ merchant องค์กรที่ผ่านการอนุมัติ</w:t>
            </w:r>
          </w:p>
        </w:tc>
      </w:tr>
      <w:tr>
        <w:tc>
          <w:tcPr/>
          <w:p>
            <w:pPr>
              <w:pStyle w:val="Compact"/>
            </w:pPr>
            <w:r>
              <w:rPr>
                <w:b/>
                <w:bCs/>
              </w:rPr>
              <w:t xml:space="preserve">Recurring / MIT (subsequent)</w:t>
            </w:r>
          </w:p>
        </w:tc>
        <w:tc>
          <w:tcPr/>
          <w:p>
            <w:pPr>
              <w:pStyle w:val="Compact"/>
            </w:pPr>
            <w:r>
              <w:t xml:space="preserve">Merchant</w:t>
            </w:r>
          </w:p>
        </w:tc>
        <w:tc>
          <w:tcPr/>
          <w:p>
            <w:pPr>
              <w:pStyle w:val="Compact"/>
            </w:pPr>
            <w:r>
              <w:t xml:space="preserve">ผูก initial CIT ด้วย 3DS แล้ว</w:t>
            </w:r>
          </w:p>
        </w:tc>
        <w:tc>
          <w:tcPr/>
          <w:p>
            <w:pPr>
              <w:pStyle w:val="Compact"/>
            </w:pPr>
            <w:r>
              <w:t xml:space="preserve">อยู่ที่ merchant</w:t>
            </w:r>
          </w:p>
        </w:tc>
        <w:tc>
          <w:tcPr/>
          <w:p>
            <w:pPr>
              <w:pStyle w:val="Compact"/>
            </w:pPr>
            <w:r>
              <w:t xml:space="preserve">บังคับ 3DS เฉพาะรายการแรก</w:t>
            </w:r>
          </w:p>
        </w:tc>
      </w:tr>
      <w:tr>
        <w:tc>
          <w:tcPr/>
          <w:p>
            <w:pPr>
              <w:pStyle w:val="Compact"/>
            </w:pPr>
            <w:r>
              <w:rPr>
                <w:b/>
                <w:bCs/>
              </w:rPr>
              <w:t xml:space="preserve">Delegated Authentication (DA)</w:t>
            </w:r>
          </w:p>
        </w:tc>
        <w:tc>
          <w:tcPr/>
          <w:p>
            <w:pPr>
              <w:pStyle w:val="Compact"/>
            </w:pPr>
            <w:r>
              <w:t xml:space="preserve">Acquirer/3DSS</w:t>
            </w:r>
          </w:p>
        </w:tc>
        <w:tc>
          <w:tcPr/>
          <w:p>
            <w:pPr>
              <w:pStyle w:val="Compact"/>
            </w:pPr>
            <w:r>
              <w:t xml:space="preserve">ยืนยันตัวตนโดย party ที่ได้รับมอบหมาย (เช่น biometrics)</w:t>
            </w:r>
          </w:p>
        </w:tc>
        <w:tc>
          <w:tcPr/>
          <w:p>
            <w:pPr>
              <w:pStyle w:val="Compact"/>
            </w:pPr>
            <w:r>
              <w:t xml:space="preserve">ตามข้อตกลง DA</w:t>
            </w:r>
          </w:p>
        </w:tc>
        <w:tc>
          <w:tcPr/>
          <w:p>
            <w:pPr>
              <w:pStyle w:val="Compact"/>
            </w:pPr>
            <w:r>
              <w:t xml:space="preserve">เป็น TODO (ต้อง cert เพิ่ม)</w:t>
            </w:r>
          </w:p>
        </w:tc>
      </w:tr>
    </w:tbl>
    <w:p>
      <w:pPr>
        <w:pStyle w:val="BlockText"/>
      </w:pPr>
      <w:r>
        <w:rPr>
          <w:b/>
          <w:bCs/>
        </w:rPr>
        <w:t xml:space="preserve">หมายเหตุ:</w:t>
      </w:r>
      <w:r>
        <w:t xml:space="preserve"> </w:t>
      </w:r>
      <w:r>
        <w:t xml:space="preserve">เพดานเป็นตัวเลข</w:t>
      </w:r>
      <w:r>
        <w:t xml:space="preserve"> </w:t>
      </w:r>
      <w:r>
        <w:rPr>
          <w:b/>
          <w:bCs/>
        </w:rPr>
        <w:t xml:space="preserve">indicative จาก PSD2 RTS ของสหภาพยุโรป</w:t>
      </w:r>
      <w:r>
        <w:t xml:space="preserve"> </w:t>
      </w:r>
      <w:r>
        <w:t xml:space="preserve">ใช้เป็น baseline การออกแบบ</w:t>
      </w:r>
      <w:r>
        <w:t xml:space="preserve"> </w:t>
      </w:r>
      <w:r>
        <w:t xml:space="preserve">ระบบ —</w:t>
      </w:r>
      <w:r>
        <w:t xml:space="preserve"> </w:t>
      </w:r>
      <w:r>
        <w:rPr>
          <w:b/>
          <w:bCs/>
        </w:rPr>
        <w:t xml:space="preserve">เกณฑ์บังคับจริงในไทยกำหนดโดย scheme rule + sponsor bank</w:t>
      </w:r>
      <w:r>
        <w:t xml:space="preserve"> </w:t>
      </w:r>
      <w:r>
        <w:t xml:space="preserve">และต้อง config ผ่าน parameter table</w:t>
      </w:r>
      <w:r>
        <w:t xml:space="preserve"> </w:t>
      </w:r>
      <w:r>
        <w:t xml:space="preserve">ไม่ hard-code (ดู TODO 3)</w:t>
      </w:r>
    </w:p>
    <w:bookmarkEnd w:id="749"/>
    <w:bookmarkStart w:id="750" w:name="หลกการควบคมการใช-exemption"/>
    <w:p>
      <w:pPr>
        <w:pStyle w:val="Heading3"/>
      </w:pPr>
      <w:r>
        <w:t xml:space="preserve">4.2 หลักการควบคุมการใช้ exemption</w:t>
      </w:r>
    </w:p>
    <w:p>
      <w:pPr>
        <w:pStyle w:val="Compact"/>
        <w:numPr>
          <w:ilvl w:val="0"/>
          <w:numId w:val="1291"/>
        </w:numPr>
      </w:pPr>
      <w:r>
        <w:rPr>
          <w:b/>
          <w:bCs/>
        </w:rPr>
        <w:t xml:space="preserve">Exemption engine อยู่ใน Risk/Fraud Engine</w:t>
      </w:r>
      <w:r>
        <w:t xml:space="preserve"> </w:t>
      </w:r>
      <w:r>
        <w:t xml:space="preserve">(</w:t>
      </w:r>
      <w:r>
        <w:rPr>
          <w:rStyle w:val="VerbatimChar"/>
        </w:rPr>
        <w:t xml:space="preserve">internal/service</w:t>
      </w:r>
      <w:r>
        <w:t xml:space="preserve">) — คำนวณ risk score ก่อนตัดสินใจ</w:t>
      </w:r>
      <w:r>
        <w:t xml:space="preserve"> </w:t>
      </w:r>
      <w:r>
        <w:t xml:space="preserve">ขอ exemption; ทุกการขอ exemption ต้องบันทึกลง</w:t>
      </w:r>
      <w:r>
        <w:t xml:space="preserve"> </w:t>
      </w:r>
      <w:r>
        <w:rPr>
          <w:rStyle w:val="VerbatimChar"/>
        </w:rPr>
        <w:t xml:space="preserve">audit_log</w:t>
      </w:r>
      <w:r>
        <w:t xml:space="preserve"> </w:t>
      </w:r>
      <w:r>
        <w:t xml:space="preserve">พร้อมเหตุผลและ parameter ที่ใช้</w:t>
      </w:r>
    </w:p>
    <w:p>
      <w:pPr>
        <w:pStyle w:val="Compact"/>
        <w:numPr>
          <w:ilvl w:val="0"/>
          <w:numId w:val="1291"/>
        </w:numPr>
      </w:pPr>
      <w:r>
        <w:rPr>
          <w:b/>
          <w:bCs/>
        </w:rPr>
        <w:t xml:space="preserve">Fail closed</w:t>
      </w:r>
      <w:r>
        <w:t xml:space="preserve"> </w:t>
      </w:r>
      <w:r>
        <w:t xml:space="preserve">(ตาม</w:t>
      </w:r>
      <w:r>
        <w:t xml:space="preserve"> </w:t>
      </w:r>
      <w:r>
        <w:rPr>
          <w:rStyle w:val="VerbatimChar"/>
        </w:rPr>
        <w:t xml:space="preserve">ARCHITECTURE.md</w:t>
      </w:r>
      <w:r>
        <w:t xml:space="preserve"> </w:t>
      </w:r>
      <w:r>
        <w:t xml:space="preserve">ข้อ 2.7) — หากไม่มั่นใจว่า exemption ใช้ได้ →</w:t>
      </w:r>
      <w:r>
        <w:t xml:space="preserve"> </w:t>
      </w:r>
      <w:r>
        <w:rPr>
          <w:b/>
          <w:bCs/>
        </w:rPr>
        <w:t xml:space="preserve">บังคับ challenge</w:t>
      </w:r>
    </w:p>
    <w:p>
      <w:pPr>
        <w:pStyle w:val="Compact"/>
        <w:numPr>
          <w:ilvl w:val="0"/>
          <w:numId w:val="1291"/>
        </w:numPr>
      </w:pPr>
      <w:r>
        <w:rPr>
          <w:b/>
          <w:bCs/>
        </w:rPr>
        <w:t xml:space="preserve">Soft-decline handling</w:t>
      </w:r>
      <w:r>
        <w:t xml:space="preserve"> </w:t>
      </w:r>
      <w:r>
        <w:t xml:space="preserve">— หาก issuer ปฏิเสธ exemption (soft decline) → retry เป็น challenge อัตโนมัติ</w:t>
      </w:r>
    </w:p>
    <w:p>
      <w:pPr>
        <w:pStyle w:val="Compact"/>
        <w:numPr>
          <w:ilvl w:val="0"/>
          <w:numId w:val="1291"/>
        </w:numPr>
      </w:pPr>
      <w:r>
        <w:rPr>
          <w:b/>
          <w:bCs/>
        </w:rPr>
        <w:t xml:space="preserve">TRA fraud-rate monitoring</w:t>
      </w:r>
      <w:r>
        <w:t xml:space="preserve"> </w:t>
      </w:r>
      <w:r>
        <w:t xml:space="preserve">— ต้องติดตาม fraud rate ของ portfolio ต่อเนื่อง; หากเกิน threshold ต้อง</w:t>
      </w:r>
      <w:r>
        <w:t xml:space="preserve"> </w:t>
      </w:r>
      <w:r>
        <w:rPr>
          <w:b/>
          <w:bCs/>
        </w:rPr>
        <w:t xml:space="preserve">ปิด TRA exemption อัตโนมัติ</w:t>
      </w:r>
      <w:r>
        <w:t xml:space="preserve"> </w:t>
      </w:r>
      <w:r>
        <w:t xml:space="preserve">และรายงานต่อ Compliance</w:t>
      </w:r>
    </w:p>
    <w:p>
      <w:pPr>
        <w:pStyle w:val="Compact"/>
        <w:numPr>
          <w:ilvl w:val="0"/>
          <w:numId w:val="1291"/>
        </w:numPr>
      </w:pPr>
      <w:r>
        <w:t xml:space="preserve">ห้ามใช้ exemption กับธุรกรรมที่ risk engine flag เป็น high-risk แม้ยอดจะเข้าเกณฑ์ LVP/TRA</w:t>
      </w:r>
    </w:p>
    <w:bookmarkEnd w:id="750"/>
    <w:bookmarkStart w:id="751" w:name="threshold-configuration-parameterized"/>
    <w:p>
      <w:pPr>
        <w:pStyle w:val="Heading3"/>
      </w:pPr>
      <w:r>
        <w:t xml:space="preserve">4.3 Threshold configuration (parameterized)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พารามิเตอร์</w:t>
            </w:r>
          </w:p>
        </w:tc>
        <w:tc>
          <w:tcPr/>
          <w:p>
            <w:pPr>
              <w:pStyle w:val="Compact"/>
            </w:pPr>
            <w:r>
              <w:t xml:space="preserve">ค่าตั้งต้น (design baseline)</w:t>
            </w:r>
          </w:p>
        </w:tc>
        <w:tc>
          <w:tcPr/>
          <w:p>
            <w:pPr>
              <w:pStyle w:val="Compact"/>
            </w:pPr>
            <w:r>
              <w:t xml:space="preserve">เจ้าของ</w:t>
            </w:r>
          </w:p>
        </w:tc>
        <w:tc>
          <w:tcPr/>
          <w:p>
            <w:pPr>
              <w:pStyle w:val="Compact"/>
            </w:pPr>
            <w:r>
              <w:t xml:space="preserve">หมายเหตุ</w:t>
            </w:r>
          </w:p>
        </w:tc>
      </w:tr>
      <w:tr>
        <w:tc>
          <w:tcPr/>
          <w:p>
            <w:pPr>
              <w:pStyle w:val="Compact"/>
            </w:pPr>
            <w:r>
              <w:rPr>
                <w:rStyle w:val="VerbatimChar"/>
              </w:rPr>
              <w:t xml:space="preserve">lvp.amount_cap</w:t>
            </w:r>
          </w:p>
        </w:tc>
        <w:tc>
          <w:tcPr/>
          <w:p>
            <w:pPr>
              <w:pStyle w:val="Compact"/>
            </w:pPr>
            <w:r>
              <w:t xml:space="preserve">เทียบเท่า ~30 EUR (config เป็น THB)</w:t>
            </w:r>
          </w:p>
        </w:tc>
        <w:tc>
          <w:tcPr/>
          <w:p>
            <w:pPr>
              <w:pStyle w:val="Compact"/>
            </w:pPr>
            <w:r>
              <w:t xml:space="preserve">Compliance + Sponsor bank</w:t>
            </w:r>
          </w:p>
        </w:tc>
        <w:tc>
          <w:tcPr/>
          <w:p>
            <w:pPr>
              <w:pStyle w:val="Compact"/>
            </w:pPr>
            <w:r>
              <w:t xml:space="preserve">ปรับตาม scheme rule</w:t>
            </w:r>
          </w:p>
        </w:tc>
      </w:tr>
      <w:tr>
        <w:tc>
          <w:tcPr/>
          <w:p>
            <w:pPr>
              <w:pStyle w:val="Compact"/>
            </w:pPr>
            <w:r>
              <w:rPr>
                <w:rStyle w:val="VerbatimChar"/>
              </w:rPr>
              <w:t xml:space="preserve">lvp.count_cap</w:t>
            </w:r>
            <w:r>
              <w:t xml:space="preserve"> </w:t>
            </w:r>
            <w:r>
              <w:t xml:space="preserve">/</w:t>
            </w:r>
            <w:r>
              <w:t xml:space="preserve"> </w:t>
            </w:r>
            <w:r>
              <w:rPr>
                <w:rStyle w:val="VerbatimChar"/>
              </w:rPr>
              <w:t xml:space="preserve">lvp.cumulative_cap</w:t>
            </w:r>
          </w:p>
        </w:tc>
        <w:tc>
          <w:tcPr/>
          <w:p>
            <w:pPr>
              <w:pStyle w:val="Compact"/>
            </w:pPr>
            <w:r>
              <w:t xml:space="preserve">5 รายการ / ~100 EUR</w:t>
            </w:r>
          </w:p>
        </w:tc>
        <w:tc>
          <w:tcPr/>
          <w:p>
            <w:pPr>
              <w:pStyle w:val="Compact"/>
            </w:pPr>
            <w:r>
              <w:t xml:space="preserve">Compliance</w:t>
            </w:r>
          </w:p>
        </w:tc>
        <w:tc>
          <w:tcPr/>
          <w:p>
            <w:pPr>
              <w:pStyle w:val="Compact"/>
            </w:pPr>
            <w:r>
              <w:t xml:space="preserve">ต่อบัตรต่อ issuer</w:t>
            </w:r>
          </w:p>
        </w:tc>
      </w:tr>
      <w:tr>
        <w:tc>
          <w:tcPr/>
          <w:p>
            <w:pPr>
              <w:pStyle w:val="Compact"/>
            </w:pPr>
            <w:r>
              <w:rPr>
                <w:rStyle w:val="VerbatimChar"/>
              </w:rPr>
              <w:t xml:space="preserve">tra.fraud_rate.tier</w:t>
            </w:r>
          </w:p>
        </w:tc>
        <w:tc>
          <w:tcPr/>
          <w:p>
            <w:pPr>
              <w:pStyle w:val="Compact"/>
            </w:pPr>
            <w:r>
              <w:t xml:space="preserve">0.13% / 0.06% / 0.01%</w:t>
            </w:r>
          </w:p>
        </w:tc>
        <w:tc>
          <w:tcPr/>
          <w:p>
            <w:pPr>
              <w:pStyle w:val="Compact"/>
            </w:pPr>
            <w:r>
              <w:t xml:space="preserve">Risk</w:t>
            </w:r>
          </w:p>
        </w:tc>
        <w:tc>
          <w:tcPr/>
          <w:p>
            <w:pPr>
              <w:pStyle w:val="Compact"/>
            </w:pPr>
            <w:r>
              <w:t xml:space="preserve">ผูกกับเพดานยอด</w:t>
            </w:r>
          </w:p>
        </w:tc>
      </w:tr>
      <w:tr>
        <w:tc>
          <w:tcPr/>
          <w:p>
            <w:pPr>
              <w:pStyle w:val="Compact"/>
            </w:pPr>
            <w:r>
              <w:rPr>
                <w:rStyle w:val="VerbatimChar"/>
              </w:rPr>
              <w:t xml:space="preserve">challenge.force_above</w:t>
            </w:r>
          </w:p>
        </w:tc>
        <w:tc>
          <w:tcPr/>
          <w:p>
            <w:pPr>
              <w:pStyle w:val="Compact"/>
            </w:pPr>
            <w:r>
              <w:t xml:space="preserve">THB threshold (TODO)</w:t>
            </w:r>
          </w:p>
        </w:tc>
        <w:tc>
          <w:tcPr/>
          <w:p>
            <w:pPr>
              <w:pStyle w:val="Compact"/>
            </w:pPr>
            <w:r>
              <w:t xml:space="preserve">Risk + Sponsor bank</w:t>
            </w:r>
          </w:p>
        </w:tc>
        <w:tc>
          <w:tcPr/>
          <w:p>
            <w:pPr>
              <w:pStyle w:val="Compact"/>
            </w:pPr>
            <w:r>
              <w:t xml:space="preserve">บังคับ challenge เหนือยอดนี้</w:t>
            </w:r>
          </w:p>
        </w:tc>
      </w:tr>
      <w:tr>
        <w:tc>
          <w:tcPr/>
          <w:p>
            <w:pPr>
              <w:pStyle w:val="Compact"/>
            </w:pPr>
            <w:r>
              <w:rPr>
                <w:rStyle w:val="VerbatimChar"/>
              </w:rPr>
              <w:t xml:space="preserve">high_risk_mcc[]</w:t>
            </w:r>
          </w:p>
        </w:tc>
        <w:tc>
          <w:tcPr/>
          <w:p>
            <w:pPr>
              <w:pStyle w:val="Compact"/>
            </w:pPr>
            <w:r>
              <w:t xml:space="preserve">รายการ MCC เสี่ยง</w:t>
            </w:r>
          </w:p>
        </w:tc>
        <w:tc>
          <w:tcPr/>
          <w:p>
            <w:pPr>
              <w:pStyle w:val="Compact"/>
            </w:pPr>
            <w:r>
              <w:t xml:space="preserve">Compliance</w:t>
            </w:r>
          </w:p>
        </w:tc>
        <w:tc>
          <w:tcPr/>
          <w:p>
            <w:pPr>
              <w:pStyle w:val="Compact"/>
            </w:pPr>
            <w:r>
              <w:t xml:space="preserve">ห้าม exemption</w:t>
            </w:r>
          </w:p>
        </w:tc>
      </w:tr>
    </w:tbl>
    <w:bookmarkEnd w:id="751"/>
    <w:bookmarkStart w:id="752" w:name="recurring-mit"/>
    <w:p>
      <w:pPr>
        <w:pStyle w:val="Heading3"/>
      </w:pPr>
      <w:r>
        <w:t xml:space="preserve">4.4 Recurring / MIT</w:t>
      </w:r>
    </w:p>
    <w:p>
      <w:pPr>
        <w:pStyle w:val="Compact"/>
        <w:numPr>
          <w:ilvl w:val="0"/>
          <w:numId w:val="1292"/>
        </w:numPr>
      </w:pPr>
      <w:r>
        <w:rPr>
          <w:b/>
          <w:bCs/>
        </w:rPr>
        <w:t xml:space="preserve">Initial (CIT — Customer Initiated):</w:t>
      </w:r>
      <w:r>
        <w:t xml:space="preserve"> </w:t>
      </w:r>
      <w:r>
        <w:t xml:space="preserve">บังคับ 3DS challenge เพื่อยืนยันตัวตนและได้ liability shift</w:t>
      </w:r>
      <w:r>
        <w:t xml:space="preserve"> </w:t>
      </w:r>
      <w:r>
        <w:t xml:space="preserve">พร้อมเก็บ</w:t>
      </w:r>
      <w:r>
        <w:t xml:space="preserve"> </w:t>
      </w:r>
      <w:r>
        <w:rPr>
          <w:rStyle w:val="VerbatimChar"/>
        </w:rPr>
        <w:t xml:space="preserve">3DS transaction ID</w:t>
      </w:r>
      <w:r>
        <w:t xml:space="preserve"> </w:t>
      </w:r>
      <w:r>
        <w:t xml:space="preserve">/ network transaction reference สำหรับผูก MIT</w:t>
      </w:r>
    </w:p>
    <w:p>
      <w:pPr>
        <w:pStyle w:val="Compact"/>
        <w:numPr>
          <w:ilvl w:val="0"/>
          <w:numId w:val="1292"/>
        </w:numPr>
      </w:pPr>
      <w:r>
        <w:rPr>
          <w:b/>
          <w:bCs/>
        </w:rPr>
        <w:t xml:space="preserve">Subsequent (MIT — Merchant Initiated):</w:t>
      </w:r>
      <w:r>
        <w:t xml:space="preserve"> </w:t>
      </w:r>
      <w:r>
        <w:t xml:space="preserve">ไม่มี cardholder present จึงยกเว้น 3DS แต่ต้องส่ง</w:t>
      </w:r>
      <w:r>
        <w:t xml:space="preserve"> </w:t>
      </w:r>
      <w:r>
        <w:t xml:space="preserve">MIT indicator + reference ที่ถูกต้อง มิฉะนั้นเสี่ยงถูก decline/chargeback</w:t>
      </w:r>
    </w:p>
    <w:p>
      <w:r>
        <w:pict>
          <v:rect style="width:0;height:1.5pt" o:hralign="center" o:hrstd="t" o:hr="t"/>
        </w:pict>
      </w:r>
    </w:p>
    <w:bookmarkEnd w:id="752"/>
    <w:bookmarkEnd w:id="753"/>
    <w:bookmarkStart w:id="758" w:name="Xb3b760ba423bc215af310b7c9fe78c457c6e2a1"/>
    <w:p>
      <w:pPr>
        <w:pStyle w:val="Heading2"/>
      </w:pPr>
      <w:r>
        <w:t xml:space="preserve">5. Challenge Flow — Frictionless และ Challenge</w:t>
      </w:r>
    </w:p>
    <w:bookmarkStart w:id="754" w:name="ภาพรวมลำดบ-sequence"/>
    <w:p>
      <w:pPr>
        <w:pStyle w:val="Heading3"/>
      </w:pPr>
      <w:r>
        <w:t xml:space="preserve">5.1 ภาพรวมลำดับ (sequence)</w:t>
      </w:r>
    </w:p>
    <w:p>
      <w:pPr>
        <w:pStyle w:val="SourceCode"/>
      </w:pPr>
      <w:r>
        <w:rPr>
          <w:rStyle w:val="VerbatimChar"/>
        </w:rPr>
        <w:t xml:space="preserve">Cardholder ─┐</w:t>
      </w:r>
      <w:r>
        <w:br/>
      </w:r>
      <w:r>
        <w:rPr>
          <w:rStyle w:val="VerbatimChar"/>
        </w:rPr>
        <w:t xml:space="preserve">Merchant ── POST /v1/payments (payment_token, browser/device data)</w:t>
      </w:r>
      <w:r>
        <w:br/>
      </w:r>
      <w:r>
        <w:rPr>
          <w:rStyle w:val="VerbatimChar"/>
        </w:rPr>
        <w:t xml:space="preserve">            ▼</w:t>
      </w:r>
      <w:r>
        <w:br/>
      </w:r>
      <w:r>
        <w:rPr>
          <w:rStyle w:val="VerbatimChar"/>
        </w:rPr>
        <w:t xml:space="preserve">     [บริษัท/Company] Payment Core</w:t>
      </w:r>
      <w:r>
        <w:br/>
      </w:r>
      <w:r>
        <w:rPr>
          <w:rStyle w:val="VerbatimChar"/>
        </w:rPr>
        <w:t xml:space="preserve">            │  detokenize (PCI scope) → Risk scoring → ตัดสิน exemption?</w:t>
      </w:r>
      <w:r>
        <w:br/>
      </w:r>
      <w:r>
        <w:rPr>
          <w:rStyle w:val="VerbatimChar"/>
        </w:rPr>
        <w:t xml:space="preserve">            ▼  AReq (Authentication Request) ผ่าน 3DS Server</w:t>
      </w:r>
      <w:r>
        <w:br/>
      </w:r>
      <w:r>
        <w:rPr>
          <w:rStyle w:val="VerbatimChar"/>
        </w:rPr>
        <w:t xml:space="preserve">        Directory Server (scheme)</w:t>
      </w:r>
      <w:r>
        <w:br/>
      </w:r>
      <w:r>
        <w:rPr>
          <w:rStyle w:val="VerbatimChar"/>
        </w:rPr>
        <w:t xml:space="preserve">            ▼</w:t>
      </w:r>
      <w:r>
        <w:br/>
      </w:r>
      <w:r>
        <w:rPr>
          <w:rStyle w:val="VerbatimChar"/>
        </w:rPr>
        <w:t xml:space="preserve">        ACS (issuer)  ── ประเมิน RBA ──►  ┌─ Frictionless: ARes(status=Y) ─► authorize</w:t>
      </w:r>
      <w:r>
        <w:br/>
      </w:r>
      <w:r>
        <w:rPr>
          <w:rStyle w:val="VerbatimChar"/>
        </w:rPr>
        <w:t xml:space="preserve">                                          └─ Challenge:    ARes(status=C) ─► CReq/CRes</w:t>
      </w:r>
      <w:r>
        <w:br/>
      </w:r>
      <w:r>
        <w:rPr>
          <w:rStyle w:val="VerbatimChar"/>
        </w:rPr>
        <w:t xml:space="preserve">                                                             ▼</w:t>
      </w:r>
      <w:r>
        <w:br/>
      </w:r>
      <w:r>
        <w:rPr>
          <w:rStyle w:val="VerbatimChar"/>
        </w:rPr>
        <w:t xml:space="preserve">                              คืน next_action_url ให้ cardholder ทำ challenge (OTP/biometric)</w:t>
      </w:r>
      <w:r>
        <w:br/>
      </w:r>
      <w:r>
        <w:rPr>
          <w:rStyle w:val="VerbatimChar"/>
        </w:rPr>
        <w:t xml:space="preserve">                                                             ▼</w:t>
      </w:r>
      <w:r>
        <w:br/>
      </w:r>
      <w:r>
        <w:rPr>
          <w:rStyle w:val="VerbatimChar"/>
        </w:rPr>
        <w:t xml:space="preserve">                              RReq/RRes → ผล authentication (Y/N/A/U/R) → authorize หรือ fail</w:t>
      </w:r>
    </w:p>
    <w:p>
      <w:pPr>
        <w:pStyle w:val="FirstParagraph"/>
      </w:pPr>
      <w:r>
        <w:rPr>
          <w:b/>
          <w:bCs/>
        </w:rPr>
        <w:t xml:space="preserve">Mapping กับ state machine</w:t>
      </w:r>
      <w:r>
        <w:t xml:space="preserve"> </w:t>
      </w:r>
      <w:r>
        <w:t xml:space="preserve">(</w:t>
      </w:r>
      <w:r>
        <w:rPr>
          <w:rStyle w:val="VerbatimChar"/>
        </w:rPr>
        <w:t xml:space="preserve">ARCHITECTURE.md</w:t>
      </w:r>
      <w:r>
        <w:t xml:space="preserve"> </w:t>
      </w:r>
      <w:r>
        <w:t xml:space="preserve">ข้อ 5.1/5.4):</w:t>
      </w:r>
      <w:r>
        <w:t xml:space="preserve"> </w:t>
      </w:r>
      <w:r>
        <w:t xml:space="preserve">- ต้อง challenge → คืน</w:t>
      </w:r>
      <w:r>
        <w:t xml:space="preserve"> </w:t>
      </w:r>
      <w:r>
        <w:rPr>
          <w:rStyle w:val="VerbatimChar"/>
        </w:rPr>
        <w:t xml:space="preserve">requires_action</w:t>
      </w:r>
      <w:r>
        <w:t xml:space="preserve"> </w:t>
      </w:r>
      <w:r>
        <w:t xml:space="preserve">+</w:t>
      </w:r>
      <w:r>
        <w:t xml:space="preserve"> </w:t>
      </w:r>
      <w:r>
        <w:rPr>
          <w:rStyle w:val="VerbatimChar"/>
        </w:rPr>
        <w:t xml:space="preserve">next_action_url</w:t>
      </w:r>
      <w:r>
        <w:t xml:space="preserve"> </w:t>
      </w:r>
      <w:r>
        <w:t xml:space="preserve">- authentication สำเร็จ (Y/A) →</w:t>
      </w:r>
      <w:r>
        <w:t xml:space="preserve"> </w:t>
      </w:r>
      <w:r>
        <w:rPr>
          <w:rStyle w:val="VerbatimChar"/>
        </w:rPr>
        <w:t xml:space="preserve">authorized</w:t>
      </w:r>
      <w:r>
        <w:t xml:space="preserve"> </w:t>
      </w:r>
      <w:r>
        <w:t xml:space="preserve">→ capture</w:t>
      </w:r>
      <w:r>
        <w:t xml:space="preserve"> </w:t>
      </w:r>
      <w:r>
        <w:t xml:space="preserve">- authentication fail (N/R) →</w:t>
      </w:r>
      <w:r>
        <w:t xml:space="preserve"> </w:t>
      </w:r>
      <w:r>
        <w:rPr>
          <w:rStyle w:val="VerbatimChar"/>
        </w:rPr>
        <w:t xml:space="preserve">failed</w:t>
      </w:r>
    </w:p>
    <w:bookmarkEnd w:id="754"/>
    <w:bookmarkStart w:id="755" w:name="ผลลพธ-authentication-transstatus"/>
    <w:p>
      <w:pPr>
        <w:pStyle w:val="Heading3"/>
      </w:pPr>
      <w:r>
        <w:t xml:space="preserve">5.2 ผลลัพธ์ authentication (transStatus)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สถานะ</w:t>
            </w:r>
          </w:p>
        </w:tc>
        <w:tc>
          <w:tcPr/>
          <w:p>
            <w:pPr>
              <w:pStyle w:val="Compact"/>
            </w:pPr>
            <w:r>
              <w:t xml:space="preserve">ความหมาย</w:t>
            </w:r>
          </w:p>
        </w:tc>
        <w:tc>
          <w:tcPr/>
          <w:p>
            <w:pPr>
              <w:pStyle w:val="Compact"/>
            </w:pPr>
            <w:r>
              <w:t xml:space="preserve">การกระทำ</w:t>
            </w:r>
          </w:p>
        </w:tc>
        <w:tc>
          <w:tcPr/>
          <w:p>
            <w:pPr>
              <w:pStyle w:val="Compact"/>
            </w:pPr>
            <w:r>
              <w:t xml:space="preserve">Liability</w:t>
            </w:r>
          </w:p>
        </w:tc>
      </w:tr>
      <w:tr>
        <w:tc>
          <w:tcPr/>
          <w:p>
            <w:pPr>
              <w:pStyle w:val="Compact"/>
            </w:pPr>
            <w:r>
              <w:rPr>
                <w:b/>
                <w:bCs/>
              </w:rPr>
              <w:t xml:space="preserve">Y</w:t>
            </w:r>
          </w:p>
        </w:tc>
        <w:tc>
          <w:tcPr/>
          <w:p>
            <w:pPr>
              <w:pStyle w:val="Compact"/>
            </w:pPr>
            <w:r>
              <w:t xml:space="preserve">Authenticated (frictionless หรือ challenge สำเร็จ)</w:t>
            </w:r>
          </w:p>
        </w:tc>
        <w:tc>
          <w:tcPr/>
          <w:p>
            <w:pPr>
              <w:pStyle w:val="Compact"/>
            </w:pPr>
            <w:r>
              <w:t xml:space="preserve">ดำเนินการ authorize</w:t>
            </w:r>
          </w:p>
        </w:tc>
        <w:tc>
          <w:tcPr/>
          <w:p>
            <w:pPr>
              <w:pStyle w:val="Compact"/>
            </w:pPr>
            <w:r>
              <w:t xml:space="preserve">Shift → issuer</w:t>
            </w:r>
          </w:p>
        </w:tc>
      </w:tr>
      <w:tr>
        <w:tc>
          <w:tcPr/>
          <w:p>
            <w:pPr>
              <w:pStyle w:val="Compact"/>
            </w:pPr>
            <w:r>
              <w:rPr>
                <w:b/>
                <w:bCs/>
              </w:rPr>
              <w:t xml:space="preserve">A</w:t>
            </w:r>
          </w:p>
        </w:tc>
        <w:tc>
          <w:tcPr/>
          <w:p>
            <w:pPr>
              <w:pStyle w:val="Compact"/>
            </w:pPr>
            <w:r>
              <w:t xml:space="preserve">Attempted (issuer/ACS ไม่พร้อม แต่บันทึก attempt)</w:t>
            </w:r>
          </w:p>
        </w:tc>
        <w:tc>
          <w:tcPr/>
          <w:p>
            <w:pPr>
              <w:pStyle w:val="Compact"/>
            </w:pPr>
            <w:r>
              <w:t xml:space="preserve">ดำเนินการ authorize</w:t>
            </w:r>
          </w:p>
        </w:tc>
        <w:tc>
          <w:tcPr/>
          <w:p>
            <w:pPr>
              <w:pStyle w:val="Compact"/>
            </w:pPr>
            <w:r>
              <w:t xml:space="preserve">Shift → issuer (โดยทั่วไป)</w:t>
            </w:r>
          </w:p>
        </w:tc>
      </w:tr>
      <w:tr>
        <w:tc>
          <w:tcPr/>
          <w:p>
            <w:pPr>
              <w:pStyle w:val="Compact"/>
            </w:pPr>
            <w:r>
              <w:rPr>
                <w:b/>
                <w:bCs/>
              </w:rPr>
              <w:t xml:space="preserve">C</w:t>
            </w:r>
          </w:p>
        </w:tc>
        <w:tc>
          <w:tcPr/>
          <w:p>
            <w:pPr>
              <w:pStyle w:val="Compact"/>
            </w:pPr>
            <w:r>
              <w:t xml:space="preserve">Challenge required</w:t>
            </w:r>
          </w:p>
        </w:tc>
        <w:tc>
          <w:tcPr/>
          <w:p>
            <w:pPr>
              <w:pStyle w:val="Compact"/>
            </w:pPr>
            <w:r>
              <w:t xml:space="preserve">คืน</w:t>
            </w:r>
            <w:r>
              <w:t xml:space="preserve"> </w:t>
            </w:r>
            <w:r>
              <w:rPr>
                <w:rStyle w:val="VerbatimChar"/>
              </w:rPr>
              <w:t xml:space="preserve">requires_action</w:t>
            </w:r>
          </w:p>
        </w:tc>
        <w:tc>
          <w:tcPr/>
          <w:p>
            <w:pPr>
              <w:pStyle w:val="Compact"/>
            </w:pPr>
            <w:r>
              <w:t xml:space="preserve">รอผล</w:t>
            </w:r>
          </w:p>
        </w:tc>
      </w:tr>
      <w:tr>
        <w:tc>
          <w:tcPr/>
          <w:p>
            <w:pPr>
              <w:pStyle w:val="Compact"/>
            </w:pPr>
            <w:r>
              <w:rPr>
                <w:b/>
                <w:bCs/>
              </w:rPr>
              <w:t xml:space="preserve">D</w:t>
            </w:r>
          </w:p>
        </w:tc>
        <w:tc>
          <w:tcPr/>
          <w:p>
            <w:pPr>
              <w:pStyle w:val="Compact"/>
            </w:pPr>
            <w:r>
              <w:t xml:space="preserve">Decoupled challenge (async)</w:t>
            </w:r>
          </w:p>
        </w:tc>
        <w:tc>
          <w:tcPr/>
          <w:p>
            <w:pPr>
              <w:pStyle w:val="Compact"/>
            </w:pPr>
            <w:r>
              <w:t xml:space="preserve">รอ callback ตาม SLA</w:t>
            </w:r>
          </w:p>
        </w:tc>
        <w:tc>
          <w:tcPr/>
          <w:p>
            <w:pPr>
              <w:pStyle w:val="Compact"/>
            </w:pPr>
            <w:r>
              <w:t xml:space="preserve">รอผล</w:t>
            </w:r>
          </w:p>
        </w:tc>
      </w:tr>
      <w:tr>
        <w:tc>
          <w:tcPr/>
          <w:p>
            <w:pPr>
              <w:pStyle w:val="Compact"/>
            </w:pPr>
            <w:r>
              <w:rPr>
                <w:b/>
                <w:bCs/>
              </w:rPr>
              <w:t xml:space="preserve">N</w:t>
            </w:r>
          </w:p>
        </w:tc>
        <w:tc>
          <w:tcPr/>
          <w:p>
            <w:pPr>
              <w:pStyle w:val="Compact"/>
            </w:pPr>
            <w:r>
              <w:t xml:space="preserve">Not authenticated</w:t>
            </w:r>
          </w:p>
        </w:tc>
        <w:tc>
          <w:tcPr/>
          <w:p>
            <w:pPr>
              <w:pStyle w:val="Compact"/>
            </w:pPr>
            <w:r>
              <w:rPr>
                <w:b/>
                <w:bCs/>
              </w:rPr>
              <w:t xml:space="preserve">decline</w:t>
            </w:r>
            <w:r>
              <w:t xml:space="preserve"> </w:t>
            </w:r>
            <w:r>
              <w:t xml:space="preserve">(ไม่ authorize)</w:t>
            </w:r>
          </w:p>
        </w:tc>
        <w:tc>
          <w:tcPr/>
          <w:p>
            <w:pPr>
              <w:pStyle w:val="Compact"/>
            </w:pPr>
            <w:r>
              <w:t xml:space="preserve">อยู่ที่ merchant</w:t>
            </w:r>
          </w:p>
        </w:tc>
      </w:tr>
      <w:tr>
        <w:tc>
          <w:tcPr/>
          <w:p>
            <w:pPr>
              <w:pStyle w:val="Compact"/>
            </w:pPr>
            <w:r>
              <w:rPr>
                <w:b/>
                <w:bCs/>
              </w:rPr>
              <w:t xml:space="preserve">U</w:t>
            </w:r>
          </w:p>
        </w:tc>
        <w:tc>
          <w:tcPr/>
          <w:p>
            <w:pPr>
              <w:pStyle w:val="Compact"/>
            </w:pPr>
            <w:r>
              <w:t xml:space="preserve">Unable / technical</w:t>
            </w:r>
          </w:p>
        </w:tc>
        <w:tc>
          <w:tcPr/>
          <w:p>
            <w:pPr>
              <w:pStyle w:val="Compact"/>
            </w:pPr>
            <w:r>
              <w:t xml:space="preserve">ตามนโยบายความเสี่ยง (ดู 5.4)</w:t>
            </w:r>
          </w:p>
        </w:tc>
        <w:tc>
          <w:tcPr/>
          <w:p>
            <w:pPr>
              <w:pStyle w:val="Compact"/>
            </w:pPr>
            <w:r>
              <w:t xml:space="preserve">ไม่ shift</w:t>
            </w:r>
          </w:p>
        </w:tc>
      </w:tr>
      <w:tr>
        <w:tc>
          <w:tcPr/>
          <w:p>
            <w:pPr>
              <w:pStyle w:val="Compact"/>
            </w:pPr>
            <w:r>
              <w:rPr>
                <w:b/>
                <w:bCs/>
              </w:rPr>
              <w:t xml:space="preserve">R</w:t>
            </w:r>
          </w:p>
        </w:tc>
        <w:tc>
          <w:tcPr/>
          <w:p>
            <w:pPr>
              <w:pStyle w:val="Compact"/>
            </w:pPr>
            <w:r>
              <w:t xml:space="preserve">Rejected โดย issuer</w:t>
            </w:r>
          </w:p>
        </w:tc>
        <w:tc>
          <w:tcPr/>
          <w:p>
            <w:pPr>
              <w:pStyle w:val="Compact"/>
            </w:pPr>
            <w:r>
              <w:t xml:space="preserve">decline</w:t>
            </w:r>
          </w:p>
        </w:tc>
        <w:tc>
          <w:tcPr/>
          <w:p>
            <w:pPr>
              <w:pStyle w:val="Compact"/>
            </w:pPr>
            <w:r>
              <w:t xml:space="preserve">อยู่ที่ merchant</w:t>
            </w:r>
          </w:p>
        </w:tc>
      </w:tr>
    </w:tbl>
    <w:bookmarkEnd w:id="755"/>
    <w:bookmarkStart w:id="756" w:name="sla-และ-timeout"/>
    <w:p>
      <w:pPr>
        <w:pStyle w:val="Heading3"/>
      </w:pPr>
      <w:r>
        <w:t xml:space="preserve">5.3 SLA และ timeout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ขั้นตอน</w:t>
            </w:r>
          </w:p>
        </w:tc>
        <w:tc>
          <w:tcPr/>
          <w:p>
            <w:pPr>
              <w:pStyle w:val="Compact"/>
            </w:pPr>
            <w:r>
              <w:t xml:space="preserve">เป้าหมาย</w:t>
            </w:r>
          </w:p>
        </w:tc>
        <w:tc>
          <w:tcPr/>
          <w:p>
            <w:pPr>
              <w:pStyle w:val="Compact"/>
            </w:pPr>
            <w:r>
              <w:t xml:space="preserve">Timeout / นโยบาย</w:t>
            </w:r>
          </w:p>
        </w:tc>
      </w:tr>
      <w:tr>
        <w:tc>
          <w:tcPr/>
          <w:p>
            <w:pPr>
              <w:pStyle w:val="Compact"/>
            </w:pPr>
            <w:r>
              <w:t xml:space="preserve">AReq → ARes (frictionless)</w:t>
            </w:r>
          </w:p>
        </w:tc>
        <w:tc>
          <w:tcPr/>
          <w:p>
            <w:pPr>
              <w:pStyle w:val="Compact"/>
            </w:pPr>
            <w:r>
              <w:t xml:space="preserve">&lt; 3 วินาที (p95)</w:t>
            </w:r>
          </w:p>
        </w:tc>
        <w:tc>
          <w:tcPr/>
          <w:p>
            <w:pPr>
              <w:pStyle w:val="Compact"/>
            </w:pPr>
            <w:r>
              <w:t xml:space="preserve">timeout 10 วินาที → treat as U</w:t>
            </w:r>
          </w:p>
        </w:tc>
      </w:tr>
      <w:tr>
        <w:tc>
          <w:tcPr/>
          <w:p>
            <w:pPr>
              <w:pStyle w:val="Compact"/>
            </w:pPr>
            <w:r>
              <w:t xml:space="preserve">Challenge (cardholder ทำ OTP)</w:t>
            </w:r>
          </w:p>
        </w:tc>
        <w:tc>
          <w:tcPr/>
          <w:p>
            <w:pPr>
              <w:pStyle w:val="Compact"/>
            </w:pPr>
            <w:r>
              <w:t xml:space="preserve">ผู้ใช้ 3-5 นาที</w:t>
            </w:r>
          </w:p>
        </w:tc>
        <w:tc>
          <w:tcPr/>
          <w:p>
            <w:pPr>
              <w:pStyle w:val="Compact"/>
            </w:pPr>
            <w:r>
              <w:t xml:space="preserve">ACS timeout มาตรฐาน; หมดเวลา → fail closed</w:t>
            </w:r>
          </w:p>
        </w:tc>
      </w:tr>
      <w:tr>
        <w:tc>
          <w:tcPr/>
          <w:p>
            <w:pPr>
              <w:pStyle w:val="Compact"/>
            </w:pPr>
            <w:r>
              <w:t xml:space="preserve">Decoupled (status D)</w:t>
            </w:r>
          </w:p>
        </w:tc>
        <w:tc>
          <w:tcPr/>
          <w:p>
            <w:pPr>
              <w:pStyle w:val="Compact"/>
            </w:pPr>
            <w:r>
              <w:t xml:space="preserve">callback ภายในหน้าต่าง scheme</w:t>
            </w:r>
          </w:p>
        </w:tc>
        <w:tc>
          <w:tcPr/>
          <w:p>
            <w:pPr>
              <w:pStyle w:val="Compact"/>
            </w:pPr>
            <w:r>
              <w:t xml:space="preserve">มี worker ตาม</w:t>
            </w:r>
            <w:r>
              <w:t xml:space="preserve"> </w:t>
            </w:r>
            <w:r>
              <w:rPr>
                <w:rStyle w:val="VerbatimChar"/>
              </w:rPr>
              <w:t xml:space="preserve">next_action</w:t>
            </w:r>
            <w:r>
              <w:t xml:space="preserve"> </w:t>
            </w:r>
            <w:r>
              <w:t xml:space="preserve">+ expiry</w:t>
            </w:r>
          </w:p>
        </w:tc>
      </w:tr>
      <w:tr>
        <w:tc>
          <w:tcPr/>
          <w:p>
            <w:pPr>
              <w:pStyle w:val="Compact"/>
            </w:pPr>
            <w:r>
              <w:t xml:space="preserve">รวม end-to-end auth latency</w:t>
            </w:r>
          </w:p>
        </w:tc>
        <w:tc>
          <w:tcPr/>
          <w:p>
            <w:pPr>
              <w:pStyle w:val="Compact"/>
            </w:pPr>
            <w:r>
              <w:t xml:space="preserve">สอดคล้อง p99 &lt; 800 ms (ส่วน authorize)</w:t>
            </w:r>
          </w:p>
        </w:tc>
        <w:tc>
          <w:tcPr/>
          <w:p>
            <w:pPr>
              <w:pStyle w:val="Compact"/>
            </w:pPr>
            <w:r>
              <w:t xml:space="preserve">3DS challenge ไม่นับใน auth latency เพราะ async ฝั่งผู้ใช้</w:t>
            </w:r>
          </w:p>
        </w:tc>
      </w:tr>
    </w:tbl>
    <w:bookmarkEnd w:id="756"/>
    <w:bookmarkStart w:id="757" w:name="นโยบาย-status-u-unable-และ-fallback"/>
    <w:p>
      <w:pPr>
        <w:pStyle w:val="Heading3"/>
      </w:pPr>
      <w:r>
        <w:t xml:space="preserve">5.4 นโยบาย status U (Unable) และ fallback</w:t>
      </w:r>
    </w:p>
    <w:p>
      <w:pPr>
        <w:pStyle w:val="Compact"/>
        <w:numPr>
          <w:ilvl w:val="0"/>
          <w:numId w:val="1293"/>
        </w:numPr>
      </w:pPr>
      <w:r>
        <w:rPr>
          <w:b/>
          <w:bCs/>
        </w:rPr>
        <w:t xml:space="preserve">U จากปัญหาเทคนิค:</w:t>
      </w:r>
      <w:r>
        <w:t xml:space="preserve"> </w:t>
      </w:r>
      <w:r>
        <w:t xml:space="preserve">ใช้นโยบาย</w:t>
      </w:r>
      <w:r>
        <w:t xml:space="preserve"> </w:t>
      </w:r>
      <w:r>
        <w:rPr>
          <w:b/>
          <w:bCs/>
        </w:rPr>
        <w:t xml:space="preserve">fail closed</w:t>
      </w:r>
      <w:r>
        <w:t xml:space="preserve"> </w:t>
      </w:r>
      <w:r>
        <w:t xml:space="preserve">— ธุรกรรมยอดสูง/เสี่ยงสูง → decline; ยอดต่ำ/เสี่ยงต่ำ</w:t>
      </w:r>
      <w:r>
        <w:t xml:space="preserve"> </w:t>
      </w:r>
      <w:r>
        <w:t xml:space="preserve">อาจ authorize ตาม risk policy แต่</w:t>
      </w:r>
      <w:r>
        <w:t xml:space="preserve"> </w:t>
      </w:r>
      <w:r>
        <w:rPr>
          <w:b/>
          <w:bCs/>
        </w:rPr>
        <w:t xml:space="preserve">ไม่ได้ liability shift</w:t>
      </w:r>
      <w:r>
        <w:t xml:space="preserve"> </w:t>
      </w:r>
      <w:r>
        <w:t xml:space="preserve">(merchant รับความเสี่ยง)</w:t>
      </w:r>
    </w:p>
    <w:p>
      <w:pPr>
        <w:pStyle w:val="Compact"/>
        <w:numPr>
          <w:ilvl w:val="0"/>
          <w:numId w:val="1293"/>
        </w:numPr>
      </w:pPr>
      <w:r>
        <w:t xml:space="preserve">ห้าม fallback ไป 3DS1 เป็น default (EOL) — ใช้เฉพาะกรณีที่ scheme/sponsor ยังอนุญาตชั่วคราวเท่านั้น</w:t>
      </w:r>
    </w:p>
    <w:p>
      <w:pPr>
        <w:pStyle w:val="Compact"/>
        <w:numPr>
          <w:ilvl w:val="0"/>
          <w:numId w:val="1293"/>
        </w:numPr>
      </w:pPr>
      <w:r>
        <w:t xml:space="preserve">ทุกกรณี U/A/fallback ต้องบันทึก</w:t>
      </w:r>
      <w:r>
        <w:t xml:space="preserve"> </w:t>
      </w:r>
      <w:r>
        <w:rPr>
          <w:rStyle w:val="VerbatimChar"/>
        </w:rPr>
        <w:t xml:space="preserve">audit_log</w:t>
      </w:r>
      <w:r>
        <w:t xml:space="preserve"> </w:t>
      </w:r>
      <w:r>
        <w:t xml:space="preserve">เพื่อการตรวจสอบและ dispute</w:t>
      </w:r>
    </w:p>
    <w:p>
      <w:r>
        <w:pict>
          <v:rect style="width:0;height:1.5pt" o:hralign="center" o:hrstd="t" o:hr="t"/>
        </w:pict>
      </w:r>
    </w:p>
    <w:bookmarkEnd w:id="757"/>
    <w:bookmarkEnd w:id="758"/>
    <w:bookmarkStart w:id="759" w:name="liability-shift-กลไกและผลตอ-chargeback"/>
    <w:p>
      <w:pPr>
        <w:pStyle w:val="Heading2"/>
      </w:pPr>
      <w:r>
        <w:t xml:space="preserve">6. Liability Shift — กลไกและผลต่อ Chargeback</w:t>
      </w:r>
    </w:p>
    <w:p>
      <w:pPr>
        <w:pStyle w:val="FirstParagraph"/>
      </w:pPr>
      <w:r>
        <w:rPr>
          <w:b/>
          <w:bCs/>
        </w:rPr>
        <w:t xml:space="preserve">หลักการ:</w:t>
      </w:r>
      <w:r>
        <w:t xml:space="preserve"> </w:t>
      </w:r>
      <w:r>
        <w:t xml:space="preserve">เมื่อธุรกรรมผ่าน 3DS สำเร็จ (transStatus = Y หรือ A)</w:t>
      </w:r>
      <w:r>
        <w:t xml:space="preserve"> </w:t>
      </w:r>
      <w:r>
        <w:rPr>
          <w:b/>
          <w:bCs/>
        </w:rPr>
        <w:t xml:space="preserve">ความรับผิดชอบต่อ fraud chargeback</w:t>
      </w:r>
      <w:r>
        <w:rPr>
          <w:b/>
          <w:bCs/>
        </w:rPr>
        <w:t xml:space="preserve"> </w:t>
      </w:r>
      <w:r>
        <w:rPr>
          <w:b/>
          <w:bCs/>
        </w:rPr>
        <w:t xml:space="preserve">(reason code กลุ่ม fraud/unauthorized) ย้ายจาก acquirer/merchant ไปยัง issuer</w:t>
      </w:r>
      <w:r>
        <w:t xml:space="preserve"> </w:t>
      </w:r>
      <w:r>
        <w:t xml:space="preserve">ทำให้ [บริษัท / Company]</w:t>
      </w:r>
      <w:r>
        <w:t xml:space="preserve"> </w:t>
      </w:r>
      <w:r>
        <w:t xml:space="preserve">และ merchant ได้รับการคุ้มครองจาก dispute ประเภทนี้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กรณี</w:t>
            </w:r>
          </w:p>
        </w:tc>
        <w:tc>
          <w:tcPr/>
          <w:p>
            <w:pPr>
              <w:pStyle w:val="Compact"/>
            </w:pPr>
            <w:r>
              <w:t xml:space="preserve">Liability</w:t>
            </w:r>
          </w:p>
        </w:tc>
        <w:tc>
          <w:tcPr/>
          <w:p>
            <w:pPr>
              <w:pStyle w:val="Compact"/>
            </w:pPr>
            <w:r>
              <w:t xml:space="preserve">หมายเหตุ</w:t>
            </w:r>
          </w:p>
        </w:tc>
      </w:tr>
      <w:tr>
        <w:tc>
          <w:tcPr/>
          <w:p>
            <w:pPr>
              <w:pStyle w:val="Compact"/>
            </w:pPr>
            <w:r>
              <w:t xml:space="preserve">3DS สำเร็จ (Y)</w:t>
            </w:r>
          </w:p>
        </w:tc>
        <w:tc>
          <w:tcPr/>
          <w:p>
            <w:pPr>
              <w:pStyle w:val="Compact"/>
            </w:pPr>
            <w:r>
              <w:rPr>
                <w:b/>
                <w:bCs/>
              </w:rPr>
              <w:t xml:space="preserve">Issuer</w:t>
            </w:r>
          </w:p>
        </w:tc>
        <w:tc>
          <w:tcPr/>
          <w:p>
            <w:pPr>
              <w:pStyle w:val="Compact"/>
            </w:pPr>
            <w:r>
              <w:t xml:space="preserve">คุ้มครอง fraud chargeback</w:t>
            </w:r>
          </w:p>
        </w:tc>
      </w:tr>
      <w:tr>
        <w:tc>
          <w:tcPr/>
          <w:p>
            <w:pPr>
              <w:pStyle w:val="Compact"/>
            </w:pPr>
            <w:r>
              <w:t xml:space="preserve">3DS attempted (A)</w:t>
            </w:r>
          </w:p>
        </w:tc>
        <w:tc>
          <w:tcPr/>
          <w:p>
            <w:pPr>
              <w:pStyle w:val="Compact"/>
            </w:pPr>
            <w:r>
              <w:rPr>
                <w:b/>
                <w:bCs/>
              </w:rPr>
              <w:t xml:space="preserve">Issuer</w:t>
            </w:r>
            <w:r>
              <w:t xml:space="preserve"> </w:t>
            </w:r>
            <w:r>
              <w:t xml:space="preserve">(โดยทั่วไป)</w:t>
            </w:r>
          </w:p>
        </w:tc>
        <w:tc>
          <w:tcPr/>
          <w:p>
            <w:pPr>
              <w:pStyle w:val="Compact"/>
            </w:pPr>
            <w:r>
              <w:t xml:space="preserve">ขึ้นกับ scheme rule</w:t>
            </w:r>
          </w:p>
        </w:tc>
      </w:tr>
      <w:tr>
        <w:tc>
          <w:tcPr/>
          <w:p>
            <w:pPr>
              <w:pStyle w:val="Compact"/>
            </w:pPr>
            <w:r>
              <w:t xml:space="preserve">ใช้ exemption (TRA/LVP) โดย acquirer/merchant</w:t>
            </w:r>
          </w:p>
        </w:tc>
        <w:tc>
          <w:tcPr/>
          <w:p>
            <w:pPr>
              <w:pStyle w:val="Compact"/>
            </w:pPr>
            <w:r>
              <w:rPr>
                <w:b/>
                <w:bCs/>
              </w:rPr>
              <w:t xml:space="preserve">Acquirer/Merchant</w:t>
            </w:r>
          </w:p>
        </w:tc>
        <w:tc>
          <w:tcPr/>
          <w:p>
            <w:pPr>
              <w:pStyle w:val="Compact"/>
            </w:pPr>
            <w:r>
              <w:t xml:space="preserve">แลกกับ frictionless แต่รับความเสี่ยง</w:t>
            </w:r>
          </w:p>
        </w:tc>
      </w:tr>
      <w:tr>
        <w:tc>
          <w:tcPr/>
          <w:p>
            <w:pPr>
              <w:pStyle w:val="Compact"/>
            </w:pPr>
            <w:r>
              <w:t xml:space="preserve">ไม่ทำ 3DS ทั้งที่ควรทำ</w:t>
            </w:r>
          </w:p>
        </w:tc>
        <w:tc>
          <w:tcPr/>
          <w:p>
            <w:pPr>
              <w:pStyle w:val="Compact"/>
            </w:pPr>
            <w:r>
              <w:rPr>
                <w:b/>
                <w:bCs/>
              </w:rPr>
              <w:t xml:space="preserve">Merchant</w:t>
            </w:r>
          </w:p>
        </w:tc>
        <w:tc>
          <w:tcPr/>
          <w:p>
            <w:pPr>
              <w:pStyle w:val="Compact"/>
            </w:pPr>
            <w:r>
              <w:t xml:space="preserve">เต็มจำนวน</w:t>
            </w:r>
          </w:p>
        </w:tc>
      </w:tr>
      <w:tr>
        <w:tc>
          <w:tcPr/>
          <w:p>
            <w:pPr>
              <w:pStyle w:val="Compact"/>
            </w:pPr>
            <w:r>
              <w:t xml:space="preserve">status U / N / R</w:t>
            </w:r>
          </w:p>
        </w:tc>
        <w:tc>
          <w:tcPr/>
          <w:p>
            <w:pPr>
              <w:pStyle w:val="Compact"/>
            </w:pPr>
            <w:r>
              <w:rPr>
                <w:b/>
                <w:bCs/>
              </w:rPr>
              <w:t xml:space="preserve">Merchant</w:t>
            </w:r>
          </w:p>
        </w:tc>
        <w:tc>
          <w:tcPr/>
          <w:p>
            <w:pPr>
              <w:pStyle w:val="Compact"/>
            </w:pPr>
            <w:r>
              <w:t xml:space="preserve">ไม่ shift</w:t>
            </w:r>
          </w:p>
        </w:tc>
      </w:tr>
    </w:tbl>
    <w:p>
      <w:pPr>
        <w:pStyle w:val="BodyText"/>
      </w:pPr>
      <w:r>
        <w:rPr>
          <w:b/>
          <w:bCs/>
        </w:rPr>
        <w:t xml:space="preserve">ผลต่อ dispute/chargeback workflow</w:t>
      </w:r>
      <w:r>
        <w:t xml:space="preserve"> </w:t>
      </w:r>
      <w:r>
        <w:t xml:space="preserve">(สอดคล้อง</w:t>
      </w:r>
      <w:r>
        <w:t xml:space="preserve"> </w:t>
      </w:r>
      <w:r>
        <w:rPr>
          <w:rStyle w:val="VerbatimChar"/>
        </w:rPr>
        <w:t xml:space="preserve">ROADMAP.md</w:t>
      </w:r>
      <w:r>
        <w:t xml:space="preserve"> </w:t>
      </w:r>
      <w:r>
        <w:t xml:space="preserve">Phase 3):</w:t>
      </w:r>
      <w:r>
        <w:t xml:space="preserve"> </w:t>
      </w:r>
      <w:r>
        <w:t xml:space="preserve">1. เมื่อเกิด chargeback ต้อง lookup</w:t>
      </w:r>
      <w:r>
        <w:t xml:space="preserve"> </w:t>
      </w:r>
      <w:r>
        <w:rPr>
          <w:b/>
          <w:bCs/>
        </w:rPr>
        <w:t xml:space="preserve">3DS authentication data (CAVV/AAV, ECI, DS transaction ID,</w:t>
      </w:r>
      <w:r>
        <w:rPr>
          <w:b/>
          <w:bCs/>
        </w:rPr>
        <w:t xml:space="preserve"> </w:t>
      </w:r>
      <w:r>
        <w:rPr>
          <w:b/>
          <w:bCs/>
        </w:rPr>
        <w:t xml:space="preserve">transStatus)</w:t>
      </w:r>
      <w:r>
        <w:t xml:space="preserve"> </w:t>
      </w:r>
      <w:r>
        <w:t xml:space="preserve">จาก</w:t>
      </w:r>
      <w:r>
        <w:t xml:space="preserve"> </w:t>
      </w:r>
      <w:r>
        <w:rPr>
          <w:rStyle w:val="VerbatimChar"/>
        </w:rPr>
        <w:t xml:space="preserve">audit_log</w:t>
      </w:r>
      <w:r>
        <w:t xml:space="preserve"> </w:t>
      </w:r>
      <w:r>
        <w:t xml:space="preserve">เพื่อประกอบ representment</w:t>
      </w:r>
      <w:r>
        <w:t xml:space="preserve"> </w:t>
      </w:r>
      <w:r>
        <w:t xml:space="preserve">2.</w:t>
      </w:r>
      <w:r>
        <w:t xml:space="preserve"> </w:t>
      </w:r>
      <w:r>
        <w:rPr>
          <w:b/>
          <w:bCs/>
        </w:rPr>
        <w:t xml:space="preserve">ECI (E-Commerce Indicator)</w:t>
      </w:r>
      <w:r>
        <w:t xml:space="preserve"> </w:t>
      </w:r>
      <w:r>
        <w:t xml:space="preserve">บันทึกทุกธุรกรรม: Visa ECI 05 / Mastercard ECI 02 = fully authenticated;</w:t>
      </w:r>
      <w:r>
        <w:t xml:space="preserve"> </w:t>
      </w:r>
      <w:r>
        <w:t xml:space="preserve">ECI 06/01 = attempted; ECI 07/00 = ไม่ authenticated</w:t>
      </w:r>
      <w:r>
        <w:t xml:space="preserve"> </w:t>
      </w:r>
      <w:r>
        <w:t xml:space="preserve">3. หากมี liability shift แต่ยังโดน chargeback → ยื่น</w:t>
      </w:r>
      <w:r>
        <w:t xml:space="preserve"> </w:t>
      </w:r>
      <w:r>
        <w:rPr>
          <w:b/>
          <w:bCs/>
        </w:rPr>
        <w:t xml:space="preserve">pre-arbitration/representment</w:t>
      </w:r>
      <w:r>
        <w:t xml:space="preserve"> </w:t>
      </w:r>
      <w:r>
        <w:t xml:space="preserve">พร้อมหลักฐาน 3DS</w:t>
      </w:r>
      <w:r>
        <w:t xml:space="preserve"> </w:t>
      </w:r>
      <w:r>
        <w:t xml:space="preserve">4. เก็บ authentication artifacts ตาม retention policy (ดูหมวด 8)</w:t>
      </w:r>
    </w:p>
    <w:p>
      <w:pPr>
        <w:pStyle w:val="BlockText"/>
      </w:pPr>
      <w:r>
        <w:rPr>
          <w:b/>
          <w:bCs/>
        </w:rPr>
        <w:t xml:space="preserve">สำคัญ:</w:t>
      </w:r>
      <w:r>
        <w:t xml:space="preserve"> </w:t>
      </w:r>
      <w:r>
        <w:t xml:space="preserve">liability shift</w:t>
      </w:r>
      <w:r>
        <w:t xml:space="preserve"> </w:t>
      </w:r>
      <w:r>
        <w:rPr>
          <w:b/>
          <w:bCs/>
        </w:rPr>
        <w:t xml:space="preserve">ไม่คุ้มครอง</w:t>
      </w:r>
      <w:r>
        <w:t xml:space="preserve"> </w:t>
      </w:r>
      <w:r>
        <w:t xml:space="preserve">dispute ประเภท non-fraud (สินค้าไม่ตรง, ไม่ได้รับของ,</w:t>
      </w:r>
      <w:r>
        <w:t xml:space="preserve"> </w:t>
      </w:r>
      <w:r>
        <w:t xml:space="preserve">processing error) — ต้องจัดการผ่าน dispute workflow ปกติ</w:t>
      </w:r>
    </w:p>
    <w:p>
      <w:r>
        <w:pict>
          <v:rect style="width:0;height:1.5pt" o:hralign="center" o:hrstd="t" o:hr="t"/>
        </w:pict>
      </w:r>
    </w:p>
    <w:bookmarkEnd w:id="759"/>
    <w:bookmarkStart w:id="760" w:name="บทบาทหนาท-raci"/>
    <w:p>
      <w:pPr>
        <w:pStyle w:val="Heading2"/>
      </w:pPr>
      <w:r>
        <w:t xml:space="preserve">7. บทบาทหน้าที่ (RACI)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กิจกรรม</w:t>
            </w:r>
          </w:p>
        </w:tc>
        <w:tc>
          <w:tcPr/>
          <w:p>
            <w:pPr>
              <w:pStyle w:val="Compact"/>
            </w:pPr>
            <w:r>
              <w:t xml:space="preserve">Backend/Eng</w:t>
            </w:r>
          </w:p>
        </w:tc>
        <w:tc>
          <w:tcPr/>
          <w:p>
            <w:pPr>
              <w:pStyle w:val="Compact"/>
            </w:pPr>
            <w:r>
              <w:t xml:space="preserve">Risk/DevSecOps</w:t>
            </w:r>
          </w:p>
        </w:tc>
        <w:tc>
          <w:tcPr/>
          <w:p>
            <w:pPr>
              <w:pStyle w:val="Compact"/>
            </w:pPr>
            <w:r>
              <w:t xml:space="preserve">Compliance/Legal</w:t>
            </w:r>
          </w:p>
        </w:tc>
        <w:tc>
          <w:tcPr/>
          <w:p>
            <w:pPr>
              <w:pStyle w:val="Compact"/>
            </w:pPr>
            <w:r>
              <w:t xml:space="preserve">Sponsor Bank</w:t>
            </w:r>
          </w:p>
        </w:tc>
        <w:tc>
          <w:tcPr/>
          <w:p>
            <w:pPr>
              <w:pStyle w:val="Compact"/>
            </w:pPr>
            <w:r>
              <w:t xml:space="preserve">QSA</w:t>
            </w:r>
          </w:p>
        </w:tc>
      </w:tr>
      <w:tr>
        <w:tc>
          <w:tcPr/>
          <w:p>
            <w:pPr>
              <w:pStyle w:val="Compact"/>
            </w:pPr>
            <w:r>
              <w:t xml:space="preserve">ออกแบบ/พัฒนา 3DS Adapter</w:t>
            </w:r>
          </w:p>
        </w:tc>
        <w:tc>
          <w:tcPr/>
          <w:p>
            <w:pPr>
              <w:pStyle w:val="Compact"/>
            </w:pPr>
            <w:r>
              <w:rPr>
                <w:b/>
                <w:bCs/>
              </w:rPr>
              <w:t xml:space="preserve">R/A</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I</w:t>
            </w:r>
          </w:p>
        </w:tc>
      </w:tr>
      <w:tr>
        <w:tc>
          <w:tcPr/>
          <w:p>
            <w:pPr>
              <w:pStyle w:val="Compact"/>
            </w:pPr>
            <w:r>
              <w:t xml:space="preserve">กำหนด exemption threshold</w:t>
            </w:r>
          </w:p>
        </w:tc>
        <w:tc>
          <w:tcPr/>
          <w:p>
            <w:pPr>
              <w:pStyle w:val="Compact"/>
            </w:pPr>
            <w:r>
              <w:t xml:space="preserve">C</w:t>
            </w:r>
          </w:p>
        </w:tc>
        <w:tc>
          <w:tcPr/>
          <w:p>
            <w:pPr>
              <w:pStyle w:val="Compact"/>
            </w:pPr>
            <w:r>
              <w:t xml:space="preserve">R</w:t>
            </w:r>
          </w:p>
        </w:tc>
        <w:tc>
          <w:tcPr/>
          <w:p>
            <w:pPr>
              <w:pStyle w:val="Compact"/>
            </w:pPr>
            <w:r>
              <w:rPr>
                <w:b/>
                <w:bCs/>
              </w:rPr>
              <w:t xml:space="preserve">A</w:t>
            </w:r>
          </w:p>
        </w:tc>
        <w:tc>
          <w:tcPr/>
          <w:p>
            <w:pPr>
              <w:pStyle w:val="Compact"/>
            </w:pPr>
            <w:r>
              <w:t xml:space="preserve">C</w:t>
            </w:r>
          </w:p>
        </w:tc>
        <w:tc>
          <w:tcPr/>
          <w:p>
            <w:pPr>
              <w:pStyle w:val="Compact"/>
            </w:pPr>
            <w:r>
              <w:t xml:space="preserve">I</w:t>
            </w:r>
          </w:p>
        </w:tc>
      </w:tr>
      <w:tr>
        <w:tc>
          <w:tcPr/>
          <w:p>
            <w:pPr>
              <w:pStyle w:val="Compact"/>
            </w:pPr>
            <w:r>
              <w:t xml:space="preserve">RBA / risk scoring engine</w:t>
            </w:r>
          </w:p>
        </w:tc>
        <w:tc>
          <w:tcPr/>
          <w:p>
            <w:pPr>
              <w:pStyle w:val="Compact"/>
            </w:pPr>
            <w:r>
              <w:t xml:space="preserve">R</w:t>
            </w:r>
          </w:p>
        </w:tc>
        <w:tc>
          <w:tcPr/>
          <w:p>
            <w:pPr>
              <w:pStyle w:val="Compact"/>
            </w:pPr>
            <w:r>
              <w:rPr>
                <w:b/>
                <w:bCs/>
              </w:rPr>
              <w:t xml:space="preserve">R/A</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Fraud-rate monitoring (TRA)</w:t>
            </w:r>
          </w:p>
        </w:tc>
        <w:tc>
          <w:tcPr/>
          <w:p>
            <w:pPr>
              <w:pStyle w:val="Compact"/>
            </w:pPr>
            <w:r>
              <w:t xml:space="preserve">C</w:t>
            </w:r>
          </w:p>
        </w:tc>
        <w:tc>
          <w:tcPr/>
          <w:p>
            <w:pPr>
              <w:pStyle w:val="Compact"/>
            </w:pPr>
            <w:r>
              <w:rPr>
                <w:b/>
                <w:bCs/>
              </w:rPr>
              <w:t xml:space="preserve">R</w:t>
            </w:r>
          </w:p>
        </w:tc>
        <w:tc>
          <w:tcPr/>
          <w:p>
            <w:pPr>
              <w:pStyle w:val="Compact"/>
            </w:pPr>
            <w:r>
              <w:t xml:space="preserve">A</w:t>
            </w:r>
          </w:p>
        </w:tc>
        <w:tc>
          <w:tcPr/>
          <w:p>
            <w:pPr>
              <w:pStyle w:val="Compact"/>
            </w:pPr>
            <w:r>
              <w:t xml:space="preserve">I</w:t>
            </w:r>
          </w:p>
        </w:tc>
        <w:tc>
          <w:tcPr/>
          <w:p>
            <w:pPr>
              <w:pStyle w:val="Compact"/>
            </w:pPr>
            <w:r>
              <w:t xml:space="preserve">I</w:t>
            </w:r>
          </w:p>
        </w:tc>
      </w:tr>
      <w:tr>
        <w:tc>
          <w:tcPr/>
          <w:p>
            <w:pPr>
              <w:pStyle w:val="Compact"/>
            </w:pPr>
            <w:r>
              <w:t xml:space="preserve">Liability/chargeback workflow</w:t>
            </w:r>
          </w:p>
        </w:tc>
        <w:tc>
          <w:tcPr/>
          <w:p>
            <w:pPr>
              <w:pStyle w:val="Compact"/>
            </w:pPr>
            <w:r>
              <w:t xml:space="preserve">R</w:t>
            </w:r>
          </w:p>
        </w:tc>
        <w:tc>
          <w:tcPr/>
          <w:p>
            <w:pPr>
              <w:pStyle w:val="Compact"/>
            </w:pPr>
            <w:r>
              <w:t xml:space="preserve">C</w:t>
            </w:r>
          </w:p>
        </w:tc>
        <w:tc>
          <w:tcPr/>
          <w:p>
            <w:pPr>
              <w:pStyle w:val="Compact"/>
            </w:pPr>
            <w:r>
              <w:rPr>
                <w:b/>
                <w:bCs/>
              </w:rPr>
              <w:t xml:space="preserve">A</w:t>
            </w:r>
          </w:p>
        </w:tc>
        <w:tc>
          <w:tcPr/>
          <w:p>
            <w:pPr>
              <w:pStyle w:val="Compact"/>
            </w:pPr>
            <w:r>
              <w:t xml:space="preserve">C</w:t>
            </w:r>
          </w:p>
        </w:tc>
        <w:tc>
          <w:tcPr/>
          <w:p>
            <w:pPr>
              <w:pStyle w:val="Compact"/>
            </w:pPr>
            <w:r>
              <w:t xml:space="preserve">I</w:t>
            </w:r>
          </w:p>
        </w:tc>
      </w:tr>
      <w:tr>
        <w:tc>
          <w:tcPr/>
          <w:p>
            <w:pPr>
              <w:pStyle w:val="Compact"/>
            </w:pPr>
            <w:r>
              <w:t xml:space="preserve">PCI scope ของ 3DS data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rPr>
                <w:b/>
                <w:bCs/>
              </w:rPr>
              <w:t xml:space="preserve">A/V</w:t>
            </w:r>
          </w:p>
        </w:tc>
      </w:tr>
      <w:tr>
        <w:tc>
          <w:tcPr/>
          <w:p>
            <w:pPr>
              <w:pStyle w:val="Compact"/>
            </w:pPr>
            <w:r>
              <w:t xml:space="preserve">ยื่นเอกสารต่อ ธปท.</w:t>
            </w:r>
          </w:p>
        </w:tc>
        <w:tc>
          <w:tcPr/>
          <w:p>
            <w:pPr>
              <w:pStyle w:val="Compact"/>
            </w:pPr>
            <w:r>
              <w:t xml:space="preserve">I</w:t>
            </w:r>
          </w:p>
        </w:tc>
        <w:tc>
          <w:tcPr/>
          <w:p>
            <w:pPr>
              <w:pStyle w:val="Compact"/>
            </w:pPr>
            <w:r>
              <w:t xml:space="preserve">I</w:t>
            </w:r>
          </w:p>
        </w:tc>
        <w:tc>
          <w:tcPr/>
          <w:p>
            <w:pPr>
              <w:pStyle w:val="Compact"/>
            </w:pPr>
            <w:r>
              <w:rPr>
                <w:b/>
                <w:bCs/>
              </w:rPr>
              <w:t xml:space="preserve">R/A</w:t>
            </w:r>
          </w:p>
        </w:tc>
        <w:tc>
          <w:tcPr/>
          <w:p>
            <w:pPr>
              <w:pStyle w:val="Compact"/>
            </w:pPr>
            <w:r>
              <w:t xml:space="preserve">I</w:t>
            </w:r>
          </w:p>
        </w:tc>
        <w:tc>
          <w:tcPr/>
          <w:p>
            <w:pPr>
              <w:pStyle w:val="Compact"/>
            </w:pPr>
            <w:r>
              <w:t xml:space="preserve">I</w:t>
            </w:r>
          </w:p>
        </w:tc>
      </w:tr>
      <w:tr>
        <w:tc>
          <w:tcPr/>
          <w:p>
            <w:pPr>
              <w:pStyle w:val="Compact"/>
            </w:pPr>
            <w:r>
              <w:t xml:space="preserve">Scheme certification (3DS)</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rPr>
                <w:b/>
                <w:bCs/>
              </w:rPr>
              <w:t xml:space="preserve">A</w:t>
            </w:r>
          </w:p>
        </w:tc>
        <w:tc>
          <w:tcPr/>
          <w:p>
            <w:pPr>
              <w:pStyle w:val="Compact"/>
            </w:pPr>
            <w:r>
              <w:t xml:space="preserve">I</w:t>
            </w:r>
          </w:p>
        </w:tc>
      </w:tr>
    </w:tbl>
    <w:p>
      <w:pPr>
        <w:pStyle w:val="BodyText"/>
      </w:pPr>
      <w:r>
        <w:t xml:space="preserve">(R=Responsible, A=Accountable, C=Consulted, I=Informed, V=Verify)</w:t>
      </w:r>
    </w:p>
    <w:p>
      <w:r>
        <w:pict>
          <v:rect style="width:0;height:1.5pt" o:hralign="center" o:hrstd="t" o:hr="t"/>
        </w:pict>
      </w:r>
    </w:p>
    <w:bookmarkEnd w:id="760"/>
    <w:bookmarkStart w:id="761" w:name="ขอมล-3ds-pci-dss-v4.0-และ-pdpa"/>
    <w:p>
      <w:pPr>
        <w:pStyle w:val="Heading2"/>
      </w:pPr>
      <w:r>
        <w:t xml:space="preserve">8. ข้อมูล 3DS, PCI-DSS v4.0 และ PDPA</w:t>
      </w:r>
    </w:p>
    <w:p>
      <w:pPr>
        <w:pStyle w:val="Compact"/>
        <w:numPr>
          <w:ilvl w:val="0"/>
          <w:numId w:val="1294"/>
        </w:numPr>
      </w:pPr>
      <w:r>
        <w:rPr>
          <w:b/>
          <w:bCs/>
        </w:rPr>
        <w:t xml:space="preserve">PCI-DSS v4.0:</w:t>
      </w:r>
      <w:r>
        <w:t xml:space="preserve"> </w:t>
      </w:r>
      <w:r>
        <w:t xml:space="preserve">ข้อมูล authentication (CAVV/AAV, ECI, DS transaction ID)</w:t>
      </w:r>
      <w:r>
        <w:t xml:space="preserve"> </w:t>
      </w:r>
      <w:r>
        <w:rPr>
          <w:b/>
          <w:bCs/>
        </w:rPr>
        <w:t xml:space="preserve">ไม่ใช่ full PAN</w:t>
      </w:r>
      <w:r>
        <w:t xml:space="preserve"> </w:t>
      </w:r>
      <w:r>
        <w:t xml:space="preserve">แต่ถือเป็น</w:t>
      </w:r>
      <w:r>
        <w:t xml:space="preserve"> </w:t>
      </w:r>
      <w:r>
        <w:t xml:space="preserve">sensitive — เก็บใน scope ที่ควบคุม, เข้ารหัส at-rest, ห้าม log ในระบบทั่วไป (สอดคล้อง</w:t>
      </w:r>
      <w:r>
        <w:t xml:space="preserve"> </w:t>
      </w:r>
      <w:r>
        <w:rPr>
          <w:rStyle w:val="VerbatimChar"/>
        </w:rPr>
        <w:t xml:space="preserve">ARCHITECTURE.md</w:t>
      </w:r>
      <w:r>
        <w:t xml:space="preserve"> </w:t>
      </w:r>
      <w:r>
        <w:t xml:space="preserve">ข้อ 7)</w:t>
      </w:r>
    </w:p>
    <w:p>
      <w:pPr>
        <w:pStyle w:val="Compact"/>
        <w:numPr>
          <w:ilvl w:val="0"/>
          <w:numId w:val="1294"/>
        </w:numPr>
      </w:pPr>
      <w:r>
        <w:rPr>
          <w:b/>
          <w:bCs/>
        </w:rPr>
        <w:t xml:space="preserve">ห้ามเก็บ</w:t>
      </w:r>
      <w:r>
        <w:t xml:space="preserve"> </w:t>
      </w:r>
      <w:r>
        <w:t xml:space="preserve">full PAN/CVV/PIN ในระบบ operational — 3DS ทำงานบน payment token/detokenize ใน PCI scope เท่านั้น</w:t>
      </w:r>
    </w:p>
    <w:p>
      <w:pPr>
        <w:pStyle w:val="Compact"/>
        <w:numPr>
          <w:ilvl w:val="0"/>
          <w:numId w:val="1294"/>
        </w:numPr>
      </w:pPr>
      <w:r>
        <w:rPr>
          <w:b/>
          <w:bCs/>
        </w:rPr>
        <w:t xml:space="preserve">PCI v4.0 e-commerce controls:</w:t>
      </w:r>
      <w:r>
        <w:t xml:space="preserve"> </w:t>
      </w:r>
      <w:r>
        <w:t xml:space="preserve">Req 6.4.3 และ 11.6.1 (การจัดการ payment page scripts / change detection)</w:t>
      </w:r>
      <w:r>
        <w:t xml:space="preserve"> </w:t>
      </w:r>
      <w:r>
        <w:t xml:space="preserve">บังคับตั้งแต่ 31 มี.ค. 2025 — ต้องรวมในการออกแบบหน้ารับชำระ/3DS challenge redirect</w:t>
      </w:r>
    </w:p>
    <w:p>
      <w:pPr>
        <w:pStyle w:val="Compact"/>
        <w:numPr>
          <w:ilvl w:val="0"/>
          <w:numId w:val="1294"/>
        </w:numPr>
      </w:pPr>
      <w:r>
        <w:rPr>
          <w:b/>
          <w:bCs/>
        </w:rPr>
        <w:t xml:space="preserve">PDPA (พ.ร.บ. คุ้มครองข้อมูลส่วนบุคคล พ.ศ. 2562):</w:t>
      </w:r>
      <w:r>
        <w:t xml:space="preserve"> </w:t>
      </w:r>
      <w:r>
        <w:t xml:space="preserve">device data / browser fingerprint ที่เก็บเพื่อ RBA</w:t>
      </w:r>
      <w:r>
        <w:t xml:space="preserve"> </w:t>
      </w:r>
      <w:r>
        <w:t xml:space="preserve">เป็นข้อมูลส่วนบุคคล — ต้องระบุฐานการประมวลผล (legitimate interest / fraud prevention), แจ้ง privacy notice,</w:t>
      </w:r>
      <w:r>
        <w:t xml:space="preserve"> </w:t>
      </w:r>
      <w:r>
        <w:t xml:space="preserve">จำกัดวัตถุประสงค์, และ retention ตามความจำเป็น</w:t>
      </w:r>
    </w:p>
    <w:p>
      <w:pPr>
        <w:pStyle w:val="Compact"/>
        <w:numPr>
          <w:ilvl w:val="0"/>
          <w:numId w:val="1294"/>
        </w:numPr>
      </w:pPr>
      <w:r>
        <w:rPr>
          <w:b/>
          <w:bCs/>
        </w:rPr>
        <w:t xml:space="preserve">AMLO (ปปง.):</w:t>
      </w:r>
      <w:r>
        <w:t xml:space="preserve"> </w:t>
      </w:r>
      <w:r>
        <w:t xml:space="preserve">ผล 3DS เป็น input หนึ่งของ fraud/AML monitoring; ธุรกรรมที่ผิดปกติเข้าสู่ suspicious</w:t>
      </w:r>
      <w:r>
        <w:t xml:space="preserve"> </w:t>
      </w:r>
      <w:r>
        <w:t xml:space="preserve">transaction workflow</w:t>
      </w:r>
    </w:p>
    <w:p>
      <w:pPr>
        <w:pStyle w:val="Compact"/>
        <w:numPr>
          <w:ilvl w:val="0"/>
          <w:numId w:val="1294"/>
        </w:numPr>
      </w:pPr>
      <w:r>
        <w:rPr>
          <w:b/>
          <w:bCs/>
        </w:rPr>
        <w:t xml:space="preserve">Data residency:</w:t>
      </w:r>
      <w:r>
        <w:t xml:space="preserve"> </w:t>
      </w:r>
      <w:r>
        <w:t xml:space="preserve">เก็บข้อมูลในไทยตามข้อกำหนด ธปท./PDPA (</w:t>
      </w:r>
      <w:r>
        <w:rPr>
          <w:rStyle w:val="VerbatimChar"/>
        </w:rPr>
        <w:t xml:space="preserve">ARCHITECTURE.md</w:t>
      </w:r>
      <w:r>
        <w:t xml:space="preserve"> </w:t>
      </w:r>
      <w:r>
        <w:t xml:space="preserve">ข้อ 8)</w:t>
      </w:r>
    </w:p>
    <w:p>
      <w:pPr>
        <w:pStyle w:val="Compact"/>
        <w:numPr>
          <w:ilvl w:val="0"/>
          <w:numId w:val="1294"/>
        </w:numPr>
      </w:pPr>
      <w:r>
        <w:rPr>
          <w:b/>
          <w:bCs/>
        </w:rPr>
        <w:t xml:space="preserve">Retention:</w:t>
      </w:r>
      <w:r>
        <w:t xml:space="preserve"> </w:t>
      </w:r>
      <w:r>
        <w:t xml:space="preserve">เก็บ 3DS authentication artifacts อย่างน้อยตามหน้าต่าง dispute/chargeback ของ scheme</w:t>
      </w:r>
      <w:r>
        <w:t xml:space="preserve"> </w:t>
      </w:r>
      <w:r>
        <w:t xml:space="preserve">(baseline</w:t>
      </w:r>
      <w:r>
        <w:t xml:space="preserve"> </w:t>
      </w:r>
      <w:r>
        <w:rPr>
          <w:b/>
          <w:bCs/>
        </w:rPr>
        <w:t xml:space="preserve">18 เดือน</w:t>
      </w:r>
      <w:r>
        <w:t xml:space="preserve">, TODO ยืนยันกับ sponsor) เพื่อรองรับ representment และ audit ธปท.</w:t>
      </w:r>
    </w:p>
    <w:p>
      <w:r>
        <w:pict>
          <v:rect style="width:0;height:1.5pt" o:hralign="center" o:hrstd="t" o:hr="t"/>
        </w:pict>
      </w:r>
    </w:p>
    <w:bookmarkEnd w:id="761"/>
    <w:bookmarkStart w:id="762" w:name="kpi-และการตดตาม"/>
    <w:p>
      <w:pPr>
        <w:pStyle w:val="Heading2"/>
      </w:pPr>
      <w:r>
        <w:t xml:space="preserve">9. KPI และการติดตาม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เป้าหมาย</w:t>
            </w:r>
          </w:p>
        </w:tc>
        <w:tc>
          <w:tcPr/>
          <w:p>
            <w:pPr>
              <w:pStyle w:val="Compact"/>
            </w:pPr>
            <w:r>
              <w:t xml:space="preserve">ความถี่</w:t>
            </w:r>
          </w:p>
        </w:tc>
      </w:tr>
      <w:tr>
        <w:tc>
          <w:tcPr/>
          <w:p>
            <w:pPr>
              <w:pStyle w:val="Compact"/>
            </w:pPr>
            <w:r>
              <w:t xml:space="preserve">Frictionless rate</w:t>
            </w:r>
          </w:p>
        </w:tc>
        <w:tc>
          <w:tcPr/>
          <w:p>
            <w:pPr>
              <w:pStyle w:val="Compact"/>
            </w:pPr>
            <w:r>
              <w:t xml:space="preserve">≥ 90% ของธุรกรรมที่ผ่าน 3DS</w:t>
            </w:r>
          </w:p>
        </w:tc>
        <w:tc>
          <w:tcPr/>
          <w:p>
            <w:pPr>
              <w:pStyle w:val="Compact"/>
            </w:pPr>
            <w:r>
              <w:t xml:space="preserve">รายเดือน</w:t>
            </w:r>
          </w:p>
        </w:tc>
      </w:tr>
      <w:tr>
        <w:tc>
          <w:tcPr/>
          <w:p>
            <w:pPr>
              <w:pStyle w:val="Compact"/>
            </w:pPr>
            <w:r>
              <w:t xml:space="preserve">Challenge abandonment</w:t>
            </w:r>
          </w:p>
        </w:tc>
        <w:tc>
          <w:tcPr/>
          <w:p>
            <w:pPr>
              <w:pStyle w:val="Compact"/>
            </w:pPr>
            <w:r>
              <w:t xml:space="preserve">≤ 10%</w:t>
            </w:r>
          </w:p>
        </w:tc>
        <w:tc>
          <w:tcPr/>
          <w:p>
            <w:pPr>
              <w:pStyle w:val="Compact"/>
            </w:pPr>
            <w:r>
              <w:t xml:space="preserve">รายเดือน</w:t>
            </w:r>
          </w:p>
        </w:tc>
      </w:tr>
      <w:tr>
        <w:tc>
          <w:tcPr/>
          <w:p>
            <w:pPr>
              <w:pStyle w:val="Compact"/>
            </w:pPr>
            <w:r>
              <w:t xml:space="preserve">Fraud rate (post-3DS)</w:t>
            </w:r>
          </w:p>
        </w:tc>
        <w:tc>
          <w:tcPr/>
          <w:p>
            <w:pPr>
              <w:pStyle w:val="Compact"/>
            </w:pPr>
            <w:r>
              <w:t xml:space="preserve">ต่ำกว่า TRA threshold ที่ใช้</w:t>
            </w:r>
          </w:p>
        </w:tc>
        <w:tc>
          <w:tcPr/>
          <w:p>
            <w:pPr>
              <w:pStyle w:val="Compact"/>
            </w:pPr>
            <w:r>
              <w:t xml:space="preserve">รายสัปดาห์</w:t>
            </w:r>
          </w:p>
        </w:tc>
      </w:tr>
      <w:tr>
        <w:tc>
          <w:tcPr/>
          <w:p>
            <w:pPr>
              <w:pStyle w:val="Compact"/>
            </w:pPr>
            <w:r>
              <w:t xml:space="preserve">Authentication success (Y+A)</w:t>
            </w:r>
          </w:p>
        </w:tc>
        <w:tc>
          <w:tcPr/>
          <w:p>
            <w:pPr>
              <w:pStyle w:val="Compact"/>
            </w:pPr>
            <w:r>
              <w:t xml:space="preserve">≥ 95%</w:t>
            </w:r>
          </w:p>
        </w:tc>
        <w:tc>
          <w:tcPr/>
          <w:p>
            <w:pPr>
              <w:pStyle w:val="Compact"/>
            </w:pPr>
            <w:r>
              <w:t xml:space="preserve">รายสัปดาห์</w:t>
            </w:r>
          </w:p>
        </w:tc>
      </w:tr>
      <w:tr>
        <w:tc>
          <w:tcPr/>
          <w:p>
            <w:pPr>
              <w:pStyle w:val="Compact"/>
            </w:pPr>
            <w:r>
              <w:t xml:space="preserve">Soft-decline retry success</w:t>
            </w:r>
          </w:p>
        </w:tc>
        <w:tc>
          <w:tcPr/>
          <w:p>
            <w:pPr>
              <w:pStyle w:val="Compact"/>
            </w:pPr>
            <w:r>
              <w:t xml:space="preserve">ติดตามและปรับ parameter</w:t>
            </w:r>
          </w:p>
        </w:tc>
        <w:tc>
          <w:tcPr/>
          <w:p>
            <w:pPr>
              <w:pStyle w:val="Compact"/>
            </w:pPr>
            <w:r>
              <w:t xml:space="preserve">รายเดือน</w:t>
            </w:r>
          </w:p>
        </w:tc>
      </w:tr>
      <w:tr>
        <w:tc>
          <w:tcPr/>
          <w:p>
            <w:pPr>
              <w:pStyle w:val="Compact"/>
            </w:pPr>
            <w:r>
              <w:t xml:space="preserve">Exemption acceptance rate</w:t>
            </w:r>
          </w:p>
        </w:tc>
        <w:tc>
          <w:tcPr/>
          <w:p>
            <w:pPr>
              <w:pStyle w:val="Compact"/>
            </w:pPr>
            <w:r>
              <w:t xml:space="preserve">ติดตามต่อ issuer</w:t>
            </w:r>
          </w:p>
        </w:tc>
        <w:tc>
          <w:tcPr/>
          <w:p>
            <w:pPr>
              <w:pStyle w:val="Compact"/>
            </w:pPr>
            <w:r>
              <w:t xml:space="preserve">รายเดือน</w:t>
            </w:r>
          </w:p>
        </w:tc>
      </w:tr>
    </w:tbl>
    <w:p>
      <w:r>
        <w:pict>
          <v:rect style="width:0;height:1.5pt" o:hralign="center" o:hrstd="t" o:hr="t"/>
        </w:pict>
      </w:r>
    </w:p>
    <w:bookmarkEnd w:id="762"/>
    <w:bookmarkStart w:id="763" w:name="แผน-rollout-สอดคลอง-roadmap-phase-2"/>
    <w:p>
      <w:pPr>
        <w:pStyle w:val="Heading2"/>
      </w:pPr>
      <w:r>
        <w:t xml:space="preserve">10. แผน Rollout (สอดคล้อง ROADMAP Phase 2)</w:t>
      </w:r>
    </w:p>
    <w:p>
      <w:pPr>
        <w:pStyle w:val="Compact"/>
        <w:numPr>
          <w:ilvl w:val="0"/>
          <w:numId w:val="1295"/>
        </w:numPr>
      </w:pPr>
      <w:r>
        <w:rPr>
          <w:b/>
          <w:bCs/>
        </w:rPr>
        <w:t xml:space="preserve">สัปดาห์ 8-10:</w:t>
      </w:r>
      <w:r>
        <w:t xml:space="preserve"> </w:t>
      </w:r>
      <w:r>
        <w:t xml:space="preserve">เชื่อม 3DS Server sandbox, implement AReq/ARes, frictensionless + challenge flow, mapping state machine</w:t>
      </w:r>
    </w:p>
    <w:p>
      <w:pPr>
        <w:pStyle w:val="Compact"/>
        <w:numPr>
          <w:ilvl w:val="0"/>
          <w:numId w:val="1295"/>
        </w:numPr>
      </w:pPr>
      <w:r>
        <w:rPr>
          <w:b/>
          <w:bCs/>
        </w:rPr>
        <w:t xml:space="preserve">สัปดาห์ 10-12:</w:t>
      </w:r>
      <w:r>
        <w:t xml:space="preserve"> </w:t>
      </w:r>
      <w:r>
        <w:t xml:space="preserve">exemption engine + risk scoring, parameter table, soft-decline retry, audit logging</w:t>
      </w:r>
    </w:p>
    <w:p>
      <w:pPr>
        <w:pStyle w:val="Compact"/>
        <w:numPr>
          <w:ilvl w:val="0"/>
          <w:numId w:val="1295"/>
        </w:numPr>
      </w:pPr>
      <w:r>
        <w:rPr>
          <w:b/>
          <w:bCs/>
        </w:rPr>
        <w:t xml:space="preserve">สัปดาห์ 12-14:</w:t>
      </w:r>
      <w:r>
        <w:t xml:space="preserve"> </w:t>
      </w:r>
      <w:r>
        <w:t xml:space="preserve">liability/ECI capture, chargeback data plumbing, PDPA/PCI review, เตรียม scheme certification</w:t>
      </w:r>
    </w:p>
    <w:p>
      <w:pPr>
        <w:pStyle w:val="Compact"/>
        <w:numPr>
          <w:ilvl w:val="0"/>
          <w:numId w:val="1295"/>
        </w:numPr>
      </w:pPr>
      <w:r>
        <w:rPr>
          <w:b/>
          <w:bCs/>
        </w:rPr>
        <w:t xml:space="preserve">Phase 4:</w:t>
      </w:r>
      <w:r>
        <w:t xml:space="preserve"> </w:t>
      </w:r>
      <w:r>
        <w:t xml:space="preserve">3DS scheme certification (Visa/Mastercard) ผ่าน sponsor bank + รวมใน RoC ของ QSA</w:t>
      </w:r>
    </w:p>
    <w:p>
      <w:r>
        <w:pict>
          <v:rect style="width:0;height:1.5pt" o:hralign="center" o:hrstd="t" o:hr="t"/>
        </w:pict>
      </w:r>
    </w:p>
    <w:bookmarkEnd w:id="763"/>
    <w:bookmarkStart w:id="764" w:name="X667641b400230bd58783c0c8482f44fe6493685"/>
    <w:p>
      <w:pPr>
        <w:pStyle w:val="Heading2"/>
      </w:pPr>
      <w:r>
        <w:t xml:space="preserve">11. ASSUMPTIONS / TODO (ยังไม่ resolve — ต้องยืนยันก่อนใช้จริง)</w:t>
      </w:r>
    </w:p>
    <w:p>
      <w:pPr>
        <w:pStyle w:val="BlockText"/>
      </w:pPr>
      <w:r>
        <w:t xml:space="preserve">กล่องนี้ระบุ external dependency ที่ยังไม่ resolved อย่างชัดเจน —</w:t>
      </w:r>
      <w:r>
        <w:t xml:space="preserve"> </w:t>
      </w:r>
      <w:r>
        <w:rPr>
          <w:b/>
          <w:bCs/>
        </w:rPr>
        <w:t xml:space="preserve">ห้ามถือว่าเป็นข้อเท็จจริงจนกว่าจะยืนยัน</w:t>
      </w:r>
    </w:p>
    <w:p>
      <w:pPr>
        <w:pStyle w:val="Compact"/>
        <w:numPr>
          <w:ilvl w:val="0"/>
          <w:numId w:val="1296"/>
        </w:numPr>
      </w:pPr>
      <w:r>
        <w:rPr>
          <w:b/>
          <w:bCs/>
        </w:rPr>
        <w:t xml:space="preserve">[TODO-1] Sponsor bank / acquirer:</w:t>
      </w:r>
      <w:r>
        <w:t xml:space="preserve"> </w:t>
      </w:r>
      <w:r>
        <w:t xml:space="preserve">ยังไม่ล็อก partner (ตาม</w:t>
      </w:r>
      <w:r>
        <w:t xml:space="preserve"> </w:t>
      </w:r>
      <w:r>
        <w:rPr>
          <w:rStyle w:val="VerbatimChar"/>
        </w:rPr>
        <w:t xml:space="preserve">ROADMAP.md</w:t>
      </w:r>
      <w:r>
        <w:t xml:space="preserve"> </w:t>
      </w:r>
      <w:r>
        <w:t xml:space="preserve">critical path) — เกณฑ์</w:t>
      </w:r>
      <w:r>
        <w:t xml:space="preserve"> </w:t>
      </w:r>
      <w:r>
        <w:t xml:space="preserve">exemption จริง, scheme certification, และ liability rule ต้องยืนยันกับ sponsor</w:t>
      </w:r>
    </w:p>
    <w:p>
      <w:pPr>
        <w:pStyle w:val="Compact"/>
        <w:numPr>
          <w:ilvl w:val="0"/>
          <w:numId w:val="1296"/>
        </w:numPr>
      </w:pPr>
      <w:r>
        <w:rPr>
          <w:b/>
          <w:bCs/>
        </w:rPr>
        <w:t xml:space="preserve">[TODO-2] 3DS Server:</w:t>
      </w:r>
      <w:r>
        <w:t xml:space="preserve"> </w:t>
      </w:r>
      <w:r>
        <w:t xml:space="preserve">ตัดสินใจ</w:t>
      </w:r>
      <w:r>
        <w:t xml:space="preserve"> </w:t>
      </w:r>
      <w:r>
        <w:rPr>
          <w:b/>
          <w:bCs/>
        </w:rPr>
        <w:t xml:space="preserve">build เอง vs ใช้ผู้ให้บริการ 3DS Server ที่ผ่าน EMVCo</w:t>
      </w:r>
      <w:r>
        <w:t xml:space="preserve"> </w:t>
      </w:r>
      <w:r>
        <w:t xml:space="preserve">(กระทบ PCI scope + timeline)</w:t>
      </w:r>
    </w:p>
    <w:p>
      <w:pPr>
        <w:pStyle w:val="Compact"/>
        <w:numPr>
          <w:ilvl w:val="0"/>
          <w:numId w:val="1296"/>
        </w:numPr>
      </w:pPr>
      <w:r>
        <w:rPr>
          <w:b/>
          <w:bCs/>
        </w:rPr>
        <w:t xml:space="preserve">[TODO-3] Threshold เป็น THB:</w:t>
      </w:r>
      <w:r>
        <w:t xml:space="preserve"> </w:t>
      </w:r>
      <w:r>
        <w:t xml:space="preserve">ค่า LVP/TRA/force-challenge ในเอกสารเป็น baseline PSD2 RTS (EU) —</w:t>
      </w:r>
      <w:r>
        <w:t xml:space="preserve"> </w:t>
      </w:r>
      <w:r>
        <w:t xml:space="preserve">ต้องแปลง/ยืนยันเป็น THB ตาม scheme rule ไทยและ config ใน parameter table (ห้าม hard-code)</w:t>
      </w:r>
    </w:p>
    <w:p>
      <w:pPr>
        <w:pStyle w:val="Compact"/>
        <w:numPr>
          <w:ilvl w:val="0"/>
          <w:numId w:val="1296"/>
        </w:numPr>
      </w:pPr>
      <w:r>
        <w:rPr>
          <w:b/>
          <w:bCs/>
        </w:rPr>
        <w:t xml:space="preserve">[TODO-4] Delegated Authentication:</w:t>
      </w:r>
      <w:r>
        <w:t xml:space="preserve"> </w:t>
      </w:r>
      <w:r>
        <w:t xml:space="preserve">ต้อง cert เพิ่มและตกลง liability กับ scheme — ยังไม่รองรับใน MVP</w:t>
      </w:r>
    </w:p>
    <w:p>
      <w:pPr>
        <w:pStyle w:val="Compact"/>
        <w:numPr>
          <w:ilvl w:val="0"/>
          <w:numId w:val="1296"/>
        </w:numPr>
      </w:pPr>
      <w:r>
        <w:rPr>
          <w:b/>
          <w:bCs/>
        </w:rPr>
        <w:t xml:space="preserve">[TODO-5] QSA vendor:</w:t>
      </w:r>
      <w:r>
        <w:t xml:space="preserve"> </w:t>
      </w:r>
      <w:r>
        <w:t xml:space="preserve">ยังไม่เลือก QSA — การกำหนด scope ของ 3DS authentication data ใน RoC ต้องรอ QSA ยืนยัน</w:t>
      </w:r>
    </w:p>
    <w:p>
      <w:pPr>
        <w:pStyle w:val="Compact"/>
        <w:numPr>
          <w:ilvl w:val="0"/>
          <w:numId w:val="1296"/>
        </w:numPr>
      </w:pPr>
      <w:r>
        <w:rPr>
          <w:b/>
          <w:bCs/>
        </w:rPr>
        <w:t xml:space="preserve">[TODO-6] ทุนจดทะเบียนจริง:</w:t>
      </w:r>
      <w:r>
        <w:t xml:space="preserve"> </w:t>
      </w:r>
      <w:r>
        <w:t xml:space="preserve">เอกสารอ้าง 50 ล้านบาท (เกณฑ์ Acquiring) — ยืนยันทุนชำระแล้วจริงและการคงไว้ ≥75%</w:t>
      </w:r>
    </w:p>
    <w:p>
      <w:pPr>
        <w:pStyle w:val="Compact"/>
        <w:numPr>
          <w:ilvl w:val="0"/>
          <w:numId w:val="1296"/>
        </w:numPr>
      </w:pPr>
      <w:r>
        <w:rPr>
          <w:b/>
          <w:bCs/>
        </w:rPr>
        <w:t xml:space="preserve">[ASSUMPTION] EMVCo 3DS 2.2.0</w:t>
      </w:r>
      <w:r>
        <w:t xml:space="preserve"> </w:t>
      </w:r>
      <w:r>
        <w:t xml:space="preserve">เป็นเวอร์ชันขั้นต่ำ และ scheme ยัง honor liability shift สำหรับ status Y/A</w:t>
      </w:r>
      <w:r>
        <w:t xml:space="preserve"> </w:t>
      </w:r>
      <w:r>
        <w:t xml:space="preserve">ตามกฎปัจจุบัน — ต้อง re-validate เมื่อ scheme ปรับ mandate</w:t>
      </w:r>
    </w:p>
    <w:bookmarkEnd w:id="764"/>
    <w:bookmarkEnd w:id="765"/>
    <w:bookmarkStart w:id="785" w:name="X735f39b3fd3eef7f5f370b9088ef3f1b362d99d"/>
    <w:p>
      <w:pPr>
        <w:pStyle w:val="Heading1"/>
      </w:pPr>
      <w:r>
        <w:t xml:space="preserve">3DS 2.x authentication strategy: when mandatory, exemptions, challenge flow, liability shift (English)</w:t>
      </w:r>
    </w:p>
    <w:p>
      <w:pPr>
        <w:pStyle w:val="BlockText"/>
      </w:pPr>
      <w:r>
        <w:t xml:space="preserve">Supporting document for the</w:t>
      </w:r>
      <w:r>
        <w:t xml:space="preserve"> </w:t>
      </w:r>
      <w:r>
        <w:rPr>
          <w:b/>
          <w:bCs/>
        </w:rPr>
        <w:t xml:space="preserve">Acquiring (electronic payment acceptance) license</w:t>
      </w:r>
      <w:r>
        <w:t xml:space="preserve"> </w:t>
      </w:r>
      <w:r>
        <w:t xml:space="preserve">application to the</w:t>
      </w:r>
      <w:r>
        <w:t xml:space="preserve"> </w:t>
      </w:r>
      <w:r>
        <w:t xml:space="preserve">Bank of Thailand (BOT / ธปท.) under the</w:t>
      </w:r>
      <w:r>
        <w:t xml:space="preserve"> </w:t>
      </w:r>
      <w:r>
        <w:rPr>
          <w:b/>
          <w:bCs/>
        </w:rPr>
        <w:t xml:space="preserve">Payment Systems Act B.E. 2560</w:t>
      </w:r>
      <w:r>
        <w:t xml:space="preserve"> </w:t>
      </w:r>
      <w:r>
        <w:t xml:space="preserve">and</w:t>
      </w:r>
      <w:r>
        <w:t xml:space="preserve"> </w:t>
      </w:r>
      <w:r>
        <w:rPr>
          <w:b/>
          <w:bCs/>
        </w:rPr>
        <w:t xml:space="preserve">PCI-DSS v4.0 Level 1</w:t>
      </w:r>
      <w:r>
        <w:t xml:space="preserve">.</w:t>
      </w:r>
      <w:r>
        <w:t xml:space="preserve"> </w:t>
      </w:r>
      <w:r>
        <w:t xml:space="preserve">Prepared by</w:t>
      </w:r>
      <w:r>
        <w:t xml:space="preserve"> </w:t>
      </w:r>
      <w:r>
        <w:rPr>
          <w:b/>
          <w:bCs/>
        </w:rPr>
        <w:t xml:space="preserve">[บริษัท / Company]</w:t>
      </w:r>
      <w:r>
        <w:t xml:space="preserve"> </w:t>
      </w:r>
      <w:r>
        <w:t xml:space="preserve">· Version 0.1 · Date: 2026-07-22.</w:t>
      </w:r>
      <w:r>
        <w:t xml:space="preserve"> </w:t>
      </w:r>
      <w:r>
        <w:t xml:space="preserve">Companion docs: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p>
    <w:p>
      <w:pPr>
        <w:pStyle w:val="BlockText"/>
      </w:pPr>
      <w:r>
        <w:rPr>
          <w:b/>
          <w:bCs/>
        </w:rPr>
        <w:t xml:space="preserve">Disclaimer:</w:t>
      </w:r>
      <w:r>
        <w:t xml:space="preserve"> </w:t>
      </w:r>
      <w:r>
        <w:t xml:space="preserve">Technical/operational reference, not legal advice. Exemption thresholds and liability-shift</w:t>
      </w:r>
      <w:r>
        <w:t xml:space="preserve"> </w:t>
      </w:r>
      <w:r>
        <w:t xml:space="preserve">rules derive from scheme rules (Visa/Mastercard) and may change; confirm with sponsor bank and QSA before</w:t>
      </w:r>
      <w:r>
        <w:t xml:space="preserve"> </w:t>
      </w:r>
      <w:r>
        <w:t xml:space="preserve">production use (see ASSUMPTIONS / TODO callout at the end).</w:t>
      </w:r>
    </w:p>
    <w:p>
      <w:r>
        <w:pict>
          <v:rect style="width:0;height:1.5pt" o:hralign="center" o:hrstd="t" o:hr="t"/>
        </w:pict>
      </w:r>
    </w:p>
    <w:bookmarkStart w:id="766" w:name="purpose-and-scope-3"/>
    <w:p>
      <w:pPr>
        <w:pStyle w:val="Heading2"/>
      </w:pPr>
      <w:r>
        <w:t xml:space="preserve">1. Purpose and scope</w:t>
      </w:r>
    </w:p>
    <w:p>
      <w:pPr>
        <w:pStyle w:val="FirstParagraph"/>
      </w:pPr>
      <w:r>
        <w:rPr>
          <w:b/>
          <w:bCs/>
        </w:rPr>
        <w:t xml:space="preserve">3-D Secure 2.x (EMV 3DS)</w:t>
      </w:r>
      <w:r>
        <w:t xml:space="preserve"> </w:t>
      </w:r>
      <w:r>
        <w:t xml:space="preserve">is a cardholder-authentication protocol for Card-Not-Present (CNP) transactions —</w:t>
      </w:r>
      <w:r>
        <w:t xml:space="preserve"> </w:t>
      </w:r>
      <w:r>
        <w:t xml:space="preserve">web, in-app, and recurring — intended to (1) reduce fraud, (2) shift fraud-chargeback liability to the issuer</w:t>
      </w:r>
      <w:r>
        <w:t xml:space="preserve"> </w:t>
      </w:r>
      <w:r>
        <w:t xml:space="preserve">(</w:t>
      </w:r>
      <w:r>
        <w:rPr>
          <w:b/>
          <w:bCs/>
        </w:rPr>
        <w:t xml:space="preserve">liability shift</w:t>
      </w:r>
      <w:r>
        <w:t xml:space="preserve">), and (3) enable a low-friction</w:t>
      </w:r>
      <w:r>
        <w:t xml:space="preserve"> </w:t>
      </w:r>
      <w:r>
        <w:rPr>
          <w:b/>
          <w:bCs/>
        </w:rPr>
        <w:t xml:space="preserve">frictionless flow</w:t>
      </w:r>
      <w:r>
        <w:t xml:space="preserve"> </w:t>
      </w:r>
      <w:r>
        <w:t xml:space="preserve">using 100+ device/context data</w:t>
      </w:r>
      <w:r>
        <w:t xml:space="preserve"> </w:t>
      </w:r>
      <w:r>
        <w:t xml:space="preserve">elements for Risk-Based Authentication (RBA).</w:t>
      </w:r>
    </w:p>
    <w:p>
      <w:pPr>
        <w:pStyle w:val="BodyText"/>
      </w:pPr>
      <w:r>
        <w:rPr>
          <w:b/>
          <w:bCs/>
        </w:rPr>
        <w:t xml:space="preserve">This strategy covers:</w:t>
      </w:r>
      <w:r>
        <w:t xml:space="preserve"> </w:t>
      </w:r>
      <w:r>
        <w:t xml:space="preserve">- When 3DS is</w:t>
      </w:r>
      <w:r>
        <w:t xml:space="preserve"> </w:t>
      </w:r>
      <w:r>
        <w:rPr>
          <w:b/>
          <w:bCs/>
        </w:rPr>
        <w:t xml:space="preserve">mandatory / recommended / exemptible</w:t>
      </w:r>
      <w:r>
        <w:t xml:space="preserve"> </w:t>
      </w:r>
      <w:r>
        <w:t xml:space="preserve">- Exemption types and conditions</w:t>
      </w:r>
      <w:r>
        <w:t xml:space="preserve"> </w:t>
      </w:r>
      <w:r>
        <w:t xml:space="preserve">- Challenge flow (frictionless vs challenge) and SLAs</w:t>
      </w:r>
      <w:r>
        <w:t xml:space="preserve"> </w:t>
      </w:r>
      <w:r>
        <w:t xml:space="preserve">- Liability-shift mechanics and dispute/chargeback impact</w:t>
      </w:r>
      <w:r>
        <w:t xml:space="preserve"> </w:t>
      </w:r>
      <w:r>
        <w:t xml:space="preserve">- Roles (RACI), KPIs, and rollout aligned with</w:t>
      </w:r>
      <w:r>
        <w:t xml:space="preserve"> </w:t>
      </w:r>
      <w:r>
        <w:rPr>
          <w:rStyle w:val="VerbatimChar"/>
        </w:rPr>
        <w:t xml:space="preserve">ROADMAP.md</w:t>
      </w:r>
      <w:r>
        <w:t xml:space="preserve"> </w:t>
      </w:r>
      <w:r>
        <w:t xml:space="preserve">(Phase 2 — Security &amp; 3DS)</w:t>
      </w:r>
    </w:p>
    <w:p>
      <w:pPr>
        <w:pStyle w:val="BodyText"/>
      </w:pPr>
      <w:r>
        <w:rPr>
          <w:b/>
          <w:bCs/>
        </w:rPr>
        <w:t xml:space="preserve">Architecture alignment:</w:t>
      </w:r>
      <w:r>
        <w:t xml:space="preserve"> </w:t>
      </w:r>
      <w:r>
        <w:t xml:space="preserve">3DS runs through the</w:t>
      </w:r>
      <w:r>
        <w:t xml:space="preserve"> </w:t>
      </w:r>
      <w:r>
        <w:rPr>
          <w:rStyle w:val="VerbatimChar"/>
        </w:rPr>
        <w:t xml:space="preserve">3DS Adapter</w:t>
      </w:r>
      <w:r>
        <w:t xml:space="preserve"> </w:t>
      </w:r>
      <w:r>
        <w:t xml:space="preserve">layer (</w:t>
      </w:r>
      <w:r>
        <w:rPr>
          <w:rStyle w:val="VerbatimChar"/>
        </w:rPr>
        <w:t xml:space="preserve">internal/external</w:t>
      </w:r>
      <w:r>
        <w:t xml:space="preserve"> </w:t>
      </w:r>
      <w:r>
        <w:t xml:space="preserve">+</w:t>
      </w:r>
      <w:r>
        <w:t xml:space="preserve"> </w:t>
      </w:r>
      <w:r>
        <w:rPr>
          <w:rStyle w:val="VerbatimChar"/>
        </w:rPr>
        <w:t xml:space="preserve">internal/pkg/threeds</w:t>
      </w:r>
      <w:r>
        <w:t xml:space="preserve">) per</w:t>
      </w:r>
      <w:r>
        <w:t xml:space="preserve"> </w:t>
      </w:r>
      <w:r>
        <w:rPr>
          <w:rStyle w:val="VerbatimChar"/>
        </w:rPr>
        <w:t xml:space="preserve">ARCHITECTURE.md</w:t>
      </w:r>
      <w:r>
        <w:t xml:space="preserve"> </w:t>
      </w:r>
      <w:r>
        <w:t xml:space="preserve">§4 and the transaction flow in §5.1 (</w:t>
      </w:r>
      <w:r>
        <w:rPr>
          <w:rStyle w:val="VerbatimChar"/>
        </w:rPr>
        <w:t xml:space="preserve">requires_action</w:t>
      </w:r>
      <w:r>
        <w:t xml:space="preserve"> </w:t>
      </w:r>
      <w:r>
        <w:t xml:space="preserve">→</w:t>
      </w:r>
      <w:r>
        <w:t xml:space="preserve"> </w:t>
      </w:r>
      <w:r>
        <w:rPr>
          <w:rStyle w:val="VerbatimChar"/>
        </w:rPr>
        <w:t xml:space="preserve">next_action_url</w:t>
      </w:r>
      <w:r>
        <w:t xml:space="preserve">).</w:t>
      </w:r>
    </w:p>
    <w:p>
      <w:r>
        <w:pict>
          <v:rect style="width:0;height:1.5pt" o:hralign="center" o:hrstd="t" o:hr="t"/>
        </w:pict>
      </w:r>
    </w:p>
    <w:bookmarkEnd w:id="766"/>
    <w:bookmarkStart w:id="767" w:name="components-and-roles-in-3ds-2.x"/>
    <w:p>
      <w:pPr>
        <w:pStyle w:val="Heading2"/>
      </w:pPr>
      <w:r>
        <w:t xml:space="preserve">2. Components and roles in 3DS 2.x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 (EMV 3DS)</w:t>
            </w:r>
          </w:p>
        </w:tc>
        <w:tc>
          <w:tcPr/>
          <w:p>
            <w:pPr>
              <w:pStyle w:val="Compact"/>
            </w:pPr>
            <w:r>
              <w:t xml:space="preserve">Function</w:t>
            </w:r>
          </w:p>
        </w:tc>
        <w:tc>
          <w:tcPr/>
          <w:p>
            <w:pPr>
              <w:pStyle w:val="Compact"/>
            </w:pPr>
            <w:r>
              <w:t xml:space="preserve">Owner in our context</w:t>
            </w:r>
          </w:p>
        </w:tc>
      </w:tr>
      <w:tr>
        <w:tc>
          <w:tcPr/>
          <w:p>
            <w:pPr>
              <w:pStyle w:val="Compact"/>
            </w:pPr>
            <w:r>
              <w:rPr>
                <w:b/>
                <w:bCs/>
              </w:rPr>
              <w:t xml:space="preserve">3DS Server (3DSS)</w:t>
            </w:r>
          </w:p>
        </w:tc>
        <w:tc>
          <w:tcPr/>
          <w:p>
            <w:pPr>
              <w:pStyle w:val="Compact"/>
            </w:pPr>
            <w:r>
              <w:t xml:space="preserve">Initiates auth, gathers device/txn data, talks to DS</w:t>
            </w:r>
          </w:p>
        </w:tc>
        <w:tc>
          <w:tcPr/>
          <w:p>
            <w:pPr>
              <w:pStyle w:val="Compact"/>
            </w:pPr>
            <w:r>
              <w:rPr>
                <w:b/>
                <w:bCs/>
              </w:rPr>
              <w:t xml:space="preserve">[บริษัท / Company]</w:t>
            </w:r>
            <w:r>
              <w:t xml:space="preserve"> </w:t>
            </w:r>
            <w:r>
              <w:t xml:space="preserve">via 3DS Adapter (or third-party 3DS Server — see TODO)</w:t>
            </w:r>
          </w:p>
        </w:tc>
      </w:tr>
      <w:tr>
        <w:tc>
          <w:tcPr/>
          <w:p>
            <w:pPr>
              <w:pStyle w:val="Compact"/>
            </w:pPr>
            <w:r>
              <w:rPr>
                <w:b/>
                <w:bCs/>
              </w:rPr>
              <w:t xml:space="preserve">Directory Server (DS)</w:t>
            </w:r>
          </w:p>
        </w:tc>
        <w:tc>
          <w:tcPr/>
          <w:p>
            <w:pPr>
              <w:pStyle w:val="Compact"/>
            </w:pPr>
            <w:r>
              <w:t xml:space="preserve">Scheme switch (Visa, Mastercard) routing to ACS</w:t>
            </w:r>
          </w:p>
        </w:tc>
        <w:tc>
          <w:tcPr/>
          <w:p>
            <w:pPr>
              <w:pStyle w:val="Compact"/>
            </w:pPr>
            <w:r>
              <w:t xml:space="preserve">Card scheme</w:t>
            </w:r>
          </w:p>
        </w:tc>
      </w:tr>
      <w:tr>
        <w:tc>
          <w:tcPr/>
          <w:p>
            <w:pPr>
              <w:pStyle w:val="Compact"/>
            </w:pPr>
            <w:r>
              <w:rPr>
                <w:b/>
                <w:bCs/>
              </w:rPr>
              <w:t xml:space="preserve">Access Control Server (ACS)</w:t>
            </w:r>
          </w:p>
        </w:tc>
        <w:tc>
          <w:tcPr/>
          <w:p>
            <w:pPr>
              <w:pStyle w:val="Compact"/>
            </w:pPr>
            <w:r>
              <w:t xml:space="preserve">Issuer engine deciding frictionless/challenge</w:t>
            </w:r>
          </w:p>
        </w:tc>
        <w:tc>
          <w:tcPr/>
          <w:p>
            <w:pPr>
              <w:pStyle w:val="Compact"/>
            </w:pPr>
            <w:r>
              <w:t xml:space="preserve">Issuing bank</w:t>
            </w:r>
          </w:p>
        </w:tc>
      </w:tr>
      <w:tr>
        <w:tc>
          <w:tcPr/>
          <w:p>
            <w:pPr>
              <w:pStyle w:val="Compact"/>
            </w:pPr>
            <w:r>
              <w:rPr>
                <w:b/>
                <w:bCs/>
              </w:rPr>
              <w:t xml:space="preserve">3DS SDK</w:t>
            </w:r>
          </w:p>
        </w:tc>
        <w:tc>
          <w:tcPr/>
          <w:p>
            <w:pPr>
              <w:pStyle w:val="Compact"/>
            </w:pPr>
            <w:r>
              <w:t xml:space="preserve">In-app (mobile) device-data capture</w:t>
            </w:r>
          </w:p>
        </w:tc>
        <w:tc>
          <w:tcPr/>
          <w:p>
            <w:pPr>
              <w:pStyle w:val="Compact"/>
            </w:pPr>
            <w:r>
              <w:t xml:space="preserve">Embedded in merchant app / provider SDK</w:t>
            </w:r>
          </w:p>
        </w:tc>
      </w:tr>
      <w:tr>
        <w:tc>
          <w:tcPr/>
          <w:p>
            <w:pPr>
              <w:pStyle w:val="Compact"/>
            </w:pPr>
            <w:r>
              <w:rPr>
                <w:b/>
                <w:bCs/>
              </w:rPr>
              <w:t xml:space="preserve">3DS Requestor</w:t>
            </w:r>
          </w:p>
        </w:tc>
        <w:tc>
          <w:tcPr/>
          <w:p>
            <w:pPr>
              <w:pStyle w:val="Compact"/>
            </w:pPr>
            <w:r>
              <w:t xml:space="preserve">Merchant initiating the transaction</w:t>
            </w:r>
          </w:p>
        </w:tc>
        <w:tc>
          <w:tcPr/>
          <w:p>
            <w:pPr>
              <w:pStyle w:val="Compact"/>
            </w:pPr>
            <w:r>
              <w:t xml:space="preserve">Merchant (via our API)</w:t>
            </w:r>
          </w:p>
        </w:tc>
      </w:tr>
    </w:tbl>
    <w:p>
      <w:pPr>
        <w:pStyle w:val="BodyText"/>
      </w:pPr>
      <w:r>
        <w:rPr>
          <w:b/>
          <w:bCs/>
        </w:rPr>
        <w:t xml:space="preserve">Protocol version:</w:t>
      </w:r>
      <w:r>
        <w:t xml:space="preserve"> </w:t>
      </w:r>
      <w:r>
        <w:t xml:space="preserve">support</w:t>
      </w:r>
      <w:r>
        <w:t xml:space="preserve"> </w:t>
      </w:r>
      <w:r>
        <w:rPr>
          <w:b/>
          <w:bCs/>
        </w:rPr>
        <w:t xml:space="preserve">EMV 3DS 2.2.0 as a minimum</w:t>
      </w:r>
      <w:r>
        <w:t xml:space="preserve"> </w:t>
      </w:r>
      <w:r>
        <w:t xml:space="preserve">and prepare for</w:t>
      </w:r>
      <w:r>
        <w:t xml:space="preserve"> </w:t>
      </w:r>
      <w:r>
        <w:rPr>
          <w:b/>
          <w:bCs/>
        </w:rPr>
        <w:t xml:space="preserve">2.3.x</w:t>
      </w:r>
      <w:r>
        <w:t xml:space="preserve"> </w:t>
      </w:r>
      <w:r>
        <w:t xml:space="preserve">(2.2.0 adds decoupled</w:t>
      </w:r>
      <w:r>
        <w:t xml:space="preserve"> </w:t>
      </w:r>
      <w:r>
        <w:t xml:space="preserve">authentication, delegated authentication, and acquirer exemption flags needed for RBA/SCA).</w:t>
      </w:r>
      <w:r>
        <w:t xml:space="preserve"> </w:t>
      </w:r>
      <w:r>
        <w:rPr>
          <w:b/>
          <w:bCs/>
        </w:rPr>
        <w:t xml:space="preserve">3DS 1.0 is</w:t>
      </w:r>
      <w:r>
        <w:rPr>
          <w:b/>
          <w:bCs/>
        </w:rPr>
        <w:t xml:space="preserve"> </w:t>
      </w:r>
      <w:r>
        <w:rPr>
          <w:b/>
          <w:bCs/>
        </w:rPr>
        <w:t xml:space="preserve">deprecated</w:t>
      </w:r>
      <w:r>
        <w:t xml:space="preserve"> </w:t>
      </w:r>
      <w:r>
        <w:t xml:space="preserve">(scheme EOL) — used only as a temporary fallback if unavoidable.</w:t>
      </w:r>
    </w:p>
    <w:p>
      <w:r>
        <w:pict>
          <v:rect style="width:0;height:1.5pt" o:hralign="center" o:hrstd="t" o:hr="t"/>
        </w:pict>
      </w:r>
    </w:p>
    <w:bookmarkEnd w:id="767"/>
    <w:bookmarkStart w:id="768" w:name="X1fddc14303fc672fdc770ab9343c630558d804e"/>
    <w:p>
      <w:pPr>
        <w:pStyle w:val="Heading2"/>
      </w:pPr>
      <w:r>
        <w:t xml:space="preserve">3. When 3DS is required (Mandatory / Recommended / Optional)</w:t>
      </w:r>
    </w:p>
    <w:p>
      <w:pPr>
        <w:pStyle w:val="BlockText"/>
      </w:pPr>
      <w:r>
        <w:t xml:space="preserve">In Thailand, BOT (ธปท.) sets the framework via payment-security and e-payment notifications referencing</w:t>
      </w:r>
      <w:r>
        <w:t xml:space="preserve"> </w:t>
      </w:r>
      <w:r>
        <w:t xml:space="preserve">international standards. In practice,</w:t>
      </w:r>
      <w:r>
        <w:t xml:space="preserve"> </w:t>
      </w:r>
      <w:r>
        <w:rPr>
          <w:b/>
          <w:bCs/>
        </w:rPr>
        <w:t xml:space="preserve">per-transaction enforcement comes from scheme rules (Visa/Mastercard)</w:t>
      </w:r>
      <w:r>
        <w:rPr>
          <w:b/>
          <w:bCs/>
        </w:rPr>
        <w:t xml:space="preserve"> </w:t>
      </w:r>
      <w:r>
        <w:rPr>
          <w:b/>
          <w:bCs/>
        </w:rPr>
        <w:t xml:space="preserve">and the sponsor bank</w:t>
      </w:r>
      <w:r>
        <w:t xml:space="preserve">; BOT emphasizes</w:t>
      </w:r>
      <w:r>
        <w:t xml:space="preserve"> </w:t>
      </w:r>
      <w:r>
        <w:t xml:space="preserve">“strong authentication for CNP transactions”</w:t>
      </w:r>
      <w:r>
        <w:t xml:space="preserve"> </w:t>
      </w:r>
      <w:r>
        <w:t xml:space="preserve">and fraud/AML risk control.</w:t>
      </w:r>
    </w:p>
    <w:p>
      <w:pPr>
        <w:pStyle w:val="FirstParagraph"/>
      </w:pPr>
      <w:r>
        <w:rPr>
          <w:b/>
          <w:bCs/>
        </w:rPr>
        <w:t xml:space="preserve">[บริษัท / Company] policy statement:</w:t>
      </w:r>
      <w:r>
        <w:t xml:space="preserve"> </w:t>
      </w:r>
      <w:r>
        <w:t xml:space="preserve">&gt;</w:t>
      </w:r>
      <w:r>
        <w:t xml:space="preserve"> </w:t>
      </w:r>
      <w:r>
        <w:rPr>
          <w:b/>
          <w:bCs/>
        </w:rPr>
        <w:t xml:space="preserve">Every Card-Not-Present card transaction must undergo 3DS 2.x authentication by default (secure-by-default)</w:t>
      </w:r>
      <w:r>
        <w:t xml:space="preserve">,</w:t>
      </w:r>
      <w:r>
        <w:t xml:space="preserve"> </w:t>
      </w:r>
      <w:r>
        <w:t xml:space="preserve">&gt; except where an approved exemption in §4 applies. Skipping 3DS without a valid exemption is a policy violation</w:t>
      </w:r>
      <w:r>
        <w:t xml:space="preserve"> </w:t>
      </w:r>
      <w:r>
        <w:t xml:space="preserve">&gt; and is blocked at the Payment Core level.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3DS status</w:t>
            </w:r>
          </w:p>
        </w:tc>
        <w:tc>
          <w:tcPr/>
          <w:p>
            <w:pPr>
              <w:pStyle w:val="Compact"/>
            </w:pPr>
            <w:r>
              <w:t xml:space="preserve">Rationale</w:t>
            </w:r>
          </w:p>
        </w:tc>
      </w:tr>
      <w:tr>
        <w:tc>
          <w:tcPr/>
          <w:p>
            <w:pPr>
              <w:pStyle w:val="Compact"/>
            </w:pPr>
            <w:r>
              <w:t xml:space="preserve">E-commerce web / in-app CNP (credit/debit)</w:t>
            </w:r>
          </w:p>
        </w:tc>
        <w:tc>
          <w:tcPr/>
          <w:p>
            <w:pPr>
              <w:pStyle w:val="Compact"/>
            </w:pPr>
            <w:r>
              <w:rPr>
                <w:b/>
                <w:bCs/>
              </w:rPr>
              <w:t xml:space="preserve">Mandatory (default)</w:t>
            </w:r>
          </w:p>
        </w:tc>
        <w:tc>
          <w:tcPr/>
          <w:p>
            <w:pPr>
              <w:pStyle w:val="Compact"/>
            </w:pPr>
            <w:r>
              <w:t xml:space="preserve">Fraud reduction + liability shift; policy default</w:t>
            </w:r>
          </w:p>
        </w:tc>
      </w:tr>
      <w:tr>
        <w:tc>
          <w:tcPr/>
          <w:p>
            <w:pPr>
              <w:pStyle w:val="Compact"/>
            </w:pPr>
            <w:r>
              <w:t xml:space="preserve">Cross-border transactions</w:t>
            </w:r>
          </w:p>
        </w:tc>
        <w:tc>
          <w:tcPr/>
          <w:p>
            <w:pPr>
              <w:pStyle w:val="Compact"/>
            </w:pPr>
            <w:r>
              <w:rPr>
                <w:b/>
                <w:bCs/>
              </w:rPr>
              <w:t xml:space="preserve">Mandatory</w:t>
            </w:r>
          </w:p>
        </w:tc>
        <w:tc>
          <w:tcPr/>
          <w:p>
            <w:pPr>
              <w:pStyle w:val="Compact"/>
            </w:pPr>
            <w:r>
              <w:t xml:space="preserve">High fraud risk; issuers often force challenge</w:t>
            </w:r>
          </w:p>
        </w:tc>
      </w:tr>
      <w:tr>
        <w:tc>
          <w:tcPr/>
          <w:p>
            <w:pPr>
              <w:pStyle w:val="Compact"/>
            </w:pPr>
            <w:r>
              <w:t xml:space="preserve">Amount above risk threshold (see §4.3)</w:t>
            </w:r>
          </w:p>
        </w:tc>
        <w:tc>
          <w:tcPr/>
          <w:p>
            <w:pPr>
              <w:pStyle w:val="Compact"/>
            </w:pPr>
            <w:r>
              <w:rPr>
                <w:b/>
                <w:bCs/>
              </w:rPr>
              <w:t xml:space="preserve">Mandatory</w:t>
            </w:r>
          </w:p>
        </w:tc>
        <w:tc>
          <w:tcPr/>
          <w:p>
            <w:pPr>
              <w:pStyle w:val="Compact"/>
            </w:pPr>
            <w:r>
              <w:t xml:space="preserve">Exceeds TRA/low-value exemption</w:t>
            </w:r>
          </w:p>
        </w:tc>
      </w:tr>
      <w:tr>
        <w:tc>
          <w:tcPr/>
          <w:p>
            <w:pPr>
              <w:pStyle w:val="Compact"/>
            </w:pPr>
            <w:r>
              <w:t xml:space="preserve">Merchant/card/device on watchlist</w:t>
            </w:r>
          </w:p>
        </w:tc>
        <w:tc>
          <w:tcPr/>
          <w:p>
            <w:pPr>
              <w:pStyle w:val="Compact"/>
            </w:pPr>
            <w:r>
              <w:rPr>
                <w:b/>
                <w:bCs/>
              </w:rPr>
              <w:t xml:space="preserve">Mandatory (force challenge)</w:t>
            </w:r>
          </w:p>
        </w:tc>
        <w:tc>
          <w:tcPr/>
          <w:p>
            <w:pPr>
              <w:pStyle w:val="Compact"/>
            </w:pPr>
            <w:r>
              <w:t xml:space="preserve">Risk-engine flag</w:t>
            </w:r>
          </w:p>
        </w:tc>
      </w:tr>
      <w:tr>
        <w:tc>
          <w:tcPr/>
          <w:p>
            <w:pPr>
              <w:pStyle w:val="Compact"/>
            </w:pPr>
            <w:r>
              <w:t xml:space="preserve">First-time recurring / initial MIT setup</w:t>
            </w:r>
          </w:p>
        </w:tc>
        <w:tc>
          <w:tcPr/>
          <w:p>
            <w:pPr>
              <w:pStyle w:val="Compact"/>
            </w:pPr>
            <w:r>
              <w:rPr>
                <w:b/>
                <w:bCs/>
              </w:rPr>
              <w:t xml:space="preserve">Mandatory</w:t>
            </w:r>
          </w:p>
        </w:tc>
        <w:tc>
          <w:tcPr/>
          <w:p>
            <w:pPr>
              <w:pStyle w:val="Compact"/>
            </w:pPr>
            <w:r>
              <w:t xml:space="preserve">Must authenticate initial CIT to anchor MIT</w:t>
            </w:r>
          </w:p>
        </w:tc>
      </w:tr>
      <w:tr>
        <w:tc>
          <w:tcPr/>
          <w:p>
            <w:pPr>
              <w:pStyle w:val="Compact"/>
            </w:pPr>
            <w:r>
              <w:t xml:space="preserve">Subsequent MIT (recurring, agreed installment)</w:t>
            </w:r>
          </w:p>
        </w:tc>
        <w:tc>
          <w:tcPr/>
          <w:p>
            <w:pPr>
              <w:pStyle w:val="Compact"/>
            </w:pPr>
            <w:r>
              <w:rPr>
                <w:b/>
                <w:bCs/>
              </w:rPr>
              <w:t xml:space="preserve">Exemptible</w:t>
            </w:r>
          </w:p>
        </w:tc>
        <w:tc>
          <w:tcPr/>
          <w:p>
            <w:pPr>
              <w:pStyle w:val="Compact"/>
            </w:pPr>
            <w:r>
              <w:t xml:space="preserve">No cardholder present (see §4.4)</w:t>
            </w:r>
          </w:p>
        </w:tc>
      </w:tr>
      <w:tr>
        <w:tc>
          <w:tcPr/>
          <w:p>
            <w:pPr>
              <w:pStyle w:val="Compact"/>
            </w:pPr>
            <w:r>
              <w:t xml:space="preserve">Low-value &lt; threshold (LVP)</w:t>
            </w:r>
          </w:p>
        </w:tc>
        <w:tc>
          <w:tcPr/>
          <w:p>
            <w:pPr>
              <w:pStyle w:val="Compact"/>
            </w:pPr>
            <w:r>
              <w:rPr>
                <w:b/>
                <w:bCs/>
              </w:rPr>
              <w:t xml:space="preserve">Exemptible</w:t>
            </w:r>
          </w:p>
        </w:tc>
        <w:tc>
          <w:tcPr/>
          <w:p>
            <w:pPr>
              <w:pStyle w:val="Compact"/>
            </w:pPr>
            <w:r>
              <w:t xml:space="preserve">LVP exemption (§4.3)</w:t>
            </w:r>
          </w:p>
        </w:tc>
      </w:tr>
      <w:tr>
        <w:tc>
          <w:tcPr/>
          <w:p>
            <w:pPr>
              <w:pStyle w:val="Compact"/>
            </w:pPr>
            <w:r>
              <w:t xml:space="preserve">Card-Present (POS, contactless)</w:t>
            </w:r>
          </w:p>
        </w:tc>
        <w:tc>
          <w:tcPr/>
          <w:p>
            <w:pPr>
              <w:pStyle w:val="Compact"/>
            </w:pPr>
            <w:r>
              <w:rPr>
                <w:b/>
                <w:bCs/>
              </w:rPr>
              <w:t xml:space="preserve">No 3DS</w:t>
            </w:r>
          </w:p>
        </w:tc>
        <w:tc>
          <w:tcPr/>
          <w:p>
            <w:pPr>
              <w:pStyle w:val="Compact"/>
            </w:pPr>
            <w:r>
              <w:t xml:space="preserve">Uses EMV chip/PIN instead (out of 3DS scope)</w:t>
            </w:r>
          </w:p>
        </w:tc>
      </w:tr>
    </w:tbl>
    <w:p>
      <w:pPr>
        <w:pStyle w:val="BodyText"/>
      </w:pPr>
      <w:r>
        <w:rPr>
          <w:b/>
          <w:bCs/>
        </w:rPr>
        <w:t xml:space="preserve">Fallback / soft-decline:</w:t>
      </w:r>
      <w:r>
        <w:t xml:space="preserve"> </w:t>
      </w:r>
      <w:r>
        <w:t xml:space="preserve">on issuer soft decline</w:t>
      </w:r>
      <w:r>
        <w:t xml:space="preserve"> </w:t>
      </w:r>
      <w:r>
        <w:rPr>
          <w:rStyle w:val="VerbatimChar"/>
        </w:rPr>
        <w:t xml:space="preserve">65</w:t>
      </w:r>
      <w:r>
        <w:t xml:space="preserve">/</w:t>
      </w:r>
      <w:r>
        <w:rPr>
          <w:rStyle w:val="VerbatimChar"/>
        </w:rPr>
        <w:t xml:space="preserve">1A</w:t>
      </w:r>
      <w:r>
        <w:t xml:space="preserve"> </w:t>
      </w:r>
      <w:r>
        <w:t xml:space="preserve">(SCA required), the system must</w:t>
      </w:r>
      <w:r>
        <w:t xml:space="preserve"> </w:t>
      </w:r>
      <w:r>
        <w:rPr>
          <w:b/>
          <w:bCs/>
        </w:rPr>
        <w:t xml:space="preserve">automatically</w:t>
      </w:r>
      <w:r>
        <w:rPr>
          <w:b/>
          <w:bCs/>
        </w:rPr>
        <w:t xml:space="preserve"> </w:t>
      </w:r>
      <w:r>
        <w:rPr>
          <w:b/>
          <w:bCs/>
        </w:rPr>
        <w:t xml:space="preserve">retry with a 3DS challenge</w:t>
      </w:r>
      <w:r>
        <w:t xml:space="preserve"> </w:t>
      </w:r>
      <w:r>
        <w:t xml:space="preserve">before a hard decline (never decline immediately).</w:t>
      </w:r>
    </w:p>
    <w:p>
      <w:r>
        <w:pict>
          <v:rect style="width:0;height:1.5pt" o:hralign="center" o:hrstd="t" o:hr="t"/>
        </w:pict>
      </w:r>
    </w:p>
    <w:bookmarkEnd w:id="768"/>
    <w:bookmarkStart w:id="773" w:name="exemptions-types-and-conditions"/>
    <w:p>
      <w:pPr>
        <w:pStyle w:val="Heading2"/>
      </w:pPr>
      <w:r>
        <w:t xml:space="preserve">4. Exemptions — types and conditions</w:t>
      </w:r>
    </w:p>
    <w:p>
      <w:pPr>
        <w:pStyle w:val="FirstParagraph"/>
      </w:pPr>
      <w:r>
        <w:t xml:space="preserve">An exemption is a request (via an authorization flag) by the acquirer/merchant to</w:t>
      </w:r>
      <w:r>
        <w:t xml:space="preserve"> </w:t>
      </w:r>
      <w:r>
        <w:rPr>
          <w:b/>
          <w:bCs/>
        </w:rPr>
        <w:t xml:space="preserve">skip the challenge</w:t>
      </w:r>
      <w:r>
        <w:t xml:space="preserve"> </w:t>
      </w:r>
      <w:r>
        <w:t xml:space="preserve">while</w:t>
      </w:r>
      <w:r>
        <w:t xml:space="preserve"> </w:t>
      </w:r>
      <w:r>
        <w:t xml:space="preserve">still passing data through the 3DS Server for RBA. The</w:t>
      </w:r>
      <w:r>
        <w:t xml:space="preserve"> </w:t>
      </w:r>
      <w:r>
        <w:rPr>
          <w:b/>
          <w:bCs/>
        </w:rPr>
        <w:t xml:space="preserve">issuer makes the final decision</w:t>
      </w:r>
      <w:r>
        <w:t xml:space="preserve"> </w:t>
      </w:r>
      <w:r>
        <w:t xml:space="preserve">to honor the</w:t>
      </w:r>
      <w:r>
        <w:t xml:space="preserve"> </w:t>
      </w:r>
      <w:r>
        <w:t xml:space="preserve">exemption or force a challenge (soft decline) — and</w:t>
      </w:r>
      <w:r>
        <w:t xml:space="preserve"> </w:t>
      </w:r>
      <w:r>
        <w:rPr>
          <w:b/>
          <w:bCs/>
        </w:rPr>
        <w:t xml:space="preserve">most exemptions move liability back to the</w:t>
      </w:r>
      <w:r>
        <w:rPr>
          <w:b/>
          <w:bCs/>
        </w:rPr>
        <w:t xml:space="preserve"> </w:t>
      </w:r>
      <w:r>
        <w:rPr>
          <w:b/>
          <w:bCs/>
        </w:rPr>
        <w:t xml:space="preserve">acquirer/merchant</w:t>
      </w:r>
      <w:r>
        <w:t xml:space="preserve">.</w:t>
      </w:r>
    </w:p>
    <w:bookmarkStart w:id="769" w:name="supported-exemptions"/>
    <w:p>
      <w:pPr>
        <w:pStyle w:val="Heading3"/>
      </w:pPr>
      <w:r>
        <w:t xml:space="preserve">4.1 Supported exemptions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Exemption</w:t>
            </w:r>
          </w:p>
        </w:tc>
        <w:tc>
          <w:tcPr/>
          <w:p>
            <w:pPr>
              <w:pStyle w:val="Compact"/>
            </w:pPr>
            <w:r>
              <w:t xml:space="preserve">Requestor</w:t>
            </w:r>
          </w:p>
        </w:tc>
        <w:tc>
          <w:tcPr/>
          <w:p>
            <w:pPr>
              <w:pStyle w:val="Compact"/>
            </w:pPr>
            <w:r>
              <w:t xml:space="preserve">Cap/conditions (indicative)</w:t>
            </w:r>
          </w:p>
        </w:tc>
        <w:tc>
          <w:tcPr/>
          <w:p>
            <w:pPr>
              <w:pStyle w:val="Compact"/>
            </w:pPr>
            <w:r>
              <w:t xml:space="preserve">Liability</w:t>
            </w:r>
          </w:p>
        </w:tc>
        <w:tc>
          <w:tcPr/>
          <w:p>
            <w:pPr>
              <w:pStyle w:val="Compact"/>
            </w:pPr>
            <w:r>
              <w:t xml:space="preserve">Our policy</w:t>
            </w:r>
          </w:p>
        </w:tc>
      </w:tr>
      <w:tr>
        <w:tc>
          <w:tcPr/>
          <w:p>
            <w:pPr>
              <w:pStyle w:val="Compact"/>
            </w:pPr>
            <w:r>
              <w:rPr>
                <w:b/>
                <w:bCs/>
              </w:rPr>
              <w:t xml:space="preserve">Low-Value Payment (LVP)</w:t>
            </w:r>
          </w:p>
        </w:tc>
        <w:tc>
          <w:tcPr/>
          <w:p>
            <w:pPr>
              <w:pStyle w:val="Compact"/>
            </w:pPr>
            <w:r>
              <w:t xml:space="preserve">Acquirer</w:t>
            </w:r>
          </w:p>
        </w:tc>
        <w:tc>
          <w:tcPr/>
          <w:p>
            <w:pPr>
              <w:pStyle w:val="Compact"/>
            </w:pPr>
            <w:r>
              <w:t xml:space="preserve">≤ ~EUR 30 equiv.; cumulative ≤ 5 txns or ≤ ~EUR 100/card</w:t>
            </w:r>
          </w:p>
        </w:tc>
        <w:tc>
          <w:tcPr/>
          <w:p>
            <w:pPr>
              <w:pStyle w:val="Compact"/>
            </w:pPr>
            <w:r>
              <w:t xml:space="preserve">Merchant/acquirer</w:t>
            </w:r>
          </w:p>
        </w:tc>
        <w:tc>
          <w:tcPr/>
          <w:p>
            <w:pPr>
              <w:pStyle w:val="Compact"/>
            </w:pPr>
            <w:r>
              <w:t xml:space="preserve">Low-risk MCCs only</w:t>
            </w:r>
          </w:p>
        </w:tc>
      </w:tr>
      <w:tr>
        <w:tc>
          <w:tcPr/>
          <w:p>
            <w:pPr>
              <w:pStyle w:val="Compact"/>
            </w:pPr>
            <w:r>
              <w:rPr>
                <w:b/>
                <w:bCs/>
              </w:rPr>
              <w:t xml:space="preserve">Transaction Risk Analysis (TRA)</w:t>
            </w:r>
          </w:p>
        </w:tc>
        <w:tc>
          <w:tcPr/>
          <w:p>
            <w:pPr>
              <w:pStyle w:val="Compact"/>
            </w:pPr>
            <w:r>
              <w:t xml:space="preserve">Acquirer</w:t>
            </w:r>
          </w:p>
        </w:tc>
        <w:tc>
          <w:tcPr/>
          <w:p>
            <w:pPr>
              <w:pStyle w:val="Compact"/>
            </w:pPr>
            <w:r>
              <w:t xml:space="preserve">Under RTS fraud-rate threshold (e.g. ≤0.13% @ ≤100 EUR, ≤0.06% @ ≤250 EUR, ≤0.01% @ ≤500 EUR)</w:t>
            </w:r>
          </w:p>
        </w:tc>
        <w:tc>
          <w:tcPr/>
          <w:p>
            <w:pPr>
              <w:pStyle w:val="Compact"/>
            </w:pPr>
            <w:r>
              <w:t xml:space="preserve">Acquirer</w:t>
            </w:r>
          </w:p>
        </w:tc>
        <w:tc>
          <w:tcPr/>
          <w:p>
            <w:pPr>
              <w:pStyle w:val="Compact"/>
            </w:pPr>
            <w:r>
              <w:t xml:space="preserve">Only while portfolio fraud rate is below threshold</w:t>
            </w:r>
          </w:p>
        </w:tc>
      </w:tr>
      <w:tr>
        <w:tc>
          <w:tcPr/>
          <w:p>
            <w:pPr>
              <w:pStyle w:val="Compact"/>
            </w:pPr>
            <w:r>
              <w:rPr>
                <w:b/>
                <w:bCs/>
              </w:rPr>
              <w:t xml:space="preserve">Trusted Beneficiary / Whitelisting</w:t>
            </w:r>
          </w:p>
        </w:tc>
        <w:tc>
          <w:tcPr/>
          <w:p>
            <w:pPr>
              <w:pStyle w:val="Compact"/>
            </w:pPr>
            <w:r>
              <w:t xml:space="preserve">Issuer/Cardholder</w:t>
            </w:r>
          </w:p>
        </w:tc>
        <w:tc>
          <w:tcPr/>
          <w:p>
            <w:pPr>
              <w:pStyle w:val="Compact"/>
            </w:pPr>
            <w:r>
              <w:t xml:space="preserve">Cardholder marks merchant trusted at ACS</w:t>
            </w:r>
          </w:p>
        </w:tc>
        <w:tc>
          <w:tcPr/>
          <w:p>
            <w:pPr>
              <w:pStyle w:val="Compact"/>
            </w:pPr>
            <w:r>
              <w:t xml:space="preserve">Issuer</w:t>
            </w:r>
          </w:p>
        </w:tc>
        <w:tc>
          <w:tcPr/>
          <w:p>
            <w:pPr>
              <w:pStyle w:val="Compact"/>
            </w:pPr>
            <w:r>
              <w:t xml:space="preserve">Supported, issuer-controlled</w:t>
            </w:r>
          </w:p>
        </w:tc>
      </w:tr>
      <w:tr>
        <w:tc>
          <w:tcPr/>
          <w:p>
            <w:pPr>
              <w:pStyle w:val="Compact"/>
            </w:pPr>
            <w:r>
              <w:rPr>
                <w:b/>
                <w:bCs/>
              </w:rPr>
              <w:t xml:space="preserve">Secure Corporate Payment</w:t>
            </w:r>
          </w:p>
        </w:tc>
        <w:tc>
          <w:tcPr/>
          <w:p>
            <w:pPr>
              <w:pStyle w:val="Compact"/>
            </w:pPr>
            <w:r>
              <w:t xml:space="preserve">Acquirer</w:t>
            </w:r>
          </w:p>
        </w:tc>
        <w:tc>
          <w:tcPr/>
          <w:p>
            <w:pPr>
              <w:pStyle w:val="Compact"/>
            </w:pPr>
            <w:r>
              <w:t xml:space="preserve">B2B/lodged/virtual cards, dedicated process</w:t>
            </w:r>
          </w:p>
        </w:tc>
        <w:tc>
          <w:tcPr/>
          <w:p>
            <w:pPr>
              <w:pStyle w:val="Compact"/>
            </w:pPr>
            <w:r>
              <w:t xml:space="preserve">Acquirer</w:t>
            </w:r>
          </w:p>
        </w:tc>
        <w:tc>
          <w:tcPr/>
          <w:p>
            <w:pPr>
              <w:pStyle w:val="Compact"/>
            </w:pPr>
            <w:r>
              <w:t xml:space="preserve">Approved corporate merchants only</w:t>
            </w:r>
          </w:p>
        </w:tc>
      </w:tr>
      <w:tr>
        <w:tc>
          <w:tcPr/>
          <w:p>
            <w:pPr>
              <w:pStyle w:val="Compact"/>
            </w:pPr>
            <w:r>
              <w:rPr>
                <w:b/>
                <w:bCs/>
              </w:rPr>
              <w:t xml:space="preserve">Recurring / MIT (subsequent)</w:t>
            </w:r>
          </w:p>
        </w:tc>
        <w:tc>
          <w:tcPr/>
          <w:p>
            <w:pPr>
              <w:pStyle w:val="Compact"/>
            </w:pPr>
            <w:r>
              <w:t xml:space="preserve">Merchant</w:t>
            </w:r>
          </w:p>
        </w:tc>
        <w:tc>
          <w:tcPr/>
          <w:p>
            <w:pPr>
              <w:pStyle w:val="Compact"/>
            </w:pPr>
            <w:r>
              <w:t xml:space="preserve">Initial CIT anchored with 3DS</w:t>
            </w:r>
          </w:p>
        </w:tc>
        <w:tc>
          <w:tcPr/>
          <w:p>
            <w:pPr>
              <w:pStyle w:val="Compact"/>
            </w:pPr>
            <w:r>
              <w:t xml:space="preserve">Merchant</w:t>
            </w:r>
          </w:p>
        </w:tc>
        <w:tc>
          <w:tcPr/>
          <w:p>
            <w:pPr>
              <w:pStyle w:val="Compact"/>
            </w:pPr>
            <w:r>
              <w:t xml:space="preserve">3DS on first txn only</w:t>
            </w:r>
          </w:p>
        </w:tc>
      </w:tr>
      <w:tr>
        <w:tc>
          <w:tcPr/>
          <w:p>
            <w:pPr>
              <w:pStyle w:val="Compact"/>
            </w:pPr>
            <w:r>
              <w:rPr>
                <w:b/>
                <w:bCs/>
              </w:rPr>
              <w:t xml:space="preserve">Delegated Authentication (DA)</w:t>
            </w:r>
          </w:p>
        </w:tc>
        <w:tc>
          <w:tcPr/>
          <w:p>
            <w:pPr>
              <w:pStyle w:val="Compact"/>
            </w:pPr>
            <w:r>
              <w:t xml:space="preserve">Acquirer/3DSS</w:t>
            </w:r>
          </w:p>
        </w:tc>
        <w:tc>
          <w:tcPr/>
          <w:p>
            <w:pPr>
              <w:pStyle w:val="Compact"/>
            </w:pPr>
            <w:r>
              <w:t xml:space="preserve">Auth delegated (e.g. biometrics)</w:t>
            </w:r>
          </w:p>
        </w:tc>
        <w:tc>
          <w:tcPr/>
          <w:p>
            <w:pPr>
              <w:pStyle w:val="Compact"/>
            </w:pPr>
            <w:r>
              <w:t xml:space="preserve">Per DA agreement</w:t>
            </w:r>
          </w:p>
        </w:tc>
        <w:tc>
          <w:tcPr/>
          <w:p>
            <w:pPr>
              <w:pStyle w:val="Compact"/>
            </w:pPr>
            <w:r>
              <w:t xml:space="preserve">TODO (extra cert required)</w:t>
            </w:r>
          </w:p>
        </w:tc>
      </w:tr>
    </w:tbl>
    <w:p>
      <w:pPr>
        <w:pStyle w:val="BlockText"/>
      </w:pPr>
      <w:r>
        <w:rPr>
          <w:b/>
          <w:bCs/>
        </w:rPr>
        <w:t xml:space="preserve">Note:</w:t>
      </w:r>
      <w:r>
        <w:t xml:space="preserve"> </w:t>
      </w:r>
      <w:r>
        <w:t xml:space="preserve">Caps are</w:t>
      </w:r>
      <w:r>
        <w:t xml:space="preserve"> </w:t>
      </w:r>
      <w:r>
        <w:rPr>
          <w:b/>
          <w:bCs/>
        </w:rPr>
        <w:t xml:space="preserve">indicative from the EU PSD2 RTS</w:t>
      </w:r>
      <w:r>
        <w:t xml:space="preserve">, used as a design baseline —</w:t>
      </w:r>
      <w:r>
        <w:t xml:space="preserve"> </w:t>
      </w:r>
      <w:r>
        <w:rPr>
          <w:b/>
          <w:bCs/>
        </w:rPr>
        <w:t xml:space="preserve">actual binding</w:t>
      </w:r>
      <w:r>
        <w:rPr>
          <w:b/>
          <w:bCs/>
        </w:rPr>
        <w:t xml:space="preserve"> </w:t>
      </w:r>
      <w:r>
        <w:rPr>
          <w:b/>
          <w:bCs/>
        </w:rPr>
        <w:t xml:space="preserve">thresholds in Thailand are set by scheme rules + sponsor bank</w:t>
      </w:r>
      <w:r>
        <w:t xml:space="preserve"> </w:t>
      </w:r>
      <w:r>
        <w:t xml:space="preserve">and must be configured via a parameter table,</w:t>
      </w:r>
      <w:r>
        <w:t xml:space="preserve"> </w:t>
      </w:r>
      <w:r>
        <w:t xml:space="preserve">not hard-coded (see TODO 3).</w:t>
      </w:r>
    </w:p>
    <w:bookmarkEnd w:id="769"/>
    <w:bookmarkStart w:id="770" w:name="exemption-usage-controls"/>
    <w:p>
      <w:pPr>
        <w:pStyle w:val="Heading3"/>
      </w:pPr>
      <w:r>
        <w:t xml:space="preserve">4.2 Exemption-usage controls</w:t>
      </w:r>
    </w:p>
    <w:p>
      <w:pPr>
        <w:pStyle w:val="Compact"/>
        <w:numPr>
          <w:ilvl w:val="0"/>
          <w:numId w:val="1297"/>
        </w:numPr>
      </w:pPr>
      <w:r>
        <w:rPr>
          <w:b/>
          <w:bCs/>
        </w:rPr>
        <w:t xml:space="preserve">Exemption logic lives in the Risk/Fraud Engine</w:t>
      </w:r>
      <w:r>
        <w:t xml:space="preserve"> </w:t>
      </w:r>
      <w:r>
        <w:t xml:space="preserve">(</w:t>
      </w:r>
      <w:r>
        <w:rPr>
          <w:rStyle w:val="VerbatimChar"/>
        </w:rPr>
        <w:t xml:space="preserve">internal/service</w:t>
      </w:r>
      <w:r>
        <w:t xml:space="preserve">) — compute a risk score before</w:t>
      </w:r>
      <w:r>
        <w:t xml:space="preserve"> </w:t>
      </w:r>
      <w:r>
        <w:t xml:space="preserve">requesting an exemption; every exemption request is logged to</w:t>
      </w:r>
      <w:r>
        <w:t xml:space="preserve"> </w:t>
      </w:r>
      <w:r>
        <w:rPr>
          <w:rStyle w:val="VerbatimChar"/>
        </w:rPr>
        <w:t xml:space="preserve">audit_log</w:t>
      </w:r>
      <w:r>
        <w:t xml:space="preserve"> </w:t>
      </w:r>
      <w:r>
        <w:t xml:space="preserve">with reason and parameters used.</w:t>
      </w:r>
    </w:p>
    <w:p>
      <w:pPr>
        <w:pStyle w:val="Compact"/>
        <w:numPr>
          <w:ilvl w:val="0"/>
          <w:numId w:val="1297"/>
        </w:numPr>
      </w:pPr>
      <w:r>
        <w:rPr>
          <w:b/>
          <w:bCs/>
        </w:rPr>
        <w:t xml:space="preserve">Fail closed</w:t>
      </w:r>
      <w:r>
        <w:t xml:space="preserve"> </w:t>
      </w:r>
      <w:r>
        <w:t xml:space="preserve">(</w:t>
      </w:r>
      <w:r>
        <w:rPr>
          <w:rStyle w:val="VerbatimChar"/>
        </w:rPr>
        <w:t xml:space="preserve">ARCHITECTURE.md</w:t>
      </w:r>
      <w:r>
        <w:t xml:space="preserve"> </w:t>
      </w:r>
      <w:r>
        <w:t xml:space="preserve">§2.7) — if unsure an exemption applies,</w:t>
      </w:r>
      <w:r>
        <w:t xml:space="preserve"> </w:t>
      </w:r>
      <w:r>
        <w:rPr>
          <w:b/>
          <w:bCs/>
        </w:rPr>
        <w:t xml:space="preserve">force a challenge</w:t>
      </w:r>
      <w:r>
        <w:t xml:space="preserve">.</w:t>
      </w:r>
    </w:p>
    <w:p>
      <w:pPr>
        <w:pStyle w:val="Compact"/>
        <w:numPr>
          <w:ilvl w:val="0"/>
          <w:numId w:val="1297"/>
        </w:numPr>
      </w:pPr>
      <w:r>
        <w:rPr>
          <w:b/>
          <w:bCs/>
        </w:rPr>
        <w:t xml:space="preserve">Soft-decline handling</w:t>
      </w:r>
      <w:r>
        <w:t xml:space="preserve"> </w:t>
      </w:r>
      <w:r>
        <w:t xml:space="preserve">— if the issuer rejects the exemption (soft decline), automatically retry as a challenge.</w:t>
      </w:r>
    </w:p>
    <w:p>
      <w:pPr>
        <w:pStyle w:val="Compact"/>
        <w:numPr>
          <w:ilvl w:val="0"/>
          <w:numId w:val="1297"/>
        </w:numPr>
      </w:pPr>
      <w:r>
        <w:rPr>
          <w:b/>
          <w:bCs/>
        </w:rPr>
        <w:t xml:space="preserve">TRA fraud-rate monitoring</w:t>
      </w:r>
      <w:r>
        <w:t xml:space="preserve"> </w:t>
      </w:r>
      <w:r>
        <w:t xml:space="preserve">— continuously track portfolio fraud rate; if it exceeds the threshold,</w:t>
      </w:r>
      <w:r>
        <w:t xml:space="preserve"> </w:t>
      </w:r>
      <w:r>
        <w:rPr>
          <w:b/>
          <w:bCs/>
        </w:rPr>
        <w:t xml:space="preserve">automatically disable TRA</w:t>
      </w:r>
      <w:r>
        <w:t xml:space="preserve"> </w:t>
      </w:r>
      <w:r>
        <w:t xml:space="preserve">and report to Compliance.</w:t>
      </w:r>
    </w:p>
    <w:p>
      <w:pPr>
        <w:pStyle w:val="Compact"/>
        <w:numPr>
          <w:ilvl w:val="0"/>
          <w:numId w:val="1297"/>
        </w:numPr>
      </w:pPr>
      <w:r>
        <w:t xml:space="preserve">Never use an exemption for transactions flagged high-risk by the risk engine, even if within LVP/TRA caps.</w:t>
      </w:r>
    </w:p>
    <w:bookmarkEnd w:id="770"/>
    <w:bookmarkStart w:id="771" w:name="threshold-configuration-parameterized-1"/>
    <w:p>
      <w:pPr>
        <w:pStyle w:val="Heading3"/>
      </w:pPr>
      <w:r>
        <w:t xml:space="preserve">4.3 Threshold configuration (parameterized)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Default (design baseline)</w:t>
            </w:r>
          </w:p>
        </w:tc>
        <w:tc>
          <w:tcPr/>
          <w:p>
            <w:pPr>
              <w:pStyle w:val="Compact"/>
            </w:pPr>
            <w:r>
              <w:t xml:space="preserve">Owner</w:t>
            </w:r>
          </w:p>
        </w:tc>
        <w:tc>
          <w:tcPr/>
          <w:p>
            <w:pPr>
              <w:pStyle w:val="Compact"/>
            </w:pPr>
            <w:r>
              <w:t xml:space="preserve">Note</w:t>
            </w:r>
          </w:p>
        </w:tc>
      </w:tr>
      <w:tr>
        <w:tc>
          <w:tcPr/>
          <w:p>
            <w:pPr>
              <w:pStyle w:val="Compact"/>
            </w:pPr>
            <w:r>
              <w:rPr>
                <w:rStyle w:val="VerbatimChar"/>
              </w:rPr>
              <w:t xml:space="preserve">lvp.amount_cap</w:t>
            </w:r>
          </w:p>
        </w:tc>
        <w:tc>
          <w:tcPr/>
          <w:p>
            <w:pPr>
              <w:pStyle w:val="Compact"/>
            </w:pPr>
            <w:r>
              <w:t xml:space="preserve">~EUR 30 equiv. (configured in THB)</w:t>
            </w:r>
          </w:p>
        </w:tc>
        <w:tc>
          <w:tcPr/>
          <w:p>
            <w:pPr>
              <w:pStyle w:val="Compact"/>
            </w:pPr>
            <w:r>
              <w:t xml:space="preserve">Compliance + Sponsor bank</w:t>
            </w:r>
          </w:p>
        </w:tc>
        <w:tc>
          <w:tcPr/>
          <w:p>
            <w:pPr>
              <w:pStyle w:val="Compact"/>
            </w:pPr>
            <w:r>
              <w:t xml:space="preserve">Per scheme rule</w:t>
            </w:r>
          </w:p>
        </w:tc>
      </w:tr>
      <w:tr>
        <w:tc>
          <w:tcPr/>
          <w:p>
            <w:pPr>
              <w:pStyle w:val="Compact"/>
            </w:pPr>
            <w:r>
              <w:rPr>
                <w:rStyle w:val="VerbatimChar"/>
              </w:rPr>
              <w:t xml:space="preserve">lvp.count_cap</w:t>
            </w:r>
            <w:r>
              <w:t xml:space="preserve"> </w:t>
            </w:r>
            <w:r>
              <w:t xml:space="preserve">/</w:t>
            </w:r>
            <w:r>
              <w:t xml:space="preserve"> </w:t>
            </w:r>
            <w:r>
              <w:rPr>
                <w:rStyle w:val="VerbatimChar"/>
              </w:rPr>
              <w:t xml:space="preserve">lvp.cumulative_cap</w:t>
            </w:r>
          </w:p>
        </w:tc>
        <w:tc>
          <w:tcPr/>
          <w:p>
            <w:pPr>
              <w:pStyle w:val="Compact"/>
            </w:pPr>
            <w:r>
              <w:t xml:space="preserve">5 txns / ~EUR 100</w:t>
            </w:r>
          </w:p>
        </w:tc>
        <w:tc>
          <w:tcPr/>
          <w:p>
            <w:pPr>
              <w:pStyle w:val="Compact"/>
            </w:pPr>
            <w:r>
              <w:t xml:space="preserve">Compliance</w:t>
            </w:r>
          </w:p>
        </w:tc>
        <w:tc>
          <w:tcPr/>
          <w:p>
            <w:pPr>
              <w:pStyle w:val="Compact"/>
            </w:pPr>
            <w:r>
              <w:t xml:space="preserve">Per card per issuer</w:t>
            </w:r>
          </w:p>
        </w:tc>
      </w:tr>
      <w:tr>
        <w:tc>
          <w:tcPr/>
          <w:p>
            <w:pPr>
              <w:pStyle w:val="Compact"/>
            </w:pPr>
            <w:r>
              <w:rPr>
                <w:rStyle w:val="VerbatimChar"/>
              </w:rPr>
              <w:t xml:space="preserve">tra.fraud_rate.tier</w:t>
            </w:r>
          </w:p>
        </w:tc>
        <w:tc>
          <w:tcPr/>
          <w:p>
            <w:pPr>
              <w:pStyle w:val="Compact"/>
            </w:pPr>
            <w:r>
              <w:t xml:space="preserve">0.13% / 0.06% / 0.01%</w:t>
            </w:r>
          </w:p>
        </w:tc>
        <w:tc>
          <w:tcPr/>
          <w:p>
            <w:pPr>
              <w:pStyle w:val="Compact"/>
            </w:pPr>
            <w:r>
              <w:t xml:space="preserve">Risk</w:t>
            </w:r>
          </w:p>
        </w:tc>
        <w:tc>
          <w:tcPr/>
          <w:p>
            <w:pPr>
              <w:pStyle w:val="Compact"/>
            </w:pPr>
            <w:r>
              <w:t xml:space="preserve">Tied to amount tiers</w:t>
            </w:r>
          </w:p>
        </w:tc>
      </w:tr>
      <w:tr>
        <w:tc>
          <w:tcPr/>
          <w:p>
            <w:pPr>
              <w:pStyle w:val="Compact"/>
            </w:pPr>
            <w:r>
              <w:rPr>
                <w:rStyle w:val="VerbatimChar"/>
              </w:rPr>
              <w:t xml:space="preserve">challenge.force_above</w:t>
            </w:r>
          </w:p>
        </w:tc>
        <w:tc>
          <w:tcPr/>
          <w:p>
            <w:pPr>
              <w:pStyle w:val="Compact"/>
            </w:pPr>
            <w:r>
              <w:t xml:space="preserve">THB threshold (TODO)</w:t>
            </w:r>
          </w:p>
        </w:tc>
        <w:tc>
          <w:tcPr/>
          <w:p>
            <w:pPr>
              <w:pStyle w:val="Compact"/>
            </w:pPr>
            <w:r>
              <w:t xml:space="preserve">Risk + Sponsor bank</w:t>
            </w:r>
          </w:p>
        </w:tc>
        <w:tc>
          <w:tcPr/>
          <w:p>
            <w:pPr>
              <w:pStyle w:val="Compact"/>
            </w:pPr>
            <w:r>
              <w:t xml:space="preserve">Force challenge above this</w:t>
            </w:r>
          </w:p>
        </w:tc>
      </w:tr>
      <w:tr>
        <w:tc>
          <w:tcPr/>
          <w:p>
            <w:pPr>
              <w:pStyle w:val="Compact"/>
            </w:pPr>
            <w:r>
              <w:rPr>
                <w:rStyle w:val="VerbatimChar"/>
              </w:rPr>
              <w:t xml:space="preserve">high_risk_mcc[]</w:t>
            </w:r>
          </w:p>
        </w:tc>
        <w:tc>
          <w:tcPr/>
          <w:p>
            <w:pPr>
              <w:pStyle w:val="Compact"/>
            </w:pPr>
            <w:r>
              <w:t xml:space="preserve">Risky MCC list</w:t>
            </w:r>
          </w:p>
        </w:tc>
        <w:tc>
          <w:tcPr/>
          <w:p>
            <w:pPr>
              <w:pStyle w:val="Compact"/>
            </w:pPr>
            <w:r>
              <w:t xml:space="preserve">Compliance</w:t>
            </w:r>
          </w:p>
        </w:tc>
        <w:tc>
          <w:tcPr/>
          <w:p>
            <w:pPr>
              <w:pStyle w:val="Compact"/>
            </w:pPr>
            <w:r>
              <w:t xml:space="preserve">No exemption allowed</w:t>
            </w:r>
          </w:p>
        </w:tc>
      </w:tr>
    </w:tbl>
    <w:bookmarkEnd w:id="771"/>
    <w:bookmarkStart w:id="772" w:name="recurring-mit-1"/>
    <w:p>
      <w:pPr>
        <w:pStyle w:val="Heading3"/>
      </w:pPr>
      <w:r>
        <w:t xml:space="preserve">4.4 Recurring / MIT</w:t>
      </w:r>
    </w:p>
    <w:p>
      <w:pPr>
        <w:pStyle w:val="Compact"/>
        <w:numPr>
          <w:ilvl w:val="0"/>
          <w:numId w:val="1298"/>
        </w:numPr>
      </w:pPr>
      <w:r>
        <w:rPr>
          <w:b/>
          <w:bCs/>
        </w:rPr>
        <w:t xml:space="preserve">Initial (CIT — Customer Initiated):</w:t>
      </w:r>
      <w:r>
        <w:t xml:space="preserve"> </w:t>
      </w:r>
      <w:r>
        <w:t xml:space="preserve">force a 3DS challenge to authenticate and obtain liability shift; store</w:t>
      </w:r>
      <w:r>
        <w:t xml:space="preserve"> </w:t>
      </w:r>
      <w:r>
        <w:t xml:space="preserve">the</w:t>
      </w:r>
      <w:r>
        <w:t xml:space="preserve"> </w:t>
      </w:r>
      <w:r>
        <w:rPr>
          <w:rStyle w:val="VerbatimChar"/>
        </w:rPr>
        <w:t xml:space="preserve">3DS transaction ID</w:t>
      </w:r>
      <w:r>
        <w:t xml:space="preserve"> </w:t>
      </w:r>
      <w:r>
        <w:t xml:space="preserve">/ network transaction reference to anchor future MIT.</w:t>
      </w:r>
    </w:p>
    <w:p>
      <w:pPr>
        <w:pStyle w:val="Compact"/>
        <w:numPr>
          <w:ilvl w:val="0"/>
          <w:numId w:val="1298"/>
        </w:numPr>
      </w:pPr>
      <w:r>
        <w:rPr>
          <w:b/>
          <w:bCs/>
        </w:rPr>
        <w:t xml:space="preserve">Subsequent (MIT — Merchant Initiated):</w:t>
      </w:r>
      <w:r>
        <w:t xml:space="preserve"> </w:t>
      </w:r>
      <w:r>
        <w:t xml:space="preserve">no cardholder present, so 3DS is exempted, but a correct MIT</w:t>
      </w:r>
      <w:r>
        <w:t xml:space="preserve"> </w:t>
      </w:r>
      <w:r>
        <w:t xml:space="preserve">indicator + reference must be sent, otherwise risk of decline/chargeback.</w:t>
      </w:r>
    </w:p>
    <w:p>
      <w:r>
        <w:pict>
          <v:rect style="width:0;height:1.5pt" o:hralign="center" o:hrstd="t" o:hr="t"/>
        </w:pict>
      </w:r>
    </w:p>
    <w:bookmarkEnd w:id="772"/>
    <w:bookmarkEnd w:id="773"/>
    <w:bookmarkStart w:id="778" w:name="X2e42bbfb109ba98828cb2021ef304e66df793a9"/>
    <w:p>
      <w:pPr>
        <w:pStyle w:val="Heading2"/>
      </w:pPr>
      <w:r>
        <w:t xml:space="preserve">5. Challenge flow — frictionless and challenge</w:t>
      </w:r>
    </w:p>
    <w:bookmarkStart w:id="774" w:name="sequence-overview"/>
    <w:p>
      <w:pPr>
        <w:pStyle w:val="Heading3"/>
      </w:pPr>
      <w:r>
        <w:t xml:space="preserve">5.1 Sequence overview</w:t>
      </w:r>
    </w:p>
    <w:p>
      <w:pPr>
        <w:pStyle w:val="SourceCode"/>
      </w:pPr>
      <w:r>
        <w:rPr>
          <w:rStyle w:val="VerbatimChar"/>
        </w:rPr>
        <w:t xml:space="preserve">Cardholder ─┐</w:t>
      </w:r>
      <w:r>
        <w:br/>
      </w:r>
      <w:r>
        <w:rPr>
          <w:rStyle w:val="VerbatimChar"/>
        </w:rPr>
        <w:t xml:space="preserve">Merchant ── POST /v1/payments (payment_token, browser/device data)</w:t>
      </w:r>
      <w:r>
        <w:br/>
      </w:r>
      <w:r>
        <w:rPr>
          <w:rStyle w:val="VerbatimChar"/>
        </w:rPr>
        <w:t xml:space="preserve">            ▼</w:t>
      </w:r>
      <w:r>
        <w:br/>
      </w:r>
      <w:r>
        <w:rPr>
          <w:rStyle w:val="VerbatimChar"/>
        </w:rPr>
        <w:t xml:space="preserve">     [บริษัท/Company] Payment Core</w:t>
      </w:r>
      <w:r>
        <w:br/>
      </w:r>
      <w:r>
        <w:rPr>
          <w:rStyle w:val="VerbatimChar"/>
        </w:rPr>
        <w:t xml:space="preserve">            │  detokenize (PCI scope) → risk scoring → exemption decision?</w:t>
      </w:r>
      <w:r>
        <w:br/>
      </w:r>
      <w:r>
        <w:rPr>
          <w:rStyle w:val="VerbatimChar"/>
        </w:rPr>
        <w:t xml:space="preserve">            ▼  AReq (Authentication Request) via 3DS Server</w:t>
      </w:r>
      <w:r>
        <w:br/>
      </w:r>
      <w:r>
        <w:rPr>
          <w:rStyle w:val="VerbatimChar"/>
        </w:rPr>
        <w:t xml:space="preserve">        Directory Server (scheme)</w:t>
      </w:r>
      <w:r>
        <w:br/>
      </w:r>
      <w:r>
        <w:rPr>
          <w:rStyle w:val="VerbatimChar"/>
        </w:rPr>
        <w:t xml:space="preserve">            ▼</w:t>
      </w:r>
      <w:r>
        <w:br/>
      </w:r>
      <w:r>
        <w:rPr>
          <w:rStyle w:val="VerbatimChar"/>
        </w:rPr>
        <w:t xml:space="preserve">        ACS (issuer)  ── RBA ──►  ┌─ Frictionless: ARes(status=Y) ─► authorize</w:t>
      </w:r>
      <w:r>
        <w:br/>
      </w:r>
      <w:r>
        <w:rPr>
          <w:rStyle w:val="VerbatimChar"/>
        </w:rPr>
        <w:t xml:space="preserve">                                  └─ Challenge:    ARes(status=C) ─► CReq/CRes</w:t>
      </w:r>
      <w:r>
        <w:br/>
      </w:r>
      <w:r>
        <w:rPr>
          <w:rStyle w:val="VerbatimChar"/>
        </w:rPr>
        <w:t xml:space="preserve">                                                     ▼</w:t>
      </w:r>
      <w:r>
        <w:br/>
      </w:r>
      <w:r>
        <w:rPr>
          <w:rStyle w:val="VerbatimChar"/>
        </w:rPr>
        <w:t xml:space="preserve">                       return next_action_url; cardholder completes challenge (OTP/biometric)</w:t>
      </w:r>
      <w:r>
        <w:br/>
      </w:r>
      <w:r>
        <w:rPr>
          <w:rStyle w:val="VerbatimChar"/>
        </w:rPr>
        <w:t xml:space="preserve">                                                     ▼</w:t>
      </w:r>
      <w:r>
        <w:br/>
      </w:r>
      <w:r>
        <w:rPr>
          <w:rStyle w:val="VerbatimChar"/>
        </w:rPr>
        <w:t xml:space="preserve">                       RReq/RRes → auth result (Y/N/A/U/R) → authorize or fail</w:t>
      </w:r>
    </w:p>
    <w:p>
      <w:pPr>
        <w:pStyle w:val="FirstParagraph"/>
      </w:pPr>
      <w:r>
        <w:rPr>
          <w:b/>
          <w:bCs/>
        </w:rPr>
        <w:t xml:space="preserve">State-machine mapping</w:t>
      </w:r>
      <w:r>
        <w:t xml:space="preserve"> </w:t>
      </w:r>
      <w:r>
        <w:t xml:space="preserve">(</w:t>
      </w:r>
      <w:r>
        <w:rPr>
          <w:rStyle w:val="VerbatimChar"/>
        </w:rPr>
        <w:t xml:space="preserve">ARCHITECTURE.md</w:t>
      </w:r>
      <w:r>
        <w:t xml:space="preserve"> </w:t>
      </w:r>
      <w:r>
        <w:t xml:space="preserve">§5.1/§5.4):</w:t>
      </w:r>
      <w:r>
        <w:t xml:space="preserve"> </w:t>
      </w:r>
      <w:r>
        <w:t xml:space="preserve">- Challenge required → return</w:t>
      </w:r>
      <w:r>
        <w:t xml:space="preserve"> </w:t>
      </w:r>
      <w:r>
        <w:rPr>
          <w:rStyle w:val="VerbatimChar"/>
        </w:rPr>
        <w:t xml:space="preserve">requires_action</w:t>
      </w:r>
      <w:r>
        <w:t xml:space="preserve"> </w:t>
      </w:r>
      <w:r>
        <w:t xml:space="preserve">+</w:t>
      </w:r>
      <w:r>
        <w:t xml:space="preserve"> </w:t>
      </w:r>
      <w:r>
        <w:rPr>
          <w:rStyle w:val="VerbatimChar"/>
        </w:rPr>
        <w:t xml:space="preserve">next_action_url</w:t>
      </w:r>
      <w:r>
        <w:t xml:space="preserve"> </w:t>
      </w:r>
      <w:r>
        <w:t xml:space="preserve">- Auth success (Y/A) →</w:t>
      </w:r>
      <w:r>
        <w:t xml:space="preserve"> </w:t>
      </w:r>
      <w:r>
        <w:rPr>
          <w:rStyle w:val="VerbatimChar"/>
        </w:rPr>
        <w:t xml:space="preserve">authorized</w:t>
      </w:r>
      <w:r>
        <w:t xml:space="preserve"> </w:t>
      </w:r>
      <w:r>
        <w:t xml:space="preserve">→ capture</w:t>
      </w:r>
      <w:r>
        <w:t xml:space="preserve"> </w:t>
      </w:r>
      <w:r>
        <w:t xml:space="preserve">- Auth failure (N/R) →</w:t>
      </w:r>
      <w:r>
        <w:t xml:space="preserve"> </w:t>
      </w:r>
      <w:r>
        <w:rPr>
          <w:rStyle w:val="VerbatimChar"/>
        </w:rPr>
        <w:t xml:space="preserve">failed</w:t>
      </w:r>
    </w:p>
    <w:bookmarkEnd w:id="774"/>
    <w:bookmarkStart w:id="775" w:name="authentication-outcomes-transstatus"/>
    <w:p>
      <w:pPr>
        <w:pStyle w:val="Heading3"/>
      </w:pPr>
      <w:r>
        <w:t xml:space="preserve">5.2 Authentication outcomes (transStatus)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Meaning</w:t>
            </w:r>
          </w:p>
        </w:tc>
        <w:tc>
          <w:tcPr/>
          <w:p>
            <w:pPr>
              <w:pStyle w:val="Compact"/>
            </w:pPr>
            <w:r>
              <w:t xml:space="preserve">Action</w:t>
            </w:r>
          </w:p>
        </w:tc>
        <w:tc>
          <w:tcPr/>
          <w:p>
            <w:pPr>
              <w:pStyle w:val="Compact"/>
            </w:pPr>
            <w:r>
              <w:t xml:space="preserve">Liability</w:t>
            </w:r>
          </w:p>
        </w:tc>
      </w:tr>
      <w:tr>
        <w:tc>
          <w:tcPr/>
          <w:p>
            <w:pPr>
              <w:pStyle w:val="Compact"/>
            </w:pPr>
            <w:r>
              <w:rPr>
                <w:b/>
                <w:bCs/>
              </w:rPr>
              <w:t xml:space="preserve">Y</w:t>
            </w:r>
          </w:p>
        </w:tc>
        <w:tc>
          <w:tcPr/>
          <w:p>
            <w:pPr>
              <w:pStyle w:val="Compact"/>
            </w:pPr>
            <w:r>
              <w:t xml:space="preserve">Authenticated (frictionless or challenge success)</w:t>
            </w:r>
          </w:p>
        </w:tc>
        <w:tc>
          <w:tcPr/>
          <w:p>
            <w:pPr>
              <w:pStyle w:val="Compact"/>
            </w:pPr>
            <w:r>
              <w:t xml:space="preserve">Proceed to authorize</w:t>
            </w:r>
          </w:p>
        </w:tc>
        <w:tc>
          <w:tcPr/>
          <w:p>
            <w:pPr>
              <w:pStyle w:val="Compact"/>
            </w:pPr>
            <w:r>
              <w:t xml:space="preserve">Shifts → issuer</w:t>
            </w:r>
          </w:p>
        </w:tc>
      </w:tr>
      <w:tr>
        <w:tc>
          <w:tcPr/>
          <w:p>
            <w:pPr>
              <w:pStyle w:val="Compact"/>
            </w:pPr>
            <w:r>
              <w:rPr>
                <w:b/>
                <w:bCs/>
              </w:rPr>
              <w:t xml:space="preserve">A</w:t>
            </w:r>
          </w:p>
        </w:tc>
        <w:tc>
          <w:tcPr/>
          <w:p>
            <w:pPr>
              <w:pStyle w:val="Compact"/>
            </w:pPr>
            <w:r>
              <w:t xml:space="preserve">Attempted (ACS/issuer unavailable but attempt recorded)</w:t>
            </w:r>
          </w:p>
        </w:tc>
        <w:tc>
          <w:tcPr/>
          <w:p>
            <w:pPr>
              <w:pStyle w:val="Compact"/>
            </w:pPr>
            <w:r>
              <w:t xml:space="preserve">Proceed to authorize</w:t>
            </w:r>
          </w:p>
        </w:tc>
        <w:tc>
          <w:tcPr/>
          <w:p>
            <w:pPr>
              <w:pStyle w:val="Compact"/>
            </w:pPr>
            <w:r>
              <w:t xml:space="preserve">Shifts → issuer (generally)</w:t>
            </w:r>
          </w:p>
        </w:tc>
      </w:tr>
      <w:tr>
        <w:tc>
          <w:tcPr/>
          <w:p>
            <w:pPr>
              <w:pStyle w:val="Compact"/>
            </w:pPr>
            <w:r>
              <w:rPr>
                <w:b/>
                <w:bCs/>
              </w:rPr>
              <w:t xml:space="preserve">C</w:t>
            </w:r>
          </w:p>
        </w:tc>
        <w:tc>
          <w:tcPr/>
          <w:p>
            <w:pPr>
              <w:pStyle w:val="Compact"/>
            </w:pPr>
            <w:r>
              <w:t xml:space="preserve">Challenge required</w:t>
            </w:r>
          </w:p>
        </w:tc>
        <w:tc>
          <w:tcPr/>
          <w:p>
            <w:pPr>
              <w:pStyle w:val="Compact"/>
            </w:pPr>
            <w:r>
              <w:t xml:space="preserve">Return</w:t>
            </w:r>
            <w:r>
              <w:t xml:space="preserve"> </w:t>
            </w:r>
            <w:r>
              <w:rPr>
                <w:rStyle w:val="VerbatimChar"/>
              </w:rPr>
              <w:t xml:space="preserve">requires_action</w:t>
            </w:r>
          </w:p>
        </w:tc>
        <w:tc>
          <w:tcPr/>
          <w:p>
            <w:pPr>
              <w:pStyle w:val="Compact"/>
            </w:pPr>
            <w:r>
              <w:t xml:space="preserve">Pending</w:t>
            </w:r>
          </w:p>
        </w:tc>
      </w:tr>
      <w:tr>
        <w:tc>
          <w:tcPr/>
          <w:p>
            <w:pPr>
              <w:pStyle w:val="Compact"/>
            </w:pPr>
            <w:r>
              <w:rPr>
                <w:b/>
                <w:bCs/>
              </w:rPr>
              <w:t xml:space="preserve">D</w:t>
            </w:r>
          </w:p>
        </w:tc>
        <w:tc>
          <w:tcPr/>
          <w:p>
            <w:pPr>
              <w:pStyle w:val="Compact"/>
            </w:pPr>
            <w:r>
              <w:t xml:space="preserve">Decoupled challenge (async)</w:t>
            </w:r>
          </w:p>
        </w:tc>
        <w:tc>
          <w:tcPr/>
          <w:p>
            <w:pPr>
              <w:pStyle w:val="Compact"/>
            </w:pPr>
            <w:r>
              <w:t xml:space="preserve">Await callback per SLA</w:t>
            </w:r>
          </w:p>
        </w:tc>
        <w:tc>
          <w:tcPr/>
          <w:p>
            <w:pPr>
              <w:pStyle w:val="Compact"/>
            </w:pPr>
            <w:r>
              <w:t xml:space="preserve">Pending</w:t>
            </w:r>
          </w:p>
        </w:tc>
      </w:tr>
      <w:tr>
        <w:tc>
          <w:tcPr/>
          <w:p>
            <w:pPr>
              <w:pStyle w:val="Compact"/>
            </w:pPr>
            <w:r>
              <w:rPr>
                <w:b/>
                <w:bCs/>
              </w:rPr>
              <w:t xml:space="preserve">N</w:t>
            </w:r>
          </w:p>
        </w:tc>
        <w:tc>
          <w:tcPr/>
          <w:p>
            <w:pPr>
              <w:pStyle w:val="Compact"/>
            </w:pPr>
            <w:r>
              <w:t xml:space="preserve">Not authenticated</w:t>
            </w:r>
          </w:p>
        </w:tc>
        <w:tc>
          <w:tcPr/>
          <w:p>
            <w:pPr>
              <w:pStyle w:val="Compact"/>
            </w:pPr>
            <w:r>
              <w:rPr>
                <w:b/>
                <w:bCs/>
              </w:rPr>
              <w:t xml:space="preserve">Decline</w:t>
            </w:r>
            <w:r>
              <w:t xml:space="preserve"> </w:t>
            </w:r>
            <w:r>
              <w:t xml:space="preserve">(no authorize)</w:t>
            </w:r>
          </w:p>
        </w:tc>
        <w:tc>
          <w:tcPr/>
          <w:p>
            <w:pPr>
              <w:pStyle w:val="Compact"/>
            </w:pPr>
            <w:r>
              <w:t xml:space="preserve">Merchant</w:t>
            </w:r>
          </w:p>
        </w:tc>
      </w:tr>
      <w:tr>
        <w:tc>
          <w:tcPr/>
          <w:p>
            <w:pPr>
              <w:pStyle w:val="Compact"/>
            </w:pPr>
            <w:r>
              <w:rPr>
                <w:b/>
                <w:bCs/>
              </w:rPr>
              <w:t xml:space="preserve">U</w:t>
            </w:r>
          </w:p>
        </w:tc>
        <w:tc>
          <w:tcPr/>
          <w:p>
            <w:pPr>
              <w:pStyle w:val="Compact"/>
            </w:pPr>
            <w:r>
              <w:t xml:space="preserve">Unable / technical</w:t>
            </w:r>
          </w:p>
        </w:tc>
        <w:tc>
          <w:tcPr/>
          <w:p>
            <w:pPr>
              <w:pStyle w:val="Compact"/>
            </w:pPr>
            <w:r>
              <w:t xml:space="preserve">Per risk policy (see §5.4)</w:t>
            </w:r>
          </w:p>
        </w:tc>
        <w:tc>
          <w:tcPr/>
          <w:p>
            <w:pPr>
              <w:pStyle w:val="Compact"/>
            </w:pPr>
            <w:r>
              <w:t xml:space="preserve">No shift</w:t>
            </w:r>
          </w:p>
        </w:tc>
      </w:tr>
      <w:tr>
        <w:tc>
          <w:tcPr/>
          <w:p>
            <w:pPr>
              <w:pStyle w:val="Compact"/>
            </w:pPr>
            <w:r>
              <w:rPr>
                <w:b/>
                <w:bCs/>
              </w:rPr>
              <w:t xml:space="preserve">R</w:t>
            </w:r>
          </w:p>
        </w:tc>
        <w:tc>
          <w:tcPr/>
          <w:p>
            <w:pPr>
              <w:pStyle w:val="Compact"/>
            </w:pPr>
            <w:r>
              <w:t xml:space="preserve">Rejected by issuer</w:t>
            </w:r>
          </w:p>
        </w:tc>
        <w:tc>
          <w:tcPr/>
          <w:p>
            <w:pPr>
              <w:pStyle w:val="Compact"/>
            </w:pPr>
            <w:r>
              <w:t xml:space="preserve">Decline</w:t>
            </w:r>
          </w:p>
        </w:tc>
        <w:tc>
          <w:tcPr/>
          <w:p>
            <w:pPr>
              <w:pStyle w:val="Compact"/>
            </w:pPr>
            <w:r>
              <w:t xml:space="preserve">Merchant</w:t>
            </w:r>
          </w:p>
        </w:tc>
      </w:tr>
    </w:tbl>
    <w:bookmarkEnd w:id="775"/>
    <w:bookmarkStart w:id="776" w:name="sla-and-timeouts"/>
    <w:p>
      <w:pPr>
        <w:pStyle w:val="Heading3"/>
      </w:pPr>
      <w:r>
        <w:t xml:space="preserve">5.3 SLA and timeouts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Target</w:t>
            </w:r>
          </w:p>
        </w:tc>
        <w:tc>
          <w:tcPr/>
          <w:p>
            <w:pPr>
              <w:pStyle w:val="Compact"/>
            </w:pPr>
            <w:r>
              <w:t xml:space="preserve">Timeout / policy</w:t>
            </w:r>
          </w:p>
        </w:tc>
      </w:tr>
      <w:tr>
        <w:tc>
          <w:tcPr/>
          <w:p>
            <w:pPr>
              <w:pStyle w:val="Compact"/>
            </w:pPr>
            <w:r>
              <w:t xml:space="preserve">AReq → ARes (frictionless)</w:t>
            </w:r>
          </w:p>
        </w:tc>
        <w:tc>
          <w:tcPr/>
          <w:p>
            <w:pPr>
              <w:pStyle w:val="Compact"/>
            </w:pPr>
            <w:r>
              <w:t xml:space="preserve">&lt; 3 s (p95)</w:t>
            </w:r>
          </w:p>
        </w:tc>
        <w:tc>
          <w:tcPr/>
          <w:p>
            <w:pPr>
              <w:pStyle w:val="Compact"/>
            </w:pPr>
            <w:r>
              <w:t xml:space="preserve">10 s timeout → treat as U</w:t>
            </w:r>
          </w:p>
        </w:tc>
      </w:tr>
      <w:tr>
        <w:tc>
          <w:tcPr/>
          <w:p>
            <w:pPr>
              <w:pStyle w:val="Compact"/>
            </w:pPr>
            <w:r>
              <w:t xml:space="preserve">Challenge (cardholder OTP)</w:t>
            </w:r>
          </w:p>
        </w:tc>
        <w:tc>
          <w:tcPr/>
          <w:p>
            <w:pPr>
              <w:pStyle w:val="Compact"/>
            </w:pPr>
            <w:r>
              <w:t xml:space="preserve">User 3–5 min</w:t>
            </w:r>
          </w:p>
        </w:tc>
        <w:tc>
          <w:tcPr/>
          <w:p>
            <w:pPr>
              <w:pStyle w:val="Compact"/>
            </w:pPr>
            <w:r>
              <w:t xml:space="preserve">Standard ACS timeout; expiry → fail closed</w:t>
            </w:r>
          </w:p>
        </w:tc>
      </w:tr>
      <w:tr>
        <w:tc>
          <w:tcPr/>
          <w:p>
            <w:pPr>
              <w:pStyle w:val="Compact"/>
            </w:pPr>
            <w:r>
              <w:t xml:space="preserve">Decoupled (status D)</w:t>
            </w:r>
          </w:p>
        </w:tc>
        <w:tc>
          <w:tcPr/>
          <w:p>
            <w:pPr>
              <w:pStyle w:val="Compact"/>
            </w:pPr>
            <w:r>
              <w:t xml:space="preserve">Callback within scheme window</w:t>
            </w:r>
          </w:p>
        </w:tc>
        <w:tc>
          <w:tcPr/>
          <w:p>
            <w:pPr>
              <w:pStyle w:val="Compact"/>
            </w:pPr>
            <w:r>
              <w:t xml:space="preserve">Worker on</w:t>
            </w:r>
            <w:r>
              <w:t xml:space="preserve"> </w:t>
            </w:r>
            <w:r>
              <w:rPr>
                <w:rStyle w:val="VerbatimChar"/>
              </w:rPr>
              <w:t xml:space="preserve">next_action</w:t>
            </w:r>
            <w:r>
              <w:t xml:space="preserve"> </w:t>
            </w:r>
            <w:r>
              <w:t xml:space="preserve">+ expiry</w:t>
            </w:r>
          </w:p>
        </w:tc>
      </w:tr>
      <w:tr>
        <w:tc>
          <w:tcPr/>
          <w:p>
            <w:pPr>
              <w:pStyle w:val="Compact"/>
            </w:pPr>
            <w:r>
              <w:t xml:space="preserve">End-to-end auth latency</w:t>
            </w:r>
          </w:p>
        </w:tc>
        <w:tc>
          <w:tcPr/>
          <w:p>
            <w:pPr>
              <w:pStyle w:val="Compact"/>
            </w:pPr>
            <w:r>
              <w:t xml:space="preserve">Consistent with authorize p99 &lt; 800 ms</w:t>
            </w:r>
          </w:p>
        </w:tc>
        <w:tc>
          <w:tcPr/>
          <w:p>
            <w:pPr>
              <w:pStyle w:val="Compact"/>
            </w:pPr>
            <w:r>
              <w:t xml:space="preserve">3DS challenge excluded (async, user-side)</w:t>
            </w:r>
          </w:p>
        </w:tc>
      </w:tr>
    </w:tbl>
    <w:bookmarkEnd w:id="776"/>
    <w:bookmarkStart w:id="777" w:name="status-u-unable-and-fallback-policy"/>
    <w:p>
      <w:pPr>
        <w:pStyle w:val="Heading3"/>
      </w:pPr>
      <w:r>
        <w:t xml:space="preserve">5.4 Status-U (Unable) and fallback policy</w:t>
      </w:r>
    </w:p>
    <w:p>
      <w:pPr>
        <w:pStyle w:val="Compact"/>
        <w:numPr>
          <w:ilvl w:val="0"/>
          <w:numId w:val="1299"/>
        </w:numPr>
      </w:pPr>
      <w:r>
        <w:rPr>
          <w:b/>
          <w:bCs/>
        </w:rPr>
        <w:t xml:space="preserve">U from technical issues:</w:t>
      </w:r>
      <w:r>
        <w:t xml:space="preserve"> </w:t>
      </w:r>
      <w:r>
        <w:t xml:space="preserve">apply</w:t>
      </w:r>
      <w:r>
        <w:t xml:space="preserve"> </w:t>
      </w:r>
      <w:r>
        <w:rPr>
          <w:b/>
          <w:bCs/>
        </w:rPr>
        <w:t xml:space="preserve">fail closed</w:t>
      </w:r>
      <w:r>
        <w:t xml:space="preserve"> </w:t>
      </w:r>
      <w:r>
        <w:t xml:space="preserve">— high-value/high-risk → decline; low-value/low-risk may</w:t>
      </w:r>
      <w:r>
        <w:t xml:space="preserve"> </w:t>
      </w:r>
      <w:r>
        <w:t xml:space="preserve">authorize per risk policy but</w:t>
      </w:r>
      <w:r>
        <w:t xml:space="preserve"> </w:t>
      </w:r>
      <w:r>
        <w:rPr>
          <w:b/>
          <w:bCs/>
        </w:rPr>
        <w:t xml:space="preserve">without liability shift</w:t>
      </w:r>
      <w:r>
        <w:t xml:space="preserve"> </w:t>
      </w:r>
      <w:r>
        <w:t xml:space="preserve">(merchant bears risk).</w:t>
      </w:r>
    </w:p>
    <w:p>
      <w:pPr>
        <w:pStyle w:val="Compact"/>
        <w:numPr>
          <w:ilvl w:val="0"/>
          <w:numId w:val="1299"/>
        </w:numPr>
      </w:pPr>
      <w:r>
        <w:t xml:space="preserve">Never default to 3DS1 fallback (EOL) — only where scheme/sponsor still temporarily permit it.</w:t>
      </w:r>
    </w:p>
    <w:p>
      <w:pPr>
        <w:pStyle w:val="Compact"/>
        <w:numPr>
          <w:ilvl w:val="0"/>
          <w:numId w:val="1299"/>
        </w:numPr>
      </w:pPr>
      <w:r>
        <w:t xml:space="preserve">Every U/A/fallback case must be recorded in</w:t>
      </w:r>
      <w:r>
        <w:t xml:space="preserve"> </w:t>
      </w:r>
      <w:r>
        <w:rPr>
          <w:rStyle w:val="VerbatimChar"/>
        </w:rPr>
        <w:t xml:space="preserve">audit_log</w:t>
      </w:r>
      <w:r>
        <w:t xml:space="preserve"> </w:t>
      </w:r>
      <w:r>
        <w:t xml:space="preserve">for audit and dispute.</w:t>
      </w:r>
    </w:p>
    <w:p>
      <w:r>
        <w:pict>
          <v:rect style="width:0;height:1.5pt" o:hralign="center" o:hrstd="t" o:hr="t"/>
        </w:pict>
      </w:r>
    </w:p>
    <w:bookmarkEnd w:id="777"/>
    <w:bookmarkEnd w:id="778"/>
    <w:bookmarkStart w:id="779" w:name="Xd01d8f78c0cddc0d9663b62f4955894453f21a6"/>
    <w:p>
      <w:pPr>
        <w:pStyle w:val="Heading2"/>
      </w:pPr>
      <w:r>
        <w:t xml:space="preserve">6. Liability shift — mechanics and chargeback impact</w:t>
      </w:r>
    </w:p>
    <w:p>
      <w:pPr>
        <w:pStyle w:val="FirstParagraph"/>
      </w:pPr>
      <w:r>
        <w:rPr>
          <w:b/>
          <w:bCs/>
        </w:rPr>
        <w:t xml:space="preserve">Principle:</w:t>
      </w:r>
      <w:r>
        <w:t xml:space="preserve"> </w:t>
      </w:r>
      <w:r>
        <w:t xml:space="preserve">when a transaction is successfully authenticated via 3DS (transStatus = Y or A),</w:t>
      </w:r>
      <w:r>
        <w:t xml:space="preserve"> </w:t>
      </w:r>
      <w:r>
        <w:rPr>
          <w:b/>
          <w:bCs/>
        </w:rPr>
        <w:t xml:space="preserve">liability for</w:t>
      </w:r>
      <w:r>
        <w:rPr>
          <w:b/>
          <w:bCs/>
        </w:rPr>
        <w:t xml:space="preserve"> </w:t>
      </w:r>
      <w:r>
        <w:rPr>
          <w:b/>
          <w:bCs/>
        </w:rPr>
        <w:t xml:space="preserve">fraud chargebacks (fraud/unauthorized reason-code groups) shifts from acquirer/merchant to the issuer</w:t>
      </w:r>
      <w:r>
        <w:t xml:space="preserve">,</w:t>
      </w:r>
      <w:r>
        <w:t xml:space="preserve"> </w:t>
      </w:r>
      <w:r>
        <w:t xml:space="preserve">protecting [บริษัท / Company] and the merchant against those disputes.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Case</w:t>
            </w:r>
          </w:p>
        </w:tc>
        <w:tc>
          <w:tcPr/>
          <w:p>
            <w:pPr>
              <w:pStyle w:val="Compact"/>
            </w:pPr>
            <w:r>
              <w:t xml:space="preserve">Liability</w:t>
            </w:r>
          </w:p>
        </w:tc>
        <w:tc>
          <w:tcPr/>
          <w:p>
            <w:pPr>
              <w:pStyle w:val="Compact"/>
            </w:pPr>
            <w:r>
              <w:t xml:space="preserve">Note</w:t>
            </w:r>
          </w:p>
        </w:tc>
      </w:tr>
      <w:tr>
        <w:tc>
          <w:tcPr/>
          <w:p>
            <w:pPr>
              <w:pStyle w:val="Compact"/>
            </w:pPr>
            <w:r>
              <w:t xml:space="preserve">3DS success (Y)</w:t>
            </w:r>
          </w:p>
        </w:tc>
        <w:tc>
          <w:tcPr/>
          <w:p>
            <w:pPr>
              <w:pStyle w:val="Compact"/>
            </w:pPr>
            <w:r>
              <w:rPr>
                <w:b/>
                <w:bCs/>
              </w:rPr>
              <w:t xml:space="preserve">Issuer</w:t>
            </w:r>
          </w:p>
        </w:tc>
        <w:tc>
          <w:tcPr/>
          <w:p>
            <w:pPr>
              <w:pStyle w:val="Compact"/>
            </w:pPr>
            <w:r>
              <w:t xml:space="preserve">Fraud chargebacks covered</w:t>
            </w:r>
          </w:p>
        </w:tc>
      </w:tr>
      <w:tr>
        <w:tc>
          <w:tcPr/>
          <w:p>
            <w:pPr>
              <w:pStyle w:val="Compact"/>
            </w:pPr>
            <w:r>
              <w:t xml:space="preserve">3DS attempted (A)</w:t>
            </w:r>
          </w:p>
        </w:tc>
        <w:tc>
          <w:tcPr/>
          <w:p>
            <w:pPr>
              <w:pStyle w:val="Compact"/>
            </w:pPr>
            <w:r>
              <w:rPr>
                <w:b/>
                <w:bCs/>
              </w:rPr>
              <w:t xml:space="preserve">Issuer</w:t>
            </w:r>
            <w:r>
              <w:t xml:space="preserve"> </w:t>
            </w:r>
            <w:r>
              <w:t xml:space="preserve">(generally)</w:t>
            </w:r>
          </w:p>
        </w:tc>
        <w:tc>
          <w:tcPr/>
          <w:p>
            <w:pPr>
              <w:pStyle w:val="Compact"/>
            </w:pPr>
            <w:r>
              <w:t xml:space="preserve">Depends on scheme rule</w:t>
            </w:r>
          </w:p>
        </w:tc>
      </w:tr>
      <w:tr>
        <w:tc>
          <w:tcPr/>
          <w:p>
            <w:pPr>
              <w:pStyle w:val="Compact"/>
            </w:pPr>
            <w:r>
              <w:t xml:space="preserve">Exemption used (TRA/LVP) by acquirer/merchant</w:t>
            </w:r>
          </w:p>
        </w:tc>
        <w:tc>
          <w:tcPr/>
          <w:p>
            <w:pPr>
              <w:pStyle w:val="Compact"/>
            </w:pPr>
            <w:r>
              <w:rPr>
                <w:b/>
                <w:bCs/>
              </w:rPr>
              <w:t xml:space="preserve">Acquirer/Merchant</w:t>
            </w:r>
          </w:p>
        </w:tc>
        <w:tc>
          <w:tcPr/>
          <w:p>
            <w:pPr>
              <w:pStyle w:val="Compact"/>
            </w:pPr>
            <w:r>
              <w:t xml:space="preserve">Frictionless traded for risk</w:t>
            </w:r>
          </w:p>
        </w:tc>
      </w:tr>
      <w:tr>
        <w:tc>
          <w:tcPr/>
          <w:p>
            <w:pPr>
              <w:pStyle w:val="Compact"/>
            </w:pPr>
            <w:r>
              <w:t xml:space="preserve">No 3DS where it should apply</w:t>
            </w:r>
          </w:p>
        </w:tc>
        <w:tc>
          <w:tcPr/>
          <w:p>
            <w:pPr>
              <w:pStyle w:val="Compact"/>
            </w:pPr>
            <w:r>
              <w:rPr>
                <w:b/>
                <w:bCs/>
              </w:rPr>
              <w:t xml:space="preserve">Merchant</w:t>
            </w:r>
          </w:p>
        </w:tc>
        <w:tc>
          <w:tcPr/>
          <w:p>
            <w:pPr>
              <w:pStyle w:val="Compact"/>
            </w:pPr>
            <w:r>
              <w:t xml:space="preserve">Full amount</w:t>
            </w:r>
          </w:p>
        </w:tc>
      </w:tr>
      <w:tr>
        <w:tc>
          <w:tcPr/>
          <w:p>
            <w:pPr>
              <w:pStyle w:val="Compact"/>
            </w:pPr>
            <w:r>
              <w:t xml:space="preserve">Status U / N / R</w:t>
            </w:r>
          </w:p>
        </w:tc>
        <w:tc>
          <w:tcPr/>
          <w:p>
            <w:pPr>
              <w:pStyle w:val="Compact"/>
            </w:pPr>
            <w:r>
              <w:rPr>
                <w:b/>
                <w:bCs/>
              </w:rPr>
              <w:t xml:space="preserve">Merchant</w:t>
            </w:r>
          </w:p>
        </w:tc>
        <w:tc>
          <w:tcPr/>
          <w:p>
            <w:pPr>
              <w:pStyle w:val="Compact"/>
            </w:pPr>
            <w:r>
              <w:t xml:space="preserve">No shift</w:t>
            </w:r>
          </w:p>
        </w:tc>
      </w:tr>
    </w:tbl>
    <w:p>
      <w:pPr>
        <w:pStyle w:val="BodyText"/>
      </w:pPr>
      <w:r>
        <w:rPr>
          <w:b/>
          <w:bCs/>
        </w:rPr>
        <w:t xml:space="preserve">Dispute/chargeback workflow impact</w:t>
      </w:r>
      <w:r>
        <w:t xml:space="preserve"> </w:t>
      </w:r>
      <w:r>
        <w:t xml:space="preserve">(aligns with</w:t>
      </w:r>
      <w:r>
        <w:t xml:space="preserve"> </w:t>
      </w:r>
      <w:r>
        <w:rPr>
          <w:rStyle w:val="VerbatimChar"/>
        </w:rPr>
        <w:t xml:space="preserve">ROADMAP.md</w:t>
      </w:r>
      <w:r>
        <w:t xml:space="preserve"> </w:t>
      </w:r>
      <w:r>
        <w:t xml:space="preserve">Phase 3):</w:t>
      </w:r>
      <w:r>
        <w:t xml:space="preserve"> </w:t>
      </w:r>
      <w:r>
        <w:t xml:space="preserve">1. On a chargeback, look up</w:t>
      </w:r>
      <w:r>
        <w:t xml:space="preserve"> </w:t>
      </w:r>
      <w:r>
        <w:rPr>
          <w:b/>
          <w:bCs/>
        </w:rPr>
        <w:t xml:space="preserve">3DS authentication data (CAVV/AAV, ECI, DS transaction ID, transStatus)</w:t>
      </w:r>
      <w:r>
        <w:t xml:space="preserve"> </w:t>
      </w:r>
      <w:r>
        <w:t xml:space="preserve">from</w:t>
      </w:r>
      <w:r>
        <w:t xml:space="preserve"> </w:t>
      </w:r>
      <w:r>
        <w:rPr>
          <w:rStyle w:val="VerbatimChar"/>
        </w:rPr>
        <w:t xml:space="preserve">audit_log</w:t>
      </w:r>
      <w:r>
        <w:t xml:space="preserve"> </w:t>
      </w:r>
      <w:r>
        <w:t xml:space="preserve">to build the representment.</w:t>
      </w:r>
      <w:r>
        <w:t xml:space="preserve"> </w:t>
      </w:r>
      <w:r>
        <w:t xml:space="preserve">2.</w:t>
      </w:r>
      <w:r>
        <w:t xml:space="preserve"> </w:t>
      </w:r>
      <w:r>
        <w:rPr>
          <w:b/>
          <w:bCs/>
        </w:rPr>
        <w:t xml:space="preserve">ECI (E-Commerce Indicator)</w:t>
      </w:r>
      <w:r>
        <w:t xml:space="preserve"> </w:t>
      </w:r>
      <w:r>
        <w:t xml:space="preserve">recorded on every transaction: Visa ECI 05 / Mastercard ECI 02 = fully</w:t>
      </w:r>
      <w:r>
        <w:t xml:space="preserve"> </w:t>
      </w:r>
      <w:r>
        <w:t xml:space="preserve">authenticated; ECI 06/01 = attempted; ECI 07/00 = not authenticated.</w:t>
      </w:r>
      <w:r>
        <w:t xml:space="preserve"> </w:t>
      </w:r>
      <w:r>
        <w:t xml:space="preserve">3. Where liability shift applies but a chargeback still arrives → file</w:t>
      </w:r>
      <w:r>
        <w:t xml:space="preserve"> </w:t>
      </w:r>
      <w:r>
        <w:rPr>
          <w:b/>
          <w:bCs/>
        </w:rPr>
        <w:t xml:space="preserve">pre-arbitration/representment</w:t>
      </w:r>
      <w:r>
        <w:t xml:space="preserve"> </w:t>
      </w:r>
      <w:r>
        <w:t xml:space="preserve">with 3DS evidence.</w:t>
      </w:r>
      <w:r>
        <w:t xml:space="preserve"> </w:t>
      </w:r>
      <w:r>
        <w:t xml:space="preserve">4. Retain authentication artifacts per retention policy (see §8).</w:t>
      </w:r>
    </w:p>
    <w:p>
      <w:pPr>
        <w:pStyle w:val="BlockText"/>
      </w:pPr>
      <w:r>
        <w:rPr>
          <w:b/>
          <w:bCs/>
        </w:rPr>
        <w:t xml:space="preserve">Important:</w:t>
      </w:r>
      <w:r>
        <w:t xml:space="preserve"> </w:t>
      </w:r>
      <w:r>
        <w:t xml:space="preserve">liability shift does</w:t>
      </w:r>
      <w:r>
        <w:t xml:space="preserve"> </w:t>
      </w:r>
      <w:r>
        <w:rPr>
          <w:b/>
          <w:bCs/>
        </w:rPr>
        <w:t xml:space="preserve">not</w:t>
      </w:r>
      <w:r>
        <w:t xml:space="preserve"> </w:t>
      </w:r>
      <w:r>
        <w:t xml:space="preserve">cover non-fraud disputes (item not as described, not received,</w:t>
      </w:r>
      <w:r>
        <w:t xml:space="preserve"> </w:t>
      </w:r>
      <w:r>
        <w:t xml:space="preserve">processing error) — handle those via the normal dispute workflow.</w:t>
      </w:r>
    </w:p>
    <w:p>
      <w:r>
        <w:pict>
          <v:rect style="width:0;height:1.5pt" o:hralign="center" o:hrstd="t" o:hr="t"/>
        </w:pict>
      </w:r>
    </w:p>
    <w:bookmarkEnd w:id="779"/>
    <w:bookmarkStart w:id="780" w:name="roles-and-responsibilities-raci-1"/>
    <w:p>
      <w:pPr>
        <w:pStyle w:val="Heading2"/>
      </w:pPr>
      <w:r>
        <w:t xml:space="preserve">7. Roles and responsibilities (RACI)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Activity</w:t>
            </w:r>
          </w:p>
        </w:tc>
        <w:tc>
          <w:tcPr/>
          <w:p>
            <w:pPr>
              <w:pStyle w:val="Compact"/>
            </w:pPr>
            <w:r>
              <w:t xml:space="preserve">Backend/Eng</w:t>
            </w:r>
          </w:p>
        </w:tc>
        <w:tc>
          <w:tcPr/>
          <w:p>
            <w:pPr>
              <w:pStyle w:val="Compact"/>
            </w:pPr>
            <w:r>
              <w:t xml:space="preserve">Risk/DevSecOps</w:t>
            </w:r>
          </w:p>
        </w:tc>
        <w:tc>
          <w:tcPr/>
          <w:p>
            <w:pPr>
              <w:pStyle w:val="Compact"/>
            </w:pPr>
            <w:r>
              <w:t xml:space="preserve">Compliance/Legal</w:t>
            </w:r>
          </w:p>
        </w:tc>
        <w:tc>
          <w:tcPr/>
          <w:p>
            <w:pPr>
              <w:pStyle w:val="Compact"/>
            </w:pPr>
            <w:r>
              <w:t xml:space="preserve">Sponsor Bank</w:t>
            </w:r>
          </w:p>
        </w:tc>
        <w:tc>
          <w:tcPr/>
          <w:p>
            <w:pPr>
              <w:pStyle w:val="Compact"/>
            </w:pPr>
            <w:r>
              <w:t xml:space="preserve">QSA</w:t>
            </w:r>
          </w:p>
        </w:tc>
      </w:tr>
      <w:tr>
        <w:tc>
          <w:tcPr/>
          <w:p>
            <w:pPr>
              <w:pStyle w:val="Compact"/>
            </w:pPr>
            <w:r>
              <w:t xml:space="preserve">Design/build 3DS Adapter</w:t>
            </w:r>
          </w:p>
        </w:tc>
        <w:tc>
          <w:tcPr/>
          <w:p>
            <w:pPr>
              <w:pStyle w:val="Compact"/>
            </w:pPr>
            <w:r>
              <w:rPr>
                <w:b/>
                <w:bCs/>
              </w:rPr>
              <w:t xml:space="preserve">R/A</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I</w:t>
            </w:r>
          </w:p>
        </w:tc>
      </w:tr>
      <w:tr>
        <w:tc>
          <w:tcPr/>
          <w:p>
            <w:pPr>
              <w:pStyle w:val="Compact"/>
            </w:pPr>
            <w:r>
              <w:t xml:space="preserve">Set exemption thresholds</w:t>
            </w:r>
          </w:p>
        </w:tc>
        <w:tc>
          <w:tcPr/>
          <w:p>
            <w:pPr>
              <w:pStyle w:val="Compact"/>
            </w:pPr>
            <w:r>
              <w:t xml:space="preserve">C</w:t>
            </w:r>
          </w:p>
        </w:tc>
        <w:tc>
          <w:tcPr/>
          <w:p>
            <w:pPr>
              <w:pStyle w:val="Compact"/>
            </w:pPr>
            <w:r>
              <w:t xml:space="preserve">R</w:t>
            </w:r>
          </w:p>
        </w:tc>
        <w:tc>
          <w:tcPr/>
          <w:p>
            <w:pPr>
              <w:pStyle w:val="Compact"/>
            </w:pPr>
            <w:r>
              <w:rPr>
                <w:b/>
                <w:bCs/>
              </w:rPr>
              <w:t xml:space="preserve">A</w:t>
            </w:r>
          </w:p>
        </w:tc>
        <w:tc>
          <w:tcPr/>
          <w:p>
            <w:pPr>
              <w:pStyle w:val="Compact"/>
            </w:pPr>
            <w:r>
              <w:t xml:space="preserve">C</w:t>
            </w:r>
          </w:p>
        </w:tc>
        <w:tc>
          <w:tcPr/>
          <w:p>
            <w:pPr>
              <w:pStyle w:val="Compact"/>
            </w:pPr>
            <w:r>
              <w:t xml:space="preserve">I</w:t>
            </w:r>
          </w:p>
        </w:tc>
      </w:tr>
      <w:tr>
        <w:tc>
          <w:tcPr/>
          <w:p>
            <w:pPr>
              <w:pStyle w:val="Compact"/>
            </w:pPr>
            <w:r>
              <w:t xml:space="preserve">RBA / risk-scoring engine</w:t>
            </w:r>
          </w:p>
        </w:tc>
        <w:tc>
          <w:tcPr/>
          <w:p>
            <w:pPr>
              <w:pStyle w:val="Compact"/>
            </w:pPr>
            <w:r>
              <w:t xml:space="preserve">R</w:t>
            </w:r>
          </w:p>
        </w:tc>
        <w:tc>
          <w:tcPr/>
          <w:p>
            <w:pPr>
              <w:pStyle w:val="Compact"/>
            </w:pPr>
            <w:r>
              <w:rPr>
                <w:b/>
                <w:bCs/>
              </w:rPr>
              <w:t xml:space="preserve">R/A</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Fraud-rate monitoring (TRA)</w:t>
            </w:r>
          </w:p>
        </w:tc>
        <w:tc>
          <w:tcPr/>
          <w:p>
            <w:pPr>
              <w:pStyle w:val="Compact"/>
            </w:pPr>
            <w:r>
              <w:t xml:space="preserve">C</w:t>
            </w:r>
          </w:p>
        </w:tc>
        <w:tc>
          <w:tcPr/>
          <w:p>
            <w:pPr>
              <w:pStyle w:val="Compact"/>
            </w:pPr>
            <w:r>
              <w:rPr>
                <w:b/>
                <w:bCs/>
              </w:rPr>
              <w:t xml:space="preserve">R</w:t>
            </w:r>
          </w:p>
        </w:tc>
        <w:tc>
          <w:tcPr/>
          <w:p>
            <w:pPr>
              <w:pStyle w:val="Compact"/>
            </w:pPr>
            <w:r>
              <w:t xml:space="preserve">A</w:t>
            </w:r>
          </w:p>
        </w:tc>
        <w:tc>
          <w:tcPr/>
          <w:p>
            <w:pPr>
              <w:pStyle w:val="Compact"/>
            </w:pPr>
            <w:r>
              <w:t xml:space="preserve">I</w:t>
            </w:r>
          </w:p>
        </w:tc>
        <w:tc>
          <w:tcPr/>
          <w:p>
            <w:pPr>
              <w:pStyle w:val="Compact"/>
            </w:pPr>
            <w:r>
              <w:t xml:space="preserve">I</w:t>
            </w:r>
          </w:p>
        </w:tc>
      </w:tr>
      <w:tr>
        <w:tc>
          <w:tcPr/>
          <w:p>
            <w:pPr>
              <w:pStyle w:val="Compact"/>
            </w:pPr>
            <w:r>
              <w:t xml:space="preserve">Liability/chargeback workflow</w:t>
            </w:r>
          </w:p>
        </w:tc>
        <w:tc>
          <w:tcPr/>
          <w:p>
            <w:pPr>
              <w:pStyle w:val="Compact"/>
            </w:pPr>
            <w:r>
              <w:t xml:space="preserve">R</w:t>
            </w:r>
          </w:p>
        </w:tc>
        <w:tc>
          <w:tcPr/>
          <w:p>
            <w:pPr>
              <w:pStyle w:val="Compact"/>
            </w:pPr>
            <w:r>
              <w:t xml:space="preserve">C</w:t>
            </w:r>
          </w:p>
        </w:tc>
        <w:tc>
          <w:tcPr/>
          <w:p>
            <w:pPr>
              <w:pStyle w:val="Compact"/>
            </w:pPr>
            <w:r>
              <w:rPr>
                <w:b/>
                <w:bCs/>
              </w:rPr>
              <w:t xml:space="preserve">A</w:t>
            </w:r>
          </w:p>
        </w:tc>
        <w:tc>
          <w:tcPr/>
          <w:p>
            <w:pPr>
              <w:pStyle w:val="Compact"/>
            </w:pPr>
            <w:r>
              <w:t xml:space="preserve">C</w:t>
            </w:r>
          </w:p>
        </w:tc>
        <w:tc>
          <w:tcPr/>
          <w:p>
            <w:pPr>
              <w:pStyle w:val="Compact"/>
            </w:pPr>
            <w:r>
              <w:t xml:space="preserve">I</w:t>
            </w:r>
          </w:p>
        </w:tc>
      </w:tr>
      <w:tr>
        <w:tc>
          <w:tcPr/>
          <w:p>
            <w:pPr>
              <w:pStyle w:val="Compact"/>
            </w:pPr>
            <w:r>
              <w:t xml:space="preserve">PCI scope of 3DS data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rPr>
                <w:b/>
                <w:bCs/>
              </w:rPr>
              <w:t xml:space="preserve">A/V</w:t>
            </w:r>
          </w:p>
        </w:tc>
      </w:tr>
      <w:tr>
        <w:tc>
          <w:tcPr/>
          <w:p>
            <w:pPr>
              <w:pStyle w:val="Compact"/>
            </w:pPr>
            <w:r>
              <w:t xml:space="preserve">BOT filing</w:t>
            </w:r>
          </w:p>
        </w:tc>
        <w:tc>
          <w:tcPr/>
          <w:p>
            <w:pPr>
              <w:pStyle w:val="Compact"/>
            </w:pPr>
            <w:r>
              <w:t xml:space="preserve">I</w:t>
            </w:r>
          </w:p>
        </w:tc>
        <w:tc>
          <w:tcPr/>
          <w:p>
            <w:pPr>
              <w:pStyle w:val="Compact"/>
            </w:pPr>
            <w:r>
              <w:t xml:space="preserve">I</w:t>
            </w:r>
          </w:p>
        </w:tc>
        <w:tc>
          <w:tcPr/>
          <w:p>
            <w:pPr>
              <w:pStyle w:val="Compact"/>
            </w:pPr>
            <w:r>
              <w:rPr>
                <w:b/>
                <w:bCs/>
              </w:rPr>
              <w:t xml:space="preserve">R/A</w:t>
            </w:r>
          </w:p>
        </w:tc>
        <w:tc>
          <w:tcPr/>
          <w:p>
            <w:pPr>
              <w:pStyle w:val="Compact"/>
            </w:pPr>
            <w:r>
              <w:t xml:space="preserve">I</w:t>
            </w:r>
          </w:p>
        </w:tc>
        <w:tc>
          <w:tcPr/>
          <w:p>
            <w:pPr>
              <w:pStyle w:val="Compact"/>
            </w:pPr>
            <w:r>
              <w:t xml:space="preserve">I</w:t>
            </w:r>
          </w:p>
        </w:tc>
      </w:tr>
      <w:tr>
        <w:tc>
          <w:tcPr/>
          <w:p>
            <w:pPr>
              <w:pStyle w:val="Compact"/>
            </w:pPr>
            <w:r>
              <w:t xml:space="preserve">Scheme certification (3DS)</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rPr>
                <w:b/>
                <w:bCs/>
              </w:rPr>
              <w:t xml:space="preserve">A</w:t>
            </w:r>
          </w:p>
        </w:tc>
        <w:tc>
          <w:tcPr/>
          <w:p>
            <w:pPr>
              <w:pStyle w:val="Compact"/>
            </w:pPr>
            <w:r>
              <w:t xml:space="preserve">I</w:t>
            </w:r>
          </w:p>
        </w:tc>
      </w:tr>
    </w:tbl>
    <w:p>
      <w:pPr>
        <w:pStyle w:val="BodyText"/>
      </w:pPr>
      <w:r>
        <w:t xml:space="preserve">(R=Responsible, A=Accountable, C=Consulted, I=Informed, V=Verify)</w:t>
      </w:r>
    </w:p>
    <w:p>
      <w:r>
        <w:pict>
          <v:rect style="width:0;height:1.5pt" o:hralign="center" o:hrstd="t" o:hr="t"/>
        </w:pict>
      </w:r>
    </w:p>
    <w:bookmarkEnd w:id="780"/>
    <w:bookmarkStart w:id="781" w:name="ds-data-pci-dss-v4.0-and-pdpa"/>
    <w:p>
      <w:pPr>
        <w:pStyle w:val="Heading2"/>
      </w:pPr>
      <w:r>
        <w:t xml:space="preserve">8. 3DS data, PCI-DSS v4.0 and PDPA</w:t>
      </w:r>
    </w:p>
    <w:p>
      <w:pPr>
        <w:pStyle w:val="Compact"/>
        <w:numPr>
          <w:ilvl w:val="0"/>
          <w:numId w:val="1300"/>
        </w:numPr>
      </w:pPr>
      <w:r>
        <w:rPr>
          <w:b/>
          <w:bCs/>
        </w:rPr>
        <w:t xml:space="preserve">PCI-DSS v4.0:</w:t>
      </w:r>
      <w:r>
        <w:t xml:space="preserve"> </w:t>
      </w:r>
      <w:r>
        <w:t xml:space="preserve">authentication data (CAVV/AAV, ECI, DS transaction ID) is</w:t>
      </w:r>
      <w:r>
        <w:t xml:space="preserve"> </w:t>
      </w:r>
      <w:r>
        <w:rPr>
          <w:b/>
          <w:bCs/>
        </w:rPr>
        <w:t xml:space="preserve">not full PAN</w:t>
      </w:r>
      <w:r>
        <w:t xml:space="preserve"> </w:t>
      </w:r>
      <w:r>
        <w:t xml:space="preserve">but is sensitive —</w:t>
      </w:r>
      <w:r>
        <w:t xml:space="preserve"> </w:t>
      </w:r>
      <w:r>
        <w:t xml:space="preserve">store within controlled scope, encrypt at rest, never log in general systems (</w:t>
      </w:r>
      <w:r>
        <w:rPr>
          <w:rStyle w:val="VerbatimChar"/>
        </w:rPr>
        <w:t xml:space="preserve">ARCHITECTURE.md</w:t>
      </w:r>
      <w:r>
        <w:t xml:space="preserve"> </w:t>
      </w:r>
      <w:r>
        <w:t xml:space="preserve">§7).</w:t>
      </w:r>
    </w:p>
    <w:p>
      <w:pPr>
        <w:pStyle w:val="Compact"/>
        <w:numPr>
          <w:ilvl w:val="0"/>
          <w:numId w:val="1300"/>
        </w:numPr>
      </w:pPr>
      <w:r>
        <w:rPr>
          <w:b/>
          <w:bCs/>
        </w:rPr>
        <w:t xml:space="preserve">Never store</w:t>
      </w:r>
      <w:r>
        <w:t xml:space="preserve"> </w:t>
      </w:r>
      <w:r>
        <w:t xml:space="preserve">full PAN/CVV/PIN in operational systems — 3DS operates on payment tokens/detokenized data</w:t>
      </w:r>
      <w:r>
        <w:t xml:space="preserve"> </w:t>
      </w:r>
      <w:r>
        <w:t xml:space="preserve">within PCI scope only.</w:t>
      </w:r>
    </w:p>
    <w:p>
      <w:pPr>
        <w:pStyle w:val="Compact"/>
        <w:numPr>
          <w:ilvl w:val="0"/>
          <w:numId w:val="1300"/>
        </w:numPr>
      </w:pPr>
      <w:r>
        <w:rPr>
          <w:b/>
          <w:bCs/>
        </w:rPr>
        <w:t xml:space="preserve">PCI v4.0 e-commerce controls:</w:t>
      </w:r>
      <w:r>
        <w:t xml:space="preserve"> </w:t>
      </w:r>
      <w:r>
        <w:t xml:space="preserve">Req 6.4.3 and 11.6.1 (payment-page script management / change detection),</w:t>
      </w:r>
      <w:r>
        <w:t xml:space="preserve"> </w:t>
      </w:r>
      <w:r>
        <w:t xml:space="preserve">mandatory since 31 Mar 2025 — must be part of the checkout/3DS challenge-redirect design.</w:t>
      </w:r>
    </w:p>
    <w:p>
      <w:pPr>
        <w:pStyle w:val="Compact"/>
        <w:numPr>
          <w:ilvl w:val="0"/>
          <w:numId w:val="1300"/>
        </w:numPr>
      </w:pPr>
      <w:r>
        <w:rPr>
          <w:b/>
          <w:bCs/>
        </w:rPr>
        <w:t xml:space="preserve">PDPA (Personal Data Protection Act B.E. 2562):</w:t>
      </w:r>
      <w:r>
        <w:t xml:space="preserve"> </w:t>
      </w:r>
      <w:r>
        <w:t xml:space="preserve">device data / browser fingerprints collected for RBA are</w:t>
      </w:r>
      <w:r>
        <w:t xml:space="preserve"> </w:t>
      </w:r>
      <w:r>
        <w:t xml:space="preserve">personal data — define a lawful basis (legitimate interest / fraud prevention), publish a privacy notice,</w:t>
      </w:r>
      <w:r>
        <w:t xml:space="preserve"> </w:t>
      </w:r>
      <w:r>
        <w:t xml:space="preserve">limit purpose, and retain only as necessary.</w:t>
      </w:r>
    </w:p>
    <w:p>
      <w:pPr>
        <w:pStyle w:val="Compact"/>
        <w:numPr>
          <w:ilvl w:val="0"/>
          <w:numId w:val="1300"/>
        </w:numPr>
      </w:pPr>
      <w:r>
        <w:rPr>
          <w:b/>
          <w:bCs/>
        </w:rPr>
        <w:t xml:space="preserve">AMLO (ปปง.):</w:t>
      </w:r>
      <w:r>
        <w:t xml:space="preserve"> </w:t>
      </w:r>
      <w:r>
        <w:t xml:space="preserve">3DS outcomes feed fraud/AML monitoring; anomalous transactions enter the suspicious-transaction workflow.</w:t>
      </w:r>
    </w:p>
    <w:p>
      <w:pPr>
        <w:pStyle w:val="Compact"/>
        <w:numPr>
          <w:ilvl w:val="0"/>
          <w:numId w:val="1300"/>
        </w:numPr>
      </w:pPr>
      <w:r>
        <w:rPr>
          <w:b/>
          <w:bCs/>
        </w:rPr>
        <w:t xml:space="preserve">Data residency:</w:t>
      </w:r>
      <w:r>
        <w:t xml:space="preserve"> </w:t>
      </w:r>
      <w:r>
        <w:t xml:space="preserve">store data in Thailand per BOT/PDPA requirements (</w:t>
      </w:r>
      <w:r>
        <w:rPr>
          <w:rStyle w:val="VerbatimChar"/>
        </w:rPr>
        <w:t xml:space="preserve">ARCHITECTURE.md</w:t>
      </w:r>
      <w:r>
        <w:t xml:space="preserve"> </w:t>
      </w:r>
      <w:r>
        <w:t xml:space="preserve">§8).</w:t>
      </w:r>
    </w:p>
    <w:p>
      <w:pPr>
        <w:pStyle w:val="Compact"/>
        <w:numPr>
          <w:ilvl w:val="0"/>
          <w:numId w:val="1300"/>
        </w:numPr>
      </w:pPr>
      <w:r>
        <w:rPr>
          <w:b/>
          <w:bCs/>
        </w:rPr>
        <w:t xml:space="preserve">Retention:</w:t>
      </w:r>
      <w:r>
        <w:t xml:space="preserve"> </w:t>
      </w:r>
      <w:r>
        <w:t xml:space="preserve">retain 3DS authentication artifacts at least through the scheme dispute/chargeback window</w:t>
      </w:r>
      <w:r>
        <w:t xml:space="preserve"> </w:t>
      </w:r>
      <w:r>
        <w:t xml:space="preserve">(baseline</w:t>
      </w:r>
      <w:r>
        <w:t xml:space="preserve"> </w:t>
      </w:r>
      <w:r>
        <w:rPr>
          <w:b/>
          <w:bCs/>
        </w:rPr>
        <w:t xml:space="preserve">18 months</w:t>
      </w:r>
      <w:r>
        <w:t xml:space="preserve">, TODO confirm with sponsor) to support representment and BOT audit.</w:t>
      </w:r>
    </w:p>
    <w:p>
      <w:r>
        <w:pict>
          <v:rect style="width:0;height:1.5pt" o:hralign="center" o:hrstd="t" o:hr="t"/>
        </w:pict>
      </w:r>
    </w:p>
    <w:bookmarkEnd w:id="781"/>
    <w:bookmarkStart w:id="782" w:name="kpis-and-monitoring"/>
    <w:p>
      <w:pPr>
        <w:pStyle w:val="Heading2"/>
      </w:pPr>
      <w:r>
        <w:t xml:space="preserve">9. KPIs and 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Target</w:t>
            </w:r>
          </w:p>
        </w:tc>
        <w:tc>
          <w:tcPr/>
          <w:p>
            <w:pPr>
              <w:pStyle w:val="Compact"/>
            </w:pPr>
            <w:r>
              <w:t xml:space="preserve">Frequency</w:t>
            </w:r>
          </w:p>
        </w:tc>
      </w:tr>
      <w:tr>
        <w:tc>
          <w:tcPr/>
          <w:p>
            <w:pPr>
              <w:pStyle w:val="Compact"/>
            </w:pPr>
            <w:r>
              <w:t xml:space="preserve">Frictionless rate</w:t>
            </w:r>
          </w:p>
        </w:tc>
        <w:tc>
          <w:tcPr/>
          <w:p>
            <w:pPr>
              <w:pStyle w:val="Compact"/>
            </w:pPr>
            <w:r>
              <w:t xml:space="preserve">≥ 90% of 3DS transactions</w:t>
            </w:r>
          </w:p>
        </w:tc>
        <w:tc>
          <w:tcPr/>
          <w:p>
            <w:pPr>
              <w:pStyle w:val="Compact"/>
            </w:pPr>
            <w:r>
              <w:t xml:space="preserve">Monthly</w:t>
            </w:r>
          </w:p>
        </w:tc>
      </w:tr>
      <w:tr>
        <w:tc>
          <w:tcPr/>
          <w:p>
            <w:pPr>
              <w:pStyle w:val="Compact"/>
            </w:pPr>
            <w:r>
              <w:t xml:space="preserve">Challenge abandonment</w:t>
            </w:r>
          </w:p>
        </w:tc>
        <w:tc>
          <w:tcPr/>
          <w:p>
            <w:pPr>
              <w:pStyle w:val="Compact"/>
            </w:pPr>
            <w:r>
              <w:t xml:space="preserve">≤ 10%</w:t>
            </w:r>
          </w:p>
        </w:tc>
        <w:tc>
          <w:tcPr/>
          <w:p>
            <w:pPr>
              <w:pStyle w:val="Compact"/>
            </w:pPr>
            <w:r>
              <w:t xml:space="preserve">Monthly</w:t>
            </w:r>
          </w:p>
        </w:tc>
      </w:tr>
      <w:tr>
        <w:tc>
          <w:tcPr/>
          <w:p>
            <w:pPr>
              <w:pStyle w:val="Compact"/>
            </w:pPr>
            <w:r>
              <w:t xml:space="preserve">Fraud rate (post-3DS)</w:t>
            </w:r>
          </w:p>
        </w:tc>
        <w:tc>
          <w:tcPr/>
          <w:p>
            <w:pPr>
              <w:pStyle w:val="Compact"/>
            </w:pPr>
            <w:r>
              <w:t xml:space="preserve">Below the applied TRA threshold</w:t>
            </w:r>
          </w:p>
        </w:tc>
        <w:tc>
          <w:tcPr/>
          <w:p>
            <w:pPr>
              <w:pStyle w:val="Compact"/>
            </w:pPr>
            <w:r>
              <w:t xml:space="preserve">Weekly</w:t>
            </w:r>
          </w:p>
        </w:tc>
      </w:tr>
      <w:tr>
        <w:tc>
          <w:tcPr/>
          <w:p>
            <w:pPr>
              <w:pStyle w:val="Compact"/>
            </w:pPr>
            <w:r>
              <w:t xml:space="preserve">Authentication success (Y+A)</w:t>
            </w:r>
          </w:p>
        </w:tc>
        <w:tc>
          <w:tcPr/>
          <w:p>
            <w:pPr>
              <w:pStyle w:val="Compact"/>
            </w:pPr>
            <w:r>
              <w:t xml:space="preserve">≥ 95%</w:t>
            </w:r>
          </w:p>
        </w:tc>
        <w:tc>
          <w:tcPr/>
          <w:p>
            <w:pPr>
              <w:pStyle w:val="Compact"/>
            </w:pPr>
            <w:r>
              <w:t xml:space="preserve">Weekly</w:t>
            </w:r>
          </w:p>
        </w:tc>
      </w:tr>
      <w:tr>
        <w:tc>
          <w:tcPr/>
          <w:p>
            <w:pPr>
              <w:pStyle w:val="Compact"/>
            </w:pPr>
            <w:r>
              <w:t xml:space="preserve">Soft-decline retry success</w:t>
            </w:r>
          </w:p>
        </w:tc>
        <w:tc>
          <w:tcPr/>
          <w:p>
            <w:pPr>
              <w:pStyle w:val="Compact"/>
            </w:pPr>
            <w:r>
              <w:t xml:space="preserve">Tracked and tuned</w:t>
            </w:r>
          </w:p>
        </w:tc>
        <w:tc>
          <w:tcPr/>
          <w:p>
            <w:pPr>
              <w:pStyle w:val="Compact"/>
            </w:pPr>
            <w:r>
              <w:t xml:space="preserve">Monthly</w:t>
            </w:r>
          </w:p>
        </w:tc>
      </w:tr>
      <w:tr>
        <w:tc>
          <w:tcPr/>
          <w:p>
            <w:pPr>
              <w:pStyle w:val="Compact"/>
            </w:pPr>
            <w:r>
              <w:t xml:space="preserve">Exemption acceptance rate</w:t>
            </w:r>
          </w:p>
        </w:tc>
        <w:tc>
          <w:tcPr/>
          <w:p>
            <w:pPr>
              <w:pStyle w:val="Compact"/>
            </w:pPr>
            <w:r>
              <w:t xml:space="preserve">Tracked per issuer</w:t>
            </w:r>
          </w:p>
        </w:tc>
        <w:tc>
          <w:tcPr/>
          <w:p>
            <w:pPr>
              <w:pStyle w:val="Compact"/>
            </w:pPr>
            <w:r>
              <w:t xml:space="preserve">Monthly</w:t>
            </w:r>
          </w:p>
        </w:tc>
      </w:tr>
    </w:tbl>
    <w:p>
      <w:r>
        <w:pict>
          <v:rect style="width:0;height:1.5pt" o:hralign="center" o:hrstd="t" o:hr="t"/>
        </w:pict>
      </w:r>
    </w:p>
    <w:bookmarkEnd w:id="782"/>
    <w:bookmarkStart w:id="783" w:name="X23bbbcf8a629df97db7bfa4cfa5a2cdcb09f810"/>
    <w:p>
      <w:pPr>
        <w:pStyle w:val="Heading2"/>
      </w:pPr>
      <w:r>
        <w:t xml:space="preserve">10. Rollout plan (aligned with ROADMAP Phase 2)</w:t>
      </w:r>
    </w:p>
    <w:p>
      <w:pPr>
        <w:pStyle w:val="Compact"/>
        <w:numPr>
          <w:ilvl w:val="0"/>
          <w:numId w:val="1301"/>
        </w:numPr>
      </w:pPr>
      <w:r>
        <w:rPr>
          <w:b/>
          <w:bCs/>
        </w:rPr>
        <w:t xml:space="preserve">Weeks 8–10:</w:t>
      </w:r>
      <w:r>
        <w:t xml:space="preserve"> </w:t>
      </w:r>
      <w:r>
        <w:t xml:space="preserve">integrate 3DS Server sandbox, implement AReq/ARes, frictionless + challenge flow, state-machine mapping.</w:t>
      </w:r>
    </w:p>
    <w:p>
      <w:pPr>
        <w:pStyle w:val="Compact"/>
        <w:numPr>
          <w:ilvl w:val="0"/>
          <w:numId w:val="1301"/>
        </w:numPr>
      </w:pPr>
      <w:r>
        <w:rPr>
          <w:b/>
          <w:bCs/>
        </w:rPr>
        <w:t xml:space="preserve">Weeks 10–12:</w:t>
      </w:r>
      <w:r>
        <w:t xml:space="preserve"> </w:t>
      </w:r>
      <w:r>
        <w:t xml:space="preserve">exemption engine + risk scoring, parameter table, soft-decline retry, audit logging.</w:t>
      </w:r>
    </w:p>
    <w:p>
      <w:pPr>
        <w:pStyle w:val="Compact"/>
        <w:numPr>
          <w:ilvl w:val="0"/>
          <w:numId w:val="1301"/>
        </w:numPr>
      </w:pPr>
      <w:r>
        <w:rPr>
          <w:b/>
          <w:bCs/>
        </w:rPr>
        <w:t xml:space="preserve">Weeks 12–14:</w:t>
      </w:r>
      <w:r>
        <w:t xml:space="preserve"> </w:t>
      </w:r>
      <w:r>
        <w:t xml:space="preserve">liability/ECI capture, chargeback data plumbing, PDPA/PCI review, prep for scheme certification.</w:t>
      </w:r>
    </w:p>
    <w:p>
      <w:pPr>
        <w:pStyle w:val="Compact"/>
        <w:numPr>
          <w:ilvl w:val="0"/>
          <w:numId w:val="1301"/>
        </w:numPr>
      </w:pPr>
      <w:r>
        <w:rPr>
          <w:b/>
          <w:bCs/>
        </w:rPr>
        <w:t xml:space="preserve">Phase 4:</w:t>
      </w:r>
      <w:r>
        <w:t xml:space="preserve"> </w:t>
      </w:r>
      <w:r>
        <w:t xml:space="preserve">3DS scheme certification (Visa/Mastercard) via sponsor bank + inclusion in the QSA’s RoC.</w:t>
      </w:r>
    </w:p>
    <w:p>
      <w:r>
        <w:pict>
          <v:rect style="width:0;height:1.5pt" o:hralign="center" o:hrstd="t" o:hr="t"/>
        </w:pict>
      </w:r>
    </w:p>
    <w:bookmarkEnd w:id="783"/>
    <w:bookmarkStart w:id="784" w:name="Xea08eac06f13c95d32ff98130966efecf4c0241"/>
    <w:p>
      <w:pPr>
        <w:pStyle w:val="Heading2"/>
      </w:pPr>
      <w:r>
        <w:t xml:space="preserve">11. ASSUMPTIONS / TODO (unresolved — confirm before production use)</w:t>
      </w:r>
    </w:p>
    <w:p>
      <w:pPr>
        <w:pStyle w:val="BlockText"/>
      </w:pPr>
      <w:r>
        <w:t xml:space="preserve">This callout marks external dependencies that are</w:t>
      </w:r>
      <w:r>
        <w:t xml:space="preserve"> </w:t>
      </w:r>
      <w:r>
        <w:rPr>
          <w:b/>
          <w:bCs/>
        </w:rPr>
        <w:t xml:space="preserve">not yet resolved</w:t>
      </w:r>
      <w:r>
        <w:t xml:space="preserve"> </w:t>
      </w:r>
      <w:r>
        <w:t xml:space="preserve">— do not treat as facts until confirmed.</w:t>
      </w:r>
    </w:p>
    <w:p>
      <w:pPr>
        <w:pStyle w:val="Compact"/>
        <w:numPr>
          <w:ilvl w:val="0"/>
          <w:numId w:val="1302"/>
        </w:numPr>
      </w:pPr>
      <w:r>
        <w:rPr>
          <w:b/>
          <w:bCs/>
        </w:rPr>
        <w:t xml:space="preserve">[TODO-1] Sponsor bank / acquirer:</w:t>
      </w:r>
      <w:r>
        <w:t xml:space="preserve"> </w:t>
      </w:r>
      <w:r>
        <w:t xml:space="preserve">partner not yet locked (per</w:t>
      </w:r>
      <w:r>
        <w:t xml:space="preserve"> </w:t>
      </w:r>
      <w:r>
        <w:rPr>
          <w:rStyle w:val="VerbatimChar"/>
        </w:rPr>
        <w:t xml:space="preserve">ROADMAP.md</w:t>
      </w:r>
      <w:r>
        <w:t xml:space="preserve"> </w:t>
      </w:r>
      <w:r>
        <w:t xml:space="preserve">critical path) — actual</w:t>
      </w:r>
      <w:r>
        <w:t xml:space="preserve"> </w:t>
      </w:r>
      <w:r>
        <w:t xml:space="preserve">exemption thresholds, scheme certification, and liability rules must be confirmed with the sponsor.</w:t>
      </w:r>
    </w:p>
    <w:p>
      <w:pPr>
        <w:pStyle w:val="Compact"/>
        <w:numPr>
          <w:ilvl w:val="0"/>
          <w:numId w:val="1302"/>
        </w:numPr>
      </w:pPr>
      <w:r>
        <w:rPr>
          <w:b/>
          <w:bCs/>
        </w:rPr>
        <w:t xml:space="preserve">[TODO-2] 3DS Server:</w:t>
      </w:r>
      <w:r>
        <w:t xml:space="preserve"> </w:t>
      </w:r>
      <w:r>
        <w:t xml:space="preserve">decide</w:t>
      </w:r>
      <w:r>
        <w:t xml:space="preserve"> </w:t>
      </w:r>
      <w:r>
        <w:rPr>
          <w:b/>
          <w:bCs/>
        </w:rPr>
        <w:t xml:space="preserve">build vs use an EMVCo-approved third-party 3DS Server</w:t>
      </w:r>
      <w:r>
        <w:t xml:space="preserve"> </w:t>
      </w:r>
      <w:r>
        <w:t xml:space="preserve">(affects PCI scope + timeline).</w:t>
      </w:r>
    </w:p>
    <w:p>
      <w:pPr>
        <w:pStyle w:val="Compact"/>
        <w:numPr>
          <w:ilvl w:val="0"/>
          <w:numId w:val="1302"/>
        </w:numPr>
      </w:pPr>
      <w:r>
        <w:rPr>
          <w:b/>
          <w:bCs/>
        </w:rPr>
        <w:t xml:space="preserve">[TODO-3] THB thresholds:</w:t>
      </w:r>
      <w:r>
        <w:t xml:space="preserve"> </w:t>
      </w:r>
      <w:r>
        <w:t xml:space="preserve">LVP/TRA/force-challenge values here are EU PSD2 RTS baselines — convert/confirm to</w:t>
      </w:r>
      <w:r>
        <w:t xml:space="preserve"> </w:t>
      </w:r>
      <w:r>
        <w:t xml:space="preserve">THB per Thai scheme rules and configure in the parameter table (never hard-code).</w:t>
      </w:r>
    </w:p>
    <w:p>
      <w:pPr>
        <w:pStyle w:val="Compact"/>
        <w:numPr>
          <w:ilvl w:val="0"/>
          <w:numId w:val="1302"/>
        </w:numPr>
      </w:pPr>
      <w:r>
        <w:rPr>
          <w:b/>
          <w:bCs/>
        </w:rPr>
        <w:t xml:space="preserve">[TODO-4] Delegated Authentication:</w:t>
      </w:r>
      <w:r>
        <w:t xml:space="preserve"> </w:t>
      </w:r>
      <w:r>
        <w:t xml:space="preserve">requires extra certification and liability agreement with the scheme — not in MVP.</w:t>
      </w:r>
    </w:p>
    <w:p>
      <w:pPr>
        <w:pStyle w:val="Compact"/>
        <w:numPr>
          <w:ilvl w:val="0"/>
          <w:numId w:val="1302"/>
        </w:numPr>
      </w:pPr>
      <w:r>
        <w:rPr>
          <w:b/>
          <w:bCs/>
        </w:rPr>
        <w:t xml:space="preserve">[TODO-5] QSA vendor:</w:t>
      </w:r>
      <w:r>
        <w:t xml:space="preserve"> </w:t>
      </w:r>
      <w:r>
        <w:t xml:space="preserve">QSA not yet selected — scoping of 3DS authentication data in the RoC awaits QSA confirmation.</w:t>
      </w:r>
    </w:p>
    <w:p>
      <w:pPr>
        <w:pStyle w:val="Compact"/>
        <w:numPr>
          <w:ilvl w:val="0"/>
          <w:numId w:val="1302"/>
        </w:numPr>
      </w:pPr>
      <w:r>
        <w:rPr>
          <w:b/>
          <w:bCs/>
        </w:rPr>
        <w:t xml:space="preserve">[TODO-6] Actual registered capital:</w:t>
      </w:r>
      <w:r>
        <w:t xml:space="preserve"> </w:t>
      </w:r>
      <w:r>
        <w:t xml:space="preserve">document assumes THB 50M (Acquiring threshold) — confirm actual paid-up</w:t>
      </w:r>
      <w:r>
        <w:t xml:space="preserve"> </w:t>
      </w:r>
      <w:r>
        <w:t xml:space="preserve">capital and maintenance of ≥75%.</w:t>
      </w:r>
    </w:p>
    <w:p>
      <w:pPr>
        <w:pStyle w:val="Compact"/>
        <w:numPr>
          <w:ilvl w:val="0"/>
          <w:numId w:val="1302"/>
        </w:numPr>
      </w:pPr>
      <w:r>
        <w:rPr>
          <w:b/>
          <w:bCs/>
        </w:rPr>
        <w:t xml:space="preserve">[ASSUMPTION] EMVCo 3DS 2.2.0</w:t>
      </w:r>
      <w:r>
        <w:t xml:space="preserve"> </w:t>
      </w:r>
      <w:r>
        <w:t xml:space="preserve">is the minimum version and schemes still honor liability shift for status Y/A</w:t>
      </w:r>
      <w:r>
        <w:t xml:space="preserve"> </w:t>
      </w:r>
      <w:r>
        <w:t xml:space="preserve">under current rules — re-validate whenever a scheme changes its mandate.</w:t>
      </w:r>
    </w:p>
    <w:p>
      <w:r>
        <w:br w:type="page"/>
      </w:r>
    </w:p>
    <w:bookmarkEnd w:id="784"/>
    <w:bookmarkEnd w:id="785"/>
    <w:bookmarkStart w:id="810" w:name="X98992c70115adeedc73697ed221f8cf21f7a91b"/>
    <w:p>
      <w:pPr>
        <w:pStyle w:val="Heading1"/>
      </w:pPr>
      <w:r>
        <w:t xml:space="preserve">แผนการตรวจสอบ QSA / ASV / Penetration Test (ไทย)</w:t>
      </w:r>
    </w:p>
    <w:p>
      <w:pPr>
        <w:pStyle w:val="BlockText"/>
      </w:pPr>
      <w:r>
        <w:t xml:space="preserve">เอกสารเลขที่</w:t>
      </w:r>
      <w:r>
        <w:t xml:space="preserve"> </w:t>
      </w:r>
      <w:r>
        <w:rPr>
          <w:b/>
          <w:bCs/>
        </w:rPr>
        <w:t xml:space="preserve">23</w:t>
      </w:r>
      <w:r>
        <w:t xml:space="preserve"> </w:t>
      </w:r>
      <w:r>
        <w:t xml:space="preserve">ในชุดเอกสาร Compliance ของ</w:t>
      </w:r>
      <w:r>
        <w:t xml:space="preserve"> </w:t>
      </w:r>
      <w:r>
        <w:rPr>
          <w:b/>
          <w:bCs/>
        </w:rPr>
        <w:t xml:space="preserve">[บริษัท / Company]</w:t>
      </w:r>
      <w:r>
        <w:t xml:space="preserve"> </w:t>
      </w:r>
      <w:r>
        <w:t xml:space="preserve">ประเภทธุรกิจ:</w:t>
      </w:r>
      <w:r>
        <w:t xml:space="preserve"> </w:t>
      </w:r>
      <w:r>
        <w:rPr>
          <w:b/>
          <w:bCs/>
        </w:rPr>
        <w:t xml:space="preserve">Full Acquiring Payment Gateway</w:t>
      </w:r>
      <w:r>
        <w:t xml:space="preserve"> </w:t>
      </w:r>
      <w:r>
        <w:t xml:space="preserve">· ทุนจดทะเบียนชำระแล้ว</w:t>
      </w:r>
      <w:r>
        <w:t xml:space="preserve"> </w:t>
      </w:r>
      <w:r>
        <w:rPr>
          <w:b/>
          <w:bCs/>
        </w:rPr>
        <w:t xml:space="preserve">50 ล้านบาท</w:t>
      </w:r>
      <w:r>
        <w:t xml:space="preserve"> </w:t>
      </w:r>
      <w:r>
        <w:t xml:space="preserve">ใบอนุญาต:</w:t>
      </w:r>
      <w:r>
        <w:t xml:space="preserve"> </w:t>
      </w:r>
      <w:r>
        <w:rPr>
          <w:b/>
          <w:bCs/>
        </w:rPr>
        <w:t xml:space="preserve">การให้บริการรับชำระเงินด้วยวิธีการทางอิเล็กทรอนิกส์ (Acquiring)</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มาตรฐานคู่ขนาน:</w:t>
      </w:r>
      <w:r>
        <w:t xml:space="preserve"> </w:t>
      </w:r>
      <w:r>
        <w:rPr>
          <w:b/>
          <w:bCs/>
        </w:rPr>
        <w:t xml:space="preserve">PCI-DSS v4.0.1 (Level 1)</w:t>
      </w:r>
      <w:r>
        <w:t xml:space="preserve"> </w:t>
      </w:r>
      <w:r>
        <w:t xml:space="preserve">·</w:t>
      </w:r>
      <w:r>
        <w:t xml:space="preserve"> </w:t>
      </w:r>
      <w:r>
        <w:rPr>
          <w:b/>
          <w:bCs/>
        </w:rPr>
        <w:t xml:space="preserve">EMV 3-D Secure 2.x</w:t>
      </w:r>
      <w:r>
        <w:t xml:space="preserve"> </w:t>
      </w:r>
      <w:r>
        <w:t xml:space="preserve">เอกสารนี้เป็นข้อมูลอ้างอิงเชิงเทคนิค/ปฏิบัติ ไม่ใช่คำแนะนำทางกฎหมาย ต้องผ่านการตรวจทานโดยที่ปรึกษากฎหมายและ QSA ก่อนยื่นจริง</w:t>
      </w:r>
    </w:p>
    <w:p>
      <w:r>
        <w:pict>
          <v:rect style="width:0;height:1.5pt" o:hralign="center" o:hrstd="t" o:hr="t"/>
        </w:pict>
      </w:r>
    </w:p>
    <w:bookmarkStart w:id="786" w:name="สรปสำหรบผบรหาร-executive-summary"/>
    <w:p>
      <w:pPr>
        <w:pStyle w:val="Heading2"/>
      </w:pPr>
      <w:r>
        <w:t xml:space="preserve">0. สรุปสำหรับผู้บริหาร (Executive Summary)</w:t>
      </w:r>
    </w:p>
    <w:p>
      <w:pPr>
        <w:pStyle w:val="FirstParagraph"/>
      </w:pPr>
      <w:r>
        <w:t xml:space="preserve">เอกสารนี้กำหนด</w:t>
      </w:r>
      <w:r>
        <w:t xml:space="preserve"> </w:t>
      </w:r>
      <w:r>
        <w:rPr>
          <w:b/>
          <w:bCs/>
        </w:rPr>
        <w:t xml:space="preserve">หลักเกณฑ์การคัดเลือก QSA (Qualified Security Assessor)</w:t>
      </w:r>
      <w:r>
        <w:t xml:space="preserve">,</w:t>
      </w:r>
      <w:r>
        <w:t xml:space="preserve"> </w:t>
      </w:r>
      <w:r>
        <w:rPr>
          <w:b/>
          <w:bCs/>
        </w:rPr>
        <w:t xml:space="preserve">แผนการสแกนช่องโหว่รายไตรมาสโดย ASV (Approved Scanning Vendor)</w:t>
      </w:r>
      <w:r>
        <w:t xml:space="preserve">,</w:t>
      </w:r>
      <w:r>
        <w:t xml:space="preserve"> </w:t>
      </w:r>
      <w:r>
        <w:rPr>
          <w:b/>
          <w:bCs/>
        </w:rPr>
        <w:t xml:space="preserve">แผนการทดสอบเจาะระบบประจำปี (Penetration Test)</w:t>
      </w:r>
      <w:r>
        <w:t xml:space="preserve"> </w:t>
      </w:r>
      <w:r>
        <w:t xml:space="preserve">และ</w:t>
      </w:r>
      <w:r>
        <w:t xml:space="preserve"> </w:t>
      </w:r>
      <w:r>
        <w:rPr>
          <w:b/>
          <w:bCs/>
        </w:rPr>
        <w:t xml:space="preserve">กระบวนการติดตามการแก้ไข (Remediation Tracking)</w:t>
      </w:r>
      <w:r>
        <w:t xml:space="preserve"> </w:t>
      </w:r>
      <w:r>
        <w:t xml:space="preserve">ของ [บริษัท / Company] เพื่อรักษาสถานะ PCI-DSS Level 1 อย่างต่อเนื่อง และเพื่อประกอบการยื่นขอ/รักษาใบอนุญาต Acquiring กับ ธปท. ตามข้อกำหนดด้าน IT risk / cyber resilience</w:t>
      </w:r>
    </w:p>
    <w:p>
      <w:pPr>
        <w:pStyle w:val="BodyText"/>
      </w:pPr>
      <w:r>
        <w:t xml:space="preserve">ขอบเขตครอบคลุม</w:t>
      </w:r>
      <w:r>
        <w:t xml:space="preserve"> </w:t>
      </w:r>
      <w:r>
        <w:rPr>
          <w:b/>
          <w:bCs/>
        </w:rPr>
        <w:t xml:space="preserve">Cardholder Data Environment (CDE)</w:t>
      </w:r>
      <w:r>
        <w:t xml:space="preserve"> </w:t>
      </w:r>
      <w:r>
        <w:t xml:space="preserve">และระบบที่เชื่อมต่อ (connected-to / security-impacting) ตามที่นิยามใน</w:t>
      </w:r>
      <w:r>
        <w:t xml:space="preserve"> </w:t>
      </w:r>
      <w:r>
        <w:rPr>
          <w:rStyle w:val="VerbatimChar"/>
        </w:rPr>
        <w:t xml:space="preserve">ARCHITECTURE.md</w:t>
      </w:r>
      <w:r>
        <w:t xml:space="preserve"> </w:t>
      </w:r>
      <w:r>
        <w:t xml:space="preserve">โดยมีหลักการ</w:t>
      </w:r>
      <w:r>
        <w:t xml:space="preserve"> </w:t>
      </w:r>
      <w:r>
        <w:rPr>
          <w:b/>
          <w:bCs/>
        </w:rPr>
        <w:t xml:space="preserve">scope minimization</w:t>
      </w:r>
      <w:r>
        <w:t xml:space="preserve"> </w:t>
      </w:r>
      <w:r>
        <w:t xml:space="preserve">ผ่าน tokenization vault และ network segmentation</w:t>
      </w:r>
    </w:p>
    <w:p>
      <w:pPr>
        <w:pStyle w:val="BlockText"/>
      </w:pPr>
      <w:r>
        <w:t xml:space="preserve">[!IMPORTANT]</w:t>
      </w:r>
      <w:r>
        <w:t xml:space="preserve"> </w:t>
      </w:r>
      <w:r>
        <w:rPr>
          <w:b/>
          <w:bCs/>
        </w:rPr>
        <w:t xml:space="preserve">สมมติฐาน / TODO (ต้องยืนยันก่อนยื่น):</w:t>
      </w:r>
      <w:r>
        <w:t xml:space="preserve"> </w:t>
      </w:r>
      <w:r>
        <w:t xml:space="preserve">-</w:t>
      </w:r>
      <w:r>
        <w:t xml:space="preserve"> </w:t>
      </w:r>
      <w:r>
        <w:rPr>
          <w:b/>
          <w:bCs/>
        </w:rPr>
        <w:t xml:space="preserve">[TODO — Sponsor Bank]</w:t>
      </w:r>
      <w:r>
        <w:t xml:space="preserve"> </w:t>
      </w:r>
      <w:r>
        <w:t xml:space="preserve">ยังไม่สรุปธนาคารผู้รับเชื่อม (sponsoring bank / acquirer partner) ข้อกำหนดการรายงาน ASV/pentest ไปยัง sponsor และ card scheme (Visa/Mastercard) ต้องยึดตามสัญญาจริงเมื่อลงนาม</w:t>
      </w:r>
      <w:r>
        <w:t xml:space="preserve"> </w:t>
      </w:r>
      <w:r>
        <w:t xml:space="preserve">-</w:t>
      </w:r>
      <w:r>
        <w:t xml:space="preserve"> </w:t>
      </w:r>
      <w:r>
        <w:rPr>
          <w:b/>
          <w:bCs/>
        </w:rPr>
        <w:t xml:space="preserve">[TODO — QSA Vendor]</w:t>
      </w:r>
      <w:r>
        <w:t xml:space="preserve"> </w:t>
      </w:r>
      <w:r>
        <w:t xml:space="preserve">ยังไม่ได้ลงนามกับ QSA/ASV จริง รายชื่อ vendor ในเอกสารเป็น</w:t>
      </w:r>
      <w:r>
        <w:t xml:space="preserve"> </w:t>
      </w:r>
      <w:r>
        <w:rPr>
          <w:i/>
          <w:iCs/>
        </w:rPr>
        <w:t xml:space="preserve">เกณฑ์คัดเลือก</w:t>
      </w:r>
      <w:r>
        <w:t xml:space="preserve"> </w:t>
      </w:r>
      <w:r>
        <w:t xml:space="preserve">ไม่ใช่การเลือกแล้ว</w:t>
      </w:r>
      <w:r>
        <w:t xml:space="preserve"> </w:t>
      </w:r>
      <w:r>
        <w:t xml:space="preserve">-</w:t>
      </w:r>
      <w:r>
        <w:t xml:space="preserve"> </w:t>
      </w:r>
      <w:r>
        <w:rPr>
          <w:b/>
          <w:bCs/>
        </w:rPr>
        <w:t xml:space="preserve">[TODO — ทุนจดทะเบียน]</w:t>
      </w:r>
      <w:r>
        <w:t xml:space="preserve"> </w:t>
      </w:r>
      <w:r>
        <w:t xml:space="preserve">ทุนชำระแล้ว 50 ล้านบาทเป็นเป้าหมายตาม</w:t>
      </w:r>
      <w:r>
        <w:t xml:space="preserve"> </w:t>
      </w:r>
      <w:r>
        <w:rPr>
          <w:rStyle w:val="VerbatimChar"/>
        </w:rPr>
        <w:t xml:space="preserve">COMPLIANCE-TH.md</w:t>
      </w:r>
      <w:r>
        <w:t xml:space="preserve"> </w:t>
      </w:r>
      <w:r>
        <w:t xml:space="preserve">ต้องยืนยันตัวเลขที่ชำระจริง ณ วันยื่น และรักษาไว้ ≥ 75% ตลอดการดำเนินงาน</w:t>
      </w:r>
      <w:r>
        <w:t xml:space="preserve"> </w:t>
      </w:r>
      <w:r>
        <w:t xml:space="preserve">-</w:t>
      </w:r>
      <w:r>
        <w:t xml:space="preserve"> </w:t>
      </w:r>
      <w:r>
        <w:rPr>
          <w:b/>
          <w:bCs/>
        </w:rPr>
        <w:t xml:space="preserve">[TODO — ผลการกำหนด Merchant Level]</w:t>
      </w:r>
      <w:r>
        <w:t xml:space="preserve"> </w:t>
      </w:r>
      <w:r>
        <w:t xml:space="preserve">จำนวนธุรกรรม/ปีที่ทำให้เป็น Level 1 (&gt; 6 ล้านรายการ/ปี) หรือการกำหนดโดย acquirer/scheme ต้องยืนยันเมื่อเริ่มมีปริมาณจริง</w:t>
      </w:r>
    </w:p>
    <w:p>
      <w:r>
        <w:pict>
          <v:rect style="width:0;height:1.5pt" o:hralign="center" o:hrstd="t" o:hr="t"/>
        </w:pict>
      </w:r>
    </w:p>
    <w:bookmarkEnd w:id="786"/>
    <w:bookmarkStart w:id="789" w:name="ขอบเขตและบทบาทหนาท-scope-raci"/>
    <w:p>
      <w:pPr>
        <w:pStyle w:val="Heading2"/>
      </w:pPr>
      <w:r>
        <w:t xml:space="preserve">1. ขอบเขตและบทบาทหน้าที่ (Scope &amp; RACI)</w:t>
      </w:r>
    </w:p>
    <w:bookmarkStart w:id="787" w:name="ขอบเขต-pci-dss-scope-definition"/>
    <w:p>
      <w:pPr>
        <w:pStyle w:val="Heading3"/>
      </w:pPr>
      <w:r>
        <w:t xml:space="preserve">1.1 ขอบเขต PCI-DSS (Scope Definition)</w:t>
      </w:r>
    </w:p>
    <w:tbl>
      <w:tblPr>
        <w:tblStyle w:val="Table"/>
        <w:tblW w:type="pct" w:w="5000"/>
        <w:tblLayout w:type="fixed"/>
        <w:tblLook w:firstRow="1" w:lastRow="0" w:firstColumn="0" w:lastColumn="0" w:noHBand="0" w:noVBand="0" w:val="0020"/>
      </w:tblPr>
      <w:tblGrid>
        <w:gridCol w:w="2026"/>
        <w:gridCol w:w="3499"/>
        <w:gridCol w:w="2394"/>
      </w:tblGrid>
      <w:tr>
        <w:trPr>
          <w:tblHeader w:val="on"/>
        </w:trPr>
        <w:tc>
          <w:tcPr/>
          <w:p>
            <w:pPr>
              <w:pStyle w:val="Compact"/>
            </w:pPr>
            <w:r>
              <w:t xml:space="preserve">ประเภทระบบ</w:t>
            </w:r>
          </w:p>
        </w:tc>
        <w:tc>
          <w:tcPr/>
          <w:p>
            <w:pPr>
              <w:pStyle w:val="Compact"/>
            </w:pPr>
            <w:r>
              <w:t xml:space="preserve">ตัวอย่างองค์ประกอบ</w:t>
            </w:r>
          </w:p>
        </w:tc>
        <w:tc>
          <w:tcPr/>
          <w:p>
            <w:pPr>
              <w:pStyle w:val="Compact"/>
            </w:pPr>
            <w:r>
              <w:t xml:space="preserve">อยู่ในขอบเขต</w:t>
            </w:r>
          </w:p>
        </w:tc>
      </w:tr>
      <w:tr>
        <w:tc>
          <w:tcPr/>
          <w:p>
            <w:pPr>
              <w:pStyle w:val="Compact"/>
            </w:pPr>
            <w:r>
              <w:rPr>
                <w:b/>
                <w:bCs/>
              </w:rPr>
              <w:t xml:space="preserve">CDE</w:t>
            </w:r>
          </w:p>
        </w:tc>
        <w:tc>
          <w:tcPr/>
          <w:p>
            <w:pPr>
              <w:pStyle w:val="Compact"/>
            </w:pPr>
            <w:r>
              <w:t xml:space="preserve">Tokenization Vault, HSM/KMS, detokenization service, acquirer adapter (ISO 8583)</w:t>
            </w:r>
          </w:p>
        </w:tc>
        <w:tc>
          <w:tcPr/>
          <w:p>
            <w:pPr>
              <w:pStyle w:val="Compact"/>
            </w:pPr>
            <w:r>
              <w:t xml:space="preserve">ใช่ — เต็มรูปแบบ</w:t>
            </w:r>
          </w:p>
        </w:tc>
      </w:tr>
      <w:tr>
        <w:tc>
          <w:tcPr/>
          <w:p>
            <w:pPr>
              <w:pStyle w:val="Compact"/>
            </w:pPr>
            <w:r>
              <w:rPr>
                <w:b/>
                <w:bCs/>
              </w:rPr>
              <w:t xml:space="preserve">Connected-to / Security-impacting</w:t>
            </w:r>
          </w:p>
        </w:tc>
        <w:tc>
          <w:tcPr/>
          <w:p>
            <w:pPr>
              <w:pStyle w:val="Compact"/>
            </w:pPr>
            <w:r>
              <w:t xml:space="preserve">API Edge, payment core service, bastion/jump host, SIEM, CI/CD ที่ deploy เข้า CDE</w:t>
            </w:r>
          </w:p>
        </w:tc>
        <w:tc>
          <w:tcPr/>
          <w:p>
            <w:pPr>
              <w:pStyle w:val="Compact"/>
            </w:pPr>
            <w:r>
              <w:t xml:space="preserve">ใช่</w:t>
            </w:r>
          </w:p>
        </w:tc>
      </w:tr>
      <w:tr>
        <w:tc>
          <w:tcPr/>
          <w:p>
            <w:pPr>
              <w:pStyle w:val="Compact"/>
            </w:pPr>
            <w:r>
              <w:rPr>
                <w:b/>
                <w:bCs/>
              </w:rPr>
              <w:t xml:space="preserve">Out-of-scope (ถ้า segmentation พิสูจน์ได้)</w:t>
            </w:r>
          </w:p>
        </w:tc>
        <w:tc>
          <w:tcPr/>
          <w:p>
            <w:pPr>
              <w:pStyle w:val="Compact"/>
            </w:pPr>
            <w:r>
              <w:t xml:space="preserve">ระบบ HR, เว็บ marketing, corporate email</w:t>
            </w:r>
          </w:p>
        </w:tc>
        <w:tc>
          <w:tcPr/>
          <w:p>
            <w:pPr>
              <w:pStyle w:val="Compact"/>
            </w:pPr>
            <w:r>
              <w:t xml:space="preserve">ไม่ — ต้องมี segmentation penetration test ยืนยันรายปี</w:t>
            </w:r>
          </w:p>
        </w:tc>
      </w:tr>
    </w:tbl>
    <w:p>
      <w:pPr>
        <w:pStyle w:val="BodyText"/>
      </w:pPr>
      <w:r>
        <w:t xml:space="preserve">การพิสูจน์ว่า out-of-scope ต้องมี</w:t>
      </w:r>
      <w:r>
        <w:t xml:space="preserve"> </w:t>
      </w:r>
      <w:r>
        <w:rPr>
          <w:b/>
          <w:bCs/>
        </w:rPr>
        <w:t xml:space="preserve">segmentation penetration test</w:t>
      </w:r>
      <w:r>
        <w:t xml:space="preserve"> </w:t>
      </w:r>
      <w:r>
        <w:t xml:space="preserve">(PCI-DSS v4.0 Req 11.4.5) อย่างน้อยปีละครั้ง (service provider ทุก 6 เดือน)</w:t>
      </w:r>
    </w:p>
    <w:bookmarkEnd w:id="787"/>
    <w:bookmarkStart w:id="788" w:name="raci"/>
    <w:p>
      <w:pPr>
        <w:pStyle w:val="Heading3"/>
      </w:pPr>
      <w:r>
        <w:t xml:space="preserve">1.2 RACI</w:t>
      </w:r>
    </w:p>
    <w:tbl>
      <w:tblPr>
        <w:tblStyle w:val="Table"/>
        <w:tblW w:type="pct" w:w="5000"/>
        <w:tblLayout w:type="fixed"/>
        <w:tblLook w:firstRow="1" w:lastRow="0" w:firstColumn="0" w:lastColumn="0" w:noHBand="0" w:noVBand="0" w:val="0020"/>
      </w:tblPr>
      <w:tblGrid>
        <w:gridCol w:w="745"/>
        <w:gridCol w:w="559"/>
        <w:gridCol w:w="2236"/>
        <w:gridCol w:w="1770"/>
        <w:gridCol w:w="1304"/>
        <w:gridCol w:w="1304"/>
      </w:tblGrid>
      <w:tr>
        <w:trPr>
          <w:tblHeader w:val="on"/>
        </w:trPr>
        <w:tc>
          <w:tcPr/>
          <w:p>
            <w:pPr>
              <w:pStyle w:val="Compact"/>
            </w:pPr>
            <w:r>
              <w:t xml:space="preserve">กิจกรรม</w:t>
            </w:r>
          </w:p>
        </w:tc>
        <w:tc>
          <w:tcPr/>
          <w:p>
            <w:pPr>
              <w:pStyle w:val="Compact"/>
            </w:pPr>
            <w:r>
              <w:t xml:space="preserve">CISO</w:t>
            </w:r>
          </w:p>
        </w:tc>
        <w:tc>
          <w:tcPr/>
          <w:p>
            <w:pPr>
              <w:pStyle w:val="Compact"/>
            </w:pPr>
            <w:r>
              <w:t xml:space="preserve">Security/DevSecOps Lead</w:t>
            </w:r>
          </w:p>
        </w:tc>
        <w:tc>
          <w:tcPr/>
          <w:p>
            <w:pPr>
              <w:pStyle w:val="Compact"/>
            </w:pPr>
            <w:r>
              <w:t xml:space="preserve">Compliance Officer</w:t>
            </w:r>
          </w:p>
        </w:tc>
        <w:tc>
          <w:tcPr/>
          <w:p>
            <w:pPr>
              <w:pStyle w:val="Compact"/>
            </w:pPr>
            <w:r>
              <w:t xml:space="preserve">QSA (ภายนอก)</w:t>
            </w:r>
          </w:p>
        </w:tc>
        <w:tc>
          <w:tcPr/>
          <w:p>
            <w:pPr>
              <w:pStyle w:val="Compact"/>
            </w:pPr>
            <w:r>
              <w:t xml:space="preserve">ASV (ภายนอก)</w:t>
            </w:r>
          </w:p>
        </w:tc>
      </w:tr>
      <w:tr>
        <w:tc>
          <w:tcPr/>
          <w:p>
            <w:pPr>
              <w:pStyle w:val="Compact"/>
            </w:pPr>
            <w:r>
              <w:t xml:space="preserve">คัดเลือก QSA/ASV</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w:t>
            </w:r>
          </w:p>
        </w:tc>
        <w:tc>
          <w:tcPr/>
          <w:p>
            <w:pPr>
              <w:pStyle w:val="Compact"/>
            </w:pPr>
            <w:r>
              <w:t xml:space="preserve">—</w:t>
            </w:r>
          </w:p>
        </w:tc>
      </w:tr>
      <w:tr>
        <w:tc>
          <w:tcPr/>
          <w:p>
            <w:pPr>
              <w:pStyle w:val="Compact"/>
            </w:pPr>
            <w:r>
              <w:t xml:space="preserve">กำหนด/ยืนยัน scope</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C/Validate</w:t>
            </w:r>
          </w:p>
        </w:tc>
        <w:tc>
          <w:tcPr/>
          <w:p>
            <w:pPr>
              <w:pStyle w:val="Compact"/>
            </w:pPr>
            <w:r>
              <w:t xml:space="preserve">I</w:t>
            </w:r>
          </w:p>
        </w:tc>
      </w:tr>
      <w:tr>
        <w:tc>
          <w:tcPr/>
          <w:p>
            <w:pPr>
              <w:pStyle w:val="Compact"/>
            </w:pPr>
            <w:r>
              <w:t xml:space="preserve">Quarterly ASV scan</w:t>
            </w:r>
          </w:p>
        </w:tc>
        <w:tc>
          <w:tcPr/>
          <w:p>
            <w:pPr>
              <w:pStyle w:val="Compact"/>
            </w:pPr>
            <w:r>
              <w:t xml:space="preserve">I</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R (execute)</w:t>
            </w:r>
          </w:p>
        </w:tc>
      </w:tr>
      <w:tr>
        <w:tc>
          <w:tcPr/>
          <w:p>
            <w:pPr>
              <w:pStyle w:val="Compact"/>
            </w:pPr>
            <w:r>
              <w:t xml:space="preserve">Annual internal/external pentest</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I/Validate</w:t>
            </w:r>
          </w:p>
        </w:tc>
        <w:tc>
          <w:tcPr/>
          <w:p>
            <w:pPr>
              <w:pStyle w:val="Compact"/>
            </w:pPr>
            <w:r>
              <w:t xml:space="preserve">—</w:t>
            </w:r>
          </w:p>
        </w:tc>
      </w:tr>
      <w:tr>
        <w:tc>
          <w:tcPr/>
          <w:p>
            <w:pPr>
              <w:pStyle w:val="Compact"/>
            </w:pPr>
            <w:r>
              <w:t xml:space="preserve">Remediation tracking</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Validate</w:t>
            </w:r>
          </w:p>
        </w:tc>
        <w:tc>
          <w:tcPr/>
          <w:p>
            <w:pPr>
              <w:pStyle w:val="Compact"/>
            </w:pPr>
            <w:r>
              <w:t xml:space="preserve">I</w:t>
            </w:r>
          </w:p>
        </w:tc>
      </w:tr>
      <w:tr>
        <w:tc>
          <w:tcPr/>
          <w:p>
            <w:pPr>
              <w:pStyle w:val="Compact"/>
            </w:pPr>
            <w:r>
              <w:t xml:space="preserve">RoC / AoC submission</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R (issue)</w:t>
            </w:r>
          </w:p>
        </w:tc>
        <w:tc>
          <w:tcPr/>
          <w:p>
            <w:pPr>
              <w:pStyle w:val="Compact"/>
            </w:pPr>
            <w:r>
              <w:t xml:space="preserve">—</w:t>
            </w:r>
          </w:p>
        </w:tc>
      </w:tr>
      <w:tr>
        <w:tc>
          <w:tcPr/>
          <w:p>
            <w:pPr>
              <w:pStyle w:val="Compact"/>
            </w:pPr>
            <w:r>
              <w:t xml:space="preserve">รายงานต่อ ธปท. / sponsor</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r>
    </w:tbl>
    <w:p>
      <w:pPr>
        <w:pStyle w:val="BodyText"/>
      </w:pPr>
      <w:r>
        <w:t xml:space="preserve">(A=Accountable, R=Responsible, C=Consulted, I=Informed)</w:t>
      </w:r>
    </w:p>
    <w:p>
      <w:r>
        <w:pict>
          <v:rect style="width:0;height:1.5pt" o:hralign="center" o:hrstd="t" o:hr="t"/>
        </w:pict>
      </w:r>
    </w:p>
    <w:bookmarkEnd w:id="788"/>
    <w:bookmarkEnd w:id="789"/>
    <w:bookmarkStart w:id="793" w:name="X5d0ac89e002257dfa4ca2392c43d1cce2327b11"/>
    <w:p>
      <w:pPr>
        <w:pStyle w:val="Heading2"/>
      </w:pPr>
      <w:r>
        <w:t xml:space="preserve">2. หลักเกณฑ์การคัดเลือก QSA (QSA Selection Criteria)</w:t>
      </w:r>
    </w:p>
    <w:bookmarkStart w:id="790" w:name="เกณฑบงคบ-mandatory-pass-fail"/>
    <w:p>
      <w:pPr>
        <w:pStyle w:val="Heading3"/>
      </w:pPr>
      <w:r>
        <w:t xml:space="preserve">2.1 เกณฑ์บังคับ (Mandatory / Pass-Fail)</w:t>
      </w:r>
    </w:p>
    <w:tbl>
      <w:tblPr>
        <w:tblStyle w:val="Table"/>
        <w:tblW w:type="pct" w:w="5000"/>
        <w:tblLayout w:type="fixed"/>
        <w:tblLook w:firstRow="1" w:lastRow="0" w:firstColumn="0" w:lastColumn="0" w:noHBand="0" w:noVBand="0" w:val="0020"/>
      </w:tblPr>
      <w:tblGrid>
        <w:gridCol w:w="1188"/>
        <w:gridCol w:w="2376"/>
        <w:gridCol w:w="4356"/>
      </w:tblGrid>
      <w:tr>
        <w:trPr>
          <w:tblHeader w:val="on"/>
        </w:trPr>
        <w:tc>
          <w:tcPr/>
          <w:p>
            <w:pPr>
              <w:pStyle w:val="Compact"/>
            </w:pPr>
            <w:r>
              <w:t xml:space="preserve">#</w:t>
            </w:r>
          </w:p>
        </w:tc>
        <w:tc>
          <w:tcPr/>
          <w:p>
            <w:pPr>
              <w:pStyle w:val="Compact"/>
            </w:pPr>
            <w:r>
              <w:t xml:space="preserve">เกณฑ์</w:t>
            </w:r>
          </w:p>
        </w:tc>
        <w:tc>
          <w:tcPr/>
          <w:p>
            <w:pPr>
              <w:pStyle w:val="Compact"/>
            </w:pPr>
            <w:r>
              <w:t xml:space="preserve">เกณฑ์ผ่าน</w:t>
            </w:r>
          </w:p>
        </w:tc>
      </w:tr>
      <w:tr>
        <w:tc>
          <w:tcPr/>
          <w:p>
            <w:pPr>
              <w:pStyle w:val="Compact"/>
            </w:pPr>
            <w:r>
              <w:t xml:space="preserve">M1</w:t>
            </w:r>
          </w:p>
        </w:tc>
        <w:tc>
          <w:tcPr/>
          <w:p>
            <w:pPr>
              <w:pStyle w:val="Compact"/>
            </w:pPr>
            <w:r>
              <w:t xml:space="preserve">มีสถานะ</w:t>
            </w:r>
            <w:r>
              <w:t xml:space="preserve"> </w:t>
            </w:r>
            <w:r>
              <w:rPr>
                <w:b/>
                <w:bCs/>
              </w:rPr>
              <w:t xml:space="preserve">QSA Company</w:t>
            </w:r>
            <w:r>
              <w:t xml:space="preserve"> </w:t>
            </w:r>
            <w:r>
              <w:t xml:space="preserve">ที่ยัง active ในทะเบียน PCI SSC (ตรวจที่ pcisecuritystandards.org)</w:t>
            </w:r>
          </w:p>
        </w:tc>
        <w:tc>
          <w:tcPr/>
          <w:p>
            <w:pPr>
              <w:pStyle w:val="Compact"/>
            </w:pPr>
            <w:r>
              <w:t xml:space="preserve">ต้องยืนยันได้ ณ วันลงนาม</w:t>
            </w:r>
          </w:p>
        </w:tc>
      </w:tr>
      <w:tr>
        <w:tc>
          <w:tcPr/>
          <w:p>
            <w:pPr>
              <w:pStyle w:val="Compact"/>
            </w:pPr>
            <w:r>
              <w:t xml:space="preserve">M2</w:t>
            </w:r>
          </w:p>
        </w:tc>
        <w:tc>
          <w:tcPr/>
          <w:p>
            <w:pPr>
              <w:pStyle w:val="Compact"/>
            </w:pPr>
            <w:r>
              <w:t xml:space="preserve">มี</w:t>
            </w:r>
            <w:r>
              <w:t xml:space="preserve"> </w:t>
            </w:r>
            <w:r>
              <w:rPr>
                <w:b/>
                <w:bCs/>
              </w:rPr>
              <w:t xml:space="preserve">QSA employee</w:t>
            </w:r>
            <w:r>
              <w:t xml:space="preserve"> </w:t>
            </w:r>
            <w:r>
              <w:t xml:space="preserve">ที่ certified และมีประสบการณ์</w:t>
            </w:r>
            <w:r>
              <w:t xml:space="preserve"> </w:t>
            </w:r>
            <w:r>
              <w:rPr>
                <w:b/>
                <w:bCs/>
              </w:rPr>
              <w:t xml:space="preserve">acquirer / payment gateway</w:t>
            </w:r>
            <w:r>
              <w:t xml:space="preserve"> </w:t>
            </w:r>
            <w:r>
              <w:t xml:space="preserve">ในภูมิภาค APAC</w:t>
            </w:r>
          </w:p>
        </w:tc>
        <w:tc>
          <w:tcPr/>
          <w:p>
            <w:pPr>
              <w:pStyle w:val="Compact"/>
            </w:pPr>
            <w:r>
              <w:t xml:space="preserve">≥ 2 คนในทีมที่มอบหมาย</w:t>
            </w:r>
          </w:p>
        </w:tc>
      </w:tr>
      <w:tr>
        <w:tc>
          <w:tcPr/>
          <w:p>
            <w:pPr>
              <w:pStyle w:val="Compact"/>
            </w:pPr>
            <w:r>
              <w:t xml:space="preserve">M3</w:t>
            </w:r>
          </w:p>
        </w:tc>
        <w:tc>
          <w:tcPr/>
          <w:p>
            <w:pPr>
              <w:pStyle w:val="Compact"/>
            </w:pPr>
            <w:r>
              <w:t xml:space="preserve">รองรับการประเมินตาม</w:t>
            </w:r>
            <w:r>
              <w:t xml:space="preserve"> </w:t>
            </w:r>
            <w:r>
              <w:rPr>
                <w:b/>
                <w:bCs/>
              </w:rPr>
              <w:t xml:space="preserve">PCI-DSS v4.0.1</w:t>
            </w:r>
            <w:r>
              <w:t xml:space="preserve"> </w:t>
            </w:r>
            <w:r>
              <w:t xml:space="preserve">(customized + defined approach)</w:t>
            </w:r>
          </w:p>
        </w:tc>
        <w:tc>
          <w:tcPr/>
          <w:p>
            <w:pPr>
              <w:pStyle w:val="Compact"/>
            </w:pPr>
            <w:r>
              <w:t xml:space="preserve">ต้องยืนยัน</w:t>
            </w:r>
          </w:p>
        </w:tc>
      </w:tr>
      <w:tr>
        <w:tc>
          <w:tcPr/>
          <w:p>
            <w:pPr>
              <w:pStyle w:val="Compact"/>
            </w:pPr>
            <w:r>
              <w:t xml:space="preserve">M4</w:t>
            </w:r>
          </w:p>
        </w:tc>
        <w:tc>
          <w:tcPr/>
          <w:p>
            <w:pPr>
              <w:pStyle w:val="Compact"/>
            </w:pPr>
            <w:r>
              <w:t xml:space="preserve">ไม่มี</w:t>
            </w:r>
            <w:r>
              <w:t xml:space="preserve"> </w:t>
            </w:r>
            <w:r>
              <w:rPr>
                <w:b/>
                <w:bCs/>
              </w:rPr>
              <w:t xml:space="preserve">conflict of interest</w:t>
            </w:r>
            <w:r>
              <w:t xml:space="preserve"> </w:t>
            </w:r>
            <w:r>
              <w:t xml:space="preserve">(ไม่เป็นผู้ implement control ที่ตนตรวจ)</w:t>
            </w:r>
          </w:p>
        </w:tc>
        <w:tc>
          <w:tcPr/>
          <w:p>
            <w:pPr>
              <w:pStyle w:val="Compact"/>
            </w:pPr>
            <w:r>
              <w:t xml:space="preserve">ประกาศเป็นลายลักษณ์อักษร</w:t>
            </w:r>
          </w:p>
        </w:tc>
      </w:tr>
      <w:tr>
        <w:tc>
          <w:tcPr/>
          <w:p>
            <w:pPr>
              <w:pStyle w:val="Compact"/>
            </w:pPr>
            <w:r>
              <w:t xml:space="preserve">M5</w:t>
            </w:r>
          </w:p>
        </w:tc>
        <w:tc>
          <w:tcPr/>
          <w:p>
            <w:pPr>
              <w:pStyle w:val="Compact"/>
            </w:pPr>
            <w:r>
              <w:t xml:space="preserve">ทำงานภายใต้</w:t>
            </w:r>
            <w:r>
              <w:t xml:space="preserve"> </w:t>
            </w:r>
            <w:r>
              <w:rPr>
                <w:b/>
                <w:bCs/>
              </w:rPr>
              <w:t xml:space="preserve">PDPA (พ.ร.บ.คุ้มครองข้อมูลส่วนบุคคล พ.ศ. 2562)</w:t>
            </w:r>
            <w:r>
              <w:t xml:space="preserve"> </w:t>
            </w:r>
            <w:r>
              <w:t xml:space="preserve">และยอมลงนาม DPA + NDA</w:t>
            </w:r>
          </w:p>
        </w:tc>
        <w:tc>
          <w:tcPr/>
          <w:p>
            <w:pPr>
              <w:pStyle w:val="Compact"/>
            </w:pPr>
            <w:r>
              <w:t xml:space="preserve">บังคับ</w:t>
            </w:r>
          </w:p>
        </w:tc>
      </w:tr>
      <w:tr>
        <w:tc>
          <w:tcPr/>
          <w:p>
            <w:pPr>
              <w:pStyle w:val="Compact"/>
            </w:pPr>
            <w:r>
              <w:t xml:space="preserve">M6</w:t>
            </w:r>
          </w:p>
        </w:tc>
        <w:tc>
          <w:tcPr/>
          <w:p>
            <w:pPr>
              <w:pStyle w:val="Compact"/>
            </w:pPr>
            <w:r>
              <w:t xml:space="preserve">มีประกันความรับผิดทางวิชาชีพ (Professional Indemnity)</w:t>
            </w:r>
          </w:p>
        </w:tc>
        <w:tc>
          <w:tcPr/>
          <w:p>
            <w:pPr>
              <w:pStyle w:val="Compact"/>
            </w:pPr>
            <w:r>
              <w:t xml:space="preserve">≥ 50 ล้านบาท (หรือเทียบเท่าตามที่ตกลง)</w:t>
            </w:r>
          </w:p>
        </w:tc>
      </w:tr>
    </w:tbl>
    <w:bookmarkEnd w:id="790"/>
    <w:bookmarkStart w:id="791" w:name="เกณฑใหคะแนน-weighted-scoring"/>
    <w:p>
      <w:pPr>
        <w:pStyle w:val="Heading3"/>
      </w:pPr>
      <w:r>
        <w:t xml:space="preserve">2.2 เกณฑ์ให้คะแนน (Weighted Scoring)</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ด้าน</w:t>
            </w:r>
          </w:p>
        </w:tc>
        <w:tc>
          <w:tcPr/>
          <w:p>
            <w:pPr>
              <w:pStyle w:val="Compact"/>
            </w:pPr>
            <w:r>
              <w:t xml:space="preserve">น้ำหนัก</w:t>
            </w:r>
          </w:p>
        </w:tc>
        <w:tc>
          <w:tcPr/>
          <w:p>
            <w:pPr>
              <w:pStyle w:val="Compact"/>
            </w:pPr>
            <w:r>
              <w:t xml:space="preserve">ตัวชี้วัด</w:t>
            </w:r>
          </w:p>
        </w:tc>
      </w:tr>
      <w:tr>
        <w:tc>
          <w:tcPr/>
          <w:p>
            <w:pPr>
              <w:pStyle w:val="Compact"/>
            </w:pPr>
            <w:r>
              <w:t xml:space="preserve">ประสบการณ์กับ acquiring/gateway ในไทย/APAC</w:t>
            </w:r>
          </w:p>
        </w:tc>
        <w:tc>
          <w:tcPr/>
          <w:p>
            <w:pPr>
              <w:pStyle w:val="Compact"/>
            </w:pPr>
            <w:r>
              <w:t xml:space="preserve">25%</w:t>
            </w:r>
          </w:p>
        </w:tc>
        <w:tc>
          <w:tcPr/>
          <w:p>
            <w:pPr>
              <w:pStyle w:val="Compact"/>
            </w:pPr>
            <w:r>
              <w:t xml:space="preserve">จำนวน RoC ที่ออกให้ payment institution, reference ตรวจสอบได้</w:t>
            </w:r>
          </w:p>
        </w:tc>
      </w:tr>
      <w:tr>
        <w:tc>
          <w:tcPr/>
          <w:p>
            <w:pPr>
              <w:pStyle w:val="Compact"/>
            </w:pPr>
            <w:r>
              <w:t xml:space="preserve">ความเข้าใจบริบท ธปท. / กฎหมายไทย</w:t>
            </w:r>
          </w:p>
        </w:tc>
        <w:tc>
          <w:tcPr/>
          <w:p>
            <w:pPr>
              <w:pStyle w:val="Compact"/>
            </w:pPr>
            <w:r>
              <w:t xml:space="preserve">15%</w:t>
            </w:r>
          </w:p>
        </w:tc>
        <w:tc>
          <w:tcPr/>
          <w:p>
            <w:pPr>
              <w:pStyle w:val="Compact"/>
            </w:pPr>
            <w:r>
              <w:t xml:space="preserve">เคยทำงานร่วมกับผู้ถือใบอนุญาต ธปท., เข้าใจ data residency</w:t>
            </w:r>
          </w:p>
        </w:tc>
      </w:tr>
      <w:tr>
        <w:tc>
          <w:tcPr/>
          <w:p>
            <w:pPr>
              <w:pStyle w:val="Compact"/>
            </w:pPr>
            <w:r>
              <w:t xml:space="preserve">ทีมงาน &amp; continuity (lead assessor คนเดิม)</w:t>
            </w:r>
          </w:p>
        </w:tc>
        <w:tc>
          <w:tcPr/>
          <w:p>
            <w:pPr>
              <w:pStyle w:val="Compact"/>
            </w:pPr>
            <w:r>
              <w:t xml:space="preserve">15%</w:t>
            </w:r>
          </w:p>
        </w:tc>
        <w:tc>
          <w:tcPr/>
          <w:p>
            <w:pPr>
              <w:pStyle w:val="Compact"/>
            </w:pPr>
            <w:r>
              <w:t xml:space="preserve">resume, อัตราหมุนเวียนทีม</w:t>
            </w:r>
          </w:p>
        </w:tc>
      </w:tr>
      <w:tr>
        <w:tc>
          <w:tcPr/>
          <w:p>
            <w:pPr>
              <w:pStyle w:val="Compact"/>
            </w:pPr>
            <w:r>
              <w:t xml:space="preserve">วิธีการประเมิน (gap assessment → RoC) &amp; tooling</w:t>
            </w:r>
          </w:p>
        </w:tc>
        <w:tc>
          <w:tcPr/>
          <w:p>
            <w:pPr>
              <w:pStyle w:val="Compact"/>
            </w:pPr>
            <w:r>
              <w:t xml:space="preserve">15%</w:t>
            </w:r>
          </w:p>
        </w:tc>
        <w:tc>
          <w:tcPr/>
          <w:p>
            <w:pPr>
              <w:pStyle w:val="Compact"/>
            </w:pPr>
            <w:r>
              <w:t xml:space="preserve">ตัวอย่าง methodology, evidence template</w:t>
            </w:r>
          </w:p>
        </w:tc>
      </w:tr>
      <w:tr>
        <w:tc>
          <w:tcPr/>
          <w:p>
            <w:pPr>
              <w:pStyle w:val="Compact"/>
            </w:pPr>
            <w:r>
              <w:t xml:space="preserve">ราคา &amp; โครงสร้างค่าใช้จ่าย (multi-year)</w:t>
            </w:r>
          </w:p>
        </w:tc>
        <w:tc>
          <w:tcPr/>
          <w:p>
            <w:pPr>
              <w:pStyle w:val="Compact"/>
            </w:pPr>
            <w:r>
              <w:t xml:space="preserve">15%</w:t>
            </w:r>
          </w:p>
        </w:tc>
        <w:tc>
          <w:tcPr/>
          <w:p>
            <w:pPr>
              <w:pStyle w:val="Compact"/>
            </w:pPr>
            <w:r>
              <w:t xml:space="preserve">ราคา RoC + gap + re-test ต่อปี (กรอบ 3-6 ล้าน/ปี ตาม</w:t>
            </w:r>
            <w:r>
              <w:t xml:space="preserve"> </w:t>
            </w:r>
            <w:r>
              <w:rPr>
                <w:rStyle w:val="VerbatimChar"/>
              </w:rPr>
              <w:t xml:space="preserve">ROADMAP.md</w:t>
            </w:r>
            <w:r>
              <w:t xml:space="preserve">)</w:t>
            </w:r>
          </w:p>
        </w:tc>
      </w:tr>
      <w:tr>
        <w:tc>
          <w:tcPr/>
          <w:p>
            <w:pPr>
              <w:pStyle w:val="Compact"/>
            </w:pPr>
            <w:r>
              <w:t xml:space="preserve">SLA &amp; ความเร็วในการออกรายงาน</w:t>
            </w:r>
          </w:p>
        </w:tc>
        <w:tc>
          <w:tcPr/>
          <w:p>
            <w:pPr>
              <w:pStyle w:val="Compact"/>
            </w:pPr>
            <w:r>
              <w:t xml:space="preserve">10%</w:t>
            </w:r>
          </w:p>
        </w:tc>
        <w:tc>
          <w:tcPr/>
          <w:p>
            <w:pPr>
              <w:pStyle w:val="Compact"/>
            </w:pPr>
            <w:r>
              <w:t xml:space="preserve">วันทำการจนออก draft RoC</w:t>
            </w:r>
          </w:p>
        </w:tc>
      </w:tr>
      <w:tr>
        <w:tc>
          <w:tcPr/>
          <w:p>
            <w:pPr>
              <w:pStyle w:val="Compact"/>
            </w:pPr>
            <w:r>
              <w:t xml:space="preserve">การถ่ายทอดความรู้ / remediation guidance</w:t>
            </w:r>
          </w:p>
        </w:tc>
        <w:tc>
          <w:tcPr/>
          <w:p>
            <w:pPr>
              <w:pStyle w:val="Compact"/>
            </w:pPr>
            <w:r>
              <w:t xml:space="preserve">5%</w:t>
            </w:r>
          </w:p>
        </w:tc>
        <w:tc>
          <w:tcPr/>
          <w:p>
            <w:pPr>
              <w:pStyle w:val="Compact"/>
            </w:pPr>
            <w:r>
              <w:t xml:space="preserve">คุณภาพคำแนะนำแก้ไข</w:t>
            </w:r>
          </w:p>
        </w:tc>
      </w:tr>
    </w:tbl>
    <w:p>
      <w:pPr>
        <w:pStyle w:val="BodyText"/>
      </w:pPr>
      <w:r>
        <w:rPr>
          <w:b/>
          <w:bCs/>
        </w:rPr>
        <w:t xml:space="preserve">เกณฑ์ตัดสิน:</w:t>
      </w:r>
      <w:r>
        <w:t xml:space="preserve"> </w:t>
      </w:r>
      <w:r>
        <w:t xml:space="preserve">คะแนนถ่วงน้ำหนักรวม ≥ 75/100 และผ่านเกณฑ์บังคับทั้งหมด ให้ CISO เสนอ 2 อันดับแรกต่อคณะกรรมการเพื่ออนุมัติ</w:t>
      </w:r>
    </w:p>
    <w:bookmarkEnd w:id="791"/>
    <w:bookmarkStart w:id="792" w:name="ขอกำหนดสญญา-qsa-key-contract-terms"/>
    <w:p>
      <w:pPr>
        <w:pStyle w:val="Heading3"/>
      </w:pPr>
      <w:r>
        <w:t xml:space="preserve">2.3 ข้อกำหนดสัญญา QSA (Key Contract Terms)</w:t>
      </w:r>
    </w:p>
    <w:p>
      <w:pPr>
        <w:pStyle w:val="Compact"/>
        <w:numPr>
          <w:ilvl w:val="0"/>
          <w:numId w:val="1303"/>
        </w:numPr>
      </w:pPr>
      <w:r>
        <w:t xml:space="preserve">Gap assessment รอบแรก → remediation window →</w:t>
      </w:r>
      <w:r>
        <w:t xml:space="preserve"> </w:t>
      </w:r>
      <w:r>
        <w:rPr>
          <w:b/>
          <w:bCs/>
        </w:rPr>
        <w:t xml:space="preserve">RoC + AoC</w:t>
      </w:r>
      <w:r>
        <w:t xml:space="preserve"> </w:t>
      </w:r>
      <w:r>
        <w:t xml:space="preserve">ประจำปี</w:t>
      </w:r>
    </w:p>
    <w:p>
      <w:pPr>
        <w:pStyle w:val="Compact"/>
        <w:numPr>
          <w:ilvl w:val="0"/>
          <w:numId w:val="1303"/>
        </w:numPr>
      </w:pPr>
      <w:r>
        <w:t xml:space="preserve">รวม</w:t>
      </w:r>
      <w:r>
        <w:t xml:space="preserve"> </w:t>
      </w:r>
      <w:r>
        <w:rPr>
          <w:b/>
          <w:bCs/>
        </w:rPr>
        <w:t xml:space="preserve">re-validation / re-test</w:t>
      </w:r>
      <w:r>
        <w:t xml:space="preserve"> </w:t>
      </w:r>
      <w:r>
        <w:t xml:space="preserve">ของข้อ finding ที่แก้แล้วอย่างน้อย 1 รอบต่อปี</w:t>
      </w:r>
    </w:p>
    <w:p>
      <w:pPr>
        <w:pStyle w:val="Compact"/>
        <w:numPr>
          <w:ilvl w:val="0"/>
          <w:numId w:val="1303"/>
        </w:numPr>
      </w:pPr>
      <w:r>
        <w:t xml:space="preserve">Independence ระหว่าง QSA (audit) และ ASV (scan) หากใช้ vendor เดียวกันต้องแยกทีม</w:t>
      </w:r>
    </w:p>
    <w:p>
      <w:pPr>
        <w:pStyle w:val="Compact"/>
        <w:numPr>
          <w:ilvl w:val="0"/>
          <w:numId w:val="1303"/>
        </w:numPr>
      </w:pPr>
      <w:r>
        <w:t xml:space="preserve">เก็บ evidence ในไทย/ตามข้อกำหนด data residency ของ ธปท./PDPA</w:t>
      </w:r>
    </w:p>
    <w:p>
      <w:r>
        <w:pict>
          <v:rect style="width:0;height:1.5pt" o:hralign="center" o:hrstd="t" o:hr="t"/>
        </w:pict>
      </w:r>
    </w:p>
    <w:bookmarkEnd w:id="792"/>
    <w:bookmarkEnd w:id="793"/>
    <w:bookmarkStart w:id="798" w:name="Xb9de0a662d4de02d8e5251035e198d89f24bb12"/>
    <w:p>
      <w:pPr>
        <w:pStyle w:val="Heading2"/>
      </w:pPr>
      <w:r>
        <w:t xml:space="preserve">3. การสแกนช่องโหว่รายไตรมาสโดย ASV (Quarterly ASV Scan)</w:t>
      </w:r>
    </w:p>
    <w:bookmarkStart w:id="794" w:name="นโยบาย-policy-statement"/>
    <w:p>
      <w:pPr>
        <w:pStyle w:val="Heading3"/>
      </w:pPr>
      <w:r>
        <w:t xml:space="preserve">3.1 นโยบาย (Policy Statement)</w:t>
      </w:r>
    </w:p>
    <w:p>
      <w:pPr>
        <w:pStyle w:val="FirstParagraph"/>
      </w:pPr>
      <w:r>
        <w:t xml:space="preserve">[บริษัท / Company] จะดำเนินการ</w:t>
      </w:r>
      <w:r>
        <w:t xml:space="preserve"> </w:t>
      </w:r>
      <w:r>
        <w:rPr>
          <w:b/>
          <w:bCs/>
        </w:rPr>
        <w:t xml:space="preserve">external vulnerability scan ทุกไตรมาส (ทุก 90 วัน)</w:t>
      </w:r>
      <w:r>
        <w:t xml:space="preserve"> </w:t>
      </w:r>
      <w:r>
        <w:t xml:space="preserve">บน IP/host ที่ public-facing ทั้งหมดใน CDE โดย</w:t>
      </w:r>
      <w:r>
        <w:t xml:space="preserve"> </w:t>
      </w:r>
      <w:r>
        <w:rPr>
          <w:b/>
          <w:bCs/>
        </w:rPr>
        <w:t xml:space="preserve">Approved Scanning Vendor (ASV)</w:t>
      </w:r>
      <w:r>
        <w:t xml:space="preserve"> </w:t>
      </w:r>
      <w:r>
        <w:t xml:space="preserve">ที่ขึ้นทะเบียนกับ PCI SSC และต้องได้ผล</w:t>
      </w:r>
      <w:r>
        <w:t xml:space="preserve"> </w:t>
      </w:r>
      <w:r>
        <w:rPr>
          <w:b/>
          <w:bCs/>
        </w:rPr>
        <w:t xml:space="preserve">“PASS”</w:t>
      </w:r>
      <w:r>
        <w:t xml:space="preserve"> </w:t>
      </w:r>
      <w:r>
        <w:t xml:space="preserve">ตามข้อกำหนด PCI-DSS v4.0</w:t>
      </w:r>
      <w:r>
        <w:t xml:space="preserve"> </w:t>
      </w:r>
      <w:r>
        <w:rPr>
          <w:b/>
          <w:bCs/>
        </w:rPr>
        <w:t xml:space="preserve">Req 11.3.2</w:t>
      </w:r>
      <w:r>
        <w:t xml:space="preserve"> </w:t>
      </w:r>
      <w:r>
        <w:t xml:space="preserve">ควบคู่กับ</w:t>
      </w:r>
      <w:r>
        <w:t xml:space="preserve"> </w:t>
      </w:r>
      <w:r>
        <w:rPr>
          <w:b/>
          <w:bCs/>
        </w:rPr>
        <w:t xml:space="preserve">internal vulnerability scan (Req 11.3.1)</w:t>
      </w:r>
      <w:r>
        <w:t xml:space="preserve"> </w:t>
      </w:r>
      <w:r>
        <w:t xml:space="preserve">ที่ดำเนินการภายในทุกไตรมาสและหลังการเปลี่ยนแปลงสำคัญ</w:t>
      </w:r>
    </w:p>
    <w:bookmarkEnd w:id="794"/>
    <w:bookmarkStart w:id="795" w:name="พารามเตอรการสแกน"/>
    <w:p>
      <w:pPr>
        <w:pStyle w:val="Heading3"/>
      </w:pPr>
      <w:r>
        <w:t xml:space="preserve">3.2 พารามิเตอร์การสแกน</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หัวข้อ</w:t>
            </w:r>
          </w:p>
        </w:tc>
        <w:tc>
          <w:tcPr/>
          <w:p>
            <w:pPr>
              <w:pStyle w:val="Compact"/>
            </w:pPr>
            <w:r>
              <w:t xml:space="preserve">ค่ากำหนด</w:t>
            </w:r>
          </w:p>
        </w:tc>
      </w:tr>
      <w:tr>
        <w:tc>
          <w:tcPr/>
          <w:p>
            <w:pPr>
              <w:pStyle w:val="Compact"/>
            </w:pPr>
            <w:r>
              <w:t xml:space="preserve">ความถี่</w:t>
            </w:r>
          </w:p>
        </w:tc>
        <w:tc>
          <w:tcPr/>
          <w:p>
            <w:pPr>
              <w:pStyle w:val="Compact"/>
            </w:pPr>
            <w:r>
              <w:t xml:space="preserve">ทุก 90 วัน (อย่างน้อย 4 ครั้ง/ปี) + หลัง significant change</w:t>
            </w:r>
          </w:p>
        </w:tc>
      </w:tr>
      <w:tr>
        <w:tc>
          <w:tcPr/>
          <w:p>
            <w:pPr>
              <w:pStyle w:val="Compact"/>
            </w:pPr>
            <w:r>
              <w:t xml:space="preserve">ขอบเขต</w:t>
            </w:r>
          </w:p>
        </w:tc>
        <w:tc>
          <w:tcPr/>
          <w:p>
            <w:pPr>
              <w:pStyle w:val="Compact"/>
            </w:pPr>
            <w:r>
              <w:t xml:space="preserve">ทุก external IP/domain ของ CDE และ connected systems</w:t>
            </w:r>
          </w:p>
        </w:tc>
      </w:tr>
      <w:tr>
        <w:tc>
          <w:tcPr/>
          <w:p>
            <w:pPr>
              <w:pStyle w:val="Compact"/>
            </w:pPr>
            <w:r>
              <w:t xml:space="preserve">เกณฑ์ผ่าน (ASV external)</w:t>
            </w:r>
          </w:p>
        </w:tc>
        <w:tc>
          <w:tcPr/>
          <w:p>
            <w:pPr>
              <w:pStyle w:val="Compact"/>
            </w:pPr>
            <w:r>
              <w:t xml:space="preserve">ไม่มีช่องโหว่ CVSS ≥ 4.0; ไม่มี automatic-fail (เช่น SQLi/XSS, cert หมดอายุ, protocol ไม่ปลอดภัย)</w:t>
            </w:r>
          </w:p>
        </w:tc>
      </w:tr>
      <w:tr>
        <w:tc>
          <w:tcPr/>
          <w:p>
            <w:pPr>
              <w:pStyle w:val="Compact"/>
            </w:pPr>
            <w:r>
              <w:t xml:space="preserve">เกณฑ์ผ่าน (internal)</w:t>
            </w:r>
          </w:p>
        </w:tc>
        <w:tc>
          <w:tcPr/>
          <w:p>
            <w:pPr>
              <w:pStyle w:val="Compact"/>
            </w:pPr>
            <w:r>
              <w:t xml:space="preserve">จัดการ</w:t>
            </w:r>
            <w:r>
              <w:t xml:space="preserve"> </w:t>
            </w:r>
            <w:r>
              <w:rPr>
                <w:b/>
                <w:bCs/>
              </w:rPr>
              <w:t xml:space="preserve">critical + high</w:t>
            </w:r>
            <w:r>
              <w:t xml:space="preserve"> </w:t>
            </w:r>
            <w:r>
              <w:t xml:space="preserve">ทั้งหมด (ตาม risk ranking Req 6.3.1) แล้ว re-scan จน clean</w:t>
            </w:r>
          </w:p>
        </w:tc>
      </w:tr>
      <w:tr>
        <w:tc>
          <w:tcPr/>
          <w:p>
            <w:pPr>
              <w:pStyle w:val="Compact"/>
            </w:pPr>
            <w:r>
              <w:t xml:space="preserve">Authenticated scan</w:t>
            </w:r>
          </w:p>
        </w:tc>
        <w:tc>
          <w:tcPr/>
          <w:p>
            <w:pPr>
              <w:pStyle w:val="Compact"/>
            </w:pPr>
            <w:r>
              <w:t xml:space="preserve">บังคับสำหรับ internal scan (Req 11.3.1.2)</w:t>
            </w:r>
          </w:p>
        </w:tc>
      </w:tr>
      <w:tr>
        <w:tc>
          <w:tcPr/>
          <w:p>
            <w:pPr>
              <w:pStyle w:val="Compact"/>
            </w:pPr>
            <w:r>
              <w:t xml:space="preserve">การจัดการ false positive</w:t>
            </w:r>
          </w:p>
        </w:tc>
        <w:tc>
          <w:tcPr/>
          <w:p>
            <w:pPr>
              <w:pStyle w:val="Compact"/>
            </w:pPr>
            <w:r>
              <w:t xml:space="preserve">ต้องมีหลักฐาน/เหตุผลจาก ASV กำกับใน dispute log</w:t>
            </w:r>
          </w:p>
        </w:tc>
      </w:tr>
    </w:tbl>
    <w:bookmarkEnd w:id="795"/>
    <w:bookmarkStart w:id="796" w:name="ปฏทนรายไตรมาส-cadence"/>
    <w:p>
      <w:pPr>
        <w:pStyle w:val="Heading3"/>
      </w:pPr>
      <w:r>
        <w:t xml:space="preserve">3.3 ปฏิทินรายไตรมาส (Cadence)</w:t>
      </w:r>
    </w:p>
    <w:tbl>
      <w:tblPr>
        <w:tblStyle w:val="Table"/>
        <w:tblW w:type="pct" w:w="5000"/>
        <w:tblLayout w:type="fixed"/>
        <w:tblLook w:firstRow="1" w:lastRow="0" w:firstColumn="0" w:lastColumn="0" w:noHBand="0" w:noVBand="0" w:val="0020"/>
      </w:tblPr>
      <w:tblGrid>
        <w:gridCol w:w="1152"/>
        <w:gridCol w:w="2015"/>
        <w:gridCol w:w="2736"/>
        <w:gridCol w:w="2015"/>
      </w:tblGrid>
      <w:tr>
        <w:trPr>
          <w:tblHeader w:val="on"/>
        </w:trPr>
        <w:tc>
          <w:tcPr/>
          <w:p>
            <w:pPr>
              <w:pStyle w:val="Compact"/>
            </w:pPr>
            <w:r>
              <w:t xml:space="preserve">ไตรมาส</w:t>
            </w:r>
          </w:p>
        </w:tc>
        <w:tc>
          <w:tcPr/>
          <w:p>
            <w:pPr>
              <w:pStyle w:val="Compact"/>
            </w:pPr>
            <w:r>
              <w:t xml:space="preserve">Internal scan</w:t>
            </w:r>
          </w:p>
        </w:tc>
        <w:tc>
          <w:tcPr/>
          <w:p>
            <w:pPr>
              <w:pStyle w:val="Compact"/>
            </w:pPr>
            <w:r>
              <w:t xml:space="preserve">ASV external scan</w:t>
            </w:r>
          </w:p>
        </w:tc>
        <w:tc>
          <w:tcPr/>
          <w:p>
            <w:pPr>
              <w:pStyle w:val="Compact"/>
            </w:pPr>
            <w:r>
              <w:t xml:space="preserve">ส่งผล/รายงาน</w:t>
            </w:r>
          </w:p>
        </w:tc>
      </w:tr>
      <w:tr>
        <w:tc>
          <w:tcPr/>
          <w:p>
            <w:pPr>
              <w:pStyle w:val="Compact"/>
            </w:pPr>
            <w:r>
              <w:t xml:space="preserve">Q1 (ม.ค.–มี.ค.)</w:t>
            </w:r>
          </w:p>
        </w:tc>
        <w:tc>
          <w:tcPr/>
          <w:p>
            <w:pPr>
              <w:pStyle w:val="Compact"/>
            </w:pPr>
            <w:r>
              <w:t xml:space="preserve">ภายใน 15 วันแรกของ Q</w:t>
            </w:r>
          </w:p>
        </w:tc>
        <w:tc>
          <w:tcPr/>
          <w:p>
            <w:pPr>
              <w:pStyle w:val="Compact"/>
            </w:pPr>
            <w:r>
              <w:t xml:space="preserve">ก่อนสิ้นไตรมาส</w:t>
            </w:r>
          </w:p>
        </w:tc>
        <w:tc>
          <w:tcPr/>
          <w:p>
            <w:pPr>
              <w:pStyle w:val="Compact"/>
            </w:pPr>
            <w:r>
              <w:t xml:space="preserve">ภายใน 10 วันหลัง PASS</w:t>
            </w:r>
          </w:p>
        </w:tc>
      </w:tr>
      <w:tr>
        <w:tc>
          <w:tcPr/>
          <w:p>
            <w:pPr>
              <w:pStyle w:val="Compact"/>
            </w:pPr>
            <w:r>
              <w:t xml:space="preserve">Q2 (เม.ย.–มิ.ย.)</w:t>
            </w:r>
          </w:p>
        </w:tc>
        <w:tc>
          <w:tcPr/>
          <w:p>
            <w:pPr>
              <w:pStyle w:val="Compact"/>
            </w:pPr>
            <w:r>
              <w:t xml:space="preserve">เช่นเดียวกัน</w:t>
            </w:r>
          </w:p>
        </w:tc>
        <w:tc>
          <w:tcPr/>
          <w:p>
            <w:pPr>
              <w:pStyle w:val="Compact"/>
            </w:pPr>
            <w:r>
              <w:t xml:space="preserve">เช่นเดียวกัน</w:t>
            </w:r>
          </w:p>
        </w:tc>
        <w:tc>
          <w:tcPr/>
          <w:p>
            <w:pPr>
              <w:pStyle w:val="Compact"/>
            </w:pPr>
            <w:r>
              <w:t xml:space="preserve">เช่นเดียวกัน</w:t>
            </w:r>
          </w:p>
        </w:tc>
      </w:tr>
      <w:tr>
        <w:tc>
          <w:tcPr/>
          <w:p>
            <w:pPr>
              <w:pStyle w:val="Compact"/>
            </w:pPr>
            <w:r>
              <w:t xml:space="preserve">Q3 (ก.ค.–ก.ย.)</w:t>
            </w:r>
          </w:p>
        </w:tc>
        <w:tc>
          <w:tcPr/>
          <w:p>
            <w:pPr>
              <w:pStyle w:val="Compact"/>
            </w:pPr>
            <w:r>
              <w:t xml:space="preserve">เช่นเดียวกัน</w:t>
            </w:r>
          </w:p>
        </w:tc>
        <w:tc>
          <w:tcPr/>
          <w:p>
            <w:pPr>
              <w:pStyle w:val="Compact"/>
            </w:pPr>
            <w:r>
              <w:t xml:space="preserve">เช่นเดียวกัน</w:t>
            </w:r>
          </w:p>
        </w:tc>
        <w:tc>
          <w:tcPr/>
          <w:p>
            <w:pPr>
              <w:pStyle w:val="Compact"/>
            </w:pPr>
            <w:r>
              <w:t xml:space="preserve">เช่นเดียวกัน</w:t>
            </w:r>
          </w:p>
        </w:tc>
      </w:tr>
      <w:tr>
        <w:tc>
          <w:tcPr/>
          <w:p>
            <w:pPr>
              <w:pStyle w:val="Compact"/>
            </w:pPr>
            <w:r>
              <w:t xml:space="preserve">Q4 (ต.ค.–ธ.ค.)</w:t>
            </w:r>
          </w:p>
        </w:tc>
        <w:tc>
          <w:tcPr/>
          <w:p>
            <w:pPr>
              <w:pStyle w:val="Compact"/>
            </w:pPr>
            <w:r>
              <w:t xml:space="preserve">เช่นเดียวกัน</w:t>
            </w:r>
          </w:p>
        </w:tc>
        <w:tc>
          <w:tcPr/>
          <w:p>
            <w:pPr>
              <w:pStyle w:val="Compact"/>
            </w:pPr>
            <w:r>
              <w:t xml:space="preserve">เช่นเดียวกัน</w:t>
            </w:r>
          </w:p>
        </w:tc>
        <w:tc>
          <w:tcPr/>
          <w:p>
            <w:pPr>
              <w:pStyle w:val="Compact"/>
            </w:pPr>
            <w:r>
              <w:t xml:space="preserve">รวบยอดเข้า RoC ประจำปี</w:t>
            </w:r>
          </w:p>
        </w:tc>
      </w:tr>
    </w:tbl>
    <w:p>
      <w:pPr>
        <w:pStyle w:val="BlockText"/>
      </w:pPr>
      <w:r>
        <w:rPr>
          <w:b/>
          <w:bCs/>
        </w:rPr>
        <w:t xml:space="preserve">หลัง significant change</w:t>
      </w:r>
      <w:r>
        <w:t xml:space="preserve"> </w:t>
      </w:r>
      <w:r>
        <w:t xml:space="preserve">(เปลี่ยน network, เพิ่ม system component, อัปเกรด acquirer adapter, เปลี่ยน firewall rule) ต้องสแกนใหม่แม้ยังไม่ถึงรอบไตรมาส</w:t>
      </w:r>
    </w:p>
    <w:bookmarkEnd w:id="796"/>
    <w:bookmarkStart w:id="797" w:name="ขนตอนปฏบต-asv-scan-workflow"/>
    <w:p>
      <w:pPr>
        <w:pStyle w:val="Heading3"/>
      </w:pPr>
      <w:r>
        <w:t xml:space="preserve">3.4 ขั้นตอนปฏิบัติ (ASV Scan Workflow)</w:t>
      </w:r>
    </w:p>
    <w:p>
      <w:pPr>
        <w:pStyle w:val="Compact"/>
        <w:numPr>
          <w:ilvl w:val="0"/>
          <w:numId w:val="1304"/>
        </w:numPr>
      </w:pPr>
      <w:r>
        <w:t xml:space="preserve">DevSecOps ยืนยัน scope/IP inventory ล่าสุด ส่งให้ ASV</w:t>
      </w:r>
    </w:p>
    <w:p>
      <w:pPr>
        <w:pStyle w:val="Compact"/>
        <w:numPr>
          <w:ilvl w:val="0"/>
          <w:numId w:val="1304"/>
        </w:numPr>
      </w:pPr>
      <w:r>
        <w:t xml:space="preserve">ASV รันสแกน (external) → ออกรายงานเบื้องต้น</w:t>
      </w:r>
    </w:p>
    <w:p>
      <w:pPr>
        <w:pStyle w:val="Compact"/>
        <w:numPr>
          <w:ilvl w:val="0"/>
          <w:numId w:val="1304"/>
        </w:numPr>
      </w:pPr>
      <w:r>
        <w:t xml:space="preserve">หากพบช่องโหว่ที่ทำให้</w:t>
      </w:r>
      <w:r>
        <w:t xml:space="preserve"> </w:t>
      </w:r>
      <w:r>
        <w:rPr>
          <w:b/>
          <w:bCs/>
        </w:rPr>
        <w:t xml:space="preserve">FAIL</w:t>
      </w:r>
      <w:r>
        <w:t xml:space="preserve"> </w:t>
      </w:r>
      <w:r>
        <w:t xml:space="preserve">→ บันทึกเข้า remediation tracker (ข้อ 5) → แก้ไข →</w:t>
      </w:r>
      <w:r>
        <w:t xml:space="preserve"> </w:t>
      </w:r>
      <w:r>
        <w:rPr>
          <w:b/>
          <w:bCs/>
        </w:rPr>
        <w:t xml:space="preserve">re-scan</w:t>
      </w:r>
      <w:r>
        <w:t xml:space="preserve"> </w:t>
      </w:r>
      <w:r>
        <w:t xml:space="preserve">จนได้ PASS</w:t>
      </w:r>
    </w:p>
    <w:p>
      <w:pPr>
        <w:pStyle w:val="Compact"/>
        <w:numPr>
          <w:ilvl w:val="0"/>
          <w:numId w:val="1304"/>
        </w:numPr>
      </w:pPr>
      <w:r>
        <w:t xml:space="preserve">เก็บ</w:t>
      </w:r>
      <w:r>
        <w:t xml:space="preserve"> </w:t>
      </w:r>
      <w:r>
        <w:rPr>
          <w:b/>
          <w:bCs/>
        </w:rPr>
        <w:t xml:space="preserve">ASV Scan Report + Attestation of Scan Compliance (AoSC)</w:t>
      </w:r>
      <w:r>
        <w:t xml:space="preserve"> </w:t>
      </w:r>
      <w:r>
        <w:t xml:space="preserve">ทั้ง 4 ไตรมาสเป็น evidence สำหรับ RoC และรายงาน sponsor/scheme</w:t>
      </w:r>
    </w:p>
    <w:p>
      <w:pPr>
        <w:pStyle w:val="Compact"/>
        <w:numPr>
          <w:ilvl w:val="0"/>
          <w:numId w:val="1304"/>
        </w:numPr>
      </w:pPr>
      <w:r>
        <w:t xml:space="preserve">Compliance Officer สรุปสถานะเข้า quarterly compliance report ต่อ ธปท./sponsor</w:t>
      </w:r>
    </w:p>
    <w:p>
      <w:r>
        <w:pict>
          <v:rect style="width:0;height:1.5pt" o:hralign="center" o:hrstd="t" o:hr="t"/>
        </w:pict>
      </w:r>
    </w:p>
    <w:bookmarkEnd w:id="797"/>
    <w:bookmarkEnd w:id="798"/>
    <w:bookmarkStart w:id="803" w:name="Xb24b59996b024d21e8ab970fd9eb7bb6b7fde71"/>
    <w:p>
      <w:pPr>
        <w:pStyle w:val="Heading2"/>
      </w:pPr>
      <w:r>
        <w:t xml:space="preserve">4. การทดสอบเจาะระบบประจำปี (Annual Penetration Test)</w:t>
      </w:r>
    </w:p>
    <w:bookmarkStart w:id="799" w:name="นโยบาย"/>
    <w:p>
      <w:pPr>
        <w:pStyle w:val="Heading3"/>
      </w:pPr>
      <w:r>
        <w:t xml:space="preserve">4.1 นโยบาย</w:t>
      </w:r>
    </w:p>
    <w:p>
      <w:pPr>
        <w:pStyle w:val="FirstParagraph"/>
      </w:pPr>
      <w:r>
        <w:t xml:space="preserve">[บริษัท / Company] จะดำเนินการ</w:t>
      </w:r>
      <w:r>
        <w:t xml:space="preserve"> </w:t>
      </w:r>
      <w:r>
        <w:rPr>
          <w:b/>
          <w:bCs/>
        </w:rPr>
        <w:t xml:space="preserve">penetration test อย่างน้อยปีละครั้ง และหลังการเปลี่ยนแปลงโครงสร้างพื้นฐาน/แอปพลิเคชันที่สำคัญ</w:t>
      </w:r>
      <w:r>
        <w:t xml:space="preserve"> </w:t>
      </w:r>
      <w:r>
        <w:t xml:space="preserve">ครอบคลุมทั้ง</w:t>
      </w:r>
      <w:r>
        <w:t xml:space="preserve"> </w:t>
      </w:r>
      <w:r>
        <w:rPr>
          <w:b/>
          <w:bCs/>
        </w:rPr>
        <w:t xml:space="preserve">external และ internal</w:t>
      </w:r>
      <w:r>
        <w:t xml:space="preserve">,</w:t>
      </w:r>
      <w:r>
        <w:t xml:space="preserve"> </w:t>
      </w:r>
      <w:r>
        <w:rPr>
          <w:b/>
          <w:bCs/>
        </w:rPr>
        <w:t xml:space="preserve">network-layer และ application-layer</w:t>
      </w:r>
      <w:r>
        <w:t xml:space="preserve"> </w:t>
      </w:r>
      <w:r>
        <w:t xml:space="preserve">ตาม PCI-DSS v4.0</w:t>
      </w:r>
      <w:r>
        <w:t xml:space="preserve"> </w:t>
      </w:r>
      <w:r>
        <w:rPr>
          <w:b/>
          <w:bCs/>
        </w:rPr>
        <w:t xml:space="preserve">Req 11.4</w:t>
      </w:r>
      <w:r>
        <w:t xml:space="preserve"> </w:t>
      </w:r>
      <w:r>
        <w:t xml:space="preserve">โดยอิงระเบียบวิธี (methodology) ที่ยอมรับในอุตสาหกรรม เช่น</w:t>
      </w:r>
      <w:r>
        <w:t xml:space="preserve"> </w:t>
      </w:r>
      <w:r>
        <w:rPr>
          <w:b/>
          <w:bCs/>
        </w:rPr>
        <w:t xml:space="preserve">PTES / OWASP Testing Guide / NIST SP 800-115</w:t>
      </w:r>
      <w:r>
        <w:t xml:space="preserve"> </w:t>
      </w:r>
      <w:r>
        <w:t xml:space="preserve">สำหรับ</w:t>
      </w:r>
      <w:r>
        <w:t xml:space="preserve"> </w:t>
      </w:r>
      <w:r>
        <w:rPr>
          <w:b/>
          <w:bCs/>
        </w:rPr>
        <w:t xml:space="preserve">service provider</w:t>
      </w:r>
      <w:r>
        <w:t xml:space="preserve"> </w:t>
      </w:r>
      <w:r>
        <w:t xml:space="preserve">ต้องทำ</w:t>
      </w:r>
      <w:r>
        <w:t xml:space="preserve"> </w:t>
      </w:r>
      <w:r>
        <w:rPr>
          <w:b/>
          <w:bCs/>
        </w:rPr>
        <w:t xml:space="preserve">segmentation test ทุก 6 เดือน</w:t>
      </w:r>
      <w:r>
        <w:t xml:space="preserve"> </w:t>
      </w:r>
      <w:r>
        <w:t xml:space="preserve">(Req 11.4.5)</w:t>
      </w:r>
    </w:p>
    <w:bookmarkEnd w:id="799"/>
    <w:bookmarkStart w:id="800" w:name="ขอบเขตและประเภท"/>
    <w:p>
      <w:pPr>
        <w:pStyle w:val="Heading3"/>
      </w:pPr>
      <w:r>
        <w:t xml:space="preserve">4.2 ขอบเขตและประเภท</w:t>
      </w:r>
    </w:p>
    <w:tbl>
      <w:tblPr>
        <w:tblStyle w:val="Table"/>
        <w:tblW w:type="pct" w:w="5000"/>
        <w:tblLayout w:type="fixed"/>
        <w:tblLook w:firstRow="1" w:lastRow="0" w:firstColumn="0" w:lastColumn="0" w:noHBand="0" w:noVBand="0" w:val="0020"/>
      </w:tblPr>
      <w:tblGrid>
        <w:gridCol w:w="1386"/>
        <w:gridCol w:w="1782"/>
        <w:gridCol w:w="1584"/>
        <w:gridCol w:w="3168"/>
      </w:tblGrid>
      <w:tr>
        <w:trPr>
          <w:tblHeader w:val="on"/>
        </w:trPr>
        <w:tc>
          <w:tcPr/>
          <w:p>
            <w:pPr>
              <w:pStyle w:val="Compact"/>
            </w:pPr>
            <w:r>
              <w:t xml:space="preserve">ประเภท</w:t>
            </w:r>
          </w:p>
        </w:tc>
        <w:tc>
          <w:tcPr/>
          <w:p>
            <w:pPr>
              <w:pStyle w:val="Compact"/>
            </w:pPr>
            <w:r>
              <w:t xml:space="preserve">ความถี่</w:t>
            </w:r>
          </w:p>
        </w:tc>
        <w:tc>
          <w:tcPr/>
          <w:p>
            <w:pPr>
              <w:pStyle w:val="Compact"/>
            </w:pPr>
            <w:r>
              <w:t xml:space="preserve">ขอบเขต</w:t>
            </w:r>
          </w:p>
        </w:tc>
        <w:tc>
          <w:tcPr/>
          <w:p>
            <w:pPr>
              <w:pStyle w:val="Compact"/>
            </w:pPr>
            <w:r>
              <w:t xml:space="preserve">มาตรฐานอ้างอิง</w:t>
            </w:r>
          </w:p>
        </w:tc>
      </w:tr>
      <w:tr>
        <w:tc>
          <w:tcPr/>
          <w:p>
            <w:pPr>
              <w:pStyle w:val="Compact"/>
            </w:pPr>
            <w:r>
              <w:t xml:space="preserve">External network pentest</w:t>
            </w:r>
          </w:p>
        </w:tc>
        <w:tc>
          <w:tcPr/>
          <w:p>
            <w:pPr>
              <w:pStyle w:val="Compact"/>
            </w:pPr>
            <w:r>
              <w:t xml:space="preserve">ปีละครั้ง + หลัง significant change</w:t>
            </w:r>
          </w:p>
        </w:tc>
        <w:tc>
          <w:tcPr/>
          <w:p>
            <w:pPr>
              <w:pStyle w:val="Compact"/>
            </w:pPr>
            <w:r>
              <w:t xml:space="preserve">Public-facing CDE perimeter</w:t>
            </w:r>
          </w:p>
        </w:tc>
        <w:tc>
          <w:tcPr/>
          <w:p>
            <w:pPr>
              <w:pStyle w:val="Compact"/>
            </w:pPr>
            <w:r>
              <w:t xml:space="preserve">Req 11.4.3</w:t>
            </w:r>
          </w:p>
        </w:tc>
      </w:tr>
      <w:tr>
        <w:tc>
          <w:tcPr/>
          <w:p>
            <w:pPr>
              <w:pStyle w:val="Compact"/>
            </w:pPr>
            <w:r>
              <w:t xml:space="preserve">Internal network pentest</w:t>
            </w:r>
          </w:p>
        </w:tc>
        <w:tc>
          <w:tcPr/>
          <w:p>
            <w:pPr>
              <w:pStyle w:val="Compact"/>
            </w:pPr>
            <w:r>
              <w:t xml:space="preserve">ปีละครั้ง + หลัง significant change</w:t>
            </w:r>
          </w:p>
        </w:tc>
        <w:tc>
          <w:tcPr/>
          <w:p>
            <w:pPr>
              <w:pStyle w:val="Compact"/>
            </w:pPr>
            <w:r>
              <w:t xml:space="preserve">ภายใน CDE + connected systems</w:t>
            </w:r>
          </w:p>
        </w:tc>
        <w:tc>
          <w:tcPr/>
          <w:p>
            <w:pPr>
              <w:pStyle w:val="Compact"/>
            </w:pPr>
            <w:r>
              <w:t xml:space="preserve">Req 11.4.2</w:t>
            </w:r>
          </w:p>
        </w:tc>
      </w:tr>
      <w:tr>
        <w:tc>
          <w:tcPr/>
          <w:p>
            <w:pPr>
              <w:pStyle w:val="Compact"/>
            </w:pPr>
            <w:r>
              <w:t xml:space="preserve">Application-layer pentest</w:t>
            </w:r>
          </w:p>
        </w:tc>
        <w:tc>
          <w:tcPr/>
          <w:p>
            <w:pPr>
              <w:pStyle w:val="Compact"/>
            </w:pPr>
            <w:r>
              <w:t xml:space="preserve">ปีละครั้ง + major release</w:t>
            </w:r>
          </w:p>
        </w:tc>
        <w:tc>
          <w:tcPr/>
          <w:p>
            <w:pPr>
              <w:pStyle w:val="Compact"/>
            </w:pPr>
            <w:r>
              <w:t xml:space="preserve">API</w:t>
            </w:r>
            <w:r>
              <w:t xml:space="preserve"> </w:t>
            </w:r>
            <w:r>
              <w:rPr>
                <w:rStyle w:val="VerbatimChar"/>
              </w:rPr>
              <w:t xml:space="preserve">/v1/payments</w:t>
            </w:r>
            <w:r>
              <w:t xml:space="preserve">, auth, tokenization, webhook, 3DS flow</w:t>
            </w:r>
          </w:p>
        </w:tc>
        <w:tc>
          <w:tcPr/>
          <w:p>
            <w:pPr>
              <w:pStyle w:val="Compact"/>
            </w:pPr>
            <w:r>
              <w:t xml:space="preserve">Req 11.4.3 / OWASP Top 10 + API Top 10</w:t>
            </w:r>
          </w:p>
        </w:tc>
      </w:tr>
      <w:tr>
        <w:tc>
          <w:tcPr/>
          <w:p>
            <w:pPr>
              <w:pStyle w:val="Compact"/>
            </w:pPr>
            <w:r>
              <w:t xml:space="preserve">Segmentation test</w:t>
            </w:r>
          </w:p>
        </w:tc>
        <w:tc>
          <w:tcPr/>
          <w:p>
            <w:pPr>
              <w:pStyle w:val="Compact"/>
            </w:pPr>
            <w:r>
              <w:rPr>
                <w:b/>
                <w:bCs/>
              </w:rPr>
              <w:t xml:space="preserve">ทุก 6 เดือน</w:t>
            </w:r>
            <w:r>
              <w:t xml:space="preserve"> </w:t>
            </w:r>
            <w:r>
              <w:t xml:space="preserve">(service provider)</w:t>
            </w:r>
          </w:p>
        </w:tc>
        <w:tc>
          <w:tcPr/>
          <w:p>
            <w:pPr>
              <w:pStyle w:val="Compact"/>
            </w:pPr>
            <w:r>
              <w:t xml:space="preserve">ยืนยัน isolation ของ CDE จาก out-of-scope</w:t>
            </w:r>
          </w:p>
        </w:tc>
        <w:tc>
          <w:tcPr/>
          <w:p>
            <w:pPr>
              <w:pStyle w:val="Compact"/>
            </w:pPr>
            <w:r>
              <w:t xml:space="preserve">Req 11.4.5</w:t>
            </w:r>
          </w:p>
        </w:tc>
      </w:tr>
      <w:tr>
        <w:tc>
          <w:tcPr/>
          <w:p>
            <w:pPr>
              <w:pStyle w:val="Compact"/>
            </w:pPr>
            <w:r>
              <w:t xml:space="preserve">3DS / EMV 3DS integration</w:t>
            </w:r>
          </w:p>
        </w:tc>
        <w:tc>
          <w:tcPr/>
          <w:p>
            <w:pPr>
              <w:pStyle w:val="Compact"/>
            </w:pPr>
            <w:r>
              <w:t xml:space="preserve">ปีละครั้ง</w:t>
            </w:r>
          </w:p>
        </w:tc>
        <w:tc>
          <w:tcPr/>
          <w:p>
            <w:pPr>
              <w:pStyle w:val="Compact"/>
            </w:pPr>
            <w:r>
              <w:t xml:space="preserve">ตรวจ flow ACS/DS ตาม EMV 3DS 2.x</w:t>
            </w:r>
          </w:p>
        </w:tc>
        <w:tc>
          <w:tcPr/>
          <w:p>
            <w:pPr>
              <w:pStyle w:val="Compact"/>
            </w:pPr>
            <w:r>
              <w:t xml:space="preserve">ตามข้อกำหนด scheme</w:t>
            </w:r>
          </w:p>
        </w:tc>
      </w:tr>
    </w:tbl>
    <w:bookmarkEnd w:id="800"/>
    <w:bookmarkStart w:id="801" w:name="ขอกำหนด-tester"/>
    <w:p>
      <w:pPr>
        <w:pStyle w:val="Heading3"/>
      </w:pPr>
      <w:r>
        <w:t xml:space="preserve">4.3 ข้อกำหนด Tester</w:t>
      </w:r>
    </w:p>
    <w:p>
      <w:pPr>
        <w:pStyle w:val="Compact"/>
        <w:numPr>
          <w:ilvl w:val="0"/>
          <w:numId w:val="1305"/>
        </w:numPr>
      </w:pPr>
      <w:r>
        <w:t xml:space="preserve">Tester</w:t>
      </w:r>
      <w:r>
        <w:t xml:space="preserve"> </w:t>
      </w:r>
      <w:r>
        <w:rPr>
          <w:b/>
          <w:bCs/>
        </w:rPr>
        <w:t xml:space="preserve">อิสระจากทีมพัฒนาระบบ</w:t>
      </w:r>
      <w:r>
        <w:t xml:space="preserve"> </w:t>
      </w:r>
      <w:r>
        <w:t xml:space="preserve">(organizationally independent — Req 11.4.1)</w:t>
      </w:r>
    </w:p>
    <w:p>
      <w:pPr>
        <w:pStyle w:val="Compact"/>
        <w:numPr>
          <w:ilvl w:val="0"/>
          <w:numId w:val="1305"/>
        </w:numPr>
      </w:pPr>
      <w:r>
        <w:t xml:space="preserve">มี certification เช่น</w:t>
      </w:r>
      <w:r>
        <w:t xml:space="preserve"> </w:t>
      </w:r>
      <w:r>
        <w:rPr>
          <w:b/>
          <w:bCs/>
        </w:rPr>
        <w:t xml:space="preserve">OSCP / OSCE / GPEN / CREST</w:t>
      </w:r>
    </w:p>
    <w:p>
      <w:pPr>
        <w:pStyle w:val="Compact"/>
        <w:numPr>
          <w:ilvl w:val="0"/>
          <w:numId w:val="1305"/>
        </w:numPr>
      </w:pPr>
      <w:r>
        <w:t xml:space="preserve">ทดสอบทั้ง</w:t>
      </w:r>
      <w:r>
        <w:t xml:space="preserve"> </w:t>
      </w:r>
      <w:r>
        <w:rPr>
          <w:b/>
          <w:bCs/>
        </w:rPr>
        <w:t xml:space="preserve">authenticated</w:t>
      </w:r>
      <w:r>
        <w:t xml:space="preserve"> </w:t>
      </w:r>
      <w:r>
        <w:t xml:space="preserve">และ</w:t>
      </w:r>
      <w:r>
        <w:t xml:space="preserve"> </w:t>
      </w:r>
      <w:r>
        <w:rPr>
          <w:b/>
          <w:bCs/>
        </w:rPr>
        <w:t xml:space="preserve">unauthenticated</w:t>
      </w:r>
    </w:p>
    <w:p>
      <w:pPr>
        <w:pStyle w:val="Compact"/>
        <w:numPr>
          <w:ilvl w:val="0"/>
          <w:numId w:val="1305"/>
        </w:numPr>
      </w:pPr>
      <w:r>
        <w:t xml:space="preserve">ครอบคลุม attack ที่พบใน 12 เดือนล่าสุด (threat-informed)</w:t>
      </w:r>
    </w:p>
    <w:bookmarkEnd w:id="801"/>
    <w:bookmarkStart w:id="802" w:name="การจดการชองโหวทพบ-post-test"/>
    <w:p>
      <w:pPr>
        <w:pStyle w:val="Heading3"/>
      </w:pPr>
      <w:r>
        <w:t xml:space="preserve">4.4 การจัดการช่องโหว่ที่พบ (Post-test)</w:t>
      </w:r>
    </w:p>
    <w:p>
      <w:pPr>
        <w:pStyle w:val="FirstParagraph"/>
      </w:pPr>
      <w:r>
        <w:t xml:space="preserve">ช่องโหว่ที่พบทั้งหมดต้อง</w:t>
      </w:r>
      <w:r>
        <w:t xml:space="preserve"> </w:t>
      </w:r>
      <w:r>
        <w:rPr>
          <w:b/>
          <w:bCs/>
        </w:rPr>
        <w:t xml:space="preserve">corrected ตาม risk ranking</w:t>
      </w:r>
      <w:r>
        <w:t xml:space="preserve"> </w:t>
      </w:r>
      <w:r>
        <w:t xml:space="preserve">และ</w:t>
      </w:r>
      <w:r>
        <w:t xml:space="preserve"> </w:t>
      </w:r>
      <w:r>
        <w:rPr>
          <w:b/>
          <w:bCs/>
        </w:rPr>
        <w:t xml:space="preserve">ทำ re-test เพื่อยืนยันการแก้ไข</w:t>
      </w:r>
      <w:r>
        <w:t xml:space="preserve"> </w:t>
      </w:r>
      <w:r>
        <w:t xml:space="preserve">(Req 11.4.4) ก่อนปิด finding — โดยเฉพาะ critical/high ต้องแก้และ re-test ก่อนออก RoC</w:t>
      </w:r>
    </w:p>
    <w:p>
      <w:r>
        <w:pict>
          <v:rect style="width:0;height:1.5pt" o:hralign="center" o:hrstd="t" o:hr="t"/>
        </w:pict>
      </w:r>
    </w:p>
    <w:bookmarkEnd w:id="802"/>
    <w:bookmarkEnd w:id="803"/>
    <w:bookmarkStart w:id="807" w:name="การตดตามการแกไข-remediation-tracking"/>
    <w:p>
      <w:pPr>
        <w:pStyle w:val="Heading2"/>
      </w:pPr>
      <w:r>
        <w:t xml:space="preserve">5. การติดตามการแก้ไข (Remediation Tracking)</w:t>
      </w:r>
    </w:p>
    <w:bookmarkStart w:id="804" w:name="การจด-severity-และ-sla"/>
    <w:p>
      <w:pPr>
        <w:pStyle w:val="Heading3"/>
      </w:pPr>
      <w:r>
        <w:t xml:space="preserve">5.1 การจัด Severity และ SLA</w:t>
      </w:r>
    </w:p>
    <w:p>
      <w:pPr>
        <w:pStyle w:val="FirstParagraph"/>
      </w:pPr>
      <w:r>
        <w:t xml:space="preserve">จัดลำดับตาม</w:t>
      </w:r>
      <w:r>
        <w:t xml:space="preserve"> </w:t>
      </w:r>
      <w:r>
        <w:rPr>
          <w:b/>
          <w:bCs/>
        </w:rPr>
        <w:t xml:space="preserve">CVSS v3.1/v4.0</w:t>
      </w:r>
      <w:r>
        <w:t xml:space="preserve"> </w:t>
      </w:r>
      <w:r>
        <w:t xml:space="preserve">ประกอบกับ</w:t>
      </w:r>
      <w:r>
        <w:t xml:space="preserve"> </w:t>
      </w:r>
      <w:r>
        <w:rPr>
          <w:b/>
          <w:bCs/>
        </w:rPr>
        <w:t xml:space="preserve">risk ranking ของ [บริษัท / Company]</w:t>
      </w:r>
      <w:r>
        <w:t xml:space="preserve"> </w:t>
      </w:r>
      <w:r>
        <w:t xml:space="preserve">(PCI Req 6.3.1) และผลกระทบต่อ CDE/เงิน/ข้อมูลบัตร</w:t>
      </w:r>
    </w:p>
    <w:tbl>
      <w:tblPr>
        <w:tblStyle w:val="Table"/>
        <w:tblW w:type="pct" w:w="5000"/>
        <w:tblLayout w:type="fixed"/>
        <w:tblLook w:firstRow="1" w:lastRow="0" w:firstColumn="0" w:lastColumn="0" w:noHBand="0" w:noVBand="0" w:val="0020"/>
      </w:tblPr>
      <w:tblGrid>
        <w:gridCol w:w="1466"/>
        <w:gridCol w:w="880"/>
        <w:gridCol w:w="3520"/>
        <w:gridCol w:w="2053"/>
      </w:tblGrid>
      <w:tr>
        <w:trPr>
          <w:tblHeader w:val="on"/>
        </w:trPr>
        <w:tc>
          <w:tcPr/>
          <w:p>
            <w:pPr>
              <w:pStyle w:val="Compact"/>
            </w:pPr>
            <w:r>
              <w:t xml:space="preserve">Severity</w:t>
            </w:r>
          </w:p>
        </w:tc>
        <w:tc>
          <w:tcPr/>
          <w:p>
            <w:pPr>
              <w:pStyle w:val="Compact"/>
            </w:pPr>
            <w:r>
              <w:t xml:space="preserve">CVSS</w:t>
            </w:r>
          </w:p>
        </w:tc>
        <w:tc>
          <w:tcPr/>
          <w:p>
            <w:pPr>
              <w:pStyle w:val="Compact"/>
            </w:pPr>
            <w:r>
              <w:t xml:space="preserve">SLA แก้ไข (เริ่ม/เสร็จ)</w:t>
            </w:r>
          </w:p>
        </w:tc>
        <w:tc>
          <w:tcPr/>
          <w:p>
            <w:pPr>
              <w:pStyle w:val="Compact"/>
            </w:pPr>
            <w:r>
              <w:t xml:space="preserve">ผู้อนุมัติปิด</w:t>
            </w:r>
          </w:p>
        </w:tc>
      </w:tr>
      <w:tr>
        <w:tc>
          <w:tcPr/>
          <w:p>
            <w:pPr>
              <w:pStyle w:val="Compact"/>
            </w:pPr>
            <w:r>
              <w:rPr>
                <w:b/>
                <w:bCs/>
              </w:rPr>
              <w:t xml:space="preserve">Critical</w:t>
            </w:r>
          </w:p>
        </w:tc>
        <w:tc>
          <w:tcPr/>
          <w:p>
            <w:pPr>
              <w:pStyle w:val="Compact"/>
            </w:pPr>
            <w:r>
              <w:t xml:space="preserve">9.0–10.0</w:t>
            </w:r>
          </w:p>
        </w:tc>
        <w:tc>
          <w:tcPr/>
          <w:p>
            <w:pPr>
              <w:pStyle w:val="Compact"/>
            </w:pPr>
            <w:r>
              <w:t xml:space="preserve">เริ่มทันที (≤ 24 ชม.) / เสร็จภายใน</w:t>
            </w:r>
            <w:r>
              <w:t xml:space="preserve"> </w:t>
            </w:r>
            <w:r>
              <w:rPr>
                <w:b/>
                <w:bCs/>
              </w:rPr>
              <w:t xml:space="preserve">7 วัน</w:t>
            </w:r>
          </w:p>
        </w:tc>
        <w:tc>
          <w:tcPr/>
          <w:p>
            <w:pPr>
              <w:pStyle w:val="Compact"/>
            </w:pPr>
            <w:r>
              <w:t xml:space="preserve">CISO</w:t>
            </w:r>
          </w:p>
        </w:tc>
      </w:tr>
      <w:tr>
        <w:tc>
          <w:tcPr/>
          <w:p>
            <w:pPr>
              <w:pStyle w:val="Compact"/>
            </w:pPr>
            <w:r>
              <w:rPr>
                <w:b/>
                <w:bCs/>
              </w:rPr>
              <w:t xml:space="preserve">High</w:t>
            </w:r>
          </w:p>
        </w:tc>
        <w:tc>
          <w:tcPr/>
          <w:p>
            <w:pPr>
              <w:pStyle w:val="Compact"/>
            </w:pPr>
            <w:r>
              <w:t xml:space="preserve">7.0–8.9</w:t>
            </w:r>
          </w:p>
        </w:tc>
        <w:tc>
          <w:tcPr/>
          <w:p>
            <w:pPr>
              <w:pStyle w:val="Compact"/>
            </w:pPr>
            <w:r>
              <w:t xml:space="preserve">เริ่ม ≤ 3 วัน / เสร็จภายใน</w:t>
            </w:r>
            <w:r>
              <w:t xml:space="preserve"> </w:t>
            </w:r>
            <w:r>
              <w:rPr>
                <w:b/>
                <w:bCs/>
              </w:rPr>
              <w:t xml:space="preserve">30 วัน</w:t>
            </w:r>
          </w:p>
        </w:tc>
        <w:tc>
          <w:tcPr/>
          <w:p>
            <w:pPr>
              <w:pStyle w:val="Compact"/>
            </w:pPr>
            <w:r>
              <w:t xml:space="preserve">Security Lead</w:t>
            </w:r>
          </w:p>
        </w:tc>
      </w:tr>
      <w:tr>
        <w:tc>
          <w:tcPr/>
          <w:p>
            <w:pPr>
              <w:pStyle w:val="Compact"/>
            </w:pPr>
            <w:r>
              <w:rPr>
                <w:b/>
                <w:bCs/>
              </w:rPr>
              <w:t xml:space="preserve">Medium</w:t>
            </w:r>
          </w:p>
        </w:tc>
        <w:tc>
          <w:tcPr/>
          <w:p>
            <w:pPr>
              <w:pStyle w:val="Compact"/>
            </w:pPr>
            <w:r>
              <w:t xml:space="preserve">4.0–6.9</w:t>
            </w:r>
          </w:p>
        </w:tc>
        <w:tc>
          <w:tcPr/>
          <w:p>
            <w:pPr>
              <w:pStyle w:val="Compact"/>
            </w:pPr>
            <w:r>
              <w:t xml:space="preserve">เสร็จภายใน</w:t>
            </w:r>
            <w:r>
              <w:t xml:space="preserve"> </w:t>
            </w:r>
            <w:r>
              <w:rPr>
                <w:b/>
                <w:bCs/>
              </w:rPr>
              <w:t xml:space="preserve">90 วัน</w:t>
            </w:r>
          </w:p>
        </w:tc>
        <w:tc>
          <w:tcPr/>
          <w:p>
            <w:pPr>
              <w:pStyle w:val="Compact"/>
            </w:pPr>
            <w:r>
              <w:t xml:space="preserve">Security Lead</w:t>
            </w:r>
          </w:p>
        </w:tc>
      </w:tr>
      <w:tr>
        <w:tc>
          <w:tcPr/>
          <w:p>
            <w:pPr>
              <w:pStyle w:val="Compact"/>
            </w:pPr>
            <w:r>
              <w:rPr>
                <w:b/>
                <w:bCs/>
              </w:rPr>
              <w:t xml:space="preserve">Low</w:t>
            </w:r>
          </w:p>
        </w:tc>
        <w:tc>
          <w:tcPr/>
          <w:p>
            <w:pPr>
              <w:pStyle w:val="Compact"/>
            </w:pPr>
            <w:r>
              <w:t xml:space="preserve">0.1–3.9</w:t>
            </w:r>
          </w:p>
        </w:tc>
        <w:tc>
          <w:tcPr/>
          <w:p>
            <w:pPr>
              <w:pStyle w:val="Compact"/>
            </w:pPr>
            <w:r>
              <w:t xml:space="preserve">เสร็จภายใน</w:t>
            </w:r>
            <w:r>
              <w:t xml:space="preserve"> </w:t>
            </w:r>
            <w:r>
              <w:rPr>
                <w:b/>
                <w:bCs/>
              </w:rPr>
              <w:t xml:space="preserve">180 วัน</w:t>
            </w:r>
            <w:r>
              <w:t xml:space="preserve"> </w:t>
            </w:r>
            <w:r>
              <w:t xml:space="preserve">หรือ risk-accept</w:t>
            </w:r>
          </w:p>
        </w:tc>
        <w:tc>
          <w:tcPr/>
          <w:p>
            <w:pPr>
              <w:pStyle w:val="Compact"/>
            </w:pPr>
            <w:r>
              <w:t xml:space="preserve">Compliance Officer</w:t>
            </w:r>
          </w:p>
        </w:tc>
      </w:tr>
    </w:tbl>
    <w:p>
      <w:pPr>
        <w:pStyle w:val="BlockText"/>
      </w:pPr>
      <w:r>
        <w:t xml:space="preserve">ช่องโหว่ที่ทำให้</w:t>
      </w:r>
      <w:r>
        <w:t xml:space="preserve"> </w:t>
      </w:r>
      <w:r>
        <w:rPr>
          <w:b/>
          <w:bCs/>
        </w:rPr>
        <w:t xml:space="preserve">ASV FAIL</w:t>
      </w:r>
      <w:r>
        <w:t xml:space="preserve"> </w:t>
      </w:r>
      <w:r>
        <w:t xml:space="preserve">หรือพบใน pentest ระดับ critical/high</w:t>
      </w:r>
      <w:r>
        <w:t xml:space="preserve"> </w:t>
      </w:r>
      <w:r>
        <w:rPr>
          <w:b/>
          <w:bCs/>
        </w:rPr>
        <w:t xml:space="preserve">ต้องแก้และ re-scan/re-test ก่อนปิด</w:t>
      </w:r>
      <w:r>
        <w:t xml:space="preserve"> </w:t>
      </w:r>
      <w:r>
        <w:t xml:space="preserve">เสมอ ไม่มี risk-accept ใน CDE สำหรับระดับนี้</w:t>
      </w:r>
    </w:p>
    <w:bookmarkEnd w:id="804"/>
    <w:bookmarkStart w:id="805" w:name="remediation-tracker-โครงสรางขอมลทะเบยน"/>
    <w:p>
      <w:pPr>
        <w:pStyle w:val="Heading3"/>
      </w:pPr>
      <w:r>
        <w:t xml:space="preserve">5.2 Remediation Tracker (โครงสร้างข้อมูล/ทะเบียน)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ฟิลด์</w:t>
            </w:r>
          </w:p>
        </w:tc>
        <w:tc>
          <w:tcPr/>
          <w:p>
            <w:pPr>
              <w:pStyle w:val="Compact"/>
            </w:pPr>
            <w:r>
              <w:t xml:space="preserve">คำอธิบาย</w:t>
            </w:r>
          </w:p>
        </w:tc>
      </w:tr>
      <w:tr>
        <w:tc>
          <w:tcPr/>
          <w:p>
            <w:pPr>
              <w:pStyle w:val="Compact"/>
            </w:pPr>
            <w:r>
              <w:t xml:space="preserve">Finding ID</w:t>
            </w:r>
          </w:p>
        </w:tc>
        <w:tc>
          <w:tcPr/>
          <w:p>
            <w:pPr>
              <w:pStyle w:val="Compact"/>
            </w:pPr>
            <w:r>
              <w:t xml:space="preserve">รหัสอ้างอิง (เช่น ASV-2026Q1-001, PT-2026-014)</w:t>
            </w:r>
          </w:p>
        </w:tc>
      </w:tr>
      <w:tr>
        <w:tc>
          <w:tcPr/>
          <w:p>
            <w:pPr>
              <w:pStyle w:val="Compact"/>
            </w:pPr>
            <w:r>
              <w:t xml:space="preserve">แหล่งที่มา</w:t>
            </w:r>
          </w:p>
        </w:tc>
        <w:tc>
          <w:tcPr/>
          <w:p>
            <w:pPr>
              <w:pStyle w:val="Compact"/>
            </w:pPr>
            <w:r>
              <w:t xml:space="preserve">ASV scan / internal scan / pentest / QSA gap</w:t>
            </w:r>
          </w:p>
        </w:tc>
      </w:tr>
      <w:tr>
        <w:tc>
          <w:tcPr/>
          <w:p>
            <w:pPr>
              <w:pStyle w:val="Compact"/>
            </w:pPr>
            <w:r>
              <w:t xml:space="preserve">ระบบ/สินทรัพย์</w:t>
            </w:r>
          </w:p>
        </w:tc>
        <w:tc>
          <w:tcPr/>
          <w:p>
            <w:pPr>
              <w:pStyle w:val="Compact"/>
            </w:pPr>
            <w:r>
              <w:t xml:space="preserve">host, service, API endpoint</w:t>
            </w:r>
          </w:p>
        </w:tc>
      </w:tr>
      <w:tr>
        <w:tc>
          <w:tcPr/>
          <w:p>
            <w:pPr>
              <w:pStyle w:val="Compact"/>
            </w:pPr>
            <w:r>
              <w:t xml:space="preserve">Severity / CVSS</w:t>
            </w:r>
          </w:p>
        </w:tc>
        <w:tc>
          <w:tcPr/>
          <w:p>
            <w:pPr>
              <w:pStyle w:val="Compact"/>
            </w:pPr>
            <w:r>
              <w:t xml:space="preserve">ตามข้อ 5.1</w:t>
            </w:r>
          </w:p>
        </w:tc>
      </w:tr>
      <w:tr>
        <w:tc>
          <w:tcPr/>
          <w:p>
            <w:pPr>
              <w:pStyle w:val="Compact"/>
            </w:pPr>
            <w:r>
              <w:t xml:space="preserve">วันที่พบ / SLA due</w:t>
            </w:r>
          </w:p>
        </w:tc>
        <w:tc>
          <w:tcPr/>
          <w:p>
            <w:pPr>
              <w:pStyle w:val="Compact"/>
            </w:pPr>
            <w:r>
              <w:t xml:space="preserve">อัตโนมัติจาก severity</w:t>
            </w:r>
          </w:p>
        </w:tc>
      </w:tr>
      <w:tr>
        <w:tc>
          <w:tcPr/>
          <w:p>
            <w:pPr>
              <w:pStyle w:val="Compact"/>
            </w:pPr>
            <w:r>
              <w:t xml:space="preserve">ผู้รับผิดชอบ (owner)</w:t>
            </w:r>
          </w:p>
        </w:tc>
        <w:tc>
          <w:tcPr/>
          <w:p>
            <w:pPr>
              <w:pStyle w:val="Compact"/>
            </w:pPr>
            <w:r>
              <w:t xml:space="preserve">ทีม/บุคคล</w:t>
            </w:r>
          </w:p>
        </w:tc>
      </w:tr>
      <w:tr>
        <w:tc>
          <w:tcPr/>
          <w:p>
            <w:pPr>
              <w:pStyle w:val="Compact"/>
            </w:pPr>
            <w:r>
              <w:t xml:space="preserve">สถานะ</w:t>
            </w:r>
          </w:p>
        </w:tc>
        <w:tc>
          <w:tcPr/>
          <w:p>
            <w:pPr>
              <w:pStyle w:val="Compact"/>
            </w:pPr>
            <w:r>
              <w:t xml:space="preserve">Open → In Progress → Fixed → Re-tested → Closed</w:t>
            </w:r>
          </w:p>
        </w:tc>
      </w:tr>
      <w:tr>
        <w:tc>
          <w:tcPr/>
          <w:p>
            <w:pPr>
              <w:pStyle w:val="Compact"/>
            </w:pPr>
            <w:r>
              <w:t xml:space="preserve">หลักฐานการแก้</w:t>
            </w:r>
          </w:p>
        </w:tc>
        <w:tc>
          <w:tcPr/>
          <w:p>
            <w:pPr>
              <w:pStyle w:val="Compact"/>
            </w:pPr>
            <w:r>
              <w:t xml:space="preserve">ticket, PR, re-scan/re-test report</w:t>
            </w:r>
          </w:p>
        </w:tc>
      </w:tr>
      <w:tr>
        <w:tc>
          <w:tcPr/>
          <w:p>
            <w:pPr>
              <w:pStyle w:val="Compact"/>
            </w:pPr>
            <w:r>
              <w:t xml:space="preserve">Compensating control (ถ้ามี)</w:t>
            </w:r>
          </w:p>
        </w:tc>
        <w:tc>
          <w:tcPr/>
          <w:p>
            <w:pPr>
              <w:pStyle w:val="Compact"/>
            </w:pPr>
            <w:r>
              <w:t xml:space="preserve">กรณีแก้ชั่วคราว + วันครบกำหนดแก้ถาวร</w:t>
            </w:r>
          </w:p>
        </w:tc>
      </w:tr>
    </w:tbl>
    <w:p>
      <w:pPr>
        <w:pStyle w:val="BodyText"/>
      </w:pPr>
      <w:r>
        <w:t xml:space="preserve">เครื่องมือ: ผูกเข้ากับ ticketing (เช่น Jira) +</w:t>
      </w:r>
      <w:r>
        <w:t xml:space="preserve"> </w:t>
      </w:r>
      <w:r>
        <w:rPr>
          <w:rStyle w:val="VerbatimChar"/>
        </w:rPr>
        <w:t xml:space="preserve">audit_log</w:t>
      </w:r>
      <w:r>
        <w:t xml:space="preserve"> </w:t>
      </w:r>
      <w:r>
        <w:t xml:space="preserve">ของระบบ (append-only ตาม</w:t>
      </w:r>
      <w:r>
        <w:t xml:space="preserve"> </w:t>
      </w:r>
      <w:r>
        <w:rPr>
          <w:rStyle w:val="VerbatimChar"/>
        </w:rPr>
        <w:t xml:space="preserve">ARCHITECTURE.md</w:t>
      </w:r>
      <w:r>
        <w:t xml:space="preserve">) เพื่อ traceability</w:t>
      </w:r>
    </w:p>
    <w:bookmarkEnd w:id="805"/>
    <w:bookmarkStart w:id="806" w:name="การรายงานและกำกบ-governance"/>
    <w:p>
      <w:pPr>
        <w:pStyle w:val="Heading3"/>
      </w:pPr>
      <w:r>
        <w:t xml:space="preserve">5.3 การรายงานและกำกับ (Governance)</w:t>
      </w:r>
    </w:p>
    <w:p>
      <w:pPr>
        <w:pStyle w:val="Compact"/>
        <w:numPr>
          <w:ilvl w:val="0"/>
          <w:numId w:val="1306"/>
        </w:numPr>
      </w:pPr>
      <w:r>
        <w:rPr>
          <w:b/>
          <w:bCs/>
        </w:rPr>
        <w:t xml:space="preserve">รายสัปดาห์:</w:t>
      </w:r>
      <w:r>
        <w:t xml:space="preserve"> </w:t>
      </w:r>
      <w:r>
        <w:t xml:space="preserve">DevSecOps review รายการ Open critical/high</w:t>
      </w:r>
    </w:p>
    <w:p>
      <w:pPr>
        <w:pStyle w:val="Compact"/>
        <w:numPr>
          <w:ilvl w:val="0"/>
          <w:numId w:val="1306"/>
        </w:numPr>
      </w:pPr>
      <w:r>
        <w:rPr>
          <w:b/>
          <w:bCs/>
        </w:rPr>
        <w:t xml:space="preserve">รายเดือน:</w:t>
      </w:r>
      <w:r>
        <w:t xml:space="preserve"> </w:t>
      </w:r>
      <w:r>
        <w:t xml:space="preserve">Security Lead รายงานสถานะ SLA compliance ต่อ CISO</w:t>
      </w:r>
    </w:p>
    <w:p>
      <w:pPr>
        <w:pStyle w:val="Compact"/>
        <w:numPr>
          <w:ilvl w:val="0"/>
          <w:numId w:val="1306"/>
        </w:numPr>
      </w:pPr>
      <w:r>
        <w:rPr>
          <w:b/>
          <w:bCs/>
        </w:rPr>
        <w:t xml:space="preserve">รายไตรมาส:</w:t>
      </w:r>
      <w:r>
        <w:t xml:space="preserve"> </w:t>
      </w:r>
      <w:r>
        <w:t xml:space="preserve">Compliance Officer รวบยอดเข้ารายงานต่อ</w:t>
      </w:r>
      <w:r>
        <w:t xml:space="preserve"> </w:t>
      </w:r>
      <w:r>
        <w:rPr>
          <w:b/>
          <w:bCs/>
        </w:rPr>
        <w:t xml:space="preserve">ธปท.</w:t>
      </w:r>
      <w:r>
        <w:t xml:space="preserve"> </w:t>
      </w:r>
      <w:r>
        <w:t xml:space="preserve">และ</w:t>
      </w:r>
      <w:r>
        <w:t xml:space="preserve"> </w:t>
      </w:r>
      <w:r>
        <w:rPr>
          <w:b/>
          <w:bCs/>
        </w:rPr>
        <w:t xml:space="preserve">sponsor bank/scheme</w:t>
      </w:r>
      <w:r>
        <w:t xml:space="preserve"> </w:t>
      </w:r>
      <w:r>
        <w:t xml:space="preserve">พร้อม AoSC</w:t>
      </w:r>
    </w:p>
    <w:p>
      <w:pPr>
        <w:pStyle w:val="Compact"/>
        <w:numPr>
          <w:ilvl w:val="0"/>
          <w:numId w:val="1306"/>
        </w:numPr>
      </w:pPr>
      <w:r>
        <w:rPr>
          <w:b/>
          <w:bCs/>
        </w:rPr>
        <w:t xml:space="preserve">รายปี:</w:t>
      </w:r>
      <w:r>
        <w:t xml:space="preserve"> </w:t>
      </w:r>
      <w:r>
        <w:t xml:space="preserve">QSA validate การแก้ไขก่อนออก</w:t>
      </w:r>
      <w:r>
        <w:t xml:space="preserve"> </w:t>
      </w:r>
      <w:r>
        <w:rPr>
          <w:b/>
          <w:bCs/>
        </w:rPr>
        <w:t xml:space="preserve">RoC/AoC</w:t>
      </w:r>
    </w:p>
    <w:p>
      <w:pPr>
        <w:pStyle w:val="Compact"/>
        <w:numPr>
          <w:ilvl w:val="0"/>
          <w:numId w:val="1306"/>
        </w:numPr>
      </w:pPr>
      <w:r>
        <w:rPr>
          <w:b/>
          <w:bCs/>
        </w:rPr>
        <w:t xml:space="preserve">การละเมิดที่เข้าข่ายข้อมูลรั่ว:</w:t>
      </w:r>
      <w:r>
        <w:t xml:space="preserve"> </w:t>
      </w:r>
      <w:r>
        <w:t xml:space="preserve">ประสาน DPO เพื่อแจ้ง</w:t>
      </w:r>
      <w:r>
        <w:t xml:space="preserve"> </w:t>
      </w:r>
      <w:r>
        <w:rPr>
          <w:b/>
          <w:bCs/>
        </w:rPr>
        <w:t xml:space="preserve">PDPC</w:t>
      </w:r>
      <w:r>
        <w:t xml:space="preserve"> </w:t>
      </w:r>
      <w:r>
        <w:t xml:space="preserve">ภายใน 72 ชม. ตาม PDPA และแจ้ง ธปท./AMLO ตามที่เกี่ยวข้อง</w:t>
      </w:r>
    </w:p>
    <w:p>
      <w:r>
        <w:pict>
          <v:rect style="width:0;height:1.5pt" o:hralign="center" o:hrstd="t" o:hr="t"/>
        </w:pict>
      </w:r>
    </w:p>
    <w:bookmarkEnd w:id="806"/>
    <w:bookmarkEnd w:id="807"/>
    <w:bookmarkStart w:id="808" w:name="ปฏทนประจำปรวม-annual-compliance-calendar"/>
    <w:p>
      <w:pPr>
        <w:pStyle w:val="Heading2"/>
      </w:pPr>
      <w:r>
        <w:t xml:space="preserve">6. ปฏิทินประจำปีรวม (Annual Compliance Calendar)</w:t>
      </w:r>
    </w:p>
    <w:tbl>
      <w:tblPr>
        <w:tblStyle w:val="Table"/>
        <w:tblW w:type="pct" w:w="5000"/>
        <w:tblLayout w:type="fixed"/>
        <w:tblLook w:firstRow="1" w:lastRow="0" w:firstColumn="0" w:lastColumn="0" w:noHBand="0" w:noVBand="0" w:val="0020"/>
      </w:tblPr>
      <w:tblGrid>
        <w:gridCol w:w="5374"/>
        <w:gridCol w:w="2545"/>
      </w:tblGrid>
      <w:tr>
        <w:trPr>
          <w:tblHeader w:val="on"/>
        </w:trPr>
        <w:tc>
          <w:tcPr/>
          <w:p>
            <w:pPr>
              <w:pStyle w:val="Compact"/>
            </w:pPr>
            <w:r>
              <w:t xml:space="preserve">เดือน (โดยประมาณ)</w:t>
            </w:r>
          </w:p>
        </w:tc>
        <w:tc>
          <w:tcPr/>
          <w:p>
            <w:pPr>
              <w:pStyle w:val="Compact"/>
            </w:pPr>
            <w:r>
              <w:t xml:space="preserve">กิจกรรม</w:t>
            </w:r>
          </w:p>
        </w:tc>
      </w:tr>
      <w:tr>
        <w:tc>
          <w:tcPr/>
          <w:p>
            <w:pPr>
              <w:pStyle w:val="Compact"/>
            </w:pPr>
            <w:r>
              <w:t xml:space="preserve">ม.ค. / เม.ย. / ก.ค. / ต.ค.</w:t>
            </w:r>
          </w:p>
        </w:tc>
        <w:tc>
          <w:tcPr/>
          <w:p>
            <w:pPr>
              <w:pStyle w:val="Compact"/>
            </w:pPr>
            <w:r>
              <w:t xml:space="preserve">ASV external + internal scan (รายไตรมาส)</w:t>
            </w:r>
          </w:p>
        </w:tc>
      </w:tr>
      <w:tr>
        <w:tc>
          <w:tcPr/>
          <w:p>
            <w:pPr>
              <w:pStyle w:val="Compact"/>
            </w:pPr>
            <w:r>
              <w:t xml:space="preserve">มิ.ย.</w:t>
            </w:r>
          </w:p>
        </w:tc>
        <w:tc>
          <w:tcPr/>
          <w:p>
            <w:pPr>
              <w:pStyle w:val="Compact"/>
            </w:pPr>
            <w:r>
              <w:t xml:space="preserve">Segmentation test รอบที่ 1 (service provider 6 เดือน)</w:t>
            </w:r>
          </w:p>
        </w:tc>
      </w:tr>
      <w:tr>
        <w:tc>
          <w:tcPr/>
          <w:p>
            <w:pPr>
              <w:pStyle w:val="Compact"/>
            </w:pPr>
            <w:r>
              <w:t xml:space="preserve">ก.ย.</w:t>
            </w:r>
          </w:p>
        </w:tc>
        <w:tc>
          <w:tcPr/>
          <w:p>
            <w:pPr>
              <w:pStyle w:val="Compact"/>
            </w:pPr>
            <w:r>
              <w:t xml:space="preserve">Annual penetration test (external + internal + app)</w:t>
            </w:r>
          </w:p>
        </w:tc>
      </w:tr>
      <w:tr>
        <w:tc>
          <w:tcPr/>
          <w:p>
            <w:pPr>
              <w:pStyle w:val="Compact"/>
            </w:pPr>
            <w:r>
              <w:t xml:space="preserve">ธ.ค.</w:t>
            </w:r>
          </w:p>
        </w:tc>
        <w:tc>
          <w:tcPr/>
          <w:p>
            <w:pPr>
              <w:pStyle w:val="Compact"/>
            </w:pPr>
            <w:r>
              <w:t xml:space="preserve">Segmentation test รอบที่ 2 + QSA on-site → รวบ evidence 4 ไตรมาส</w:t>
            </w:r>
          </w:p>
        </w:tc>
      </w:tr>
      <w:tr>
        <w:tc>
          <w:tcPr/>
          <w:p>
            <w:pPr>
              <w:pStyle w:val="Compact"/>
            </w:pPr>
            <w:r>
              <w:t xml:space="preserve">ต่อเนื่อง</w:t>
            </w:r>
          </w:p>
        </w:tc>
        <w:tc>
          <w:tcPr/>
          <w:p>
            <w:pPr>
              <w:pStyle w:val="Compact"/>
            </w:pPr>
            <w:r>
              <w:t xml:space="preserve">Remediation tracking, significant-change re-scan</w:t>
            </w:r>
          </w:p>
        </w:tc>
      </w:tr>
      <w:tr>
        <w:tc>
          <w:tcPr/>
          <w:p>
            <w:pPr>
              <w:pStyle w:val="Compact"/>
            </w:pPr>
            <w:r>
              <w:t xml:space="preserve">ปีละครั้ง</w:t>
            </w:r>
          </w:p>
        </w:tc>
        <w:tc>
          <w:tcPr/>
          <w:p>
            <w:pPr>
              <w:pStyle w:val="Compact"/>
            </w:pPr>
            <w:r>
              <w:t xml:space="preserve">ออก</w:t>
            </w:r>
            <w:r>
              <w:t xml:space="preserve"> </w:t>
            </w:r>
            <w:r>
              <w:rPr>
                <w:b/>
                <w:bCs/>
              </w:rPr>
              <w:t xml:space="preserve">RoC + AoC</w:t>
            </w:r>
            <w:r>
              <w:t xml:space="preserve">, ต่ออายุ PCI-DSS L1, รายงานสรุปต่อ ธปท./sponsor</w:t>
            </w:r>
          </w:p>
        </w:tc>
      </w:tr>
    </w:tbl>
    <w:p>
      <w:r>
        <w:pict>
          <v:rect style="width:0;height:1.5pt" o:hralign="center" o:hrstd="t" o:hr="t"/>
        </w:pict>
      </w:r>
    </w:p>
    <w:bookmarkEnd w:id="808"/>
    <w:bookmarkStart w:id="809" w:name="เอกสารอางองในชดเดยวกน"/>
    <w:p>
      <w:pPr>
        <w:pStyle w:val="Heading2"/>
      </w:pPr>
      <w:r>
        <w:t xml:space="preserve">7. เอกสารอ้างอิงในชุดเดียวกัน</w:t>
      </w:r>
    </w:p>
    <w:p>
      <w:pPr>
        <w:pStyle w:val="Compact"/>
        <w:numPr>
          <w:ilvl w:val="0"/>
          <w:numId w:val="1307"/>
        </w:numPr>
      </w:pPr>
      <w:r>
        <w:rPr>
          <w:rStyle w:val="VerbatimChar"/>
        </w:rPr>
        <w:t xml:space="preserve">../COMPLIANCE-TH.md</w:t>
      </w:r>
      <w:r>
        <w:t xml:space="preserve"> </w:t>
      </w:r>
      <w:r>
        <w:t xml:space="preserve">— กฎหมายไทย ประเภทใบอนุญาต ขั้นตอนยื่น ธปท.</w:t>
      </w:r>
    </w:p>
    <w:p>
      <w:pPr>
        <w:pStyle w:val="Compact"/>
        <w:numPr>
          <w:ilvl w:val="0"/>
          <w:numId w:val="1307"/>
        </w:numPr>
      </w:pPr>
      <w:r>
        <w:rPr>
          <w:rStyle w:val="VerbatimChar"/>
        </w:rPr>
        <w:t xml:space="preserve">../ARCHITECTURE.md</w:t>
      </w:r>
      <w:r>
        <w:t xml:space="preserve"> </w:t>
      </w:r>
      <w:r>
        <w:t xml:space="preserve">— สถาปัตยกรรม, PCI scope, security controls</w:t>
      </w:r>
    </w:p>
    <w:p>
      <w:pPr>
        <w:pStyle w:val="Compact"/>
        <w:numPr>
          <w:ilvl w:val="0"/>
          <w:numId w:val="1307"/>
        </w:numPr>
      </w:pPr>
      <w:r>
        <w:rPr>
          <w:rStyle w:val="VerbatimChar"/>
        </w:rPr>
        <w:t xml:space="preserve">../ROADMAP.md</w:t>
      </w:r>
      <w:r>
        <w:t xml:space="preserve"> </w:t>
      </w:r>
      <w:r>
        <w:t xml:space="preserve">— timeline (Phase 4: QSA→RoC, pentest), ประมาณการต้นทุน</w:t>
      </w:r>
    </w:p>
    <w:p>
      <w:pPr>
        <w:pStyle w:val="Compact"/>
        <w:numPr>
          <w:ilvl w:val="0"/>
          <w:numId w:val="1307"/>
        </w:numPr>
      </w:pPr>
      <w:r>
        <w:t xml:space="preserve">มาตรฐาน:</w:t>
      </w:r>
      <w:r>
        <w:t xml:space="preserve"> </w:t>
      </w:r>
      <w:r>
        <w:rPr>
          <w:b/>
          <w:bCs/>
        </w:rPr>
        <w:t xml:space="preserve">PCI-DSS v4.0.1</w:t>
      </w:r>
      <w:r>
        <w:t xml:space="preserve"> </w:t>
      </w:r>
      <w:r>
        <w:t xml:space="preserve">(Req 6, 11),</w:t>
      </w:r>
      <w:r>
        <w:t xml:space="preserve"> </w:t>
      </w:r>
      <w:r>
        <w:rPr>
          <w:b/>
          <w:bCs/>
        </w:rPr>
        <w:t xml:space="preserve">EMV 3-D Secure 2.x</w:t>
      </w:r>
      <w:r>
        <w:t xml:space="preserve">,</w:t>
      </w:r>
      <w:r>
        <w:t xml:space="preserve"> </w:t>
      </w:r>
      <w:r>
        <w:rPr>
          <w:b/>
          <w:bCs/>
        </w:rPr>
        <w:t xml:space="preserve">NIST SP 800-115</w:t>
      </w:r>
      <w:r>
        <w:t xml:space="preserve">,</w:t>
      </w:r>
      <w:r>
        <w:t xml:space="preserve"> </w:t>
      </w:r>
      <w:r>
        <w:rPr>
          <w:b/>
          <w:bCs/>
        </w:rPr>
        <w:t xml:space="preserve">OWASP Testing Guide / API Top 10</w:t>
      </w:r>
    </w:p>
    <w:bookmarkEnd w:id="809"/>
    <w:bookmarkEnd w:id="810"/>
    <w:bookmarkStart w:id="835" w:name="X3d06d08a65191dff49addfd04c14678317b0575"/>
    <w:p>
      <w:pPr>
        <w:pStyle w:val="Heading1"/>
      </w:pPr>
      <w:r>
        <w:t xml:space="preserve">QSA selection criteria + quarterly ASV scan + annual penetration test plan and remediation tracking (English)</w:t>
      </w:r>
    </w:p>
    <w:p>
      <w:pPr>
        <w:pStyle w:val="BlockText"/>
      </w:pPr>
      <w:r>
        <w:t xml:space="preserve">Document</w:t>
      </w:r>
      <w:r>
        <w:t xml:space="preserve"> </w:t>
      </w:r>
      <w:r>
        <w:rPr>
          <w:b/>
          <w:bCs/>
        </w:rPr>
        <w:t xml:space="preserve">No. 23</w:t>
      </w:r>
      <w:r>
        <w:t xml:space="preserve"> </w:t>
      </w:r>
      <w:r>
        <w:t xml:space="preserve">in the Compliance document set for</w:t>
      </w:r>
      <w:r>
        <w:t xml:space="preserve"> </w:t>
      </w:r>
      <w:r>
        <w:rPr>
          <w:b/>
          <w:bCs/>
        </w:rPr>
        <w:t xml:space="preserve">[บริษัท / Company]</w:t>
      </w:r>
      <w:r>
        <w:t xml:space="preserve"> </w:t>
      </w:r>
      <w:r>
        <w:t xml:space="preserve">Business type:</w:t>
      </w:r>
      <w:r>
        <w:t xml:space="preserve"> </w:t>
      </w:r>
      <w:r>
        <w:rPr>
          <w:b/>
          <w:bCs/>
        </w:rPr>
        <w:t xml:space="preserve">Full Acquiring Payment Gateway</w:t>
      </w:r>
      <w:r>
        <w:t xml:space="preserve"> </w:t>
      </w:r>
      <w:r>
        <w:t xml:space="preserve">· Paid-up registered capital</w:t>
      </w:r>
      <w:r>
        <w:t xml:space="preserve"> </w:t>
      </w:r>
      <w:r>
        <w:rPr>
          <w:b/>
          <w:bCs/>
        </w:rPr>
        <w:t xml:space="preserve">THB 50M</w:t>
      </w:r>
      <w:r>
        <w:t xml:space="preserve"> </w:t>
      </w:r>
      <w:r>
        <w:t xml:space="preserve">Licence:</w:t>
      </w:r>
      <w:r>
        <w:t xml:space="preserve"> </w:t>
      </w:r>
      <w:r>
        <w:rPr>
          <w:b/>
          <w:bCs/>
        </w:rPr>
        <w:t xml:space="preserve">Electronic payment acceptance service (Acquiring)</w:t>
      </w:r>
      <w:r>
        <w:t xml:space="preserve"> </w:t>
      </w:r>
      <w:r>
        <w:t xml:space="preserve">under the</w:t>
      </w:r>
      <w:r>
        <w:t xml:space="preserve"> </w:t>
      </w:r>
      <w:r>
        <w:rPr>
          <w:b/>
          <w:bCs/>
        </w:rPr>
        <w:t xml:space="preserve">Payment Systems Act B.E. 2560 (2017)</w:t>
      </w:r>
      <w:r>
        <w:t xml:space="preserve">, supervised by the</w:t>
      </w:r>
      <w:r>
        <w:t xml:space="preserve"> </w:t>
      </w:r>
      <w:r>
        <w:rPr>
          <w:b/>
          <w:bCs/>
        </w:rPr>
        <w:t xml:space="preserve">Bank of Thailand (BOT / ธปท.)</w:t>
      </w:r>
      <w:r>
        <w:t xml:space="preserve"> </w:t>
      </w:r>
      <w:r>
        <w:t xml:space="preserve">Parallel standards:</w:t>
      </w:r>
      <w:r>
        <w:t xml:space="preserve"> </w:t>
      </w:r>
      <w:r>
        <w:rPr>
          <w:b/>
          <w:bCs/>
        </w:rPr>
        <w:t xml:space="preserve">PCI-DSS v4.0.1 (Level 1)</w:t>
      </w:r>
      <w:r>
        <w:t xml:space="preserve"> </w:t>
      </w:r>
      <w:r>
        <w:t xml:space="preserve">·</w:t>
      </w:r>
      <w:r>
        <w:t xml:space="preserve"> </w:t>
      </w:r>
      <w:r>
        <w:rPr>
          <w:b/>
          <w:bCs/>
        </w:rPr>
        <w:t xml:space="preserve">EMV 3-D Secure 2.x</w:t>
      </w:r>
      <w:r>
        <w:t xml:space="preserve"> </w:t>
      </w:r>
      <w:r>
        <w:t xml:space="preserve">This document is technical/operational reference material, not legal advice. It must be reviewed by legal counsel and a QSA before actual submission.</w:t>
      </w:r>
    </w:p>
    <w:p>
      <w:r>
        <w:pict>
          <v:rect style="width:0;height:1.5pt" o:hralign="center" o:hrstd="t" o:hr="t"/>
        </w:pict>
      </w:r>
    </w:p>
    <w:bookmarkStart w:id="811" w:name="executive-summary-6"/>
    <w:p>
      <w:pPr>
        <w:pStyle w:val="Heading2"/>
      </w:pPr>
      <w:r>
        <w:t xml:space="preserve">0. Executive Summary</w:t>
      </w:r>
    </w:p>
    <w:p>
      <w:pPr>
        <w:pStyle w:val="FirstParagraph"/>
      </w:pPr>
      <w:r>
        <w:t xml:space="preserve">This document defines the</w:t>
      </w:r>
      <w:r>
        <w:t xml:space="preserve"> </w:t>
      </w:r>
      <w:r>
        <w:rPr>
          <w:b/>
          <w:bCs/>
        </w:rPr>
        <w:t xml:space="preserve">QSA (Qualified Security Assessor) selection criteria</w:t>
      </w:r>
      <w:r>
        <w:t xml:space="preserve">, the</w:t>
      </w:r>
      <w:r>
        <w:t xml:space="preserve"> </w:t>
      </w:r>
      <w:r>
        <w:rPr>
          <w:b/>
          <w:bCs/>
        </w:rPr>
        <w:t xml:space="preserve">quarterly ASV (Approved Scanning Vendor) vulnerability scan plan</w:t>
      </w:r>
      <w:r>
        <w:t xml:space="preserve">, the</w:t>
      </w:r>
      <w:r>
        <w:t xml:space="preserve"> </w:t>
      </w:r>
      <w:r>
        <w:rPr>
          <w:b/>
          <w:bCs/>
        </w:rPr>
        <w:t xml:space="preserve">annual penetration test plan</w:t>
      </w:r>
      <w:r>
        <w:t xml:space="preserve">, and the</w:t>
      </w:r>
      <w:r>
        <w:t xml:space="preserve"> </w:t>
      </w:r>
      <w:r>
        <w:rPr>
          <w:b/>
          <w:bCs/>
        </w:rPr>
        <w:t xml:space="preserve">remediation tracking process</w:t>
      </w:r>
      <w:r>
        <w:t xml:space="preserve"> </w:t>
      </w:r>
      <w:r>
        <w:t xml:space="preserve">for [บริษัท / Company], in order to continuously maintain PCI-DSS Level 1 status and to support the application for / retention of the BOT Acquiring licence under the BOT’s IT risk / cyber resilience requirements.</w:t>
      </w:r>
    </w:p>
    <w:p>
      <w:pPr>
        <w:pStyle w:val="BodyText"/>
      </w:pPr>
      <w:r>
        <w:t xml:space="preserve">Scope covers the</w:t>
      </w:r>
      <w:r>
        <w:t xml:space="preserve"> </w:t>
      </w:r>
      <w:r>
        <w:rPr>
          <w:b/>
          <w:bCs/>
        </w:rPr>
        <w:t xml:space="preserve">Cardholder Data Environment (CDE)</w:t>
      </w:r>
      <w:r>
        <w:t xml:space="preserve"> </w:t>
      </w:r>
      <w:r>
        <w:t xml:space="preserve">and connected-to / security-impacting systems as defined in</w:t>
      </w:r>
      <w:r>
        <w:t xml:space="preserve"> </w:t>
      </w:r>
      <w:r>
        <w:rPr>
          <w:rStyle w:val="VerbatimChar"/>
        </w:rPr>
        <w:t xml:space="preserve">ARCHITECTURE.md</w:t>
      </w:r>
      <w:r>
        <w:t xml:space="preserve">, applying</w:t>
      </w:r>
      <w:r>
        <w:t xml:space="preserve"> </w:t>
      </w:r>
      <w:r>
        <w:rPr>
          <w:b/>
          <w:bCs/>
        </w:rPr>
        <w:t xml:space="preserve">scope minimization</w:t>
      </w:r>
      <w:r>
        <w:t xml:space="preserve"> </w:t>
      </w:r>
      <w:r>
        <w:t xml:space="preserve">through the tokenization vault and network segmentation.</w:t>
      </w:r>
    </w:p>
    <w:p>
      <w:pPr>
        <w:pStyle w:val="BlockText"/>
      </w:pPr>
      <w:r>
        <w:t xml:space="preserve">[!IMPORTANT]</w:t>
      </w:r>
      <w:r>
        <w:t xml:space="preserve"> </w:t>
      </w:r>
      <w:r>
        <w:rPr>
          <w:b/>
          <w:bCs/>
        </w:rPr>
        <w:t xml:space="preserve">Assumptions / TODO (must be confirmed before submission):</w:t>
      </w:r>
      <w:r>
        <w:t xml:space="preserve"> </w:t>
      </w:r>
      <w:r>
        <w:t xml:space="preserve">-</w:t>
      </w:r>
      <w:r>
        <w:t xml:space="preserve"> </w:t>
      </w:r>
      <w:r>
        <w:rPr>
          <w:b/>
          <w:bCs/>
        </w:rPr>
        <w:t xml:space="preserve">[TODO — Sponsor Bank]</w:t>
      </w:r>
      <w:r>
        <w:t xml:space="preserve"> </w:t>
      </w:r>
      <w:r>
        <w:t xml:space="preserve">The sponsoring bank / acquirer partner is not yet finalized. ASV/pentest reporting obligations to the sponsor and card schemes (Visa/Mastercard) must follow the executed contract once signed.</w:t>
      </w:r>
      <w:r>
        <w:t xml:space="preserve"> </w:t>
      </w:r>
      <w:r>
        <w:t xml:space="preserve">-</w:t>
      </w:r>
      <w:r>
        <w:t xml:space="preserve"> </w:t>
      </w:r>
      <w:r>
        <w:rPr>
          <w:b/>
          <w:bCs/>
        </w:rPr>
        <w:t xml:space="preserve">[TODO — QSA Vendor]</w:t>
      </w:r>
      <w:r>
        <w:t xml:space="preserve"> </w:t>
      </w:r>
      <w:r>
        <w:t xml:space="preserve">No QSA/ASV has been engaged yet. Vendor requirements here are</w:t>
      </w:r>
      <w:r>
        <w:t xml:space="preserve"> </w:t>
      </w:r>
      <w:r>
        <w:rPr>
          <w:i/>
          <w:iCs/>
        </w:rPr>
        <w:t xml:space="preserve">selection criteria</w:t>
      </w:r>
      <w:r>
        <w:t xml:space="preserve">, not a selection already made.</w:t>
      </w:r>
      <w:r>
        <w:t xml:space="preserve"> </w:t>
      </w:r>
      <w:r>
        <w:t xml:space="preserve">-</w:t>
      </w:r>
      <w:r>
        <w:t xml:space="preserve"> </w:t>
      </w:r>
      <w:r>
        <w:rPr>
          <w:b/>
          <w:bCs/>
        </w:rPr>
        <w:t xml:space="preserve">[TODO — Registered capital]</w:t>
      </w:r>
      <w:r>
        <w:t xml:space="preserve"> </w:t>
      </w:r>
      <w:r>
        <w:t xml:space="preserve">THB 50M paid-up capital is the target per</w:t>
      </w:r>
      <w:r>
        <w:t xml:space="preserve"> </w:t>
      </w:r>
      <w:r>
        <w:rPr>
          <w:rStyle w:val="VerbatimChar"/>
        </w:rPr>
        <w:t xml:space="preserve">COMPLIANCE-TH.md</w:t>
      </w:r>
      <w:r>
        <w:t xml:space="preserve">; the actual paid-up figure at submission must be confirmed and maintained at ≥ 75% throughout operations.</w:t>
      </w:r>
      <w:r>
        <w:t xml:space="preserve"> </w:t>
      </w:r>
      <w:r>
        <w:t xml:space="preserve">-</w:t>
      </w:r>
      <w:r>
        <w:t xml:space="preserve"> </w:t>
      </w:r>
      <w:r>
        <w:rPr>
          <w:b/>
          <w:bCs/>
        </w:rPr>
        <w:t xml:space="preserve">[TODO — Merchant Level determination]</w:t>
      </w:r>
      <w:r>
        <w:t xml:space="preserve"> </w:t>
      </w:r>
      <w:r>
        <w:t xml:space="preserve">The annual transaction count triggering Level 1 (&gt; 6M transactions/year) or acquirer/scheme designation must be confirmed once real volume exists.</w:t>
      </w:r>
    </w:p>
    <w:p>
      <w:r>
        <w:pict>
          <v:rect style="width:0;height:1.5pt" o:hralign="center" o:hrstd="t" o:hr="t"/>
        </w:pict>
      </w:r>
    </w:p>
    <w:bookmarkEnd w:id="811"/>
    <w:bookmarkStart w:id="814" w:name="scope-raci"/>
    <w:p>
      <w:pPr>
        <w:pStyle w:val="Heading2"/>
      </w:pPr>
      <w:r>
        <w:t xml:space="preserve">1. Scope &amp; RACI</w:t>
      </w:r>
    </w:p>
    <w:bookmarkStart w:id="812" w:name="pci-dss-scope-definition"/>
    <w:p>
      <w:pPr>
        <w:pStyle w:val="Heading3"/>
      </w:pPr>
      <w:r>
        <w:t xml:space="preserve">1.1 PCI-DSS Scope Definition</w:t>
      </w:r>
    </w:p>
    <w:tbl>
      <w:tblPr>
        <w:tblStyle w:val="Table"/>
        <w:tblW w:type="pct" w:w="5000"/>
        <w:tblLayout w:type="fixed"/>
        <w:tblLook w:firstRow="1" w:lastRow="0" w:firstColumn="0" w:lastColumn="0" w:noHBand="0" w:noVBand="0" w:val="0020"/>
      </w:tblPr>
      <w:tblGrid>
        <w:gridCol w:w="2394"/>
        <w:gridCol w:w="3683"/>
        <w:gridCol w:w="1841"/>
      </w:tblGrid>
      <w:tr>
        <w:trPr>
          <w:tblHeader w:val="on"/>
        </w:trPr>
        <w:tc>
          <w:tcPr/>
          <w:p>
            <w:pPr>
              <w:pStyle w:val="Compact"/>
            </w:pPr>
            <w:r>
              <w:t xml:space="preserve">System type</w:t>
            </w:r>
          </w:p>
        </w:tc>
        <w:tc>
          <w:tcPr/>
          <w:p>
            <w:pPr>
              <w:pStyle w:val="Compact"/>
            </w:pPr>
            <w:r>
              <w:t xml:space="preserve">Example components</w:t>
            </w:r>
          </w:p>
        </w:tc>
        <w:tc>
          <w:tcPr/>
          <w:p>
            <w:pPr>
              <w:pStyle w:val="Compact"/>
            </w:pPr>
            <w:r>
              <w:t xml:space="preserve">In scope</w:t>
            </w:r>
          </w:p>
        </w:tc>
      </w:tr>
      <w:tr>
        <w:tc>
          <w:tcPr/>
          <w:p>
            <w:pPr>
              <w:pStyle w:val="Compact"/>
            </w:pPr>
            <w:r>
              <w:rPr>
                <w:b/>
                <w:bCs/>
              </w:rPr>
              <w:t xml:space="preserve">CDE</w:t>
            </w:r>
          </w:p>
        </w:tc>
        <w:tc>
          <w:tcPr/>
          <w:p>
            <w:pPr>
              <w:pStyle w:val="Compact"/>
            </w:pPr>
            <w:r>
              <w:t xml:space="preserve">Tokenization Vault, HSM/KMS, detokenization service, acquirer adapter (ISO 8583)</w:t>
            </w:r>
          </w:p>
        </w:tc>
        <w:tc>
          <w:tcPr/>
          <w:p>
            <w:pPr>
              <w:pStyle w:val="Compact"/>
            </w:pPr>
            <w:r>
              <w:t xml:space="preserve">Yes — full</w:t>
            </w:r>
          </w:p>
        </w:tc>
      </w:tr>
      <w:tr>
        <w:tc>
          <w:tcPr/>
          <w:p>
            <w:pPr>
              <w:pStyle w:val="Compact"/>
            </w:pPr>
            <w:r>
              <w:rPr>
                <w:b/>
                <w:bCs/>
              </w:rPr>
              <w:t xml:space="preserve">Connected-to / Security-impacting</w:t>
            </w:r>
          </w:p>
        </w:tc>
        <w:tc>
          <w:tcPr/>
          <w:p>
            <w:pPr>
              <w:pStyle w:val="Compact"/>
            </w:pPr>
            <w:r>
              <w:t xml:space="preserve">API Edge, payment core service, bastion/jump host, SIEM, CI/CD deploying into CDE</w:t>
            </w:r>
          </w:p>
        </w:tc>
        <w:tc>
          <w:tcPr/>
          <w:p>
            <w:pPr>
              <w:pStyle w:val="Compact"/>
            </w:pPr>
            <w:r>
              <w:t xml:space="preserve">Yes</w:t>
            </w:r>
          </w:p>
        </w:tc>
      </w:tr>
      <w:tr>
        <w:tc>
          <w:tcPr/>
          <w:p>
            <w:pPr>
              <w:pStyle w:val="Compact"/>
            </w:pPr>
            <w:r>
              <w:rPr>
                <w:b/>
                <w:bCs/>
              </w:rPr>
              <w:t xml:space="preserve">Out-of-scope (if segmentation proven)</w:t>
            </w:r>
          </w:p>
        </w:tc>
        <w:tc>
          <w:tcPr/>
          <w:p>
            <w:pPr>
              <w:pStyle w:val="Compact"/>
            </w:pPr>
            <w:r>
              <w:t xml:space="preserve">HR systems, marketing site, corporate email</w:t>
            </w:r>
          </w:p>
        </w:tc>
        <w:tc>
          <w:tcPr/>
          <w:p>
            <w:pPr>
              <w:pStyle w:val="Compact"/>
            </w:pPr>
            <w:r>
              <w:t xml:space="preserve">No — requires annual segmentation pentest to prove</w:t>
            </w:r>
          </w:p>
        </w:tc>
      </w:tr>
    </w:tbl>
    <w:p>
      <w:pPr>
        <w:pStyle w:val="BodyText"/>
      </w:pPr>
      <w:r>
        <w:t xml:space="preserve">Proving out-of-scope requires a</w:t>
      </w:r>
      <w:r>
        <w:t xml:space="preserve"> </w:t>
      </w:r>
      <w:r>
        <w:rPr>
          <w:b/>
          <w:bCs/>
        </w:rPr>
        <w:t xml:space="preserve">segmentation penetration test</w:t>
      </w:r>
      <w:r>
        <w:t xml:space="preserve"> </w:t>
      </w:r>
      <w:r>
        <w:t xml:space="preserve">(PCI-DSS v4.0 Req 11.4.5) at least annually — and</w:t>
      </w:r>
      <w:r>
        <w:t xml:space="preserve"> </w:t>
      </w:r>
      <w:r>
        <w:rPr>
          <w:b/>
          <w:bCs/>
        </w:rPr>
        <w:t xml:space="preserve">every 6 months for service providers</w:t>
      </w:r>
      <w:r>
        <w:t xml:space="preserve">.</w:t>
      </w:r>
    </w:p>
    <w:bookmarkEnd w:id="812"/>
    <w:bookmarkStart w:id="813" w:name="raci-1"/>
    <w:p>
      <w:pPr>
        <w:pStyle w:val="Heading3"/>
      </w:pPr>
      <w:r>
        <w:t xml:space="preserve">1.2 RACI</w:t>
      </w:r>
    </w:p>
    <w:tbl>
      <w:tblPr>
        <w:tblStyle w:val="Table"/>
        <w:tblW w:type="pct" w:w="5000"/>
        <w:tblLayout w:type="fixed"/>
        <w:tblLook w:firstRow="1" w:lastRow="0" w:firstColumn="0" w:lastColumn="0" w:noHBand="0" w:noVBand="0" w:val="0020"/>
      </w:tblPr>
      <w:tblGrid>
        <w:gridCol w:w="851"/>
        <w:gridCol w:w="510"/>
        <w:gridCol w:w="2129"/>
        <w:gridCol w:w="1703"/>
        <w:gridCol w:w="1362"/>
        <w:gridCol w:w="1362"/>
      </w:tblGrid>
      <w:tr>
        <w:trPr>
          <w:tblHeader w:val="on"/>
        </w:trPr>
        <w:tc>
          <w:tcPr/>
          <w:p>
            <w:pPr>
              <w:pStyle w:val="Compact"/>
            </w:pPr>
            <w:r>
              <w:t xml:space="preserve">Activity</w:t>
            </w:r>
          </w:p>
        </w:tc>
        <w:tc>
          <w:tcPr/>
          <w:p>
            <w:pPr>
              <w:pStyle w:val="Compact"/>
            </w:pPr>
            <w:r>
              <w:t xml:space="preserve">CISO</w:t>
            </w:r>
          </w:p>
        </w:tc>
        <w:tc>
          <w:tcPr/>
          <w:p>
            <w:pPr>
              <w:pStyle w:val="Compact"/>
            </w:pPr>
            <w:r>
              <w:t xml:space="preserve">Security/DevSecOps Lead</w:t>
            </w:r>
          </w:p>
        </w:tc>
        <w:tc>
          <w:tcPr/>
          <w:p>
            <w:pPr>
              <w:pStyle w:val="Compact"/>
            </w:pPr>
            <w:r>
              <w:t xml:space="preserve">Compliance Officer</w:t>
            </w:r>
          </w:p>
        </w:tc>
        <w:tc>
          <w:tcPr/>
          <w:p>
            <w:pPr>
              <w:pStyle w:val="Compact"/>
            </w:pPr>
            <w:r>
              <w:t xml:space="preserve">QSA (external)</w:t>
            </w:r>
          </w:p>
        </w:tc>
        <w:tc>
          <w:tcPr/>
          <w:p>
            <w:pPr>
              <w:pStyle w:val="Compact"/>
            </w:pPr>
            <w:r>
              <w:t xml:space="preserve">ASV (external)</w:t>
            </w:r>
          </w:p>
        </w:tc>
      </w:tr>
      <w:tr>
        <w:tc>
          <w:tcPr/>
          <w:p>
            <w:pPr>
              <w:pStyle w:val="Compact"/>
            </w:pPr>
            <w:r>
              <w:t xml:space="preserve">QSA/ASV selection</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w:t>
            </w:r>
          </w:p>
        </w:tc>
        <w:tc>
          <w:tcPr/>
          <w:p>
            <w:pPr>
              <w:pStyle w:val="Compact"/>
            </w:pPr>
            <w:r>
              <w:t xml:space="preserve">—</w:t>
            </w:r>
          </w:p>
        </w:tc>
      </w:tr>
      <w:tr>
        <w:tc>
          <w:tcPr/>
          <w:p>
            <w:pPr>
              <w:pStyle w:val="Compact"/>
            </w:pPr>
            <w:r>
              <w:t xml:space="preserve">Define/confirm scope</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C/Validate</w:t>
            </w:r>
          </w:p>
        </w:tc>
        <w:tc>
          <w:tcPr/>
          <w:p>
            <w:pPr>
              <w:pStyle w:val="Compact"/>
            </w:pPr>
            <w:r>
              <w:t xml:space="preserve">I</w:t>
            </w:r>
          </w:p>
        </w:tc>
      </w:tr>
      <w:tr>
        <w:tc>
          <w:tcPr/>
          <w:p>
            <w:pPr>
              <w:pStyle w:val="Compact"/>
            </w:pPr>
            <w:r>
              <w:t xml:space="preserve">Quarterly ASV scan</w:t>
            </w:r>
          </w:p>
        </w:tc>
        <w:tc>
          <w:tcPr/>
          <w:p>
            <w:pPr>
              <w:pStyle w:val="Compact"/>
            </w:pPr>
            <w:r>
              <w:t xml:space="preserve">I</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R (execute)</w:t>
            </w:r>
          </w:p>
        </w:tc>
      </w:tr>
      <w:tr>
        <w:tc>
          <w:tcPr/>
          <w:p>
            <w:pPr>
              <w:pStyle w:val="Compact"/>
            </w:pPr>
            <w:r>
              <w:t xml:space="preserve">Annual internal/external pentest</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I/Validate</w:t>
            </w:r>
          </w:p>
        </w:tc>
        <w:tc>
          <w:tcPr/>
          <w:p>
            <w:pPr>
              <w:pStyle w:val="Compact"/>
            </w:pPr>
            <w:r>
              <w:t xml:space="preserve">—</w:t>
            </w:r>
          </w:p>
        </w:tc>
      </w:tr>
      <w:tr>
        <w:tc>
          <w:tcPr/>
          <w:p>
            <w:pPr>
              <w:pStyle w:val="Compact"/>
            </w:pPr>
            <w:r>
              <w:t xml:space="preserve">Remediation tracking</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Validate</w:t>
            </w:r>
          </w:p>
        </w:tc>
        <w:tc>
          <w:tcPr/>
          <w:p>
            <w:pPr>
              <w:pStyle w:val="Compact"/>
            </w:pPr>
            <w:r>
              <w:t xml:space="preserve">I</w:t>
            </w:r>
          </w:p>
        </w:tc>
      </w:tr>
      <w:tr>
        <w:tc>
          <w:tcPr/>
          <w:p>
            <w:pPr>
              <w:pStyle w:val="Compact"/>
            </w:pPr>
            <w:r>
              <w:t xml:space="preserve">RoC / AoC submission</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R (issue)</w:t>
            </w:r>
          </w:p>
        </w:tc>
        <w:tc>
          <w:tcPr/>
          <w:p>
            <w:pPr>
              <w:pStyle w:val="Compact"/>
            </w:pPr>
            <w:r>
              <w:t xml:space="preserve">—</w:t>
            </w:r>
          </w:p>
        </w:tc>
      </w:tr>
      <w:tr>
        <w:tc>
          <w:tcPr/>
          <w:p>
            <w:pPr>
              <w:pStyle w:val="Compact"/>
            </w:pPr>
            <w:r>
              <w:t xml:space="preserve">Reporting to BOT / sponsor</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r>
    </w:tbl>
    <w:p>
      <w:pPr>
        <w:pStyle w:val="BodyText"/>
      </w:pPr>
      <w:r>
        <w:t xml:space="preserve">(A=Accountable, R=Responsible, C=Consulted, I=Informed)</w:t>
      </w:r>
    </w:p>
    <w:p>
      <w:r>
        <w:pict>
          <v:rect style="width:0;height:1.5pt" o:hralign="center" o:hrstd="t" o:hr="t"/>
        </w:pict>
      </w:r>
    </w:p>
    <w:bookmarkEnd w:id="813"/>
    <w:bookmarkEnd w:id="814"/>
    <w:bookmarkStart w:id="818" w:name="qsa-selection-criteria-1"/>
    <w:p>
      <w:pPr>
        <w:pStyle w:val="Heading2"/>
      </w:pPr>
      <w:r>
        <w:t xml:space="preserve">2. QSA Selection Criteria</w:t>
      </w:r>
    </w:p>
    <w:bookmarkStart w:id="815" w:name="mandatory-passfail"/>
    <w:p>
      <w:pPr>
        <w:pStyle w:val="Heading3"/>
      </w:pPr>
      <w:r>
        <w:t xml:space="preserve">2.1 Mandatory (Pass/Fail)</w:t>
      </w:r>
    </w:p>
    <w:tbl>
      <w:tblPr>
        <w:tblStyle w:val="Table"/>
        <w:tblW w:type="pct" w:w="5000"/>
        <w:tblLayout w:type="fixed"/>
        <w:tblLook w:firstRow="1" w:lastRow="0" w:firstColumn="0" w:lastColumn="0" w:noHBand="0" w:noVBand="0" w:val="0020"/>
      </w:tblPr>
      <w:tblGrid>
        <w:gridCol w:w="792"/>
        <w:gridCol w:w="2904"/>
        <w:gridCol w:w="4224"/>
      </w:tblGrid>
      <w:tr>
        <w:trPr>
          <w:tblHeader w:val="on"/>
        </w:trPr>
        <w:tc>
          <w:tcPr/>
          <w:p>
            <w:pPr>
              <w:pStyle w:val="Compact"/>
            </w:pPr>
            <w:r>
              <w:t xml:space="preserve">#</w:t>
            </w:r>
          </w:p>
        </w:tc>
        <w:tc>
          <w:tcPr/>
          <w:p>
            <w:pPr>
              <w:pStyle w:val="Compact"/>
            </w:pPr>
            <w:r>
              <w:t xml:space="preserve">Criterion</w:t>
            </w:r>
          </w:p>
        </w:tc>
        <w:tc>
          <w:tcPr/>
          <w:p>
            <w:pPr>
              <w:pStyle w:val="Compact"/>
            </w:pPr>
            <w:r>
              <w:t xml:space="preserve">Pass threshold</w:t>
            </w:r>
          </w:p>
        </w:tc>
      </w:tr>
      <w:tr>
        <w:tc>
          <w:tcPr/>
          <w:p>
            <w:pPr>
              <w:pStyle w:val="Compact"/>
            </w:pPr>
            <w:r>
              <w:t xml:space="preserve">M1</w:t>
            </w:r>
          </w:p>
        </w:tc>
        <w:tc>
          <w:tcPr/>
          <w:p>
            <w:pPr>
              <w:pStyle w:val="Compact"/>
            </w:pPr>
            <w:r>
              <w:t xml:space="preserve">Active</w:t>
            </w:r>
            <w:r>
              <w:t xml:space="preserve"> </w:t>
            </w:r>
            <w:r>
              <w:rPr>
                <w:b/>
                <w:bCs/>
              </w:rPr>
              <w:t xml:space="preserve">QSA Company</w:t>
            </w:r>
            <w:r>
              <w:t xml:space="preserve"> </w:t>
            </w:r>
            <w:r>
              <w:t xml:space="preserve">status on the PCI SSC registry (verify at pcisecuritystandards.org)</w:t>
            </w:r>
          </w:p>
        </w:tc>
        <w:tc>
          <w:tcPr/>
          <w:p>
            <w:pPr>
              <w:pStyle w:val="Compact"/>
            </w:pPr>
            <w:r>
              <w:t xml:space="preserve">Verifiable at signing</w:t>
            </w:r>
          </w:p>
        </w:tc>
      </w:tr>
      <w:tr>
        <w:tc>
          <w:tcPr/>
          <w:p>
            <w:pPr>
              <w:pStyle w:val="Compact"/>
            </w:pPr>
            <w:r>
              <w:t xml:space="preserve">M2</w:t>
            </w:r>
          </w:p>
        </w:tc>
        <w:tc>
          <w:tcPr/>
          <w:p>
            <w:pPr>
              <w:pStyle w:val="Compact"/>
            </w:pPr>
            <w:r>
              <w:rPr>
                <w:b/>
                <w:bCs/>
              </w:rPr>
              <w:t xml:space="preserve">QSA employee(s)</w:t>
            </w:r>
            <w:r>
              <w:t xml:space="preserve"> </w:t>
            </w:r>
            <w:r>
              <w:t xml:space="preserve">certified, with</w:t>
            </w:r>
            <w:r>
              <w:t xml:space="preserve"> </w:t>
            </w:r>
            <w:r>
              <w:rPr>
                <w:b/>
                <w:bCs/>
              </w:rPr>
              <w:t xml:space="preserve">acquirer / payment gateway</w:t>
            </w:r>
            <w:r>
              <w:t xml:space="preserve"> </w:t>
            </w:r>
            <w:r>
              <w:t xml:space="preserve">experience in APAC</w:t>
            </w:r>
          </w:p>
        </w:tc>
        <w:tc>
          <w:tcPr/>
          <w:p>
            <w:pPr>
              <w:pStyle w:val="Compact"/>
            </w:pPr>
            <w:r>
              <w:t xml:space="preserve">≥ 2 assigned team members</w:t>
            </w:r>
          </w:p>
        </w:tc>
      </w:tr>
      <w:tr>
        <w:tc>
          <w:tcPr/>
          <w:p>
            <w:pPr>
              <w:pStyle w:val="Compact"/>
            </w:pPr>
            <w:r>
              <w:t xml:space="preserve">M3</w:t>
            </w:r>
          </w:p>
        </w:tc>
        <w:tc>
          <w:tcPr/>
          <w:p>
            <w:pPr>
              <w:pStyle w:val="Compact"/>
            </w:pPr>
            <w:r>
              <w:t xml:space="preserve">Supports assessment under</w:t>
            </w:r>
            <w:r>
              <w:t xml:space="preserve"> </w:t>
            </w:r>
            <w:r>
              <w:rPr>
                <w:b/>
                <w:bCs/>
              </w:rPr>
              <w:t xml:space="preserve">PCI-DSS v4.0.1</w:t>
            </w:r>
            <w:r>
              <w:t xml:space="preserve"> </w:t>
            </w:r>
            <w:r>
              <w:t xml:space="preserve">(customized + defined approach)</w:t>
            </w:r>
          </w:p>
        </w:tc>
        <w:tc>
          <w:tcPr/>
          <w:p>
            <w:pPr>
              <w:pStyle w:val="Compact"/>
            </w:pPr>
            <w:r>
              <w:t xml:space="preserve">Confirmed</w:t>
            </w:r>
          </w:p>
        </w:tc>
      </w:tr>
      <w:tr>
        <w:tc>
          <w:tcPr/>
          <w:p>
            <w:pPr>
              <w:pStyle w:val="Compact"/>
            </w:pPr>
            <w:r>
              <w:t xml:space="preserve">M4</w:t>
            </w:r>
          </w:p>
        </w:tc>
        <w:tc>
          <w:tcPr/>
          <w:p>
            <w:pPr>
              <w:pStyle w:val="Compact"/>
            </w:pPr>
            <w:r>
              <w:t xml:space="preserve">No</w:t>
            </w:r>
            <w:r>
              <w:t xml:space="preserve"> </w:t>
            </w:r>
            <w:r>
              <w:rPr>
                <w:b/>
                <w:bCs/>
              </w:rPr>
              <w:t xml:space="preserve">conflict of interest</w:t>
            </w:r>
            <w:r>
              <w:t xml:space="preserve"> </w:t>
            </w:r>
            <w:r>
              <w:t xml:space="preserve">(does not assess controls it implemented)</w:t>
            </w:r>
          </w:p>
        </w:tc>
        <w:tc>
          <w:tcPr/>
          <w:p>
            <w:pPr>
              <w:pStyle w:val="Compact"/>
            </w:pPr>
            <w:r>
              <w:t xml:space="preserve">Declared in writing</w:t>
            </w:r>
          </w:p>
        </w:tc>
      </w:tr>
      <w:tr>
        <w:tc>
          <w:tcPr/>
          <w:p>
            <w:pPr>
              <w:pStyle w:val="Compact"/>
            </w:pPr>
            <w:r>
              <w:t xml:space="preserve">M5</w:t>
            </w:r>
          </w:p>
        </w:tc>
        <w:tc>
          <w:tcPr/>
          <w:p>
            <w:pPr>
              <w:pStyle w:val="Compact"/>
            </w:pPr>
            <w:r>
              <w:t xml:space="preserve">Operates under</w:t>
            </w:r>
            <w:r>
              <w:t xml:space="preserve"> </w:t>
            </w:r>
            <w:r>
              <w:rPr>
                <w:b/>
                <w:bCs/>
              </w:rPr>
              <w:t xml:space="preserve">PDPA (B.E. 2562)</w:t>
            </w:r>
            <w:r>
              <w:t xml:space="preserve">; signs DPA + NDA</w:t>
            </w:r>
          </w:p>
        </w:tc>
        <w:tc>
          <w:tcPr/>
          <w:p>
            <w:pPr>
              <w:pStyle w:val="Compact"/>
            </w:pPr>
            <w:r>
              <w:t xml:space="preserve">Mandatory</w:t>
            </w:r>
          </w:p>
        </w:tc>
      </w:tr>
      <w:tr>
        <w:tc>
          <w:tcPr/>
          <w:p>
            <w:pPr>
              <w:pStyle w:val="Compact"/>
            </w:pPr>
            <w:r>
              <w:t xml:space="preserve">M6</w:t>
            </w:r>
          </w:p>
        </w:tc>
        <w:tc>
          <w:tcPr/>
          <w:p>
            <w:pPr>
              <w:pStyle w:val="Compact"/>
            </w:pPr>
            <w:r>
              <w:t xml:space="preserve">Professional Indemnity insurance</w:t>
            </w:r>
          </w:p>
        </w:tc>
        <w:tc>
          <w:tcPr/>
          <w:p>
            <w:pPr>
              <w:pStyle w:val="Compact"/>
            </w:pPr>
            <w:r>
              <w:t xml:space="preserve">≥ THB 50M (or as agreed)</w:t>
            </w:r>
          </w:p>
        </w:tc>
      </w:tr>
    </w:tbl>
    <w:bookmarkEnd w:id="815"/>
    <w:bookmarkStart w:id="816" w:name="weighted-scoring"/>
    <w:p>
      <w:pPr>
        <w:pStyle w:val="Heading3"/>
      </w:pPr>
      <w:r>
        <w:t xml:space="preserve">2.2 Weighted Scoring</w:t>
      </w:r>
    </w:p>
    <w:tbl>
      <w:tblPr>
        <w:tblStyle w:val="Table"/>
        <w:tblW w:type="pct" w:w="5000"/>
        <w:tblLayout w:type="fixed"/>
        <w:tblLook w:firstRow="1" w:lastRow="0" w:firstColumn="0" w:lastColumn="0" w:noHBand="0" w:noVBand="0" w:val="0020"/>
      </w:tblPr>
      <w:tblGrid>
        <w:gridCol w:w="2904"/>
        <w:gridCol w:w="2112"/>
        <w:gridCol w:w="2904"/>
      </w:tblGrid>
      <w:tr>
        <w:trPr>
          <w:tblHeader w:val="on"/>
        </w:trPr>
        <w:tc>
          <w:tcPr/>
          <w:p>
            <w:pPr>
              <w:pStyle w:val="Compact"/>
            </w:pPr>
            <w:r>
              <w:t xml:space="preserve">Dimension</w:t>
            </w:r>
          </w:p>
        </w:tc>
        <w:tc>
          <w:tcPr/>
          <w:p>
            <w:pPr>
              <w:pStyle w:val="Compact"/>
            </w:pPr>
            <w:r>
              <w:t xml:space="preserve">Weight</w:t>
            </w:r>
          </w:p>
        </w:tc>
        <w:tc>
          <w:tcPr/>
          <w:p>
            <w:pPr>
              <w:pStyle w:val="Compact"/>
            </w:pPr>
            <w:r>
              <w:t xml:space="preserve">Indicator</w:t>
            </w:r>
          </w:p>
        </w:tc>
      </w:tr>
      <w:tr>
        <w:tc>
          <w:tcPr/>
          <w:p>
            <w:pPr>
              <w:pStyle w:val="Compact"/>
            </w:pPr>
            <w:r>
              <w:t xml:space="preserve">Acquiring/gateway experience in Thailand/APAC</w:t>
            </w:r>
          </w:p>
        </w:tc>
        <w:tc>
          <w:tcPr/>
          <w:p>
            <w:pPr>
              <w:pStyle w:val="Compact"/>
            </w:pPr>
            <w:r>
              <w:t xml:space="preserve">25%</w:t>
            </w:r>
          </w:p>
        </w:tc>
        <w:tc>
          <w:tcPr/>
          <w:p>
            <w:pPr>
              <w:pStyle w:val="Compact"/>
            </w:pPr>
            <w:r>
              <w:t xml:space="preserve"># of RoCs issued to payment institutions, verifiable references</w:t>
            </w:r>
          </w:p>
        </w:tc>
      </w:tr>
      <w:tr>
        <w:tc>
          <w:tcPr/>
          <w:p>
            <w:pPr>
              <w:pStyle w:val="Compact"/>
            </w:pPr>
            <w:r>
              <w:t xml:space="preserve">Understanding of BOT / Thai regulatory context</w:t>
            </w:r>
          </w:p>
        </w:tc>
        <w:tc>
          <w:tcPr/>
          <w:p>
            <w:pPr>
              <w:pStyle w:val="Compact"/>
            </w:pPr>
            <w:r>
              <w:t xml:space="preserve">15%</w:t>
            </w:r>
          </w:p>
        </w:tc>
        <w:tc>
          <w:tcPr/>
          <w:p>
            <w:pPr>
              <w:pStyle w:val="Compact"/>
            </w:pPr>
            <w:r>
              <w:t xml:space="preserve">Prior work with BOT licensees, data-residency awareness</w:t>
            </w:r>
          </w:p>
        </w:tc>
      </w:tr>
      <w:tr>
        <w:tc>
          <w:tcPr/>
          <w:p>
            <w:pPr>
              <w:pStyle w:val="Compact"/>
            </w:pPr>
            <w:r>
              <w:t xml:space="preserve">Team &amp; continuity (same lead assessor)</w:t>
            </w:r>
          </w:p>
        </w:tc>
        <w:tc>
          <w:tcPr/>
          <w:p>
            <w:pPr>
              <w:pStyle w:val="Compact"/>
            </w:pPr>
            <w:r>
              <w:t xml:space="preserve">15%</w:t>
            </w:r>
          </w:p>
        </w:tc>
        <w:tc>
          <w:tcPr/>
          <w:p>
            <w:pPr>
              <w:pStyle w:val="Compact"/>
            </w:pPr>
            <w:r>
              <w:t xml:space="preserve">Résumés, team turnover</w:t>
            </w:r>
          </w:p>
        </w:tc>
      </w:tr>
      <w:tr>
        <w:tc>
          <w:tcPr/>
          <w:p>
            <w:pPr>
              <w:pStyle w:val="Compact"/>
            </w:pPr>
            <w:r>
              <w:t xml:space="preserve">Methodology (gap → RoC) &amp; tooling</w:t>
            </w:r>
          </w:p>
        </w:tc>
        <w:tc>
          <w:tcPr/>
          <w:p>
            <w:pPr>
              <w:pStyle w:val="Compact"/>
            </w:pPr>
            <w:r>
              <w:t xml:space="preserve">15%</w:t>
            </w:r>
          </w:p>
        </w:tc>
        <w:tc>
          <w:tcPr/>
          <w:p>
            <w:pPr>
              <w:pStyle w:val="Compact"/>
            </w:pPr>
            <w:r>
              <w:t xml:space="preserve">Sample methodology, evidence templates</w:t>
            </w:r>
          </w:p>
        </w:tc>
      </w:tr>
      <w:tr>
        <w:tc>
          <w:tcPr/>
          <w:p>
            <w:pPr>
              <w:pStyle w:val="Compact"/>
            </w:pPr>
            <w:r>
              <w:t xml:space="preserve">Price &amp; multi-year fee structure</w:t>
            </w:r>
          </w:p>
        </w:tc>
        <w:tc>
          <w:tcPr/>
          <w:p>
            <w:pPr>
              <w:pStyle w:val="Compact"/>
            </w:pPr>
            <w:r>
              <w:t xml:space="preserve">15%</w:t>
            </w:r>
          </w:p>
        </w:tc>
        <w:tc>
          <w:tcPr/>
          <w:p>
            <w:pPr>
              <w:pStyle w:val="Compact"/>
            </w:pPr>
            <w:r>
              <w:t xml:space="preserve">RoC + gap + re-test fees (framing THB 3–6M/yr per</w:t>
            </w:r>
            <w:r>
              <w:t xml:space="preserve"> </w:t>
            </w:r>
            <w:r>
              <w:rPr>
                <w:rStyle w:val="VerbatimChar"/>
              </w:rPr>
              <w:t xml:space="preserve">ROADMAP.md</w:t>
            </w:r>
            <w:r>
              <w:t xml:space="preserve">)</w:t>
            </w:r>
          </w:p>
        </w:tc>
      </w:tr>
      <w:tr>
        <w:tc>
          <w:tcPr/>
          <w:p>
            <w:pPr>
              <w:pStyle w:val="Compact"/>
            </w:pPr>
            <w:r>
              <w:t xml:space="preserve">SLA &amp; report turnaround</w:t>
            </w:r>
          </w:p>
        </w:tc>
        <w:tc>
          <w:tcPr/>
          <w:p>
            <w:pPr>
              <w:pStyle w:val="Compact"/>
            </w:pPr>
            <w:r>
              <w:t xml:space="preserve">10%</w:t>
            </w:r>
          </w:p>
        </w:tc>
        <w:tc>
          <w:tcPr/>
          <w:p>
            <w:pPr>
              <w:pStyle w:val="Compact"/>
            </w:pPr>
            <w:r>
              <w:t xml:space="preserve">Working days to draft RoC</w:t>
            </w:r>
          </w:p>
        </w:tc>
      </w:tr>
      <w:tr>
        <w:tc>
          <w:tcPr/>
          <w:p>
            <w:pPr>
              <w:pStyle w:val="Compact"/>
            </w:pPr>
            <w:r>
              <w:t xml:space="preserve">Knowledge transfer / remediation guidance</w:t>
            </w:r>
          </w:p>
        </w:tc>
        <w:tc>
          <w:tcPr/>
          <w:p>
            <w:pPr>
              <w:pStyle w:val="Compact"/>
            </w:pPr>
            <w:r>
              <w:t xml:space="preserve">5%</w:t>
            </w:r>
          </w:p>
        </w:tc>
        <w:tc>
          <w:tcPr/>
          <w:p>
            <w:pPr>
              <w:pStyle w:val="Compact"/>
            </w:pPr>
            <w:r>
              <w:t xml:space="preserve">Quality of remediation advice</w:t>
            </w:r>
          </w:p>
        </w:tc>
      </w:tr>
    </w:tbl>
    <w:p>
      <w:pPr>
        <w:pStyle w:val="BodyText"/>
      </w:pPr>
      <w:r>
        <w:rPr>
          <w:b/>
          <w:bCs/>
        </w:rPr>
        <w:t xml:space="preserve">Decision rule:</w:t>
      </w:r>
      <w:r>
        <w:t xml:space="preserve"> </w:t>
      </w:r>
      <w:r>
        <w:t xml:space="preserve">Total weighted score ≥ 75/100 and all mandatory criteria passed. The CISO recommends the top 2 to the board for approval.</w:t>
      </w:r>
    </w:p>
    <w:bookmarkEnd w:id="816"/>
    <w:bookmarkStart w:id="817" w:name="key-qsa-contract-terms"/>
    <w:p>
      <w:pPr>
        <w:pStyle w:val="Heading3"/>
      </w:pPr>
      <w:r>
        <w:t xml:space="preserve">2.3 Key QSA Contract Terms</w:t>
      </w:r>
    </w:p>
    <w:p>
      <w:pPr>
        <w:pStyle w:val="Compact"/>
        <w:numPr>
          <w:ilvl w:val="0"/>
          <w:numId w:val="1308"/>
        </w:numPr>
      </w:pPr>
      <w:r>
        <w:t xml:space="preserve">Initial gap assessment → remediation window → annual</w:t>
      </w:r>
      <w:r>
        <w:t xml:space="preserve"> </w:t>
      </w:r>
      <w:r>
        <w:rPr>
          <w:b/>
          <w:bCs/>
        </w:rPr>
        <w:t xml:space="preserve">RoC + AoC</w:t>
      </w:r>
    </w:p>
    <w:p>
      <w:pPr>
        <w:pStyle w:val="Compact"/>
        <w:numPr>
          <w:ilvl w:val="0"/>
          <w:numId w:val="1308"/>
        </w:numPr>
      </w:pPr>
      <w:r>
        <w:t xml:space="preserve">Include at least one</w:t>
      </w:r>
      <w:r>
        <w:t xml:space="preserve"> </w:t>
      </w:r>
      <w:r>
        <w:rPr>
          <w:b/>
          <w:bCs/>
        </w:rPr>
        <w:t xml:space="preserve">re-validation / re-test</w:t>
      </w:r>
      <w:r>
        <w:t xml:space="preserve"> </w:t>
      </w:r>
      <w:r>
        <w:t xml:space="preserve">cycle per year for remediated findings</w:t>
      </w:r>
    </w:p>
    <w:p>
      <w:pPr>
        <w:pStyle w:val="Compact"/>
        <w:numPr>
          <w:ilvl w:val="0"/>
          <w:numId w:val="1308"/>
        </w:numPr>
      </w:pPr>
      <w:r>
        <w:t xml:space="preserve">Independence between QSA (audit) and ASV (scan); if the same vendor, separate teams required</w:t>
      </w:r>
    </w:p>
    <w:p>
      <w:pPr>
        <w:pStyle w:val="Compact"/>
        <w:numPr>
          <w:ilvl w:val="0"/>
          <w:numId w:val="1308"/>
        </w:numPr>
      </w:pPr>
      <w:r>
        <w:t xml:space="preserve">Evidence retained in Thailand / per BOT &amp; PDPA data-residency requirements</w:t>
      </w:r>
    </w:p>
    <w:p>
      <w:r>
        <w:pict>
          <v:rect style="width:0;height:1.5pt" o:hralign="center" o:hrstd="t" o:hr="t"/>
        </w:pict>
      </w:r>
    </w:p>
    <w:bookmarkEnd w:id="817"/>
    <w:bookmarkEnd w:id="818"/>
    <w:bookmarkStart w:id="823" w:name="quarterly-asv-scan"/>
    <w:p>
      <w:pPr>
        <w:pStyle w:val="Heading2"/>
      </w:pPr>
      <w:r>
        <w:t xml:space="preserve">3. Quarterly ASV Scan</w:t>
      </w:r>
    </w:p>
    <w:bookmarkStart w:id="819" w:name="policy-statement"/>
    <w:p>
      <w:pPr>
        <w:pStyle w:val="Heading3"/>
      </w:pPr>
      <w:r>
        <w:t xml:space="preserve">3.1 Policy Statement</w:t>
      </w:r>
    </w:p>
    <w:p>
      <w:pPr>
        <w:pStyle w:val="FirstParagraph"/>
      </w:pPr>
      <w:r>
        <w:t xml:space="preserve">[บริษัท / Company] will perform an</w:t>
      </w:r>
      <w:r>
        <w:t xml:space="preserve"> </w:t>
      </w:r>
      <w:r>
        <w:rPr>
          <w:b/>
          <w:bCs/>
        </w:rPr>
        <w:t xml:space="preserve">external vulnerability scan every quarter (every 90 days)</w:t>
      </w:r>
      <w:r>
        <w:t xml:space="preserve"> </w:t>
      </w:r>
      <w:r>
        <w:t xml:space="preserve">across all public-facing IPs/hosts in the CDE, executed by a PCI SSC-registered</w:t>
      </w:r>
      <w:r>
        <w:t xml:space="preserve"> </w:t>
      </w:r>
      <w:r>
        <w:rPr>
          <w:b/>
          <w:bCs/>
        </w:rPr>
        <w:t xml:space="preserve">Approved Scanning Vendor (ASV)</w:t>
      </w:r>
      <w:r>
        <w:t xml:space="preserve">, and must achieve a</w:t>
      </w:r>
      <w:r>
        <w:t xml:space="preserve"> </w:t>
      </w:r>
      <w:r>
        <w:rPr>
          <w:b/>
          <w:bCs/>
        </w:rPr>
        <w:t xml:space="preserve">“PASS”</w:t>
      </w:r>
      <w:r>
        <w:t xml:space="preserve"> </w:t>
      </w:r>
      <w:r>
        <w:t xml:space="preserve">per PCI-DSS v4.0</w:t>
      </w:r>
      <w:r>
        <w:t xml:space="preserve"> </w:t>
      </w:r>
      <w:r>
        <w:rPr>
          <w:b/>
          <w:bCs/>
        </w:rPr>
        <w:t xml:space="preserve">Req 11.3.2</w:t>
      </w:r>
      <w:r>
        <w:t xml:space="preserve">, together with</w:t>
      </w:r>
      <w:r>
        <w:t xml:space="preserve"> </w:t>
      </w:r>
      <w:r>
        <w:rPr>
          <w:b/>
          <w:bCs/>
        </w:rPr>
        <w:t xml:space="preserve">internal vulnerability scans (Req 11.3.1)</w:t>
      </w:r>
      <w:r>
        <w:t xml:space="preserve"> </w:t>
      </w:r>
      <w:r>
        <w:t xml:space="preserve">performed quarterly and after significant changes.</w:t>
      </w:r>
    </w:p>
    <w:bookmarkEnd w:id="819"/>
    <w:bookmarkStart w:id="820" w:name="scan-parameters"/>
    <w:p>
      <w:pPr>
        <w:pStyle w:val="Heading3"/>
      </w:pPr>
      <w:r>
        <w:t xml:space="preserve">3.2 Scan Parameters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Frequency</w:t>
            </w:r>
          </w:p>
        </w:tc>
        <w:tc>
          <w:tcPr/>
          <w:p>
            <w:pPr>
              <w:pStyle w:val="Compact"/>
            </w:pPr>
            <w:r>
              <w:t xml:space="preserve">Every 90 days (≥ 4/year) + after significant change</w:t>
            </w:r>
          </w:p>
        </w:tc>
      </w:tr>
      <w:tr>
        <w:tc>
          <w:tcPr/>
          <w:p>
            <w:pPr>
              <w:pStyle w:val="Compact"/>
            </w:pPr>
            <w:r>
              <w:t xml:space="preserve">Coverage</w:t>
            </w:r>
          </w:p>
        </w:tc>
        <w:tc>
          <w:tcPr/>
          <w:p>
            <w:pPr>
              <w:pStyle w:val="Compact"/>
            </w:pPr>
            <w:r>
              <w:t xml:space="preserve">All external IPs/domains of the CDE and connected systems</w:t>
            </w:r>
          </w:p>
        </w:tc>
      </w:tr>
      <w:tr>
        <w:tc>
          <w:tcPr/>
          <w:p>
            <w:pPr>
              <w:pStyle w:val="Compact"/>
            </w:pPr>
            <w:r>
              <w:t xml:space="preserve">Pass criteria (ASV external)</w:t>
            </w:r>
          </w:p>
        </w:tc>
        <w:tc>
          <w:tcPr/>
          <w:p>
            <w:pPr>
              <w:pStyle w:val="Compact"/>
            </w:pPr>
            <w:r>
              <w:t xml:space="preserve">No vulnerability CVSS ≥ 4.0; no automatic-fail conditions (e.g. SQLi/XSS, expired cert, insecure protocol)</w:t>
            </w:r>
          </w:p>
        </w:tc>
      </w:tr>
      <w:tr>
        <w:tc>
          <w:tcPr/>
          <w:p>
            <w:pPr>
              <w:pStyle w:val="Compact"/>
            </w:pPr>
            <w:r>
              <w:t xml:space="preserve">Pass criteria (internal)</w:t>
            </w:r>
          </w:p>
        </w:tc>
        <w:tc>
          <w:tcPr/>
          <w:p>
            <w:pPr>
              <w:pStyle w:val="Compact"/>
            </w:pPr>
            <w:r>
              <w:t xml:space="preserve">All</w:t>
            </w:r>
            <w:r>
              <w:t xml:space="preserve"> </w:t>
            </w:r>
            <w:r>
              <w:rPr>
                <w:b/>
                <w:bCs/>
              </w:rPr>
              <w:t xml:space="preserve">critical + high</w:t>
            </w:r>
            <w:r>
              <w:t xml:space="preserve"> </w:t>
            </w:r>
            <w:r>
              <w:t xml:space="preserve">resolved (per Req 6.3.1 risk ranking), then re-scan to clean</w:t>
            </w:r>
          </w:p>
        </w:tc>
      </w:tr>
      <w:tr>
        <w:tc>
          <w:tcPr/>
          <w:p>
            <w:pPr>
              <w:pStyle w:val="Compact"/>
            </w:pPr>
            <w:r>
              <w:t xml:space="preserve">Authenticated scan</w:t>
            </w:r>
          </w:p>
        </w:tc>
        <w:tc>
          <w:tcPr/>
          <w:p>
            <w:pPr>
              <w:pStyle w:val="Compact"/>
            </w:pPr>
            <w:r>
              <w:t xml:space="preserve">Mandatory for internal scans (Req 11.3.1.2)</w:t>
            </w:r>
          </w:p>
        </w:tc>
      </w:tr>
      <w:tr>
        <w:tc>
          <w:tcPr/>
          <w:p>
            <w:pPr>
              <w:pStyle w:val="Compact"/>
            </w:pPr>
            <w:r>
              <w:t xml:space="preserve">False-positive handling</w:t>
            </w:r>
          </w:p>
        </w:tc>
        <w:tc>
          <w:tcPr/>
          <w:p>
            <w:pPr>
              <w:pStyle w:val="Compact"/>
            </w:pPr>
            <w:r>
              <w:t xml:space="preserve">ASV-backed evidence/justification recorded in a dispute log</w:t>
            </w:r>
          </w:p>
        </w:tc>
      </w:tr>
    </w:tbl>
    <w:bookmarkEnd w:id="820"/>
    <w:bookmarkStart w:id="821" w:name="quarterly-cadence"/>
    <w:p>
      <w:pPr>
        <w:pStyle w:val="Heading3"/>
      </w:pPr>
      <w:r>
        <w:t xml:space="preserve">3.3 Quarterly Cadence</w:t>
      </w:r>
    </w:p>
    <w:tbl>
      <w:tblPr>
        <w:tblStyle w:val="Table"/>
        <w:tblW w:type="pct" w:w="5000"/>
        <w:tblLayout w:type="fixed"/>
        <w:tblLook w:firstRow="1" w:lastRow="0" w:firstColumn="0" w:lastColumn="0" w:noHBand="0" w:noVBand="0" w:val="0020"/>
      </w:tblPr>
      <w:tblGrid>
        <w:gridCol w:w="1344"/>
        <w:gridCol w:w="2092"/>
        <w:gridCol w:w="2839"/>
        <w:gridCol w:w="1643"/>
      </w:tblGrid>
      <w:tr>
        <w:trPr>
          <w:tblHeader w:val="on"/>
        </w:trPr>
        <w:tc>
          <w:tcPr/>
          <w:p>
            <w:pPr>
              <w:pStyle w:val="Compact"/>
            </w:pPr>
            <w:r>
              <w:t xml:space="preserve">Quarter</w:t>
            </w:r>
          </w:p>
        </w:tc>
        <w:tc>
          <w:tcPr/>
          <w:p>
            <w:pPr>
              <w:pStyle w:val="Compact"/>
            </w:pPr>
            <w:r>
              <w:t xml:space="preserve">Internal scan</w:t>
            </w:r>
          </w:p>
        </w:tc>
        <w:tc>
          <w:tcPr/>
          <w:p>
            <w:pPr>
              <w:pStyle w:val="Compact"/>
            </w:pPr>
            <w:r>
              <w:t xml:space="preserve">ASV external scan</w:t>
            </w:r>
          </w:p>
        </w:tc>
        <w:tc>
          <w:tcPr/>
          <w:p>
            <w:pPr>
              <w:pStyle w:val="Compact"/>
            </w:pPr>
            <w:r>
              <w:t xml:space="preserve">Reporting</w:t>
            </w:r>
          </w:p>
        </w:tc>
      </w:tr>
      <w:tr>
        <w:tc>
          <w:tcPr/>
          <w:p>
            <w:pPr>
              <w:pStyle w:val="Compact"/>
            </w:pPr>
            <w:r>
              <w:t xml:space="preserve">Q1 (Jan–Mar)</w:t>
            </w:r>
          </w:p>
        </w:tc>
        <w:tc>
          <w:tcPr/>
          <w:p>
            <w:pPr>
              <w:pStyle w:val="Compact"/>
            </w:pPr>
            <w:r>
              <w:t xml:space="preserve">Within first 15 days of Q</w:t>
            </w:r>
          </w:p>
        </w:tc>
        <w:tc>
          <w:tcPr/>
          <w:p>
            <w:pPr>
              <w:pStyle w:val="Compact"/>
            </w:pPr>
            <w:r>
              <w:t xml:space="preserve">Before quarter-end</w:t>
            </w:r>
          </w:p>
        </w:tc>
        <w:tc>
          <w:tcPr/>
          <w:p>
            <w:pPr>
              <w:pStyle w:val="Compact"/>
            </w:pPr>
            <w:r>
              <w:t xml:space="preserve">Within 10 days of PASS</w:t>
            </w:r>
          </w:p>
        </w:tc>
      </w:tr>
      <w:tr>
        <w:tc>
          <w:tcPr/>
          <w:p>
            <w:pPr>
              <w:pStyle w:val="Compact"/>
            </w:pPr>
            <w:r>
              <w:t xml:space="preserve">Q2 (Apr–Jun)</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Q3 (Jul–Sep)</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Q4 (Oct–Dec)</w:t>
            </w:r>
          </w:p>
        </w:tc>
        <w:tc>
          <w:tcPr/>
          <w:p>
            <w:pPr>
              <w:pStyle w:val="Compact"/>
            </w:pPr>
            <w:r>
              <w:t xml:space="preserve">Same</w:t>
            </w:r>
          </w:p>
        </w:tc>
        <w:tc>
          <w:tcPr/>
          <w:p>
            <w:pPr>
              <w:pStyle w:val="Compact"/>
            </w:pPr>
            <w:r>
              <w:t xml:space="preserve">Same</w:t>
            </w:r>
          </w:p>
        </w:tc>
        <w:tc>
          <w:tcPr/>
          <w:p>
            <w:pPr>
              <w:pStyle w:val="Compact"/>
            </w:pPr>
            <w:r>
              <w:t xml:space="preserve">Rolled into annual RoC</w:t>
            </w:r>
          </w:p>
        </w:tc>
      </w:tr>
    </w:tbl>
    <w:p>
      <w:pPr>
        <w:pStyle w:val="BlockText"/>
      </w:pPr>
      <w:r>
        <w:rPr>
          <w:b/>
          <w:bCs/>
        </w:rPr>
        <w:t xml:space="preserve">After a significant change</w:t>
      </w:r>
      <w:r>
        <w:t xml:space="preserve"> </w:t>
      </w:r>
      <w:r>
        <w:t xml:space="preserve">(network change, added system component, acquirer-adapter upgrade, firewall-rule change) a re-scan is required even if not yet at the quarterly boundary.</w:t>
      </w:r>
    </w:p>
    <w:bookmarkEnd w:id="821"/>
    <w:bookmarkStart w:id="822" w:name="asv-scan-workflow"/>
    <w:p>
      <w:pPr>
        <w:pStyle w:val="Heading3"/>
      </w:pPr>
      <w:r>
        <w:t xml:space="preserve">3.4 ASV Scan Workflow</w:t>
      </w:r>
    </w:p>
    <w:p>
      <w:pPr>
        <w:pStyle w:val="Compact"/>
        <w:numPr>
          <w:ilvl w:val="0"/>
          <w:numId w:val="1309"/>
        </w:numPr>
      </w:pPr>
      <w:r>
        <w:t xml:space="preserve">DevSecOps confirms the latest scope/IP inventory and provides it to the ASV.</w:t>
      </w:r>
    </w:p>
    <w:p>
      <w:pPr>
        <w:pStyle w:val="Compact"/>
        <w:numPr>
          <w:ilvl w:val="0"/>
          <w:numId w:val="1309"/>
        </w:numPr>
      </w:pPr>
      <w:r>
        <w:t xml:space="preserve">ASV runs the external scan → issues a preliminary report.</w:t>
      </w:r>
    </w:p>
    <w:p>
      <w:pPr>
        <w:pStyle w:val="Compact"/>
        <w:numPr>
          <w:ilvl w:val="0"/>
          <w:numId w:val="1309"/>
        </w:numPr>
      </w:pPr>
      <w:r>
        <w:t xml:space="preserve">If a</w:t>
      </w:r>
      <w:r>
        <w:t xml:space="preserve"> </w:t>
      </w:r>
      <w:r>
        <w:rPr>
          <w:b/>
          <w:bCs/>
        </w:rPr>
        <w:t xml:space="preserve">FAIL</w:t>
      </w:r>
      <w:r>
        <w:t xml:space="preserve">-inducing vulnerability is found → log into the remediation tracker (Section 5) → fix →</w:t>
      </w:r>
      <w:r>
        <w:t xml:space="preserve"> </w:t>
      </w:r>
      <w:r>
        <w:rPr>
          <w:b/>
          <w:bCs/>
        </w:rPr>
        <w:t xml:space="preserve">re-scan</w:t>
      </w:r>
      <w:r>
        <w:t xml:space="preserve"> </w:t>
      </w:r>
      <w:r>
        <w:t xml:space="preserve">until PASS.</w:t>
      </w:r>
    </w:p>
    <w:p>
      <w:pPr>
        <w:pStyle w:val="Compact"/>
        <w:numPr>
          <w:ilvl w:val="0"/>
          <w:numId w:val="1309"/>
        </w:numPr>
      </w:pPr>
      <w:r>
        <w:t xml:space="preserve">Retain the</w:t>
      </w:r>
      <w:r>
        <w:t xml:space="preserve"> </w:t>
      </w:r>
      <w:r>
        <w:rPr>
          <w:b/>
          <w:bCs/>
        </w:rPr>
        <w:t xml:space="preserve">ASV Scan Report + Attestation of Scan Compliance (AoSC)</w:t>
      </w:r>
      <w:r>
        <w:t xml:space="preserve"> </w:t>
      </w:r>
      <w:r>
        <w:t xml:space="preserve">for all 4 quarters as evidence for the RoC and sponsor/scheme reporting.</w:t>
      </w:r>
    </w:p>
    <w:p>
      <w:pPr>
        <w:pStyle w:val="Compact"/>
        <w:numPr>
          <w:ilvl w:val="0"/>
          <w:numId w:val="1309"/>
        </w:numPr>
      </w:pPr>
      <w:r>
        <w:t xml:space="preserve">Compliance Officer summarizes status into the quarterly compliance report to BOT / sponsor.</w:t>
      </w:r>
    </w:p>
    <w:p>
      <w:r>
        <w:pict>
          <v:rect style="width:0;height:1.5pt" o:hralign="center" o:hrstd="t" o:hr="t"/>
        </w:pict>
      </w:r>
    </w:p>
    <w:bookmarkEnd w:id="822"/>
    <w:bookmarkEnd w:id="823"/>
    <w:bookmarkStart w:id="828" w:name="annual-penetration-test"/>
    <w:p>
      <w:pPr>
        <w:pStyle w:val="Heading2"/>
      </w:pPr>
      <w:r>
        <w:t xml:space="preserve">4. Annual Penetration Test</w:t>
      </w:r>
    </w:p>
    <w:bookmarkStart w:id="824" w:name="policy"/>
    <w:p>
      <w:pPr>
        <w:pStyle w:val="Heading3"/>
      </w:pPr>
      <w:r>
        <w:t xml:space="preserve">4.1 Policy</w:t>
      </w:r>
    </w:p>
    <w:p>
      <w:pPr>
        <w:pStyle w:val="FirstParagraph"/>
      </w:pPr>
      <w:r>
        <w:t xml:space="preserve">[บริษัท / Company] will conduct a</w:t>
      </w:r>
      <w:r>
        <w:t xml:space="preserve"> </w:t>
      </w:r>
      <w:r>
        <w:rPr>
          <w:b/>
          <w:bCs/>
        </w:rPr>
        <w:t xml:space="preserve">penetration test at least annually and after any significant infrastructure/application change</w:t>
      </w:r>
      <w:r>
        <w:t xml:space="preserve">, covering</w:t>
      </w:r>
      <w:r>
        <w:t xml:space="preserve"> </w:t>
      </w:r>
      <w:r>
        <w:rPr>
          <w:b/>
          <w:bCs/>
        </w:rPr>
        <w:t xml:space="preserve">external and internal</w:t>
      </w:r>
      <w:r>
        <w:t xml:space="preserve">,</w:t>
      </w:r>
      <w:r>
        <w:t xml:space="preserve"> </w:t>
      </w:r>
      <w:r>
        <w:rPr>
          <w:b/>
          <w:bCs/>
        </w:rPr>
        <w:t xml:space="preserve">network-layer and application-layer</w:t>
      </w:r>
      <w:r>
        <w:t xml:space="preserve">, per PCI-DSS v4.0</w:t>
      </w:r>
      <w:r>
        <w:t xml:space="preserve"> </w:t>
      </w:r>
      <w:r>
        <w:rPr>
          <w:b/>
          <w:bCs/>
        </w:rPr>
        <w:t xml:space="preserve">Req 11.4</w:t>
      </w:r>
      <w:r>
        <w:t xml:space="preserve">, using an industry-accepted methodology such as</w:t>
      </w:r>
      <w:r>
        <w:t xml:space="preserve"> </w:t>
      </w:r>
      <w:r>
        <w:rPr>
          <w:b/>
          <w:bCs/>
        </w:rPr>
        <w:t xml:space="preserve">PTES / OWASP Testing Guide / NIST SP 800-115</w:t>
      </w:r>
      <w:r>
        <w:t xml:space="preserve">. As a</w:t>
      </w:r>
      <w:r>
        <w:t xml:space="preserve"> </w:t>
      </w:r>
      <w:r>
        <w:rPr>
          <w:b/>
          <w:bCs/>
        </w:rPr>
        <w:t xml:space="preserve">service provider</w:t>
      </w:r>
      <w:r>
        <w:t xml:space="preserve">, a</w:t>
      </w:r>
      <w:r>
        <w:t xml:space="preserve"> </w:t>
      </w:r>
      <w:r>
        <w:rPr>
          <w:b/>
          <w:bCs/>
        </w:rPr>
        <w:t xml:space="preserve">segmentation test every 6 months</w:t>
      </w:r>
      <w:r>
        <w:t xml:space="preserve"> </w:t>
      </w:r>
      <w:r>
        <w:t xml:space="preserve">is required (Req 11.4.5).</w:t>
      </w:r>
    </w:p>
    <w:bookmarkEnd w:id="824"/>
    <w:bookmarkStart w:id="825" w:name="scope-types"/>
    <w:p>
      <w:pPr>
        <w:pStyle w:val="Heading3"/>
      </w:pPr>
      <w:r>
        <w:t xml:space="preserve">4.2 Scope &amp; Types</w:t>
      </w:r>
    </w:p>
    <w:tbl>
      <w:tblPr>
        <w:tblStyle w:val="Table"/>
        <w:tblW w:type="pct" w:w="5000"/>
        <w:tblLayout w:type="fixed"/>
        <w:tblLook w:firstRow="1" w:lastRow="0" w:firstColumn="0" w:lastColumn="0" w:noHBand="0" w:noVBand="0" w:val="0020"/>
      </w:tblPr>
      <w:tblGrid>
        <w:gridCol w:w="1357"/>
        <w:gridCol w:w="2489"/>
        <w:gridCol w:w="1584"/>
        <w:gridCol w:w="2489"/>
      </w:tblGrid>
      <w:tr>
        <w:trPr>
          <w:tblHeader w:val="on"/>
        </w:trPr>
        <w:tc>
          <w:tcPr/>
          <w:p>
            <w:pPr>
              <w:pStyle w:val="Compact"/>
            </w:pPr>
            <w:r>
              <w:t xml:space="preserve">Type</w:t>
            </w:r>
          </w:p>
        </w:tc>
        <w:tc>
          <w:tcPr/>
          <w:p>
            <w:pPr>
              <w:pStyle w:val="Compact"/>
            </w:pPr>
            <w:r>
              <w:t xml:space="preserve">Frequency</w:t>
            </w:r>
          </w:p>
        </w:tc>
        <w:tc>
          <w:tcPr/>
          <w:p>
            <w:pPr>
              <w:pStyle w:val="Compact"/>
            </w:pPr>
            <w:r>
              <w:t xml:space="preserve">Scope</w:t>
            </w:r>
          </w:p>
        </w:tc>
        <w:tc>
          <w:tcPr/>
          <w:p>
            <w:pPr>
              <w:pStyle w:val="Compact"/>
            </w:pPr>
            <w:r>
              <w:t xml:space="preserve">Reference</w:t>
            </w:r>
          </w:p>
        </w:tc>
      </w:tr>
      <w:tr>
        <w:tc>
          <w:tcPr/>
          <w:p>
            <w:pPr>
              <w:pStyle w:val="Compact"/>
            </w:pPr>
            <w:r>
              <w:t xml:space="preserve">External network pentest</w:t>
            </w:r>
          </w:p>
        </w:tc>
        <w:tc>
          <w:tcPr/>
          <w:p>
            <w:pPr>
              <w:pStyle w:val="Compact"/>
            </w:pPr>
            <w:r>
              <w:t xml:space="preserve">Annual + after significant change</w:t>
            </w:r>
          </w:p>
        </w:tc>
        <w:tc>
          <w:tcPr/>
          <w:p>
            <w:pPr>
              <w:pStyle w:val="Compact"/>
            </w:pPr>
            <w:r>
              <w:t xml:space="preserve">Public-facing CDE perimeter</w:t>
            </w:r>
          </w:p>
        </w:tc>
        <w:tc>
          <w:tcPr/>
          <w:p>
            <w:pPr>
              <w:pStyle w:val="Compact"/>
            </w:pPr>
            <w:r>
              <w:t xml:space="preserve">Req 11.4.3</w:t>
            </w:r>
          </w:p>
        </w:tc>
      </w:tr>
      <w:tr>
        <w:tc>
          <w:tcPr/>
          <w:p>
            <w:pPr>
              <w:pStyle w:val="Compact"/>
            </w:pPr>
            <w:r>
              <w:t xml:space="preserve">Internal network pentest</w:t>
            </w:r>
          </w:p>
        </w:tc>
        <w:tc>
          <w:tcPr/>
          <w:p>
            <w:pPr>
              <w:pStyle w:val="Compact"/>
            </w:pPr>
            <w:r>
              <w:t xml:space="preserve">Annual + after significant change</w:t>
            </w:r>
          </w:p>
        </w:tc>
        <w:tc>
          <w:tcPr/>
          <w:p>
            <w:pPr>
              <w:pStyle w:val="Compact"/>
            </w:pPr>
            <w:r>
              <w:t xml:space="preserve">Inside CDE + connected systems</w:t>
            </w:r>
          </w:p>
        </w:tc>
        <w:tc>
          <w:tcPr/>
          <w:p>
            <w:pPr>
              <w:pStyle w:val="Compact"/>
            </w:pPr>
            <w:r>
              <w:t xml:space="preserve">Req 11.4.2</w:t>
            </w:r>
          </w:p>
        </w:tc>
      </w:tr>
      <w:tr>
        <w:tc>
          <w:tcPr/>
          <w:p>
            <w:pPr>
              <w:pStyle w:val="Compact"/>
            </w:pPr>
            <w:r>
              <w:t xml:space="preserve">Application-layer pentest</w:t>
            </w:r>
          </w:p>
        </w:tc>
        <w:tc>
          <w:tcPr/>
          <w:p>
            <w:pPr>
              <w:pStyle w:val="Compact"/>
            </w:pPr>
            <w:r>
              <w:t xml:space="preserve">Annual + major release</w:t>
            </w:r>
          </w:p>
        </w:tc>
        <w:tc>
          <w:tcPr/>
          <w:p>
            <w:pPr>
              <w:pStyle w:val="Compact"/>
            </w:pPr>
            <w:r>
              <w:t xml:space="preserve">API</w:t>
            </w:r>
            <w:r>
              <w:t xml:space="preserve"> </w:t>
            </w:r>
            <w:r>
              <w:rPr>
                <w:rStyle w:val="VerbatimChar"/>
              </w:rPr>
              <w:t xml:space="preserve">/v1/payments</w:t>
            </w:r>
            <w:r>
              <w:t xml:space="preserve">, auth, tokenization, webhook, 3DS flow</w:t>
            </w:r>
          </w:p>
        </w:tc>
        <w:tc>
          <w:tcPr/>
          <w:p>
            <w:pPr>
              <w:pStyle w:val="Compact"/>
            </w:pPr>
            <w:r>
              <w:t xml:space="preserve">Req 11.4.3 / OWASP Top 10 + API Top 10</w:t>
            </w:r>
          </w:p>
        </w:tc>
      </w:tr>
      <w:tr>
        <w:tc>
          <w:tcPr/>
          <w:p>
            <w:pPr>
              <w:pStyle w:val="Compact"/>
            </w:pPr>
            <w:r>
              <w:t xml:space="preserve">Segmentation test</w:t>
            </w:r>
          </w:p>
        </w:tc>
        <w:tc>
          <w:tcPr/>
          <w:p>
            <w:pPr>
              <w:pStyle w:val="Compact"/>
            </w:pPr>
            <w:r>
              <w:rPr>
                <w:b/>
                <w:bCs/>
              </w:rPr>
              <w:t xml:space="preserve">Every 6 months</w:t>
            </w:r>
            <w:r>
              <w:t xml:space="preserve"> </w:t>
            </w:r>
            <w:r>
              <w:t xml:space="preserve">(service provider)</w:t>
            </w:r>
          </w:p>
        </w:tc>
        <w:tc>
          <w:tcPr/>
          <w:p>
            <w:pPr>
              <w:pStyle w:val="Compact"/>
            </w:pPr>
            <w:r>
              <w:t xml:space="preserve">Verify CDE isolation from out-of-scope</w:t>
            </w:r>
          </w:p>
        </w:tc>
        <w:tc>
          <w:tcPr/>
          <w:p>
            <w:pPr>
              <w:pStyle w:val="Compact"/>
            </w:pPr>
            <w:r>
              <w:t xml:space="preserve">Req 11.4.5</w:t>
            </w:r>
          </w:p>
        </w:tc>
      </w:tr>
      <w:tr>
        <w:tc>
          <w:tcPr/>
          <w:p>
            <w:pPr>
              <w:pStyle w:val="Compact"/>
            </w:pPr>
            <w:r>
              <w:t xml:space="preserve">3DS / EMV 3DS integration</w:t>
            </w:r>
          </w:p>
        </w:tc>
        <w:tc>
          <w:tcPr/>
          <w:p>
            <w:pPr>
              <w:pStyle w:val="Compact"/>
            </w:pPr>
            <w:r>
              <w:t xml:space="preserve">Annual</w:t>
            </w:r>
          </w:p>
        </w:tc>
        <w:tc>
          <w:tcPr/>
          <w:p>
            <w:pPr>
              <w:pStyle w:val="Compact"/>
            </w:pPr>
            <w:r>
              <w:t xml:space="preserve">Validate ACS/DS flow per EMV 3DS 2.x</w:t>
            </w:r>
          </w:p>
        </w:tc>
        <w:tc>
          <w:tcPr/>
          <w:p>
            <w:pPr>
              <w:pStyle w:val="Compact"/>
            </w:pPr>
            <w:r>
              <w:t xml:space="preserve">Per scheme requirements</w:t>
            </w:r>
          </w:p>
        </w:tc>
      </w:tr>
    </w:tbl>
    <w:bookmarkEnd w:id="825"/>
    <w:bookmarkStart w:id="826" w:name="tester-requirements"/>
    <w:p>
      <w:pPr>
        <w:pStyle w:val="Heading3"/>
      </w:pPr>
      <w:r>
        <w:t xml:space="preserve">4.3 Tester Requirements</w:t>
      </w:r>
    </w:p>
    <w:p>
      <w:pPr>
        <w:pStyle w:val="Compact"/>
        <w:numPr>
          <w:ilvl w:val="0"/>
          <w:numId w:val="1310"/>
        </w:numPr>
      </w:pPr>
      <w:r>
        <w:t xml:space="preserve">Tester</w:t>
      </w:r>
      <w:r>
        <w:t xml:space="preserve"> </w:t>
      </w:r>
      <w:r>
        <w:rPr>
          <w:b/>
          <w:bCs/>
        </w:rPr>
        <w:t xml:space="preserve">organizationally independent</w:t>
      </w:r>
      <w:r>
        <w:t xml:space="preserve"> </w:t>
      </w:r>
      <w:r>
        <w:t xml:space="preserve">from the system-development team (Req 11.4.1)</w:t>
      </w:r>
    </w:p>
    <w:p>
      <w:pPr>
        <w:pStyle w:val="Compact"/>
        <w:numPr>
          <w:ilvl w:val="0"/>
          <w:numId w:val="1310"/>
        </w:numPr>
      </w:pPr>
      <w:r>
        <w:t xml:space="preserve">Certifications such as</w:t>
      </w:r>
      <w:r>
        <w:t xml:space="preserve"> </w:t>
      </w:r>
      <w:r>
        <w:rPr>
          <w:b/>
          <w:bCs/>
        </w:rPr>
        <w:t xml:space="preserve">OSCP / OSCE / GPEN / CREST</w:t>
      </w:r>
    </w:p>
    <w:p>
      <w:pPr>
        <w:pStyle w:val="Compact"/>
        <w:numPr>
          <w:ilvl w:val="0"/>
          <w:numId w:val="1310"/>
        </w:numPr>
      </w:pPr>
      <w:r>
        <w:t xml:space="preserve">Both</w:t>
      </w:r>
      <w:r>
        <w:t xml:space="preserve"> </w:t>
      </w:r>
      <w:r>
        <w:rPr>
          <w:b/>
          <w:bCs/>
        </w:rPr>
        <w:t xml:space="preserve">authenticated</w:t>
      </w:r>
      <w:r>
        <w:t xml:space="preserve"> </w:t>
      </w:r>
      <w:r>
        <w:t xml:space="preserve">and</w:t>
      </w:r>
      <w:r>
        <w:t xml:space="preserve"> </w:t>
      </w:r>
      <w:r>
        <w:rPr>
          <w:b/>
          <w:bCs/>
        </w:rPr>
        <w:t xml:space="preserve">unauthenticated</w:t>
      </w:r>
      <w:r>
        <w:t xml:space="preserve"> </w:t>
      </w:r>
      <w:r>
        <w:t xml:space="preserve">testing</w:t>
      </w:r>
    </w:p>
    <w:p>
      <w:pPr>
        <w:pStyle w:val="Compact"/>
        <w:numPr>
          <w:ilvl w:val="0"/>
          <w:numId w:val="1310"/>
        </w:numPr>
      </w:pPr>
      <w:r>
        <w:t xml:space="preserve">Coverage of attacks seen in the last 12 months (threat-informed)</w:t>
      </w:r>
    </w:p>
    <w:bookmarkEnd w:id="826"/>
    <w:bookmarkStart w:id="827" w:name="post-test-handling"/>
    <w:p>
      <w:pPr>
        <w:pStyle w:val="Heading3"/>
      </w:pPr>
      <w:r>
        <w:t xml:space="preserve">4.4 Post-test Handling</w:t>
      </w:r>
    </w:p>
    <w:p>
      <w:pPr>
        <w:pStyle w:val="FirstParagraph"/>
      </w:pPr>
      <w:r>
        <w:t xml:space="preserve">All identified vulnerabilities must be</w:t>
      </w:r>
      <w:r>
        <w:t xml:space="preserve"> </w:t>
      </w:r>
      <w:r>
        <w:rPr>
          <w:b/>
          <w:bCs/>
        </w:rPr>
        <w:t xml:space="preserve">corrected per risk ranking</w:t>
      </w:r>
      <w:r>
        <w:t xml:space="preserve"> </w:t>
      </w:r>
      <w:r>
        <w:t xml:space="preserve">and</w:t>
      </w:r>
      <w:r>
        <w:t xml:space="preserve"> </w:t>
      </w:r>
      <w:r>
        <w:rPr>
          <w:b/>
          <w:bCs/>
        </w:rPr>
        <w:t xml:space="preserve">re-tested to confirm remediation</w:t>
      </w:r>
      <w:r>
        <w:t xml:space="preserve"> </w:t>
      </w:r>
      <w:r>
        <w:t xml:space="preserve">(Req 11.4.4) before a finding is closed — critical/high in particular must be fixed and re-tested before the RoC is issued.</w:t>
      </w:r>
    </w:p>
    <w:p>
      <w:r>
        <w:pict>
          <v:rect style="width:0;height:1.5pt" o:hralign="center" o:hrstd="t" o:hr="t"/>
        </w:pict>
      </w:r>
    </w:p>
    <w:bookmarkEnd w:id="827"/>
    <w:bookmarkEnd w:id="828"/>
    <w:bookmarkStart w:id="832" w:name="remediation-tracking"/>
    <w:p>
      <w:pPr>
        <w:pStyle w:val="Heading2"/>
      </w:pPr>
      <w:r>
        <w:t xml:space="preserve">5. Remediation Tracking</w:t>
      </w:r>
    </w:p>
    <w:bookmarkStart w:id="829" w:name="severity-classification-sla"/>
    <w:p>
      <w:pPr>
        <w:pStyle w:val="Heading3"/>
      </w:pPr>
      <w:r>
        <w:t xml:space="preserve">5.1 Severity Classification &amp; SLA</w:t>
      </w:r>
    </w:p>
    <w:p>
      <w:pPr>
        <w:pStyle w:val="FirstParagraph"/>
      </w:pPr>
      <w:r>
        <w:t xml:space="preserve">Ranked by</w:t>
      </w:r>
      <w:r>
        <w:t xml:space="preserve"> </w:t>
      </w:r>
      <w:r>
        <w:rPr>
          <w:b/>
          <w:bCs/>
        </w:rPr>
        <w:t xml:space="preserve">CVSS v3.1/v4.0</w:t>
      </w:r>
      <w:r>
        <w:t xml:space="preserve"> </w:t>
      </w:r>
      <w:r>
        <w:t xml:space="preserve">together with the</w:t>
      </w:r>
      <w:r>
        <w:t xml:space="preserve"> </w:t>
      </w:r>
      <w:r>
        <w:rPr>
          <w:b/>
          <w:bCs/>
        </w:rPr>
        <w:t xml:space="preserve">[บริษัท / Company] risk ranking</w:t>
      </w:r>
      <w:r>
        <w:t xml:space="preserve"> </w:t>
      </w:r>
      <w:r>
        <w:t xml:space="preserve">(PCI Req 6.3.1) and impact on the CDE / funds / cardholder data.</w:t>
      </w:r>
    </w:p>
    <w:tbl>
      <w:tblPr>
        <w:tblStyle w:val="Table"/>
        <w:tblW w:type="pct" w:w="5000"/>
        <w:tblLayout w:type="fixed"/>
        <w:tblLook w:firstRow="1" w:lastRow="0" w:firstColumn="0" w:lastColumn="0" w:noHBand="0" w:noVBand="0" w:val="0020"/>
      </w:tblPr>
      <w:tblGrid>
        <w:gridCol w:w="1164"/>
        <w:gridCol w:w="698"/>
        <w:gridCol w:w="3960"/>
        <w:gridCol w:w="2096"/>
      </w:tblGrid>
      <w:tr>
        <w:trPr>
          <w:tblHeader w:val="on"/>
        </w:trPr>
        <w:tc>
          <w:tcPr/>
          <w:p>
            <w:pPr>
              <w:pStyle w:val="Compact"/>
            </w:pPr>
            <w:r>
              <w:t xml:space="preserve">Severity</w:t>
            </w:r>
          </w:p>
        </w:tc>
        <w:tc>
          <w:tcPr/>
          <w:p>
            <w:pPr>
              <w:pStyle w:val="Compact"/>
            </w:pPr>
            <w:r>
              <w:t xml:space="preserve">CVSS</w:t>
            </w:r>
          </w:p>
        </w:tc>
        <w:tc>
          <w:tcPr/>
          <w:p>
            <w:pPr>
              <w:pStyle w:val="Compact"/>
            </w:pPr>
            <w:r>
              <w:t xml:space="preserve">Remediation SLA (start/complete)</w:t>
            </w:r>
          </w:p>
        </w:tc>
        <w:tc>
          <w:tcPr/>
          <w:p>
            <w:pPr>
              <w:pStyle w:val="Compact"/>
            </w:pPr>
            <w:r>
              <w:t xml:space="preserve">Closure approver</w:t>
            </w:r>
          </w:p>
        </w:tc>
      </w:tr>
      <w:tr>
        <w:tc>
          <w:tcPr/>
          <w:p>
            <w:pPr>
              <w:pStyle w:val="Compact"/>
            </w:pPr>
            <w:r>
              <w:rPr>
                <w:b/>
                <w:bCs/>
              </w:rPr>
              <w:t xml:space="preserve">Critical</w:t>
            </w:r>
          </w:p>
        </w:tc>
        <w:tc>
          <w:tcPr/>
          <w:p>
            <w:pPr>
              <w:pStyle w:val="Compact"/>
            </w:pPr>
            <w:r>
              <w:t xml:space="preserve">9.0–10.0</w:t>
            </w:r>
          </w:p>
        </w:tc>
        <w:tc>
          <w:tcPr/>
          <w:p>
            <w:pPr>
              <w:pStyle w:val="Compact"/>
            </w:pPr>
            <w:r>
              <w:t xml:space="preserve">Start immediately (≤ 24h) / complete within</w:t>
            </w:r>
            <w:r>
              <w:t xml:space="preserve"> </w:t>
            </w:r>
            <w:r>
              <w:rPr>
                <w:b/>
                <w:bCs/>
              </w:rPr>
              <w:t xml:space="preserve">7 days</w:t>
            </w:r>
          </w:p>
        </w:tc>
        <w:tc>
          <w:tcPr/>
          <w:p>
            <w:pPr>
              <w:pStyle w:val="Compact"/>
            </w:pPr>
            <w:r>
              <w:t xml:space="preserve">CISO</w:t>
            </w:r>
          </w:p>
        </w:tc>
      </w:tr>
      <w:tr>
        <w:tc>
          <w:tcPr/>
          <w:p>
            <w:pPr>
              <w:pStyle w:val="Compact"/>
            </w:pPr>
            <w:r>
              <w:rPr>
                <w:b/>
                <w:bCs/>
              </w:rPr>
              <w:t xml:space="preserve">High</w:t>
            </w:r>
          </w:p>
        </w:tc>
        <w:tc>
          <w:tcPr/>
          <w:p>
            <w:pPr>
              <w:pStyle w:val="Compact"/>
            </w:pPr>
            <w:r>
              <w:t xml:space="preserve">7.0–8.9</w:t>
            </w:r>
          </w:p>
        </w:tc>
        <w:tc>
          <w:tcPr/>
          <w:p>
            <w:pPr>
              <w:pStyle w:val="Compact"/>
            </w:pPr>
            <w:r>
              <w:t xml:space="preserve">Start ≤ 3 days / complete within</w:t>
            </w:r>
            <w:r>
              <w:t xml:space="preserve"> </w:t>
            </w:r>
            <w:r>
              <w:rPr>
                <w:b/>
                <w:bCs/>
              </w:rPr>
              <w:t xml:space="preserve">30 days</w:t>
            </w:r>
          </w:p>
        </w:tc>
        <w:tc>
          <w:tcPr/>
          <w:p>
            <w:pPr>
              <w:pStyle w:val="Compact"/>
            </w:pPr>
            <w:r>
              <w:t xml:space="preserve">Security Lead</w:t>
            </w:r>
          </w:p>
        </w:tc>
      </w:tr>
      <w:tr>
        <w:tc>
          <w:tcPr/>
          <w:p>
            <w:pPr>
              <w:pStyle w:val="Compact"/>
            </w:pPr>
            <w:r>
              <w:rPr>
                <w:b/>
                <w:bCs/>
              </w:rPr>
              <w:t xml:space="preserve">Medium</w:t>
            </w:r>
          </w:p>
        </w:tc>
        <w:tc>
          <w:tcPr/>
          <w:p>
            <w:pPr>
              <w:pStyle w:val="Compact"/>
            </w:pPr>
            <w:r>
              <w:t xml:space="preserve">4.0–6.9</w:t>
            </w:r>
          </w:p>
        </w:tc>
        <w:tc>
          <w:tcPr/>
          <w:p>
            <w:pPr>
              <w:pStyle w:val="Compact"/>
            </w:pPr>
            <w:r>
              <w:t xml:space="preserve">Complete within</w:t>
            </w:r>
            <w:r>
              <w:t xml:space="preserve"> </w:t>
            </w:r>
            <w:r>
              <w:rPr>
                <w:b/>
                <w:bCs/>
              </w:rPr>
              <w:t xml:space="preserve">90 days</w:t>
            </w:r>
          </w:p>
        </w:tc>
        <w:tc>
          <w:tcPr/>
          <w:p>
            <w:pPr>
              <w:pStyle w:val="Compact"/>
            </w:pPr>
            <w:r>
              <w:t xml:space="preserve">Security Lead</w:t>
            </w:r>
          </w:p>
        </w:tc>
      </w:tr>
      <w:tr>
        <w:tc>
          <w:tcPr/>
          <w:p>
            <w:pPr>
              <w:pStyle w:val="Compact"/>
            </w:pPr>
            <w:r>
              <w:rPr>
                <w:b/>
                <w:bCs/>
              </w:rPr>
              <w:t xml:space="preserve">Low</w:t>
            </w:r>
          </w:p>
        </w:tc>
        <w:tc>
          <w:tcPr/>
          <w:p>
            <w:pPr>
              <w:pStyle w:val="Compact"/>
            </w:pPr>
            <w:r>
              <w:t xml:space="preserve">0.1–3.9</w:t>
            </w:r>
          </w:p>
        </w:tc>
        <w:tc>
          <w:tcPr/>
          <w:p>
            <w:pPr>
              <w:pStyle w:val="Compact"/>
            </w:pPr>
            <w:r>
              <w:t xml:space="preserve">Complete within</w:t>
            </w:r>
            <w:r>
              <w:t xml:space="preserve"> </w:t>
            </w:r>
            <w:r>
              <w:rPr>
                <w:b/>
                <w:bCs/>
              </w:rPr>
              <w:t xml:space="preserve">180 days</w:t>
            </w:r>
            <w:r>
              <w:t xml:space="preserve"> </w:t>
            </w:r>
            <w:r>
              <w:t xml:space="preserve">or risk-accept</w:t>
            </w:r>
          </w:p>
        </w:tc>
        <w:tc>
          <w:tcPr/>
          <w:p>
            <w:pPr>
              <w:pStyle w:val="Compact"/>
            </w:pPr>
            <w:r>
              <w:t xml:space="preserve">Compliance Officer</w:t>
            </w:r>
          </w:p>
        </w:tc>
      </w:tr>
    </w:tbl>
    <w:p>
      <w:pPr>
        <w:pStyle w:val="BlockText"/>
      </w:pPr>
      <w:r>
        <w:t xml:space="preserve">Vulnerabilities causing an</w:t>
      </w:r>
      <w:r>
        <w:t xml:space="preserve"> </w:t>
      </w:r>
      <w:r>
        <w:rPr>
          <w:b/>
          <w:bCs/>
        </w:rPr>
        <w:t xml:space="preserve">ASV FAIL</w:t>
      </w:r>
      <w:r>
        <w:t xml:space="preserve">, or critical/high pentest findings,</w:t>
      </w:r>
      <w:r>
        <w:t xml:space="preserve"> </w:t>
      </w:r>
      <w:r>
        <w:rPr>
          <w:b/>
          <w:bCs/>
        </w:rPr>
        <w:t xml:space="preserve">must be fixed and re-scanned/re-tested before closure</w:t>
      </w:r>
      <w:r>
        <w:t xml:space="preserve"> </w:t>
      </w:r>
      <w:r>
        <w:t xml:space="preserve">— no risk-acceptance for these levels within the CDE.</w:t>
      </w:r>
    </w:p>
    <w:bookmarkEnd w:id="829"/>
    <w:bookmarkStart w:id="830" w:name="remediation-tracker-record-structure"/>
    <w:p>
      <w:pPr>
        <w:pStyle w:val="Heading3"/>
      </w:pPr>
      <w:r>
        <w:t xml:space="preserve">5.2 Remediation Tracker (Record Structure)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Finding ID</w:t>
            </w:r>
          </w:p>
        </w:tc>
        <w:tc>
          <w:tcPr/>
          <w:p>
            <w:pPr>
              <w:pStyle w:val="Compact"/>
            </w:pPr>
            <w:r>
              <w:t xml:space="preserve">Reference code (e.g. ASV-2026Q1-001, PT-2026-014)</w:t>
            </w:r>
          </w:p>
        </w:tc>
      </w:tr>
      <w:tr>
        <w:tc>
          <w:tcPr/>
          <w:p>
            <w:pPr>
              <w:pStyle w:val="Compact"/>
            </w:pPr>
            <w:r>
              <w:t xml:space="preserve">Source</w:t>
            </w:r>
          </w:p>
        </w:tc>
        <w:tc>
          <w:tcPr/>
          <w:p>
            <w:pPr>
              <w:pStyle w:val="Compact"/>
            </w:pPr>
            <w:r>
              <w:t xml:space="preserve">ASV scan / internal scan / pentest / QSA gap</w:t>
            </w:r>
          </w:p>
        </w:tc>
      </w:tr>
      <w:tr>
        <w:tc>
          <w:tcPr/>
          <w:p>
            <w:pPr>
              <w:pStyle w:val="Compact"/>
            </w:pPr>
            <w:r>
              <w:t xml:space="preserve">Asset/system</w:t>
            </w:r>
          </w:p>
        </w:tc>
        <w:tc>
          <w:tcPr/>
          <w:p>
            <w:pPr>
              <w:pStyle w:val="Compact"/>
            </w:pPr>
            <w:r>
              <w:t xml:space="preserve">host, service, API endpoint</w:t>
            </w:r>
          </w:p>
        </w:tc>
      </w:tr>
      <w:tr>
        <w:tc>
          <w:tcPr/>
          <w:p>
            <w:pPr>
              <w:pStyle w:val="Compact"/>
            </w:pPr>
            <w:r>
              <w:t xml:space="preserve">Severity / CVSS</w:t>
            </w:r>
          </w:p>
        </w:tc>
        <w:tc>
          <w:tcPr/>
          <w:p>
            <w:pPr>
              <w:pStyle w:val="Compact"/>
            </w:pPr>
            <w:r>
              <w:t xml:space="preserve">Per 5.1</w:t>
            </w:r>
          </w:p>
        </w:tc>
      </w:tr>
      <w:tr>
        <w:tc>
          <w:tcPr/>
          <w:p>
            <w:pPr>
              <w:pStyle w:val="Compact"/>
            </w:pPr>
            <w:r>
              <w:t xml:space="preserve">Found date / SLA due</w:t>
            </w:r>
          </w:p>
        </w:tc>
        <w:tc>
          <w:tcPr/>
          <w:p>
            <w:pPr>
              <w:pStyle w:val="Compact"/>
            </w:pPr>
            <w:r>
              <w:t xml:space="preserve">Auto-derived from severity</w:t>
            </w:r>
          </w:p>
        </w:tc>
      </w:tr>
      <w:tr>
        <w:tc>
          <w:tcPr/>
          <w:p>
            <w:pPr>
              <w:pStyle w:val="Compact"/>
            </w:pPr>
            <w:r>
              <w:t xml:space="preserve">Owner</w:t>
            </w:r>
          </w:p>
        </w:tc>
        <w:tc>
          <w:tcPr/>
          <w:p>
            <w:pPr>
              <w:pStyle w:val="Compact"/>
            </w:pPr>
            <w:r>
              <w:t xml:space="preserve">Team/individual</w:t>
            </w:r>
          </w:p>
        </w:tc>
      </w:tr>
      <w:tr>
        <w:tc>
          <w:tcPr/>
          <w:p>
            <w:pPr>
              <w:pStyle w:val="Compact"/>
            </w:pPr>
            <w:r>
              <w:t xml:space="preserve">Status</w:t>
            </w:r>
          </w:p>
        </w:tc>
        <w:tc>
          <w:tcPr/>
          <w:p>
            <w:pPr>
              <w:pStyle w:val="Compact"/>
            </w:pPr>
            <w:r>
              <w:t xml:space="preserve">Open → In Progress → Fixed → Re-tested → Closed</w:t>
            </w:r>
          </w:p>
        </w:tc>
      </w:tr>
      <w:tr>
        <w:tc>
          <w:tcPr/>
          <w:p>
            <w:pPr>
              <w:pStyle w:val="Compact"/>
            </w:pPr>
            <w:r>
              <w:t xml:space="preserve">Remediation evidence</w:t>
            </w:r>
          </w:p>
        </w:tc>
        <w:tc>
          <w:tcPr/>
          <w:p>
            <w:pPr>
              <w:pStyle w:val="Compact"/>
            </w:pPr>
            <w:r>
              <w:t xml:space="preserve">ticket, PR, re-scan/re-test report</w:t>
            </w:r>
          </w:p>
        </w:tc>
      </w:tr>
      <w:tr>
        <w:tc>
          <w:tcPr/>
          <w:p>
            <w:pPr>
              <w:pStyle w:val="Compact"/>
            </w:pPr>
            <w:r>
              <w:t xml:space="preserve">Compensating control (if any)</w:t>
            </w:r>
          </w:p>
        </w:tc>
        <w:tc>
          <w:tcPr/>
          <w:p>
            <w:pPr>
              <w:pStyle w:val="Compact"/>
            </w:pPr>
            <w:r>
              <w:t xml:space="preserve">Temporary fix + permanent-fix due date</w:t>
            </w:r>
          </w:p>
        </w:tc>
      </w:tr>
    </w:tbl>
    <w:p>
      <w:pPr>
        <w:pStyle w:val="BodyText"/>
      </w:pPr>
      <w:r>
        <w:t xml:space="preserve">Tooling: linked to ticketing (e.g. Jira) + the system</w:t>
      </w:r>
      <w:r>
        <w:t xml:space="preserve"> </w:t>
      </w:r>
      <w:r>
        <w:rPr>
          <w:rStyle w:val="VerbatimChar"/>
        </w:rPr>
        <w:t xml:space="preserve">audit_log</w:t>
      </w:r>
      <w:r>
        <w:t xml:space="preserve"> </w:t>
      </w:r>
      <w:r>
        <w:t xml:space="preserve">(append-only per</w:t>
      </w:r>
      <w:r>
        <w:t xml:space="preserve"> </w:t>
      </w:r>
      <w:r>
        <w:rPr>
          <w:rStyle w:val="VerbatimChar"/>
        </w:rPr>
        <w:t xml:space="preserve">ARCHITECTURE.md</w:t>
      </w:r>
      <w:r>
        <w:t xml:space="preserve">) for traceability.</w:t>
      </w:r>
    </w:p>
    <w:bookmarkEnd w:id="830"/>
    <w:bookmarkStart w:id="831" w:name="governance-reporting"/>
    <w:p>
      <w:pPr>
        <w:pStyle w:val="Heading3"/>
      </w:pPr>
      <w:r>
        <w:t xml:space="preserve">5.3 Governance &amp; Reporting</w:t>
      </w:r>
    </w:p>
    <w:p>
      <w:pPr>
        <w:pStyle w:val="Compact"/>
        <w:numPr>
          <w:ilvl w:val="0"/>
          <w:numId w:val="1311"/>
        </w:numPr>
      </w:pPr>
      <w:r>
        <w:rPr>
          <w:b/>
          <w:bCs/>
        </w:rPr>
        <w:t xml:space="preserve">Weekly:</w:t>
      </w:r>
      <w:r>
        <w:t xml:space="preserve"> </w:t>
      </w:r>
      <w:r>
        <w:t xml:space="preserve">DevSecOps reviews open critical/high items.</w:t>
      </w:r>
    </w:p>
    <w:p>
      <w:pPr>
        <w:pStyle w:val="Compact"/>
        <w:numPr>
          <w:ilvl w:val="0"/>
          <w:numId w:val="1311"/>
        </w:numPr>
      </w:pPr>
      <w:r>
        <w:rPr>
          <w:b/>
          <w:bCs/>
        </w:rPr>
        <w:t xml:space="preserve">Monthly:</w:t>
      </w:r>
      <w:r>
        <w:t xml:space="preserve"> </w:t>
      </w:r>
      <w:r>
        <w:t xml:space="preserve">Security Lead reports SLA compliance to the CISO.</w:t>
      </w:r>
    </w:p>
    <w:p>
      <w:pPr>
        <w:pStyle w:val="Compact"/>
        <w:numPr>
          <w:ilvl w:val="0"/>
          <w:numId w:val="1311"/>
        </w:numPr>
      </w:pPr>
      <w:r>
        <w:rPr>
          <w:b/>
          <w:bCs/>
        </w:rPr>
        <w:t xml:space="preserve">Quarterly:</w:t>
      </w:r>
      <w:r>
        <w:t xml:space="preserve"> </w:t>
      </w:r>
      <w:r>
        <w:t xml:space="preserve">Compliance Officer consolidates into reporting to</w:t>
      </w:r>
      <w:r>
        <w:t xml:space="preserve"> </w:t>
      </w:r>
      <w:r>
        <w:rPr>
          <w:b/>
          <w:bCs/>
        </w:rPr>
        <w:t xml:space="preserve">BOT</w:t>
      </w:r>
      <w:r>
        <w:t xml:space="preserve"> </w:t>
      </w:r>
      <w:r>
        <w:t xml:space="preserve">and the</w:t>
      </w:r>
      <w:r>
        <w:t xml:space="preserve"> </w:t>
      </w:r>
      <w:r>
        <w:rPr>
          <w:b/>
          <w:bCs/>
        </w:rPr>
        <w:t xml:space="preserve">sponsor bank/scheme</w:t>
      </w:r>
      <w:r>
        <w:t xml:space="preserve">, including the AoSC.</w:t>
      </w:r>
    </w:p>
    <w:p>
      <w:pPr>
        <w:pStyle w:val="Compact"/>
        <w:numPr>
          <w:ilvl w:val="0"/>
          <w:numId w:val="1311"/>
        </w:numPr>
      </w:pPr>
      <w:r>
        <w:rPr>
          <w:b/>
          <w:bCs/>
        </w:rPr>
        <w:t xml:space="preserve">Annually:</w:t>
      </w:r>
      <w:r>
        <w:t xml:space="preserve"> </w:t>
      </w:r>
      <w:r>
        <w:t xml:space="preserve">QSA validates remediation before issuing the</w:t>
      </w:r>
      <w:r>
        <w:t xml:space="preserve"> </w:t>
      </w:r>
      <w:r>
        <w:rPr>
          <w:b/>
          <w:bCs/>
        </w:rPr>
        <w:t xml:space="preserve">RoC/AoC</w:t>
      </w:r>
      <w:r>
        <w:t xml:space="preserve">.</w:t>
      </w:r>
    </w:p>
    <w:p>
      <w:pPr>
        <w:pStyle w:val="Compact"/>
        <w:numPr>
          <w:ilvl w:val="0"/>
          <w:numId w:val="1311"/>
        </w:numPr>
      </w:pPr>
      <w:r>
        <w:rPr>
          <w:b/>
          <w:bCs/>
        </w:rPr>
        <w:t xml:space="preserve">Breach-qualifying incidents:</w:t>
      </w:r>
      <w:r>
        <w:t xml:space="preserve"> </w:t>
      </w:r>
      <w:r>
        <w:t xml:space="preserve">coordinate with the DPO to notify the</w:t>
      </w:r>
      <w:r>
        <w:t xml:space="preserve"> </w:t>
      </w:r>
      <w:r>
        <w:rPr>
          <w:b/>
          <w:bCs/>
        </w:rPr>
        <w:t xml:space="preserve">PDPC</w:t>
      </w:r>
      <w:r>
        <w:t xml:space="preserve"> </w:t>
      </w:r>
      <w:r>
        <w:t xml:space="preserve">within 72 hours per PDPA, and notify BOT / AMLO (ปปง.) as applicable.</w:t>
      </w:r>
    </w:p>
    <w:p>
      <w:r>
        <w:pict>
          <v:rect style="width:0;height:1.5pt" o:hralign="center" o:hrstd="t" o:hr="t"/>
        </w:pict>
      </w:r>
    </w:p>
    <w:bookmarkEnd w:id="831"/>
    <w:bookmarkEnd w:id="832"/>
    <w:bookmarkStart w:id="833" w:name="annual-compliance-calendar"/>
    <w:p>
      <w:pPr>
        <w:pStyle w:val="Heading2"/>
      </w:pPr>
      <w:r>
        <w:t xml:space="preserve">6. Annual Compliance Calendar</w:t>
      </w:r>
    </w:p>
    <w:tbl>
      <w:tblPr>
        <w:tblStyle w:val="Table"/>
        <w:tblW w:type="pct" w:w="5000"/>
        <w:tblLayout w:type="fixed"/>
        <w:tblLook w:firstRow="1" w:lastRow="0" w:firstColumn="0" w:lastColumn="0" w:noHBand="0" w:noVBand="0" w:val="0020"/>
      </w:tblPr>
      <w:tblGrid>
        <w:gridCol w:w="4986"/>
        <w:gridCol w:w="2933"/>
      </w:tblGrid>
      <w:tr>
        <w:trPr>
          <w:tblHeader w:val="on"/>
        </w:trPr>
        <w:tc>
          <w:tcPr/>
          <w:p>
            <w:pPr>
              <w:pStyle w:val="Compact"/>
            </w:pPr>
            <w:r>
              <w:t xml:space="preserve">Month (approx.)</w:t>
            </w:r>
          </w:p>
        </w:tc>
        <w:tc>
          <w:tcPr/>
          <w:p>
            <w:pPr>
              <w:pStyle w:val="Compact"/>
            </w:pPr>
            <w:r>
              <w:t xml:space="preserve">Activity</w:t>
            </w:r>
          </w:p>
        </w:tc>
      </w:tr>
      <w:tr>
        <w:tc>
          <w:tcPr/>
          <w:p>
            <w:pPr>
              <w:pStyle w:val="Compact"/>
            </w:pPr>
            <w:r>
              <w:t xml:space="preserve">Jan / Apr / Jul / Oct</w:t>
            </w:r>
          </w:p>
        </w:tc>
        <w:tc>
          <w:tcPr/>
          <w:p>
            <w:pPr>
              <w:pStyle w:val="Compact"/>
            </w:pPr>
            <w:r>
              <w:t xml:space="preserve">ASV external + internal scan (quarterly)</w:t>
            </w:r>
          </w:p>
        </w:tc>
      </w:tr>
      <w:tr>
        <w:tc>
          <w:tcPr/>
          <w:p>
            <w:pPr>
              <w:pStyle w:val="Compact"/>
            </w:pPr>
            <w:r>
              <w:t xml:space="preserve">Jun</w:t>
            </w:r>
          </w:p>
        </w:tc>
        <w:tc>
          <w:tcPr/>
          <w:p>
            <w:pPr>
              <w:pStyle w:val="Compact"/>
            </w:pPr>
            <w:r>
              <w:t xml:space="preserve">Segmentation test round 1 (service-provider 6-month)</w:t>
            </w:r>
          </w:p>
        </w:tc>
      </w:tr>
      <w:tr>
        <w:tc>
          <w:tcPr/>
          <w:p>
            <w:pPr>
              <w:pStyle w:val="Compact"/>
            </w:pPr>
            <w:r>
              <w:t xml:space="preserve">Sep</w:t>
            </w:r>
          </w:p>
        </w:tc>
        <w:tc>
          <w:tcPr/>
          <w:p>
            <w:pPr>
              <w:pStyle w:val="Compact"/>
            </w:pPr>
            <w:r>
              <w:t xml:space="preserve">Annual penetration test (external + internal + app)</w:t>
            </w:r>
          </w:p>
        </w:tc>
      </w:tr>
      <w:tr>
        <w:tc>
          <w:tcPr/>
          <w:p>
            <w:pPr>
              <w:pStyle w:val="Compact"/>
            </w:pPr>
            <w:r>
              <w:t xml:space="preserve">Dec</w:t>
            </w:r>
          </w:p>
        </w:tc>
        <w:tc>
          <w:tcPr/>
          <w:p>
            <w:pPr>
              <w:pStyle w:val="Compact"/>
            </w:pPr>
            <w:r>
              <w:t xml:space="preserve">Segmentation test round 2 + QSA on-site → consolidate 4-quarter evidence</w:t>
            </w:r>
          </w:p>
        </w:tc>
      </w:tr>
      <w:tr>
        <w:tc>
          <w:tcPr/>
          <w:p>
            <w:pPr>
              <w:pStyle w:val="Compact"/>
            </w:pPr>
            <w:r>
              <w:t xml:space="preserve">Ongoing</w:t>
            </w:r>
          </w:p>
        </w:tc>
        <w:tc>
          <w:tcPr/>
          <w:p>
            <w:pPr>
              <w:pStyle w:val="Compact"/>
            </w:pPr>
            <w:r>
              <w:t xml:space="preserve">Remediation tracking, significant-change re-scans</w:t>
            </w:r>
          </w:p>
        </w:tc>
      </w:tr>
      <w:tr>
        <w:tc>
          <w:tcPr/>
          <w:p>
            <w:pPr>
              <w:pStyle w:val="Compact"/>
            </w:pPr>
            <w:r>
              <w:t xml:space="preserve">Annually</w:t>
            </w:r>
          </w:p>
        </w:tc>
        <w:tc>
          <w:tcPr/>
          <w:p>
            <w:pPr>
              <w:pStyle w:val="Compact"/>
            </w:pPr>
            <w:r>
              <w:t xml:space="preserve">Issue</w:t>
            </w:r>
            <w:r>
              <w:t xml:space="preserve"> </w:t>
            </w:r>
            <w:r>
              <w:rPr>
                <w:b/>
                <w:bCs/>
              </w:rPr>
              <w:t xml:space="preserve">RoC + AoC</w:t>
            </w:r>
            <w:r>
              <w:t xml:space="preserve">, renew PCI-DSS L1, summary report to BOT / sponsor</w:t>
            </w:r>
          </w:p>
        </w:tc>
      </w:tr>
    </w:tbl>
    <w:p>
      <w:r>
        <w:pict>
          <v:rect style="width:0;height:1.5pt" o:hralign="center" o:hrstd="t" o:hr="t"/>
        </w:pict>
      </w:r>
    </w:p>
    <w:bookmarkEnd w:id="833"/>
    <w:bookmarkStart w:id="834" w:name="related-documents-in-the-set"/>
    <w:p>
      <w:pPr>
        <w:pStyle w:val="Heading2"/>
      </w:pPr>
      <w:r>
        <w:t xml:space="preserve">7. Related Documents in the Set</w:t>
      </w:r>
    </w:p>
    <w:p>
      <w:pPr>
        <w:pStyle w:val="Compact"/>
        <w:numPr>
          <w:ilvl w:val="0"/>
          <w:numId w:val="1312"/>
        </w:numPr>
      </w:pPr>
      <w:r>
        <w:rPr>
          <w:rStyle w:val="VerbatimChar"/>
        </w:rPr>
        <w:t xml:space="preserve">../COMPLIANCE-TH.md</w:t>
      </w:r>
      <w:r>
        <w:t xml:space="preserve"> </w:t>
      </w:r>
      <w:r>
        <w:t xml:space="preserve">— Thai law, licence tiers, BOT submission process</w:t>
      </w:r>
    </w:p>
    <w:p>
      <w:pPr>
        <w:pStyle w:val="Compact"/>
        <w:numPr>
          <w:ilvl w:val="0"/>
          <w:numId w:val="1312"/>
        </w:numPr>
      </w:pPr>
      <w:r>
        <w:rPr>
          <w:rStyle w:val="VerbatimChar"/>
        </w:rPr>
        <w:t xml:space="preserve">../ARCHITECTURE.md</w:t>
      </w:r>
      <w:r>
        <w:t xml:space="preserve"> </w:t>
      </w:r>
      <w:r>
        <w:t xml:space="preserve">— architecture, PCI scope, security controls</w:t>
      </w:r>
    </w:p>
    <w:p>
      <w:pPr>
        <w:pStyle w:val="Compact"/>
        <w:numPr>
          <w:ilvl w:val="0"/>
          <w:numId w:val="1312"/>
        </w:numPr>
      </w:pPr>
      <w:r>
        <w:rPr>
          <w:rStyle w:val="VerbatimChar"/>
        </w:rPr>
        <w:t xml:space="preserve">../ROADMAP.md</w:t>
      </w:r>
      <w:r>
        <w:t xml:space="preserve"> </w:t>
      </w:r>
      <w:r>
        <w:t xml:space="preserve">— timeline (Phase 4: QSA→RoC, pentest), cost estimates</w:t>
      </w:r>
    </w:p>
    <w:p>
      <w:pPr>
        <w:pStyle w:val="Compact"/>
        <w:numPr>
          <w:ilvl w:val="0"/>
          <w:numId w:val="1312"/>
        </w:numPr>
      </w:pPr>
      <w:r>
        <w:t xml:space="preserve">Standards:</w:t>
      </w:r>
      <w:r>
        <w:t xml:space="preserve"> </w:t>
      </w:r>
      <w:r>
        <w:rPr>
          <w:b/>
          <w:bCs/>
        </w:rPr>
        <w:t xml:space="preserve">PCI-DSS v4.0.1</w:t>
      </w:r>
      <w:r>
        <w:t xml:space="preserve"> </w:t>
      </w:r>
      <w:r>
        <w:t xml:space="preserve">(Req 6, 11),</w:t>
      </w:r>
      <w:r>
        <w:t xml:space="preserve"> </w:t>
      </w:r>
      <w:r>
        <w:rPr>
          <w:b/>
          <w:bCs/>
        </w:rPr>
        <w:t xml:space="preserve">EMV 3-D Secure 2.x</w:t>
      </w:r>
      <w:r>
        <w:t xml:space="preserve">,</w:t>
      </w:r>
      <w:r>
        <w:t xml:space="preserve"> </w:t>
      </w:r>
      <w:r>
        <w:rPr>
          <w:b/>
          <w:bCs/>
        </w:rPr>
        <w:t xml:space="preserve">NIST SP 800-115</w:t>
      </w:r>
      <w:r>
        <w:t xml:space="preserve">,</w:t>
      </w:r>
      <w:r>
        <w:t xml:space="preserve"> </w:t>
      </w:r>
      <w:r>
        <w:rPr>
          <w:b/>
          <w:bCs/>
        </w:rPr>
        <w:t xml:space="preserve">OWASP Testing Guide / API Top 10</w:t>
      </w:r>
    </w:p>
    <w:p>
      <w:r>
        <w:br w:type="page"/>
      </w:r>
    </w:p>
    <w:bookmarkEnd w:id="834"/>
    <w:bookmarkEnd w:id="835"/>
    <w:bookmarkStart w:id="850" w:name="X2eeaad2931b51046d659ed54459bcb53d5dc35f"/>
    <w:p>
      <w:pPr>
        <w:pStyle w:val="Heading1"/>
      </w:pPr>
      <w:r>
        <w:t xml:space="preserve">แผนการรับรองกับเครือข่ายบัตร (Visa/Mastercard) (ไทย)</w:t>
      </w:r>
    </w:p>
    <w:p>
      <w:pPr>
        <w:pStyle w:val="BlockText"/>
      </w:pPr>
      <w:r>
        <w:t xml:space="preserve">เอกสารฉบับนี้เป็นส่วนหนึ่งของชุดเอกสารประกอบการยื่นขอใบอนุญาต</w:t>
      </w:r>
      <w:r>
        <w:t xml:space="preserve"> </w:t>
      </w:r>
      <w:r>
        <w:rPr>
          <w:b/>
          <w:bCs/>
        </w:rPr>
        <w:t xml:space="preserve">การให้บริการรับชำระเงินด้วยวิธีการทางอิเล็กทรอนิกส์ (Acquiring)</w:t>
      </w:r>
      <w:r>
        <w:t xml:space="preserve"> </w:t>
      </w:r>
      <w:r>
        <w:t xml:space="preserve">ภายใต้</w:t>
      </w:r>
      <w:r>
        <w:t xml:space="preserve"> </w:t>
      </w:r>
      <w:r>
        <w:rPr>
          <w:b/>
          <w:bCs/>
        </w:rPr>
        <w:t xml:space="preserve">พ.ร.บ. ระบบการชำระเงิน พ.ศ. 2560</w:t>
      </w:r>
      <w:r>
        <w:t xml:space="preserve"> </w:t>
      </w:r>
      <w:r>
        <w:t xml:space="preserve">ต่อ</w:t>
      </w:r>
      <w:r>
        <w:t xml:space="preserve"> </w:t>
      </w:r>
      <w:r>
        <w:rPr>
          <w:b/>
          <w:bCs/>
        </w:rPr>
        <w:t xml:space="preserve">ธนาคารแห่งประเทศไทย (ธปท.)</w:t>
      </w:r>
      <w:r>
        <w:t xml:space="preserve"> </w:t>
      </w:r>
      <w:r>
        <w:t xml:space="preserve">และเป็นแผนงานเชิงปฏิบัติสำหรับ</w:t>
      </w:r>
      <w:r>
        <w:t xml:space="preserve"> </w:t>
      </w:r>
      <w:r>
        <w:t xml:space="preserve">การรับรองระบบ (certification) กับเครือข่ายบัตร Visa และ Mastercard ผ่านธนาคารผู้สนับสนุน (sponsor bank / acquiring member)</w:t>
      </w:r>
      <w:r>
        <w:t xml:space="preserve"> </w:t>
      </w:r>
      <w:r>
        <w:t xml:space="preserve">ควบคู่กับการได้รับการรับรอง</w:t>
      </w:r>
      <w:r>
        <w:t xml:space="preserve"> </w:t>
      </w:r>
      <w:r>
        <w:rPr>
          <w:b/>
          <w:bCs/>
        </w:rPr>
        <w:t xml:space="preserve">PCI-DSS v4.0 Level 1</w:t>
      </w:r>
    </w:p>
    <w:p>
      <w:pPr>
        <w:pStyle w:val="BlockText"/>
      </w:pPr>
      <w:r>
        <w:rPr>
          <w:b/>
          <w:bCs/>
        </w:rPr>
        <w:t xml:space="preserve">หมายเลขเอกสาร:</w:t>
      </w:r>
      <w:r>
        <w:t xml:space="preserve"> </w:t>
      </w:r>
      <w:r>
        <w:t xml:space="preserve">24 ·</w:t>
      </w:r>
      <w:r>
        <w:t xml:space="preserve"> </w:t>
      </w:r>
      <w:r>
        <w:rPr>
          <w:b/>
          <w:bCs/>
        </w:rPr>
        <w:t xml:space="preserve">เวอร์ชัน:</w:t>
      </w:r>
      <w:r>
        <w:t xml:space="preserve"> </w:t>
      </w:r>
      <w:r>
        <w:t xml:space="preserve">0.1 ·</w:t>
      </w:r>
      <w:r>
        <w:t xml:space="preserve"> </w:t>
      </w:r>
      <w:r>
        <w:rPr>
          <w:b/>
          <w:bCs/>
        </w:rPr>
        <w:t xml:space="preserve">เจ้าของเอกสาร:</w:t>
      </w:r>
      <w:r>
        <w:t xml:space="preserve"> </w:t>
      </w:r>
      <w:r>
        <w:t xml:space="preserve">[บริษัท / Company] — ฝ่าย Compliance &amp; Payments</w:t>
      </w:r>
      <w:r>
        <w:t xml:space="preserve"> </w:t>
      </w:r>
      <w:r>
        <w:rPr>
          <w:b/>
          <w:bCs/>
        </w:rPr>
        <w:t xml:space="preserve">สถานะ:</w:t>
      </w:r>
      <w:r>
        <w:t xml:space="preserve"> </w:t>
      </w:r>
      <w:r>
        <w:t xml:space="preserve">ร่างเพื่อยื่นประกอบคำขอ (submission-ready draft)</w:t>
      </w:r>
    </w:p>
    <w:p>
      <w:pPr>
        <w:pStyle w:val="BlockText"/>
      </w:pPr>
      <w:r>
        <w:rPr>
          <w:b/>
          <w:bCs/>
        </w:rPr>
        <w:t xml:space="preserve">ข้อสงวน:</w:t>
      </w:r>
      <w:r>
        <w:t xml:space="preserve"> </w:t>
      </w:r>
      <w:r>
        <w:t xml:space="preserve">เอกสารนี้เป็นข้อมูลอ้างอิงเชิงเทคนิค/ปฏิบัติการ ไม่ใช่คำแนะนำทางกฎหมาย เงื่อนไขและ test script จริงเป็นไปตามที่</w:t>
      </w:r>
      <w:r>
        <w:t xml:space="preserve"> </w:t>
      </w:r>
      <w:r>
        <w:t xml:space="preserve">Visa/Mastercard และ sponsor bank กำหนด ณ เวลาที่รับรอง</w:t>
      </w:r>
    </w:p>
    <w:p>
      <w:r>
        <w:pict>
          <v:rect style="width:0;height:1.5pt" o:hralign="center" o:hrstd="t" o:hr="t"/>
        </w:pict>
      </w:r>
    </w:p>
    <w:bookmarkStart w:id="836" w:name="วตถประสงคและขอบเขต-8"/>
    <w:p>
      <w:pPr>
        <w:pStyle w:val="Heading2"/>
      </w:pPr>
      <w:r>
        <w:t xml:space="preserve">1. วัตถุประสงค์และขอบเขต</w:t>
      </w:r>
    </w:p>
    <w:p>
      <w:pPr>
        <w:pStyle w:val="FirstParagraph"/>
      </w:pPr>
      <w:r>
        <w:rPr>
          <w:b/>
          <w:bCs/>
        </w:rPr>
        <w:t xml:space="preserve">วัตถุประสงค์:</w:t>
      </w:r>
      <w:r>
        <w:t xml:space="preserve"> </w:t>
      </w:r>
      <w:r>
        <w:t xml:space="preserve">กำหนดแผนการรับรองระบบของ [บริษัท / Company] ในฐานะ</w:t>
      </w:r>
      <w:r>
        <w:t xml:space="preserve"> </w:t>
      </w:r>
      <w:r>
        <w:rPr>
          <w:b/>
          <w:bCs/>
        </w:rPr>
        <w:t xml:space="preserve">Full Acquiring Payment Gateway</w:t>
      </w:r>
      <w:r>
        <w:t xml:space="preserve"> </w:t>
      </w:r>
      <w:r>
        <w:t xml:space="preserve">กับเครือข่ายบัตร</w:t>
      </w:r>
      <w:r>
        <w:t xml:space="preserve"> </w:t>
      </w:r>
      <w:r>
        <w:t xml:space="preserve">Visa และ Mastercard ให้ผ่านการทดสอบ (certification / mandatory testing) ก่อนเปิดใช้งานจริง (go-live) โดยเชื่อมผ่าน</w:t>
      </w:r>
      <w:r>
        <w:t xml:space="preserve"> </w:t>
      </w:r>
      <w:r>
        <w:rPr>
          <w:b/>
          <w:bCs/>
        </w:rPr>
        <w:t xml:space="preserve">sponsor bank</w:t>
      </w:r>
      <w:r>
        <w:t xml:space="preserve"> </w:t>
      </w:r>
      <w:r>
        <w:t xml:space="preserve">ที่เป็นสมาชิก (principal member) ของทั้งสองเครือข่าย</w:t>
      </w:r>
    </w:p>
    <w:p>
      <w:pPr>
        <w:pStyle w:val="BodyText"/>
      </w:pPr>
      <w:r>
        <w:rPr>
          <w:b/>
          <w:bCs/>
        </w:rPr>
        <w:t xml:space="preserve">ขอบเขตครอบคลุม:</w:t>
      </w:r>
      <w:r>
        <w:t xml:space="preserve"> </w:t>
      </w:r>
      <w:r>
        <w:t xml:space="preserve">- Authorization ผ่าน card switch (ISO 8583 / acquirer host API)</w:t>
      </w:r>
      <w:r>
        <w:t xml:space="preserve"> </w:t>
      </w:r>
      <w:r>
        <w:t xml:space="preserve">- Clearing &amp; Settlement (Visa BASE II / Mastercard IPM / GCMS)</w:t>
      </w:r>
      <w:r>
        <w:t xml:space="preserve"> </w:t>
      </w:r>
      <w:r>
        <w:t xml:space="preserve">- 3-D Secure 2.x (EMV 3DS) สำหรับ e-commerce</w:t>
      </w:r>
      <w:r>
        <w:t xml:space="preserve"> </w:t>
      </w:r>
      <w:r>
        <w:t xml:space="preserve">- Card-not-present (CNP) และ tokenization (network token / VTS / MDES หากอยู่ใน scope ระยะแรก)</w:t>
      </w:r>
      <w:r>
        <w:t xml:space="preserve"> </w:t>
      </w:r>
      <w:r>
        <w:t xml:space="preserve">- Dispute / chargeback message flow (Visa VROL / Mastercard Mastercom)</w:t>
      </w:r>
    </w:p>
    <w:p>
      <w:pPr>
        <w:pStyle w:val="BodyText"/>
      </w:pPr>
      <w:r>
        <w:rPr>
          <w:b/>
          <w:bCs/>
        </w:rPr>
        <w:t xml:space="preserve">นอกขอบเขตของเอกสารฉบับนี้</w:t>
      </w:r>
      <w:r>
        <w:t xml:space="preserve"> </w:t>
      </w:r>
      <w:r>
        <w:t xml:space="preserve">(มีเอกสารแยก): รายละเอียด PCI-DSS RoC, สถาปัตยกรรมระบบ (ดู</w:t>
      </w:r>
      <w:r>
        <w:t xml:space="preserve"> </w:t>
      </w:r>
      <w:r>
        <w:rPr>
          <w:rStyle w:val="VerbatimChar"/>
        </w:rPr>
        <w:t xml:space="preserve">ARCHITECTURE.md</w:t>
      </w:r>
      <w:r>
        <w:t xml:space="preserve">),</w:t>
      </w:r>
      <w:r>
        <w:t xml:space="preserve"> </w:t>
      </w:r>
      <w:r>
        <w:t xml:space="preserve">timeline โครงการรวม (ดู</w:t>
      </w:r>
      <w:r>
        <w:t xml:space="preserve"> </w:t>
      </w:r>
      <w:r>
        <w:rPr>
          <w:rStyle w:val="VerbatimChar"/>
        </w:rPr>
        <w:t xml:space="preserve">ROADMAP.md</w:t>
      </w:r>
      <w:r>
        <w:t xml:space="preserve">), นโยบาย AML/KYC (ปปง./AMLO), นโยบาย PDPA</w:t>
      </w:r>
    </w:p>
    <w:p>
      <w:pPr>
        <w:pStyle w:val="BlockText"/>
      </w:pPr>
      <w:r>
        <w:t xml:space="preserve">[!IMPORTANT]</w:t>
      </w:r>
      <w:r>
        <w:t xml:space="preserve"> </w:t>
      </w:r>
      <w:r>
        <w:rPr>
          <w:b/>
          <w:bCs/>
        </w:rPr>
        <w:t xml:space="preserve">สมมติฐานและรายการที่ยังไม่สรุป (TODO — ต้องยืนยันจากภายนอก):</w:t>
      </w:r>
      <w:r>
        <w:t xml:space="preserve"> </w:t>
      </w:r>
      <w:r>
        <w:t xml:space="preserve">1.</w:t>
      </w:r>
      <w:r>
        <w:t xml:space="preserve"> </w:t>
      </w:r>
      <w:r>
        <w:rPr>
          <w:b/>
          <w:bCs/>
        </w:rPr>
        <w:t xml:space="preserve">Sponsor bank / acquiring member</w:t>
      </w:r>
      <w:r>
        <w:t xml:space="preserve"> </w:t>
      </w:r>
      <w:r>
        <w:t xml:space="preserve">— ยังไม่ลงนามสัญญา (ยังไม่ยืนยันผู้ให้บริการ) เงื่อนไข test script, BIN/ICA,</w:t>
      </w:r>
      <w:r>
        <w:t xml:space="preserve"> </w:t>
      </w:r>
      <w:r>
        <w:t xml:space="preserve">endpoint และกำหนดคิว certification ขึ้นกับ sponsor bank ที่เลือก</w:t>
      </w:r>
      <w:r>
        <w:t xml:space="preserve"> </w:t>
      </w:r>
      <w:r>
        <w:rPr>
          <w:b/>
          <w:bCs/>
        </w:rPr>
        <w:t xml:space="preserve">[TODO: ยืนยัน sponsor bank]</w:t>
      </w:r>
      <w:r>
        <w:t xml:space="preserve"> </w:t>
      </w:r>
      <w:r>
        <w:t xml:space="preserve">2.</w:t>
      </w:r>
      <w:r>
        <w:t xml:space="preserve"> </w:t>
      </w:r>
      <w:r>
        <w:rPr>
          <w:b/>
          <w:bCs/>
        </w:rPr>
        <w:t xml:space="preserve">QSA vendor (PCI-DSS v4.0)</w:t>
      </w:r>
      <w:r>
        <w:t xml:space="preserve"> </w:t>
      </w:r>
      <w:r>
        <w:t xml:space="preserve">— ยังไม่เลือกผู้ประเมิน (Qualified Security Assessor)</w:t>
      </w:r>
      <w:r>
        <w:t xml:space="preserve"> </w:t>
      </w:r>
      <w:r>
        <w:rPr>
          <w:b/>
          <w:bCs/>
        </w:rPr>
        <w:t xml:space="preserve">[TODO: ล็อกสัญญา QSA]</w:t>
      </w:r>
      <w:r>
        <w:t xml:space="preserve"> </w:t>
      </w:r>
      <w:r>
        <w:t xml:space="preserve">3.</w:t>
      </w:r>
      <w:r>
        <w:t xml:space="preserve"> </w:t>
      </w:r>
      <w:r>
        <w:rPr>
          <w:b/>
          <w:bCs/>
        </w:rPr>
        <w:t xml:space="preserve">ทุนจดทะเบียนชำระแล้วจริง</w:t>
      </w:r>
      <w:r>
        <w:t xml:space="preserve"> </w:t>
      </w:r>
      <w:r>
        <w:t xml:space="preserve">— เกณฑ์ ธปท. สำหรับ Acquiring คือขั้นต่ำ</w:t>
      </w:r>
      <w:r>
        <w:t xml:space="preserve"> </w:t>
      </w:r>
      <w:r>
        <w:rPr>
          <w:b/>
          <w:bCs/>
        </w:rPr>
        <w:t xml:space="preserve">50 ล้านบาท</w:t>
      </w:r>
      <w:r>
        <w:t xml:space="preserve"> </w:t>
      </w:r>
      <w:r>
        <w:t xml:space="preserve">และต้องคงไว้ ≥ 75% ตลอดการดำเนินงาน</w:t>
      </w:r>
      <w:r>
        <w:t xml:space="preserve"> </w:t>
      </w:r>
      <w:r>
        <w:t xml:space="preserve">ยอดที่ชำระจริง ณ วันยื่น</w:t>
      </w:r>
      <w:r>
        <w:t xml:space="preserve"> </w:t>
      </w:r>
      <w:r>
        <w:rPr>
          <w:b/>
          <w:bCs/>
        </w:rPr>
        <w:t xml:space="preserve">[TODO: ยืนยันตัวเลขทุนชำระแล้ว ณ วันยื่น]</w:t>
      </w:r>
      <w:r>
        <w:t xml:space="preserve"> </w:t>
      </w:r>
      <w:r>
        <w:t xml:space="preserve">4.</w:t>
      </w:r>
      <w:r>
        <w:t xml:space="preserve"> </w:t>
      </w:r>
      <w:r>
        <w:rPr>
          <w:b/>
          <w:bCs/>
        </w:rPr>
        <w:t xml:space="preserve">BIN sponsorship / ICA number</w:t>
      </w:r>
      <w:r>
        <w:t xml:space="preserve"> </w:t>
      </w:r>
      <w:r>
        <w:t xml:space="preserve">— ออกโดย sponsor bank/scheme</w:t>
      </w:r>
      <w:r>
        <w:t xml:space="preserve"> </w:t>
      </w:r>
      <w:r>
        <w:rPr>
          <w:b/>
          <w:bCs/>
        </w:rPr>
        <w:t xml:space="preserve">[TODO]</w:t>
      </w:r>
      <w:r>
        <w:t xml:space="preserve"> </w:t>
      </w:r>
      <w:r>
        <w:t xml:space="preserve">5. เวอร์ชัน test tool ของ scheme (เช่น Visa VTS/MTIP toolkit, Mastercard MTIP) และ mandate release ล่าสุด</w:t>
      </w:r>
      <w:r>
        <w:t xml:space="preserve"> </w:t>
      </w:r>
      <w:r>
        <w:t xml:space="preserve">ให้ยึดตามที่ scheme ประกาศ ณ ช่วงทดสอบ</w:t>
      </w:r>
      <w:r>
        <w:t xml:space="preserve"> </w:t>
      </w:r>
      <w:r>
        <w:rPr>
          <w:b/>
          <w:bCs/>
        </w:rPr>
        <w:t xml:space="preserve">[TODO: ยืนยันเวอร์ชัน mandate]</w:t>
      </w:r>
    </w:p>
    <w:p>
      <w:r>
        <w:pict>
          <v:rect style="width:0;height:1.5pt" o:hralign="center" o:hrstd="t" o:hr="t"/>
        </w:pict>
      </w:r>
    </w:p>
    <w:bookmarkEnd w:id="836"/>
    <w:bookmarkStart w:id="838" w:name="ผเกยวของและบทบาท-roles-raci"/>
    <w:p>
      <w:pPr>
        <w:pStyle w:val="Heading2"/>
      </w:pPr>
      <w:r>
        <w:t xml:space="preserve">2. ผู้เกี่ยวข้องและบทบาท (Roles &amp; RACI)</w:t>
      </w:r>
    </w:p>
    <w:tbl>
      <w:tblPr>
        <w:tblStyle w:val="Table"/>
        <w:tblW w:type="pct" w:w="5000"/>
        <w:tblLayout w:type="fixed"/>
        <w:tblLook w:firstRow="1" w:lastRow="0" w:firstColumn="0" w:lastColumn="0" w:noHBand="0" w:noVBand="0" w:val="0020"/>
      </w:tblPr>
      <w:tblGrid>
        <w:gridCol w:w="1540"/>
        <w:gridCol w:w="2200"/>
        <w:gridCol w:w="4180"/>
      </w:tblGrid>
      <w:tr>
        <w:trPr>
          <w:tblHeader w:val="on"/>
        </w:trPr>
        <w:tc>
          <w:tcPr/>
          <w:p>
            <w:pPr>
              <w:pStyle w:val="Compact"/>
            </w:pPr>
            <w:r>
              <w:t xml:space="preserve">บทบาท</w:t>
            </w:r>
          </w:p>
        </w:tc>
        <w:tc>
          <w:tcPr/>
          <w:p>
            <w:pPr>
              <w:pStyle w:val="Compact"/>
            </w:pPr>
            <w:r>
              <w:t xml:space="preserve">หน่วยงาน</w:t>
            </w:r>
          </w:p>
        </w:tc>
        <w:tc>
          <w:tcPr/>
          <w:p>
            <w:pPr>
              <w:pStyle w:val="Compact"/>
            </w:pPr>
            <w:r>
              <w:t xml:space="preserve">ความรับผิดชอบหลัก</w:t>
            </w:r>
          </w:p>
        </w:tc>
      </w:tr>
      <w:tr>
        <w:tc>
          <w:tcPr/>
          <w:p>
            <w:pPr>
              <w:pStyle w:val="Compact"/>
            </w:pPr>
            <w:r>
              <w:rPr>
                <w:b/>
                <w:bCs/>
              </w:rPr>
              <w:t xml:space="preserve">Certification Program Lead</w:t>
            </w:r>
          </w:p>
        </w:tc>
        <w:tc>
          <w:tcPr/>
          <w:p>
            <w:pPr>
              <w:pStyle w:val="Compact"/>
            </w:pPr>
            <w:r>
              <w:t xml:space="preserve">[บริษัท / Company] — Payments</w:t>
            </w:r>
          </w:p>
        </w:tc>
        <w:tc>
          <w:tcPr/>
          <w:p>
            <w:pPr>
              <w:pStyle w:val="Compact"/>
            </w:pPr>
            <w:r>
              <w:t xml:space="preserve">เจ้าของแผน, ประสานงาน sponsor/scheme, ติดตาม milestone</w:t>
            </w:r>
          </w:p>
        </w:tc>
      </w:tr>
      <w:tr>
        <w:tc>
          <w:tcPr/>
          <w:p>
            <w:pPr>
              <w:pStyle w:val="Compact"/>
            </w:pPr>
            <w:r>
              <w:rPr>
                <w:b/>
                <w:bCs/>
              </w:rPr>
              <w:t xml:space="preserve">Integration Engineer (Acquirer/ISO 8583)</w:t>
            </w:r>
          </w:p>
        </w:tc>
        <w:tc>
          <w:tcPr/>
          <w:p>
            <w:pPr>
              <w:pStyle w:val="Compact"/>
            </w:pPr>
            <w:r>
              <w:t xml:space="preserve">[บริษัท / Company] — Backend (Go)</w:t>
            </w:r>
          </w:p>
        </w:tc>
        <w:tc>
          <w:tcPr/>
          <w:p>
            <w:pPr>
              <w:pStyle w:val="Compact"/>
            </w:pPr>
            <w:r>
              <w:t xml:space="preserve">เชื่อม host API, สร้าง/รัน test script, แก้ defect</w:t>
            </w:r>
          </w:p>
        </w:tc>
      </w:tr>
      <w:tr>
        <w:tc>
          <w:tcPr/>
          <w:p>
            <w:pPr>
              <w:pStyle w:val="Compact"/>
            </w:pPr>
            <w:r>
              <w:rPr>
                <w:b/>
                <w:bCs/>
              </w:rPr>
              <w:t xml:space="preserve">3DS Engineer</w:t>
            </w:r>
          </w:p>
        </w:tc>
        <w:tc>
          <w:tcPr/>
          <w:p>
            <w:pPr>
              <w:pStyle w:val="Compact"/>
            </w:pPr>
            <w:r>
              <w:t xml:space="preserve">[บริษัท / Company] — Backend</w:t>
            </w:r>
          </w:p>
        </w:tc>
        <w:tc>
          <w:tcPr/>
          <w:p>
            <w:pPr>
              <w:pStyle w:val="Compact"/>
            </w:pPr>
            <w:r>
              <w:t xml:space="preserve">EMV 3DS 2.x flow, ทดสอบ ACS/DS</w:t>
            </w:r>
          </w:p>
        </w:tc>
      </w:tr>
      <w:tr>
        <w:tc>
          <w:tcPr/>
          <w:p>
            <w:pPr>
              <w:pStyle w:val="Compact"/>
            </w:pPr>
            <w:r>
              <w:rPr>
                <w:b/>
                <w:bCs/>
              </w:rPr>
              <w:t xml:space="preserve">QA / Test Automation</w:t>
            </w:r>
          </w:p>
        </w:tc>
        <w:tc>
          <w:tcPr/>
          <w:p>
            <w:pPr>
              <w:pStyle w:val="Compact"/>
            </w:pPr>
            <w:r>
              <w:t xml:space="preserve">[บริษัท / Company] — QA</w:t>
            </w:r>
          </w:p>
        </w:tc>
        <w:tc>
          <w:tcPr/>
          <w:p>
            <w:pPr>
              <w:pStyle w:val="Compact"/>
            </w:pPr>
            <w:r>
              <w:t xml:space="preserve">จัดการ test matrix, evidence, regression</w:t>
            </w:r>
          </w:p>
        </w:tc>
      </w:tr>
      <w:tr>
        <w:tc>
          <w:tcPr/>
          <w:p>
            <w:pPr>
              <w:pStyle w:val="Compact"/>
            </w:pPr>
            <w:r>
              <w:rPr>
                <w:b/>
                <w:bCs/>
              </w:rPr>
              <w:t xml:space="preserve">Security / DevSecOps</w:t>
            </w:r>
          </w:p>
        </w:tc>
        <w:tc>
          <w:tcPr/>
          <w:p>
            <w:pPr>
              <w:pStyle w:val="Compact"/>
            </w:pPr>
            <w:r>
              <w:t xml:space="preserve">[บริษัท / Company] — Security</w:t>
            </w:r>
          </w:p>
        </w:tc>
        <w:tc>
          <w:tcPr/>
          <w:p>
            <w:pPr>
              <w:pStyle w:val="Compact"/>
            </w:pPr>
            <w:r>
              <w:t xml:space="preserve">PCI scope, HSM/KMS, network segmentation, key ceremony</w:t>
            </w:r>
          </w:p>
        </w:tc>
      </w:tr>
      <w:tr>
        <w:tc>
          <w:tcPr/>
          <w:p>
            <w:pPr>
              <w:pStyle w:val="Compact"/>
            </w:pPr>
            <w:r>
              <w:rPr>
                <w:b/>
                <w:bCs/>
              </w:rPr>
              <w:t xml:space="preserve">Compliance &amp; Legal</w:t>
            </w:r>
          </w:p>
        </w:tc>
        <w:tc>
          <w:tcPr/>
          <w:p>
            <w:pPr>
              <w:pStyle w:val="Compact"/>
            </w:pPr>
            <w:r>
              <w:t xml:space="preserve">[บริษัท / Company] — Compliance</w:t>
            </w:r>
          </w:p>
        </w:tc>
        <w:tc>
          <w:tcPr/>
          <w:p>
            <w:pPr>
              <w:pStyle w:val="Compact"/>
            </w:pPr>
            <w:r>
              <w:t xml:space="preserve">ประสาน ธปท., ปปง./AMLO, PDPC; เอกสารใบอนุญาต</w:t>
            </w:r>
          </w:p>
        </w:tc>
      </w:tr>
      <w:tr>
        <w:tc>
          <w:tcPr/>
          <w:p>
            <w:pPr>
              <w:pStyle w:val="Compact"/>
            </w:pPr>
            <w:r>
              <w:rPr>
                <w:b/>
                <w:bCs/>
              </w:rPr>
              <w:t xml:space="preserve">Sponsor Bank Relationship Manager</w:t>
            </w:r>
          </w:p>
        </w:tc>
        <w:tc>
          <w:tcPr/>
          <w:p>
            <w:pPr>
              <w:pStyle w:val="Compact"/>
            </w:pPr>
            <w:r>
              <w:t xml:space="preserve">Sponsor bank</w:t>
            </w:r>
          </w:p>
        </w:tc>
        <w:tc>
          <w:tcPr/>
          <w:p>
            <w:pPr>
              <w:pStyle w:val="Compact"/>
            </w:pPr>
            <w:r>
              <w:t xml:space="preserve">ออก BIN/ICA, เปิด test endpoint, review &amp; sign-off cert</w:t>
            </w:r>
            <w:r>
              <w:t xml:space="preserve"> </w:t>
            </w:r>
            <w:r>
              <w:rPr>
                <w:b/>
                <w:bCs/>
              </w:rPr>
              <w:t xml:space="preserve">[TODO]</w:t>
            </w:r>
          </w:p>
        </w:tc>
      </w:tr>
      <w:tr>
        <w:tc>
          <w:tcPr/>
          <w:p>
            <w:pPr>
              <w:pStyle w:val="Compact"/>
            </w:pPr>
            <w:r>
              <w:rPr>
                <w:b/>
                <w:bCs/>
              </w:rPr>
              <w:t xml:space="preserve">Scheme Certification Analyst</w:t>
            </w:r>
          </w:p>
        </w:tc>
        <w:tc>
          <w:tcPr/>
          <w:p>
            <w:pPr>
              <w:pStyle w:val="Compact"/>
            </w:pPr>
            <w:r>
              <w:t xml:space="preserve">Visa / Mastercard</w:t>
            </w:r>
          </w:p>
        </w:tc>
        <w:tc>
          <w:tcPr/>
          <w:p>
            <w:pPr>
              <w:pStyle w:val="Compact"/>
            </w:pPr>
            <w:r>
              <w:t xml:space="preserve">review test result, ออก Letter of Approval / cert sign-off</w:t>
            </w:r>
          </w:p>
        </w:tc>
      </w:tr>
      <w:tr>
        <w:tc>
          <w:tcPr/>
          <w:p>
            <w:pPr>
              <w:pStyle w:val="Compact"/>
            </w:pPr>
            <w:r>
              <w:rPr>
                <w:b/>
                <w:bCs/>
              </w:rPr>
              <w:t xml:space="preserve">QSA</w:t>
            </w:r>
          </w:p>
        </w:tc>
        <w:tc>
          <w:tcPr/>
          <w:p>
            <w:pPr>
              <w:pStyle w:val="Compact"/>
            </w:pPr>
            <w:r>
              <w:t xml:space="preserve">ผู้ประเมินภายนอก</w:t>
            </w:r>
          </w:p>
        </w:tc>
        <w:tc>
          <w:tcPr/>
          <w:p>
            <w:pPr>
              <w:pStyle w:val="Compact"/>
            </w:pPr>
            <w:r>
              <w:t xml:space="preserve">PCI-DSS v4.0 audit, ออก RoC/AoC</w:t>
            </w:r>
            <w:r>
              <w:t xml:space="preserve"> </w:t>
            </w:r>
            <w:r>
              <w:rPr>
                <w:b/>
                <w:bCs/>
              </w:rPr>
              <w:t xml:space="preserve">[TODO]</w:t>
            </w:r>
          </w:p>
        </w:tc>
      </w:tr>
    </w:tbl>
    <w:bookmarkStart w:id="837" w:name="สรป-raci-ยอ"/>
    <w:p>
      <w:pPr>
        <w:pStyle w:val="Heading3"/>
      </w:pPr>
      <w:r>
        <w:t xml:space="preserve">สรุป RACI (ย่อ)</w:t>
      </w:r>
    </w:p>
    <w:tbl>
      <w:tblPr>
        <w:tblStyle w:val="Table"/>
        <w:tblW w:type="pct" w:w="5000"/>
        <w:tblLayout w:type="fixed"/>
        <w:tblLook w:firstRow="1" w:lastRow="0" w:firstColumn="0" w:lastColumn="0" w:noHBand="0" w:noVBand="0" w:val="0020"/>
      </w:tblPr>
      <w:tblGrid>
        <w:gridCol w:w="1827"/>
        <w:gridCol w:w="1015"/>
        <w:gridCol w:w="1015"/>
        <w:gridCol w:w="1015"/>
        <w:gridCol w:w="1015"/>
        <w:gridCol w:w="1015"/>
        <w:gridCol w:w="1015"/>
      </w:tblGrid>
      <w:tr>
        <w:trPr>
          <w:tblHeader w:val="on"/>
        </w:trPr>
        <w:tc>
          <w:tcPr/>
          <w:p>
            <w:pPr>
              <w:pStyle w:val="Compact"/>
            </w:pPr>
            <w:r>
              <w:t xml:space="preserve">กิจกรรม</w:t>
            </w:r>
          </w:p>
        </w:tc>
        <w:tc>
          <w:tcPr/>
          <w:p>
            <w:pPr>
              <w:pStyle w:val="Compact"/>
              <w:jc w:val="center"/>
            </w:pPr>
            <w:r>
              <w:t xml:space="preserve">Program Lead</w:t>
            </w:r>
          </w:p>
        </w:tc>
        <w:tc>
          <w:tcPr/>
          <w:p>
            <w:pPr>
              <w:pStyle w:val="Compact"/>
              <w:jc w:val="center"/>
            </w:pPr>
            <w:r>
              <w:t xml:space="preserve">Integration</w:t>
            </w:r>
          </w:p>
        </w:tc>
        <w:tc>
          <w:tcPr/>
          <w:p>
            <w:pPr>
              <w:pStyle w:val="Compact"/>
              <w:jc w:val="center"/>
            </w:pPr>
            <w:r>
              <w:t xml:space="preserve">QA</w:t>
            </w:r>
          </w:p>
        </w:tc>
        <w:tc>
          <w:tcPr/>
          <w:p>
            <w:pPr>
              <w:pStyle w:val="Compact"/>
              <w:jc w:val="center"/>
            </w:pPr>
            <w:r>
              <w:t xml:space="preserve">Security</w:t>
            </w:r>
          </w:p>
        </w:tc>
        <w:tc>
          <w:tcPr/>
          <w:p>
            <w:pPr>
              <w:pStyle w:val="Compact"/>
              <w:jc w:val="center"/>
            </w:pPr>
            <w:r>
              <w:t xml:space="preserve">Sponsor</w:t>
            </w:r>
          </w:p>
        </w:tc>
        <w:tc>
          <w:tcPr/>
          <w:p>
            <w:pPr>
              <w:pStyle w:val="Compact"/>
              <w:jc w:val="center"/>
            </w:pPr>
            <w:r>
              <w:t xml:space="preserve">Scheme</w:t>
            </w:r>
          </w:p>
        </w:tc>
      </w:tr>
      <w:tr>
        <w:tc>
          <w:tcPr/>
          <w:p>
            <w:pPr>
              <w:pStyle w:val="Compact"/>
            </w:pPr>
            <w:r>
              <w:t xml:space="preserve">วางแผน &amp; จอง slot cert</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I</w:t>
            </w:r>
          </w:p>
        </w:tc>
      </w:tr>
      <w:tr>
        <w:tc>
          <w:tcPr/>
          <w:p>
            <w:pPr>
              <w:pStyle w:val="Compact"/>
            </w:pPr>
            <w:r>
              <w:t xml:space="preserve">เชื่อม host/endpoint</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I</w:t>
            </w:r>
          </w:p>
        </w:tc>
      </w:tr>
      <w:tr>
        <w:tc>
          <w:tcPr/>
          <w:p>
            <w:pPr>
              <w:pStyle w:val="Compact"/>
            </w:pPr>
            <w:r>
              <w:t xml:space="preserve">รัน test script (auth/clearing)</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3DS 2.x testing</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PCI evidence &amp; RoC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R/A</w:t>
            </w:r>
          </w:p>
        </w:tc>
        <w:tc>
          <w:tcPr/>
          <w:p>
            <w:pPr>
              <w:pStyle w:val="Compact"/>
              <w:jc w:val="center"/>
            </w:pPr>
            <w:r>
              <w:t xml:space="preserve">I</w:t>
            </w:r>
          </w:p>
        </w:tc>
        <w:tc>
          <w:tcPr/>
          <w:p>
            <w:pPr>
              <w:pStyle w:val="Compact"/>
              <w:jc w:val="center"/>
            </w:pPr>
            <w:r>
              <w:t xml:space="preserve">I</w:t>
            </w:r>
          </w:p>
        </w:tc>
      </w:tr>
      <w:tr>
        <w:tc>
          <w:tcPr/>
          <w:p>
            <w:pPr>
              <w:pStyle w:val="Compact"/>
            </w:pPr>
            <w:r>
              <w:t xml:space="preserve">Sign-off &amp; Letter of Approval</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R</w:t>
            </w:r>
          </w:p>
        </w:tc>
      </w:tr>
    </w:tbl>
    <w:p>
      <w:pPr>
        <w:pStyle w:val="BodyText"/>
      </w:pPr>
      <w:r>
        <w:t xml:space="preserve">(R = ผู้ลงมือ, A = ผู้รับผิดชอบสูงสุด, C = ให้คำปรึกษา, I = รับทราบ)</w:t>
      </w:r>
    </w:p>
    <w:p>
      <w:r>
        <w:pict>
          <v:rect style="width:0;height:1.5pt" o:hralign="center" o:hrstd="t" o:hr="t"/>
        </w:pict>
      </w:r>
    </w:p>
    <w:bookmarkEnd w:id="837"/>
    <w:bookmarkEnd w:id="838"/>
    <w:bookmarkStart w:id="839" w:name="X39b8811f498e1e0eb5eae0a335a56e2017cb052"/>
    <w:p>
      <w:pPr>
        <w:pStyle w:val="Heading2"/>
      </w:pPr>
      <w:r>
        <w:t xml:space="preserve">3. เงื่อนไขเบื้องต้น (Prerequisites) ก่อนเริ่ม certification</w:t>
      </w:r>
    </w:p>
    <w:p>
      <w:pPr>
        <w:pStyle w:val="Compact"/>
        <w:numPr>
          <w:ilvl w:val="0"/>
          <w:numId w:val="1313"/>
        </w:numPr>
      </w:pPr>
      <w:r>
        <w:rPr>
          <w:b/>
          <w:bCs/>
        </w:rPr>
        <w:t xml:space="preserve">ลงนามสัญญากับ sponsor bank</w:t>
      </w:r>
      <w:r>
        <w:t xml:space="preserve"> </w:t>
      </w:r>
      <w:r>
        <w:t xml:space="preserve">และได้รับ</w:t>
      </w:r>
      <w:r>
        <w:t xml:space="preserve"> </w:t>
      </w:r>
      <w:r>
        <w:rPr>
          <w:b/>
          <w:bCs/>
        </w:rPr>
        <w:t xml:space="preserve">BIN (Visa) / ICA (Mastercard)</w:t>
      </w:r>
      <w:r>
        <w:t xml:space="preserve"> </w:t>
      </w:r>
      <w:r>
        <w:t xml:space="preserve">สำหรับ acquiring</w:t>
      </w:r>
      <w:r>
        <w:t xml:space="preserve"> </w:t>
      </w:r>
      <w:r>
        <w:rPr>
          <w:b/>
          <w:bCs/>
        </w:rPr>
        <w:t xml:space="preserve">[TODO]</w:t>
      </w:r>
    </w:p>
    <w:p>
      <w:pPr>
        <w:pStyle w:val="Compact"/>
        <w:numPr>
          <w:ilvl w:val="0"/>
          <w:numId w:val="1313"/>
        </w:numPr>
      </w:pPr>
      <w:r>
        <w:t xml:space="preserve">เชื่อมต่อ</w:t>
      </w:r>
      <w:r>
        <w:t xml:space="preserve"> </w:t>
      </w:r>
      <w:r>
        <w:rPr>
          <w:b/>
          <w:bCs/>
        </w:rPr>
        <w:t xml:space="preserve">acquirer host / card switch</w:t>
      </w:r>
      <w:r>
        <w:t xml:space="preserve"> </w:t>
      </w:r>
      <w:r>
        <w:t xml:space="preserve">ในสภาพแวดล้อม</w:t>
      </w:r>
      <w:r>
        <w:t xml:space="preserve"> </w:t>
      </w:r>
      <w:r>
        <w:rPr>
          <w:b/>
          <w:bCs/>
        </w:rPr>
        <w:t xml:space="preserve">sandbox/UAT</w:t>
      </w:r>
      <w:r>
        <w:t xml:space="preserve"> </w:t>
      </w:r>
      <w:r>
        <w:t xml:space="preserve">สำเร็จ (network + credential + mTLS)</w:t>
      </w:r>
    </w:p>
    <w:p>
      <w:pPr>
        <w:pStyle w:val="Compact"/>
        <w:numPr>
          <w:ilvl w:val="0"/>
          <w:numId w:val="1313"/>
        </w:numPr>
      </w:pPr>
      <w:r>
        <w:rPr>
          <w:b/>
          <w:bCs/>
        </w:rPr>
        <w:t xml:space="preserve">PCI-DSS v4.0 scope</w:t>
      </w:r>
      <w:r>
        <w:t xml:space="preserve"> </w:t>
      </w:r>
      <w:r>
        <w:t xml:space="preserve">กำหนดชัดเจน: tokenization vault แยก segment, ระบบหลักเห็นเฉพาะ token +</w:t>
      </w:r>
      <w:r>
        <w:t xml:space="preserve"> </w:t>
      </w:r>
      <w:r>
        <w:rPr>
          <w:rStyle w:val="VerbatimChar"/>
        </w:rPr>
        <w:t xml:space="preserve">card_last4</w:t>
      </w:r>
      <w:r>
        <w:t xml:space="preserve"> </w:t>
      </w:r>
      <w:r>
        <w:t xml:space="preserve">(ไม่มี PAN/CVV/PIN/track ในฐานข้อมูลปฏิบัติการ)</w:t>
      </w:r>
    </w:p>
    <w:p>
      <w:pPr>
        <w:pStyle w:val="Compact"/>
        <w:numPr>
          <w:ilvl w:val="0"/>
          <w:numId w:val="1313"/>
        </w:numPr>
      </w:pPr>
      <w:r>
        <w:rPr>
          <w:b/>
          <w:bCs/>
        </w:rPr>
        <w:t xml:space="preserve">HSM/KMS</w:t>
      </w:r>
      <w:r>
        <w:t xml:space="preserve"> </w:t>
      </w:r>
      <w:r>
        <w:t xml:space="preserve">พร้อมใช้งานสำหรับ key management (PCI Req 3), ทำ key ceremony (dual control / split knowledge)</w:t>
      </w:r>
    </w:p>
    <w:p>
      <w:pPr>
        <w:pStyle w:val="Compact"/>
        <w:numPr>
          <w:ilvl w:val="0"/>
          <w:numId w:val="1313"/>
        </w:numPr>
      </w:pPr>
      <w:r>
        <w:t xml:space="preserve">Ledger แบบ append-only (double-entry) และ reconciliation worker พร้อมทดสอบ settlement/clearing file</w:t>
      </w:r>
    </w:p>
    <w:p>
      <w:pPr>
        <w:pStyle w:val="Compact"/>
        <w:numPr>
          <w:ilvl w:val="0"/>
          <w:numId w:val="1313"/>
        </w:numPr>
      </w:pPr>
      <w:r>
        <w:t xml:space="preserve">Idempotency + audit_log ครบทุก endpoint ที่ขยับเงิน</w:t>
      </w:r>
    </w:p>
    <w:p>
      <w:pPr>
        <w:pStyle w:val="Compact"/>
        <w:numPr>
          <w:ilvl w:val="0"/>
          <w:numId w:val="1313"/>
        </w:numPr>
      </w:pPr>
      <w:r>
        <w:t xml:space="preserve">ได้รับ</w:t>
      </w:r>
      <w:r>
        <w:t xml:space="preserve"> </w:t>
      </w:r>
      <w:r>
        <w:rPr>
          <w:b/>
          <w:bCs/>
        </w:rPr>
        <w:t xml:space="preserve">test tool / simulator</w:t>
      </w:r>
      <w:r>
        <w:t xml:space="preserve"> </w:t>
      </w:r>
      <w:r>
        <w:t xml:space="preserve">ของ scheme และ</w:t>
      </w:r>
      <w:r>
        <w:t xml:space="preserve"> </w:t>
      </w:r>
      <w:r>
        <w:rPr>
          <w:b/>
          <w:bCs/>
        </w:rPr>
        <w:t xml:space="preserve">test card range</w:t>
      </w:r>
      <w:r>
        <w:t xml:space="preserve"> </w:t>
      </w:r>
      <w:r>
        <w:t xml:space="preserve">จาก sponsor bank</w:t>
      </w:r>
    </w:p>
    <w:p>
      <w:pPr>
        <w:pStyle w:val="BlockText"/>
      </w:pPr>
      <w:r>
        <w:t xml:space="preserve">การรับรอง scheme และ PCI-DSS L1 เป็น</w:t>
      </w:r>
      <w:r>
        <w:t xml:space="preserve"> </w:t>
      </w:r>
      <w:r>
        <w:rPr>
          <w:b/>
          <w:bCs/>
        </w:rPr>
        <w:t xml:space="preserve">critical path</w:t>
      </w:r>
      <w:r>
        <w:t xml:space="preserve"> </w:t>
      </w:r>
      <w:r>
        <w:t xml:space="preserve">ตาม</w:t>
      </w:r>
      <w:r>
        <w:t xml:space="preserve"> </w:t>
      </w:r>
      <w:r>
        <w:rPr>
          <w:rStyle w:val="VerbatimChar"/>
        </w:rPr>
        <w:t xml:space="preserve">ROADMAP.md</w:t>
      </w:r>
      <w:r>
        <w:t xml:space="preserve"> </w:t>
      </w:r>
      <w:r>
        <w:t xml:space="preserve">(Phase 4) และต้องเริ่มคู่ขนานกับ engineering</w:t>
      </w:r>
      <w:r>
        <w:t xml:space="preserve"> </w:t>
      </w:r>
      <w:r>
        <w:t xml:space="preserve">ตั้งแต่ต้น sponsor bank เป็นตัวกำหนดคิวและกำหนดเวลา</w:t>
      </w:r>
    </w:p>
    <w:p>
      <w:r>
        <w:pict>
          <v:rect style="width:0;height:1.5pt" o:hralign="center" o:hrstd="t" o:hr="t"/>
        </w:pict>
      </w:r>
    </w:p>
    <w:bookmarkEnd w:id="839"/>
    <w:bookmarkStart w:id="845" w:name="test-script-test-matrix"/>
    <w:p>
      <w:pPr>
        <w:pStyle w:val="Heading2"/>
      </w:pPr>
      <w:r>
        <w:t xml:space="preserve">4. Test script / Test matrix</w:t>
      </w:r>
    </w:p>
    <w:p>
      <w:pPr>
        <w:pStyle w:val="FirstParagraph"/>
      </w:pPr>
      <w:r>
        <w:t xml:space="preserve">หมวดทดสอบและ script อ้างอิงจากชุดทดสอบมาตรฐานของแต่ละเครือข่าย (Visa ADVT/VTS/CVT, Mastercard MTIP/M-TIP)</w:t>
      </w:r>
      <w:r>
        <w:t xml:space="preserve"> </w:t>
      </w:r>
      <w:r>
        <w:t xml:space="preserve">รายละเอียดเคสจริงเป็นไปตามชุดที่ scheme และ sponsor bank มอบให้ ณ เวลาทดสอบ</w:t>
      </w:r>
    </w:p>
    <w:bookmarkStart w:id="840" w:name="X340a40dc1f12290c99041225a8748649dc93686"/>
    <w:p>
      <w:pPr>
        <w:pStyle w:val="Heading3"/>
      </w:pPr>
      <w:r>
        <w:t xml:space="preserve">4.1 Authorization (Visa ADVT / Mastercard MTIP — auth module)</w:t>
      </w:r>
    </w:p>
    <w:tbl>
      <w:tblPr>
        <w:tblStyle w:val="Table"/>
        <w:tblW w:type="pct" w:w="5000"/>
        <w:tblLayout w:type="fixed"/>
        <w:tblLook w:firstRow="1" w:lastRow="0" w:firstColumn="0" w:lastColumn="0" w:noHBand="0" w:noVBand="0" w:val="0020"/>
      </w:tblPr>
      <w:tblGrid>
        <w:gridCol w:w="528"/>
        <w:gridCol w:w="1936"/>
        <w:gridCol w:w="2288"/>
        <w:gridCol w:w="3168"/>
      </w:tblGrid>
      <w:tr>
        <w:trPr>
          <w:tblHeader w:val="on"/>
        </w:trPr>
        <w:tc>
          <w:tcPr/>
          <w:p>
            <w:pPr>
              <w:pStyle w:val="Compact"/>
            </w:pPr>
            <w:r>
              <w:t xml:space="preserve">#</w:t>
            </w:r>
          </w:p>
        </w:tc>
        <w:tc>
          <w:tcPr/>
          <w:p>
            <w:pPr>
              <w:pStyle w:val="Compact"/>
            </w:pPr>
            <w:r>
              <w:t xml:space="preserve">Test case</w:t>
            </w:r>
          </w:p>
        </w:tc>
        <w:tc>
          <w:tcPr/>
          <w:p>
            <w:pPr>
              <w:pStyle w:val="Compact"/>
            </w:pPr>
            <w:r>
              <w:t xml:space="preserve">ข้อมูลนำเข้า</w:t>
            </w:r>
          </w:p>
        </w:tc>
        <w:tc>
          <w:tcPr/>
          <w:p>
            <w:pPr>
              <w:pStyle w:val="Compact"/>
            </w:pPr>
            <w:r>
              <w:t xml:space="preserve">ผลลัพธ์ที่คาดหวัง</w:t>
            </w:r>
          </w:p>
        </w:tc>
      </w:tr>
      <w:tr>
        <w:tc>
          <w:tcPr/>
          <w:p>
            <w:pPr>
              <w:pStyle w:val="Compact"/>
            </w:pPr>
            <w:r>
              <w:t xml:space="preserve">A-01</w:t>
            </w:r>
          </w:p>
        </w:tc>
        <w:tc>
          <w:tcPr/>
          <w:p>
            <w:pPr>
              <w:pStyle w:val="Compact"/>
            </w:pPr>
            <w:r>
              <w:t xml:space="preserve">Approve เต็มจำนวน</w:t>
            </w:r>
          </w:p>
        </w:tc>
        <w:tc>
          <w:tcPr/>
          <w:p>
            <w:pPr>
              <w:pStyle w:val="Compact"/>
            </w:pPr>
            <w:r>
              <w:t xml:space="preserve">บัตรทดสอบ approve, MTI 0100</w:t>
            </w:r>
          </w:p>
        </w:tc>
        <w:tc>
          <w:tcPr/>
          <w:p>
            <w:pPr>
              <w:pStyle w:val="Compact"/>
            </w:pPr>
            <w:r>
              <w:t xml:space="preserve">0110 approved,</w:t>
            </w:r>
            <w:r>
              <w:t xml:space="preserve"> </w:t>
            </w:r>
            <w:r>
              <w:rPr>
                <w:rStyle w:val="VerbatimChar"/>
              </w:rPr>
              <w:t xml:space="preserve">auth_code</w:t>
            </w:r>
            <w:r>
              <w:t xml:space="preserve">, ledger</w:t>
            </w:r>
            <w:r>
              <w:t xml:space="preserve"> </w:t>
            </w:r>
            <w:r>
              <w:rPr>
                <w:rStyle w:val="VerbatimChar"/>
              </w:rPr>
              <w:t xml:space="preserve">authorize</w:t>
            </w:r>
          </w:p>
        </w:tc>
      </w:tr>
      <w:tr>
        <w:tc>
          <w:tcPr/>
          <w:p>
            <w:pPr>
              <w:pStyle w:val="Compact"/>
            </w:pPr>
            <w:r>
              <w:t xml:space="preserve">A-02</w:t>
            </w:r>
          </w:p>
        </w:tc>
        <w:tc>
          <w:tcPr/>
          <w:p>
            <w:pPr>
              <w:pStyle w:val="Compact"/>
            </w:pPr>
            <w:r>
              <w:t xml:space="preserve">Decline (insufficient funds)</w:t>
            </w:r>
          </w:p>
        </w:tc>
        <w:tc>
          <w:tcPr/>
          <w:p>
            <w:pPr>
              <w:pStyle w:val="Compact"/>
            </w:pPr>
            <w:r>
              <w:t xml:space="preserve">test card decline code 51</w:t>
            </w:r>
          </w:p>
        </w:tc>
        <w:tc>
          <w:tcPr/>
          <w:p>
            <w:pPr>
              <w:pStyle w:val="Compact"/>
            </w:pPr>
            <w:r>
              <w:t xml:space="preserve">0110 decline, ไม่มี ledger authorize</w:t>
            </w:r>
          </w:p>
        </w:tc>
      </w:tr>
      <w:tr>
        <w:tc>
          <w:tcPr/>
          <w:p>
            <w:pPr>
              <w:pStyle w:val="Compact"/>
            </w:pPr>
            <w:r>
              <w:t xml:space="preserve">A-03</w:t>
            </w:r>
          </w:p>
        </w:tc>
        <w:tc>
          <w:tcPr/>
          <w:p>
            <w:pPr>
              <w:pStyle w:val="Compact"/>
            </w:pPr>
            <w:r>
              <w:t xml:space="preserve">Partial approval</w:t>
            </w:r>
          </w:p>
        </w:tc>
        <w:tc>
          <w:tcPr/>
          <w:p>
            <w:pPr>
              <w:pStyle w:val="Compact"/>
            </w:pPr>
            <w:r>
              <w:t xml:space="preserve">รองรับ partial auth</w:t>
            </w:r>
          </w:p>
        </w:tc>
        <w:tc>
          <w:tcPr/>
          <w:p>
            <w:pPr>
              <w:pStyle w:val="Compact"/>
            </w:pPr>
            <w:r>
              <w:t xml:space="preserve">0110 approved partial, amount ตรง</w:t>
            </w:r>
          </w:p>
        </w:tc>
      </w:tr>
      <w:tr>
        <w:tc>
          <w:tcPr/>
          <w:p>
            <w:pPr>
              <w:pStyle w:val="Compact"/>
            </w:pPr>
            <w:r>
              <w:t xml:space="preserve">A-04</w:t>
            </w:r>
          </w:p>
        </w:tc>
        <w:tc>
          <w:tcPr/>
          <w:p>
            <w:pPr>
              <w:pStyle w:val="Compact"/>
            </w:pPr>
            <w:r>
              <w:t xml:space="preserve">Referral / pickup (04, 41, 43)</w:t>
            </w:r>
          </w:p>
        </w:tc>
        <w:tc>
          <w:tcPr/>
          <w:p>
            <w:pPr>
              <w:pStyle w:val="Compact"/>
            </w:pPr>
            <w:r>
              <w:t xml:space="preserve">test card</w:t>
            </w:r>
          </w:p>
        </w:tc>
        <w:tc>
          <w:tcPr/>
          <w:p>
            <w:pPr>
              <w:pStyle w:val="Compact"/>
            </w:pPr>
            <w:r>
              <w:t xml:space="preserve">จัดการ response code ถูกต้อง, ไม่ capture</w:t>
            </w:r>
          </w:p>
        </w:tc>
      </w:tr>
      <w:tr>
        <w:tc>
          <w:tcPr/>
          <w:p>
            <w:pPr>
              <w:pStyle w:val="Compact"/>
            </w:pPr>
            <w:r>
              <w:t xml:space="preserve">A-05</w:t>
            </w:r>
          </w:p>
        </w:tc>
        <w:tc>
          <w:tcPr/>
          <w:p>
            <w:pPr>
              <w:pStyle w:val="Compact"/>
            </w:pPr>
            <w:r>
              <w:t xml:space="preserve">AVS check</w:t>
            </w:r>
          </w:p>
        </w:tc>
        <w:tc>
          <w:tcPr/>
          <w:p>
            <w:pPr>
              <w:pStyle w:val="Compact"/>
            </w:pPr>
            <w:r>
              <w:t xml:space="preserve">CNP + address</w:t>
            </w:r>
          </w:p>
        </w:tc>
        <w:tc>
          <w:tcPr/>
          <w:p>
            <w:pPr>
              <w:pStyle w:val="Compact"/>
            </w:pPr>
            <w:r>
              <w:t xml:space="preserve">AVS response mapping ถูกต้อง</w:t>
            </w:r>
          </w:p>
        </w:tc>
      </w:tr>
      <w:tr>
        <w:tc>
          <w:tcPr/>
          <w:p>
            <w:pPr>
              <w:pStyle w:val="Compact"/>
            </w:pPr>
            <w:r>
              <w:t xml:space="preserve">A-06</w:t>
            </w:r>
          </w:p>
        </w:tc>
        <w:tc>
          <w:tcPr/>
          <w:p>
            <w:pPr>
              <w:pStyle w:val="Compact"/>
            </w:pPr>
            <w:r>
              <w:t xml:space="preserve">CVV2 mismatch</w:t>
            </w:r>
          </w:p>
        </w:tc>
        <w:tc>
          <w:tcPr/>
          <w:p>
            <w:pPr>
              <w:pStyle w:val="Compact"/>
            </w:pPr>
            <w:r>
              <w:t xml:space="preserve">CNP + wrong CVV2</w:t>
            </w:r>
          </w:p>
        </w:tc>
        <w:tc>
          <w:tcPr/>
          <w:p>
            <w:pPr>
              <w:pStyle w:val="Compact"/>
            </w:pPr>
            <w:r>
              <w:t xml:space="preserve">จัดการตาม policy (decline/flag)</w:t>
            </w:r>
          </w:p>
        </w:tc>
      </w:tr>
      <w:tr>
        <w:tc>
          <w:tcPr/>
          <w:p>
            <w:pPr>
              <w:pStyle w:val="Compact"/>
            </w:pPr>
            <w:r>
              <w:t xml:space="preserve">A-07</w:t>
            </w:r>
          </w:p>
        </w:tc>
        <w:tc>
          <w:tcPr/>
          <w:p>
            <w:pPr>
              <w:pStyle w:val="Compact"/>
            </w:pPr>
            <w:r>
              <w:t xml:space="preserve">Timeout / no response</w:t>
            </w:r>
          </w:p>
        </w:tc>
        <w:tc>
          <w:tcPr/>
          <w:p>
            <w:pPr>
              <w:pStyle w:val="Compact"/>
            </w:pPr>
            <w:r>
              <w:t xml:space="preserve">จำลอง timeout</w:t>
            </w:r>
          </w:p>
        </w:tc>
        <w:tc>
          <w:tcPr/>
          <w:p>
            <w:pPr>
              <w:pStyle w:val="Compact"/>
            </w:pPr>
            <w:r>
              <w:t xml:space="preserve">fail-closed, ตั้ง reconcile, ไม่ double charge</w:t>
            </w:r>
          </w:p>
        </w:tc>
      </w:tr>
      <w:tr>
        <w:tc>
          <w:tcPr/>
          <w:p>
            <w:pPr>
              <w:pStyle w:val="Compact"/>
            </w:pPr>
            <w:r>
              <w:t xml:space="preserve">A-08</w:t>
            </w:r>
          </w:p>
        </w:tc>
        <w:tc>
          <w:tcPr/>
          <w:p>
            <w:pPr>
              <w:pStyle w:val="Compact"/>
            </w:pPr>
            <w:r>
              <w:t xml:space="preserve">Reversal (auto/partial)</w:t>
            </w:r>
          </w:p>
        </w:tc>
        <w:tc>
          <w:tcPr/>
          <w:p>
            <w:pPr>
              <w:pStyle w:val="Compact"/>
            </w:pPr>
            <w:r>
              <w:t xml:space="preserve">หลัง timeout/partial</w:t>
            </w:r>
          </w:p>
        </w:tc>
        <w:tc>
          <w:tcPr/>
          <w:p>
            <w:pPr>
              <w:pStyle w:val="Compact"/>
            </w:pPr>
            <w:r>
              <w:t xml:space="preserve">ส่ง 0400/reversal สำเร็จ</w:t>
            </w:r>
          </w:p>
        </w:tc>
      </w:tr>
      <w:tr>
        <w:tc>
          <w:tcPr/>
          <w:p>
            <w:pPr>
              <w:pStyle w:val="Compact"/>
            </w:pPr>
            <w:r>
              <w:t xml:space="preserve">A-09</w:t>
            </w:r>
          </w:p>
        </w:tc>
        <w:tc>
          <w:tcPr/>
          <w:p>
            <w:pPr>
              <w:pStyle w:val="Compact"/>
            </w:pPr>
            <w:r>
              <w:t xml:space="preserve">Currency &amp; minor units</w:t>
            </w:r>
          </w:p>
        </w:tc>
        <w:tc>
          <w:tcPr/>
          <w:p>
            <w:pPr>
              <w:pStyle w:val="Compact"/>
            </w:pPr>
            <w:r>
              <w:t xml:space="preserve">THB / อื่น ๆ</w:t>
            </w:r>
          </w:p>
        </w:tc>
        <w:tc>
          <w:tcPr/>
          <w:p>
            <w:pPr>
              <w:pStyle w:val="Compact"/>
            </w:pPr>
            <w:r>
              <w:t xml:space="preserve">amount เป็น integer minor units ถูกต้อง</w:t>
            </w:r>
          </w:p>
        </w:tc>
      </w:tr>
      <w:tr>
        <w:tc>
          <w:tcPr/>
          <w:p>
            <w:pPr>
              <w:pStyle w:val="Compact"/>
            </w:pPr>
            <w:r>
              <w:t xml:space="preserve">A-10</w:t>
            </w:r>
          </w:p>
        </w:tc>
        <w:tc>
          <w:tcPr/>
          <w:p>
            <w:pPr>
              <w:pStyle w:val="Compact"/>
            </w:pPr>
            <w:r>
              <w:t xml:space="preserve">Duplicate (idempotency)</w:t>
            </w:r>
          </w:p>
        </w:tc>
        <w:tc>
          <w:tcPr/>
          <w:p>
            <w:pPr>
              <w:pStyle w:val="Compact"/>
            </w:pPr>
            <w:r>
              <w:t xml:space="preserve">ส่งซ้ำด้วย Idempotency-Key เดิม</w:t>
            </w:r>
          </w:p>
        </w:tc>
        <w:tc>
          <w:tcPr/>
          <w:p>
            <w:pPr>
              <w:pStyle w:val="Compact"/>
            </w:pPr>
            <w:r>
              <w:t xml:space="preserve">ผลเดิม ไม่เกิด auth ซ้ำ</w:t>
            </w:r>
          </w:p>
        </w:tc>
      </w:tr>
    </w:tbl>
    <w:bookmarkEnd w:id="840"/>
    <w:bookmarkStart w:id="841" w:name="X8dc31697a585964041b0c79bc60dd96019cc6b6"/>
    <w:p>
      <w:pPr>
        <w:pStyle w:val="Heading3"/>
      </w:pPr>
      <w:r>
        <w:t xml:space="preserve">4.2 Clearing &amp; Settlement (Visa BASE II / Mastercard IPM · GCMS)</w:t>
      </w:r>
    </w:p>
    <w:tbl>
      <w:tblPr>
        <w:tblStyle w:val="Table"/>
        <w:tblW w:type="pct" w:w="5000"/>
        <w:tblLayout w:type="fixed"/>
        <w:tblLook w:firstRow="1" w:lastRow="0" w:firstColumn="0" w:lastColumn="0" w:noHBand="0" w:noVBand="0" w:val="0020"/>
      </w:tblPr>
      <w:tblGrid>
        <w:gridCol w:w="742"/>
        <w:gridCol w:w="2722"/>
        <w:gridCol w:w="4455"/>
      </w:tblGrid>
      <w:tr>
        <w:trPr>
          <w:tblHeader w:val="on"/>
        </w:trPr>
        <w:tc>
          <w:tcPr/>
          <w:p>
            <w:pPr>
              <w:pStyle w:val="Compact"/>
            </w:pPr>
            <w:r>
              <w:t xml:space="preserve">#</w:t>
            </w:r>
          </w:p>
        </w:tc>
        <w:tc>
          <w:tcPr/>
          <w:p>
            <w:pPr>
              <w:pStyle w:val="Compact"/>
            </w:pPr>
            <w:r>
              <w:t xml:space="preserve">Test case</w:t>
            </w:r>
          </w:p>
        </w:tc>
        <w:tc>
          <w:tcPr/>
          <w:p>
            <w:pPr>
              <w:pStyle w:val="Compact"/>
            </w:pPr>
            <w:r>
              <w:t xml:space="preserve">ผลลัพธ์ที่คาดหวัง</w:t>
            </w:r>
          </w:p>
        </w:tc>
      </w:tr>
      <w:tr>
        <w:tc>
          <w:tcPr/>
          <w:p>
            <w:pPr>
              <w:pStyle w:val="Compact"/>
            </w:pPr>
            <w:r>
              <w:t xml:space="preserve">C-01</w:t>
            </w:r>
          </w:p>
        </w:tc>
        <w:tc>
          <w:tcPr/>
          <w:p>
            <w:pPr>
              <w:pStyle w:val="Compact"/>
            </w:pPr>
            <w:r>
              <w:t xml:space="preserve">สร้าง clearing record จาก capture</w:t>
            </w:r>
          </w:p>
        </w:tc>
        <w:tc>
          <w:tcPr/>
          <w:p>
            <w:pPr>
              <w:pStyle w:val="Compact"/>
            </w:pPr>
            <w:r>
              <w:t xml:space="preserve">field TCR/IPM ถูกต้อง, จำนวนตรงกับ auth</w:t>
            </w:r>
          </w:p>
        </w:tc>
      </w:tr>
      <w:tr>
        <w:tc>
          <w:tcPr/>
          <w:p>
            <w:pPr>
              <w:pStyle w:val="Compact"/>
            </w:pPr>
            <w:r>
              <w:t xml:space="preserve">C-02</w:t>
            </w:r>
          </w:p>
        </w:tc>
        <w:tc>
          <w:tcPr/>
          <w:p>
            <w:pPr>
              <w:pStyle w:val="Compact"/>
            </w:pPr>
            <w:r>
              <w:t xml:space="preserve">Refund / credit</w:t>
            </w:r>
          </w:p>
        </w:tc>
        <w:tc>
          <w:tcPr/>
          <w:p>
            <w:pPr>
              <w:pStyle w:val="Compact"/>
            </w:pPr>
            <w:r>
              <w:t xml:space="preserve">credit record ถูกต้อง, ledger</w:t>
            </w:r>
            <w:r>
              <w:t xml:space="preserve"> </w:t>
            </w:r>
            <w:r>
              <w:rPr>
                <w:rStyle w:val="VerbatimChar"/>
              </w:rPr>
              <w:t xml:space="preserve">refund</w:t>
            </w:r>
          </w:p>
        </w:tc>
      </w:tr>
      <w:tr>
        <w:tc>
          <w:tcPr/>
          <w:p>
            <w:pPr>
              <w:pStyle w:val="Compact"/>
            </w:pPr>
            <w:r>
              <w:t xml:space="preserve">C-03</w:t>
            </w:r>
          </w:p>
        </w:tc>
        <w:tc>
          <w:tcPr/>
          <w:p>
            <w:pPr>
              <w:pStyle w:val="Compact"/>
            </w:pPr>
            <w:r>
              <w:t xml:space="preserve">Fee &amp; interchange qualification</w:t>
            </w:r>
          </w:p>
        </w:tc>
        <w:tc>
          <w:tcPr/>
          <w:p>
            <w:pPr>
              <w:pStyle w:val="Compact"/>
            </w:pPr>
            <w:r>
              <w:t xml:space="preserve">คำนวณ interchange/fee ตาม MCC</w:t>
            </w:r>
          </w:p>
        </w:tc>
      </w:tr>
      <w:tr>
        <w:tc>
          <w:tcPr/>
          <w:p>
            <w:pPr>
              <w:pStyle w:val="Compact"/>
            </w:pPr>
            <w:r>
              <w:t xml:space="preserve">C-04</w:t>
            </w:r>
          </w:p>
        </w:tc>
        <w:tc>
          <w:tcPr/>
          <w:p>
            <w:pPr>
              <w:pStyle w:val="Compact"/>
            </w:pPr>
            <w:r>
              <w:t xml:space="preserve">Settlement file parse &amp; reconcile</w:t>
            </w:r>
          </w:p>
        </w:tc>
        <w:tc>
          <w:tcPr/>
          <w:p>
            <w:pPr>
              <w:pStyle w:val="Compact"/>
            </w:pPr>
            <w:r>
              <w:t xml:space="preserve">กระทบยอดกับ ledger, ไม่มี mismatch</w:t>
            </w:r>
          </w:p>
        </w:tc>
      </w:tr>
      <w:tr>
        <w:tc>
          <w:tcPr/>
          <w:p>
            <w:pPr>
              <w:pStyle w:val="Compact"/>
            </w:pPr>
            <w:r>
              <w:t xml:space="preserve">C-05</w:t>
            </w:r>
          </w:p>
        </w:tc>
        <w:tc>
          <w:tcPr/>
          <w:p>
            <w:pPr>
              <w:pStyle w:val="Compact"/>
            </w:pPr>
            <w:r>
              <w:t xml:space="preserve">Exception / reject re-presentment</w:t>
            </w:r>
          </w:p>
        </w:tc>
        <w:tc>
          <w:tcPr/>
          <w:p>
            <w:pPr>
              <w:pStyle w:val="Compact"/>
            </w:pPr>
            <w:r>
              <w:t xml:space="preserve">จัดการ reject และส่งใหม่</w:t>
            </w:r>
          </w:p>
        </w:tc>
      </w:tr>
      <w:tr>
        <w:tc>
          <w:tcPr/>
          <w:p>
            <w:pPr>
              <w:pStyle w:val="Compact"/>
            </w:pPr>
            <w:r>
              <w:t xml:space="preserve">C-06</w:t>
            </w:r>
          </w:p>
        </w:tc>
        <w:tc>
          <w:tcPr/>
          <w:p>
            <w:pPr>
              <w:pStyle w:val="Compact"/>
            </w:pPr>
            <w:r>
              <w:t xml:space="preserve">Cutoff / batch window</w:t>
            </w:r>
          </w:p>
        </w:tc>
        <w:tc>
          <w:tcPr/>
          <w:p>
            <w:pPr>
              <w:pStyle w:val="Compact"/>
            </w:pPr>
            <w:r>
              <w:t xml:space="preserve">ปิด batch ตรงตาม cutoff ของ scheme</w:t>
            </w:r>
          </w:p>
        </w:tc>
      </w:tr>
    </w:tbl>
    <w:bookmarkEnd w:id="841"/>
    <w:bookmarkStart w:id="842" w:name="emv-3-d-secure-2.x-emv-3ds"/>
    <w:p>
      <w:pPr>
        <w:pStyle w:val="Heading3"/>
      </w:pPr>
      <w:r>
        <w:t xml:space="preserve">4.3 EMV 3-D Secure 2.x (EMV 3DS)</w:t>
      </w:r>
    </w:p>
    <w:tbl>
      <w:tblPr>
        <w:tblStyle w:val="Table"/>
        <w:tblW w:type="pct" w:w="5000"/>
        <w:tblLayout w:type="fixed"/>
        <w:tblLook w:firstRow="1" w:lastRow="0" w:firstColumn="0" w:lastColumn="0" w:noHBand="0" w:noVBand="0" w:val="0020"/>
      </w:tblPr>
      <w:tblGrid>
        <w:gridCol w:w="742"/>
        <w:gridCol w:w="2722"/>
        <w:gridCol w:w="4455"/>
      </w:tblGrid>
      <w:tr>
        <w:trPr>
          <w:tblHeader w:val="on"/>
        </w:trPr>
        <w:tc>
          <w:tcPr/>
          <w:p>
            <w:pPr>
              <w:pStyle w:val="Compact"/>
            </w:pPr>
            <w:r>
              <w:t xml:space="preserve">#</w:t>
            </w:r>
          </w:p>
        </w:tc>
        <w:tc>
          <w:tcPr/>
          <w:p>
            <w:pPr>
              <w:pStyle w:val="Compact"/>
            </w:pPr>
            <w:r>
              <w:t xml:space="preserve">Test case</w:t>
            </w:r>
          </w:p>
        </w:tc>
        <w:tc>
          <w:tcPr/>
          <w:p>
            <w:pPr>
              <w:pStyle w:val="Compact"/>
            </w:pPr>
            <w:r>
              <w:t xml:space="preserve">ผลลัพธ์ที่คาดหวัง</w:t>
            </w:r>
          </w:p>
        </w:tc>
      </w:tr>
      <w:tr>
        <w:tc>
          <w:tcPr/>
          <w:p>
            <w:pPr>
              <w:pStyle w:val="Compact"/>
            </w:pPr>
            <w:r>
              <w:t xml:space="preserve">D-01</w:t>
            </w:r>
          </w:p>
        </w:tc>
        <w:tc>
          <w:tcPr/>
          <w:p>
            <w:pPr>
              <w:pStyle w:val="Compact"/>
            </w:pPr>
            <w:r>
              <w:t xml:space="preserve">Frictionless flow</w:t>
            </w:r>
          </w:p>
        </w:tc>
        <w:tc>
          <w:tcPr/>
          <w:p>
            <w:pPr>
              <w:pStyle w:val="Compact"/>
            </w:pPr>
            <w:r>
              <w:t xml:space="preserve">authenticated, ECI/CAVV ส่งต่อ auth</w:t>
            </w:r>
          </w:p>
        </w:tc>
      </w:tr>
      <w:tr>
        <w:tc>
          <w:tcPr/>
          <w:p>
            <w:pPr>
              <w:pStyle w:val="Compact"/>
            </w:pPr>
            <w:r>
              <w:t xml:space="preserve">D-02</w:t>
            </w:r>
          </w:p>
        </w:tc>
        <w:tc>
          <w:tcPr/>
          <w:p>
            <w:pPr>
              <w:pStyle w:val="Compact"/>
            </w:pPr>
            <w:r>
              <w:t xml:space="preserve">Challenge flow (OTP/biometric)</w:t>
            </w:r>
          </w:p>
        </w:tc>
        <w:tc>
          <w:tcPr/>
          <w:p>
            <w:pPr>
              <w:pStyle w:val="Compact"/>
            </w:pPr>
            <w:r>
              <w:rPr>
                <w:rStyle w:val="VerbatimChar"/>
              </w:rPr>
              <w:t xml:space="preserve">requires_action</w:t>
            </w:r>
            <w:r>
              <w:t xml:space="preserve"> </w:t>
            </w:r>
            <w:r>
              <w:t xml:space="preserve">+</w:t>
            </w:r>
            <w:r>
              <w:t xml:space="preserve"> </w:t>
            </w:r>
            <w:r>
              <w:rPr>
                <w:rStyle w:val="VerbatimChar"/>
              </w:rPr>
              <w:t xml:space="preserve">next_action_url</w:t>
            </w:r>
            <w:r>
              <w:t xml:space="preserve">, สำเร็จ</w:t>
            </w:r>
          </w:p>
        </w:tc>
      </w:tr>
      <w:tr>
        <w:tc>
          <w:tcPr/>
          <w:p>
            <w:pPr>
              <w:pStyle w:val="Compact"/>
            </w:pPr>
            <w:r>
              <w:t xml:space="preserve">D-03</w:t>
            </w:r>
          </w:p>
        </w:tc>
        <w:tc>
          <w:tcPr/>
          <w:p>
            <w:pPr>
              <w:pStyle w:val="Compact"/>
            </w:pPr>
            <w:r>
              <w:t xml:space="preserve">Authentication failed</w:t>
            </w:r>
          </w:p>
        </w:tc>
        <w:tc>
          <w:tcPr/>
          <w:p>
            <w:pPr>
              <w:pStyle w:val="Compact"/>
            </w:pPr>
            <w:r>
              <w:t xml:space="preserve">mapping ถูกต้อง, ไม่ authorize</w:t>
            </w:r>
          </w:p>
        </w:tc>
      </w:tr>
      <w:tr>
        <w:tc>
          <w:tcPr/>
          <w:p>
            <w:pPr>
              <w:pStyle w:val="Compact"/>
            </w:pPr>
            <w:r>
              <w:t xml:space="preserve">D-04</w:t>
            </w:r>
          </w:p>
        </w:tc>
        <w:tc>
          <w:tcPr/>
          <w:p>
            <w:pPr>
              <w:pStyle w:val="Compact"/>
            </w:pPr>
            <w:r>
              <w:t xml:space="preserve">Attempts / stand-in</w:t>
            </w:r>
          </w:p>
        </w:tc>
        <w:tc>
          <w:tcPr/>
          <w:p>
            <w:pPr>
              <w:pStyle w:val="Compact"/>
            </w:pPr>
            <w:r>
              <w:t xml:space="preserve">ECI สำหรับ liability shift ถูกต้อง</w:t>
            </w:r>
          </w:p>
        </w:tc>
      </w:tr>
      <w:tr>
        <w:tc>
          <w:tcPr/>
          <w:p>
            <w:pPr>
              <w:pStyle w:val="Compact"/>
            </w:pPr>
            <w:r>
              <w:t xml:space="preserve">D-05</w:t>
            </w:r>
          </w:p>
        </w:tc>
        <w:tc>
          <w:tcPr/>
          <w:p>
            <w:pPr>
              <w:pStyle w:val="Compact"/>
            </w:pPr>
            <w:r>
              <w:t xml:space="preserve">3DS data ใน auth</w:t>
            </w:r>
          </w:p>
        </w:tc>
        <w:tc>
          <w:tcPr/>
          <w:p>
            <w:pPr>
              <w:pStyle w:val="Compact"/>
            </w:pPr>
            <w:r>
              <w:t xml:space="preserve">CAVV/AAV, dsTransID, version ครบ</w:t>
            </w:r>
          </w:p>
        </w:tc>
      </w:tr>
      <w:tr>
        <w:tc>
          <w:tcPr/>
          <w:p>
            <w:pPr>
              <w:pStyle w:val="Compact"/>
            </w:pPr>
            <w:r>
              <w:t xml:space="preserve">D-06</w:t>
            </w:r>
          </w:p>
        </w:tc>
        <w:tc>
          <w:tcPr/>
          <w:p>
            <w:pPr>
              <w:pStyle w:val="Compact"/>
            </w:pPr>
            <w:r>
              <w:t xml:space="preserve">Method / device data collection</w:t>
            </w:r>
          </w:p>
        </w:tc>
        <w:tc>
          <w:tcPr/>
          <w:p>
            <w:pPr>
              <w:pStyle w:val="Compact"/>
            </w:pPr>
            <w:r>
              <w:t xml:space="preserve">3DS Method URL ทำงานถูกต้อง</w:t>
            </w:r>
          </w:p>
        </w:tc>
      </w:tr>
    </w:tbl>
    <w:bookmarkEnd w:id="842"/>
    <w:bookmarkStart w:id="843" w:name="dispute-chargeback"/>
    <w:p>
      <w:pPr>
        <w:pStyle w:val="Heading3"/>
      </w:pPr>
      <w:r>
        <w:t xml:space="preserve">4.4 Dispute / Chargeback</w:t>
      </w:r>
    </w:p>
    <w:tbl>
      <w:tblPr>
        <w:tblStyle w:val="Table"/>
        <w:tblW w:type="pct" w:w="5000"/>
        <w:tblLayout w:type="fixed"/>
        <w:tblLook w:firstRow="1" w:lastRow="0" w:firstColumn="0" w:lastColumn="0" w:noHBand="0" w:noVBand="0" w:val="0020"/>
      </w:tblPr>
      <w:tblGrid>
        <w:gridCol w:w="742"/>
        <w:gridCol w:w="2722"/>
        <w:gridCol w:w="4455"/>
      </w:tblGrid>
      <w:tr>
        <w:trPr>
          <w:tblHeader w:val="on"/>
        </w:trPr>
        <w:tc>
          <w:tcPr/>
          <w:p>
            <w:pPr>
              <w:pStyle w:val="Compact"/>
            </w:pPr>
            <w:r>
              <w:t xml:space="preserve">#</w:t>
            </w:r>
          </w:p>
        </w:tc>
        <w:tc>
          <w:tcPr/>
          <w:p>
            <w:pPr>
              <w:pStyle w:val="Compact"/>
            </w:pPr>
            <w:r>
              <w:t xml:space="preserve">Test case</w:t>
            </w:r>
          </w:p>
        </w:tc>
        <w:tc>
          <w:tcPr/>
          <w:p>
            <w:pPr>
              <w:pStyle w:val="Compact"/>
            </w:pPr>
            <w:r>
              <w:t xml:space="preserve">ผลลัพธ์ที่คาดหวัง</w:t>
            </w:r>
          </w:p>
        </w:tc>
      </w:tr>
      <w:tr>
        <w:tc>
          <w:tcPr/>
          <w:p>
            <w:pPr>
              <w:pStyle w:val="Compact"/>
            </w:pPr>
            <w:r>
              <w:t xml:space="preserve">E-01</w:t>
            </w:r>
          </w:p>
        </w:tc>
        <w:tc>
          <w:tcPr/>
          <w:p>
            <w:pPr>
              <w:pStyle w:val="Compact"/>
            </w:pPr>
            <w:r>
              <w:t xml:space="preserve">รับ chargeback (Visa VROL / Mastercom)</w:t>
            </w:r>
          </w:p>
        </w:tc>
        <w:tc>
          <w:tcPr/>
          <w:p>
            <w:pPr>
              <w:pStyle w:val="Compact"/>
            </w:pPr>
            <w:r>
              <w:t xml:space="preserve">สร้าง dispute record, แจ้ง merchant</w:t>
            </w:r>
          </w:p>
        </w:tc>
      </w:tr>
      <w:tr>
        <w:tc>
          <w:tcPr/>
          <w:p>
            <w:pPr>
              <w:pStyle w:val="Compact"/>
            </w:pPr>
            <w:r>
              <w:t xml:space="preserve">E-02</w:t>
            </w:r>
          </w:p>
        </w:tc>
        <w:tc>
          <w:tcPr/>
          <w:p>
            <w:pPr>
              <w:pStyle w:val="Compact"/>
            </w:pPr>
            <w:r>
              <w:t xml:space="preserve">Representment / re-presentment</w:t>
            </w:r>
          </w:p>
        </w:tc>
        <w:tc>
          <w:tcPr/>
          <w:p>
            <w:pPr>
              <w:pStyle w:val="Compact"/>
            </w:pPr>
            <w:r>
              <w:t xml:space="preserve">ส่งหลักฐานสำเร็จ</w:t>
            </w:r>
          </w:p>
        </w:tc>
      </w:tr>
      <w:tr>
        <w:tc>
          <w:tcPr/>
          <w:p>
            <w:pPr>
              <w:pStyle w:val="Compact"/>
            </w:pPr>
            <w:r>
              <w:t xml:space="preserve">E-03</w:t>
            </w:r>
          </w:p>
        </w:tc>
        <w:tc>
          <w:tcPr/>
          <w:p>
            <w:pPr>
              <w:pStyle w:val="Compact"/>
            </w:pPr>
            <w:r>
              <w:t xml:space="preserve">Second presentment / pre-arbitration</w:t>
            </w:r>
          </w:p>
        </w:tc>
        <w:tc>
          <w:tcPr/>
          <w:p>
            <w:pPr>
              <w:pStyle w:val="Compact"/>
            </w:pPr>
            <w:r>
              <w:t xml:space="preserve">flow ถูกต้อง</w:t>
            </w:r>
          </w:p>
        </w:tc>
      </w:tr>
    </w:tbl>
    <w:bookmarkEnd w:id="843"/>
    <w:bookmarkStart w:id="844" w:name="X0b1bf99e58e0cc2f948f37ad0180e20d4d9f83f"/>
    <w:p>
      <w:pPr>
        <w:pStyle w:val="Heading3"/>
      </w:pPr>
      <w:r>
        <w:t xml:space="preserve">4.5 Network Tokenization (ถ้าอยู่ใน scope ระยะแรก — VTS / MDES)</w:t>
      </w:r>
    </w:p>
    <w:tbl>
      <w:tblPr>
        <w:tblStyle w:val="Table"/>
        <w:tblW w:type="pct" w:w="5000"/>
        <w:tblLayout w:type="fixed"/>
        <w:tblLook w:firstRow="1" w:lastRow="0" w:firstColumn="0" w:lastColumn="0" w:noHBand="0" w:noVBand="0" w:val="0020"/>
      </w:tblPr>
      <w:tblGrid>
        <w:gridCol w:w="742"/>
        <w:gridCol w:w="2722"/>
        <w:gridCol w:w="4455"/>
      </w:tblGrid>
      <w:tr>
        <w:trPr>
          <w:tblHeader w:val="on"/>
        </w:trPr>
        <w:tc>
          <w:tcPr/>
          <w:p>
            <w:pPr>
              <w:pStyle w:val="Compact"/>
            </w:pPr>
            <w:r>
              <w:t xml:space="preserve">#</w:t>
            </w:r>
          </w:p>
        </w:tc>
        <w:tc>
          <w:tcPr/>
          <w:p>
            <w:pPr>
              <w:pStyle w:val="Compact"/>
            </w:pPr>
            <w:r>
              <w:t xml:space="preserve">Test case</w:t>
            </w:r>
          </w:p>
        </w:tc>
        <w:tc>
          <w:tcPr/>
          <w:p>
            <w:pPr>
              <w:pStyle w:val="Compact"/>
            </w:pPr>
            <w:r>
              <w:t xml:space="preserve">ผลลัพธ์ที่คาดหวัง</w:t>
            </w:r>
          </w:p>
        </w:tc>
      </w:tr>
      <w:tr>
        <w:tc>
          <w:tcPr/>
          <w:p>
            <w:pPr>
              <w:pStyle w:val="Compact"/>
            </w:pPr>
            <w:r>
              <w:t xml:space="preserve">T-01</w:t>
            </w:r>
          </w:p>
        </w:tc>
        <w:tc>
          <w:tcPr/>
          <w:p>
            <w:pPr>
              <w:pStyle w:val="Compact"/>
            </w:pPr>
            <w:r>
              <w:t xml:space="preserve">Provision network token</w:t>
            </w:r>
          </w:p>
        </w:tc>
        <w:tc>
          <w:tcPr/>
          <w:p>
            <w:pPr>
              <w:pStyle w:val="Compact"/>
            </w:pPr>
            <w:r>
              <w:t xml:space="preserve">token + TR-ID สำเร็จ</w:t>
            </w:r>
          </w:p>
        </w:tc>
      </w:tr>
      <w:tr>
        <w:tc>
          <w:tcPr/>
          <w:p>
            <w:pPr>
              <w:pStyle w:val="Compact"/>
            </w:pPr>
            <w:r>
              <w:t xml:space="preserve">T-02</w:t>
            </w:r>
          </w:p>
        </w:tc>
        <w:tc>
          <w:tcPr/>
          <w:p>
            <w:pPr>
              <w:pStyle w:val="Compact"/>
            </w:pPr>
            <w:r>
              <w:t xml:space="preserve">Auth ด้วย network token + cryptogram</w:t>
            </w:r>
          </w:p>
        </w:tc>
        <w:tc>
          <w:tcPr/>
          <w:p>
            <w:pPr>
              <w:pStyle w:val="Compact"/>
            </w:pPr>
            <w:r>
              <w:t xml:space="preserve">approved, cryptogram ถูกตรวจ</w:t>
            </w:r>
          </w:p>
        </w:tc>
      </w:tr>
      <w:tr>
        <w:tc>
          <w:tcPr/>
          <w:p>
            <w:pPr>
              <w:pStyle w:val="Compact"/>
            </w:pPr>
            <w:r>
              <w:t xml:space="preserve">T-03</w:t>
            </w:r>
          </w:p>
        </w:tc>
        <w:tc>
          <w:tcPr/>
          <w:p>
            <w:pPr>
              <w:pStyle w:val="Compact"/>
            </w:pPr>
            <w:r>
              <w:t xml:space="preserve">Lifecycle (suspend/resume/delete)</w:t>
            </w:r>
          </w:p>
        </w:tc>
        <w:tc>
          <w:tcPr/>
          <w:p>
            <w:pPr>
              <w:pStyle w:val="Compact"/>
            </w:pPr>
            <w:r>
              <w:t xml:space="preserve">สถานะ token ถูกต้อง</w:t>
            </w:r>
          </w:p>
        </w:tc>
      </w:tr>
    </w:tbl>
    <w:p>
      <w:pPr>
        <w:pStyle w:val="BlockText"/>
      </w:pPr>
      <w:r>
        <w:rPr>
          <w:b/>
          <w:bCs/>
        </w:rPr>
        <w:t xml:space="preserve">หลักฐาน (evidence):</w:t>
      </w:r>
      <w:r>
        <w:t xml:space="preserve"> </w:t>
      </w:r>
      <w:r>
        <w:t xml:space="preserve">ทุกเคสต้องเก็บ request/response log (ปิดบัง PAN/sensitive data ตาม PCI Req 3),</w:t>
      </w:r>
      <w:r>
        <w:t xml:space="preserve"> </w:t>
      </w:r>
      <w:r>
        <w:t xml:space="preserve">transaction ID, timestamp และผล pass/fail ลงใน certification evidence pack เพื่อส่ง scheme/sponsor และประกอบ RoC</w:t>
      </w:r>
    </w:p>
    <w:p>
      <w:r>
        <w:pict>
          <v:rect style="width:0;height:1.5pt" o:hralign="center" o:hrstd="t" o:hr="t"/>
        </w:pict>
      </w:r>
    </w:p>
    <w:bookmarkEnd w:id="844"/>
    <w:bookmarkEnd w:id="845"/>
    <w:bookmarkStart w:id="846" w:name="milestones-และกำหนดเวลา-โดยประมาณ"/>
    <w:p>
      <w:pPr>
        <w:pStyle w:val="Heading2"/>
      </w:pPr>
      <w:r>
        <w:t xml:space="preserve">5. Milestones และกำหนดเวลา (โดยประมาณ)</w:t>
      </w:r>
    </w:p>
    <w:p>
      <w:pPr>
        <w:pStyle w:val="FirstParagraph"/>
      </w:pPr>
      <w:r>
        <w:t xml:space="preserve">อ้างอิง</w:t>
      </w:r>
      <w:r>
        <w:t xml:space="preserve"> </w:t>
      </w:r>
      <w:r>
        <w:rPr>
          <w:rStyle w:val="VerbatimChar"/>
        </w:rPr>
        <w:t xml:space="preserve">ROADMAP.md</w:t>
      </w:r>
      <w:r>
        <w:t xml:space="preserve"> </w:t>
      </w:r>
      <w:r>
        <w:t xml:space="preserve">Phase 4 (Certification &amp; Go-live, สัปดาห์ 16–24+) certification เริ่มหลังสภาพแวดล้อม UAT พร้อม</w:t>
      </w:r>
      <w:r>
        <w:t xml:space="preserve"> </w:t>
      </w:r>
      <w:r>
        <w:t xml:space="preserve">วันที่เป็นค่าเป้าหมายเชิงวางแผน ปรับตามคิวจริงของ sponsor/scheme</w:t>
      </w:r>
    </w:p>
    <w:tbl>
      <w:tblPr>
        <w:tblStyle w:val="Table"/>
        <w:tblW w:type="pct" w:w="5000"/>
        <w:tblLayout w:type="fixed"/>
        <w:tblLook w:firstRow="1" w:lastRow="0" w:firstColumn="0" w:lastColumn="0" w:noHBand="0" w:noVBand="0" w:val="0020"/>
      </w:tblPr>
      <w:tblGrid>
        <w:gridCol w:w="465"/>
        <w:gridCol w:w="1708"/>
        <w:gridCol w:w="4192"/>
        <w:gridCol w:w="1552"/>
      </w:tblGrid>
      <w:tr>
        <w:trPr>
          <w:tblHeader w:val="on"/>
        </w:trPr>
        <w:tc>
          <w:tcPr/>
          <w:p>
            <w:pPr>
              <w:pStyle w:val="Compact"/>
            </w:pPr>
            <w:r>
              <w:t xml:space="preserve">#</w:t>
            </w:r>
          </w:p>
        </w:tc>
        <w:tc>
          <w:tcPr/>
          <w:p>
            <w:pPr>
              <w:pStyle w:val="Compact"/>
            </w:pPr>
            <w:r>
              <w:t xml:space="preserve">Milestone</w:t>
            </w:r>
          </w:p>
        </w:tc>
        <w:tc>
          <w:tcPr/>
          <w:p>
            <w:pPr>
              <w:pStyle w:val="Compact"/>
            </w:pPr>
            <w:r>
              <w:t xml:space="preserve">เกณฑ์ผ่าน (exit criteria)</w:t>
            </w:r>
          </w:p>
        </w:tc>
        <w:tc>
          <w:tcPr/>
          <w:p>
            <w:pPr>
              <w:pStyle w:val="Compact"/>
            </w:pPr>
            <w:r>
              <w:t xml:space="preserve">เป้าหมาย</w:t>
            </w:r>
          </w:p>
        </w:tc>
      </w:tr>
      <w:tr>
        <w:tc>
          <w:tcPr/>
          <w:p>
            <w:pPr>
              <w:pStyle w:val="Compact"/>
            </w:pPr>
            <w:r>
              <w:t xml:space="preserve">M0</w:t>
            </w:r>
          </w:p>
        </w:tc>
        <w:tc>
          <w:tcPr/>
          <w:p>
            <w:pPr>
              <w:pStyle w:val="Compact"/>
            </w:pPr>
            <w:r>
              <w:t xml:space="preserve">ลงนาม sponsor bank + ได้ BIN/ICA</w:t>
            </w:r>
          </w:p>
        </w:tc>
        <w:tc>
          <w:tcPr/>
          <w:p>
            <w:pPr>
              <w:pStyle w:val="Compact"/>
            </w:pPr>
            <w:r>
              <w:t xml:space="preserve">สัญญาลงนาม, BIN/ICA ออก</w:t>
            </w:r>
            <w:r>
              <w:t xml:space="preserve"> </w:t>
            </w:r>
            <w:r>
              <w:rPr>
                <w:b/>
                <w:bCs/>
              </w:rPr>
              <w:t xml:space="preserve">[TODO]</w:t>
            </w:r>
          </w:p>
        </w:tc>
        <w:tc>
          <w:tcPr/>
          <w:p>
            <w:pPr>
              <w:pStyle w:val="Compact"/>
            </w:pPr>
            <w:r>
              <w:t xml:space="preserve">สัปดาห์ 0</w:t>
            </w:r>
          </w:p>
        </w:tc>
      </w:tr>
      <w:tr>
        <w:tc>
          <w:tcPr/>
          <w:p>
            <w:pPr>
              <w:pStyle w:val="Compact"/>
            </w:pPr>
            <w:r>
              <w:t xml:space="preserve">M1</w:t>
            </w:r>
          </w:p>
        </w:tc>
        <w:tc>
          <w:tcPr/>
          <w:p>
            <w:pPr>
              <w:pStyle w:val="Compact"/>
            </w:pPr>
            <w:r>
              <w:t xml:space="preserve">เชื่อม host UAT + connectivity test</w:t>
            </w:r>
          </w:p>
        </w:tc>
        <w:tc>
          <w:tcPr/>
          <w:p>
            <w:pPr>
              <w:pStyle w:val="Compact"/>
            </w:pPr>
            <w:r>
              <w:t xml:space="preserve">ping/handshake/mTLS ผ่าน</w:t>
            </w:r>
          </w:p>
        </w:tc>
        <w:tc>
          <w:tcPr/>
          <w:p>
            <w:pPr>
              <w:pStyle w:val="Compact"/>
            </w:pPr>
            <w:r>
              <w:t xml:space="preserve">+2 สัปดาห์</w:t>
            </w:r>
          </w:p>
        </w:tc>
      </w:tr>
      <w:tr>
        <w:tc>
          <w:tcPr/>
          <w:p>
            <w:pPr>
              <w:pStyle w:val="Compact"/>
            </w:pPr>
            <w:r>
              <w:t xml:space="preserve">M2</w:t>
            </w:r>
          </w:p>
        </w:tc>
        <w:tc>
          <w:tcPr/>
          <w:p>
            <w:pPr>
              <w:pStyle w:val="Compact"/>
            </w:pPr>
            <w:r>
              <w:t xml:space="preserve">ผ่าน Authorization test (ADVT/MTIP auth)</w:t>
            </w:r>
          </w:p>
        </w:tc>
        <w:tc>
          <w:tcPr/>
          <w:p>
            <w:pPr>
              <w:pStyle w:val="Compact"/>
            </w:pPr>
            <w:r>
              <w:t xml:space="preserve">100% เคสบังคับผ่าน</w:t>
            </w:r>
          </w:p>
        </w:tc>
        <w:tc>
          <w:tcPr/>
          <w:p>
            <w:pPr>
              <w:pStyle w:val="Compact"/>
            </w:pPr>
            <w:r>
              <w:t xml:space="preserve">+4 สัปดาห์</w:t>
            </w:r>
          </w:p>
        </w:tc>
      </w:tr>
      <w:tr>
        <w:tc>
          <w:tcPr/>
          <w:p>
            <w:pPr>
              <w:pStyle w:val="Compact"/>
            </w:pPr>
            <w:r>
              <w:t xml:space="preserve">M3</w:t>
            </w:r>
          </w:p>
        </w:tc>
        <w:tc>
          <w:tcPr/>
          <w:p>
            <w:pPr>
              <w:pStyle w:val="Compact"/>
            </w:pPr>
            <w:r>
              <w:t xml:space="preserve">ผ่าน 3DS 2.x test</w:t>
            </w:r>
          </w:p>
        </w:tc>
        <w:tc>
          <w:tcPr/>
          <w:p>
            <w:pPr>
              <w:pStyle w:val="Compact"/>
            </w:pPr>
            <w:r>
              <w:t xml:space="preserve">ครบทุกเคส frictionless/challenge</w:t>
            </w:r>
          </w:p>
        </w:tc>
        <w:tc>
          <w:tcPr/>
          <w:p>
            <w:pPr>
              <w:pStyle w:val="Compact"/>
            </w:pPr>
            <w:r>
              <w:t xml:space="preserve">+6 สัปดาห์</w:t>
            </w:r>
          </w:p>
        </w:tc>
      </w:tr>
      <w:tr>
        <w:tc>
          <w:tcPr/>
          <w:p>
            <w:pPr>
              <w:pStyle w:val="Compact"/>
            </w:pPr>
            <w:r>
              <w:t xml:space="preserve">M4</w:t>
            </w:r>
          </w:p>
        </w:tc>
        <w:tc>
          <w:tcPr/>
          <w:p>
            <w:pPr>
              <w:pStyle w:val="Compact"/>
            </w:pPr>
            <w:r>
              <w:t xml:space="preserve">ผ่าน Clearing &amp; Settlement test</w:t>
            </w:r>
          </w:p>
        </w:tc>
        <w:tc>
          <w:tcPr/>
          <w:p>
            <w:pPr>
              <w:pStyle w:val="Compact"/>
            </w:pPr>
            <w:r>
              <w:t xml:space="preserve">reconcile ไม่มี mismatch</w:t>
            </w:r>
          </w:p>
        </w:tc>
        <w:tc>
          <w:tcPr/>
          <w:p>
            <w:pPr>
              <w:pStyle w:val="Compact"/>
            </w:pPr>
            <w:r>
              <w:t xml:space="preserve">+8 สัปดาห์</w:t>
            </w:r>
          </w:p>
        </w:tc>
      </w:tr>
      <w:tr>
        <w:tc>
          <w:tcPr/>
          <w:p>
            <w:pPr>
              <w:pStyle w:val="Compact"/>
            </w:pPr>
            <w:r>
              <w:t xml:space="preserve">M5</w:t>
            </w:r>
          </w:p>
        </w:tc>
        <w:tc>
          <w:tcPr/>
          <w:p>
            <w:pPr>
              <w:pStyle w:val="Compact"/>
            </w:pPr>
            <w:r>
              <w:t xml:space="preserve">Dispute/chargeback + tokenization (ถ้ามี)</w:t>
            </w:r>
          </w:p>
        </w:tc>
        <w:tc>
          <w:tcPr/>
          <w:p>
            <w:pPr>
              <w:pStyle w:val="Compact"/>
            </w:pPr>
            <w:r>
              <w:t xml:space="preserve">flow ผ่าน</w:t>
            </w:r>
          </w:p>
        </w:tc>
        <w:tc>
          <w:tcPr/>
          <w:p>
            <w:pPr>
              <w:pStyle w:val="Compact"/>
            </w:pPr>
            <w:r>
              <w:t xml:space="preserve">+9 สัปดาห์</w:t>
            </w:r>
          </w:p>
        </w:tc>
      </w:tr>
      <w:tr>
        <w:tc>
          <w:tcPr/>
          <w:p>
            <w:pPr>
              <w:pStyle w:val="Compact"/>
            </w:pPr>
            <w:r>
              <w:t xml:space="preserve">M6</w:t>
            </w:r>
          </w:p>
        </w:tc>
        <w:tc>
          <w:tcPr/>
          <w:p>
            <w:pPr>
              <w:pStyle w:val="Compact"/>
            </w:pPr>
            <w:r>
              <w:t xml:space="preserve">Scheme sign-off / Letter of Approval</w:t>
            </w:r>
          </w:p>
        </w:tc>
        <w:tc>
          <w:tcPr/>
          <w:p>
            <w:pPr>
              <w:pStyle w:val="Compact"/>
            </w:pPr>
            <w:r>
              <w:t xml:space="preserve">อนุมัติจาก Visa &amp; Mastercard</w:t>
            </w:r>
          </w:p>
        </w:tc>
        <w:tc>
          <w:tcPr/>
          <w:p>
            <w:pPr>
              <w:pStyle w:val="Compact"/>
            </w:pPr>
            <w:r>
              <w:t xml:space="preserve">+10 สัปดาห์</w:t>
            </w:r>
          </w:p>
        </w:tc>
      </w:tr>
      <w:tr>
        <w:tc>
          <w:tcPr/>
          <w:p>
            <w:pPr>
              <w:pStyle w:val="Compact"/>
            </w:pPr>
            <w:r>
              <w:t xml:space="preserve">M7</w:t>
            </w:r>
          </w:p>
        </w:tc>
        <w:tc>
          <w:tcPr/>
          <w:p>
            <w:pPr>
              <w:pStyle w:val="Compact"/>
            </w:pPr>
            <w:r>
              <w:t xml:space="preserve">PCI-DSS v4.0 L1 RoC/AoC ออกโดย QSA</w:t>
            </w:r>
          </w:p>
        </w:tc>
        <w:tc>
          <w:tcPr/>
          <w:p>
            <w:pPr>
              <w:pStyle w:val="Compact"/>
            </w:pPr>
            <w:r>
              <w:t xml:space="preserve">RoC ผ่าน + ASV scan + pentest</w:t>
            </w:r>
          </w:p>
        </w:tc>
        <w:tc>
          <w:tcPr/>
          <w:p>
            <w:pPr>
              <w:pStyle w:val="Compact"/>
            </w:pPr>
            <w:r>
              <w:t xml:space="preserve">คู่ขนาน (Q ตาม ROADMAP)</w:t>
            </w:r>
          </w:p>
        </w:tc>
      </w:tr>
      <w:tr>
        <w:tc>
          <w:tcPr/>
          <w:p>
            <w:pPr>
              <w:pStyle w:val="Compact"/>
            </w:pPr>
            <w:r>
              <w:t xml:space="preserve">M8</w:t>
            </w:r>
          </w:p>
        </w:tc>
        <w:tc>
          <w:tcPr/>
          <w:p>
            <w:pPr>
              <w:pStyle w:val="Compact"/>
            </w:pPr>
            <w:r>
              <w:t xml:space="preserve">Production readiness + go-live cutover</w:t>
            </w:r>
          </w:p>
        </w:tc>
        <w:tc>
          <w:tcPr/>
          <w:p>
            <w:pPr>
              <w:pStyle w:val="Compact"/>
            </w:pPr>
            <w:r>
              <w:t xml:space="preserve">DR drill, load test, sign-off ธปท.</w:t>
            </w:r>
          </w:p>
        </w:tc>
        <w:tc>
          <w:tcPr/>
          <w:p>
            <w:pPr>
              <w:pStyle w:val="Compact"/>
            </w:pPr>
            <w:r>
              <w:t xml:space="preserve">+12 สัปดาห์</w:t>
            </w:r>
          </w:p>
        </w:tc>
      </w:tr>
    </w:tbl>
    <w:p>
      <w:pPr>
        <w:pStyle w:val="SourceCode"/>
      </w:pPr>
      <w:r>
        <w:rPr>
          <w:rStyle w:val="VerbatimChar"/>
        </w:rPr>
        <w:t xml:space="preserve">gantt</w:t>
      </w:r>
      <w:r>
        <w:br/>
      </w:r>
      <w:r>
        <w:rPr>
          <w:rStyle w:val="VerbatimChar"/>
        </w:rPr>
        <w:t xml:space="preserve">    title Scheme Certification Milestones (โดยประมาณ)</w:t>
      </w:r>
      <w:r>
        <w:br/>
      </w:r>
      <w:r>
        <w:rPr>
          <w:rStyle w:val="VerbatimChar"/>
        </w:rPr>
        <w:t xml:space="preserve">    dateFormat  YYYY-MM-DD</w:t>
      </w:r>
      <w:r>
        <w:br/>
      </w:r>
      <w:r>
        <w:rPr>
          <w:rStyle w:val="VerbatimChar"/>
        </w:rPr>
        <w:t xml:space="preserve">    axisFormat  %b</w:t>
      </w:r>
      <w:r>
        <w:br/>
      </w:r>
      <w:r>
        <w:rPr>
          <w:rStyle w:val="VerbatimChar"/>
        </w:rPr>
        <w:t xml:space="preserve">    section Certification</w:t>
      </w:r>
      <w:r>
        <w:br/>
      </w:r>
      <w:r>
        <w:rPr>
          <w:rStyle w:val="VerbatimChar"/>
        </w:rPr>
        <w:t xml:space="preserve">    M0 Sponsor/BIN          :m0, 2026-11-15, 14d</w:t>
      </w:r>
      <w:r>
        <w:br/>
      </w:r>
      <w:r>
        <w:rPr>
          <w:rStyle w:val="VerbatimChar"/>
        </w:rPr>
        <w:t xml:space="preserve">    M1 Connectivity UAT     :m1, after m0, 14d</w:t>
      </w:r>
      <w:r>
        <w:br/>
      </w:r>
      <w:r>
        <w:rPr>
          <w:rStyle w:val="VerbatimChar"/>
        </w:rPr>
        <w:t xml:space="preserve">    M2 Authorization        :m2, after m1, 14d</w:t>
      </w:r>
      <w:r>
        <w:br/>
      </w:r>
      <w:r>
        <w:rPr>
          <w:rStyle w:val="VerbatimChar"/>
        </w:rPr>
        <w:t xml:space="preserve">    M3 3DS 2.x              :m3, after m2, 14d</w:t>
      </w:r>
      <w:r>
        <w:br/>
      </w:r>
      <w:r>
        <w:rPr>
          <w:rStyle w:val="VerbatimChar"/>
        </w:rPr>
        <w:t xml:space="preserve">    M4 Clearing/Settlement  :m4, after m3, 14d</w:t>
      </w:r>
      <w:r>
        <w:br/>
      </w:r>
      <w:r>
        <w:rPr>
          <w:rStyle w:val="VerbatimChar"/>
        </w:rPr>
        <w:t xml:space="preserve">    M5 Dispute/Token        :m5, after m4, 7d</w:t>
      </w:r>
      <w:r>
        <w:br/>
      </w:r>
      <w:r>
        <w:rPr>
          <w:rStyle w:val="VerbatimChar"/>
        </w:rPr>
        <w:t xml:space="preserve">    M6 Scheme sign-off      :m6, after m5, 7d</w:t>
      </w:r>
      <w:r>
        <w:br/>
      </w:r>
      <w:r>
        <w:rPr>
          <w:rStyle w:val="VerbatimChar"/>
        </w:rPr>
        <w:t xml:space="preserve">    section PCI (คู่ขนาน)</w:t>
      </w:r>
      <w:r>
        <w:br/>
      </w:r>
      <w:r>
        <w:rPr>
          <w:rStyle w:val="VerbatimChar"/>
        </w:rPr>
        <w:t xml:space="preserve">    M7 PCI L1 RoC           :m7, 2026-10-01, 120d</w:t>
      </w:r>
      <w:r>
        <w:br/>
      </w:r>
      <w:r>
        <w:rPr>
          <w:rStyle w:val="VerbatimChar"/>
        </w:rPr>
        <w:t xml:space="preserve">    section Go-live</w:t>
      </w:r>
      <w:r>
        <w:br/>
      </w:r>
      <w:r>
        <w:rPr>
          <w:rStyle w:val="VerbatimChar"/>
        </w:rPr>
        <w:t xml:space="preserve">    M8 Cutover              :m8, after m6, 14d</w:t>
      </w:r>
    </w:p>
    <w:p>
      <w:r>
        <w:pict>
          <v:rect style="width:0;height:1.5pt" o:hralign="center" o:hrstd="t" o:hr="t"/>
        </w:pict>
      </w:r>
    </w:p>
    <w:bookmarkEnd w:id="846"/>
    <w:bookmarkStart w:id="847" w:name="dependencies-สงทตองพงพา"/>
    <w:p>
      <w:pPr>
        <w:pStyle w:val="Heading2"/>
      </w:pPr>
      <w:r>
        <w:t xml:space="preserve">6. Dependencies (สิ่งที่ต้องพึ่งพา)</w:t>
      </w:r>
    </w:p>
    <w:tbl>
      <w:tblPr>
        <w:tblStyle w:val="Table"/>
        <w:tblW w:type="pct" w:w="5000"/>
        <w:tblLayout w:type="fixed"/>
        <w:tblLook w:firstRow="1" w:lastRow="0" w:firstColumn="0" w:lastColumn="0" w:noHBand="0" w:noVBand="0" w:val="0020"/>
      </w:tblPr>
      <w:tblGrid>
        <w:gridCol w:w="1893"/>
        <w:gridCol w:w="1377"/>
        <w:gridCol w:w="1549"/>
        <w:gridCol w:w="3099"/>
      </w:tblGrid>
      <w:tr>
        <w:trPr>
          <w:tblHeader w:val="on"/>
        </w:trPr>
        <w:tc>
          <w:tcPr/>
          <w:p>
            <w:pPr>
              <w:pStyle w:val="Compact"/>
            </w:pPr>
            <w:r>
              <w:t xml:space="preserve">Dependency</w:t>
            </w:r>
          </w:p>
        </w:tc>
        <w:tc>
          <w:tcPr/>
          <w:p>
            <w:pPr>
              <w:pStyle w:val="Compact"/>
            </w:pPr>
            <w:r>
              <w:t xml:space="preserve">ประเภท</w:t>
            </w:r>
          </w:p>
        </w:tc>
        <w:tc>
          <w:tcPr/>
          <w:p>
            <w:pPr>
              <w:pStyle w:val="Compact"/>
            </w:pPr>
            <w:r>
              <w:t xml:space="preserve">เจ้าของ</w:t>
            </w:r>
          </w:p>
        </w:tc>
        <w:tc>
          <w:tcPr/>
          <w:p>
            <w:pPr>
              <w:pStyle w:val="Compact"/>
            </w:pPr>
            <w:r>
              <w:t xml:space="preserve">ผลกระทบถ้าล่าช้า</w:t>
            </w:r>
          </w:p>
        </w:tc>
      </w:tr>
      <w:tr>
        <w:tc>
          <w:tcPr/>
          <w:p>
            <w:pPr>
              <w:pStyle w:val="Compact"/>
            </w:pPr>
            <w:r>
              <w:t xml:space="preserve">Sponsor bank + BIN/ICA</w:t>
            </w:r>
          </w:p>
        </w:tc>
        <w:tc>
          <w:tcPr/>
          <w:p>
            <w:pPr>
              <w:pStyle w:val="Compact"/>
            </w:pPr>
            <w:r>
              <w:t xml:space="preserve">ภายนอก (critical)</w:t>
            </w:r>
          </w:p>
        </w:tc>
        <w:tc>
          <w:tcPr/>
          <w:p>
            <w:pPr>
              <w:pStyle w:val="Compact"/>
            </w:pPr>
            <w:r>
              <w:t xml:space="preserve">Sponsor bank</w:t>
            </w:r>
            <w:r>
              <w:t xml:space="preserve"> </w:t>
            </w:r>
            <w:r>
              <w:rPr>
                <w:b/>
                <w:bCs/>
              </w:rPr>
              <w:t xml:space="preserve">[TODO]</w:t>
            </w:r>
          </w:p>
        </w:tc>
        <w:tc>
          <w:tcPr/>
          <w:p>
            <w:pPr>
              <w:pStyle w:val="Compact"/>
            </w:pPr>
            <w:r>
              <w:t xml:space="preserve">บล็อกทั้ง certification</w:t>
            </w:r>
          </w:p>
        </w:tc>
      </w:tr>
      <w:tr>
        <w:tc>
          <w:tcPr/>
          <w:p>
            <w:pPr>
              <w:pStyle w:val="Compact"/>
            </w:pPr>
            <w:r>
              <w:t xml:space="preserve">Scheme test tool + test card range</w:t>
            </w:r>
          </w:p>
        </w:tc>
        <w:tc>
          <w:tcPr/>
          <w:p>
            <w:pPr>
              <w:pStyle w:val="Compact"/>
            </w:pPr>
            <w:r>
              <w:t xml:space="preserve">ภายนอก</w:t>
            </w:r>
          </w:p>
        </w:tc>
        <w:tc>
          <w:tcPr/>
          <w:p>
            <w:pPr>
              <w:pStyle w:val="Compact"/>
            </w:pPr>
            <w:r>
              <w:t xml:space="preserve">Visa / Mastercard</w:t>
            </w:r>
          </w:p>
        </w:tc>
        <w:tc>
          <w:tcPr/>
          <w:p>
            <w:pPr>
              <w:pStyle w:val="Compact"/>
            </w:pPr>
            <w:r>
              <w:t xml:space="preserve">บล็อกการรัน test script</w:t>
            </w:r>
          </w:p>
        </w:tc>
      </w:tr>
      <w:tr>
        <w:tc>
          <w:tcPr/>
          <w:p>
            <w:pPr>
              <w:pStyle w:val="Compact"/>
            </w:pPr>
            <w:r>
              <w:t xml:space="preserve">PCI-DSS v4.0 L1 (RoC/AoC)</w:t>
            </w:r>
          </w:p>
        </w:tc>
        <w:tc>
          <w:tcPr/>
          <w:p>
            <w:pPr>
              <w:pStyle w:val="Compact"/>
            </w:pPr>
            <w:r>
              <w:t xml:space="preserve">ภายนอก</w:t>
            </w:r>
          </w:p>
        </w:tc>
        <w:tc>
          <w:tcPr/>
          <w:p>
            <w:pPr>
              <w:pStyle w:val="Compact"/>
            </w:pPr>
            <w:r>
              <w:t xml:space="preserve">QSA</w:t>
            </w:r>
            <w:r>
              <w:t xml:space="preserve"> </w:t>
            </w:r>
            <w:r>
              <w:rPr>
                <w:b/>
                <w:bCs/>
              </w:rPr>
              <w:t xml:space="preserve">[TODO]</w:t>
            </w:r>
          </w:p>
        </w:tc>
        <w:tc>
          <w:tcPr/>
          <w:p>
            <w:pPr>
              <w:pStyle w:val="Compact"/>
            </w:pPr>
            <w:r>
              <w:t xml:space="preserve">บล็อก go-live (scheme ต้องเห็น)</w:t>
            </w:r>
          </w:p>
        </w:tc>
      </w:tr>
      <w:tr>
        <w:tc>
          <w:tcPr/>
          <w:p>
            <w:pPr>
              <w:pStyle w:val="Compact"/>
            </w:pPr>
            <w:r>
              <w:t xml:space="preserve">HSM/KMS + key ceremony</w:t>
            </w:r>
          </w:p>
        </w:tc>
        <w:tc>
          <w:tcPr/>
          <w:p>
            <w:pPr>
              <w:pStyle w:val="Compact"/>
            </w:pPr>
            <w:r>
              <w:t xml:space="preserve">ภายใน</w:t>
            </w:r>
          </w:p>
        </w:tc>
        <w:tc>
          <w:tcPr/>
          <w:p>
            <w:pPr>
              <w:pStyle w:val="Compact"/>
            </w:pPr>
            <w:r>
              <w:t xml:space="preserve">Security</w:t>
            </w:r>
          </w:p>
        </w:tc>
        <w:tc>
          <w:tcPr/>
          <w:p>
            <w:pPr>
              <w:pStyle w:val="Compact"/>
            </w:pPr>
            <w:r>
              <w:t xml:space="preserve">บล็อก tokenization / detokenize</w:t>
            </w:r>
          </w:p>
        </w:tc>
      </w:tr>
      <w:tr>
        <w:tc>
          <w:tcPr/>
          <w:p>
            <w:pPr>
              <w:pStyle w:val="Compact"/>
            </w:pPr>
            <w:r>
              <w:t xml:space="preserve">UAT environment + reconcile worker</w:t>
            </w:r>
          </w:p>
        </w:tc>
        <w:tc>
          <w:tcPr/>
          <w:p>
            <w:pPr>
              <w:pStyle w:val="Compact"/>
            </w:pPr>
            <w:r>
              <w:t xml:space="preserve">ภายใน</w:t>
            </w:r>
          </w:p>
        </w:tc>
        <w:tc>
          <w:tcPr/>
          <w:p>
            <w:pPr>
              <w:pStyle w:val="Compact"/>
            </w:pPr>
            <w:r>
              <w:t xml:space="preserve">SRE / Backend</w:t>
            </w:r>
          </w:p>
        </w:tc>
        <w:tc>
          <w:tcPr/>
          <w:p>
            <w:pPr>
              <w:pStyle w:val="Compact"/>
            </w:pPr>
            <w:r>
              <w:t xml:space="preserve">บล็อก clearing test</w:t>
            </w:r>
          </w:p>
        </w:tc>
      </w:tr>
      <w:tr>
        <w:tc>
          <w:tcPr/>
          <w:p>
            <w:pPr>
              <w:pStyle w:val="Compact"/>
            </w:pPr>
            <w:r>
              <w:t xml:space="preserve">ใบอนุญาต Acquiring (ธปท.)</w:t>
            </w:r>
          </w:p>
        </w:tc>
        <w:tc>
          <w:tcPr/>
          <w:p>
            <w:pPr>
              <w:pStyle w:val="Compact"/>
            </w:pPr>
            <w:r>
              <w:t xml:space="preserve">ภายนอก (regulatory)</w:t>
            </w:r>
          </w:p>
        </w:tc>
        <w:tc>
          <w:tcPr/>
          <w:p>
            <w:pPr>
              <w:pStyle w:val="Compact"/>
            </w:pPr>
            <w:r>
              <w:t xml:space="preserve">ธปท. / Compliance</w:t>
            </w:r>
          </w:p>
        </w:tc>
        <w:tc>
          <w:tcPr/>
          <w:p>
            <w:pPr>
              <w:pStyle w:val="Compact"/>
            </w:pPr>
            <w:r>
              <w:t xml:space="preserve">บล็อกการเปิดจริง (go-live)</w:t>
            </w:r>
          </w:p>
        </w:tc>
      </w:tr>
      <w:tr>
        <w:tc>
          <w:tcPr/>
          <w:p>
            <w:pPr>
              <w:pStyle w:val="Compact"/>
            </w:pPr>
            <w:r>
              <w:t xml:space="preserve">ทุนชำระแล้ว ≥ 50 ล้าน (คงไว้ ≥ 75%)</w:t>
            </w:r>
          </w:p>
        </w:tc>
        <w:tc>
          <w:tcPr/>
          <w:p>
            <w:pPr>
              <w:pStyle w:val="Compact"/>
            </w:pPr>
            <w:r>
              <w:t xml:space="preserve">ภายใน/regulatory</w:t>
            </w:r>
          </w:p>
        </w:tc>
        <w:tc>
          <w:tcPr/>
          <w:p>
            <w:pPr>
              <w:pStyle w:val="Compact"/>
            </w:pPr>
            <w:r>
              <w:t xml:space="preserve">[บริษัท / Company]</w:t>
            </w:r>
            <w:r>
              <w:t xml:space="preserve"> </w:t>
            </w:r>
            <w:r>
              <w:rPr>
                <w:b/>
                <w:bCs/>
              </w:rPr>
              <w:t xml:space="preserve">[TODO]</w:t>
            </w:r>
          </w:p>
        </w:tc>
        <w:tc>
          <w:tcPr/>
          <w:p>
            <w:pPr>
              <w:pStyle w:val="Compact"/>
            </w:pPr>
            <w:r>
              <w:t xml:space="preserve">บล็อกใบอนุญาต</w:t>
            </w:r>
          </w:p>
        </w:tc>
      </w:tr>
      <w:tr>
        <w:tc>
          <w:tcPr/>
          <w:p>
            <w:pPr>
              <w:pStyle w:val="Compact"/>
            </w:pPr>
            <w:r>
              <w:t xml:space="preserve">AML/KYC + sanction screening (ปปง./AMLO)</w:t>
            </w:r>
          </w:p>
        </w:tc>
        <w:tc>
          <w:tcPr/>
          <w:p>
            <w:pPr>
              <w:pStyle w:val="Compact"/>
            </w:pPr>
            <w:r>
              <w:t xml:space="preserve">ภายใน/regulatory</w:t>
            </w:r>
          </w:p>
        </w:tc>
        <w:tc>
          <w:tcPr/>
          <w:p>
            <w:pPr>
              <w:pStyle w:val="Compact"/>
            </w:pPr>
            <w:r>
              <w:t xml:space="preserve">Compliance</w:t>
            </w:r>
          </w:p>
        </w:tc>
        <w:tc>
          <w:tcPr/>
          <w:p>
            <w:pPr>
              <w:pStyle w:val="Compact"/>
            </w:pPr>
            <w:r>
              <w:t xml:space="preserve">เงื่อนไขใบอนุญาต</w:t>
            </w:r>
          </w:p>
        </w:tc>
      </w:tr>
      <w:tr>
        <w:tc>
          <w:tcPr/>
          <w:p>
            <w:pPr>
              <w:pStyle w:val="Compact"/>
            </w:pPr>
            <w:r>
              <w:t xml:space="preserve">PDPA controls (PDPC)</w:t>
            </w:r>
          </w:p>
        </w:tc>
        <w:tc>
          <w:tcPr/>
          <w:p>
            <w:pPr>
              <w:pStyle w:val="Compact"/>
            </w:pPr>
            <w:r>
              <w:t xml:space="preserve">ภายใน/regulatory</w:t>
            </w:r>
          </w:p>
        </w:tc>
        <w:tc>
          <w:tcPr/>
          <w:p>
            <w:pPr>
              <w:pStyle w:val="Compact"/>
            </w:pPr>
            <w:r>
              <w:t xml:space="preserve">Compliance / Security</w:t>
            </w:r>
          </w:p>
        </w:tc>
        <w:tc>
          <w:tcPr/>
          <w:p>
            <w:pPr>
              <w:pStyle w:val="Compact"/>
            </w:pPr>
            <w:r>
              <w:t xml:space="preserve">เงื่อนไขใบอนุญาต</w:t>
            </w:r>
          </w:p>
        </w:tc>
      </w:tr>
    </w:tbl>
    <w:p>
      <w:r>
        <w:pict>
          <v:rect style="width:0;height:1.5pt" o:hralign="center" o:hrstd="t" o:hr="t"/>
        </w:pict>
      </w:r>
    </w:p>
    <w:bookmarkEnd w:id="847"/>
    <w:bookmarkStart w:id="848" w:name="การบรหารความเสยง-risk-mitigation"/>
    <w:p>
      <w:pPr>
        <w:pStyle w:val="Heading2"/>
      </w:pPr>
      <w:r>
        <w:t xml:space="preserve">7. การบริหารความเสี่ยง (Risk &amp; mitigation)</w:t>
      </w:r>
    </w:p>
    <w:tbl>
      <w:tblPr>
        <w:tblStyle w:val="Table"/>
        <w:tblW w:type="pct" w:w="5000"/>
        <w:tblLayout w:type="fixed"/>
        <w:tblLook w:firstRow="1" w:lastRow="0" w:firstColumn="0" w:lastColumn="0" w:noHBand="0" w:noVBand="0" w:val="0020"/>
      </w:tblPr>
      <w:tblGrid>
        <w:gridCol w:w="2640"/>
        <w:gridCol w:w="1200"/>
        <w:gridCol w:w="4080"/>
      </w:tblGrid>
      <w:tr>
        <w:trPr>
          <w:tblHeader w:val="on"/>
        </w:trPr>
        <w:tc>
          <w:tcPr/>
          <w:p>
            <w:pPr>
              <w:pStyle w:val="Compact"/>
            </w:pPr>
            <w:r>
              <w:t xml:space="preserve">ความเสี่ยง</w:t>
            </w:r>
          </w:p>
        </w:tc>
        <w:tc>
          <w:tcPr/>
          <w:p>
            <w:pPr>
              <w:pStyle w:val="Compact"/>
              <w:jc w:val="center"/>
            </w:pPr>
            <w:r>
              <w:t xml:space="preserve">ระดับ</w:t>
            </w:r>
          </w:p>
        </w:tc>
        <w:tc>
          <w:tcPr/>
          <w:p>
            <w:pPr>
              <w:pStyle w:val="Compact"/>
            </w:pPr>
            <w:r>
              <w:t xml:space="preserve">การลดความเสี่ยง</w:t>
            </w:r>
          </w:p>
        </w:tc>
      </w:tr>
      <w:tr>
        <w:tc>
          <w:tcPr/>
          <w:p>
            <w:pPr>
              <w:pStyle w:val="Compact"/>
            </w:pPr>
            <w:r>
              <w:t xml:space="preserve">Sponsor bank ล่าช้า/เปลี่ยนเงื่อนไข</w:t>
            </w:r>
          </w:p>
        </w:tc>
        <w:tc>
          <w:tcPr/>
          <w:p>
            <w:pPr>
              <w:pStyle w:val="Compact"/>
              <w:jc w:val="center"/>
            </w:pPr>
            <w:r>
              <w:t xml:space="preserve">สูง</w:t>
            </w:r>
          </w:p>
        </w:tc>
        <w:tc>
          <w:tcPr/>
          <w:p>
            <w:pPr>
              <w:pStyle w:val="Compact"/>
            </w:pPr>
            <w:r>
              <w:t xml:space="preserve">เจรจา sponsor สำรอง, ล็อกคิว cert ล่วงหน้า</w:t>
            </w:r>
          </w:p>
        </w:tc>
      </w:tr>
      <w:tr>
        <w:tc>
          <w:tcPr/>
          <w:p>
            <w:pPr>
              <w:pStyle w:val="Compact"/>
            </w:pPr>
            <w:r>
              <w:t xml:space="preserve">Test script fail ซ้ำ (defect)</w:t>
            </w:r>
          </w:p>
        </w:tc>
        <w:tc>
          <w:tcPr/>
          <w:p>
            <w:pPr>
              <w:pStyle w:val="Compact"/>
              <w:jc w:val="center"/>
            </w:pPr>
            <w:r>
              <w:t xml:space="preserve">กลาง</w:t>
            </w:r>
          </w:p>
        </w:tc>
        <w:tc>
          <w:tcPr/>
          <w:p>
            <w:pPr>
              <w:pStyle w:val="Compact"/>
            </w:pPr>
            <w:r>
              <w:t xml:space="preserve">regression อัตโนมัติ, buffer เวลาในแต่ละ milestone</w:t>
            </w:r>
          </w:p>
        </w:tc>
      </w:tr>
      <w:tr>
        <w:tc>
          <w:tcPr/>
          <w:p>
            <w:pPr>
              <w:pStyle w:val="Compact"/>
            </w:pPr>
            <w:r>
              <w:t xml:space="preserve">PCI RoC ไม่ทันก่อน go-live</w:t>
            </w:r>
          </w:p>
        </w:tc>
        <w:tc>
          <w:tcPr/>
          <w:p>
            <w:pPr>
              <w:pStyle w:val="Compact"/>
              <w:jc w:val="center"/>
            </w:pPr>
            <w:r>
              <w:t xml:space="preserve">สูง</w:t>
            </w:r>
          </w:p>
        </w:tc>
        <w:tc>
          <w:tcPr/>
          <w:p>
            <w:pPr>
              <w:pStyle w:val="Compact"/>
            </w:pPr>
            <w:r>
              <w:t xml:space="preserve">เริ่ม QSA คู่ขนานตั้งแต่ Phase 2, ASV/pentest ตามรอบ</w:t>
            </w:r>
          </w:p>
        </w:tc>
      </w:tr>
      <w:tr>
        <w:tc>
          <w:tcPr/>
          <w:p>
            <w:pPr>
              <w:pStyle w:val="Compact"/>
            </w:pPr>
            <w:r>
              <w:t xml:space="preserve">Reconciliation mismatch</w:t>
            </w:r>
          </w:p>
        </w:tc>
        <w:tc>
          <w:tcPr/>
          <w:p>
            <w:pPr>
              <w:pStyle w:val="Compact"/>
              <w:jc w:val="center"/>
            </w:pPr>
            <w:r>
              <w:t xml:space="preserve">กลาง</w:t>
            </w:r>
          </w:p>
        </w:tc>
        <w:tc>
          <w:tcPr/>
          <w:p>
            <w:pPr>
              <w:pStyle w:val="Compact"/>
            </w:pPr>
            <w:r>
              <w:t xml:space="preserve">ledger append-only + ทดสอบ settlement file ตั้งแต่ Phase 1</w:t>
            </w:r>
          </w:p>
        </w:tc>
      </w:tr>
      <w:tr>
        <w:tc>
          <w:tcPr/>
          <w:p>
            <w:pPr>
              <w:pStyle w:val="Compact"/>
            </w:pPr>
            <w:r>
              <w:t xml:space="preserve">เปลี่ยน mandate/release ของ scheme</w:t>
            </w:r>
          </w:p>
        </w:tc>
        <w:tc>
          <w:tcPr/>
          <w:p>
            <w:pPr>
              <w:pStyle w:val="Compact"/>
              <w:jc w:val="center"/>
            </w:pPr>
            <w:r>
              <w:t xml:space="preserve">กลาง</w:t>
            </w:r>
          </w:p>
        </w:tc>
        <w:tc>
          <w:tcPr/>
          <w:p>
            <w:pPr>
              <w:pStyle w:val="Compact"/>
            </w:pPr>
            <w:r>
              <w:t xml:space="preserve">ติดตาม release note, ยึดเวอร์ชันที่ประกาศ ณ ทดสอบ</w:t>
            </w:r>
          </w:p>
        </w:tc>
      </w:tr>
      <w:tr>
        <w:tc>
          <w:tcPr/>
          <w:p>
            <w:pPr>
              <w:pStyle w:val="Compact"/>
            </w:pPr>
            <w:r>
              <w:t xml:space="preserve">Fail-closed ทำ transaction ค้าง</w:t>
            </w:r>
          </w:p>
        </w:tc>
        <w:tc>
          <w:tcPr/>
          <w:p>
            <w:pPr>
              <w:pStyle w:val="Compact"/>
              <w:jc w:val="center"/>
            </w:pPr>
            <w:r>
              <w:t xml:space="preserve">กลาง</w:t>
            </w:r>
          </w:p>
        </w:tc>
        <w:tc>
          <w:tcPr/>
          <w:p>
            <w:pPr>
              <w:pStyle w:val="Compact"/>
            </w:pPr>
            <w:r>
              <w:t xml:space="preserve">reversal + reconcile อัตโนมัติ, alert</w:t>
            </w:r>
          </w:p>
        </w:tc>
      </w:tr>
    </w:tbl>
    <w:p>
      <w:r>
        <w:pict>
          <v:rect style="width:0;height:1.5pt" o:hralign="center" o:hrstd="t" o:hr="t"/>
        </w:pict>
      </w:r>
    </w:p>
    <w:bookmarkEnd w:id="848"/>
    <w:bookmarkStart w:id="849" w:name="governance-และการรายงาน"/>
    <w:p>
      <w:pPr>
        <w:pStyle w:val="Heading2"/>
      </w:pPr>
      <w:r>
        <w:t xml:space="preserve">8. Governance และการรายงาน</w:t>
      </w:r>
    </w:p>
    <w:p>
      <w:pPr>
        <w:pStyle w:val="Compact"/>
        <w:numPr>
          <w:ilvl w:val="0"/>
          <w:numId w:val="1314"/>
        </w:numPr>
      </w:pPr>
      <w:r>
        <w:rPr>
          <w:b/>
          <w:bCs/>
        </w:rPr>
        <w:t xml:space="preserve">Weekly certification standup</w:t>
      </w:r>
      <w:r>
        <w:t xml:space="preserve"> </w:t>
      </w:r>
      <w:r>
        <w:t xml:space="preserve">— ติดตาม milestone, defect, blocker; บันทึกใน RAID log</w:t>
      </w:r>
    </w:p>
    <w:p>
      <w:pPr>
        <w:pStyle w:val="Compact"/>
        <w:numPr>
          <w:ilvl w:val="0"/>
          <w:numId w:val="1314"/>
        </w:numPr>
      </w:pPr>
      <w:r>
        <w:rPr>
          <w:b/>
          <w:bCs/>
        </w:rPr>
        <w:t xml:space="preserve">Evidence management</w:t>
      </w:r>
      <w:r>
        <w:t xml:space="preserve"> </w:t>
      </w:r>
      <w:r>
        <w:t xml:space="preserve">— เก็บ evidence pack (log, screenshot, sign-off) ในที่เก็บที่ควบคุมการเข้าถึง (RBAC, audit)</w:t>
      </w:r>
    </w:p>
    <w:p>
      <w:pPr>
        <w:pStyle w:val="Compact"/>
        <w:numPr>
          <w:ilvl w:val="0"/>
          <w:numId w:val="1314"/>
        </w:numPr>
      </w:pPr>
      <w:r>
        <w:rPr>
          <w:b/>
          <w:bCs/>
        </w:rPr>
        <w:t xml:space="preserve">Sign-off gate</w:t>
      </w:r>
      <w:r>
        <w:t xml:space="preserve"> </w:t>
      </w:r>
      <w:r>
        <w:t xml:space="preserve">— แต่ละ milestone ต้องมี sign-off จาก Program Lead + (สำหรับ M6) sponsor/scheme</w:t>
      </w:r>
    </w:p>
    <w:p>
      <w:pPr>
        <w:pStyle w:val="Compact"/>
        <w:numPr>
          <w:ilvl w:val="0"/>
          <w:numId w:val="1314"/>
        </w:numPr>
      </w:pPr>
      <w:r>
        <w:rPr>
          <w:b/>
          <w:bCs/>
        </w:rPr>
        <w:t xml:space="preserve">รายงานต่อ ธปท.</w:t>
      </w:r>
      <w:r>
        <w:t xml:space="preserve"> </w:t>
      </w:r>
      <w:r>
        <w:t xml:space="preserve">— สถานะ certification และ PCI เป็นส่วนหนึ่งของเอกสารความพร้อมระบบในคำขอใบอนุญาต และรายงานเป็นงวดหลังได้ใบอนุญาต</w:t>
      </w:r>
    </w:p>
    <w:p>
      <w:r>
        <w:pict>
          <v:rect style="width:0;height:1.5pt" o:hralign="center" o:hrstd="t" o:hr="t"/>
        </w:pict>
      </w:r>
    </w:p>
    <w:bookmarkEnd w:id="849"/>
    <w:bookmarkEnd w:id="850"/>
    <w:bookmarkStart w:id="866" w:name="Xa175658eea6d7a64219372caf1d5ff843d882c2"/>
    <w:p>
      <w:pPr>
        <w:pStyle w:val="Heading1"/>
      </w:pPr>
      <w:r>
        <w:t xml:space="preserve">Card scheme certification plan (Visa/Mastercard) via sponsor bank: test scripts, milestones, dependencies (English)</w:t>
      </w:r>
    </w:p>
    <w:p>
      <w:pPr>
        <w:pStyle w:val="BlockText"/>
      </w:pPr>
      <w:r>
        <w:t xml:space="preserve">This document is part of the submission package for the</w:t>
      </w:r>
      <w:r>
        <w:t xml:space="preserve"> </w:t>
      </w:r>
      <w:r>
        <w:rPr>
          <w:b/>
          <w:bCs/>
        </w:rPr>
        <w:t xml:space="preserve">Acquiring (electronic payment acceptance) license</w:t>
      </w:r>
      <w:r>
        <w:t xml:space="preserve"> </w:t>
      </w:r>
      <w:r>
        <w:t xml:space="preserve">under the</w:t>
      </w:r>
      <w:r>
        <w:t xml:space="preserve"> </w:t>
      </w:r>
      <w:r>
        <w:rPr>
          <w:b/>
          <w:bCs/>
        </w:rPr>
        <w:t xml:space="preserve">Payment Systems Act B.E. 2560 (2017)</w:t>
      </w:r>
      <w:r>
        <w:t xml:space="preserve"> </w:t>
      </w:r>
      <w:r>
        <w:t xml:space="preserve">filed with the</w:t>
      </w:r>
      <w:r>
        <w:t xml:space="preserve"> </w:t>
      </w:r>
      <w:r>
        <w:rPr>
          <w:b/>
          <w:bCs/>
        </w:rPr>
        <w:t xml:space="preserve">Bank of Thailand (BOT / ธปท.)</w:t>
      </w:r>
      <w:r>
        <w:t xml:space="preserve">. It is the operational</w:t>
      </w:r>
      <w:r>
        <w:t xml:space="preserve"> </w:t>
      </w:r>
      <w:r>
        <w:t xml:space="preserve">plan to certify [บริษัท / Company]’s system with the</w:t>
      </w:r>
      <w:r>
        <w:t xml:space="preserve"> </w:t>
      </w:r>
      <w:r>
        <w:rPr>
          <w:b/>
          <w:bCs/>
        </w:rPr>
        <w:t xml:space="preserve">Visa</w:t>
      </w:r>
      <w:r>
        <w:t xml:space="preserve"> </w:t>
      </w:r>
      <w:r>
        <w:t xml:space="preserve">and</w:t>
      </w:r>
      <w:r>
        <w:t xml:space="preserve"> </w:t>
      </w:r>
      <w:r>
        <w:rPr>
          <w:b/>
          <w:bCs/>
        </w:rPr>
        <w:t xml:space="preserve">Mastercard</w:t>
      </w:r>
      <w:r>
        <w:t xml:space="preserve"> </w:t>
      </w:r>
      <w:r>
        <w:t xml:space="preserve">card schemes through a</w:t>
      </w:r>
      <w:r>
        <w:t xml:space="preserve"> </w:t>
      </w:r>
      <w:r>
        <w:rPr>
          <w:b/>
          <w:bCs/>
        </w:rPr>
        <w:t xml:space="preserve">sponsor bank</w:t>
      </w:r>
      <w:r>
        <w:rPr>
          <w:b/>
          <w:bCs/>
        </w:rPr>
        <w:t xml:space="preserve"> </w:t>
      </w:r>
      <w:r>
        <w:rPr>
          <w:b/>
          <w:bCs/>
        </w:rPr>
        <w:t xml:space="preserve">(acquiring principal member)</w:t>
      </w:r>
      <w:r>
        <w:t xml:space="preserve">, in parallel with achieving</w:t>
      </w:r>
      <w:r>
        <w:t xml:space="preserve"> </w:t>
      </w:r>
      <w:r>
        <w:rPr>
          <w:b/>
          <w:bCs/>
        </w:rPr>
        <w:t xml:space="preserve">PCI-DSS v4.0 Level 1</w:t>
      </w:r>
      <w:r>
        <w:t xml:space="preserve"> </w:t>
      </w:r>
      <w:r>
        <w:t xml:space="preserve">compliance.</w:t>
      </w:r>
    </w:p>
    <w:p>
      <w:pPr>
        <w:pStyle w:val="BlockText"/>
      </w:pPr>
      <w:r>
        <w:rPr>
          <w:b/>
          <w:bCs/>
        </w:rPr>
        <w:t xml:space="preserve">Doc no.:</w:t>
      </w:r>
      <w:r>
        <w:t xml:space="preserve"> </w:t>
      </w:r>
      <w:r>
        <w:t xml:space="preserve">24 ·</w:t>
      </w:r>
      <w:r>
        <w:t xml:space="preserve"> </w:t>
      </w:r>
      <w:r>
        <w:rPr>
          <w:b/>
          <w:bCs/>
        </w:rPr>
        <w:t xml:space="preserve">Version:</w:t>
      </w:r>
      <w:r>
        <w:t xml:space="preserve"> </w:t>
      </w:r>
      <w:r>
        <w:t xml:space="preserve">0.1 ·</w:t>
      </w:r>
      <w:r>
        <w:t xml:space="preserve"> </w:t>
      </w:r>
      <w:r>
        <w:rPr>
          <w:b/>
          <w:bCs/>
        </w:rPr>
        <w:t xml:space="preserve">Owner:</w:t>
      </w:r>
      <w:r>
        <w:t xml:space="preserve"> </w:t>
      </w:r>
      <w:r>
        <w:t xml:space="preserve">[บริษัท / Company] — Compliance &amp; Payments ·</w:t>
      </w:r>
      <w:r>
        <w:t xml:space="preserve"> </w:t>
      </w:r>
      <w:r>
        <w:rPr>
          <w:b/>
          <w:bCs/>
        </w:rPr>
        <w:t xml:space="preserve">Status:</w:t>
      </w:r>
      <w:r>
        <w:t xml:space="preserve"> </w:t>
      </w:r>
      <w:r>
        <w:t xml:space="preserve">submission-ready draft</w:t>
      </w:r>
    </w:p>
    <w:p>
      <w:pPr>
        <w:pStyle w:val="BlockText"/>
      </w:pPr>
      <w:r>
        <w:rPr>
          <w:b/>
          <w:bCs/>
        </w:rPr>
        <w:t xml:space="preserve">Disclaimer:</w:t>
      </w:r>
      <w:r>
        <w:t xml:space="preserve"> </w:t>
      </w:r>
      <w:r>
        <w:t xml:space="preserve">This is a technical/operational reference, not legal advice. Actual conditions and test scripts follow</w:t>
      </w:r>
      <w:r>
        <w:t xml:space="preserve"> </w:t>
      </w:r>
      <w:r>
        <w:t xml:space="preserve">what Visa/Mastercard and the sponsor bank mandate at the time of certification.</w:t>
      </w:r>
    </w:p>
    <w:p>
      <w:r>
        <w:pict>
          <v:rect style="width:0;height:1.5pt" o:hralign="center" o:hrstd="t" o:hr="t"/>
        </w:pict>
      </w:r>
    </w:p>
    <w:bookmarkStart w:id="851" w:name="purpose-scope-8"/>
    <w:p>
      <w:pPr>
        <w:pStyle w:val="Heading2"/>
      </w:pPr>
      <w:r>
        <w:t xml:space="preserve">1. Purpose &amp; scope</w:t>
      </w:r>
    </w:p>
    <w:p>
      <w:pPr>
        <w:pStyle w:val="FirstParagraph"/>
      </w:pPr>
      <w:r>
        <w:rPr>
          <w:b/>
          <w:bCs/>
        </w:rPr>
        <w:t xml:space="preserve">Purpose:</w:t>
      </w:r>
      <w:r>
        <w:t xml:space="preserve"> </w:t>
      </w:r>
      <w:r>
        <w:t xml:space="preserve">define the plan for [บริษัท / Company], acting as a</w:t>
      </w:r>
      <w:r>
        <w:t xml:space="preserve"> </w:t>
      </w:r>
      <w:r>
        <w:rPr>
          <w:b/>
          <w:bCs/>
        </w:rPr>
        <w:t xml:space="preserve">Full Acquiring Payment Gateway</w:t>
      </w:r>
      <w:r>
        <w:t xml:space="preserve">, to pass Visa and</w:t>
      </w:r>
      <w:r>
        <w:t xml:space="preserve"> </w:t>
      </w:r>
      <w:r>
        <w:t xml:space="preserve">Mastercard mandatory certification / testing before production go-live, connecting through a</w:t>
      </w:r>
      <w:r>
        <w:t xml:space="preserve"> </w:t>
      </w:r>
      <w:r>
        <w:rPr>
          <w:b/>
          <w:bCs/>
        </w:rPr>
        <w:t xml:space="preserve">sponsor bank</w:t>
      </w:r>
      <w:r>
        <w:t xml:space="preserve"> </w:t>
      </w:r>
      <w:r>
        <w:t xml:space="preserve">that is a</w:t>
      </w:r>
      <w:r>
        <w:t xml:space="preserve"> </w:t>
      </w:r>
      <w:r>
        <w:t xml:space="preserve">principal member of both schemes.</w:t>
      </w:r>
    </w:p>
    <w:p>
      <w:pPr>
        <w:pStyle w:val="BodyText"/>
      </w:pPr>
      <w:r>
        <w:rPr>
          <w:b/>
          <w:bCs/>
        </w:rPr>
        <w:t xml:space="preserve">In scope:</w:t>
      </w:r>
      <w:r>
        <w:t xml:space="preserve"> </w:t>
      </w:r>
      <w:r>
        <w:t xml:space="preserve">- Authorization via card switch (ISO 8583 / acquirer host API)</w:t>
      </w:r>
      <w:r>
        <w:t xml:space="preserve"> </w:t>
      </w:r>
      <w:r>
        <w:t xml:space="preserve">- Clearing &amp; settlement (Visa BASE II / Mastercard IPM · GCMS)</w:t>
      </w:r>
      <w:r>
        <w:t xml:space="preserve"> </w:t>
      </w:r>
      <w:r>
        <w:t xml:space="preserve">- EMV 3-D Secure 2.x for e-commerce</w:t>
      </w:r>
      <w:r>
        <w:t xml:space="preserve"> </w:t>
      </w:r>
      <w:r>
        <w:t xml:space="preserve">- Card-not-present (CNP) and tokenization (network token / VTS / MDES if in first-phase scope)</w:t>
      </w:r>
      <w:r>
        <w:t xml:space="preserve"> </w:t>
      </w:r>
      <w:r>
        <w:t xml:space="preserve">- Dispute / chargeback message flow (Visa VROL / Mastercard Mastercom)</w:t>
      </w:r>
    </w:p>
    <w:p>
      <w:pPr>
        <w:pStyle w:val="BodyText"/>
      </w:pPr>
      <w:r>
        <w:rPr>
          <w:b/>
          <w:bCs/>
        </w:rPr>
        <w:t xml:space="preserve">Out of scope</w:t>
      </w:r>
      <w:r>
        <w:t xml:space="preserve"> </w:t>
      </w:r>
      <w:r>
        <w:t xml:space="preserve">(covered in separate docs): PCI-DSS RoC detail, system architecture (</w:t>
      </w:r>
      <w:r>
        <w:rPr>
          <w:rStyle w:val="VerbatimChar"/>
        </w:rPr>
        <w:t xml:space="preserve">ARCHITECTURE.md</w:t>
      </w:r>
      <w:r>
        <w:t xml:space="preserve">), overall project</w:t>
      </w:r>
      <w:r>
        <w:t xml:space="preserve"> </w:t>
      </w:r>
      <w:r>
        <w:t xml:space="preserve">timeline (</w:t>
      </w:r>
      <w:r>
        <w:rPr>
          <w:rStyle w:val="VerbatimChar"/>
        </w:rPr>
        <w:t xml:space="preserve">ROADMAP.md</w:t>
      </w:r>
      <w:r>
        <w:t xml:space="preserve">), AML/KYC policy (AMLO / ปปง.), PDPA policy (PDPC).</w:t>
      </w:r>
    </w:p>
    <w:p>
      <w:pPr>
        <w:pStyle w:val="BlockText"/>
      </w:pPr>
      <w:r>
        <w:t xml:space="preserve">[!IMPORTANT]</w:t>
      </w:r>
      <w:r>
        <w:t xml:space="preserve"> </w:t>
      </w:r>
      <w:r>
        <w:rPr>
          <w:b/>
          <w:bCs/>
        </w:rPr>
        <w:t xml:space="preserve">Assumptions &amp; open items (TODO — external confirmation required):</w:t>
      </w:r>
      <w:r>
        <w:t xml:space="preserve"> </w:t>
      </w:r>
      <w:r>
        <w:t xml:space="preserve">1.</w:t>
      </w:r>
      <w:r>
        <w:t xml:space="preserve"> </w:t>
      </w:r>
      <w:r>
        <w:rPr>
          <w:b/>
          <w:bCs/>
        </w:rPr>
        <w:t xml:space="preserve">Sponsor bank / acquiring member</w:t>
      </w:r>
      <w:r>
        <w:t xml:space="preserve"> </w:t>
      </w:r>
      <w:r>
        <w:t xml:space="preserve">— not yet contracted. Test scripts, BIN/ICA, endpoints and certification queue</w:t>
      </w:r>
      <w:r>
        <w:t xml:space="preserve"> </w:t>
      </w:r>
      <w:r>
        <w:t xml:space="preserve">depend on the chosen sponsor bank.</w:t>
      </w:r>
      <w:r>
        <w:t xml:space="preserve"> </w:t>
      </w:r>
      <w:r>
        <w:rPr>
          <w:b/>
          <w:bCs/>
        </w:rPr>
        <w:t xml:space="preserve">[TODO: confirm sponsor bank]</w:t>
      </w:r>
      <w:r>
        <w:t xml:space="preserve"> </w:t>
      </w:r>
      <w:r>
        <w:t xml:space="preserve">2.</w:t>
      </w:r>
      <w:r>
        <w:t xml:space="preserve"> </w:t>
      </w:r>
      <w:r>
        <w:rPr>
          <w:b/>
          <w:bCs/>
        </w:rPr>
        <w:t xml:space="preserve">QSA vendor (PCI-DSS v4.0)</w:t>
      </w:r>
      <w:r>
        <w:t xml:space="preserve"> </w:t>
      </w:r>
      <w:r>
        <w:t xml:space="preserve">— Qualified Security Assessor not yet selected.</w:t>
      </w:r>
      <w:r>
        <w:t xml:space="preserve"> </w:t>
      </w:r>
      <w:r>
        <w:rPr>
          <w:b/>
          <w:bCs/>
        </w:rPr>
        <w:t xml:space="preserve">[TODO: lock QSA contract]</w:t>
      </w:r>
      <w:r>
        <w:t xml:space="preserve"> </w:t>
      </w:r>
      <w:r>
        <w:t xml:space="preserve">3.</w:t>
      </w:r>
      <w:r>
        <w:t xml:space="preserve"> </w:t>
      </w:r>
      <w:r>
        <w:rPr>
          <w:b/>
          <w:bCs/>
        </w:rPr>
        <w:t xml:space="preserve">Actual paid-up capital</w:t>
      </w:r>
      <w:r>
        <w:t xml:space="preserve"> </w:t>
      </w:r>
      <w:r>
        <w:t xml:space="preserve">— BOT threshold for Acquiring is a minimum of</w:t>
      </w:r>
      <w:r>
        <w:t xml:space="preserve"> </w:t>
      </w:r>
      <w:r>
        <w:rPr>
          <w:b/>
          <w:bCs/>
        </w:rPr>
        <w:t xml:space="preserve">THB 50M</w:t>
      </w:r>
      <w:r>
        <w:t xml:space="preserve">, to be maintained at ≥ 75%</w:t>
      </w:r>
      <w:r>
        <w:t xml:space="preserve"> </w:t>
      </w:r>
      <w:r>
        <w:t xml:space="preserve">throughout operations. Actual paid-up amount at filing date</w:t>
      </w:r>
      <w:r>
        <w:t xml:space="preserve"> </w:t>
      </w:r>
      <w:r>
        <w:rPr>
          <w:b/>
          <w:bCs/>
        </w:rPr>
        <w:t xml:space="preserve">[TODO: confirm]</w:t>
      </w:r>
      <w:r>
        <w:t xml:space="preserve">.</w:t>
      </w:r>
      <w:r>
        <w:t xml:space="preserve"> </w:t>
      </w:r>
      <w:r>
        <w:t xml:space="preserve">4.</w:t>
      </w:r>
      <w:r>
        <w:t xml:space="preserve"> </w:t>
      </w:r>
      <w:r>
        <w:rPr>
          <w:b/>
          <w:bCs/>
        </w:rPr>
        <w:t xml:space="preserve">BIN sponsorship / ICA number</w:t>
      </w:r>
      <w:r>
        <w:t xml:space="preserve"> </w:t>
      </w:r>
      <w:r>
        <w:t xml:space="preserve">— issued by sponsor bank / scheme.</w:t>
      </w:r>
      <w:r>
        <w:t xml:space="preserve"> </w:t>
      </w:r>
      <w:r>
        <w:rPr>
          <w:b/>
          <w:bCs/>
        </w:rPr>
        <w:t xml:space="preserve">[TODO]</w:t>
      </w:r>
      <w:r>
        <w:t xml:space="preserve"> </w:t>
      </w:r>
      <w:r>
        <w:t xml:space="preserve">5. Scheme test-tool versions (e.g. Visa VTS/ADVT toolkit, Mastercard MTIP) and latest mandate release — follow what</w:t>
      </w:r>
      <w:r>
        <w:t xml:space="preserve"> </w:t>
      </w:r>
      <w:r>
        <w:t xml:space="preserve">the scheme publishes at test time.</w:t>
      </w:r>
      <w:r>
        <w:t xml:space="preserve"> </w:t>
      </w:r>
      <w:r>
        <w:rPr>
          <w:b/>
          <w:bCs/>
        </w:rPr>
        <w:t xml:space="preserve">[TODO: confirm mandate version]</w:t>
      </w:r>
    </w:p>
    <w:p>
      <w:r>
        <w:pict>
          <v:rect style="width:0;height:1.5pt" o:hralign="center" o:hrstd="t" o:hr="t"/>
        </w:pict>
      </w:r>
    </w:p>
    <w:bookmarkEnd w:id="851"/>
    <w:bookmarkStart w:id="853" w:name="roles-raci"/>
    <w:p>
      <w:pPr>
        <w:pStyle w:val="Heading2"/>
      </w:pPr>
      <w:r>
        <w:t xml:space="preserve">2. Roles &amp; RACI</w:t>
      </w:r>
    </w:p>
    <w:tbl>
      <w:tblPr>
        <w:tblStyle w:val="Table"/>
        <w:tblW w:type="pct" w:w="5000"/>
        <w:tblLayout w:type="fixed"/>
        <w:tblLook w:firstRow="1" w:lastRow="0" w:firstColumn="0" w:lastColumn="0" w:noHBand="0" w:noVBand="0" w:val="0020"/>
      </w:tblPr>
      <w:tblGrid>
        <w:gridCol w:w="1357"/>
        <w:gridCol w:w="1131"/>
        <w:gridCol w:w="5430"/>
      </w:tblGrid>
      <w:tr>
        <w:trPr>
          <w:tblHeader w:val="on"/>
        </w:trPr>
        <w:tc>
          <w:tcPr/>
          <w:p>
            <w:pPr>
              <w:pStyle w:val="Compact"/>
            </w:pPr>
            <w:r>
              <w:t xml:space="preserve">Role</w:t>
            </w:r>
          </w:p>
        </w:tc>
        <w:tc>
          <w:tcPr/>
          <w:p>
            <w:pPr>
              <w:pStyle w:val="Compact"/>
            </w:pPr>
            <w:r>
              <w:t xml:space="preserve">Org</w:t>
            </w:r>
          </w:p>
        </w:tc>
        <w:tc>
          <w:tcPr/>
          <w:p>
            <w:pPr>
              <w:pStyle w:val="Compact"/>
            </w:pPr>
            <w:r>
              <w:t xml:space="preserve">Primary responsibility</w:t>
            </w:r>
          </w:p>
        </w:tc>
      </w:tr>
      <w:tr>
        <w:tc>
          <w:tcPr/>
          <w:p>
            <w:pPr>
              <w:pStyle w:val="Compact"/>
            </w:pPr>
            <w:r>
              <w:rPr>
                <w:b/>
                <w:bCs/>
              </w:rPr>
              <w:t xml:space="preserve">Certification Program Lead</w:t>
            </w:r>
          </w:p>
        </w:tc>
        <w:tc>
          <w:tcPr/>
          <w:p>
            <w:pPr>
              <w:pStyle w:val="Compact"/>
            </w:pPr>
            <w:r>
              <w:t xml:space="preserve">[บริษัท / Company] — Payments</w:t>
            </w:r>
          </w:p>
        </w:tc>
        <w:tc>
          <w:tcPr/>
          <w:p>
            <w:pPr>
              <w:pStyle w:val="Compact"/>
            </w:pPr>
            <w:r>
              <w:t xml:space="preserve">Plan owner; coordinates sponsor/scheme; tracks milestones</w:t>
            </w:r>
          </w:p>
        </w:tc>
      </w:tr>
      <w:tr>
        <w:tc>
          <w:tcPr/>
          <w:p>
            <w:pPr>
              <w:pStyle w:val="Compact"/>
            </w:pPr>
            <w:r>
              <w:rPr>
                <w:b/>
                <w:bCs/>
              </w:rPr>
              <w:t xml:space="preserve">Integration Engineer (Acquirer/ISO 8583)</w:t>
            </w:r>
          </w:p>
        </w:tc>
        <w:tc>
          <w:tcPr/>
          <w:p>
            <w:pPr>
              <w:pStyle w:val="Compact"/>
            </w:pPr>
            <w:r>
              <w:t xml:space="preserve">[บริษัท / Company] — Backend (Go)</w:t>
            </w:r>
          </w:p>
        </w:tc>
        <w:tc>
          <w:tcPr/>
          <w:p>
            <w:pPr>
              <w:pStyle w:val="Compact"/>
            </w:pPr>
            <w:r>
              <w:t xml:space="preserve">Host API integration; build/run test scripts; fix defects</w:t>
            </w:r>
          </w:p>
        </w:tc>
      </w:tr>
      <w:tr>
        <w:tc>
          <w:tcPr/>
          <w:p>
            <w:pPr>
              <w:pStyle w:val="Compact"/>
            </w:pPr>
            <w:r>
              <w:rPr>
                <w:b/>
                <w:bCs/>
              </w:rPr>
              <w:t xml:space="preserve">3DS Engineer</w:t>
            </w:r>
          </w:p>
        </w:tc>
        <w:tc>
          <w:tcPr/>
          <w:p>
            <w:pPr>
              <w:pStyle w:val="Compact"/>
            </w:pPr>
            <w:r>
              <w:t xml:space="preserve">[บริษัท / Company] — Backend</w:t>
            </w:r>
          </w:p>
        </w:tc>
        <w:tc>
          <w:tcPr/>
          <w:p>
            <w:pPr>
              <w:pStyle w:val="Compact"/>
            </w:pPr>
            <w:r>
              <w:t xml:space="preserve">EMV 3DS 2.x flows; ACS/DS testing</w:t>
            </w:r>
          </w:p>
        </w:tc>
      </w:tr>
      <w:tr>
        <w:tc>
          <w:tcPr/>
          <w:p>
            <w:pPr>
              <w:pStyle w:val="Compact"/>
            </w:pPr>
            <w:r>
              <w:rPr>
                <w:b/>
                <w:bCs/>
              </w:rPr>
              <w:t xml:space="preserve">QA / Test Automation</w:t>
            </w:r>
          </w:p>
        </w:tc>
        <w:tc>
          <w:tcPr/>
          <w:p>
            <w:pPr>
              <w:pStyle w:val="Compact"/>
            </w:pPr>
            <w:r>
              <w:t xml:space="preserve">[บริษัท / Company] — QA</w:t>
            </w:r>
          </w:p>
        </w:tc>
        <w:tc>
          <w:tcPr/>
          <w:p>
            <w:pPr>
              <w:pStyle w:val="Compact"/>
            </w:pPr>
            <w:r>
              <w:t xml:space="preserve">Test matrix, evidence, regression</w:t>
            </w:r>
          </w:p>
        </w:tc>
      </w:tr>
      <w:tr>
        <w:tc>
          <w:tcPr/>
          <w:p>
            <w:pPr>
              <w:pStyle w:val="Compact"/>
            </w:pPr>
            <w:r>
              <w:rPr>
                <w:b/>
                <w:bCs/>
              </w:rPr>
              <w:t xml:space="preserve">Security / DevSecOps</w:t>
            </w:r>
          </w:p>
        </w:tc>
        <w:tc>
          <w:tcPr/>
          <w:p>
            <w:pPr>
              <w:pStyle w:val="Compact"/>
            </w:pPr>
            <w:r>
              <w:t xml:space="preserve">[บริษัท / Company] — Security</w:t>
            </w:r>
          </w:p>
        </w:tc>
        <w:tc>
          <w:tcPr/>
          <w:p>
            <w:pPr>
              <w:pStyle w:val="Compact"/>
            </w:pPr>
            <w:r>
              <w:t xml:space="preserve">PCI scope, HSM/KMS, segmentation, key ceremony</w:t>
            </w:r>
          </w:p>
        </w:tc>
      </w:tr>
      <w:tr>
        <w:tc>
          <w:tcPr/>
          <w:p>
            <w:pPr>
              <w:pStyle w:val="Compact"/>
            </w:pPr>
            <w:r>
              <w:rPr>
                <w:b/>
                <w:bCs/>
              </w:rPr>
              <w:t xml:space="preserve">Compliance &amp; Legal</w:t>
            </w:r>
          </w:p>
        </w:tc>
        <w:tc>
          <w:tcPr/>
          <w:p>
            <w:pPr>
              <w:pStyle w:val="Compact"/>
            </w:pPr>
            <w:r>
              <w:t xml:space="preserve">[บริษัท / Company] — Compliance</w:t>
            </w:r>
          </w:p>
        </w:tc>
        <w:tc>
          <w:tcPr/>
          <w:p>
            <w:pPr>
              <w:pStyle w:val="Compact"/>
            </w:pPr>
            <w:r>
              <w:t xml:space="preserve">Liaison with BOT, AMLO, PDPC; license docs</w:t>
            </w:r>
          </w:p>
        </w:tc>
      </w:tr>
      <w:tr>
        <w:tc>
          <w:tcPr/>
          <w:p>
            <w:pPr>
              <w:pStyle w:val="Compact"/>
            </w:pPr>
            <w:r>
              <w:rPr>
                <w:b/>
                <w:bCs/>
              </w:rPr>
              <w:t xml:space="preserve">Sponsor Bank Relationship Manager</w:t>
            </w:r>
          </w:p>
        </w:tc>
        <w:tc>
          <w:tcPr/>
          <w:p>
            <w:pPr>
              <w:pStyle w:val="Compact"/>
            </w:pPr>
            <w:r>
              <w:t xml:space="preserve">Sponsor bank</w:t>
            </w:r>
          </w:p>
        </w:tc>
        <w:tc>
          <w:tcPr/>
          <w:p>
            <w:pPr>
              <w:pStyle w:val="Compact"/>
            </w:pPr>
            <w:r>
              <w:t xml:space="preserve">Issues BIN/ICA, opens test endpoints, reviews &amp; signs off cert</w:t>
            </w:r>
            <w:r>
              <w:t xml:space="preserve"> </w:t>
            </w:r>
            <w:r>
              <w:rPr>
                <w:b/>
                <w:bCs/>
              </w:rPr>
              <w:t xml:space="preserve">[TODO]</w:t>
            </w:r>
          </w:p>
        </w:tc>
      </w:tr>
      <w:tr>
        <w:tc>
          <w:tcPr/>
          <w:p>
            <w:pPr>
              <w:pStyle w:val="Compact"/>
            </w:pPr>
            <w:r>
              <w:rPr>
                <w:b/>
                <w:bCs/>
              </w:rPr>
              <w:t xml:space="preserve">Scheme Certification Analyst</w:t>
            </w:r>
          </w:p>
        </w:tc>
        <w:tc>
          <w:tcPr/>
          <w:p>
            <w:pPr>
              <w:pStyle w:val="Compact"/>
            </w:pPr>
            <w:r>
              <w:t xml:space="preserve">Visa / Mastercard</w:t>
            </w:r>
          </w:p>
        </w:tc>
        <w:tc>
          <w:tcPr/>
          <w:p>
            <w:pPr>
              <w:pStyle w:val="Compact"/>
            </w:pPr>
            <w:r>
              <w:t xml:space="preserve">Reviews results, issues Letter of Approval / sign-off</w:t>
            </w:r>
          </w:p>
        </w:tc>
      </w:tr>
      <w:tr>
        <w:tc>
          <w:tcPr/>
          <w:p>
            <w:pPr>
              <w:pStyle w:val="Compact"/>
            </w:pPr>
            <w:r>
              <w:rPr>
                <w:b/>
                <w:bCs/>
              </w:rPr>
              <w:t xml:space="preserve">QSA</w:t>
            </w:r>
          </w:p>
        </w:tc>
        <w:tc>
          <w:tcPr/>
          <w:p>
            <w:pPr>
              <w:pStyle w:val="Compact"/>
            </w:pPr>
            <w:r>
              <w:t xml:space="preserve">External assessor</w:t>
            </w:r>
          </w:p>
        </w:tc>
        <w:tc>
          <w:tcPr/>
          <w:p>
            <w:pPr>
              <w:pStyle w:val="Compact"/>
            </w:pPr>
            <w:r>
              <w:t xml:space="preserve">PCI-DSS v4.0 audit; issues RoC/AoC</w:t>
            </w:r>
            <w:r>
              <w:t xml:space="preserve"> </w:t>
            </w:r>
            <w:r>
              <w:rPr>
                <w:b/>
                <w:bCs/>
              </w:rPr>
              <w:t xml:space="preserve">[TODO]</w:t>
            </w:r>
          </w:p>
        </w:tc>
      </w:tr>
    </w:tbl>
    <w:bookmarkStart w:id="852" w:name="raci-summary"/>
    <w:p>
      <w:pPr>
        <w:pStyle w:val="Heading3"/>
      </w:pPr>
      <w:r>
        <w:t xml:space="preserve">RACI summary</w:t>
      </w:r>
    </w:p>
    <w:tbl>
      <w:tblPr>
        <w:tblStyle w:val="Table"/>
        <w:tblW w:type="pct" w:w="5000"/>
        <w:tblLayout w:type="fixed"/>
        <w:tblLook w:firstRow="1" w:lastRow="0" w:firstColumn="0" w:lastColumn="0" w:noHBand="0" w:noVBand="0" w:val="0020"/>
      </w:tblPr>
      <w:tblGrid>
        <w:gridCol w:w="1980"/>
        <w:gridCol w:w="990"/>
        <w:gridCol w:w="990"/>
        <w:gridCol w:w="990"/>
        <w:gridCol w:w="990"/>
        <w:gridCol w:w="990"/>
        <w:gridCol w:w="990"/>
      </w:tblGrid>
      <w:tr>
        <w:trPr>
          <w:tblHeader w:val="on"/>
        </w:trPr>
        <w:tc>
          <w:tcPr/>
          <w:p>
            <w:pPr>
              <w:pStyle w:val="Compact"/>
            </w:pPr>
            <w:r>
              <w:t xml:space="preserve">Activity</w:t>
            </w:r>
          </w:p>
        </w:tc>
        <w:tc>
          <w:tcPr/>
          <w:p>
            <w:pPr>
              <w:pStyle w:val="Compact"/>
              <w:jc w:val="center"/>
            </w:pPr>
            <w:r>
              <w:t xml:space="preserve">Program Lead</w:t>
            </w:r>
          </w:p>
        </w:tc>
        <w:tc>
          <w:tcPr/>
          <w:p>
            <w:pPr>
              <w:pStyle w:val="Compact"/>
              <w:jc w:val="center"/>
            </w:pPr>
            <w:r>
              <w:t xml:space="preserve">Integration</w:t>
            </w:r>
          </w:p>
        </w:tc>
        <w:tc>
          <w:tcPr/>
          <w:p>
            <w:pPr>
              <w:pStyle w:val="Compact"/>
              <w:jc w:val="center"/>
            </w:pPr>
            <w:r>
              <w:t xml:space="preserve">QA</w:t>
            </w:r>
          </w:p>
        </w:tc>
        <w:tc>
          <w:tcPr/>
          <w:p>
            <w:pPr>
              <w:pStyle w:val="Compact"/>
              <w:jc w:val="center"/>
            </w:pPr>
            <w:r>
              <w:t xml:space="preserve">Security</w:t>
            </w:r>
          </w:p>
        </w:tc>
        <w:tc>
          <w:tcPr/>
          <w:p>
            <w:pPr>
              <w:pStyle w:val="Compact"/>
              <w:jc w:val="center"/>
            </w:pPr>
            <w:r>
              <w:t xml:space="preserve">Sponsor</w:t>
            </w:r>
          </w:p>
        </w:tc>
        <w:tc>
          <w:tcPr/>
          <w:p>
            <w:pPr>
              <w:pStyle w:val="Compact"/>
              <w:jc w:val="center"/>
            </w:pPr>
            <w:r>
              <w:t xml:space="preserve">Scheme</w:t>
            </w:r>
          </w:p>
        </w:tc>
      </w:tr>
      <w:tr>
        <w:tc>
          <w:tcPr/>
          <w:p>
            <w:pPr>
              <w:pStyle w:val="Compact"/>
            </w:pPr>
            <w:r>
              <w:t xml:space="preserve">Plan &amp; book cert slots</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I</w:t>
            </w:r>
          </w:p>
        </w:tc>
      </w:tr>
      <w:tr>
        <w:tc>
          <w:tcPr/>
          <w:p>
            <w:pPr>
              <w:pStyle w:val="Compact"/>
            </w:pPr>
            <w:r>
              <w:t xml:space="preserve">Host/endpoint connectivity</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I</w:t>
            </w:r>
          </w:p>
        </w:tc>
      </w:tr>
      <w:tr>
        <w:tc>
          <w:tcPr/>
          <w:p>
            <w:pPr>
              <w:pStyle w:val="Compact"/>
            </w:pPr>
            <w:r>
              <w:t xml:space="preserve">Run test scripts (auth/clearing)</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3DS 2.x testing</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PCI evidence &amp; RoC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R/A</w:t>
            </w:r>
          </w:p>
        </w:tc>
        <w:tc>
          <w:tcPr/>
          <w:p>
            <w:pPr>
              <w:pStyle w:val="Compact"/>
              <w:jc w:val="center"/>
            </w:pPr>
            <w:r>
              <w:t xml:space="preserve">I</w:t>
            </w:r>
          </w:p>
        </w:tc>
        <w:tc>
          <w:tcPr/>
          <w:p>
            <w:pPr>
              <w:pStyle w:val="Compact"/>
              <w:jc w:val="center"/>
            </w:pPr>
            <w:r>
              <w:t xml:space="preserve">I</w:t>
            </w:r>
          </w:p>
        </w:tc>
      </w:tr>
      <w:tr>
        <w:tc>
          <w:tcPr/>
          <w:p>
            <w:pPr>
              <w:pStyle w:val="Compact"/>
            </w:pPr>
            <w:r>
              <w:t xml:space="preserve">Sign-off &amp; Letter of Approval</w:t>
            </w:r>
          </w:p>
        </w:tc>
        <w:tc>
          <w:tcPr/>
          <w:p>
            <w:pPr>
              <w:pStyle w:val="Compact"/>
              <w:jc w:val="center"/>
            </w:pPr>
            <w:r>
              <w:t xml:space="preserve">A</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R</w:t>
            </w:r>
          </w:p>
        </w:tc>
      </w:tr>
    </w:tbl>
    <w:p>
      <w:pPr>
        <w:pStyle w:val="BodyText"/>
      </w:pPr>
      <w:r>
        <w:t xml:space="preserve">(R = Responsible, A = Accountable, C = Consulted, I = Informed)</w:t>
      </w:r>
    </w:p>
    <w:p>
      <w:r>
        <w:pict>
          <v:rect style="width:0;height:1.5pt" o:hralign="center" o:hrstd="t" o:hr="t"/>
        </w:pict>
      </w:r>
    </w:p>
    <w:bookmarkEnd w:id="852"/>
    <w:bookmarkEnd w:id="853"/>
    <w:bookmarkStart w:id="854" w:name="prerequisites-before-certification"/>
    <w:p>
      <w:pPr>
        <w:pStyle w:val="Heading2"/>
      </w:pPr>
      <w:r>
        <w:t xml:space="preserve">3. Prerequisites before certification</w:t>
      </w:r>
    </w:p>
    <w:p>
      <w:pPr>
        <w:pStyle w:val="Compact"/>
        <w:numPr>
          <w:ilvl w:val="0"/>
          <w:numId w:val="1315"/>
        </w:numPr>
      </w:pPr>
      <w:r>
        <w:rPr>
          <w:b/>
          <w:bCs/>
        </w:rPr>
        <w:t xml:space="preserve">Sponsor bank contract signed</w:t>
      </w:r>
      <w:r>
        <w:t xml:space="preserve"> </w:t>
      </w:r>
      <w:r>
        <w:t xml:space="preserve">and</w:t>
      </w:r>
      <w:r>
        <w:t xml:space="preserve"> </w:t>
      </w:r>
      <w:r>
        <w:rPr>
          <w:b/>
          <w:bCs/>
        </w:rPr>
        <w:t xml:space="preserve">BIN (Visa) / ICA (Mastercard)</w:t>
      </w:r>
      <w:r>
        <w:t xml:space="preserve"> </w:t>
      </w:r>
      <w:r>
        <w:t xml:space="preserve">issued for acquiring</w:t>
      </w:r>
      <w:r>
        <w:t xml:space="preserve"> </w:t>
      </w:r>
      <w:r>
        <w:rPr>
          <w:b/>
          <w:bCs/>
        </w:rPr>
        <w:t xml:space="preserve">[TODO]</w:t>
      </w:r>
    </w:p>
    <w:p>
      <w:pPr>
        <w:pStyle w:val="Compact"/>
        <w:numPr>
          <w:ilvl w:val="0"/>
          <w:numId w:val="1315"/>
        </w:numPr>
      </w:pPr>
      <w:r>
        <w:t xml:space="preserve">Connectivity to the</w:t>
      </w:r>
      <w:r>
        <w:t xml:space="preserve"> </w:t>
      </w:r>
      <w:r>
        <w:rPr>
          <w:b/>
          <w:bCs/>
        </w:rPr>
        <w:t xml:space="preserve">acquirer host / card switch</w:t>
      </w:r>
      <w:r>
        <w:t xml:space="preserve"> </w:t>
      </w:r>
      <w:r>
        <w:t xml:space="preserve">established in</w:t>
      </w:r>
      <w:r>
        <w:t xml:space="preserve"> </w:t>
      </w:r>
      <w:r>
        <w:rPr>
          <w:b/>
          <w:bCs/>
        </w:rPr>
        <w:t xml:space="preserve">sandbox/UAT</w:t>
      </w:r>
      <w:r>
        <w:t xml:space="preserve"> </w:t>
      </w:r>
      <w:r>
        <w:t xml:space="preserve">(network + credentials + mTLS)</w:t>
      </w:r>
    </w:p>
    <w:p>
      <w:pPr>
        <w:pStyle w:val="Compact"/>
        <w:numPr>
          <w:ilvl w:val="0"/>
          <w:numId w:val="1315"/>
        </w:numPr>
      </w:pPr>
      <w:r>
        <w:rPr>
          <w:b/>
          <w:bCs/>
        </w:rPr>
        <w:t xml:space="preserve">PCI-DSS v4.0 scope</w:t>
      </w:r>
      <w:r>
        <w:t xml:space="preserve"> </w:t>
      </w:r>
      <w:r>
        <w:t xml:space="preserve">defined: tokenization vault in a separate segment; core system sees only token +</w:t>
      </w:r>
      <w:r>
        <w:t xml:space="preserve"> </w:t>
      </w:r>
      <w:r>
        <w:rPr>
          <w:rStyle w:val="VerbatimChar"/>
        </w:rPr>
        <w:t xml:space="preserve">card_last4</w:t>
      </w:r>
      <w:r>
        <w:t xml:space="preserve"> </w:t>
      </w:r>
      <w:r>
        <w:t xml:space="preserve">(no PAN/CVV/PIN/track in the operational DB)</w:t>
      </w:r>
    </w:p>
    <w:p>
      <w:pPr>
        <w:pStyle w:val="Compact"/>
        <w:numPr>
          <w:ilvl w:val="0"/>
          <w:numId w:val="1315"/>
        </w:numPr>
      </w:pPr>
      <w:r>
        <w:rPr>
          <w:b/>
          <w:bCs/>
        </w:rPr>
        <w:t xml:space="preserve">HSM/KMS</w:t>
      </w:r>
      <w:r>
        <w:t xml:space="preserve"> </w:t>
      </w:r>
      <w:r>
        <w:t xml:space="preserve">operational for key management (PCI Req 3); key ceremony done (dual control / split knowledge)</w:t>
      </w:r>
    </w:p>
    <w:p>
      <w:pPr>
        <w:pStyle w:val="Compact"/>
        <w:numPr>
          <w:ilvl w:val="0"/>
          <w:numId w:val="1315"/>
        </w:numPr>
      </w:pPr>
      <w:r>
        <w:t xml:space="preserve">Append-only double-entry ledger and reconciliation worker ready to test settlement/clearing files</w:t>
      </w:r>
    </w:p>
    <w:p>
      <w:pPr>
        <w:pStyle w:val="Compact"/>
        <w:numPr>
          <w:ilvl w:val="0"/>
          <w:numId w:val="1315"/>
        </w:numPr>
      </w:pPr>
      <w:r>
        <w:t xml:space="preserve">Idempotency + audit_log on every money-moving endpoint</w:t>
      </w:r>
    </w:p>
    <w:p>
      <w:pPr>
        <w:pStyle w:val="Compact"/>
        <w:numPr>
          <w:ilvl w:val="0"/>
          <w:numId w:val="1315"/>
        </w:numPr>
      </w:pPr>
      <w:r>
        <w:t xml:space="preserve">Scheme</w:t>
      </w:r>
      <w:r>
        <w:t xml:space="preserve"> </w:t>
      </w:r>
      <w:r>
        <w:rPr>
          <w:b/>
          <w:bCs/>
        </w:rPr>
        <w:t xml:space="preserve">test tools / simulators</w:t>
      </w:r>
      <w:r>
        <w:t xml:space="preserve"> </w:t>
      </w:r>
      <w:r>
        <w:t xml:space="preserve">and</w:t>
      </w:r>
      <w:r>
        <w:t xml:space="preserve"> </w:t>
      </w:r>
      <w:r>
        <w:rPr>
          <w:b/>
          <w:bCs/>
        </w:rPr>
        <w:t xml:space="preserve">test card ranges</w:t>
      </w:r>
      <w:r>
        <w:t xml:space="preserve"> </w:t>
      </w:r>
      <w:r>
        <w:t xml:space="preserve">obtained from sponsor bank</w:t>
      </w:r>
    </w:p>
    <w:p>
      <w:pPr>
        <w:pStyle w:val="BlockText"/>
      </w:pPr>
      <w:r>
        <w:t xml:space="preserve">Scheme certification and PCI-DSS L1 are the</w:t>
      </w:r>
      <w:r>
        <w:t xml:space="preserve"> </w:t>
      </w:r>
      <w:r>
        <w:rPr>
          <w:b/>
          <w:bCs/>
        </w:rPr>
        <w:t xml:space="preserve">critical path</w:t>
      </w:r>
      <w:r>
        <w:t xml:space="preserve"> </w:t>
      </w:r>
      <w:r>
        <w:t xml:space="preserve">(see</w:t>
      </w:r>
      <w:r>
        <w:t xml:space="preserve"> </w:t>
      </w:r>
      <w:r>
        <w:rPr>
          <w:rStyle w:val="VerbatimChar"/>
        </w:rPr>
        <w:t xml:space="preserve">ROADMAP.md</w:t>
      </w:r>
      <w:r>
        <w:t xml:space="preserve"> </w:t>
      </w:r>
      <w:r>
        <w:t xml:space="preserve">Phase 4) and must run in parallel with</w:t>
      </w:r>
      <w:r>
        <w:t xml:space="preserve"> </w:t>
      </w:r>
      <w:r>
        <w:t xml:space="preserve">engineering from the start. The sponsor bank drives the queue and timeline.</w:t>
      </w:r>
    </w:p>
    <w:p>
      <w:r>
        <w:pict>
          <v:rect style="width:0;height:1.5pt" o:hralign="center" o:hrstd="t" o:hr="t"/>
        </w:pict>
      </w:r>
    </w:p>
    <w:bookmarkEnd w:id="854"/>
    <w:bookmarkStart w:id="860" w:name="test-scripts-test-matrix"/>
    <w:p>
      <w:pPr>
        <w:pStyle w:val="Heading2"/>
      </w:pPr>
      <w:r>
        <w:t xml:space="preserve">4. Test scripts / test matrix</w:t>
      </w:r>
    </w:p>
    <w:p>
      <w:pPr>
        <w:pStyle w:val="FirstParagraph"/>
      </w:pPr>
      <w:r>
        <w:t xml:space="preserve">Test categories reference each network’s standard suite (Visa ADVT/VTS/CVT, Mastercard MTIP/M-TIP). Actual cases follow</w:t>
      </w:r>
      <w:r>
        <w:t xml:space="preserve"> </w:t>
      </w:r>
      <w:r>
        <w:t xml:space="preserve">the suite provided by the scheme and sponsor bank at test time.</w:t>
      </w:r>
    </w:p>
    <w:bookmarkStart w:id="855" w:name="Xa9c8a5ac8eac8091bc656b84fb87db1c091d75f"/>
    <w:p>
      <w:pPr>
        <w:pStyle w:val="Heading3"/>
      </w:pPr>
      <w:r>
        <w:t xml:space="preserve">4.1 Authorization (Visa ADVT / Mastercard MTIP — auth module)</w:t>
      </w:r>
    </w:p>
    <w:tbl>
      <w:tblPr>
        <w:tblStyle w:val="Table"/>
        <w:tblW w:type="pct" w:w="5000"/>
        <w:tblLayout w:type="fixed"/>
        <w:tblLook w:firstRow="1" w:lastRow="0" w:firstColumn="0" w:lastColumn="0" w:noHBand="0" w:noVBand="0" w:val="0020"/>
      </w:tblPr>
      <w:tblGrid>
        <w:gridCol w:w="625"/>
        <w:gridCol w:w="2292"/>
        <w:gridCol w:w="1458"/>
        <w:gridCol w:w="3543"/>
      </w:tblGrid>
      <w:tr>
        <w:trPr>
          <w:tblHeader w:val="on"/>
        </w:trPr>
        <w:tc>
          <w:tcPr/>
          <w:p>
            <w:pPr>
              <w:pStyle w:val="Compact"/>
            </w:pPr>
            <w:r>
              <w:t xml:space="preserve">#</w:t>
            </w:r>
          </w:p>
        </w:tc>
        <w:tc>
          <w:tcPr/>
          <w:p>
            <w:pPr>
              <w:pStyle w:val="Compact"/>
            </w:pPr>
            <w:r>
              <w:t xml:space="preserve">Test case</w:t>
            </w:r>
          </w:p>
        </w:tc>
        <w:tc>
          <w:tcPr/>
          <w:p>
            <w:pPr>
              <w:pStyle w:val="Compact"/>
            </w:pPr>
            <w:r>
              <w:t xml:space="preserve">Input</w:t>
            </w:r>
          </w:p>
        </w:tc>
        <w:tc>
          <w:tcPr/>
          <w:p>
            <w:pPr>
              <w:pStyle w:val="Compact"/>
            </w:pPr>
            <w:r>
              <w:t xml:space="preserve">Expected result</w:t>
            </w:r>
          </w:p>
        </w:tc>
      </w:tr>
      <w:tr>
        <w:tc>
          <w:tcPr/>
          <w:p>
            <w:pPr>
              <w:pStyle w:val="Compact"/>
            </w:pPr>
            <w:r>
              <w:t xml:space="preserve">A-01</w:t>
            </w:r>
          </w:p>
        </w:tc>
        <w:tc>
          <w:tcPr/>
          <w:p>
            <w:pPr>
              <w:pStyle w:val="Compact"/>
            </w:pPr>
            <w:r>
              <w:t xml:space="preserve">Full approval</w:t>
            </w:r>
          </w:p>
        </w:tc>
        <w:tc>
          <w:tcPr/>
          <w:p>
            <w:pPr>
              <w:pStyle w:val="Compact"/>
            </w:pPr>
            <w:r>
              <w:t xml:space="preserve">approve test card, MTI 0100</w:t>
            </w:r>
          </w:p>
        </w:tc>
        <w:tc>
          <w:tcPr/>
          <w:p>
            <w:pPr>
              <w:pStyle w:val="Compact"/>
            </w:pPr>
            <w:r>
              <w:t xml:space="preserve">0110 approved,</w:t>
            </w:r>
            <w:r>
              <w:t xml:space="preserve"> </w:t>
            </w:r>
            <w:r>
              <w:rPr>
                <w:rStyle w:val="VerbatimChar"/>
              </w:rPr>
              <w:t xml:space="preserve">auth_code</w:t>
            </w:r>
            <w:r>
              <w:t xml:space="preserve">, ledger</w:t>
            </w:r>
            <w:r>
              <w:t xml:space="preserve"> </w:t>
            </w:r>
            <w:r>
              <w:rPr>
                <w:rStyle w:val="VerbatimChar"/>
              </w:rPr>
              <w:t xml:space="preserve">authorize</w:t>
            </w:r>
          </w:p>
        </w:tc>
      </w:tr>
      <w:tr>
        <w:tc>
          <w:tcPr/>
          <w:p>
            <w:pPr>
              <w:pStyle w:val="Compact"/>
            </w:pPr>
            <w:r>
              <w:t xml:space="preserve">A-02</w:t>
            </w:r>
          </w:p>
        </w:tc>
        <w:tc>
          <w:tcPr/>
          <w:p>
            <w:pPr>
              <w:pStyle w:val="Compact"/>
            </w:pPr>
            <w:r>
              <w:t xml:space="preserve">Decline (insufficient funds)</w:t>
            </w:r>
          </w:p>
        </w:tc>
        <w:tc>
          <w:tcPr/>
          <w:p>
            <w:pPr>
              <w:pStyle w:val="Compact"/>
            </w:pPr>
            <w:r>
              <w:t xml:space="preserve">decline code 51 test card</w:t>
            </w:r>
          </w:p>
        </w:tc>
        <w:tc>
          <w:tcPr/>
          <w:p>
            <w:pPr>
              <w:pStyle w:val="Compact"/>
            </w:pPr>
            <w:r>
              <w:t xml:space="preserve">0110 decline, no ledger authorize</w:t>
            </w:r>
          </w:p>
        </w:tc>
      </w:tr>
      <w:tr>
        <w:tc>
          <w:tcPr/>
          <w:p>
            <w:pPr>
              <w:pStyle w:val="Compact"/>
            </w:pPr>
            <w:r>
              <w:t xml:space="preserve">A-03</w:t>
            </w:r>
          </w:p>
        </w:tc>
        <w:tc>
          <w:tcPr/>
          <w:p>
            <w:pPr>
              <w:pStyle w:val="Compact"/>
            </w:pPr>
            <w:r>
              <w:t xml:space="preserve">Partial approval</w:t>
            </w:r>
          </w:p>
        </w:tc>
        <w:tc>
          <w:tcPr/>
          <w:p>
            <w:pPr>
              <w:pStyle w:val="Compact"/>
            </w:pPr>
            <w:r>
              <w:t xml:space="preserve">partial-auth capable</w:t>
            </w:r>
          </w:p>
        </w:tc>
        <w:tc>
          <w:tcPr/>
          <w:p>
            <w:pPr>
              <w:pStyle w:val="Compact"/>
            </w:pPr>
            <w:r>
              <w:t xml:space="preserve">0110 approved partial, amount matches</w:t>
            </w:r>
          </w:p>
        </w:tc>
      </w:tr>
      <w:tr>
        <w:tc>
          <w:tcPr/>
          <w:p>
            <w:pPr>
              <w:pStyle w:val="Compact"/>
            </w:pPr>
            <w:r>
              <w:t xml:space="preserve">A-04</w:t>
            </w:r>
          </w:p>
        </w:tc>
        <w:tc>
          <w:tcPr/>
          <w:p>
            <w:pPr>
              <w:pStyle w:val="Compact"/>
            </w:pPr>
            <w:r>
              <w:t xml:space="preserve">Referral / pickup (04, 41, 43)</w:t>
            </w:r>
          </w:p>
        </w:tc>
        <w:tc>
          <w:tcPr/>
          <w:p>
            <w:pPr>
              <w:pStyle w:val="Compact"/>
            </w:pPr>
            <w:r>
              <w:t xml:space="preserve">test card</w:t>
            </w:r>
          </w:p>
        </w:tc>
        <w:tc>
          <w:tcPr/>
          <w:p>
            <w:pPr>
              <w:pStyle w:val="Compact"/>
            </w:pPr>
            <w:r>
              <w:t xml:space="preserve">correct response-code handling, no capture</w:t>
            </w:r>
          </w:p>
        </w:tc>
      </w:tr>
      <w:tr>
        <w:tc>
          <w:tcPr/>
          <w:p>
            <w:pPr>
              <w:pStyle w:val="Compact"/>
            </w:pPr>
            <w:r>
              <w:t xml:space="preserve">A-05</w:t>
            </w:r>
          </w:p>
        </w:tc>
        <w:tc>
          <w:tcPr/>
          <w:p>
            <w:pPr>
              <w:pStyle w:val="Compact"/>
            </w:pPr>
            <w:r>
              <w:t xml:space="preserve">AVS check</w:t>
            </w:r>
          </w:p>
        </w:tc>
        <w:tc>
          <w:tcPr/>
          <w:p>
            <w:pPr>
              <w:pStyle w:val="Compact"/>
            </w:pPr>
            <w:r>
              <w:t xml:space="preserve">CNP + address</w:t>
            </w:r>
          </w:p>
        </w:tc>
        <w:tc>
          <w:tcPr/>
          <w:p>
            <w:pPr>
              <w:pStyle w:val="Compact"/>
            </w:pPr>
            <w:r>
              <w:t xml:space="preserve">correct AVS response mapping</w:t>
            </w:r>
          </w:p>
        </w:tc>
      </w:tr>
      <w:tr>
        <w:tc>
          <w:tcPr/>
          <w:p>
            <w:pPr>
              <w:pStyle w:val="Compact"/>
            </w:pPr>
            <w:r>
              <w:t xml:space="preserve">A-06</w:t>
            </w:r>
          </w:p>
        </w:tc>
        <w:tc>
          <w:tcPr/>
          <w:p>
            <w:pPr>
              <w:pStyle w:val="Compact"/>
            </w:pPr>
            <w:r>
              <w:t xml:space="preserve">CVV2 mismatch</w:t>
            </w:r>
          </w:p>
        </w:tc>
        <w:tc>
          <w:tcPr/>
          <w:p>
            <w:pPr>
              <w:pStyle w:val="Compact"/>
            </w:pPr>
            <w:r>
              <w:t xml:space="preserve">CNP + wrong CVV2</w:t>
            </w:r>
          </w:p>
        </w:tc>
        <w:tc>
          <w:tcPr/>
          <w:p>
            <w:pPr>
              <w:pStyle w:val="Compact"/>
            </w:pPr>
            <w:r>
              <w:t xml:space="preserve">handle per policy (decline/flag)</w:t>
            </w:r>
          </w:p>
        </w:tc>
      </w:tr>
      <w:tr>
        <w:tc>
          <w:tcPr/>
          <w:p>
            <w:pPr>
              <w:pStyle w:val="Compact"/>
            </w:pPr>
            <w:r>
              <w:t xml:space="preserve">A-07</w:t>
            </w:r>
          </w:p>
        </w:tc>
        <w:tc>
          <w:tcPr/>
          <w:p>
            <w:pPr>
              <w:pStyle w:val="Compact"/>
            </w:pPr>
            <w:r>
              <w:t xml:space="preserve">Timeout / no response</w:t>
            </w:r>
          </w:p>
        </w:tc>
        <w:tc>
          <w:tcPr/>
          <w:p>
            <w:pPr>
              <w:pStyle w:val="Compact"/>
            </w:pPr>
            <w:r>
              <w:t xml:space="preserve">simulated timeout</w:t>
            </w:r>
          </w:p>
        </w:tc>
        <w:tc>
          <w:tcPr/>
          <w:p>
            <w:pPr>
              <w:pStyle w:val="Compact"/>
            </w:pPr>
            <w:r>
              <w:t xml:space="preserve">fail-closed, schedule reconcile, no double charge</w:t>
            </w:r>
          </w:p>
        </w:tc>
      </w:tr>
      <w:tr>
        <w:tc>
          <w:tcPr/>
          <w:p>
            <w:pPr>
              <w:pStyle w:val="Compact"/>
            </w:pPr>
            <w:r>
              <w:t xml:space="preserve">A-08</w:t>
            </w:r>
          </w:p>
        </w:tc>
        <w:tc>
          <w:tcPr/>
          <w:p>
            <w:pPr>
              <w:pStyle w:val="Compact"/>
            </w:pPr>
            <w:r>
              <w:t xml:space="preserve">Reversal (auto/partial)</w:t>
            </w:r>
          </w:p>
        </w:tc>
        <w:tc>
          <w:tcPr/>
          <w:p>
            <w:pPr>
              <w:pStyle w:val="Compact"/>
            </w:pPr>
            <w:r>
              <w:t xml:space="preserve">after timeout/partial</w:t>
            </w:r>
          </w:p>
        </w:tc>
        <w:tc>
          <w:tcPr/>
          <w:p>
            <w:pPr>
              <w:pStyle w:val="Compact"/>
            </w:pPr>
            <w:r>
              <w:t xml:space="preserve">send 0400/reversal successfully</w:t>
            </w:r>
          </w:p>
        </w:tc>
      </w:tr>
      <w:tr>
        <w:tc>
          <w:tcPr/>
          <w:p>
            <w:pPr>
              <w:pStyle w:val="Compact"/>
            </w:pPr>
            <w:r>
              <w:t xml:space="preserve">A-09</w:t>
            </w:r>
          </w:p>
        </w:tc>
        <w:tc>
          <w:tcPr/>
          <w:p>
            <w:pPr>
              <w:pStyle w:val="Compact"/>
            </w:pPr>
            <w:r>
              <w:t xml:space="preserve">Currency &amp; minor units</w:t>
            </w:r>
          </w:p>
        </w:tc>
        <w:tc>
          <w:tcPr/>
          <w:p>
            <w:pPr>
              <w:pStyle w:val="Compact"/>
            </w:pPr>
            <w:r>
              <w:t xml:space="preserve">THB / others</w:t>
            </w:r>
          </w:p>
        </w:tc>
        <w:tc>
          <w:tcPr/>
          <w:p>
            <w:pPr>
              <w:pStyle w:val="Compact"/>
            </w:pPr>
            <w:r>
              <w:t xml:space="preserve">amount as integer minor units correct</w:t>
            </w:r>
          </w:p>
        </w:tc>
      </w:tr>
      <w:tr>
        <w:tc>
          <w:tcPr/>
          <w:p>
            <w:pPr>
              <w:pStyle w:val="Compact"/>
            </w:pPr>
            <w:r>
              <w:t xml:space="preserve">A-10</w:t>
            </w:r>
          </w:p>
        </w:tc>
        <w:tc>
          <w:tcPr/>
          <w:p>
            <w:pPr>
              <w:pStyle w:val="Compact"/>
            </w:pPr>
            <w:r>
              <w:t xml:space="preserve">Duplicate (idempotency)</w:t>
            </w:r>
          </w:p>
        </w:tc>
        <w:tc>
          <w:tcPr/>
          <w:p>
            <w:pPr>
              <w:pStyle w:val="Compact"/>
            </w:pPr>
            <w:r>
              <w:t xml:space="preserve">resend with same Idempotency-Key</w:t>
            </w:r>
          </w:p>
        </w:tc>
        <w:tc>
          <w:tcPr/>
          <w:p>
            <w:pPr>
              <w:pStyle w:val="Compact"/>
            </w:pPr>
            <w:r>
              <w:t xml:space="preserve">same result, no duplicate auth</w:t>
            </w:r>
          </w:p>
        </w:tc>
      </w:tr>
    </w:tbl>
    <w:bookmarkEnd w:id="855"/>
    <w:bookmarkStart w:id="856" w:name="X7628420eb95420bb975e9132b48d5717abfa2d8"/>
    <w:p>
      <w:pPr>
        <w:pStyle w:val="Heading3"/>
      </w:pPr>
      <w:r>
        <w:t xml:space="preserve">4.2 Clearing &amp; settlement (Visa BASE II / Mastercard IPM · GCMS)</w:t>
      </w:r>
    </w:p>
    <w:tbl>
      <w:tblPr>
        <w:tblStyle w:val="Table"/>
        <w:tblW w:type="pct" w:w="5000"/>
        <w:tblLayout w:type="fixed"/>
        <w:tblLook w:firstRow="1" w:lastRow="0" w:firstColumn="0" w:lastColumn="0" w:noHBand="0" w:noVBand="0" w:val="0020"/>
      </w:tblPr>
      <w:tblGrid>
        <w:gridCol w:w="766"/>
        <w:gridCol w:w="2810"/>
        <w:gridCol w:w="4343"/>
      </w:tblGrid>
      <w:tr>
        <w:trPr>
          <w:tblHeader w:val="on"/>
        </w:trPr>
        <w:tc>
          <w:tcPr/>
          <w:p>
            <w:pPr>
              <w:pStyle w:val="Compact"/>
            </w:pPr>
            <w:r>
              <w:t xml:space="preserve">#</w:t>
            </w:r>
          </w:p>
        </w:tc>
        <w:tc>
          <w:tcPr/>
          <w:p>
            <w:pPr>
              <w:pStyle w:val="Compact"/>
            </w:pPr>
            <w:r>
              <w:t xml:space="preserve">Test case</w:t>
            </w:r>
          </w:p>
        </w:tc>
        <w:tc>
          <w:tcPr/>
          <w:p>
            <w:pPr>
              <w:pStyle w:val="Compact"/>
            </w:pPr>
            <w:r>
              <w:t xml:space="preserve">Expected result</w:t>
            </w:r>
          </w:p>
        </w:tc>
      </w:tr>
      <w:tr>
        <w:tc>
          <w:tcPr/>
          <w:p>
            <w:pPr>
              <w:pStyle w:val="Compact"/>
            </w:pPr>
            <w:r>
              <w:t xml:space="preserve">C-01</w:t>
            </w:r>
          </w:p>
        </w:tc>
        <w:tc>
          <w:tcPr/>
          <w:p>
            <w:pPr>
              <w:pStyle w:val="Compact"/>
            </w:pPr>
            <w:r>
              <w:t xml:space="preserve">Build clearing record from capture</w:t>
            </w:r>
          </w:p>
        </w:tc>
        <w:tc>
          <w:tcPr/>
          <w:p>
            <w:pPr>
              <w:pStyle w:val="Compact"/>
            </w:pPr>
            <w:r>
              <w:t xml:space="preserve">correct TCR/IPM fields, amount matches auth</w:t>
            </w:r>
          </w:p>
        </w:tc>
      </w:tr>
      <w:tr>
        <w:tc>
          <w:tcPr/>
          <w:p>
            <w:pPr>
              <w:pStyle w:val="Compact"/>
            </w:pPr>
            <w:r>
              <w:t xml:space="preserve">C-02</w:t>
            </w:r>
          </w:p>
        </w:tc>
        <w:tc>
          <w:tcPr/>
          <w:p>
            <w:pPr>
              <w:pStyle w:val="Compact"/>
            </w:pPr>
            <w:r>
              <w:t xml:space="preserve">Refund / credit</w:t>
            </w:r>
          </w:p>
        </w:tc>
        <w:tc>
          <w:tcPr/>
          <w:p>
            <w:pPr>
              <w:pStyle w:val="Compact"/>
            </w:pPr>
            <w:r>
              <w:t xml:space="preserve">correct credit record, ledger</w:t>
            </w:r>
            <w:r>
              <w:t xml:space="preserve"> </w:t>
            </w:r>
            <w:r>
              <w:rPr>
                <w:rStyle w:val="VerbatimChar"/>
              </w:rPr>
              <w:t xml:space="preserve">refund</w:t>
            </w:r>
          </w:p>
        </w:tc>
      </w:tr>
      <w:tr>
        <w:tc>
          <w:tcPr/>
          <w:p>
            <w:pPr>
              <w:pStyle w:val="Compact"/>
            </w:pPr>
            <w:r>
              <w:t xml:space="preserve">C-03</w:t>
            </w:r>
          </w:p>
        </w:tc>
        <w:tc>
          <w:tcPr/>
          <w:p>
            <w:pPr>
              <w:pStyle w:val="Compact"/>
            </w:pPr>
            <w:r>
              <w:t xml:space="preserve">Fee &amp; interchange qualification</w:t>
            </w:r>
          </w:p>
        </w:tc>
        <w:tc>
          <w:tcPr/>
          <w:p>
            <w:pPr>
              <w:pStyle w:val="Compact"/>
            </w:pPr>
            <w:r>
              <w:t xml:space="preserve">interchange/fee computed per MCC</w:t>
            </w:r>
          </w:p>
        </w:tc>
      </w:tr>
      <w:tr>
        <w:tc>
          <w:tcPr/>
          <w:p>
            <w:pPr>
              <w:pStyle w:val="Compact"/>
            </w:pPr>
            <w:r>
              <w:t xml:space="preserve">C-04</w:t>
            </w:r>
          </w:p>
        </w:tc>
        <w:tc>
          <w:tcPr/>
          <w:p>
            <w:pPr>
              <w:pStyle w:val="Compact"/>
            </w:pPr>
            <w:r>
              <w:t xml:space="preserve">Settlement file parse &amp; reconcile</w:t>
            </w:r>
          </w:p>
        </w:tc>
        <w:tc>
          <w:tcPr/>
          <w:p>
            <w:pPr>
              <w:pStyle w:val="Compact"/>
            </w:pPr>
            <w:r>
              <w:t xml:space="preserve">reconciles to ledger, no mismatch</w:t>
            </w:r>
          </w:p>
        </w:tc>
      </w:tr>
      <w:tr>
        <w:tc>
          <w:tcPr/>
          <w:p>
            <w:pPr>
              <w:pStyle w:val="Compact"/>
            </w:pPr>
            <w:r>
              <w:t xml:space="preserve">C-05</w:t>
            </w:r>
          </w:p>
        </w:tc>
        <w:tc>
          <w:tcPr/>
          <w:p>
            <w:pPr>
              <w:pStyle w:val="Compact"/>
            </w:pPr>
            <w:r>
              <w:t xml:space="preserve">Exception / reject re-presentment</w:t>
            </w:r>
          </w:p>
        </w:tc>
        <w:tc>
          <w:tcPr/>
          <w:p>
            <w:pPr>
              <w:pStyle w:val="Compact"/>
            </w:pPr>
            <w:r>
              <w:t xml:space="preserve">handle reject and resubmit</w:t>
            </w:r>
          </w:p>
        </w:tc>
      </w:tr>
      <w:tr>
        <w:tc>
          <w:tcPr/>
          <w:p>
            <w:pPr>
              <w:pStyle w:val="Compact"/>
            </w:pPr>
            <w:r>
              <w:t xml:space="preserve">C-06</w:t>
            </w:r>
          </w:p>
        </w:tc>
        <w:tc>
          <w:tcPr/>
          <w:p>
            <w:pPr>
              <w:pStyle w:val="Compact"/>
            </w:pPr>
            <w:r>
              <w:t xml:space="preserve">Cutoff / batch window</w:t>
            </w:r>
          </w:p>
        </w:tc>
        <w:tc>
          <w:tcPr/>
          <w:p>
            <w:pPr>
              <w:pStyle w:val="Compact"/>
            </w:pPr>
            <w:r>
              <w:t xml:space="preserve">batch closes at scheme cutoff</w:t>
            </w:r>
          </w:p>
        </w:tc>
      </w:tr>
    </w:tbl>
    <w:bookmarkEnd w:id="856"/>
    <w:bookmarkStart w:id="857" w:name="emv-3-d-secure-2.x"/>
    <w:p>
      <w:pPr>
        <w:pStyle w:val="Heading3"/>
      </w:pPr>
      <w:r>
        <w:t xml:space="preserve">4.3 EMV 3-D Secure 2.x</w:t>
      </w:r>
    </w:p>
    <w:tbl>
      <w:tblPr>
        <w:tblStyle w:val="Table"/>
        <w:tblW w:type="pct" w:w="5000"/>
        <w:tblLayout w:type="fixed"/>
        <w:tblLook w:firstRow="1" w:lastRow="0" w:firstColumn="0" w:lastColumn="0" w:noHBand="0" w:noVBand="0" w:val="0020"/>
      </w:tblPr>
      <w:tblGrid>
        <w:gridCol w:w="766"/>
        <w:gridCol w:w="2810"/>
        <w:gridCol w:w="4343"/>
      </w:tblGrid>
      <w:tr>
        <w:trPr>
          <w:tblHeader w:val="on"/>
        </w:trPr>
        <w:tc>
          <w:tcPr/>
          <w:p>
            <w:pPr>
              <w:pStyle w:val="Compact"/>
            </w:pPr>
            <w:r>
              <w:t xml:space="preserve">#</w:t>
            </w:r>
          </w:p>
        </w:tc>
        <w:tc>
          <w:tcPr/>
          <w:p>
            <w:pPr>
              <w:pStyle w:val="Compact"/>
            </w:pPr>
            <w:r>
              <w:t xml:space="preserve">Test case</w:t>
            </w:r>
          </w:p>
        </w:tc>
        <w:tc>
          <w:tcPr/>
          <w:p>
            <w:pPr>
              <w:pStyle w:val="Compact"/>
            </w:pPr>
            <w:r>
              <w:t xml:space="preserve">Expected result</w:t>
            </w:r>
          </w:p>
        </w:tc>
      </w:tr>
      <w:tr>
        <w:tc>
          <w:tcPr/>
          <w:p>
            <w:pPr>
              <w:pStyle w:val="Compact"/>
            </w:pPr>
            <w:r>
              <w:t xml:space="preserve">D-01</w:t>
            </w:r>
          </w:p>
        </w:tc>
        <w:tc>
          <w:tcPr/>
          <w:p>
            <w:pPr>
              <w:pStyle w:val="Compact"/>
            </w:pPr>
            <w:r>
              <w:t xml:space="preserve">Frictionless flow</w:t>
            </w:r>
          </w:p>
        </w:tc>
        <w:tc>
          <w:tcPr/>
          <w:p>
            <w:pPr>
              <w:pStyle w:val="Compact"/>
            </w:pPr>
            <w:r>
              <w:t xml:space="preserve">authenticated, ECI/CAVV passed to auth</w:t>
            </w:r>
          </w:p>
        </w:tc>
      </w:tr>
      <w:tr>
        <w:tc>
          <w:tcPr/>
          <w:p>
            <w:pPr>
              <w:pStyle w:val="Compact"/>
            </w:pPr>
            <w:r>
              <w:t xml:space="preserve">D-02</w:t>
            </w:r>
          </w:p>
        </w:tc>
        <w:tc>
          <w:tcPr/>
          <w:p>
            <w:pPr>
              <w:pStyle w:val="Compact"/>
            </w:pPr>
            <w:r>
              <w:t xml:space="preserve">Challenge flow (OTP/biometric)</w:t>
            </w:r>
          </w:p>
        </w:tc>
        <w:tc>
          <w:tcPr/>
          <w:p>
            <w:pPr>
              <w:pStyle w:val="Compact"/>
            </w:pPr>
            <w:r>
              <w:rPr>
                <w:rStyle w:val="VerbatimChar"/>
              </w:rPr>
              <w:t xml:space="preserve">requires_action</w:t>
            </w:r>
            <w:r>
              <w:t xml:space="preserve"> </w:t>
            </w:r>
            <w:r>
              <w:t xml:space="preserve">+</w:t>
            </w:r>
            <w:r>
              <w:t xml:space="preserve"> </w:t>
            </w:r>
            <w:r>
              <w:rPr>
                <w:rStyle w:val="VerbatimChar"/>
              </w:rPr>
              <w:t xml:space="preserve">next_action_url</w:t>
            </w:r>
            <w:r>
              <w:t xml:space="preserve">, succeeds</w:t>
            </w:r>
          </w:p>
        </w:tc>
      </w:tr>
      <w:tr>
        <w:tc>
          <w:tcPr/>
          <w:p>
            <w:pPr>
              <w:pStyle w:val="Compact"/>
            </w:pPr>
            <w:r>
              <w:t xml:space="preserve">D-03</w:t>
            </w:r>
          </w:p>
        </w:tc>
        <w:tc>
          <w:tcPr/>
          <w:p>
            <w:pPr>
              <w:pStyle w:val="Compact"/>
            </w:pPr>
            <w:r>
              <w:t xml:space="preserve">Authentication failed</w:t>
            </w:r>
          </w:p>
        </w:tc>
        <w:tc>
          <w:tcPr/>
          <w:p>
            <w:pPr>
              <w:pStyle w:val="Compact"/>
            </w:pPr>
            <w:r>
              <w:t xml:space="preserve">correct mapping, no authorize</w:t>
            </w:r>
          </w:p>
        </w:tc>
      </w:tr>
      <w:tr>
        <w:tc>
          <w:tcPr/>
          <w:p>
            <w:pPr>
              <w:pStyle w:val="Compact"/>
            </w:pPr>
            <w:r>
              <w:t xml:space="preserve">D-04</w:t>
            </w:r>
          </w:p>
        </w:tc>
        <w:tc>
          <w:tcPr/>
          <w:p>
            <w:pPr>
              <w:pStyle w:val="Compact"/>
            </w:pPr>
            <w:r>
              <w:t xml:space="preserve">Attempts / stand-in</w:t>
            </w:r>
          </w:p>
        </w:tc>
        <w:tc>
          <w:tcPr/>
          <w:p>
            <w:pPr>
              <w:pStyle w:val="Compact"/>
            </w:pPr>
            <w:r>
              <w:t xml:space="preserve">correct ECI for liability shift</w:t>
            </w:r>
          </w:p>
        </w:tc>
      </w:tr>
      <w:tr>
        <w:tc>
          <w:tcPr/>
          <w:p>
            <w:pPr>
              <w:pStyle w:val="Compact"/>
            </w:pPr>
            <w:r>
              <w:t xml:space="preserve">D-05</w:t>
            </w:r>
          </w:p>
        </w:tc>
        <w:tc>
          <w:tcPr/>
          <w:p>
            <w:pPr>
              <w:pStyle w:val="Compact"/>
            </w:pPr>
            <w:r>
              <w:t xml:space="preserve">3DS data in auth</w:t>
            </w:r>
          </w:p>
        </w:tc>
        <w:tc>
          <w:tcPr/>
          <w:p>
            <w:pPr>
              <w:pStyle w:val="Compact"/>
            </w:pPr>
            <w:r>
              <w:t xml:space="preserve">CAVV/AAV, dsTransID, version present</w:t>
            </w:r>
          </w:p>
        </w:tc>
      </w:tr>
      <w:tr>
        <w:tc>
          <w:tcPr/>
          <w:p>
            <w:pPr>
              <w:pStyle w:val="Compact"/>
            </w:pPr>
            <w:r>
              <w:t xml:space="preserve">D-06</w:t>
            </w:r>
          </w:p>
        </w:tc>
        <w:tc>
          <w:tcPr/>
          <w:p>
            <w:pPr>
              <w:pStyle w:val="Compact"/>
            </w:pPr>
            <w:r>
              <w:t xml:space="preserve">Method / device data collection</w:t>
            </w:r>
          </w:p>
        </w:tc>
        <w:tc>
          <w:tcPr/>
          <w:p>
            <w:pPr>
              <w:pStyle w:val="Compact"/>
            </w:pPr>
            <w:r>
              <w:t xml:space="preserve">3DS Method URL works</w:t>
            </w:r>
          </w:p>
        </w:tc>
      </w:tr>
    </w:tbl>
    <w:bookmarkEnd w:id="857"/>
    <w:bookmarkStart w:id="858" w:name="dispute-chargeback-1"/>
    <w:p>
      <w:pPr>
        <w:pStyle w:val="Heading3"/>
      </w:pPr>
      <w:r>
        <w:t xml:space="preserve">4.4 Dispute / chargeback</w:t>
      </w:r>
    </w:p>
    <w:tbl>
      <w:tblPr>
        <w:tblStyle w:val="Table"/>
        <w:tblW w:type="pct" w:w="5000"/>
        <w:tblLayout w:type="fixed"/>
        <w:tblLook w:firstRow="1" w:lastRow="0" w:firstColumn="0" w:lastColumn="0" w:noHBand="0" w:noVBand="0" w:val="0020"/>
      </w:tblPr>
      <w:tblGrid>
        <w:gridCol w:w="766"/>
        <w:gridCol w:w="2810"/>
        <w:gridCol w:w="4343"/>
      </w:tblGrid>
      <w:tr>
        <w:trPr>
          <w:tblHeader w:val="on"/>
        </w:trPr>
        <w:tc>
          <w:tcPr/>
          <w:p>
            <w:pPr>
              <w:pStyle w:val="Compact"/>
            </w:pPr>
            <w:r>
              <w:t xml:space="preserve">#</w:t>
            </w:r>
          </w:p>
        </w:tc>
        <w:tc>
          <w:tcPr/>
          <w:p>
            <w:pPr>
              <w:pStyle w:val="Compact"/>
            </w:pPr>
            <w:r>
              <w:t xml:space="preserve">Test case</w:t>
            </w:r>
          </w:p>
        </w:tc>
        <w:tc>
          <w:tcPr/>
          <w:p>
            <w:pPr>
              <w:pStyle w:val="Compact"/>
            </w:pPr>
            <w:r>
              <w:t xml:space="preserve">Expected result</w:t>
            </w:r>
          </w:p>
        </w:tc>
      </w:tr>
      <w:tr>
        <w:tc>
          <w:tcPr/>
          <w:p>
            <w:pPr>
              <w:pStyle w:val="Compact"/>
            </w:pPr>
            <w:r>
              <w:t xml:space="preserve">E-01</w:t>
            </w:r>
          </w:p>
        </w:tc>
        <w:tc>
          <w:tcPr/>
          <w:p>
            <w:pPr>
              <w:pStyle w:val="Compact"/>
            </w:pPr>
            <w:r>
              <w:t xml:space="preserve">Receive chargeback (Visa VROL / Mastercom)</w:t>
            </w:r>
          </w:p>
        </w:tc>
        <w:tc>
          <w:tcPr/>
          <w:p>
            <w:pPr>
              <w:pStyle w:val="Compact"/>
            </w:pPr>
            <w:r>
              <w:t xml:space="preserve">create dispute record, notify merchant</w:t>
            </w:r>
          </w:p>
        </w:tc>
      </w:tr>
      <w:tr>
        <w:tc>
          <w:tcPr/>
          <w:p>
            <w:pPr>
              <w:pStyle w:val="Compact"/>
            </w:pPr>
            <w:r>
              <w:t xml:space="preserve">E-02</w:t>
            </w:r>
          </w:p>
        </w:tc>
        <w:tc>
          <w:tcPr/>
          <w:p>
            <w:pPr>
              <w:pStyle w:val="Compact"/>
            </w:pPr>
            <w:r>
              <w:t xml:space="preserve">Representment / re-presentment</w:t>
            </w:r>
          </w:p>
        </w:tc>
        <w:tc>
          <w:tcPr/>
          <w:p>
            <w:pPr>
              <w:pStyle w:val="Compact"/>
            </w:pPr>
            <w:r>
              <w:t xml:space="preserve">evidence submitted successfully</w:t>
            </w:r>
          </w:p>
        </w:tc>
      </w:tr>
      <w:tr>
        <w:tc>
          <w:tcPr/>
          <w:p>
            <w:pPr>
              <w:pStyle w:val="Compact"/>
            </w:pPr>
            <w:r>
              <w:t xml:space="preserve">E-03</w:t>
            </w:r>
          </w:p>
        </w:tc>
        <w:tc>
          <w:tcPr/>
          <w:p>
            <w:pPr>
              <w:pStyle w:val="Compact"/>
            </w:pPr>
            <w:r>
              <w:t xml:space="preserve">Second presentment / pre-arbitration</w:t>
            </w:r>
          </w:p>
        </w:tc>
        <w:tc>
          <w:tcPr/>
          <w:p>
            <w:pPr>
              <w:pStyle w:val="Compact"/>
            </w:pPr>
            <w:r>
              <w:t xml:space="preserve">correct flow</w:t>
            </w:r>
          </w:p>
        </w:tc>
      </w:tr>
    </w:tbl>
    <w:bookmarkEnd w:id="858"/>
    <w:bookmarkStart w:id="859" w:name="X69a617280dd5b7be992d39e9eb863c12962f96c"/>
    <w:p>
      <w:pPr>
        <w:pStyle w:val="Heading3"/>
      </w:pPr>
      <w:r>
        <w:t xml:space="preserve">4.5 Network tokenization (if in first-phase scope — VTS / MDES)</w:t>
      </w:r>
    </w:p>
    <w:tbl>
      <w:tblPr>
        <w:tblStyle w:val="Table"/>
        <w:tblW w:type="pct" w:w="5000"/>
        <w:tblLayout w:type="fixed"/>
        <w:tblLook w:firstRow="1" w:lastRow="0" w:firstColumn="0" w:lastColumn="0" w:noHBand="0" w:noVBand="0" w:val="0020"/>
      </w:tblPr>
      <w:tblGrid>
        <w:gridCol w:w="766"/>
        <w:gridCol w:w="2810"/>
        <w:gridCol w:w="4343"/>
      </w:tblGrid>
      <w:tr>
        <w:trPr>
          <w:tblHeader w:val="on"/>
        </w:trPr>
        <w:tc>
          <w:tcPr/>
          <w:p>
            <w:pPr>
              <w:pStyle w:val="Compact"/>
            </w:pPr>
            <w:r>
              <w:t xml:space="preserve">#</w:t>
            </w:r>
          </w:p>
        </w:tc>
        <w:tc>
          <w:tcPr/>
          <w:p>
            <w:pPr>
              <w:pStyle w:val="Compact"/>
            </w:pPr>
            <w:r>
              <w:t xml:space="preserve">Test case</w:t>
            </w:r>
          </w:p>
        </w:tc>
        <w:tc>
          <w:tcPr/>
          <w:p>
            <w:pPr>
              <w:pStyle w:val="Compact"/>
            </w:pPr>
            <w:r>
              <w:t xml:space="preserve">Expected result</w:t>
            </w:r>
          </w:p>
        </w:tc>
      </w:tr>
      <w:tr>
        <w:tc>
          <w:tcPr/>
          <w:p>
            <w:pPr>
              <w:pStyle w:val="Compact"/>
            </w:pPr>
            <w:r>
              <w:t xml:space="preserve">T-01</w:t>
            </w:r>
          </w:p>
        </w:tc>
        <w:tc>
          <w:tcPr/>
          <w:p>
            <w:pPr>
              <w:pStyle w:val="Compact"/>
            </w:pPr>
            <w:r>
              <w:t xml:space="preserve">Provision network token</w:t>
            </w:r>
          </w:p>
        </w:tc>
        <w:tc>
          <w:tcPr/>
          <w:p>
            <w:pPr>
              <w:pStyle w:val="Compact"/>
            </w:pPr>
            <w:r>
              <w:t xml:space="preserve">token + TR-ID success</w:t>
            </w:r>
          </w:p>
        </w:tc>
      </w:tr>
      <w:tr>
        <w:tc>
          <w:tcPr/>
          <w:p>
            <w:pPr>
              <w:pStyle w:val="Compact"/>
            </w:pPr>
            <w:r>
              <w:t xml:space="preserve">T-02</w:t>
            </w:r>
          </w:p>
        </w:tc>
        <w:tc>
          <w:tcPr/>
          <w:p>
            <w:pPr>
              <w:pStyle w:val="Compact"/>
            </w:pPr>
            <w:r>
              <w:t xml:space="preserve">Auth with network token + cryptogram</w:t>
            </w:r>
          </w:p>
        </w:tc>
        <w:tc>
          <w:tcPr/>
          <w:p>
            <w:pPr>
              <w:pStyle w:val="Compact"/>
            </w:pPr>
            <w:r>
              <w:t xml:space="preserve">approved, cryptogram validated</w:t>
            </w:r>
          </w:p>
        </w:tc>
      </w:tr>
      <w:tr>
        <w:tc>
          <w:tcPr/>
          <w:p>
            <w:pPr>
              <w:pStyle w:val="Compact"/>
            </w:pPr>
            <w:r>
              <w:t xml:space="preserve">T-03</w:t>
            </w:r>
          </w:p>
        </w:tc>
        <w:tc>
          <w:tcPr/>
          <w:p>
            <w:pPr>
              <w:pStyle w:val="Compact"/>
            </w:pPr>
            <w:r>
              <w:t xml:space="preserve">Lifecycle (suspend/resume/delete)</w:t>
            </w:r>
          </w:p>
        </w:tc>
        <w:tc>
          <w:tcPr/>
          <w:p>
            <w:pPr>
              <w:pStyle w:val="Compact"/>
            </w:pPr>
            <w:r>
              <w:t xml:space="preserve">correct token state</w:t>
            </w:r>
          </w:p>
        </w:tc>
      </w:tr>
    </w:tbl>
    <w:p>
      <w:pPr>
        <w:pStyle w:val="BlockText"/>
      </w:pPr>
      <w:r>
        <w:rPr>
          <w:b/>
          <w:bCs/>
        </w:rPr>
        <w:t xml:space="preserve">Evidence:</w:t>
      </w:r>
      <w:r>
        <w:t xml:space="preserve"> </w:t>
      </w:r>
      <w:r>
        <w:t xml:space="preserve">every case captures request/response logs (PAN/sensitive data masked per PCI Req 3), transaction ID,</w:t>
      </w:r>
      <w:r>
        <w:t xml:space="preserve"> </w:t>
      </w:r>
      <w:r>
        <w:t xml:space="preserve">timestamp and pass/fail into the certification evidence pack, submitted to scheme/sponsor and supporting the RoC.</w:t>
      </w:r>
    </w:p>
    <w:p>
      <w:r>
        <w:pict>
          <v:rect style="width:0;height:1.5pt" o:hralign="center" o:hrstd="t" o:hr="t"/>
        </w:pict>
      </w:r>
    </w:p>
    <w:bookmarkEnd w:id="859"/>
    <w:bookmarkEnd w:id="860"/>
    <w:bookmarkStart w:id="861" w:name="milestones-timeline-indicative"/>
    <w:p>
      <w:pPr>
        <w:pStyle w:val="Heading2"/>
      </w:pPr>
      <w:r>
        <w:t xml:space="preserve">5. Milestones &amp; timeline (indicative)</w:t>
      </w:r>
    </w:p>
    <w:p>
      <w:pPr>
        <w:pStyle w:val="FirstParagraph"/>
      </w:pPr>
      <w:r>
        <w:t xml:space="preserve">Per</w:t>
      </w:r>
      <w:r>
        <w:t xml:space="preserve"> </w:t>
      </w:r>
      <w:r>
        <w:rPr>
          <w:rStyle w:val="VerbatimChar"/>
        </w:rPr>
        <w:t xml:space="preserve">ROADMAP.md</w:t>
      </w:r>
      <w:r>
        <w:t xml:space="preserve"> </w:t>
      </w:r>
      <w:r>
        <w:t xml:space="preserve">Phase 4 (Certification &amp; Go-live, weeks 16–24+); certification starts after the UAT environment is ready.</w:t>
      </w:r>
      <w:r>
        <w:t xml:space="preserve"> </w:t>
      </w:r>
      <w:r>
        <w:t xml:space="preserve">Dates are planning targets, adjusted to the sponsor/scheme’s actual queue.</w:t>
      </w:r>
    </w:p>
    <w:tbl>
      <w:tblPr>
        <w:tblStyle w:val="Table"/>
        <w:tblW w:type="pct" w:w="5000"/>
        <w:tblLayout w:type="fixed"/>
        <w:tblLook w:firstRow="1" w:lastRow="0" w:firstColumn="0" w:lastColumn="0" w:noHBand="0" w:noVBand="0" w:val="0020"/>
      </w:tblPr>
      <w:tblGrid>
        <w:gridCol w:w="642"/>
        <w:gridCol w:w="2354"/>
        <w:gridCol w:w="3210"/>
        <w:gridCol w:w="1712"/>
      </w:tblGrid>
      <w:tr>
        <w:trPr>
          <w:tblHeader w:val="on"/>
        </w:trPr>
        <w:tc>
          <w:tcPr/>
          <w:p>
            <w:pPr>
              <w:pStyle w:val="Compact"/>
            </w:pPr>
            <w:r>
              <w:t xml:space="preserve">#</w:t>
            </w:r>
          </w:p>
        </w:tc>
        <w:tc>
          <w:tcPr/>
          <w:p>
            <w:pPr>
              <w:pStyle w:val="Compact"/>
            </w:pPr>
            <w:r>
              <w:t xml:space="preserve">Milestone</w:t>
            </w:r>
          </w:p>
        </w:tc>
        <w:tc>
          <w:tcPr/>
          <w:p>
            <w:pPr>
              <w:pStyle w:val="Compact"/>
            </w:pPr>
            <w:r>
              <w:t xml:space="preserve">Exit criteria</w:t>
            </w:r>
          </w:p>
        </w:tc>
        <w:tc>
          <w:tcPr/>
          <w:p>
            <w:pPr>
              <w:pStyle w:val="Compact"/>
            </w:pPr>
            <w:r>
              <w:t xml:space="preserve">Target</w:t>
            </w:r>
          </w:p>
        </w:tc>
      </w:tr>
      <w:tr>
        <w:tc>
          <w:tcPr/>
          <w:p>
            <w:pPr>
              <w:pStyle w:val="Compact"/>
            </w:pPr>
            <w:r>
              <w:t xml:space="preserve">M0</w:t>
            </w:r>
          </w:p>
        </w:tc>
        <w:tc>
          <w:tcPr/>
          <w:p>
            <w:pPr>
              <w:pStyle w:val="Compact"/>
            </w:pPr>
            <w:r>
              <w:t xml:space="preserve">Sponsor bank signed + BIN/ICA</w:t>
            </w:r>
          </w:p>
        </w:tc>
        <w:tc>
          <w:tcPr/>
          <w:p>
            <w:pPr>
              <w:pStyle w:val="Compact"/>
            </w:pPr>
            <w:r>
              <w:t xml:space="preserve">contract signed, BIN/ICA issued</w:t>
            </w:r>
            <w:r>
              <w:t xml:space="preserve"> </w:t>
            </w:r>
            <w:r>
              <w:rPr>
                <w:b/>
                <w:bCs/>
              </w:rPr>
              <w:t xml:space="preserve">[TODO]</w:t>
            </w:r>
          </w:p>
        </w:tc>
        <w:tc>
          <w:tcPr/>
          <w:p>
            <w:pPr>
              <w:pStyle w:val="Compact"/>
            </w:pPr>
            <w:r>
              <w:t xml:space="preserve">week 0</w:t>
            </w:r>
          </w:p>
        </w:tc>
      </w:tr>
      <w:tr>
        <w:tc>
          <w:tcPr/>
          <w:p>
            <w:pPr>
              <w:pStyle w:val="Compact"/>
            </w:pPr>
            <w:r>
              <w:t xml:space="preserve">M1</w:t>
            </w:r>
          </w:p>
        </w:tc>
        <w:tc>
          <w:tcPr/>
          <w:p>
            <w:pPr>
              <w:pStyle w:val="Compact"/>
            </w:pPr>
            <w:r>
              <w:t xml:space="preserve">Host UAT + connectivity test</w:t>
            </w:r>
          </w:p>
        </w:tc>
        <w:tc>
          <w:tcPr/>
          <w:p>
            <w:pPr>
              <w:pStyle w:val="Compact"/>
            </w:pPr>
            <w:r>
              <w:t xml:space="preserve">ping/handshake/mTLS pass</w:t>
            </w:r>
          </w:p>
        </w:tc>
        <w:tc>
          <w:tcPr/>
          <w:p>
            <w:pPr>
              <w:pStyle w:val="Compact"/>
            </w:pPr>
            <w:r>
              <w:t xml:space="preserve">+2 wk</w:t>
            </w:r>
          </w:p>
        </w:tc>
      </w:tr>
      <w:tr>
        <w:tc>
          <w:tcPr/>
          <w:p>
            <w:pPr>
              <w:pStyle w:val="Compact"/>
            </w:pPr>
            <w:r>
              <w:t xml:space="preserve">M2</w:t>
            </w:r>
          </w:p>
        </w:tc>
        <w:tc>
          <w:tcPr/>
          <w:p>
            <w:pPr>
              <w:pStyle w:val="Compact"/>
            </w:pPr>
            <w:r>
              <w:t xml:space="preserve">Pass Authorization tests (ADVT/MTIP auth)</w:t>
            </w:r>
          </w:p>
        </w:tc>
        <w:tc>
          <w:tcPr/>
          <w:p>
            <w:pPr>
              <w:pStyle w:val="Compact"/>
            </w:pPr>
            <w:r>
              <w:t xml:space="preserve">100% mandatory cases pass</w:t>
            </w:r>
          </w:p>
        </w:tc>
        <w:tc>
          <w:tcPr/>
          <w:p>
            <w:pPr>
              <w:pStyle w:val="Compact"/>
            </w:pPr>
            <w:r>
              <w:t xml:space="preserve">+4 wk</w:t>
            </w:r>
          </w:p>
        </w:tc>
      </w:tr>
      <w:tr>
        <w:tc>
          <w:tcPr/>
          <w:p>
            <w:pPr>
              <w:pStyle w:val="Compact"/>
            </w:pPr>
            <w:r>
              <w:t xml:space="preserve">M3</w:t>
            </w:r>
          </w:p>
        </w:tc>
        <w:tc>
          <w:tcPr/>
          <w:p>
            <w:pPr>
              <w:pStyle w:val="Compact"/>
            </w:pPr>
            <w:r>
              <w:t xml:space="preserve">Pass 3DS 2.x tests</w:t>
            </w:r>
          </w:p>
        </w:tc>
        <w:tc>
          <w:tcPr/>
          <w:p>
            <w:pPr>
              <w:pStyle w:val="Compact"/>
            </w:pPr>
            <w:r>
              <w:t xml:space="preserve">all frictionless/challenge cases</w:t>
            </w:r>
          </w:p>
        </w:tc>
        <w:tc>
          <w:tcPr/>
          <w:p>
            <w:pPr>
              <w:pStyle w:val="Compact"/>
            </w:pPr>
            <w:r>
              <w:t xml:space="preserve">+6 wk</w:t>
            </w:r>
          </w:p>
        </w:tc>
      </w:tr>
      <w:tr>
        <w:tc>
          <w:tcPr/>
          <w:p>
            <w:pPr>
              <w:pStyle w:val="Compact"/>
            </w:pPr>
            <w:r>
              <w:t xml:space="preserve">M4</w:t>
            </w:r>
          </w:p>
        </w:tc>
        <w:tc>
          <w:tcPr/>
          <w:p>
            <w:pPr>
              <w:pStyle w:val="Compact"/>
            </w:pPr>
            <w:r>
              <w:t xml:space="preserve">Pass Clearing &amp; Settlement tests</w:t>
            </w:r>
          </w:p>
        </w:tc>
        <w:tc>
          <w:tcPr/>
          <w:p>
            <w:pPr>
              <w:pStyle w:val="Compact"/>
            </w:pPr>
            <w:r>
              <w:t xml:space="preserve">reconcile with no mismatch</w:t>
            </w:r>
          </w:p>
        </w:tc>
        <w:tc>
          <w:tcPr/>
          <w:p>
            <w:pPr>
              <w:pStyle w:val="Compact"/>
            </w:pPr>
            <w:r>
              <w:t xml:space="preserve">+8 wk</w:t>
            </w:r>
          </w:p>
        </w:tc>
      </w:tr>
      <w:tr>
        <w:tc>
          <w:tcPr/>
          <w:p>
            <w:pPr>
              <w:pStyle w:val="Compact"/>
            </w:pPr>
            <w:r>
              <w:t xml:space="preserve">M5</w:t>
            </w:r>
          </w:p>
        </w:tc>
        <w:tc>
          <w:tcPr/>
          <w:p>
            <w:pPr>
              <w:pStyle w:val="Compact"/>
            </w:pPr>
            <w:r>
              <w:t xml:space="preserve">Dispute/chargeback + tokenization (if any)</w:t>
            </w:r>
          </w:p>
        </w:tc>
        <w:tc>
          <w:tcPr/>
          <w:p>
            <w:pPr>
              <w:pStyle w:val="Compact"/>
            </w:pPr>
            <w:r>
              <w:t xml:space="preserve">flows pass</w:t>
            </w:r>
          </w:p>
        </w:tc>
        <w:tc>
          <w:tcPr/>
          <w:p>
            <w:pPr>
              <w:pStyle w:val="Compact"/>
            </w:pPr>
            <w:r>
              <w:t xml:space="preserve">+9 wk</w:t>
            </w:r>
          </w:p>
        </w:tc>
      </w:tr>
      <w:tr>
        <w:tc>
          <w:tcPr/>
          <w:p>
            <w:pPr>
              <w:pStyle w:val="Compact"/>
            </w:pPr>
            <w:r>
              <w:t xml:space="preserve">M6</w:t>
            </w:r>
          </w:p>
        </w:tc>
        <w:tc>
          <w:tcPr/>
          <w:p>
            <w:pPr>
              <w:pStyle w:val="Compact"/>
            </w:pPr>
            <w:r>
              <w:t xml:space="preserve">Scheme sign-off / Letter of Approval</w:t>
            </w:r>
          </w:p>
        </w:tc>
        <w:tc>
          <w:tcPr/>
          <w:p>
            <w:pPr>
              <w:pStyle w:val="Compact"/>
            </w:pPr>
            <w:r>
              <w:t xml:space="preserve">approval from Visa &amp; Mastercard</w:t>
            </w:r>
          </w:p>
        </w:tc>
        <w:tc>
          <w:tcPr/>
          <w:p>
            <w:pPr>
              <w:pStyle w:val="Compact"/>
            </w:pPr>
            <w:r>
              <w:t xml:space="preserve">+10 wk</w:t>
            </w:r>
          </w:p>
        </w:tc>
      </w:tr>
      <w:tr>
        <w:tc>
          <w:tcPr/>
          <w:p>
            <w:pPr>
              <w:pStyle w:val="Compact"/>
            </w:pPr>
            <w:r>
              <w:t xml:space="preserve">M7</w:t>
            </w:r>
          </w:p>
        </w:tc>
        <w:tc>
          <w:tcPr/>
          <w:p>
            <w:pPr>
              <w:pStyle w:val="Compact"/>
            </w:pPr>
            <w:r>
              <w:t xml:space="preserve">PCI-DSS v4.0 L1 RoC/AoC by QSA</w:t>
            </w:r>
          </w:p>
        </w:tc>
        <w:tc>
          <w:tcPr/>
          <w:p>
            <w:pPr>
              <w:pStyle w:val="Compact"/>
            </w:pPr>
            <w:r>
              <w:t xml:space="preserve">RoC pass + ASV scan + pentest</w:t>
            </w:r>
          </w:p>
        </w:tc>
        <w:tc>
          <w:tcPr/>
          <w:p>
            <w:pPr>
              <w:pStyle w:val="Compact"/>
            </w:pPr>
            <w:r>
              <w:t xml:space="preserve">parallel (per ROADMAP)</w:t>
            </w:r>
          </w:p>
        </w:tc>
      </w:tr>
      <w:tr>
        <w:tc>
          <w:tcPr/>
          <w:p>
            <w:pPr>
              <w:pStyle w:val="Compact"/>
            </w:pPr>
            <w:r>
              <w:t xml:space="preserve">M8</w:t>
            </w:r>
          </w:p>
        </w:tc>
        <w:tc>
          <w:tcPr/>
          <w:p>
            <w:pPr>
              <w:pStyle w:val="Compact"/>
            </w:pPr>
            <w:r>
              <w:t xml:space="preserve">Production readiness + go-live cutover</w:t>
            </w:r>
          </w:p>
        </w:tc>
        <w:tc>
          <w:tcPr/>
          <w:p>
            <w:pPr>
              <w:pStyle w:val="Compact"/>
            </w:pPr>
            <w:r>
              <w:t xml:space="preserve">DR drill, load test, BOT sign-off</w:t>
            </w:r>
          </w:p>
        </w:tc>
        <w:tc>
          <w:tcPr/>
          <w:p>
            <w:pPr>
              <w:pStyle w:val="Compact"/>
            </w:pPr>
            <w:r>
              <w:t xml:space="preserve">+12 wk</w:t>
            </w:r>
          </w:p>
        </w:tc>
      </w:tr>
    </w:tbl>
    <w:p>
      <w:pPr>
        <w:pStyle w:val="SourceCode"/>
      </w:pPr>
      <w:r>
        <w:rPr>
          <w:rStyle w:val="VerbatimChar"/>
        </w:rPr>
        <w:t xml:space="preserve">gantt</w:t>
      </w:r>
      <w:r>
        <w:br/>
      </w:r>
      <w:r>
        <w:rPr>
          <w:rStyle w:val="VerbatimChar"/>
        </w:rPr>
        <w:t xml:space="preserve">    title Scheme Certification Milestones (indicative)</w:t>
      </w:r>
      <w:r>
        <w:br/>
      </w:r>
      <w:r>
        <w:rPr>
          <w:rStyle w:val="VerbatimChar"/>
        </w:rPr>
        <w:t xml:space="preserve">    dateFormat  YYYY-MM-DD</w:t>
      </w:r>
      <w:r>
        <w:br/>
      </w:r>
      <w:r>
        <w:rPr>
          <w:rStyle w:val="VerbatimChar"/>
        </w:rPr>
        <w:t xml:space="preserve">    axisFormat  %b</w:t>
      </w:r>
      <w:r>
        <w:br/>
      </w:r>
      <w:r>
        <w:rPr>
          <w:rStyle w:val="VerbatimChar"/>
        </w:rPr>
        <w:t xml:space="preserve">    section Certification</w:t>
      </w:r>
      <w:r>
        <w:br/>
      </w:r>
      <w:r>
        <w:rPr>
          <w:rStyle w:val="VerbatimChar"/>
        </w:rPr>
        <w:t xml:space="preserve">    M0 Sponsor/BIN          :m0, 2026-11-15, 14d</w:t>
      </w:r>
      <w:r>
        <w:br/>
      </w:r>
      <w:r>
        <w:rPr>
          <w:rStyle w:val="VerbatimChar"/>
        </w:rPr>
        <w:t xml:space="preserve">    M1 Connectivity UAT     :m1, after m0, 14d</w:t>
      </w:r>
      <w:r>
        <w:br/>
      </w:r>
      <w:r>
        <w:rPr>
          <w:rStyle w:val="VerbatimChar"/>
        </w:rPr>
        <w:t xml:space="preserve">    M2 Authorization        :m2, after m1, 14d</w:t>
      </w:r>
      <w:r>
        <w:br/>
      </w:r>
      <w:r>
        <w:rPr>
          <w:rStyle w:val="VerbatimChar"/>
        </w:rPr>
        <w:t xml:space="preserve">    M3 3DS 2.x              :m3, after m2, 14d</w:t>
      </w:r>
      <w:r>
        <w:br/>
      </w:r>
      <w:r>
        <w:rPr>
          <w:rStyle w:val="VerbatimChar"/>
        </w:rPr>
        <w:t xml:space="preserve">    M4 Clearing/Settlement  :m4, after m3, 14d</w:t>
      </w:r>
      <w:r>
        <w:br/>
      </w:r>
      <w:r>
        <w:rPr>
          <w:rStyle w:val="VerbatimChar"/>
        </w:rPr>
        <w:t xml:space="preserve">    M5 Dispute/Token        :m5, after m4, 7d</w:t>
      </w:r>
      <w:r>
        <w:br/>
      </w:r>
      <w:r>
        <w:rPr>
          <w:rStyle w:val="VerbatimChar"/>
        </w:rPr>
        <w:t xml:space="preserve">    M6 Scheme sign-off      :m6, after m5, 7d</w:t>
      </w:r>
      <w:r>
        <w:br/>
      </w:r>
      <w:r>
        <w:rPr>
          <w:rStyle w:val="VerbatimChar"/>
        </w:rPr>
        <w:t xml:space="preserve">    section PCI (parallel)</w:t>
      </w:r>
      <w:r>
        <w:br/>
      </w:r>
      <w:r>
        <w:rPr>
          <w:rStyle w:val="VerbatimChar"/>
        </w:rPr>
        <w:t xml:space="preserve">    M7 PCI L1 RoC           :m7, 2026-10-01, 120d</w:t>
      </w:r>
      <w:r>
        <w:br/>
      </w:r>
      <w:r>
        <w:rPr>
          <w:rStyle w:val="VerbatimChar"/>
        </w:rPr>
        <w:t xml:space="preserve">    section Go-live</w:t>
      </w:r>
      <w:r>
        <w:br/>
      </w:r>
      <w:r>
        <w:rPr>
          <w:rStyle w:val="VerbatimChar"/>
        </w:rPr>
        <w:t xml:space="preserve">    M8 Cutover              :m8, after m6, 14d</w:t>
      </w:r>
    </w:p>
    <w:p>
      <w:r>
        <w:pict>
          <v:rect style="width:0;height:1.5pt" o:hralign="center" o:hrstd="t" o:hr="t"/>
        </w:pict>
      </w:r>
    </w:p>
    <w:bookmarkEnd w:id="861"/>
    <w:bookmarkStart w:id="862" w:name="dependencies"/>
    <w:p>
      <w:pPr>
        <w:pStyle w:val="Heading2"/>
      </w:pPr>
      <w:r>
        <w:t xml:space="preserve">6. Dependencies</w:t>
      </w:r>
    </w:p>
    <w:tbl>
      <w:tblPr>
        <w:tblStyle w:val="Table"/>
        <w:tblW w:type="pct" w:w="5000"/>
        <w:tblLayout w:type="fixed"/>
        <w:tblLook w:firstRow="1" w:lastRow="0" w:firstColumn="0" w:lastColumn="0" w:noHBand="0" w:noVBand="0" w:val="0020"/>
      </w:tblPr>
      <w:tblGrid>
        <w:gridCol w:w="2026"/>
        <w:gridCol w:w="1105"/>
        <w:gridCol w:w="1289"/>
        <w:gridCol w:w="3499"/>
      </w:tblGrid>
      <w:tr>
        <w:trPr>
          <w:tblHeader w:val="on"/>
        </w:trPr>
        <w:tc>
          <w:tcPr/>
          <w:p>
            <w:pPr>
              <w:pStyle w:val="Compact"/>
            </w:pPr>
            <w:r>
              <w:t xml:space="preserve">Dependency</w:t>
            </w:r>
          </w:p>
        </w:tc>
        <w:tc>
          <w:tcPr/>
          <w:p>
            <w:pPr>
              <w:pStyle w:val="Compact"/>
            </w:pPr>
            <w:r>
              <w:t xml:space="preserve">Type</w:t>
            </w:r>
          </w:p>
        </w:tc>
        <w:tc>
          <w:tcPr/>
          <w:p>
            <w:pPr>
              <w:pStyle w:val="Compact"/>
            </w:pPr>
            <w:r>
              <w:t xml:space="preserve">Owner</w:t>
            </w:r>
          </w:p>
        </w:tc>
        <w:tc>
          <w:tcPr/>
          <w:p>
            <w:pPr>
              <w:pStyle w:val="Compact"/>
            </w:pPr>
            <w:r>
              <w:t xml:space="preserve">Impact if delayed</w:t>
            </w:r>
          </w:p>
        </w:tc>
      </w:tr>
      <w:tr>
        <w:tc>
          <w:tcPr/>
          <w:p>
            <w:pPr>
              <w:pStyle w:val="Compact"/>
            </w:pPr>
            <w:r>
              <w:t xml:space="preserve">Sponsor bank + BIN/ICA</w:t>
            </w:r>
          </w:p>
        </w:tc>
        <w:tc>
          <w:tcPr/>
          <w:p>
            <w:pPr>
              <w:pStyle w:val="Compact"/>
            </w:pPr>
            <w:r>
              <w:t xml:space="preserve">External (critical)</w:t>
            </w:r>
          </w:p>
        </w:tc>
        <w:tc>
          <w:tcPr/>
          <w:p>
            <w:pPr>
              <w:pStyle w:val="Compact"/>
            </w:pPr>
            <w:r>
              <w:t xml:space="preserve">Sponsor bank</w:t>
            </w:r>
            <w:r>
              <w:t xml:space="preserve"> </w:t>
            </w:r>
            <w:r>
              <w:rPr>
                <w:b/>
                <w:bCs/>
              </w:rPr>
              <w:t xml:space="preserve">[TODO]</w:t>
            </w:r>
          </w:p>
        </w:tc>
        <w:tc>
          <w:tcPr/>
          <w:p>
            <w:pPr>
              <w:pStyle w:val="Compact"/>
            </w:pPr>
            <w:r>
              <w:t xml:space="preserve">Blocks all certification</w:t>
            </w:r>
          </w:p>
        </w:tc>
      </w:tr>
      <w:tr>
        <w:tc>
          <w:tcPr/>
          <w:p>
            <w:pPr>
              <w:pStyle w:val="Compact"/>
            </w:pPr>
            <w:r>
              <w:t xml:space="preserve">Scheme test tool + test card range</w:t>
            </w:r>
          </w:p>
        </w:tc>
        <w:tc>
          <w:tcPr/>
          <w:p>
            <w:pPr>
              <w:pStyle w:val="Compact"/>
            </w:pPr>
            <w:r>
              <w:t xml:space="preserve">External</w:t>
            </w:r>
          </w:p>
        </w:tc>
        <w:tc>
          <w:tcPr/>
          <w:p>
            <w:pPr>
              <w:pStyle w:val="Compact"/>
            </w:pPr>
            <w:r>
              <w:t xml:space="preserve">Visa / Mastercard</w:t>
            </w:r>
          </w:p>
        </w:tc>
        <w:tc>
          <w:tcPr/>
          <w:p>
            <w:pPr>
              <w:pStyle w:val="Compact"/>
            </w:pPr>
            <w:r>
              <w:t xml:space="preserve">Blocks test-script runs</w:t>
            </w:r>
          </w:p>
        </w:tc>
      </w:tr>
      <w:tr>
        <w:tc>
          <w:tcPr/>
          <w:p>
            <w:pPr>
              <w:pStyle w:val="Compact"/>
            </w:pPr>
            <w:r>
              <w:t xml:space="preserve">PCI-DSS v4.0 L1 (RoC/AoC)</w:t>
            </w:r>
          </w:p>
        </w:tc>
        <w:tc>
          <w:tcPr/>
          <w:p>
            <w:pPr>
              <w:pStyle w:val="Compact"/>
            </w:pPr>
            <w:r>
              <w:t xml:space="preserve">External</w:t>
            </w:r>
          </w:p>
        </w:tc>
        <w:tc>
          <w:tcPr/>
          <w:p>
            <w:pPr>
              <w:pStyle w:val="Compact"/>
            </w:pPr>
            <w:r>
              <w:t xml:space="preserve">QSA</w:t>
            </w:r>
            <w:r>
              <w:t xml:space="preserve"> </w:t>
            </w:r>
            <w:r>
              <w:rPr>
                <w:b/>
                <w:bCs/>
              </w:rPr>
              <w:t xml:space="preserve">[TODO]</w:t>
            </w:r>
          </w:p>
        </w:tc>
        <w:tc>
          <w:tcPr/>
          <w:p>
            <w:pPr>
              <w:pStyle w:val="Compact"/>
            </w:pPr>
            <w:r>
              <w:t xml:space="preserve">Blocks go-live (scheme requires it)</w:t>
            </w:r>
          </w:p>
        </w:tc>
      </w:tr>
      <w:tr>
        <w:tc>
          <w:tcPr/>
          <w:p>
            <w:pPr>
              <w:pStyle w:val="Compact"/>
            </w:pPr>
            <w:r>
              <w:t xml:space="preserve">HSM/KMS + key ceremony</w:t>
            </w:r>
          </w:p>
        </w:tc>
        <w:tc>
          <w:tcPr/>
          <w:p>
            <w:pPr>
              <w:pStyle w:val="Compact"/>
            </w:pPr>
            <w:r>
              <w:t xml:space="preserve">Internal</w:t>
            </w:r>
          </w:p>
        </w:tc>
        <w:tc>
          <w:tcPr/>
          <w:p>
            <w:pPr>
              <w:pStyle w:val="Compact"/>
            </w:pPr>
            <w:r>
              <w:t xml:space="preserve">Security</w:t>
            </w:r>
          </w:p>
        </w:tc>
        <w:tc>
          <w:tcPr/>
          <w:p>
            <w:pPr>
              <w:pStyle w:val="Compact"/>
            </w:pPr>
            <w:r>
              <w:t xml:space="preserve">Blocks tokenization / detokenize</w:t>
            </w:r>
          </w:p>
        </w:tc>
      </w:tr>
      <w:tr>
        <w:tc>
          <w:tcPr/>
          <w:p>
            <w:pPr>
              <w:pStyle w:val="Compact"/>
            </w:pPr>
            <w:r>
              <w:t xml:space="preserve">UAT environment + reconcile worker</w:t>
            </w:r>
          </w:p>
        </w:tc>
        <w:tc>
          <w:tcPr/>
          <w:p>
            <w:pPr>
              <w:pStyle w:val="Compact"/>
            </w:pPr>
            <w:r>
              <w:t xml:space="preserve">Internal</w:t>
            </w:r>
          </w:p>
        </w:tc>
        <w:tc>
          <w:tcPr/>
          <w:p>
            <w:pPr>
              <w:pStyle w:val="Compact"/>
            </w:pPr>
            <w:r>
              <w:t xml:space="preserve">SRE / Backend</w:t>
            </w:r>
          </w:p>
        </w:tc>
        <w:tc>
          <w:tcPr/>
          <w:p>
            <w:pPr>
              <w:pStyle w:val="Compact"/>
            </w:pPr>
            <w:r>
              <w:t xml:space="preserve">Blocks clearing test</w:t>
            </w:r>
          </w:p>
        </w:tc>
      </w:tr>
      <w:tr>
        <w:tc>
          <w:tcPr/>
          <w:p>
            <w:pPr>
              <w:pStyle w:val="Compact"/>
            </w:pPr>
            <w:r>
              <w:t xml:space="preserve">Acquiring license (BOT)</w:t>
            </w:r>
          </w:p>
        </w:tc>
        <w:tc>
          <w:tcPr/>
          <w:p>
            <w:pPr>
              <w:pStyle w:val="Compact"/>
            </w:pPr>
            <w:r>
              <w:t xml:space="preserve">External (regulatory)</w:t>
            </w:r>
          </w:p>
        </w:tc>
        <w:tc>
          <w:tcPr/>
          <w:p>
            <w:pPr>
              <w:pStyle w:val="Compact"/>
            </w:pPr>
            <w:r>
              <w:t xml:space="preserve">BOT / Compliance</w:t>
            </w:r>
          </w:p>
        </w:tc>
        <w:tc>
          <w:tcPr/>
          <w:p>
            <w:pPr>
              <w:pStyle w:val="Compact"/>
            </w:pPr>
            <w:r>
              <w:t xml:space="preserve">Blocks production go-live</w:t>
            </w:r>
          </w:p>
        </w:tc>
      </w:tr>
      <w:tr>
        <w:tc>
          <w:tcPr/>
          <w:p>
            <w:pPr>
              <w:pStyle w:val="Compact"/>
            </w:pPr>
            <w:r>
              <w:t xml:space="preserve">Paid-up capital ≥ THB 50M (≥ 75% maintained)</w:t>
            </w:r>
          </w:p>
        </w:tc>
        <w:tc>
          <w:tcPr/>
          <w:p>
            <w:pPr>
              <w:pStyle w:val="Compact"/>
            </w:pPr>
            <w:r>
              <w:t xml:space="preserve">Internal/regulatory</w:t>
            </w:r>
          </w:p>
        </w:tc>
        <w:tc>
          <w:tcPr/>
          <w:p>
            <w:pPr>
              <w:pStyle w:val="Compact"/>
            </w:pPr>
            <w:r>
              <w:t xml:space="preserve">[บริษัท / Company]</w:t>
            </w:r>
            <w:r>
              <w:t xml:space="preserve"> </w:t>
            </w:r>
            <w:r>
              <w:rPr>
                <w:b/>
                <w:bCs/>
              </w:rPr>
              <w:t xml:space="preserve">[TODO]</w:t>
            </w:r>
          </w:p>
        </w:tc>
        <w:tc>
          <w:tcPr/>
          <w:p>
            <w:pPr>
              <w:pStyle w:val="Compact"/>
            </w:pPr>
            <w:r>
              <w:t xml:space="preserve">Blocks license</w:t>
            </w:r>
          </w:p>
        </w:tc>
      </w:tr>
      <w:tr>
        <w:tc>
          <w:tcPr/>
          <w:p>
            <w:pPr>
              <w:pStyle w:val="Compact"/>
            </w:pPr>
            <w:r>
              <w:t xml:space="preserve">AML/KYC + sanction screening (AMLO)</w:t>
            </w:r>
          </w:p>
        </w:tc>
        <w:tc>
          <w:tcPr/>
          <w:p>
            <w:pPr>
              <w:pStyle w:val="Compact"/>
            </w:pPr>
            <w:r>
              <w:t xml:space="preserve">Internal/regulatory</w:t>
            </w:r>
          </w:p>
        </w:tc>
        <w:tc>
          <w:tcPr/>
          <w:p>
            <w:pPr>
              <w:pStyle w:val="Compact"/>
            </w:pPr>
            <w:r>
              <w:t xml:space="preserve">Compliance</w:t>
            </w:r>
          </w:p>
        </w:tc>
        <w:tc>
          <w:tcPr/>
          <w:p>
            <w:pPr>
              <w:pStyle w:val="Compact"/>
            </w:pPr>
            <w:r>
              <w:t xml:space="preserve">License condition</w:t>
            </w:r>
          </w:p>
        </w:tc>
      </w:tr>
      <w:tr>
        <w:tc>
          <w:tcPr/>
          <w:p>
            <w:pPr>
              <w:pStyle w:val="Compact"/>
            </w:pPr>
            <w:r>
              <w:t xml:space="preserve">PDPA controls (PDPC)</w:t>
            </w:r>
          </w:p>
        </w:tc>
        <w:tc>
          <w:tcPr/>
          <w:p>
            <w:pPr>
              <w:pStyle w:val="Compact"/>
            </w:pPr>
            <w:r>
              <w:t xml:space="preserve">Internal/regulatory</w:t>
            </w:r>
          </w:p>
        </w:tc>
        <w:tc>
          <w:tcPr/>
          <w:p>
            <w:pPr>
              <w:pStyle w:val="Compact"/>
            </w:pPr>
            <w:r>
              <w:t xml:space="preserve">Compliance / Security</w:t>
            </w:r>
          </w:p>
        </w:tc>
        <w:tc>
          <w:tcPr/>
          <w:p>
            <w:pPr>
              <w:pStyle w:val="Compact"/>
            </w:pPr>
            <w:r>
              <w:t xml:space="preserve">License condition</w:t>
            </w:r>
          </w:p>
        </w:tc>
      </w:tr>
    </w:tbl>
    <w:p>
      <w:r>
        <w:pict>
          <v:rect style="width:0;height:1.5pt" o:hralign="center" o:hrstd="t" o:hr="t"/>
        </w:pict>
      </w:r>
    </w:p>
    <w:bookmarkEnd w:id="862"/>
    <w:bookmarkStart w:id="863" w:name="risk-mitigation"/>
    <w:p>
      <w:pPr>
        <w:pStyle w:val="Heading2"/>
      </w:pPr>
      <w:r>
        <w:t xml:space="preserve">7. Risk &amp; mitigation</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Risk</w:t>
            </w:r>
          </w:p>
        </w:tc>
        <w:tc>
          <w:tcPr/>
          <w:p>
            <w:pPr>
              <w:pStyle w:val="Compact"/>
              <w:jc w:val="center"/>
            </w:pPr>
            <w:r>
              <w:t xml:space="preserve">Level</w:t>
            </w:r>
          </w:p>
        </w:tc>
        <w:tc>
          <w:tcPr/>
          <w:p>
            <w:pPr>
              <w:pStyle w:val="Compact"/>
            </w:pPr>
            <w:r>
              <w:t xml:space="preserve">Mitigation</w:t>
            </w:r>
          </w:p>
        </w:tc>
      </w:tr>
      <w:tr>
        <w:tc>
          <w:tcPr/>
          <w:p>
            <w:pPr>
              <w:pStyle w:val="Compact"/>
            </w:pPr>
            <w:r>
              <w:t xml:space="preserve">Sponsor bank delay / changed terms</w:t>
            </w:r>
          </w:p>
        </w:tc>
        <w:tc>
          <w:tcPr/>
          <w:p>
            <w:pPr>
              <w:pStyle w:val="Compact"/>
              <w:jc w:val="center"/>
            </w:pPr>
            <w:r>
              <w:t xml:space="preserve">High</w:t>
            </w:r>
          </w:p>
        </w:tc>
        <w:tc>
          <w:tcPr/>
          <w:p>
            <w:pPr>
              <w:pStyle w:val="Compact"/>
            </w:pPr>
            <w:r>
              <w:t xml:space="preserve">Negotiate backup sponsor; book cert queue early</w:t>
            </w:r>
          </w:p>
        </w:tc>
      </w:tr>
      <w:tr>
        <w:tc>
          <w:tcPr/>
          <w:p>
            <w:pPr>
              <w:pStyle w:val="Compact"/>
            </w:pPr>
            <w:r>
              <w:t xml:space="preserve">Repeated test-script failures (defects)</w:t>
            </w:r>
          </w:p>
        </w:tc>
        <w:tc>
          <w:tcPr/>
          <w:p>
            <w:pPr>
              <w:pStyle w:val="Compact"/>
              <w:jc w:val="center"/>
            </w:pPr>
            <w:r>
              <w:t xml:space="preserve">Med</w:t>
            </w:r>
          </w:p>
        </w:tc>
        <w:tc>
          <w:tcPr/>
          <w:p>
            <w:pPr>
              <w:pStyle w:val="Compact"/>
            </w:pPr>
            <w:r>
              <w:t xml:space="preserve">Automated regression; time buffer per milestone</w:t>
            </w:r>
          </w:p>
        </w:tc>
      </w:tr>
      <w:tr>
        <w:tc>
          <w:tcPr/>
          <w:p>
            <w:pPr>
              <w:pStyle w:val="Compact"/>
            </w:pPr>
            <w:r>
              <w:t xml:space="preserve">PCI RoC not ready before go-live</w:t>
            </w:r>
          </w:p>
        </w:tc>
        <w:tc>
          <w:tcPr/>
          <w:p>
            <w:pPr>
              <w:pStyle w:val="Compact"/>
              <w:jc w:val="center"/>
            </w:pPr>
            <w:r>
              <w:t xml:space="preserve">High</w:t>
            </w:r>
          </w:p>
        </w:tc>
        <w:tc>
          <w:tcPr/>
          <w:p>
            <w:pPr>
              <w:pStyle w:val="Compact"/>
            </w:pPr>
            <w:r>
              <w:t xml:space="preserve">Start QSA in parallel from Phase 2; ASV/pentest on schedule</w:t>
            </w:r>
          </w:p>
        </w:tc>
      </w:tr>
      <w:tr>
        <w:tc>
          <w:tcPr/>
          <w:p>
            <w:pPr>
              <w:pStyle w:val="Compact"/>
            </w:pPr>
            <w:r>
              <w:t xml:space="preserve">Reconciliation mismatch</w:t>
            </w:r>
          </w:p>
        </w:tc>
        <w:tc>
          <w:tcPr/>
          <w:p>
            <w:pPr>
              <w:pStyle w:val="Compact"/>
              <w:jc w:val="center"/>
            </w:pPr>
            <w:r>
              <w:t xml:space="preserve">Med</w:t>
            </w:r>
          </w:p>
        </w:tc>
        <w:tc>
          <w:tcPr/>
          <w:p>
            <w:pPr>
              <w:pStyle w:val="Compact"/>
            </w:pPr>
            <w:r>
              <w:t xml:space="preserve">Append-only ledger + settlement-file testing from Phase 1</w:t>
            </w:r>
          </w:p>
        </w:tc>
      </w:tr>
      <w:tr>
        <w:tc>
          <w:tcPr/>
          <w:p>
            <w:pPr>
              <w:pStyle w:val="Compact"/>
            </w:pPr>
            <w:r>
              <w:t xml:space="preserve">Scheme mandate/release change</w:t>
            </w:r>
          </w:p>
        </w:tc>
        <w:tc>
          <w:tcPr/>
          <w:p>
            <w:pPr>
              <w:pStyle w:val="Compact"/>
              <w:jc w:val="center"/>
            </w:pPr>
            <w:r>
              <w:t xml:space="preserve">Med</w:t>
            </w:r>
          </w:p>
        </w:tc>
        <w:tc>
          <w:tcPr/>
          <w:p>
            <w:pPr>
              <w:pStyle w:val="Compact"/>
            </w:pPr>
            <w:r>
              <w:t xml:space="preserve">Track release notes; pin version published at test time</w:t>
            </w:r>
          </w:p>
        </w:tc>
      </w:tr>
      <w:tr>
        <w:tc>
          <w:tcPr/>
          <w:p>
            <w:pPr>
              <w:pStyle w:val="Compact"/>
            </w:pPr>
            <w:r>
              <w:t xml:space="preserve">Fail-closed leaves stuck transactions</w:t>
            </w:r>
          </w:p>
        </w:tc>
        <w:tc>
          <w:tcPr/>
          <w:p>
            <w:pPr>
              <w:pStyle w:val="Compact"/>
              <w:jc w:val="center"/>
            </w:pPr>
            <w:r>
              <w:t xml:space="preserve">Med</w:t>
            </w:r>
          </w:p>
        </w:tc>
        <w:tc>
          <w:tcPr/>
          <w:p>
            <w:pPr>
              <w:pStyle w:val="Compact"/>
            </w:pPr>
            <w:r>
              <w:t xml:space="preserve">Automated reversal + reconcile; alerting</w:t>
            </w:r>
          </w:p>
        </w:tc>
      </w:tr>
    </w:tbl>
    <w:p>
      <w:r>
        <w:pict>
          <v:rect style="width:0;height:1.5pt" o:hralign="center" o:hrstd="t" o:hr="t"/>
        </w:pict>
      </w:r>
    </w:p>
    <w:bookmarkEnd w:id="863"/>
    <w:bookmarkStart w:id="864" w:name="governance-reporting-1"/>
    <w:p>
      <w:pPr>
        <w:pStyle w:val="Heading2"/>
      </w:pPr>
      <w:r>
        <w:t xml:space="preserve">8. Governance &amp; reporting</w:t>
      </w:r>
    </w:p>
    <w:p>
      <w:pPr>
        <w:pStyle w:val="Compact"/>
        <w:numPr>
          <w:ilvl w:val="0"/>
          <w:numId w:val="1316"/>
        </w:numPr>
      </w:pPr>
      <w:r>
        <w:rPr>
          <w:b/>
          <w:bCs/>
        </w:rPr>
        <w:t xml:space="preserve">Weekly certification standup</w:t>
      </w:r>
      <w:r>
        <w:t xml:space="preserve"> </w:t>
      </w:r>
      <w:r>
        <w:t xml:space="preserve">— track milestones, defects, blockers; recorded in a RAID log.</w:t>
      </w:r>
    </w:p>
    <w:p>
      <w:pPr>
        <w:pStyle w:val="Compact"/>
        <w:numPr>
          <w:ilvl w:val="0"/>
          <w:numId w:val="1316"/>
        </w:numPr>
      </w:pPr>
      <w:r>
        <w:rPr>
          <w:b/>
          <w:bCs/>
        </w:rPr>
        <w:t xml:space="preserve">Evidence management</w:t>
      </w:r>
      <w:r>
        <w:t xml:space="preserve"> </w:t>
      </w:r>
      <w:r>
        <w:t xml:space="preserve">— store the evidence pack (logs, screenshots, sign-offs) in access-controlled storage (RBAC, audit).</w:t>
      </w:r>
    </w:p>
    <w:p>
      <w:pPr>
        <w:pStyle w:val="Compact"/>
        <w:numPr>
          <w:ilvl w:val="0"/>
          <w:numId w:val="1316"/>
        </w:numPr>
      </w:pPr>
      <w:r>
        <w:rPr>
          <w:b/>
          <w:bCs/>
        </w:rPr>
        <w:t xml:space="preserve">Sign-off gate</w:t>
      </w:r>
      <w:r>
        <w:t xml:space="preserve"> </w:t>
      </w:r>
      <w:r>
        <w:t xml:space="preserve">— each milestone requires Program Lead sign-off, and (for M6) sponsor/scheme sign-off.</w:t>
      </w:r>
    </w:p>
    <w:p>
      <w:pPr>
        <w:pStyle w:val="Compact"/>
        <w:numPr>
          <w:ilvl w:val="0"/>
          <w:numId w:val="1316"/>
        </w:numPr>
      </w:pPr>
      <w:r>
        <w:rPr>
          <w:b/>
          <w:bCs/>
        </w:rPr>
        <w:t xml:space="preserve">BOT reporting</w:t>
      </w:r>
      <w:r>
        <w:t xml:space="preserve"> </w:t>
      </w:r>
      <w:r>
        <w:t xml:space="preserve">— certification and PCI status form part of the system-readiness evidence in the license application,</w:t>
      </w:r>
      <w:r>
        <w:t xml:space="preserve"> </w:t>
      </w:r>
      <w:r>
        <w:t xml:space="preserve">and are reported periodically after the license is granted.</w:t>
      </w:r>
    </w:p>
    <w:p>
      <w:r>
        <w:pict>
          <v:rect style="width:0;height:1.5pt" o:hralign="center" o:hrstd="t" o:hr="t"/>
        </w:pict>
      </w:r>
    </w:p>
    <w:bookmarkEnd w:id="864"/>
    <w:bookmarkStart w:id="865" w:name="related-documents-2"/>
    <w:p>
      <w:pPr>
        <w:pStyle w:val="Heading2"/>
      </w:pPr>
      <w:r>
        <w:t xml:space="preserve">Related documents</w:t>
      </w:r>
    </w:p>
    <w:p>
      <w:pPr>
        <w:pStyle w:val="Compact"/>
        <w:numPr>
          <w:ilvl w:val="0"/>
          <w:numId w:val="1317"/>
        </w:numPr>
      </w:pPr>
      <w:r>
        <w:rPr>
          <w:rStyle w:val="VerbatimChar"/>
        </w:rPr>
        <w:t xml:space="preserve">../COMPLIANCE-TH.md</w:t>
      </w:r>
      <w:r>
        <w:t xml:space="preserve"> </w:t>
      </w:r>
      <w:r>
        <w:t xml:space="preserve">— Thai law, license categories, application steps</w:t>
      </w:r>
    </w:p>
    <w:p>
      <w:pPr>
        <w:pStyle w:val="Compact"/>
        <w:numPr>
          <w:ilvl w:val="0"/>
          <w:numId w:val="1317"/>
        </w:numPr>
      </w:pPr>
      <w:r>
        <w:rPr>
          <w:rStyle w:val="VerbatimChar"/>
        </w:rPr>
        <w:t xml:space="preserve">../ARCHITECTURE.md</w:t>
      </w:r>
      <w:r>
        <w:t xml:space="preserve"> </w:t>
      </w:r>
      <w:r>
        <w:t xml:space="preserve">— system architecture, transaction flows, PCI-DSS controls</w:t>
      </w:r>
    </w:p>
    <w:p>
      <w:pPr>
        <w:pStyle w:val="Compact"/>
        <w:numPr>
          <w:ilvl w:val="0"/>
          <w:numId w:val="1317"/>
        </w:numPr>
      </w:pPr>
      <w:r>
        <w:rPr>
          <w:rStyle w:val="VerbatimChar"/>
        </w:rPr>
        <w:t xml:space="preserve">../ROADMAP.md</w:t>
      </w:r>
      <w:r>
        <w:t xml:space="preserve"> </w:t>
      </w:r>
      <w:r>
        <w:t xml:space="preserve">— phases, timeline, cost estimates</w:t>
      </w:r>
    </w:p>
    <w:p>
      <w:r>
        <w:br w:type="page"/>
      </w:r>
    </w:p>
    <w:bookmarkEnd w:id="865"/>
    <w:bookmarkEnd w:id="866"/>
    <w:bookmarkStart w:id="884" w:name="สญญาและขอกำหนดการใหบรการรานคา-ไทย"/>
    <w:p>
      <w:pPr>
        <w:pStyle w:val="Heading1"/>
      </w:pPr>
      <w:r>
        <w:t xml:space="preserve">สัญญาและข้อกำหนดการให้บริการร้านค้า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(Acquiring)</w:t>
      </w:r>
      <w:r>
        <w:t xml:space="preserve"> </w:t>
      </w:r>
      <w:r>
        <w:t xml:space="preserve">ต่อธนาคารแห่งประเทศไทย (ธปท.) ภายใต้ พ.ร.บ. ระบบการชำระเงิน พ.ศ. 2560 · ทุนจดทะเบียนชำระแล้ว 50 ล้านบาท</w:t>
      </w:r>
      <w:r>
        <w:t xml:space="preserve"> </w:t>
      </w:r>
      <w:r>
        <w:rPr>
          <w:b/>
          <w:bCs/>
        </w:rPr>
        <w:t xml:space="preserve">เอกสารนี้เป็นแบบร่างเชิงเทคนิค/ธุรกิจ ไม่ใช่คำแนะนำทางกฎหมาย</w:t>
      </w:r>
      <w:r>
        <w:t xml:space="preserve"> </w:t>
      </w:r>
      <w:r>
        <w:t xml:space="preserve">— ต้องให้ที่ปรึกษากฎหมายตรวจทานก่อนใช้จริง</w:t>
      </w:r>
    </w:p>
    <w:p>
      <w:pPr>
        <w:pStyle w:val="BlockText"/>
      </w:pPr>
      <w:r>
        <w:t xml:space="preserve">เวอร์ชัน 0.1 · เจ้าของเอกสาร: Compliance &amp; Legal · ทบทวนล่าสุด: 2026-07-22 · รอบทบทวน: ทุก 12 เดือน หรือเมื่อเกณฑ์ ธปท./PCI-DSS เปลี่ยน</w:t>
      </w:r>
    </w:p>
    <w:p>
      <w:r>
        <w:pict>
          <v:rect style="width:0;height:1.5pt" o:hralign="center" o:hrstd="t" o:hr="t"/>
        </w:pict>
      </w:r>
    </w:p>
    <w:p>
      <w:pPr>
        <w:pStyle w:val="BlockText"/>
      </w:pPr>
      <w:r>
        <w:t xml:space="preserve">[!IMPORTANT]</w:t>
      </w:r>
      <w:r>
        <w:t xml:space="preserve"> </w:t>
      </w:r>
      <w:r>
        <w:rPr>
          <w:b/>
          <w:bCs/>
        </w:rPr>
        <w:t xml:space="preserve">สมมติฐาน / TODO ที่ต้องปิดก่อนใช้จริง (External Dependencies ที่ยังไม่ระบุแน่นอน)</w:t>
      </w:r>
    </w:p>
    <w:p>
      <w:pPr>
        <w:pStyle w:val="BlockText"/>
      </w:pPr>
      <w:r>
        <w:t xml:space="preserve">รายการต่อไปนี้ยังไม่มีข้อมูลจริง — ระบุไว้เป็นสมมติฐานอย่างชัดเจน ห้ามนำตัวเลข/ชื่อสมมติไปใช้ในสัญญาที่มีผลผูกพัน</w:t>
      </w:r>
      <w:r>
        <w:t xml:space="preserve"> </w:t>
      </w:r>
      <w:r>
        <w:t xml:space="preserve">จนกว่าจะยืนยัน:</w:t>
      </w:r>
    </w:p>
    <w:p>
      <w:pPr>
        <w:pStyle w:val="Compact"/>
        <w:numPr>
          <w:ilvl w:val="0"/>
          <w:numId w:val="1318"/>
        </w:numPr>
      </w:pPr>
      <w:r>
        <w:rPr>
          <w:b/>
          <w:bCs/>
        </w:rPr>
        <w:t xml:space="preserve">[TODO] ชื่อและเลขทะเบียนนิติบุคคล</w:t>
      </w:r>
      <w:r>
        <w:t xml:space="preserve"> </w:t>
      </w:r>
      <w:r>
        <w:t xml:space="preserve">— ใช้ตัวยึด</w:t>
      </w:r>
      <w:r>
        <w:t xml:space="preserve"> </w:t>
      </w:r>
      <w:r>
        <w:rPr>
          <w:rStyle w:val="VerbatimChar"/>
        </w:rPr>
        <w:t xml:space="preserve">[บริษัท / Company]</w:t>
      </w:r>
      <w:r>
        <w:t xml:space="preserve"> </w:t>
      </w:r>
      <w:r>
        <w:t xml:space="preserve">ตลอดเอกสาร; ต้องแทนด้วยชื่อจริง เลขทะเบียน และที่อยู่จดทะเบียน</w:t>
      </w:r>
    </w:p>
    <w:p>
      <w:pPr>
        <w:pStyle w:val="Compact"/>
        <w:numPr>
          <w:ilvl w:val="0"/>
          <w:numId w:val="1318"/>
        </w:numPr>
      </w:pPr>
      <w:r>
        <w:rPr>
          <w:b/>
          <w:bCs/>
        </w:rPr>
        <w:t xml:space="preserve">[TODO] Sponsor bank / Acquiring partner</w:t>
      </w:r>
      <w:r>
        <w:t xml:space="preserve"> </w:t>
      </w:r>
      <w:r>
        <w:t xml:space="preserve">— ยังไม่ลงนาม; เงื่อนไข scheme (Visa/Mastercard), settlement cut-off, ค่าธรรมเนียม interchange และ reserve จะปรับตามสัญญากับธนาคารผู้รับเชื่อม</w:t>
      </w:r>
    </w:p>
    <w:p>
      <w:pPr>
        <w:pStyle w:val="Compact"/>
        <w:numPr>
          <w:ilvl w:val="0"/>
          <w:numId w:val="1318"/>
        </w:numPr>
      </w:pPr>
      <w:r>
        <w:rPr>
          <w:b/>
          <w:bCs/>
        </w:rPr>
        <w:t xml:space="preserve">[TODO] ผู้ประเมิน QSA (Qualified Security Assessor)</w:t>
      </w:r>
      <w:r>
        <w:t xml:space="preserve"> </w:t>
      </w:r>
      <w:r>
        <w:t xml:space="preserve">สำหรับ PCI-DSS v4.0 Level 1 — ยังไม่เลือก; วันออก RoC/AoC ยังไม่กำหนด</w:t>
      </w:r>
    </w:p>
    <w:p>
      <w:pPr>
        <w:pStyle w:val="Compact"/>
        <w:numPr>
          <w:ilvl w:val="0"/>
          <w:numId w:val="1318"/>
        </w:numPr>
      </w:pPr>
      <w:r>
        <w:rPr>
          <w:b/>
          <w:bCs/>
        </w:rPr>
        <w:t xml:space="preserve">[TODO] เลขที่ใบอนุญาต ธปท.</w:t>
      </w:r>
      <w:r>
        <w:t xml:space="preserve"> </w:t>
      </w:r>
      <w:r>
        <w:t xml:space="preserve">— จะเติมเมื่อได้รับใบอนุญาตจากรัฐมนตรีว่าการกระทรวงการคลังตามคำแนะนำของ ธปท.</w:t>
      </w:r>
    </w:p>
    <w:p>
      <w:pPr>
        <w:pStyle w:val="Compact"/>
        <w:numPr>
          <w:ilvl w:val="0"/>
          <w:numId w:val="1318"/>
        </w:numPr>
      </w:pPr>
      <w:r>
        <w:rPr>
          <w:b/>
          <w:bCs/>
        </w:rPr>
        <w:t xml:space="preserve">[TODO] อัตราค่าธรรมเนียมจริง (MDR/ค่าธรรมเนียมรายรายการ/ค่าธรรมเนียม chargeback)</w:t>
      </w:r>
      <w:r>
        <w:t xml:space="preserve"> </w:t>
      </w:r>
      <w:r>
        <w:t xml:space="preserve">— ตัวเลขในตารางที่ 5 เป็น</w:t>
      </w:r>
      <w:r>
        <w:t xml:space="preserve"> </w:t>
      </w:r>
      <w:r>
        <w:rPr>
          <w:i/>
          <w:iCs/>
        </w:rPr>
        <w:t xml:space="preserve">ช่วงตัวอย่างเชิงพาณิชย์</w:t>
      </w:r>
      <w:r>
        <w:t xml:space="preserve"> </w:t>
      </w:r>
      <w:r>
        <w:t xml:space="preserve">ต้องแทนด้วยตารางราคาที่ตกลงกับร้านค้าและสอดคล้องกับต้นทุน scheme จริง</w:t>
      </w:r>
    </w:p>
    <w:p>
      <w:pPr>
        <w:pStyle w:val="Compact"/>
        <w:numPr>
          <w:ilvl w:val="0"/>
          <w:numId w:val="1318"/>
        </w:numPr>
      </w:pPr>
      <w:r>
        <w:rPr>
          <w:b/>
          <w:bCs/>
        </w:rPr>
        <w:t xml:space="preserve">[TODO] วัน go-live และวงเงินเริ่มต้น (processing limit)</w:t>
      </w:r>
      <w:r>
        <w:t xml:space="preserve"> </w:t>
      </w:r>
      <w:r>
        <w:t xml:space="preserve">— ขึ้นกับผล scheme certification ตาม</w:t>
      </w:r>
      <w:r>
        <w:t xml:space="preserve"> </w:t>
      </w:r>
      <w:r>
        <w:rPr>
          <w:rStyle w:val="VerbatimChar"/>
        </w:rPr>
        <w:t xml:space="preserve">ROADMAP.md</w:t>
      </w:r>
      <w:r>
        <w:t xml:space="preserve"> </w:t>
      </w:r>
      <w:r>
        <w:t xml:space="preserve">Phase 4</w:t>
      </w:r>
    </w:p>
    <w:p>
      <w:r>
        <w:pict>
          <v:rect style="width:0;height:1.5pt" o:hralign="center" o:hrstd="t" o:hr="t"/>
        </w:pict>
      </w:r>
    </w:p>
    <w:bookmarkStart w:id="867" w:name="บทนยามและคสญญา-definitions-parties"/>
    <w:p>
      <w:pPr>
        <w:pStyle w:val="Heading2"/>
      </w:pPr>
      <w:r>
        <w:t xml:space="preserve">1. บทนิยามและคู่สัญญา (Definitions &amp; Parties)</w:t>
      </w:r>
    </w:p>
    <w:p>
      <w:pPr>
        <w:pStyle w:val="FirstParagraph"/>
      </w:pPr>
      <w:r>
        <w:rPr>
          <w:b/>
          <w:bCs/>
        </w:rPr>
        <w:t xml:space="preserve">คู่สัญญา:</w:t>
      </w:r>
      <w:r>
        <w:t xml:space="preserve"> </w:t>
      </w:r>
      <w:r>
        <w:t xml:space="preserve">สัญญานี้ทำขึ้นระหว่าง</w:t>
      </w:r>
      <w:r>
        <w:t xml:space="preserve"> </w:t>
      </w:r>
      <w:r>
        <w:rPr>
          <w:b/>
          <w:bCs/>
        </w:rPr>
        <w:t xml:space="preserve">[บริษัท / Company]</w:t>
      </w:r>
      <w:r>
        <w:t xml:space="preserve"> </w:t>
      </w:r>
      <w:r>
        <w:t xml:space="preserve">(</w:t>
      </w:r>
      <w:r>
        <w:t xml:space="preserve">“ผู้ให้บริการ”</w:t>
      </w:r>
      <w:r>
        <w:t xml:space="preserve"> </w:t>
      </w:r>
      <w:r>
        <w:t xml:space="preserve">/</w:t>
      </w:r>
      <w:r>
        <w:t xml:space="preserve"> </w:t>
      </w:r>
      <w:r>
        <w:t xml:space="preserve">“Gateway”</w:t>
      </w:r>
      <w:r>
        <w:t xml:space="preserve">) ในฐานะผู้รับใบอนุญาต Acquiring จาก ธปท. กับ</w:t>
      </w:r>
      <w:r>
        <w:t xml:space="preserve"> </w:t>
      </w:r>
      <w:r>
        <w:rPr>
          <w:b/>
          <w:bCs/>
        </w:rPr>
        <w:t xml:space="preserve">ร้านค้า</w:t>
      </w:r>
      <w:r>
        <w:t xml:space="preserve"> </w:t>
      </w:r>
      <w:r>
        <w:t xml:space="preserve">(</w:t>
      </w:r>
      <w:r>
        <w:t xml:space="preserve">“Merchant”</w:t>
      </w:r>
      <w:r>
        <w:t xml:space="preserve">) ที่สมัครและได้รับอนุมัติให้ใช้บริการ</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คำ</w:t>
            </w:r>
          </w:p>
        </w:tc>
        <w:tc>
          <w:tcPr/>
          <w:p>
            <w:pPr>
              <w:pStyle w:val="Compact"/>
            </w:pPr>
            <w:r>
              <w:t xml:space="preserve">ความหมาย</w:t>
            </w:r>
          </w:p>
        </w:tc>
      </w:tr>
      <w:tr>
        <w:tc>
          <w:tcPr/>
          <w:p>
            <w:pPr>
              <w:pStyle w:val="Compact"/>
            </w:pPr>
            <w:r>
              <w:rPr>
                <w:b/>
                <w:bCs/>
              </w:rPr>
              <w:t xml:space="preserve">บริการ (Services)</w:t>
            </w:r>
          </w:p>
        </w:tc>
        <w:tc>
          <w:tcPr/>
          <w:p>
            <w:pPr>
              <w:pStyle w:val="Compact"/>
            </w:pPr>
            <w:r>
              <w:t xml:space="preserve">การรับ-ประมวลผลการชำระเงินด้วยบัตร/ช่องทางอิเล็กทรอนิกส์, authorization, capture, refund, void, settlement, การออก report และ dashboard</w:t>
            </w:r>
          </w:p>
        </w:tc>
      </w:tr>
      <w:tr>
        <w:tc>
          <w:tcPr/>
          <w:p>
            <w:pPr>
              <w:pStyle w:val="Compact"/>
            </w:pPr>
            <w:r>
              <w:rPr>
                <w:b/>
                <w:bCs/>
              </w:rPr>
              <w:t xml:space="preserve">ข้อมูลผู้ถือบัตร (Cardholder Data / CHD)</w:t>
            </w:r>
          </w:p>
        </w:tc>
        <w:tc>
          <w:tcPr/>
          <w:p>
            <w:pPr>
              <w:pStyle w:val="Compact"/>
            </w:pPr>
            <w:r>
              <w:t xml:space="preserve">PAN, ชื่อผู้ถือบัตร, วันหมดอายุ, service code ตามนิยาม PCI-DSS v4.0</w:t>
            </w:r>
          </w:p>
        </w:tc>
      </w:tr>
      <w:tr>
        <w:tc>
          <w:tcPr/>
          <w:p>
            <w:pPr>
              <w:pStyle w:val="Compact"/>
            </w:pPr>
            <w:r>
              <w:rPr>
                <w:b/>
                <w:bCs/>
              </w:rPr>
              <w:t xml:space="preserve">ข้อมูลยืนยันตัวตนที่อ่อนไหว (SAD)</w:t>
            </w:r>
          </w:p>
        </w:tc>
        <w:tc>
          <w:tcPr/>
          <w:p>
            <w:pPr>
              <w:pStyle w:val="Compact"/>
            </w:pPr>
            <w:r>
              <w:t xml:space="preserve">full track, CVV/CVV2/CVC2, PIN/PIN block —</w:t>
            </w:r>
            <w:r>
              <w:t xml:space="preserve"> </w:t>
            </w:r>
            <w:r>
              <w:rPr>
                <w:b/>
                <w:bCs/>
              </w:rPr>
              <w:t xml:space="preserve">ห้ามร้านค้าจัดเก็บโดยเด็ดขาด</w:t>
            </w:r>
          </w:p>
        </w:tc>
      </w:tr>
      <w:tr>
        <w:tc>
          <w:tcPr/>
          <w:p>
            <w:pPr>
              <w:pStyle w:val="Compact"/>
            </w:pPr>
            <w:r>
              <w:rPr>
                <w:b/>
                <w:bCs/>
              </w:rPr>
              <w:t xml:space="preserve">ธุรกรรม (Transaction)</w:t>
            </w:r>
          </w:p>
        </w:tc>
        <w:tc>
          <w:tcPr/>
          <w:p>
            <w:pPr>
              <w:pStyle w:val="Compact"/>
            </w:pPr>
            <w:r>
              <w:t xml:space="preserve">การขอ authorize/capture/refund/void หนึ่งครั้งผ่าน API หรือช่องทางที่ Gateway กำหนด</w:t>
            </w:r>
          </w:p>
        </w:tc>
      </w:tr>
      <w:tr>
        <w:tc>
          <w:tcPr/>
          <w:p>
            <w:pPr>
              <w:pStyle w:val="Compact"/>
            </w:pPr>
            <w:r>
              <w:rPr>
                <w:b/>
                <w:bCs/>
              </w:rPr>
              <w:t xml:space="preserve">Chargeback</w:t>
            </w:r>
          </w:p>
        </w:tc>
        <w:tc>
          <w:tcPr/>
          <w:p>
            <w:pPr>
              <w:pStyle w:val="Compact"/>
            </w:pPr>
            <w:r>
              <w:t xml:space="preserve">การโต้แย้งรายการโดยผู้ถือบัตร/ธนาคารผู้ออกบัตรผ่าน card scheme</w:t>
            </w:r>
          </w:p>
        </w:tc>
      </w:tr>
      <w:tr>
        <w:tc>
          <w:tcPr/>
          <w:p>
            <w:pPr>
              <w:pStyle w:val="Compact"/>
            </w:pPr>
            <w:r>
              <w:rPr>
                <w:b/>
                <w:bCs/>
              </w:rPr>
              <w:t xml:space="preserve">Settlement</w:t>
            </w:r>
          </w:p>
        </w:tc>
        <w:tc>
          <w:tcPr/>
          <w:p>
            <w:pPr>
              <w:pStyle w:val="Compact"/>
            </w:pPr>
            <w:r>
              <w:t xml:space="preserve">การโอนยอดสุทธิ (ยอดขาย − refund − ค่าธรรมเนียม − reserve) เข้าบัญชีร้านค้า</w:t>
            </w:r>
          </w:p>
        </w:tc>
      </w:tr>
      <w:tr>
        <w:tc>
          <w:tcPr/>
          <w:p>
            <w:pPr>
              <w:pStyle w:val="Compact"/>
            </w:pPr>
            <w:r>
              <w:rPr>
                <w:b/>
                <w:bCs/>
              </w:rPr>
              <w:t xml:space="preserve">Reserve</w:t>
            </w:r>
          </w:p>
        </w:tc>
        <w:tc>
          <w:tcPr/>
          <w:p>
            <w:pPr>
              <w:pStyle w:val="Compact"/>
            </w:pPr>
            <w:r>
              <w:t xml:space="preserve">เงินกันสำรองเพื่อความเสี่ยง chargeback/refund</w:t>
            </w:r>
          </w:p>
        </w:tc>
      </w:tr>
      <w:tr>
        <w:tc>
          <w:tcPr/>
          <w:p>
            <w:pPr>
              <w:pStyle w:val="Compact"/>
            </w:pPr>
            <w:r>
              <w:rPr>
                <w:b/>
                <w:bCs/>
              </w:rPr>
              <w:t xml:space="preserve">สกุลเงินขั้นต่ำ (Minor units)</w:t>
            </w:r>
          </w:p>
        </w:tc>
        <w:tc>
          <w:tcPr/>
          <w:p>
            <w:pPr>
              <w:pStyle w:val="Compact"/>
            </w:pPr>
            <w:r>
              <w:t xml:space="preserve">จำนวนเงินเป็นจำนวนเต็มหน่วยย่อย (สตางค์) ตาม</w:t>
            </w:r>
            <w:r>
              <w:t xml:space="preserve"> </w:t>
            </w:r>
            <w:r>
              <w:rPr>
                <w:rStyle w:val="VerbatimChar"/>
              </w:rPr>
              <w:t xml:space="preserve">ARCHITECTURE.md</w:t>
            </w:r>
          </w:p>
        </w:tc>
      </w:tr>
    </w:tbl>
    <w:p>
      <w:r>
        <w:pict>
          <v:rect style="width:0;height:1.5pt" o:hralign="center" o:hrstd="t" o:hr="t"/>
        </w:pict>
      </w:r>
    </w:p>
    <w:bookmarkEnd w:id="867"/>
    <w:bookmarkStart w:id="873" w:name="หนาทของรานคา-merchant-obligations"/>
    <w:p>
      <w:pPr>
        <w:pStyle w:val="Heading2"/>
      </w:pPr>
      <w:r>
        <w:t xml:space="preserve">2. หน้าที่ของร้านค้า (Merchant Obligations)</w:t>
      </w:r>
    </w:p>
    <w:bookmarkStart w:id="868" w:name="X6ef46d11490b5f96c73ef84d37f351517f13d95"/>
    <w:p>
      <w:pPr>
        <w:pStyle w:val="Heading3"/>
      </w:pPr>
      <w:r>
        <w:t xml:space="preserve">2.1 การขึ้นทะเบียนและ KYC/CDD (ตาม พ.ร.บ. ป้องกันและปราบปรามการฟอกเงิน / ปปง.-AMLO)</w:t>
      </w:r>
    </w:p>
    <w:p>
      <w:pPr>
        <w:pStyle w:val="FirstParagraph"/>
      </w:pPr>
      <w:r>
        <w:t xml:space="preserve">ร้านค้าต้องส่งและรับรองความถูกต้องของเอกสาร:</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ประเภทร้านค้า</w:t>
            </w:r>
          </w:p>
        </w:tc>
        <w:tc>
          <w:tcPr/>
          <w:p>
            <w:pPr>
              <w:pStyle w:val="Compact"/>
            </w:pPr>
            <w:r>
              <w:t xml:space="preserve">เอกสาร CDD ขั้นต่ำ</w:t>
            </w:r>
          </w:p>
        </w:tc>
      </w:tr>
      <w:tr>
        <w:tc>
          <w:tcPr/>
          <w:p>
            <w:pPr>
              <w:pStyle w:val="Compact"/>
            </w:pPr>
            <w:r>
              <w:t xml:space="preserve">นิติบุคคล</w:t>
            </w:r>
          </w:p>
        </w:tc>
        <w:tc>
          <w:tcPr/>
          <w:p>
            <w:pPr>
              <w:pStyle w:val="Compact"/>
            </w:pPr>
            <w:r>
              <w:t xml:space="preserve">หนังสือรับรอง (ไม่เกิน 90 วัน), บัญชีรายชื่อผู้ถือหุ้น (บอจ.5), บัตร ปชช. กรรมการผู้มีอำนาจ, ผู้รับผลประโยชน์ที่แท้จริง (UBO) ตั้งแต่ 25% ขึ้นไป, บัญชีธนาคารเพื่อ settlement</w:t>
            </w:r>
          </w:p>
        </w:tc>
      </w:tr>
      <w:tr>
        <w:tc>
          <w:tcPr/>
          <w:p>
            <w:pPr>
              <w:pStyle w:val="Compact"/>
            </w:pPr>
            <w:r>
              <w:t xml:space="preserve">บุคคลธรรมดา</w:t>
            </w:r>
          </w:p>
        </w:tc>
        <w:tc>
          <w:tcPr/>
          <w:p>
            <w:pPr>
              <w:pStyle w:val="Compact"/>
            </w:pPr>
            <w:r>
              <w:t xml:space="preserve">บัตรประชาชน, ทะเบียนพาณิชย์ (ถ้ามี), บัญชีธนาคาร</w:t>
            </w:r>
          </w:p>
        </w:tc>
      </w:tr>
    </w:tbl>
    <w:p>
      <w:pPr>
        <w:pStyle w:val="Compact"/>
        <w:numPr>
          <w:ilvl w:val="0"/>
          <w:numId w:val="1319"/>
        </w:numPr>
      </w:pPr>
      <w:r>
        <w:t xml:space="preserve">Gateway ทำ</w:t>
      </w:r>
      <w:r>
        <w:t xml:space="preserve"> </w:t>
      </w:r>
      <w:r>
        <w:rPr>
          <w:b/>
          <w:bCs/>
        </w:rPr>
        <w:t xml:space="preserve">sanction/PEP/adverse-media screening</w:t>
      </w:r>
      <w:r>
        <w:t xml:space="preserve"> </w:t>
      </w:r>
      <w:r>
        <w:t xml:space="preserve">ต่อ AMLO, UN, OFAC, EU list ก่อนอนุมัติและทำซ้ำ (rescreening) ทุก 24 ชม. หรือเมื่อ list เปลี่ยน</w:t>
      </w:r>
    </w:p>
    <w:p>
      <w:pPr>
        <w:pStyle w:val="Compact"/>
        <w:numPr>
          <w:ilvl w:val="0"/>
          <w:numId w:val="1319"/>
        </w:numPr>
      </w:pPr>
      <w:r>
        <w:t xml:space="preserve">ร้านค้าต้องแจ้ง</w:t>
      </w:r>
      <w:r>
        <w:t xml:space="preserve"> </w:t>
      </w:r>
      <w:r>
        <w:rPr>
          <w:b/>
          <w:bCs/>
        </w:rPr>
        <w:t xml:space="preserve">การเปลี่ยนแปลงสาระสำคัญ</w:t>
      </w:r>
      <w:r>
        <w:t xml:space="preserve"> </w:t>
      </w:r>
      <w:r>
        <w:t xml:space="preserve">(ผู้ถือหุ้น, กรรมการ, ประเภทสินค้า/บริการ, URL) ภายใน</w:t>
      </w:r>
      <w:r>
        <w:t xml:space="preserve"> </w:t>
      </w:r>
      <w:r>
        <w:rPr>
          <w:b/>
          <w:bCs/>
        </w:rPr>
        <w:t xml:space="preserve">7 วันทำการ</w:t>
      </w:r>
    </w:p>
    <w:p>
      <w:pPr>
        <w:pStyle w:val="Compact"/>
        <w:numPr>
          <w:ilvl w:val="0"/>
          <w:numId w:val="1319"/>
        </w:numPr>
      </w:pPr>
      <w:r>
        <w:t xml:space="preserve">ร้านค้าต้องยินยอมให้ Gateway ทำ re-KYC เป็นระยะตามระดับความเสี่ยง (Enhanced Due Diligence สำหรับ high-risk MCC)</w:t>
      </w:r>
    </w:p>
    <w:bookmarkEnd w:id="868"/>
    <w:bookmarkStart w:id="869" w:name="ประเภทธรกจตองหาม-prohibited-business"/>
    <w:p>
      <w:pPr>
        <w:pStyle w:val="Heading3"/>
      </w:pPr>
      <w:r>
        <w:t xml:space="preserve">2.2 ประเภทธุรกิจต้องห้าม (Prohibited Business)</w:t>
      </w:r>
    </w:p>
    <w:p>
      <w:pPr>
        <w:pStyle w:val="FirstParagraph"/>
      </w:pPr>
      <w:r>
        <w:t xml:space="preserve">ห้ามใช้บริการกับ: สินค้า/บริการผิดกฎหมาย, การพนันที่ไม่ได้รับอนุญาต, ยาเสพติด, อาวุธ, สินค้าละเมิดทรัพย์สินทางปัญญา, สื่อลามกที่ผิดกฎหมาย, แชร์ลูกโซ่/Ponzi, สินทรัพย์ดิจิทัลที่ไม่ได้รับอนุญาตจาก ก.ล.ต., และธุรกิจที่ card scheme หรือ ธปท. ห้าม</w:t>
      </w:r>
    </w:p>
    <w:bookmarkEnd w:id="869"/>
    <w:bookmarkStart w:id="870" w:name="หนาทดานความปลอดภยของขอมล"/>
    <w:p>
      <w:pPr>
        <w:pStyle w:val="Heading3"/>
      </w:pPr>
      <w:r>
        <w:t xml:space="preserve">2.3 หน้าที่ด้านความปลอดภัยของข้อมูล</w:t>
      </w:r>
    </w:p>
    <w:p>
      <w:pPr>
        <w:pStyle w:val="Compact"/>
        <w:numPr>
          <w:ilvl w:val="0"/>
          <w:numId w:val="1320"/>
        </w:numPr>
      </w:pPr>
      <w:r>
        <w:rPr>
          <w:b/>
          <w:bCs/>
        </w:rPr>
        <w:t xml:space="preserve">ห้ามจัดเก็บ SAD</w:t>
      </w:r>
      <w:r>
        <w:t xml:space="preserve"> </w:t>
      </w:r>
      <w:r>
        <w:t xml:space="preserve">(CVV, full track, PIN) หลัง authorization ทุกกรณี</w:t>
      </w:r>
    </w:p>
    <w:p>
      <w:pPr>
        <w:pStyle w:val="Compact"/>
        <w:numPr>
          <w:ilvl w:val="0"/>
          <w:numId w:val="1320"/>
        </w:numPr>
      </w:pPr>
      <w:r>
        <w:t xml:space="preserve">ต้องใช้</w:t>
      </w:r>
      <w:r>
        <w:t xml:space="preserve"> </w:t>
      </w:r>
      <w:r>
        <w:rPr>
          <w:b/>
          <w:bCs/>
        </w:rPr>
        <w:t xml:space="preserve">tokenization/hosted fields ของ Gateway</w:t>
      </w:r>
      <w:r>
        <w:t xml:space="preserve"> </w:t>
      </w:r>
      <w:r>
        <w:t xml:space="preserve">เพื่อให้ PAN ไม่ผ่านระบบร้านค้า (ลด PCI scope ของร้านค้าให้เหลือ SAQ-A ที่เหมาะสม)</w:t>
      </w:r>
    </w:p>
    <w:p>
      <w:pPr>
        <w:pStyle w:val="Compact"/>
        <w:numPr>
          <w:ilvl w:val="0"/>
          <w:numId w:val="1320"/>
        </w:numPr>
      </w:pPr>
      <w:r>
        <w:t xml:space="preserve">รักษาความลับ</w:t>
      </w:r>
      <w:r>
        <w:t xml:space="preserve"> </w:t>
      </w:r>
      <w:r>
        <w:rPr>
          <w:b/>
          <w:bCs/>
        </w:rPr>
        <w:t xml:space="preserve">API key/secret</w:t>
      </w:r>
      <w:r>
        <w:t xml:space="preserve">; ต้อง rotate เมื่อสงสัยว่ารั่วไหลและแจ้ง Gateway ภายใน</w:t>
      </w:r>
      <w:r>
        <w:t xml:space="preserve"> </w:t>
      </w:r>
      <w:r>
        <w:rPr>
          <w:b/>
          <w:bCs/>
        </w:rPr>
        <w:t xml:space="preserve">24 ชม.</w:t>
      </w:r>
    </w:p>
    <w:p>
      <w:pPr>
        <w:pStyle w:val="Compact"/>
        <w:numPr>
          <w:ilvl w:val="0"/>
          <w:numId w:val="1320"/>
        </w:numPr>
      </w:pPr>
      <w:r>
        <w:t xml:space="preserve">ปฏิบัติตามส่วนที่เกี่ยวข้องของ</w:t>
      </w:r>
      <w:r>
        <w:t xml:space="preserve"> </w:t>
      </w:r>
      <w:r>
        <w:rPr>
          <w:b/>
          <w:bCs/>
        </w:rPr>
        <w:t xml:space="preserve">PCI-DSS v4.0</w:t>
      </w:r>
      <w:r>
        <w:t xml:space="preserve"> </w:t>
      </w:r>
      <w:r>
        <w:t xml:space="preserve">ตามช่องทางการรับชำระของตน</w:t>
      </w:r>
    </w:p>
    <w:bookmarkEnd w:id="870"/>
    <w:bookmarkStart w:id="871" w:name="หนาทดานคณภาพธรกรรมและการเปดเผยตอผบรโภค"/>
    <w:p>
      <w:pPr>
        <w:pStyle w:val="Heading3"/>
      </w:pPr>
      <w:r>
        <w:t xml:space="preserve">2.4 หน้าที่ด้านคุณภาพธุรกรรมและการเปิดเผยต่อผู้บริโภค</w:t>
      </w:r>
    </w:p>
    <w:p>
      <w:pPr>
        <w:pStyle w:val="Compact"/>
        <w:numPr>
          <w:ilvl w:val="0"/>
          <w:numId w:val="1321"/>
        </w:numPr>
      </w:pPr>
      <w:r>
        <w:t xml:space="preserve">แสดง</w:t>
      </w:r>
      <w:r>
        <w:t xml:space="preserve"> </w:t>
      </w:r>
      <w:r>
        <w:rPr>
          <w:b/>
          <w:bCs/>
        </w:rPr>
        <w:t xml:space="preserve">ชื่อร้านค้า (descriptor)</w:t>
      </w:r>
      <w:r>
        <w:t xml:space="preserve">, ราคา, สกุลเงิน, นโยบายคืนเงิน/คืนสินค้า, ช่องทางติดต่อ อย่างชัดเจนก่อนชำระ</w:t>
      </w:r>
    </w:p>
    <w:p>
      <w:pPr>
        <w:pStyle w:val="Compact"/>
        <w:numPr>
          <w:ilvl w:val="0"/>
          <w:numId w:val="1321"/>
        </w:numPr>
      </w:pPr>
      <w:r>
        <w:t xml:space="preserve">ส่งมอบสินค้า/บริการตามที่โฆษณา; ดำเนินการ refund ตามนโยบายที่ประกาศ</w:t>
      </w:r>
    </w:p>
    <w:p>
      <w:pPr>
        <w:pStyle w:val="Compact"/>
        <w:numPr>
          <w:ilvl w:val="0"/>
          <w:numId w:val="1321"/>
        </w:numPr>
      </w:pPr>
      <w:r>
        <w:t xml:space="preserve">รักษา</w:t>
      </w:r>
      <w:r>
        <w:t xml:space="preserve"> </w:t>
      </w:r>
      <w:r>
        <w:rPr>
          <w:b/>
          <w:bCs/>
        </w:rPr>
        <w:t xml:space="preserve">อัตรา chargeback ไม่เกิน 0.9%</w:t>
      </w:r>
      <w:r>
        <w:t xml:space="preserve"> </w:t>
      </w:r>
      <w:r>
        <w:t xml:space="preserve">และ</w:t>
      </w:r>
      <w:r>
        <w:t xml:space="preserve"> </w:t>
      </w:r>
      <w:r>
        <w:rPr>
          <w:b/>
          <w:bCs/>
        </w:rPr>
        <w:t xml:space="preserve">fraud ไม่เกิน 0.9%</w:t>
      </w:r>
      <w:r>
        <w:t xml:space="preserve"> </w:t>
      </w:r>
      <w:r>
        <w:t xml:space="preserve">ของปริมาณรายการ (สอดคล้องเกณฑ์ Visa VDMP/VFMP และ Mastercard ECP; หากเกินอาจถูกจัดโปรแกรมติดตามและปรับค่าธรรมเนียม)</w:t>
      </w:r>
    </w:p>
    <w:bookmarkEnd w:id="871"/>
    <w:bookmarkStart w:id="872" w:name="X9d3220253ca9ae0999059e990918a724f91d97e"/>
    <w:p>
      <w:pPr>
        <w:pStyle w:val="Heading3"/>
      </w:pPr>
      <w:r>
        <w:t xml:space="preserve">2.5 PDPA (พ.ร.บ. คุ้มครองข้อมูลส่วนบุคคล พ.ศ. 2562 / PDPC)</w:t>
      </w:r>
    </w:p>
    <w:p>
      <w:pPr>
        <w:pStyle w:val="Compact"/>
        <w:numPr>
          <w:ilvl w:val="0"/>
          <w:numId w:val="1322"/>
        </w:numPr>
      </w:pPr>
      <w:r>
        <w:t xml:space="preserve">ในการประมวลผลข้อมูลลูกค้าร่วมกัน คู่สัญญาตกลงบทบาทตามภาคผนวก DPA: โดยทั่วไป Gateway เป็น</w:t>
      </w:r>
      <w:r>
        <w:t xml:space="preserve"> </w:t>
      </w:r>
      <w:r>
        <w:rPr>
          <w:b/>
          <w:bCs/>
        </w:rPr>
        <w:t xml:space="preserve">ผู้ควบคุมข้อมูลร่วม/ผู้ประมวลผล</w:t>
      </w:r>
      <w:r>
        <w:t xml:space="preserve"> </w:t>
      </w:r>
      <w:r>
        <w:t xml:space="preserve">เฉพาะเพื่อการชำระเงินและป้องกันการฉ้อโกงตามฐาน</w:t>
      </w:r>
      <w:r>
        <w:t xml:space="preserve"> </w:t>
      </w:r>
      <w:r>
        <w:t xml:space="preserve">“สัญญา”</w:t>
      </w:r>
      <w:r>
        <w:t xml:space="preserve"> </w:t>
      </w:r>
      <w:r>
        <w:t xml:space="preserve">และ</w:t>
      </w:r>
      <w:r>
        <w:t xml:space="preserve"> </w:t>
      </w:r>
      <w:r>
        <w:t xml:space="preserve">“ประโยชน์โดยชอบด้วยกฎหมาย/หน้าที่ตามกฎหมาย”</w:t>
      </w:r>
    </w:p>
    <w:p>
      <w:pPr>
        <w:pStyle w:val="Compact"/>
        <w:numPr>
          <w:ilvl w:val="0"/>
          <w:numId w:val="1322"/>
        </w:numPr>
      </w:pPr>
      <w:r>
        <w:t xml:space="preserve">ร้านค้าต้องมีฐานการประมวลผลที่ชอบด้วยกฎหมายของตนเอง และแจ้งเหตุละเมิดข้อมูลที่กระทบข้อมูลชำระเงินภายใน</w:t>
      </w:r>
      <w:r>
        <w:t xml:space="preserve"> </w:t>
      </w:r>
      <w:r>
        <w:rPr>
          <w:b/>
          <w:bCs/>
        </w:rPr>
        <w:t xml:space="preserve">72 ชม.</w:t>
      </w:r>
    </w:p>
    <w:p>
      <w:r>
        <w:pict>
          <v:rect style="width:0;height:1.5pt" o:hralign="center" o:hrstd="t" o:hr="t"/>
        </w:pict>
      </w:r>
    </w:p>
    <w:bookmarkEnd w:id="872"/>
    <w:bookmarkEnd w:id="873"/>
    <w:bookmarkStart w:id="876" w:name="X5ded4b8fb9965531de0f5a39d01e49f637508fe"/>
    <w:p>
      <w:pPr>
        <w:pStyle w:val="Heading2"/>
      </w:pPr>
      <w:r>
        <w:t xml:space="preserve">3. หน้าที่และความรับผิดของ Gateway (Gateway Obligations &amp; Liability)</w:t>
      </w:r>
    </w:p>
    <w:bookmarkStart w:id="874" w:name="หนาทของ-gateway"/>
    <w:p>
      <w:pPr>
        <w:pStyle w:val="Heading3"/>
      </w:pPr>
      <w:r>
        <w:t xml:space="preserve">3.1 หน้าที่ของ Gateway</w:t>
      </w:r>
    </w:p>
    <w:p>
      <w:pPr>
        <w:pStyle w:val="Compact"/>
        <w:numPr>
          <w:ilvl w:val="0"/>
          <w:numId w:val="1323"/>
        </w:numPr>
      </w:pPr>
      <w:r>
        <w:t xml:space="preserve">ให้บริการ authorize/capture/refund/void, settlement, dashboard และ webhook แบบ at-least-once ตาม</w:t>
      </w:r>
      <w:r>
        <w:t xml:space="preserve"> </w:t>
      </w:r>
      <w:r>
        <w:rPr>
          <w:rStyle w:val="VerbatimChar"/>
        </w:rPr>
        <w:t xml:space="preserve">ARCHITECTURE.md</w:t>
      </w:r>
    </w:p>
    <w:p>
      <w:pPr>
        <w:pStyle w:val="Compact"/>
        <w:numPr>
          <w:ilvl w:val="0"/>
          <w:numId w:val="1323"/>
        </w:numPr>
      </w:pPr>
      <w:r>
        <w:t xml:space="preserve">รักษา</w:t>
      </w:r>
      <w:r>
        <w:t xml:space="preserve"> </w:t>
      </w:r>
      <w:r>
        <w:rPr>
          <w:b/>
          <w:bCs/>
        </w:rPr>
        <w:t xml:space="preserve">Availability ≥ 99.95%</w:t>
      </w:r>
      <w:r>
        <w:t xml:space="preserve"> </w:t>
      </w:r>
      <w:r>
        <w:t xml:space="preserve">ของ payment core; auth latency p99 &lt; 800 ms</w:t>
      </w:r>
    </w:p>
    <w:p>
      <w:pPr>
        <w:pStyle w:val="Compact"/>
        <w:numPr>
          <w:ilvl w:val="0"/>
          <w:numId w:val="1323"/>
        </w:numPr>
      </w:pPr>
      <w:r>
        <w:t xml:space="preserve">ดำรง</w:t>
      </w:r>
      <w:r>
        <w:t xml:space="preserve"> </w:t>
      </w:r>
      <w:r>
        <w:rPr>
          <w:b/>
          <w:bCs/>
        </w:rPr>
        <w:t xml:space="preserve">PCI-DSS v4.0 Level 1</w:t>
      </w:r>
      <w:r>
        <w:t xml:space="preserve"> </w:t>
      </w:r>
      <w:r>
        <w:t xml:space="preserve">(RoC โดย QSA รายปี + ASV scan รายไตรมาส + pentest รายปี) และรายงานสถานะต่อร้านค้าเมื่อร้องขอ (AoC)</w:t>
      </w:r>
    </w:p>
    <w:p>
      <w:pPr>
        <w:pStyle w:val="Compact"/>
        <w:numPr>
          <w:ilvl w:val="0"/>
          <w:numId w:val="1323"/>
        </w:numPr>
      </w:pPr>
      <w:r>
        <w:t xml:space="preserve">ดำรงทุนจดทะเบียนชำระแล้วและปฏิบัติตามเงื่อนไขใบอนุญาต ธปท. (คงทุน</w:t>
      </w:r>
      <w:r>
        <w:t xml:space="preserve"> </w:t>
      </w:r>
      <w:r>
        <w:rPr>
          <w:b/>
          <w:bCs/>
        </w:rPr>
        <w:t xml:space="preserve">ไม่น้อยกว่า 75%</w:t>
      </w:r>
      <w:r>
        <w:t xml:space="preserve"> </w:t>
      </w:r>
      <w:r>
        <w:t xml:space="preserve">ตลอดการดำเนินงาน)</w:t>
      </w:r>
    </w:p>
    <w:bookmarkEnd w:id="874"/>
    <w:bookmarkStart w:id="875" w:name="การจำกดความรบผด-limitation-of-liability"/>
    <w:p>
      <w:pPr>
        <w:pStyle w:val="Heading3"/>
      </w:pPr>
      <w:r>
        <w:t xml:space="preserve">3.2 การจำกัดความรับผิด (Limitation of Liability)</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กรณี</w:t>
            </w:r>
          </w:p>
        </w:tc>
        <w:tc>
          <w:tcPr/>
          <w:p>
            <w:pPr>
              <w:pStyle w:val="Compact"/>
            </w:pPr>
            <w:r>
              <w:t xml:space="preserve">ผู้รับผิด</w:t>
            </w:r>
          </w:p>
        </w:tc>
      </w:tr>
      <w:tr>
        <w:tc>
          <w:tcPr/>
          <w:p>
            <w:pPr>
              <w:pStyle w:val="Compact"/>
            </w:pPr>
            <w:r>
              <w:t xml:space="preserve">Chargeback, การฉ้อโกงจากลูกค้าร้านค้า, สินค้าไม่ส่งมอบ/ไม่ตรงปก</w:t>
            </w:r>
          </w:p>
        </w:tc>
        <w:tc>
          <w:tcPr/>
          <w:p>
            <w:pPr>
              <w:pStyle w:val="Compact"/>
            </w:pPr>
            <w:r>
              <w:rPr>
                <w:b/>
                <w:bCs/>
              </w:rPr>
              <w:t xml:space="preserve">ร้านค้า</w:t>
            </w:r>
            <w:r>
              <w:t xml:space="preserve"> </w:t>
            </w:r>
            <w:r>
              <w:t xml:space="preserve">(Gateway หักคืนได้จาก settlement/reserve)</w:t>
            </w:r>
          </w:p>
        </w:tc>
      </w:tr>
      <w:tr>
        <w:tc>
          <w:tcPr/>
          <w:p>
            <w:pPr>
              <w:pStyle w:val="Compact"/>
            </w:pPr>
            <w:r>
              <w:t xml:space="preserve">ค่าปรับจาก scheme/ธปท. อันเกิดจากการละเมิดของร้านค้า</w:t>
            </w:r>
          </w:p>
        </w:tc>
        <w:tc>
          <w:tcPr/>
          <w:p>
            <w:pPr>
              <w:pStyle w:val="Compact"/>
            </w:pPr>
            <w:r>
              <w:rPr>
                <w:b/>
                <w:bCs/>
              </w:rPr>
              <w:t xml:space="preserve">ร้านค้า</w:t>
            </w:r>
          </w:p>
        </w:tc>
      </w:tr>
      <w:tr>
        <w:tc>
          <w:tcPr/>
          <w:p>
            <w:pPr>
              <w:pStyle w:val="Compact"/>
            </w:pPr>
            <w:r>
              <w:t xml:space="preserve">ระบบ Gateway ขัดข้องเกิน SLA จนเกิดความเสียหายพิสูจน์ได้โดยตรง</w:t>
            </w:r>
          </w:p>
        </w:tc>
        <w:tc>
          <w:tcPr/>
          <w:p>
            <w:pPr>
              <w:pStyle w:val="Compact"/>
            </w:pPr>
            <w:r>
              <w:rPr>
                <w:b/>
                <w:bCs/>
              </w:rPr>
              <w:t xml:space="preserve">Gateway</w:t>
            </w:r>
            <w:r>
              <w:t xml:space="preserve"> </w:t>
            </w:r>
            <w:r>
              <w:t xml:space="preserve">ภายในเพดานที่กำหนด</w:t>
            </w:r>
          </w:p>
        </w:tc>
      </w:tr>
      <w:tr>
        <w:tc>
          <w:tcPr/>
          <w:p>
            <w:pPr>
              <w:pStyle w:val="Compact"/>
            </w:pPr>
            <w:r>
              <w:t xml:space="preserve">การละเมิดข้อมูลที่เกิดในระบบ/ความรับผิดชอบของ Gateway</w:t>
            </w:r>
          </w:p>
        </w:tc>
        <w:tc>
          <w:tcPr/>
          <w:p>
            <w:pPr>
              <w:pStyle w:val="Compact"/>
            </w:pPr>
            <w:r>
              <w:rPr>
                <w:b/>
                <w:bCs/>
              </w:rPr>
              <w:t xml:space="preserve">Gateway</w:t>
            </w:r>
          </w:p>
        </w:tc>
      </w:tr>
    </w:tbl>
    <w:p>
      <w:pPr>
        <w:pStyle w:val="Compact"/>
        <w:numPr>
          <w:ilvl w:val="0"/>
          <w:numId w:val="1324"/>
        </w:numPr>
      </w:pPr>
      <w:r>
        <w:rPr>
          <w:b/>
          <w:bCs/>
        </w:rPr>
        <w:t xml:space="preserve">เพดานความรับผิดรวมของ Gateway</w:t>
      </w:r>
      <w:r>
        <w:t xml:space="preserve"> </w:t>
      </w:r>
      <w:r>
        <w:t xml:space="preserve">ต่อร้านค้าในรอบ 12 เดือน จำกัดไม่เกิน</w:t>
      </w:r>
      <w:r>
        <w:t xml:space="preserve"> </w:t>
      </w:r>
      <w:r>
        <w:rPr>
          <w:b/>
          <w:bCs/>
        </w:rPr>
        <w:t xml:space="preserve">ค่าธรรมเนียมสุทธิที่ร้านค้าชำระให้ Gateway ในรอบ 3 เดือนก่อนเหตุ</w:t>
      </w:r>
      <w:r>
        <w:t xml:space="preserve"> </w:t>
      </w:r>
      <w:r>
        <w:t xml:space="preserve">เว้นแต่กรณีจงใจ/ประมาทเลินเล่ออย่างร้ายแรง หรือความรับผิดที่กฎหมายห้ามจำกัด</w:t>
      </w:r>
    </w:p>
    <w:p>
      <w:pPr>
        <w:pStyle w:val="Compact"/>
        <w:numPr>
          <w:ilvl w:val="0"/>
          <w:numId w:val="1324"/>
        </w:numPr>
      </w:pPr>
      <w:r>
        <w:t xml:space="preserve">ไม่รับผิดในความเสียหายทางอ้อม/ผลสืบเนื่อง (indirect/consequential) รวมถึงการสูญเสียกำไร ยกเว้นที่กฎหมายกำหนด</w:t>
      </w:r>
    </w:p>
    <w:p>
      <w:r>
        <w:pict>
          <v:rect style="width:0;height:1.5pt" o:hralign="center" o:hrstd="t" o:hr="t"/>
        </w:pict>
      </w:r>
    </w:p>
    <w:bookmarkEnd w:id="875"/>
    <w:bookmarkEnd w:id="876"/>
    <w:bookmarkStart w:id="877" w:name="X73122919f85d6e9f968b469ff8254bd32f06dd7"/>
    <w:p>
      <w:pPr>
        <w:pStyle w:val="Heading2"/>
      </w:pPr>
      <w:r>
        <w:t xml:space="preserve">4. การจัดการข้อพิพาท Chargeback และการกันสำรอง (Reserve)</w:t>
      </w:r>
    </w:p>
    <w:tbl>
      <w:tblPr>
        <w:tblStyle w:val="Table"/>
        <w:tblW w:type="pct" w:w="5000"/>
        <w:tblLayout w:type="fixed"/>
        <w:tblLook w:firstRow="1" w:lastRow="0" w:firstColumn="0" w:lastColumn="0" w:noHBand="0" w:noVBand="0" w:val="0020"/>
      </w:tblPr>
      <w:tblGrid>
        <w:gridCol w:w="2227"/>
        <w:gridCol w:w="3217"/>
        <w:gridCol w:w="2475"/>
      </w:tblGrid>
      <w:tr>
        <w:trPr>
          <w:tblHeader w:val="on"/>
        </w:trPr>
        <w:tc>
          <w:tcPr/>
          <w:p>
            <w:pPr>
              <w:pStyle w:val="Compact"/>
            </w:pPr>
            <w:r>
              <w:t xml:space="preserve">ขั้นตอน</w:t>
            </w:r>
          </w:p>
        </w:tc>
        <w:tc>
          <w:tcPr/>
          <w:p>
            <w:pPr>
              <w:pStyle w:val="Compact"/>
            </w:pPr>
            <w:r>
              <w:t xml:space="preserve">ผู้รับผิดชอบ</w:t>
            </w:r>
          </w:p>
        </w:tc>
        <w:tc>
          <w:tcPr/>
          <w:p>
            <w:pPr>
              <w:pStyle w:val="Compact"/>
            </w:pPr>
            <w:r>
              <w:t xml:space="preserve">Timeline</w:t>
            </w:r>
          </w:p>
        </w:tc>
      </w:tr>
      <w:tr>
        <w:tc>
          <w:tcPr/>
          <w:p>
            <w:pPr>
              <w:pStyle w:val="Compact"/>
            </w:pPr>
            <w:r>
              <w:t xml:space="preserve">แจ้งเตือน chargeback ผ่าน dashboard/webhook</w:t>
            </w:r>
          </w:p>
        </w:tc>
        <w:tc>
          <w:tcPr/>
          <w:p>
            <w:pPr>
              <w:pStyle w:val="Compact"/>
            </w:pPr>
            <w:r>
              <w:t xml:space="preserve">Gateway</w:t>
            </w:r>
          </w:p>
        </w:tc>
        <w:tc>
          <w:tcPr/>
          <w:p>
            <w:pPr>
              <w:pStyle w:val="Compact"/>
            </w:pPr>
            <w:r>
              <w:t xml:space="preserve">ภายใน 1 วันทำการหลังได้รับจาก scheme</w:t>
            </w:r>
          </w:p>
        </w:tc>
      </w:tr>
      <w:tr>
        <w:tc>
          <w:tcPr/>
          <w:p>
            <w:pPr>
              <w:pStyle w:val="Compact"/>
            </w:pPr>
            <w:r>
              <w:t xml:space="preserve">ส่งหลักฐานโต้แย้ง (representment)</w:t>
            </w:r>
          </w:p>
        </w:tc>
        <w:tc>
          <w:tcPr/>
          <w:p>
            <w:pPr>
              <w:pStyle w:val="Compact"/>
            </w:pPr>
            <w:r>
              <w:t xml:space="preserve">ร้านค้า</w:t>
            </w:r>
          </w:p>
        </w:tc>
        <w:tc>
          <w:tcPr/>
          <w:p>
            <w:pPr>
              <w:pStyle w:val="Compact"/>
            </w:pPr>
            <w:r>
              <w:t xml:space="preserve">ภายใน</w:t>
            </w:r>
            <w:r>
              <w:t xml:space="preserve"> </w:t>
            </w:r>
            <w:r>
              <w:rPr>
                <w:b/>
                <w:bCs/>
              </w:rPr>
              <w:t xml:space="preserve">7 วันทำการ</w:t>
            </w:r>
            <w:r>
              <w:t xml:space="preserve"> </w:t>
            </w:r>
            <w:r>
              <w:t xml:space="preserve">(ต้องไม่เกินกรอบ scheme)</w:t>
            </w:r>
          </w:p>
        </w:tc>
      </w:tr>
      <w:tr>
        <w:tc>
          <w:tcPr/>
          <w:p>
            <w:pPr>
              <w:pStyle w:val="Compact"/>
            </w:pPr>
            <w:r>
              <w:t xml:space="preserve">ยื่นต่อ scheme และแจ้งผล</w:t>
            </w:r>
          </w:p>
        </w:tc>
        <w:tc>
          <w:tcPr/>
          <w:p>
            <w:pPr>
              <w:pStyle w:val="Compact"/>
            </w:pPr>
            <w:r>
              <w:t xml:space="preserve">Gateway</w:t>
            </w:r>
          </w:p>
        </w:tc>
        <w:tc>
          <w:tcPr/>
          <w:p>
            <w:pPr>
              <w:pStyle w:val="Compact"/>
            </w:pPr>
            <w:r>
              <w:t xml:space="preserve">ตามกรอบ Visa/Mastercard</w:t>
            </w:r>
          </w:p>
        </w:tc>
      </w:tr>
    </w:tbl>
    <w:p>
      <w:pPr>
        <w:pStyle w:val="Compact"/>
        <w:numPr>
          <w:ilvl w:val="0"/>
          <w:numId w:val="1325"/>
        </w:numPr>
      </w:pPr>
      <w:r>
        <w:rPr>
          <w:b/>
          <w:bCs/>
        </w:rPr>
        <w:t xml:space="preserve">Rolling reserve (สมมติฐาน):</w:t>
      </w:r>
      <w:r>
        <w:t xml:space="preserve"> </w:t>
      </w:r>
      <w:r>
        <w:t xml:space="preserve">เริ่มต้น</w:t>
      </w:r>
      <w:r>
        <w:t xml:space="preserve"> </w:t>
      </w:r>
      <w:r>
        <w:rPr>
          <w:b/>
          <w:bCs/>
        </w:rPr>
        <w:t xml:space="preserve">5–10%</w:t>
      </w:r>
      <w:r>
        <w:t xml:space="preserve"> </w:t>
      </w:r>
      <w:r>
        <w:t xml:space="preserve">ของยอดธุรกรรม กันไว้</w:t>
      </w:r>
      <w:r>
        <w:t xml:space="preserve"> </w:t>
      </w:r>
      <w:r>
        <w:rPr>
          <w:b/>
          <w:bCs/>
        </w:rPr>
        <w:t xml:space="preserve">90–180 วัน</w:t>
      </w:r>
      <w:r>
        <w:t xml:space="preserve"> </w:t>
      </w:r>
      <w:r>
        <w:t xml:space="preserve">สำหรับร้านค้าใหม่/high-risk — [TODO] อัตราจริงกำหนดตามผลประเมินความเสี่ยงและเงื่อนไข sponsor bank</w:t>
      </w:r>
    </w:p>
    <w:p>
      <w:pPr>
        <w:pStyle w:val="Compact"/>
        <w:numPr>
          <w:ilvl w:val="0"/>
          <w:numId w:val="1325"/>
        </w:numPr>
      </w:pPr>
      <w:r>
        <w:t xml:space="preserve">Gateway มีสิทธิปรับ reserve, ระงับ settlement บางส่วน หรือชะลอการจ่ายเมื่อพบความเสี่ยงผิดปกติ (velocity, fraud spike) โดยแจ้งร้านค้า</w:t>
      </w:r>
    </w:p>
    <w:p>
      <w:r>
        <w:pict>
          <v:rect style="width:0;height:1.5pt" o:hralign="center" o:hrstd="t" o:hr="t"/>
        </w:pict>
      </w:r>
    </w:p>
    <w:bookmarkEnd w:id="877"/>
    <w:bookmarkStart w:id="878" w:name="Xd8a94989cb975e9f1260297b316c6bcbdc5d189"/>
    <w:p>
      <w:pPr>
        <w:pStyle w:val="Heading2"/>
      </w:pPr>
      <w:r>
        <w:t xml:space="preserve">5. ค่าธรรมเนียมและการชำระเงินคืน (Fees &amp; Settlement)</w:t>
      </w:r>
    </w:p>
    <w:p>
      <w:pPr>
        <w:pStyle w:val="BlockText"/>
      </w:pPr>
      <w:r>
        <w:t xml:space="preserve">[!NOTE]</w:t>
      </w:r>
      <w:r>
        <w:t xml:space="preserve"> </w:t>
      </w:r>
      <w:r>
        <w:t xml:space="preserve">ตัวเลขด้านล่างเป็น</w:t>
      </w:r>
      <w:r>
        <w:t xml:space="preserve"> </w:t>
      </w:r>
      <w:r>
        <w:rPr>
          <w:b/>
          <w:bCs/>
        </w:rPr>
        <w:t xml:space="preserve">ช่วงตัวอย่างเชิงพาณิชย์</w:t>
      </w:r>
      <w:r>
        <w:t xml:space="preserve"> </w:t>
      </w:r>
      <w:r>
        <w:t xml:space="preserve">เพื่อประกอบการยื่น — ต้องแทนด้วยอัตราจริงที่ตกลงกับร้านค้าและสอดคล้องกับต้นทุน interchange/scheme ของ sponsor bank ([TODO])</w:t>
      </w:r>
    </w:p>
    <w:tbl>
      <w:tblPr>
        <w:tblStyle w:val="Table"/>
        <w:tblW w:type="pct" w:w="5000"/>
        <w:tblLayout w:type="fixed"/>
        <w:tblLook w:firstRow="1" w:lastRow="0" w:firstColumn="0" w:lastColumn="0" w:noHBand="0" w:noVBand="0" w:val="0020"/>
      </w:tblPr>
      <w:tblGrid>
        <w:gridCol w:w="3771"/>
        <w:gridCol w:w="1508"/>
        <w:gridCol w:w="2640"/>
      </w:tblGrid>
      <w:tr>
        <w:trPr>
          <w:tblHeader w:val="on"/>
        </w:trPr>
        <w:tc>
          <w:tcPr/>
          <w:p>
            <w:pPr>
              <w:pStyle w:val="Compact"/>
            </w:pPr>
            <w:r>
              <w:t xml:space="preserve">รายการค่าธรรมเนียม</w:t>
            </w:r>
          </w:p>
        </w:tc>
        <w:tc>
          <w:tcPr/>
          <w:p>
            <w:pPr>
              <w:pStyle w:val="Compact"/>
            </w:pPr>
            <w:r>
              <w:t xml:space="preserve">ฐานคิด</w:t>
            </w:r>
          </w:p>
        </w:tc>
        <w:tc>
          <w:tcPr/>
          <w:p>
            <w:pPr>
              <w:pStyle w:val="Compact"/>
            </w:pPr>
            <w:r>
              <w:t xml:space="preserve">ช่วงตัวอย่าง</w:t>
            </w:r>
          </w:p>
        </w:tc>
      </w:tr>
      <w:tr>
        <w:tc>
          <w:tcPr/>
          <w:p>
            <w:pPr>
              <w:pStyle w:val="Compact"/>
            </w:pPr>
            <w:r>
              <w:t xml:space="preserve">MDR (Merchant Discount Rate) บัตรในประเทศ</w:t>
            </w:r>
          </w:p>
        </w:tc>
        <w:tc>
          <w:tcPr/>
          <w:p>
            <w:pPr>
              <w:pStyle w:val="Compact"/>
            </w:pPr>
            <w:r>
              <w:t xml:space="preserve">% ต่อรายการสำเร็จ</w:t>
            </w:r>
          </w:p>
        </w:tc>
        <w:tc>
          <w:tcPr/>
          <w:p>
            <w:pPr>
              <w:pStyle w:val="Compact"/>
            </w:pPr>
            <w:r>
              <w:t xml:space="preserve">1.8–2.5%</w:t>
            </w:r>
          </w:p>
        </w:tc>
      </w:tr>
      <w:tr>
        <w:tc>
          <w:tcPr/>
          <w:p>
            <w:pPr>
              <w:pStyle w:val="Compact"/>
            </w:pPr>
            <w:r>
              <w:t xml:space="preserve">MDR บัตรต่างประเทศ / cross-border</w:t>
            </w:r>
          </w:p>
        </w:tc>
        <w:tc>
          <w:tcPr/>
          <w:p>
            <w:pPr>
              <w:pStyle w:val="Compact"/>
            </w:pPr>
            <w:r>
              <w:t xml:space="preserve">% ต่อรายการ</w:t>
            </w:r>
          </w:p>
        </w:tc>
        <w:tc>
          <w:tcPr/>
          <w:p>
            <w:pPr>
              <w:pStyle w:val="Compact"/>
            </w:pPr>
            <w:r>
              <w:t xml:space="preserve">2.9–3.9%</w:t>
            </w:r>
          </w:p>
        </w:tc>
      </w:tr>
      <w:tr>
        <w:tc>
          <w:tcPr/>
          <w:p>
            <w:pPr>
              <w:pStyle w:val="Compact"/>
            </w:pPr>
            <w:r>
              <w:t xml:space="preserve">ค่าธรรมเนียมรายรายการ (per-transaction)</w:t>
            </w:r>
          </w:p>
        </w:tc>
        <w:tc>
          <w:tcPr/>
          <w:p>
            <w:pPr>
              <w:pStyle w:val="Compact"/>
            </w:pPr>
            <w:r>
              <w:t xml:space="preserve">ต่อ authorization</w:t>
            </w:r>
          </w:p>
        </w:tc>
        <w:tc>
          <w:tcPr/>
          <w:p>
            <w:pPr>
              <w:pStyle w:val="Compact"/>
            </w:pPr>
            <w:r>
              <w:t xml:space="preserve">1–3 บาท</w:t>
            </w:r>
          </w:p>
        </w:tc>
      </w:tr>
      <w:tr>
        <w:tc>
          <w:tcPr/>
          <w:p>
            <w:pPr>
              <w:pStyle w:val="Compact"/>
            </w:pPr>
            <w:r>
              <w:t xml:space="preserve">Refund fee</w:t>
            </w:r>
          </w:p>
        </w:tc>
        <w:tc>
          <w:tcPr/>
          <w:p>
            <w:pPr>
              <w:pStyle w:val="Compact"/>
            </w:pPr>
            <w:r>
              <w:t xml:space="preserve">ต่อรายการ refund</w:t>
            </w:r>
          </w:p>
        </w:tc>
        <w:tc>
          <w:tcPr/>
          <w:p>
            <w:pPr>
              <w:pStyle w:val="Compact"/>
            </w:pPr>
            <w:r>
              <w:t xml:space="preserve">0–5 บาท</w:t>
            </w:r>
          </w:p>
        </w:tc>
      </w:tr>
      <w:tr>
        <w:tc>
          <w:tcPr/>
          <w:p>
            <w:pPr>
              <w:pStyle w:val="Compact"/>
            </w:pPr>
            <w:r>
              <w:t xml:space="preserve">Chargeback fee</w:t>
            </w:r>
          </w:p>
        </w:tc>
        <w:tc>
          <w:tcPr/>
          <w:p>
            <w:pPr>
              <w:pStyle w:val="Compact"/>
            </w:pPr>
            <w:r>
              <w:t xml:space="preserve">ต่อ chargeback</w:t>
            </w:r>
          </w:p>
        </w:tc>
        <w:tc>
          <w:tcPr/>
          <w:p>
            <w:pPr>
              <w:pStyle w:val="Compact"/>
            </w:pPr>
            <w:r>
              <w:t xml:space="preserve">300–800 บาท</w:t>
            </w:r>
          </w:p>
        </w:tc>
      </w:tr>
      <w:tr>
        <w:tc>
          <w:tcPr/>
          <w:p>
            <w:pPr>
              <w:pStyle w:val="Compact"/>
            </w:pPr>
            <w:r>
              <w:t xml:space="preserve">ค่าธรรมเนียม settlement/payout</w:t>
            </w:r>
          </w:p>
        </w:tc>
        <w:tc>
          <w:tcPr/>
          <w:p>
            <w:pPr>
              <w:pStyle w:val="Compact"/>
            </w:pPr>
            <w:r>
              <w:t xml:space="preserve">ต่อรอบโอน</w:t>
            </w:r>
          </w:p>
        </w:tc>
        <w:tc>
          <w:tcPr/>
          <w:p>
            <w:pPr>
              <w:pStyle w:val="Compact"/>
            </w:pPr>
            <w:r>
              <w:t xml:space="preserve">ตามข้อตกลง</w:t>
            </w:r>
          </w:p>
        </w:tc>
      </w:tr>
    </w:tbl>
    <w:p>
      <w:pPr>
        <w:pStyle w:val="Compact"/>
        <w:numPr>
          <w:ilvl w:val="0"/>
          <w:numId w:val="1326"/>
        </w:numPr>
      </w:pPr>
      <w:r>
        <w:rPr>
          <w:b/>
          <w:bCs/>
        </w:rPr>
        <w:t xml:space="preserve">รอบ settlement (สมมติฐาน):</w:t>
      </w:r>
      <w:r>
        <w:t xml:space="preserve"> </w:t>
      </w:r>
      <w:r>
        <w:t xml:space="preserve">T+1 ถึง T+2 วันทำการหลัง capture โดยหักค่าธรรมเนียมและ reserve — [TODO] cut-off จริงตาม sponsor bank</w:t>
      </w:r>
    </w:p>
    <w:p>
      <w:pPr>
        <w:pStyle w:val="Compact"/>
        <w:numPr>
          <w:ilvl w:val="0"/>
          <w:numId w:val="1326"/>
        </w:numPr>
      </w:pPr>
      <w:r>
        <w:t xml:space="preserve">เงินคิดเป็น</w:t>
      </w:r>
      <w:r>
        <w:t xml:space="preserve"> </w:t>
      </w:r>
      <w:r>
        <w:rPr>
          <w:b/>
          <w:bCs/>
        </w:rPr>
        <w:t xml:space="preserve">จำนวนเต็มหน่วยย่อย (สตางค์)</w:t>
      </w:r>
      <w:r>
        <w:t xml:space="preserve"> </w:t>
      </w:r>
      <w:r>
        <w:t xml:space="preserve">และคำนวณด้วย</w:t>
      </w:r>
      <w:r>
        <w:t xml:space="preserve"> </w:t>
      </w:r>
      <w:r>
        <w:rPr>
          <w:rStyle w:val="VerbatimChar"/>
        </w:rPr>
        <w:t xml:space="preserve">decimal</w:t>
      </w:r>
      <w:r>
        <w:t xml:space="preserve"> </w:t>
      </w:r>
      <w:r>
        <w:t xml:space="preserve">(ไม่ใช้ float) ตาม</w:t>
      </w:r>
      <w:r>
        <w:t xml:space="preserve"> </w:t>
      </w:r>
      <w:r>
        <w:rPr>
          <w:rStyle w:val="VerbatimChar"/>
        </w:rPr>
        <w:t xml:space="preserve">ARCHITECTURE.md</w:t>
      </w:r>
    </w:p>
    <w:p>
      <w:pPr>
        <w:pStyle w:val="Compact"/>
        <w:numPr>
          <w:ilvl w:val="0"/>
          <w:numId w:val="1326"/>
        </w:numPr>
      </w:pPr>
      <w:r>
        <w:t xml:space="preserve">Gateway ออกใบแจ้ง/รายงานค่าธรรมเนียมและ VAT ตามกฎหมายภาษีไทย; แจ้งการเปลี่ยนอัตราล่วงหน้าไม่น้อยกว่า</w:t>
      </w:r>
      <w:r>
        <w:t xml:space="preserve"> </w:t>
      </w:r>
      <w:r>
        <w:rPr>
          <w:b/>
          <w:bCs/>
        </w:rPr>
        <w:t xml:space="preserve">30 วัน</w:t>
      </w:r>
    </w:p>
    <w:p>
      <w:r>
        <w:pict>
          <v:rect style="width:0;height:1.5pt" o:hralign="center" o:hrstd="t" o:hr="t"/>
        </w:pict>
      </w:r>
    </w:p>
    <w:bookmarkEnd w:id="878"/>
    <w:bookmarkStart w:id="882" w:name="X58d5207875b9e8d2e94c8296cc48741a1ae0c59"/>
    <w:p>
      <w:pPr>
        <w:pStyle w:val="Heading2"/>
      </w:pPr>
      <w:r>
        <w:t xml:space="preserve">6. การบอกเลิกและการระงับบริการ (Termination &amp; Suspension)</w:t>
      </w:r>
    </w:p>
    <w:bookmarkStart w:id="879" w:name="การระงบทนท-immediate-suspension"/>
    <w:p>
      <w:pPr>
        <w:pStyle w:val="Heading3"/>
      </w:pPr>
      <w:r>
        <w:t xml:space="preserve">6.1 การระงับทันที (Immediate Suspension)</w:t>
      </w:r>
    </w:p>
    <w:p>
      <w:pPr>
        <w:pStyle w:val="FirstParagraph"/>
      </w:pPr>
      <w:r>
        <w:t xml:space="preserve">Gateway ระงับบริการได้ทันทีเมื่อ: ต้องสงสัยฟอกเงิน/สนับสนุนการก่อการร้าย, ติด sanction list, fraud/chargeback เกินเกณฑ์อย่างมีนัยสำคัญ, ทำธุรกิจต้องห้าม, ละเมิดข้อมูลบัตร หรือมีคำสั่งจาก ธปท./ปปง./ศาล</w:t>
      </w:r>
    </w:p>
    <w:bookmarkEnd w:id="879"/>
    <w:bookmarkStart w:id="880" w:name="การบอกเลกโดยคสญญา"/>
    <w:p>
      <w:pPr>
        <w:pStyle w:val="Heading3"/>
      </w:pPr>
      <w:r>
        <w:t xml:space="preserve">6.2 การบอกเลิกโดยคู่สัญญา</w:t>
      </w:r>
    </w:p>
    <w:p>
      <w:pPr>
        <w:pStyle w:val="Compact"/>
        <w:numPr>
          <w:ilvl w:val="0"/>
          <w:numId w:val="1327"/>
        </w:numPr>
      </w:pPr>
      <w:r>
        <w:rPr>
          <w:b/>
          <w:bCs/>
        </w:rPr>
        <w:t xml:space="preserve">ร้านค้า:</w:t>
      </w:r>
      <w:r>
        <w:t xml:space="preserve"> </w:t>
      </w:r>
      <w:r>
        <w:t xml:space="preserve">บอกเลิกได้โดยแจ้งล่วงหน้า</w:t>
      </w:r>
      <w:r>
        <w:t xml:space="preserve"> </w:t>
      </w:r>
      <w:r>
        <w:rPr>
          <w:b/>
          <w:bCs/>
        </w:rPr>
        <w:t xml:space="preserve">30 วัน</w:t>
      </w:r>
      <w:r>
        <w:t xml:space="preserve"> </w:t>
      </w:r>
      <w:r>
        <w:t xml:space="preserve">และชำระค่าธรรมเนียมค้างจ่ายให้ครบ</w:t>
      </w:r>
    </w:p>
    <w:p>
      <w:pPr>
        <w:pStyle w:val="Compact"/>
        <w:numPr>
          <w:ilvl w:val="0"/>
          <w:numId w:val="1327"/>
        </w:numPr>
      </w:pPr>
      <w:r>
        <w:rPr>
          <w:b/>
          <w:bCs/>
        </w:rPr>
        <w:t xml:space="preserve">Gateway:</w:t>
      </w:r>
      <w:r>
        <w:t xml:space="preserve"> </w:t>
      </w:r>
      <w:r>
        <w:t xml:space="preserve">บอกเลิกโดยแจ้งล่วงหน้า</w:t>
      </w:r>
      <w:r>
        <w:t xml:space="preserve"> </w:t>
      </w:r>
      <w:r>
        <w:rPr>
          <w:b/>
          <w:bCs/>
        </w:rPr>
        <w:t xml:space="preserve">30 วัน</w:t>
      </w:r>
      <w:r>
        <w:t xml:space="preserve"> </w:t>
      </w:r>
      <w:r>
        <w:t xml:space="preserve">(หรือทันทีในกรณีตาม 6.1)</w:t>
      </w:r>
    </w:p>
    <w:bookmarkEnd w:id="880"/>
    <w:bookmarkStart w:id="881" w:name="ผลของการเลกสญญา"/>
    <w:p>
      <w:pPr>
        <w:pStyle w:val="Heading3"/>
      </w:pPr>
      <w:r>
        <w:t xml:space="preserve">6.3 ผลของการเลิกสัญญา</w:t>
      </w:r>
    </w:p>
    <w:p>
      <w:pPr>
        <w:pStyle w:val="Compact"/>
        <w:numPr>
          <w:ilvl w:val="0"/>
          <w:numId w:val="1328"/>
        </w:numPr>
      </w:pPr>
      <w:r>
        <w:t xml:space="preserve">ระงับการรับรายการใหม่ทันที; รายการที่ authorize แล้วดำเนินให้เสร็จ</w:t>
      </w:r>
    </w:p>
    <w:p>
      <w:pPr>
        <w:pStyle w:val="Compact"/>
        <w:numPr>
          <w:ilvl w:val="0"/>
          <w:numId w:val="1328"/>
        </w:numPr>
      </w:pPr>
      <w:r>
        <w:rPr>
          <w:b/>
          <w:bCs/>
        </w:rPr>
        <w:t xml:space="preserve">คืน reserve</w:t>
      </w:r>
      <w:r>
        <w:t xml:space="preserve"> </w:t>
      </w:r>
      <w:r>
        <w:t xml:space="preserve">หลังพ้นระยะความเสี่ยง chargeback (สมมติฐาน</w:t>
      </w:r>
      <w:r>
        <w:t xml:space="preserve"> </w:t>
      </w:r>
      <w:r>
        <w:rPr>
          <w:b/>
          <w:bCs/>
        </w:rPr>
        <w:t xml:space="preserve">90–180 วัน</w:t>
      </w:r>
      <w:r>
        <w:t xml:space="preserve">)</w:t>
      </w:r>
    </w:p>
    <w:p>
      <w:pPr>
        <w:pStyle w:val="Compact"/>
        <w:numPr>
          <w:ilvl w:val="0"/>
          <w:numId w:val="1328"/>
        </w:numPr>
      </w:pPr>
      <w:r>
        <w:rPr>
          <w:b/>
          <w:bCs/>
        </w:rPr>
        <w:t xml:space="preserve">เก็บรักษาข้อมูลธุรกรรม/audit log</w:t>
      </w:r>
      <w:r>
        <w:t xml:space="preserve"> </w:t>
      </w:r>
      <w:r>
        <w:t xml:space="preserve">ตามที่กฎหมายกำหนด: ธุรกรรม/AML</w:t>
      </w:r>
      <w:r>
        <w:t xml:space="preserve"> </w:t>
      </w:r>
      <w:r>
        <w:rPr>
          <w:b/>
          <w:bCs/>
        </w:rPr>
        <w:t xml:space="preserve">อย่างน้อย 5–10 ปี</w:t>
      </w:r>
      <w:r>
        <w:t xml:space="preserve"> </w:t>
      </w:r>
      <w:r>
        <w:t xml:space="preserve">ตาม พ.ร.บ. AMLO; audit log ตามเกณฑ์ ธปท./PCI-DSS — จากนั้นลบ/ทำให้ไม่ระบุตัวตนตาม PDPA</w:t>
      </w:r>
    </w:p>
    <w:p>
      <w:pPr>
        <w:pStyle w:val="Compact"/>
        <w:numPr>
          <w:ilvl w:val="0"/>
          <w:numId w:val="1328"/>
        </w:numPr>
      </w:pPr>
      <w:r>
        <w:t xml:space="preserve">ห้ามร้านค้าเก็บ CHD ที่ได้จากบริการหลังเลิกสัญญา</w:t>
      </w:r>
    </w:p>
    <w:p>
      <w:r>
        <w:pict>
          <v:rect style="width:0;height:1.5pt" o:hralign="center" o:hrstd="t" o:hr="t"/>
        </w:pict>
      </w:r>
    </w:p>
    <w:bookmarkEnd w:id="881"/>
    <w:bookmarkEnd w:id="882"/>
    <w:bookmarkStart w:id="883" w:name="ขอกำหนดทวไป-general"/>
    <w:p>
      <w:pPr>
        <w:pStyle w:val="Heading2"/>
      </w:pPr>
      <w:r>
        <w:t xml:space="preserve">7. ข้อกำหนดทั่วไป (General)</w:t>
      </w:r>
    </w:p>
    <w:p>
      <w:pPr>
        <w:pStyle w:val="Compact"/>
        <w:numPr>
          <w:ilvl w:val="0"/>
          <w:numId w:val="1329"/>
        </w:numPr>
      </w:pPr>
      <w:r>
        <w:rPr>
          <w:b/>
          <w:bCs/>
        </w:rPr>
        <w:t xml:space="preserve">กฎหมายที่ใช้บังคับ:</w:t>
      </w:r>
      <w:r>
        <w:t xml:space="preserve"> </w:t>
      </w:r>
      <w:r>
        <w:t xml:space="preserve">กฎหมายไทย; ข้อพิพาทขึ้นศาลไทย (หรืออนุญาโตตุลาการตามที่ตกลง)</w:t>
      </w:r>
    </w:p>
    <w:p>
      <w:pPr>
        <w:pStyle w:val="Compact"/>
        <w:numPr>
          <w:ilvl w:val="0"/>
          <w:numId w:val="1329"/>
        </w:numPr>
      </w:pPr>
      <w:r>
        <w:rPr>
          <w:b/>
          <w:bCs/>
        </w:rPr>
        <w:t xml:space="preserve">การแก้ไข:</w:t>
      </w:r>
      <w:r>
        <w:t xml:space="preserve"> </w:t>
      </w:r>
      <w:r>
        <w:t xml:space="preserve">Gateway แก้ไขข้อกำหนดได้โดยแจ้งล่วงหน้าไม่น้อยกว่า 30 วัน เว้นแต่จำเป็นตามกฎหมาย/ธปท./scheme ให้มีผลทันที</w:t>
      </w:r>
    </w:p>
    <w:p>
      <w:pPr>
        <w:pStyle w:val="Compact"/>
        <w:numPr>
          <w:ilvl w:val="0"/>
          <w:numId w:val="1329"/>
        </w:numPr>
      </w:pPr>
      <w:r>
        <w:rPr>
          <w:b/>
          <w:bCs/>
        </w:rPr>
        <w:t xml:space="preserve">การโอนสิทธิ:</w:t>
      </w:r>
      <w:r>
        <w:t xml:space="preserve"> </w:t>
      </w:r>
      <w:r>
        <w:t xml:space="preserve">ร้านค้าโอนสิทธิไม่ได้หากไม่ได้รับความยินยอมเป็นลายลักษณ์อักษร</w:t>
      </w:r>
    </w:p>
    <w:p>
      <w:pPr>
        <w:pStyle w:val="Compact"/>
        <w:numPr>
          <w:ilvl w:val="0"/>
          <w:numId w:val="1329"/>
        </w:numPr>
      </w:pPr>
      <w:r>
        <w:rPr>
          <w:b/>
          <w:bCs/>
        </w:rPr>
        <w:t xml:space="preserve">ภาคผนวก:</w:t>
      </w:r>
      <w:r>
        <w:t xml:space="preserve"> </w:t>
      </w:r>
      <w:r>
        <w:t xml:space="preserve">(A) ตารางค่าธรรมเนียม, (B) DPA ตาม PDPA, (C) ข้อกำหนด scheme (Visa/Mastercard), (D) SLA</w:t>
      </w:r>
    </w:p>
    <w:p>
      <w:r>
        <w:pict>
          <v:rect style="width:0;height:1.5pt" o:hralign="center" o:hrstd="t" o:hr="t"/>
        </w:pict>
      </w:r>
    </w:p>
    <w:bookmarkEnd w:id="883"/>
    <w:bookmarkEnd w:id="884"/>
    <w:bookmarkStart w:id="902" w:name="X8a32a755998d8af4f4e1c577b96ec515b0edfb9"/>
    <w:p>
      <w:pPr>
        <w:pStyle w:val="Heading1"/>
      </w:pPr>
      <w:r>
        <w:t xml:space="preserve">Merchant agreement / Terms of Service: obligations, liability, compliance, termination, fees (English)</w:t>
      </w:r>
    </w:p>
    <w:p>
      <w:pPr>
        <w:pStyle w:val="BlockText"/>
      </w:pPr>
      <w:r>
        <w:t xml:space="preserve">Supporting document for the application for an</w:t>
      </w:r>
      <w:r>
        <w:t xml:space="preserve"> </w:t>
      </w:r>
      <w:r>
        <w:rPr>
          <w:b/>
          <w:bCs/>
        </w:rPr>
        <w:t xml:space="preserve">Electronic Payment Acquiring Service license</w:t>
      </w:r>
      <w:r>
        <w:t xml:space="preserve"> </w:t>
      </w:r>
      <w:r>
        <w:t xml:space="preserve">to the Bank of Thailand (BOT) under the Payment Systems Act B.E. 2560 · paid-up capital THB 50M.</w:t>
      </w:r>
      <w:r>
        <w:t xml:space="preserve"> </w:t>
      </w:r>
      <w:r>
        <w:rPr>
          <w:b/>
          <w:bCs/>
        </w:rPr>
        <w:t xml:space="preserve">This is a technical/business draft, not legal advice</w:t>
      </w:r>
      <w:r>
        <w:t xml:space="preserve"> </w:t>
      </w:r>
      <w:r>
        <w:t xml:space="preserve">— must be reviewed by qualified counsel before use.</w:t>
      </w:r>
    </w:p>
    <w:p>
      <w:pPr>
        <w:pStyle w:val="BlockText"/>
      </w:pPr>
      <w:r>
        <w:t xml:space="preserve">Version 0.1 · Owner: Compliance &amp; Legal · Last review: 2026-07-22 · Review cycle: every 12 months or upon BOT/PCI-DSS change.</w:t>
      </w:r>
    </w:p>
    <w:p>
      <w:r>
        <w:pict>
          <v:rect style="width:0;height:1.5pt" o:hralign="center" o:hrstd="t" o:hr="t"/>
        </w:pict>
      </w:r>
    </w:p>
    <w:p>
      <w:pPr>
        <w:pStyle w:val="BlockText"/>
      </w:pPr>
      <w:r>
        <w:t xml:space="preserve">[!IMPORTANT]</w:t>
      </w:r>
      <w:r>
        <w:t xml:space="preserve"> </w:t>
      </w:r>
      <w:r>
        <w:rPr>
          <w:b/>
          <w:bCs/>
        </w:rPr>
        <w:t xml:space="preserve">Assumptions / TODOs to close before execution (unresolved external dependencies)</w:t>
      </w:r>
    </w:p>
    <w:p>
      <w:pPr>
        <w:pStyle w:val="BlockText"/>
      </w:pPr>
      <w:r>
        <w:t xml:space="preserve">The following items have no confirmed data — flagged explicitly as assumptions. Do NOT put placeholder figures/names</w:t>
      </w:r>
      <w:r>
        <w:t xml:space="preserve"> </w:t>
      </w:r>
      <w:r>
        <w:t xml:space="preserve">into a binding contract until confirmed:</w:t>
      </w:r>
    </w:p>
    <w:p>
      <w:pPr>
        <w:pStyle w:val="Compact"/>
        <w:numPr>
          <w:ilvl w:val="0"/>
          <w:numId w:val="1330"/>
        </w:numPr>
      </w:pPr>
      <w:r>
        <w:rPr>
          <w:b/>
          <w:bCs/>
        </w:rPr>
        <w:t xml:space="preserve">[TODO] Legal entity name &amp; registration number</w:t>
      </w:r>
      <w:r>
        <w:t xml:space="preserve"> </w:t>
      </w:r>
      <w:r>
        <w:t xml:space="preserve">—</w:t>
      </w:r>
      <w:r>
        <w:t xml:space="preserve"> </w:t>
      </w:r>
      <w:r>
        <w:rPr>
          <w:rStyle w:val="VerbatimChar"/>
        </w:rPr>
        <w:t xml:space="preserve">[บริษัท / Company]</w:t>
      </w:r>
      <w:r>
        <w:t xml:space="preserve"> </w:t>
      </w:r>
      <w:r>
        <w:t xml:space="preserve">placeholder used throughout; replace with real name, registration number, registered address.</w:t>
      </w:r>
    </w:p>
    <w:p>
      <w:pPr>
        <w:pStyle w:val="Compact"/>
        <w:numPr>
          <w:ilvl w:val="0"/>
          <w:numId w:val="1330"/>
        </w:numPr>
      </w:pPr>
      <w:r>
        <w:rPr>
          <w:b/>
          <w:bCs/>
        </w:rPr>
        <w:t xml:space="preserve">[TODO] Sponsor bank / acquiring partner</w:t>
      </w:r>
      <w:r>
        <w:t xml:space="preserve"> </w:t>
      </w:r>
      <w:r>
        <w:t xml:space="preserve">— not signed; scheme terms (Visa/Mastercard), settlement cut-off, interchange fees and reserve depend on the sponsor bank contract.</w:t>
      </w:r>
    </w:p>
    <w:p>
      <w:pPr>
        <w:pStyle w:val="Compact"/>
        <w:numPr>
          <w:ilvl w:val="0"/>
          <w:numId w:val="1330"/>
        </w:numPr>
      </w:pPr>
      <w:r>
        <w:rPr>
          <w:b/>
          <w:bCs/>
        </w:rPr>
        <w:t xml:space="preserve">[TODO] QSA (Qualified Security Assessor)</w:t>
      </w:r>
      <w:r>
        <w:t xml:space="preserve"> </w:t>
      </w:r>
      <w:r>
        <w:t xml:space="preserve">for PCI-DSS v4.0 Level 1 — not selected; RoC/AoC issuance date TBD.</w:t>
      </w:r>
    </w:p>
    <w:p>
      <w:pPr>
        <w:pStyle w:val="Compact"/>
        <w:numPr>
          <w:ilvl w:val="0"/>
          <w:numId w:val="1330"/>
        </w:numPr>
      </w:pPr>
      <w:r>
        <w:rPr>
          <w:b/>
          <w:bCs/>
        </w:rPr>
        <w:t xml:space="preserve">[TODO] BOT license number</w:t>
      </w:r>
      <w:r>
        <w:t xml:space="preserve"> </w:t>
      </w:r>
      <w:r>
        <w:t xml:space="preserve">— to be filled once granted by the Minister of Finance on BOT’s recommendation.</w:t>
      </w:r>
    </w:p>
    <w:p>
      <w:pPr>
        <w:pStyle w:val="Compact"/>
        <w:numPr>
          <w:ilvl w:val="0"/>
          <w:numId w:val="1330"/>
        </w:numPr>
      </w:pPr>
      <w:r>
        <w:rPr>
          <w:b/>
          <w:bCs/>
        </w:rPr>
        <w:t xml:space="preserve">[TODO] Actual fee rates (MDR / per-transaction / chargeback fees)</w:t>
      </w:r>
      <w:r>
        <w:t xml:space="preserve"> </w:t>
      </w:r>
      <w:r>
        <w:t xml:space="preserve">— figures in Table 5 are</w:t>
      </w:r>
      <w:r>
        <w:t xml:space="preserve"> </w:t>
      </w:r>
      <w:r>
        <w:rPr>
          <w:i/>
          <w:iCs/>
        </w:rPr>
        <w:t xml:space="preserve">illustrative commercial ranges</w:t>
      </w:r>
      <w:r>
        <w:t xml:space="preserve">; replace with the agreed schedule aligned to real scheme costs.</w:t>
      </w:r>
    </w:p>
    <w:p>
      <w:pPr>
        <w:pStyle w:val="Compact"/>
        <w:numPr>
          <w:ilvl w:val="0"/>
          <w:numId w:val="1330"/>
        </w:numPr>
      </w:pPr>
      <w:r>
        <w:rPr>
          <w:b/>
          <w:bCs/>
        </w:rPr>
        <w:t xml:space="preserve">[TODO] Go-live date &amp; initial processing limit</w:t>
      </w:r>
      <w:r>
        <w:t xml:space="preserve"> </w:t>
      </w:r>
      <w:r>
        <w:t xml:space="preserve">— depend on scheme certification per</w:t>
      </w:r>
      <w:r>
        <w:t xml:space="preserve"> </w:t>
      </w:r>
      <w:r>
        <w:rPr>
          <w:rStyle w:val="VerbatimChar"/>
        </w:rPr>
        <w:t xml:space="preserve">ROADMAP.md</w:t>
      </w:r>
      <w:r>
        <w:t xml:space="preserve"> </w:t>
      </w:r>
      <w:r>
        <w:t xml:space="preserve">Phase 4.</w:t>
      </w:r>
    </w:p>
    <w:p>
      <w:r>
        <w:pict>
          <v:rect style="width:0;height:1.5pt" o:hralign="center" o:hrstd="t" o:hr="t"/>
        </w:pict>
      </w:r>
    </w:p>
    <w:bookmarkStart w:id="885" w:name="definitions-parties"/>
    <w:p>
      <w:pPr>
        <w:pStyle w:val="Heading2"/>
      </w:pPr>
      <w:r>
        <w:t xml:space="preserve">1. Definitions &amp; Parties</w:t>
      </w:r>
    </w:p>
    <w:p>
      <w:pPr>
        <w:pStyle w:val="FirstParagraph"/>
      </w:pPr>
      <w:r>
        <w:rPr>
          <w:b/>
          <w:bCs/>
        </w:rPr>
        <w:t xml:space="preserve">Parties:</w:t>
      </w:r>
      <w:r>
        <w:t xml:space="preserve"> </w:t>
      </w:r>
      <w:r>
        <w:t xml:space="preserve">This agreement is between</w:t>
      </w:r>
      <w:r>
        <w:t xml:space="preserve"> </w:t>
      </w:r>
      <w:r>
        <w:rPr>
          <w:b/>
          <w:bCs/>
        </w:rPr>
        <w:t xml:space="preserve">[บริษัท / Company]</w:t>
      </w:r>
      <w:r>
        <w:t xml:space="preserve"> </w:t>
      </w:r>
      <w:r>
        <w:t xml:space="preserve">(</w:t>
      </w:r>
      <w:r>
        <w:t xml:space="preserve">“Gateway”</w:t>
      </w:r>
      <w:r>
        <w:t xml:space="preserve">), holder of a BOT Acquiring license, and the</w:t>
      </w:r>
      <w:r>
        <w:t xml:space="preserve"> </w:t>
      </w:r>
      <w:r>
        <w:rPr>
          <w:b/>
          <w:bCs/>
        </w:rPr>
        <w:t xml:space="preserve">Merchant</w:t>
      </w:r>
      <w:r>
        <w:t xml:space="preserve"> </w:t>
      </w:r>
      <w:r>
        <w:t xml:space="preserve">who applies and is approved to use the Services.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Services</w:t>
            </w:r>
          </w:p>
        </w:tc>
        <w:tc>
          <w:tcPr/>
          <w:p>
            <w:pPr>
              <w:pStyle w:val="Compact"/>
            </w:pPr>
            <w:r>
              <w:t xml:space="preserve">Card/electronic payment acceptance and processing: authorization, capture, refund, void, settlement, reporting and dashboard.</w:t>
            </w:r>
          </w:p>
        </w:tc>
      </w:tr>
      <w:tr>
        <w:tc>
          <w:tcPr/>
          <w:p>
            <w:pPr>
              <w:pStyle w:val="Compact"/>
            </w:pPr>
            <w:r>
              <w:rPr>
                <w:b/>
                <w:bCs/>
              </w:rPr>
              <w:t xml:space="preserve">Cardholder Data (CHD)</w:t>
            </w:r>
          </w:p>
        </w:tc>
        <w:tc>
          <w:tcPr/>
          <w:p>
            <w:pPr>
              <w:pStyle w:val="Compact"/>
            </w:pPr>
            <w:r>
              <w:t xml:space="preserve">PAN, cardholder name, expiry, service code per PCI-DSS v4.0.</w:t>
            </w:r>
          </w:p>
        </w:tc>
      </w:tr>
      <w:tr>
        <w:tc>
          <w:tcPr/>
          <w:p>
            <w:pPr>
              <w:pStyle w:val="Compact"/>
            </w:pPr>
            <w:r>
              <w:rPr>
                <w:b/>
                <w:bCs/>
              </w:rPr>
              <w:t xml:space="preserve">Sensitive Authentication Data (SAD)</w:t>
            </w:r>
          </w:p>
        </w:tc>
        <w:tc>
          <w:tcPr/>
          <w:p>
            <w:pPr>
              <w:pStyle w:val="Compact"/>
            </w:pPr>
            <w:r>
              <w:t xml:space="preserve">Full track, CVV/CVV2/CVC2, PIN/PIN block —</w:t>
            </w:r>
            <w:r>
              <w:t xml:space="preserve"> </w:t>
            </w:r>
            <w:r>
              <w:rPr>
                <w:b/>
                <w:bCs/>
              </w:rPr>
              <w:t xml:space="preserve">Merchant must never store these.</w:t>
            </w:r>
          </w:p>
        </w:tc>
      </w:tr>
      <w:tr>
        <w:tc>
          <w:tcPr/>
          <w:p>
            <w:pPr>
              <w:pStyle w:val="Compact"/>
            </w:pPr>
            <w:r>
              <w:rPr>
                <w:b/>
                <w:bCs/>
              </w:rPr>
              <w:t xml:space="preserve">Transaction</w:t>
            </w:r>
          </w:p>
        </w:tc>
        <w:tc>
          <w:tcPr/>
          <w:p>
            <w:pPr>
              <w:pStyle w:val="Compact"/>
            </w:pPr>
            <w:r>
              <w:t xml:space="preserve">One authorize/capture/refund/void request via the Gateway API or approved channel.</w:t>
            </w:r>
          </w:p>
        </w:tc>
      </w:tr>
      <w:tr>
        <w:tc>
          <w:tcPr/>
          <w:p>
            <w:pPr>
              <w:pStyle w:val="Compact"/>
            </w:pPr>
            <w:r>
              <w:rPr>
                <w:b/>
                <w:bCs/>
              </w:rPr>
              <w:t xml:space="preserve">Chargeback</w:t>
            </w:r>
          </w:p>
        </w:tc>
        <w:tc>
          <w:tcPr/>
          <w:p>
            <w:pPr>
              <w:pStyle w:val="Compact"/>
            </w:pPr>
            <w:r>
              <w:t xml:space="preserve">A dispute raised by the cardholder/issuer through the card scheme.</w:t>
            </w:r>
          </w:p>
        </w:tc>
      </w:tr>
      <w:tr>
        <w:tc>
          <w:tcPr/>
          <w:p>
            <w:pPr>
              <w:pStyle w:val="Compact"/>
            </w:pPr>
            <w:r>
              <w:rPr>
                <w:b/>
                <w:bCs/>
              </w:rPr>
              <w:t xml:space="preserve">Settlement</w:t>
            </w:r>
          </w:p>
        </w:tc>
        <w:tc>
          <w:tcPr/>
          <w:p>
            <w:pPr>
              <w:pStyle w:val="Compact"/>
            </w:pPr>
            <w:r>
              <w:t xml:space="preserve">Transfer of net proceeds (sales − refunds − fees − reserve) to the Merchant.</w:t>
            </w:r>
          </w:p>
        </w:tc>
      </w:tr>
      <w:tr>
        <w:tc>
          <w:tcPr/>
          <w:p>
            <w:pPr>
              <w:pStyle w:val="Compact"/>
            </w:pPr>
            <w:r>
              <w:rPr>
                <w:b/>
                <w:bCs/>
              </w:rPr>
              <w:t xml:space="preserve">Reserve</w:t>
            </w:r>
          </w:p>
        </w:tc>
        <w:tc>
          <w:tcPr/>
          <w:p>
            <w:pPr>
              <w:pStyle w:val="Compact"/>
            </w:pPr>
            <w:r>
              <w:t xml:space="preserve">Funds held back to cover chargeback/refund risk.</w:t>
            </w:r>
          </w:p>
        </w:tc>
      </w:tr>
      <w:tr>
        <w:tc>
          <w:tcPr/>
          <w:p>
            <w:pPr>
              <w:pStyle w:val="Compact"/>
            </w:pPr>
            <w:r>
              <w:rPr>
                <w:b/>
                <w:bCs/>
              </w:rPr>
              <w:t xml:space="preserve">Minor units</w:t>
            </w:r>
          </w:p>
        </w:tc>
        <w:tc>
          <w:tcPr/>
          <w:p>
            <w:pPr>
              <w:pStyle w:val="Compact"/>
            </w:pPr>
            <w:r>
              <w:t xml:space="preserve">Money as integer minor units (satang) per</w:t>
            </w:r>
            <w:r>
              <w:t xml:space="preserve"> </w:t>
            </w:r>
            <w:r>
              <w:rPr>
                <w:rStyle w:val="VerbatimChar"/>
              </w:rPr>
              <w:t xml:space="preserve">ARCHITECTURE.md</w:t>
            </w:r>
            <w:r>
              <w:t xml:space="preserve">.</w:t>
            </w:r>
          </w:p>
        </w:tc>
      </w:tr>
    </w:tbl>
    <w:p>
      <w:r>
        <w:pict>
          <v:rect style="width:0;height:1.5pt" o:hralign="center" o:hrstd="t" o:hr="t"/>
        </w:pict>
      </w:r>
    </w:p>
    <w:bookmarkEnd w:id="885"/>
    <w:bookmarkStart w:id="891" w:name="merchant-obligations"/>
    <w:p>
      <w:pPr>
        <w:pStyle w:val="Heading2"/>
      </w:pPr>
      <w:r>
        <w:t xml:space="preserve">2. Merchant Obligations</w:t>
      </w:r>
    </w:p>
    <w:bookmarkStart w:id="886" w:name="X3565c067da6f3a30d8e6a20ae0ee4768e955125"/>
    <w:p>
      <w:pPr>
        <w:pStyle w:val="Heading3"/>
      </w:pPr>
      <w:r>
        <w:t xml:space="preserve">2.1 Onboarding &amp; KYC/CDD (Anti-Money Laundering Act / AMLO)</w:t>
      </w:r>
    </w:p>
    <w:p>
      <w:pPr>
        <w:pStyle w:val="FirstParagraph"/>
      </w:pPr>
      <w:r>
        <w:t xml:space="preserve">The Merchant must submit and certify:</w:t>
      </w:r>
    </w:p>
    <w:tbl>
      <w:tblPr>
        <w:tblStyle w:val="Table"/>
        <w:tblW w:type="pct" w:w="5000"/>
        <w:tblLayout w:type="fixed"/>
        <w:tblLook w:firstRow="1" w:lastRow="0" w:firstColumn="0" w:lastColumn="0" w:noHBand="0" w:noVBand="0" w:val="0020"/>
      </w:tblPr>
      <w:tblGrid>
        <w:gridCol w:w="3126"/>
        <w:gridCol w:w="4793"/>
      </w:tblGrid>
      <w:tr>
        <w:trPr>
          <w:tblHeader w:val="on"/>
        </w:trPr>
        <w:tc>
          <w:tcPr/>
          <w:p>
            <w:pPr>
              <w:pStyle w:val="Compact"/>
            </w:pPr>
            <w:r>
              <w:t xml:space="preserve">Merchant type</w:t>
            </w:r>
          </w:p>
        </w:tc>
        <w:tc>
          <w:tcPr/>
          <w:p>
            <w:pPr>
              <w:pStyle w:val="Compact"/>
            </w:pPr>
            <w:r>
              <w:t xml:space="preserve">Minimum CDD documents</w:t>
            </w:r>
          </w:p>
        </w:tc>
      </w:tr>
      <w:tr>
        <w:tc>
          <w:tcPr/>
          <w:p>
            <w:pPr>
              <w:pStyle w:val="Compact"/>
            </w:pPr>
            <w:r>
              <w:t xml:space="preserve">Juristic person</w:t>
            </w:r>
          </w:p>
        </w:tc>
        <w:tc>
          <w:tcPr/>
          <w:p>
            <w:pPr>
              <w:pStyle w:val="Compact"/>
            </w:pPr>
            <w:r>
              <w:t xml:space="preserve">Company affidavit (≤90 days), shareholder list (BorOrJor.5), authorized director’s ID, Ultimate Beneficial Owners (UBO) ≥25%, settlement bank account.</w:t>
            </w:r>
          </w:p>
        </w:tc>
      </w:tr>
      <w:tr>
        <w:tc>
          <w:tcPr/>
          <w:p>
            <w:pPr>
              <w:pStyle w:val="Compact"/>
            </w:pPr>
            <w:r>
              <w:t xml:space="preserve">Individual</w:t>
            </w:r>
          </w:p>
        </w:tc>
        <w:tc>
          <w:tcPr/>
          <w:p>
            <w:pPr>
              <w:pStyle w:val="Compact"/>
            </w:pPr>
            <w:r>
              <w:t xml:space="preserve">National ID, commercial registration (if any), bank account.</w:t>
            </w:r>
          </w:p>
        </w:tc>
      </w:tr>
    </w:tbl>
    <w:p>
      <w:pPr>
        <w:pStyle w:val="Compact"/>
        <w:numPr>
          <w:ilvl w:val="0"/>
          <w:numId w:val="1331"/>
        </w:numPr>
      </w:pPr>
      <w:r>
        <w:t xml:space="preserve">Gateway performs</w:t>
      </w:r>
      <w:r>
        <w:t xml:space="preserve"> </w:t>
      </w:r>
      <w:r>
        <w:rPr>
          <w:b/>
          <w:bCs/>
        </w:rPr>
        <w:t xml:space="preserve">sanction/PEP/adverse-media screening</w:t>
      </w:r>
      <w:r>
        <w:t xml:space="preserve"> </w:t>
      </w:r>
      <w:r>
        <w:t xml:space="preserve">against AMLO, UN, OFAC, EU lists before approval, re-screened every 24h or on list change.</w:t>
      </w:r>
    </w:p>
    <w:p>
      <w:pPr>
        <w:pStyle w:val="Compact"/>
        <w:numPr>
          <w:ilvl w:val="0"/>
          <w:numId w:val="1331"/>
        </w:numPr>
      </w:pPr>
      <w:r>
        <w:t xml:space="preserve">Merchant must report</w:t>
      </w:r>
      <w:r>
        <w:t xml:space="preserve"> </w:t>
      </w:r>
      <w:r>
        <w:rPr>
          <w:b/>
          <w:bCs/>
        </w:rPr>
        <w:t xml:space="preserve">material changes</w:t>
      </w:r>
      <w:r>
        <w:t xml:space="preserve"> </w:t>
      </w:r>
      <w:r>
        <w:t xml:space="preserve">(shareholders, directors, product type, URL) within</w:t>
      </w:r>
      <w:r>
        <w:t xml:space="preserve"> </w:t>
      </w:r>
      <w:r>
        <w:rPr>
          <w:b/>
          <w:bCs/>
        </w:rPr>
        <w:t xml:space="preserve">7 business days</w:t>
      </w:r>
      <w:r>
        <w:t xml:space="preserve">.</w:t>
      </w:r>
    </w:p>
    <w:p>
      <w:pPr>
        <w:pStyle w:val="Compact"/>
        <w:numPr>
          <w:ilvl w:val="0"/>
          <w:numId w:val="1331"/>
        </w:numPr>
      </w:pPr>
      <w:r>
        <w:t xml:space="preserve">Merchant consents to periodic re-KYC by risk tier (Enhanced Due Diligence for high-risk MCCs).</w:t>
      </w:r>
    </w:p>
    <w:bookmarkEnd w:id="886"/>
    <w:bookmarkStart w:id="887" w:name="prohibited-business"/>
    <w:p>
      <w:pPr>
        <w:pStyle w:val="Heading3"/>
      </w:pPr>
      <w:r>
        <w:t xml:space="preserve">2.2 Prohibited Business</w:t>
      </w:r>
    </w:p>
    <w:p>
      <w:pPr>
        <w:pStyle w:val="FirstParagraph"/>
      </w:pPr>
      <w:r>
        <w:t xml:space="preserve">No illegal goods/services, unlicensed gambling, narcotics, weapons, IP-infringing goods, illegal adult content, Ponzi/pyramid schemes, digital assets not licensed by the SEC, and any business prohibited by the card schemes or BOT.</w:t>
      </w:r>
    </w:p>
    <w:bookmarkEnd w:id="887"/>
    <w:bookmarkStart w:id="888" w:name="data-security-obligations"/>
    <w:p>
      <w:pPr>
        <w:pStyle w:val="Heading3"/>
      </w:pPr>
      <w:r>
        <w:t xml:space="preserve">2.3 Data Security Obligations</w:t>
      </w:r>
    </w:p>
    <w:p>
      <w:pPr>
        <w:pStyle w:val="Compact"/>
        <w:numPr>
          <w:ilvl w:val="0"/>
          <w:numId w:val="1332"/>
        </w:numPr>
      </w:pPr>
      <w:r>
        <w:rPr>
          <w:b/>
          <w:bCs/>
        </w:rPr>
        <w:t xml:space="preserve">Never store SAD</w:t>
      </w:r>
      <w:r>
        <w:t xml:space="preserve"> </w:t>
      </w:r>
      <w:r>
        <w:t xml:space="preserve">(CVV, full track, PIN) after authorization.</w:t>
      </w:r>
    </w:p>
    <w:p>
      <w:pPr>
        <w:pStyle w:val="Compact"/>
        <w:numPr>
          <w:ilvl w:val="0"/>
          <w:numId w:val="1332"/>
        </w:numPr>
      </w:pPr>
      <w:r>
        <w:t xml:space="preserve">Use Gateway</w:t>
      </w:r>
      <w:r>
        <w:t xml:space="preserve"> </w:t>
      </w:r>
      <w:r>
        <w:rPr>
          <w:b/>
          <w:bCs/>
        </w:rPr>
        <w:t xml:space="preserve">tokenization/hosted fields</w:t>
      </w:r>
      <w:r>
        <w:t xml:space="preserve"> </w:t>
      </w:r>
      <w:r>
        <w:t xml:space="preserve">so PAN never traverses Merchant systems (reducing Merchant PCI scope to the appropriate SAQ-A).</w:t>
      </w:r>
    </w:p>
    <w:p>
      <w:pPr>
        <w:pStyle w:val="Compact"/>
        <w:numPr>
          <w:ilvl w:val="0"/>
          <w:numId w:val="1332"/>
        </w:numPr>
      </w:pPr>
      <w:r>
        <w:t xml:space="preserve">Protect</w:t>
      </w:r>
      <w:r>
        <w:t xml:space="preserve"> </w:t>
      </w:r>
      <w:r>
        <w:rPr>
          <w:b/>
          <w:bCs/>
        </w:rPr>
        <w:t xml:space="preserve">API keys/secrets</w:t>
      </w:r>
      <w:r>
        <w:t xml:space="preserve">; rotate on suspected compromise and notify Gateway within</w:t>
      </w:r>
      <w:r>
        <w:t xml:space="preserve"> </w:t>
      </w:r>
      <w:r>
        <w:rPr>
          <w:b/>
          <w:bCs/>
        </w:rPr>
        <w:t xml:space="preserve">24h</w:t>
      </w:r>
      <w:r>
        <w:t xml:space="preserve">.</w:t>
      </w:r>
    </w:p>
    <w:p>
      <w:pPr>
        <w:pStyle w:val="Compact"/>
        <w:numPr>
          <w:ilvl w:val="0"/>
          <w:numId w:val="1332"/>
        </w:numPr>
      </w:pPr>
      <w:r>
        <w:t xml:space="preserve">Comply with the applicable parts of</w:t>
      </w:r>
      <w:r>
        <w:t xml:space="preserve"> </w:t>
      </w:r>
      <w:r>
        <w:rPr>
          <w:b/>
          <w:bCs/>
        </w:rPr>
        <w:t xml:space="preserve">PCI-DSS v4.0</w:t>
      </w:r>
      <w:r>
        <w:t xml:space="preserve"> </w:t>
      </w:r>
      <w:r>
        <w:t xml:space="preserve">for the Merchant’s acceptance channels.</w:t>
      </w:r>
    </w:p>
    <w:bookmarkEnd w:id="888"/>
    <w:bookmarkStart w:id="889" w:name="transaction-quality-consumer-disclosure"/>
    <w:p>
      <w:pPr>
        <w:pStyle w:val="Heading3"/>
      </w:pPr>
      <w:r>
        <w:t xml:space="preserve">2.4 Transaction Quality &amp; Consumer Disclosure</w:t>
      </w:r>
    </w:p>
    <w:p>
      <w:pPr>
        <w:pStyle w:val="Compact"/>
        <w:numPr>
          <w:ilvl w:val="0"/>
          <w:numId w:val="1333"/>
        </w:numPr>
      </w:pPr>
      <w:r>
        <w:t xml:space="preserve">Clearly display</w:t>
      </w:r>
      <w:r>
        <w:t xml:space="preserve"> </w:t>
      </w:r>
      <w:r>
        <w:rPr>
          <w:b/>
          <w:bCs/>
        </w:rPr>
        <w:t xml:space="preserve">merchant descriptor</w:t>
      </w:r>
      <w:r>
        <w:t xml:space="preserve">, price, currency, refund/return policy, and contact before payment.</w:t>
      </w:r>
    </w:p>
    <w:p>
      <w:pPr>
        <w:pStyle w:val="Compact"/>
        <w:numPr>
          <w:ilvl w:val="0"/>
          <w:numId w:val="1333"/>
        </w:numPr>
      </w:pPr>
      <w:r>
        <w:t xml:space="preserve">Deliver goods/services as advertised; process refunds per published policy.</w:t>
      </w:r>
    </w:p>
    <w:p>
      <w:pPr>
        <w:pStyle w:val="Compact"/>
        <w:numPr>
          <w:ilvl w:val="0"/>
          <w:numId w:val="1333"/>
        </w:numPr>
      </w:pPr>
      <w:r>
        <w:t xml:space="preserve">Keep</w:t>
      </w:r>
      <w:r>
        <w:t xml:space="preserve"> </w:t>
      </w:r>
      <w:r>
        <w:rPr>
          <w:b/>
          <w:bCs/>
        </w:rPr>
        <w:t xml:space="preserve">chargeback ratio ≤ 0.9%</w:t>
      </w:r>
      <w:r>
        <w:t xml:space="preserve"> </w:t>
      </w:r>
      <w:r>
        <w:t xml:space="preserve">and</w:t>
      </w:r>
      <w:r>
        <w:t xml:space="preserve"> </w:t>
      </w:r>
      <w:r>
        <w:rPr>
          <w:b/>
          <w:bCs/>
        </w:rPr>
        <w:t xml:space="preserve">fraud ratio ≤ 0.9%</w:t>
      </w:r>
      <w:r>
        <w:t xml:space="preserve"> </w:t>
      </w:r>
      <w:r>
        <w:t xml:space="preserve">of volume (aligned with Visa VDMP/VFMP and Mastercard ECP; breach may trigger monitoring programs and fee adjustments).</w:t>
      </w:r>
    </w:p>
    <w:bookmarkEnd w:id="889"/>
    <w:bookmarkStart w:id="890" w:name="X8ce1e55a7cd1a824548ad1f35032f7cd7ba7488"/>
    <w:p>
      <w:pPr>
        <w:pStyle w:val="Heading3"/>
      </w:pPr>
      <w:r>
        <w:t xml:space="preserve">2.5 PDPA (Personal Data Protection Act B.E. 2562 / PDPC)</w:t>
      </w:r>
    </w:p>
    <w:p>
      <w:pPr>
        <w:pStyle w:val="Compact"/>
        <w:numPr>
          <w:ilvl w:val="0"/>
          <w:numId w:val="1334"/>
        </w:numPr>
      </w:pPr>
      <w:r>
        <w:t xml:space="preserve">Per the DPA annex, Gateway acts as</w:t>
      </w:r>
      <w:r>
        <w:t xml:space="preserve"> </w:t>
      </w:r>
      <w:r>
        <w:rPr>
          <w:b/>
          <w:bCs/>
        </w:rPr>
        <w:t xml:space="preserve">joint controller/processor</w:t>
      </w:r>
      <w:r>
        <w:t xml:space="preserve"> </w:t>
      </w:r>
      <w:r>
        <w:t xml:space="preserve">solely for payment and fraud-prevention purposes under the</w:t>
      </w:r>
      <w:r>
        <w:t xml:space="preserve"> </w:t>
      </w:r>
      <w:r>
        <w:t xml:space="preserve">“contract”</w:t>
      </w:r>
      <w:r>
        <w:t xml:space="preserve"> </w:t>
      </w:r>
      <w:r>
        <w:t xml:space="preserve">and</w:t>
      </w:r>
      <w:r>
        <w:t xml:space="preserve"> </w:t>
      </w:r>
      <w:r>
        <w:t xml:space="preserve">“legitimate interest / legal obligation”</w:t>
      </w:r>
      <w:r>
        <w:t xml:space="preserve"> </w:t>
      </w:r>
      <w:r>
        <w:t xml:space="preserve">bases.</w:t>
      </w:r>
    </w:p>
    <w:p>
      <w:pPr>
        <w:pStyle w:val="Compact"/>
        <w:numPr>
          <w:ilvl w:val="0"/>
          <w:numId w:val="1334"/>
        </w:numPr>
      </w:pPr>
      <w:r>
        <w:t xml:space="preserve">Merchant must maintain its own lawful basis and report any payment-data breach within</w:t>
      </w:r>
      <w:r>
        <w:t xml:space="preserve"> </w:t>
      </w:r>
      <w:r>
        <w:rPr>
          <w:b/>
          <w:bCs/>
        </w:rPr>
        <w:t xml:space="preserve">72h</w:t>
      </w:r>
      <w:r>
        <w:t xml:space="preserve">.</w:t>
      </w:r>
    </w:p>
    <w:p>
      <w:r>
        <w:pict>
          <v:rect style="width:0;height:1.5pt" o:hralign="center" o:hrstd="t" o:hr="t"/>
        </w:pict>
      </w:r>
    </w:p>
    <w:bookmarkEnd w:id="890"/>
    <w:bookmarkEnd w:id="891"/>
    <w:bookmarkStart w:id="894" w:name="gateway-obligations-liability"/>
    <w:p>
      <w:pPr>
        <w:pStyle w:val="Heading2"/>
      </w:pPr>
      <w:r>
        <w:t xml:space="preserve">3. Gateway Obligations &amp; Liability</w:t>
      </w:r>
    </w:p>
    <w:bookmarkStart w:id="892" w:name="gateway-obligations"/>
    <w:p>
      <w:pPr>
        <w:pStyle w:val="Heading3"/>
      </w:pPr>
      <w:r>
        <w:t xml:space="preserve">3.1 Gateway Obligations</w:t>
      </w:r>
    </w:p>
    <w:p>
      <w:pPr>
        <w:pStyle w:val="Compact"/>
        <w:numPr>
          <w:ilvl w:val="0"/>
          <w:numId w:val="1335"/>
        </w:numPr>
      </w:pPr>
      <w:r>
        <w:t xml:space="preserve">Provide authorize/capture/refund/void, settlement, dashboard and at-least-once webhooks per</w:t>
      </w:r>
      <w:r>
        <w:t xml:space="preserve"> </w:t>
      </w:r>
      <w:r>
        <w:rPr>
          <w:rStyle w:val="VerbatimChar"/>
        </w:rPr>
        <w:t xml:space="preserve">ARCHITECTURE.md</w:t>
      </w:r>
      <w:r>
        <w:t xml:space="preserve">.</w:t>
      </w:r>
    </w:p>
    <w:p>
      <w:pPr>
        <w:pStyle w:val="Compact"/>
        <w:numPr>
          <w:ilvl w:val="0"/>
          <w:numId w:val="1335"/>
        </w:numPr>
      </w:pPr>
      <w:r>
        <w:t xml:space="preserve">Maintain</w:t>
      </w:r>
      <w:r>
        <w:t xml:space="preserve"> </w:t>
      </w:r>
      <w:r>
        <w:rPr>
          <w:b/>
          <w:bCs/>
        </w:rPr>
        <w:t xml:space="preserve">≥ 99.95%</w:t>
      </w:r>
      <w:r>
        <w:t xml:space="preserve"> </w:t>
      </w:r>
      <w:r>
        <w:t xml:space="preserve">availability of payment core; auth latency p99 &lt; 800 ms.</w:t>
      </w:r>
    </w:p>
    <w:p>
      <w:pPr>
        <w:pStyle w:val="Compact"/>
        <w:numPr>
          <w:ilvl w:val="0"/>
          <w:numId w:val="1335"/>
        </w:numPr>
      </w:pPr>
      <w:r>
        <w:t xml:space="preserve">Maintain</w:t>
      </w:r>
      <w:r>
        <w:t xml:space="preserve"> </w:t>
      </w:r>
      <w:r>
        <w:rPr>
          <w:b/>
          <w:bCs/>
        </w:rPr>
        <w:t xml:space="preserve">PCI-DSS v4.0 Level 1</w:t>
      </w:r>
      <w:r>
        <w:t xml:space="preserve"> </w:t>
      </w:r>
      <w:r>
        <w:t xml:space="preserve">(annual QSA RoC + quarterly ASV scans + annual pentest) and provide the AoC on request.</w:t>
      </w:r>
    </w:p>
    <w:p>
      <w:pPr>
        <w:pStyle w:val="Compact"/>
        <w:numPr>
          <w:ilvl w:val="0"/>
          <w:numId w:val="1335"/>
        </w:numPr>
      </w:pPr>
      <w:r>
        <w:t xml:space="preserve">Maintain paid-up capital and BOT license conditions (keeping capital</w:t>
      </w:r>
      <w:r>
        <w:t xml:space="preserve"> </w:t>
      </w:r>
      <w:r>
        <w:rPr>
          <w:b/>
          <w:bCs/>
        </w:rPr>
        <w:t xml:space="preserve">≥ 75%</w:t>
      </w:r>
      <w:r>
        <w:t xml:space="preserve"> </w:t>
      </w:r>
      <w:r>
        <w:t xml:space="preserve">at all times).</w:t>
      </w:r>
    </w:p>
    <w:bookmarkEnd w:id="892"/>
    <w:bookmarkStart w:id="893" w:name="limitation-of-liability"/>
    <w:p>
      <w:pPr>
        <w:pStyle w:val="Heading3"/>
      </w:pPr>
      <w:r>
        <w:t xml:space="preserve">3.2 Limitation of Liability</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Case</w:t>
            </w:r>
          </w:p>
        </w:tc>
        <w:tc>
          <w:tcPr/>
          <w:p>
            <w:pPr>
              <w:pStyle w:val="Compact"/>
            </w:pPr>
            <w:r>
              <w:t xml:space="preserve">Liable party</w:t>
            </w:r>
          </w:p>
        </w:tc>
      </w:tr>
      <w:tr>
        <w:tc>
          <w:tcPr/>
          <w:p>
            <w:pPr>
              <w:pStyle w:val="Compact"/>
            </w:pPr>
            <w:r>
              <w:t xml:space="preserve">Chargebacks, fraud by Merchant’s customers, non-delivery / not-as-described</w:t>
            </w:r>
          </w:p>
        </w:tc>
        <w:tc>
          <w:tcPr/>
          <w:p>
            <w:pPr>
              <w:pStyle w:val="Compact"/>
            </w:pPr>
            <w:r>
              <w:rPr>
                <w:b/>
                <w:bCs/>
              </w:rPr>
              <w:t xml:space="preserve">Merchant</w:t>
            </w:r>
            <w:r>
              <w:t xml:space="preserve"> </w:t>
            </w:r>
            <w:r>
              <w:t xml:space="preserve">(Gateway may recover from settlement/reserve)</w:t>
            </w:r>
          </w:p>
        </w:tc>
      </w:tr>
      <w:tr>
        <w:tc>
          <w:tcPr/>
          <w:p>
            <w:pPr>
              <w:pStyle w:val="Compact"/>
            </w:pPr>
            <w:r>
              <w:t xml:space="preserve">Scheme/BOT fines arising from Merchant breach</w:t>
            </w:r>
          </w:p>
        </w:tc>
        <w:tc>
          <w:tcPr/>
          <w:p>
            <w:pPr>
              <w:pStyle w:val="Compact"/>
            </w:pPr>
            <w:r>
              <w:rPr>
                <w:b/>
                <w:bCs/>
              </w:rPr>
              <w:t xml:space="preserve">Merchant</w:t>
            </w:r>
          </w:p>
        </w:tc>
      </w:tr>
      <w:tr>
        <w:tc>
          <w:tcPr/>
          <w:p>
            <w:pPr>
              <w:pStyle w:val="Compact"/>
            </w:pPr>
            <w:r>
              <w:t xml:space="preserve">Gateway outage beyond SLA causing proven direct loss</w:t>
            </w:r>
          </w:p>
        </w:tc>
        <w:tc>
          <w:tcPr/>
          <w:p>
            <w:pPr>
              <w:pStyle w:val="Compact"/>
            </w:pPr>
            <w:r>
              <w:rPr>
                <w:b/>
                <w:bCs/>
              </w:rPr>
              <w:t xml:space="preserve">Gateway</w:t>
            </w:r>
            <w:r>
              <w:t xml:space="preserve"> </w:t>
            </w:r>
            <w:r>
              <w:t xml:space="preserve">within the cap</w:t>
            </w:r>
          </w:p>
        </w:tc>
      </w:tr>
      <w:tr>
        <w:tc>
          <w:tcPr/>
          <w:p>
            <w:pPr>
              <w:pStyle w:val="Compact"/>
            </w:pPr>
            <w:r>
              <w:t xml:space="preserve">Data breach within Gateway’s systems/responsibility</w:t>
            </w:r>
          </w:p>
        </w:tc>
        <w:tc>
          <w:tcPr/>
          <w:p>
            <w:pPr>
              <w:pStyle w:val="Compact"/>
            </w:pPr>
            <w:r>
              <w:rPr>
                <w:b/>
                <w:bCs/>
              </w:rPr>
              <w:t xml:space="preserve">Gateway</w:t>
            </w:r>
          </w:p>
        </w:tc>
      </w:tr>
    </w:tbl>
    <w:p>
      <w:pPr>
        <w:pStyle w:val="Compact"/>
        <w:numPr>
          <w:ilvl w:val="0"/>
          <w:numId w:val="1336"/>
        </w:numPr>
      </w:pPr>
      <w:r>
        <w:rPr>
          <w:b/>
          <w:bCs/>
        </w:rPr>
        <w:t xml:space="preserve">Gateway’s aggregate liability</w:t>
      </w:r>
      <w:r>
        <w:t xml:space="preserve"> </w:t>
      </w:r>
      <w:r>
        <w:t xml:space="preserve">per 12 months is capped at</w:t>
      </w:r>
      <w:r>
        <w:t xml:space="preserve"> </w:t>
      </w:r>
      <w:r>
        <w:rPr>
          <w:b/>
          <w:bCs/>
        </w:rPr>
        <w:t xml:space="preserve">net fees paid by the Merchant in the 3 months before the event</w:t>
      </w:r>
      <w:r>
        <w:t xml:space="preserve">, except for willful misconduct/gross negligence or liability that law forbids limiting.</w:t>
      </w:r>
    </w:p>
    <w:p>
      <w:pPr>
        <w:pStyle w:val="Compact"/>
        <w:numPr>
          <w:ilvl w:val="0"/>
          <w:numId w:val="1336"/>
        </w:numPr>
      </w:pPr>
      <w:r>
        <w:t xml:space="preserve">No liability for indirect/consequential damages including lost profits, save as required by law.</w:t>
      </w:r>
    </w:p>
    <w:p>
      <w:r>
        <w:pict>
          <v:rect style="width:0;height:1.5pt" o:hralign="center" o:hrstd="t" o:hr="t"/>
        </w:pict>
      </w:r>
    </w:p>
    <w:bookmarkEnd w:id="893"/>
    <w:bookmarkEnd w:id="894"/>
    <w:bookmarkStart w:id="895" w:name="chargeback-handling-reserve"/>
    <w:p>
      <w:pPr>
        <w:pStyle w:val="Heading2"/>
      </w:pPr>
      <w:r>
        <w:t xml:space="preserve">4. Chargeback Handling &amp; Reserve</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Step</w:t>
            </w:r>
          </w:p>
        </w:tc>
        <w:tc>
          <w:tcPr/>
          <w:p>
            <w:pPr>
              <w:pStyle w:val="Compact"/>
            </w:pPr>
            <w:r>
              <w:t xml:space="preserve">Owner</w:t>
            </w:r>
          </w:p>
        </w:tc>
        <w:tc>
          <w:tcPr/>
          <w:p>
            <w:pPr>
              <w:pStyle w:val="Compact"/>
            </w:pPr>
            <w:r>
              <w:t xml:space="preserve">Timeline</w:t>
            </w:r>
          </w:p>
        </w:tc>
      </w:tr>
      <w:tr>
        <w:tc>
          <w:tcPr/>
          <w:p>
            <w:pPr>
              <w:pStyle w:val="Compact"/>
            </w:pPr>
            <w:r>
              <w:t xml:space="preserve">Notify chargeback via dashboard/webhook</w:t>
            </w:r>
          </w:p>
        </w:tc>
        <w:tc>
          <w:tcPr/>
          <w:p>
            <w:pPr>
              <w:pStyle w:val="Compact"/>
            </w:pPr>
            <w:r>
              <w:t xml:space="preserve">Gateway</w:t>
            </w:r>
          </w:p>
        </w:tc>
        <w:tc>
          <w:tcPr/>
          <w:p>
            <w:pPr>
              <w:pStyle w:val="Compact"/>
            </w:pPr>
            <w:r>
              <w:t xml:space="preserve">within 1 business day of scheme receipt</w:t>
            </w:r>
          </w:p>
        </w:tc>
      </w:tr>
      <w:tr>
        <w:tc>
          <w:tcPr/>
          <w:p>
            <w:pPr>
              <w:pStyle w:val="Compact"/>
            </w:pPr>
            <w:r>
              <w:t xml:space="preserve">Submit representment evidence</w:t>
            </w:r>
          </w:p>
        </w:tc>
        <w:tc>
          <w:tcPr/>
          <w:p>
            <w:pPr>
              <w:pStyle w:val="Compact"/>
            </w:pPr>
            <w:r>
              <w:t xml:space="preserve">Merchant</w:t>
            </w:r>
          </w:p>
        </w:tc>
        <w:tc>
          <w:tcPr/>
          <w:p>
            <w:pPr>
              <w:pStyle w:val="Compact"/>
            </w:pPr>
            <w:r>
              <w:t xml:space="preserve">within</w:t>
            </w:r>
            <w:r>
              <w:t xml:space="preserve"> </w:t>
            </w:r>
            <w:r>
              <w:rPr>
                <w:b/>
                <w:bCs/>
              </w:rPr>
              <w:t xml:space="preserve">7 business days</w:t>
            </w:r>
            <w:r>
              <w:t xml:space="preserve"> </w:t>
            </w:r>
            <w:r>
              <w:t xml:space="preserve">(within scheme window)</w:t>
            </w:r>
          </w:p>
        </w:tc>
      </w:tr>
      <w:tr>
        <w:tc>
          <w:tcPr/>
          <w:p>
            <w:pPr>
              <w:pStyle w:val="Compact"/>
            </w:pPr>
            <w:r>
              <w:t xml:space="preserve">File to scheme and report outcome</w:t>
            </w:r>
          </w:p>
        </w:tc>
        <w:tc>
          <w:tcPr/>
          <w:p>
            <w:pPr>
              <w:pStyle w:val="Compact"/>
            </w:pPr>
            <w:r>
              <w:t xml:space="preserve">Gateway</w:t>
            </w:r>
          </w:p>
        </w:tc>
        <w:tc>
          <w:tcPr/>
          <w:p>
            <w:pPr>
              <w:pStyle w:val="Compact"/>
            </w:pPr>
            <w:r>
              <w:t xml:space="preserve">per Visa/Mastercard windows</w:t>
            </w:r>
          </w:p>
        </w:tc>
      </w:tr>
    </w:tbl>
    <w:p>
      <w:pPr>
        <w:pStyle w:val="Compact"/>
        <w:numPr>
          <w:ilvl w:val="0"/>
          <w:numId w:val="1337"/>
        </w:numPr>
      </w:pPr>
      <w:r>
        <w:rPr>
          <w:b/>
          <w:bCs/>
        </w:rPr>
        <w:t xml:space="preserve">Rolling reserve (assumption):</w:t>
      </w:r>
      <w:r>
        <w:t xml:space="preserve"> </w:t>
      </w:r>
      <w:r>
        <w:t xml:space="preserve">initial</w:t>
      </w:r>
      <w:r>
        <w:t xml:space="preserve"> </w:t>
      </w:r>
      <w:r>
        <w:rPr>
          <w:b/>
          <w:bCs/>
        </w:rPr>
        <w:t xml:space="preserve">5–10%</w:t>
      </w:r>
      <w:r>
        <w:t xml:space="preserve"> </w:t>
      </w:r>
      <w:r>
        <w:t xml:space="preserve">of volume held</w:t>
      </w:r>
      <w:r>
        <w:t xml:space="preserve"> </w:t>
      </w:r>
      <w:r>
        <w:rPr>
          <w:b/>
          <w:bCs/>
        </w:rPr>
        <w:t xml:space="preserve">90–180 days</w:t>
      </w:r>
      <w:r>
        <w:t xml:space="preserve"> </w:t>
      </w:r>
      <w:r>
        <w:t xml:space="preserve">for new/high-risk merchants — [TODO] actual rate per risk assessment and sponsor-bank terms.</w:t>
      </w:r>
    </w:p>
    <w:p>
      <w:pPr>
        <w:pStyle w:val="Compact"/>
        <w:numPr>
          <w:ilvl w:val="0"/>
          <w:numId w:val="1337"/>
        </w:numPr>
      </w:pPr>
      <w:r>
        <w:t xml:space="preserve">Gateway may adjust reserve, partially hold settlement, or delay payout on abnormal risk (velocity, fraud spike) with notice.</w:t>
      </w:r>
    </w:p>
    <w:p>
      <w:r>
        <w:pict>
          <v:rect style="width:0;height:1.5pt" o:hralign="center" o:hrstd="t" o:hr="t"/>
        </w:pict>
      </w:r>
    </w:p>
    <w:bookmarkEnd w:id="895"/>
    <w:bookmarkStart w:id="896" w:name="fees-settlement"/>
    <w:p>
      <w:pPr>
        <w:pStyle w:val="Heading2"/>
      </w:pPr>
      <w:r>
        <w:t xml:space="preserve">5. Fees &amp; Settlement</w:t>
      </w:r>
    </w:p>
    <w:p>
      <w:pPr>
        <w:pStyle w:val="BlockText"/>
      </w:pPr>
      <w:r>
        <w:t xml:space="preserve">[!NOTE]</w:t>
      </w:r>
      <w:r>
        <w:t xml:space="preserve"> </w:t>
      </w:r>
      <w:r>
        <w:t xml:space="preserve">Figures below are</w:t>
      </w:r>
      <w:r>
        <w:t xml:space="preserve"> </w:t>
      </w:r>
      <w:r>
        <w:rPr>
          <w:b/>
          <w:bCs/>
        </w:rPr>
        <w:t xml:space="preserve">illustrative commercial ranges</w:t>
      </w:r>
      <w:r>
        <w:t xml:space="preserve"> </w:t>
      </w:r>
      <w:r>
        <w:t xml:space="preserve">for submission — replace with the agreed rates aligned to sponsor-bank interchange/scheme costs ([TODO]).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Fee</w:t>
            </w:r>
          </w:p>
        </w:tc>
        <w:tc>
          <w:tcPr/>
          <w:p>
            <w:pPr>
              <w:pStyle w:val="Compact"/>
            </w:pPr>
            <w:r>
              <w:t xml:space="preserve">Basis</w:t>
            </w:r>
          </w:p>
        </w:tc>
        <w:tc>
          <w:tcPr/>
          <w:p>
            <w:pPr>
              <w:pStyle w:val="Compact"/>
            </w:pPr>
            <w:r>
              <w:t xml:space="preserve">Illustrative range</w:t>
            </w:r>
          </w:p>
        </w:tc>
      </w:tr>
      <w:tr>
        <w:tc>
          <w:tcPr/>
          <w:p>
            <w:pPr>
              <w:pStyle w:val="Compact"/>
            </w:pPr>
            <w:r>
              <w:t xml:space="preserve">MDR — domestic cards</w:t>
            </w:r>
          </w:p>
        </w:tc>
        <w:tc>
          <w:tcPr/>
          <w:p>
            <w:pPr>
              <w:pStyle w:val="Compact"/>
            </w:pPr>
            <w:r>
              <w:t xml:space="preserve">% per successful txn</w:t>
            </w:r>
          </w:p>
        </w:tc>
        <w:tc>
          <w:tcPr/>
          <w:p>
            <w:pPr>
              <w:pStyle w:val="Compact"/>
            </w:pPr>
            <w:r>
              <w:t xml:space="preserve">1.8–2.5%</w:t>
            </w:r>
          </w:p>
        </w:tc>
      </w:tr>
      <w:tr>
        <w:tc>
          <w:tcPr/>
          <w:p>
            <w:pPr>
              <w:pStyle w:val="Compact"/>
            </w:pPr>
            <w:r>
              <w:t xml:space="preserve">MDR — cross-border</w:t>
            </w:r>
          </w:p>
        </w:tc>
        <w:tc>
          <w:tcPr/>
          <w:p>
            <w:pPr>
              <w:pStyle w:val="Compact"/>
            </w:pPr>
            <w:r>
              <w:t xml:space="preserve">% per txn</w:t>
            </w:r>
          </w:p>
        </w:tc>
        <w:tc>
          <w:tcPr/>
          <w:p>
            <w:pPr>
              <w:pStyle w:val="Compact"/>
            </w:pPr>
            <w:r>
              <w:t xml:space="preserve">2.9–3.9%</w:t>
            </w:r>
          </w:p>
        </w:tc>
      </w:tr>
      <w:tr>
        <w:tc>
          <w:tcPr/>
          <w:p>
            <w:pPr>
              <w:pStyle w:val="Compact"/>
            </w:pPr>
            <w:r>
              <w:t xml:space="preserve">Per-transaction fee</w:t>
            </w:r>
          </w:p>
        </w:tc>
        <w:tc>
          <w:tcPr/>
          <w:p>
            <w:pPr>
              <w:pStyle w:val="Compact"/>
            </w:pPr>
            <w:r>
              <w:t xml:space="preserve">per authorization</w:t>
            </w:r>
          </w:p>
        </w:tc>
        <w:tc>
          <w:tcPr/>
          <w:p>
            <w:pPr>
              <w:pStyle w:val="Compact"/>
            </w:pPr>
            <w:r>
              <w:t xml:space="preserve">THB 1–3</w:t>
            </w:r>
          </w:p>
        </w:tc>
      </w:tr>
      <w:tr>
        <w:tc>
          <w:tcPr/>
          <w:p>
            <w:pPr>
              <w:pStyle w:val="Compact"/>
            </w:pPr>
            <w:r>
              <w:t xml:space="preserve">Refund fee</w:t>
            </w:r>
          </w:p>
        </w:tc>
        <w:tc>
          <w:tcPr/>
          <w:p>
            <w:pPr>
              <w:pStyle w:val="Compact"/>
            </w:pPr>
            <w:r>
              <w:t xml:space="preserve">per refund</w:t>
            </w:r>
          </w:p>
        </w:tc>
        <w:tc>
          <w:tcPr/>
          <w:p>
            <w:pPr>
              <w:pStyle w:val="Compact"/>
            </w:pPr>
            <w:r>
              <w:t xml:space="preserve">THB 0–5</w:t>
            </w:r>
          </w:p>
        </w:tc>
      </w:tr>
      <w:tr>
        <w:tc>
          <w:tcPr/>
          <w:p>
            <w:pPr>
              <w:pStyle w:val="Compact"/>
            </w:pPr>
            <w:r>
              <w:t xml:space="preserve">Chargeback fee</w:t>
            </w:r>
          </w:p>
        </w:tc>
        <w:tc>
          <w:tcPr/>
          <w:p>
            <w:pPr>
              <w:pStyle w:val="Compact"/>
            </w:pPr>
            <w:r>
              <w:t xml:space="preserve">per chargeback</w:t>
            </w:r>
          </w:p>
        </w:tc>
        <w:tc>
          <w:tcPr/>
          <w:p>
            <w:pPr>
              <w:pStyle w:val="Compact"/>
            </w:pPr>
            <w:r>
              <w:t xml:space="preserve">THB 300–800</w:t>
            </w:r>
          </w:p>
        </w:tc>
      </w:tr>
      <w:tr>
        <w:tc>
          <w:tcPr/>
          <w:p>
            <w:pPr>
              <w:pStyle w:val="Compact"/>
            </w:pPr>
            <w:r>
              <w:t xml:space="preserve">Settlement/payout fee</w:t>
            </w:r>
          </w:p>
        </w:tc>
        <w:tc>
          <w:tcPr/>
          <w:p>
            <w:pPr>
              <w:pStyle w:val="Compact"/>
            </w:pPr>
            <w:r>
              <w:t xml:space="preserve">per payout cycle</w:t>
            </w:r>
          </w:p>
        </w:tc>
        <w:tc>
          <w:tcPr/>
          <w:p>
            <w:pPr>
              <w:pStyle w:val="Compact"/>
            </w:pPr>
            <w:r>
              <w:t xml:space="preserve">as agreed</w:t>
            </w:r>
          </w:p>
        </w:tc>
      </w:tr>
    </w:tbl>
    <w:p>
      <w:pPr>
        <w:pStyle w:val="Compact"/>
        <w:numPr>
          <w:ilvl w:val="0"/>
          <w:numId w:val="1338"/>
        </w:numPr>
      </w:pPr>
      <w:r>
        <w:rPr>
          <w:b/>
          <w:bCs/>
        </w:rPr>
        <w:t xml:space="preserve">Settlement cycle (assumption):</w:t>
      </w:r>
      <w:r>
        <w:t xml:space="preserve"> </w:t>
      </w:r>
      <w:r>
        <w:t xml:space="preserve">T+1 to T+2 business days after capture, net of fees and reserve — [TODO] real cut-off per sponsor bank.</w:t>
      </w:r>
    </w:p>
    <w:p>
      <w:pPr>
        <w:pStyle w:val="Compact"/>
        <w:numPr>
          <w:ilvl w:val="0"/>
          <w:numId w:val="1338"/>
        </w:numPr>
      </w:pPr>
      <w:r>
        <w:t xml:space="preserve">Money is held as</w:t>
      </w:r>
      <w:r>
        <w:t xml:space="preserve"> </w:t>
      </w:r>
      <w:r>
        <w:rPr>
          <w:b/>
          <w:bCs/>
        </w:rPr>
        <w:t xml:space="preserve">integer minor units (satang)</w:t>
      </w:r>
      <w:r>
        <w:t xml:space="preserve"> </w:t>
      </w:r>
      <w:r>
        <w:t xml:space="preserve">and computed with</w:t>
      </w:r>
      <w:r>
        <w:t xml:space="preserve"> </w:t>
      </w:r>
      <w:r>
        <w:rPr>
          <w:rStyle w:val="VerbatimChar"/>
        </w:rPr>
        <w:t xml:space="preserve">decimal</w:t>
      </w:r>
      <w:r>
        <w:t xml:space="preserve"> </w:t>
      </w:r>
      <w:r>
        <w:t xml:space="preserve">(no float) per</w:t>
      </w:r>
      <w:r>
        <w:t xml:space="preserve"> </w:t>
      </w:r>
      <w:r>
        <w:rPr>
          <w:rStyle w:val="VerbatimChar"/>
        </w:rPr>
        <w:t xml:space="preserve">ARCHITECTURE.md</w:t>
      </w:r>
      <w:r>
        <w:t xml:space="preserve">.</w:t>
      </w:r>
    </w:p>
    <w:p>
      <w:pPr>
        <w:pStyle w:val="Compact"/>
        <w:numPr>
          <w:ilvl w:val="0"/>
          <w:numId w:val="1338"/>
        </w:numPr>
      </w:pPr>
      <w:r>
        <w:t xml:space="preserve">Gateway issues fee statements and VAT per Thai tax law; changes to rates notified at least</w:t>
      </w:r>
      <w:r>
        <w:t xml:space="preserve"> </w:t>
      </w:r>
      <w:r>
        <w:rPr>
          <w:b/>
          <w:bCs/>
        </w:rPr>
        <w:t xml:space="preserve">30 days</w:t>
      </w:r>
      <w:r>
        <w:t xml:space="preserve"> </w:t>
      </w:r>
      <w:r>
        <w:t xml:space="preserve">in advance.</w:t>
      </w:r>
    </w:p>
    <w:p>
      <w:r>
        <w:pict>
          <v:rect style="width:0;height:1.5pt" o:hralign="center" o:hrstd="t" o:hr="t"/>
        </w:pict>
      </w:r>
    </w:p>
    <w:bookmarkEnd w:id="896"/>
    <w:bookmarkStart w:id="900" w:name="termination-suspension"/>
    <w:p>
      <w:pPr>
        <w:pStyle w:val="Heading2"/>
      </w:pPr>
      <w:r>
        <w:t xml:space="preserve">6. Termination &amp; Suspension</w:t>
      </w:r>
    </w:p>
    <w:bookmarkStart w:id="897" w:name="immediate-suspension"/>
    <w:p>
      <w:pPr>
        <w:pStyle w:val="Heading3"/>
      </w:pPr>
      <w:r>
        <w:t xml:space="preserve">6.1 Immediate Suspension</w:t>
      </w:r>
    </w:p>
    <w:p>
      <w:pPr>
        <w:pStyle w:val="FirstParagraph"/>
      </w:pPr>
      <w:r>
        <w:t xml:space="preserve">Gateway may suspend immediately on: suspected money laundering/terrorist financing, sanction-list hit, material fraud/chargeback breach, prohibited business, cardholder-data breach, or order from BOT/AMLO/court.</w:t>
      </w:r>
    </w:p>
    <w:bookmarkEnd w:id="897"/>
    <w:bookmarkStart w:id="898" w:name="termination-by-either-party"/>
    <w:p>
      <w:pPr>
        <w:pStyle w:val="Heading3"/>
      </w:pPr>
      <w:r>
        <w:t xml:space="preserve">6.2 Termination by Either Party</w:t>
      </w:r>
    </w:p>
    <w:p>
      <w:pPr>
        <w:pStyle w:val="Compact"/>
        <w:numPr>
          <w:ilvl w:val="0"/>
          <w:numId w:val="1339"/>
        </w:numPr>
      </w:pPr>
      <w:r>
        <w:rPr>
          <w:b/>
          <w:bCs/>
        </w:rPr>
        <w:t xml:space="preserve">Merchant:</w:t>
      </w:r>
      <w:r>
        <w:t xml:space="preserve"> </w:t>
      </w:r>
      <w:r>
        <w:t xml:space="preserve">on</w:t>
      </w:r>
      <w:r>
        <w:t xml:space="preserve"> </w:t>
      </w:r>
      <w:r>
        <w:rPr>
          <w:b/>
          <w:bCs/>
        </w:rPr>
        <w:t xml:space="preserve">30 days’</w:t>
      </w:r>
      <w:r>
        <w:t xml:space="preserve"> </w:t>
      </w:r>
      <w:r>
        <w:t xml:space="preserve">notice, settling all outstanding fees.</w:t>
      </w:r>
    </w:p>
    <w:p>
      <w:pPr>
        <w:pStyle w:val="Compact"/>
        <w:numPr>
          <w:ilvl w:val="0"/>
          <w:numId w:val="1339"/>
        </w:numPr>
      </w:pPr>
      <w:r>
        <w:rPr>
          <w:b/>
          <w:bCs/>
        </w:rPr>
        <w:t xml:space="preserve">Gateway:</w:t>
      </w:r>
      <w:r>
        <w:t xml:space="preserve"> </w:t>
      </w:r>
      <w:r>
        <w:t xml:space="preserve">on</w:t>
      </w:r>
      <w:r>
        <w:t xml:space="preserve"> </w:t>
      </w:r>
      <w:r>
        <w:rPr>
          <w:b/>
          <w:bCs/>
        </w:rPr>
        <w:t xml:space="preserve">30 days’</w:t>
      </w:r>
      <w:r>
        <w:t xml:space="preserve"> </w:t>
      </w:r>
      <w:r>
        <w:t xml:space="preserve">notice (or immediately under 6.1).</w:t>
      </w:r>
    </w:p>
    <w:bookmarkEnd w:id="898"/>
    <w:bookmarkStart w:id="899" w:name="effects-of-termination"/>
    <w:p>
      <w:pPr>
        <w:pStyle w:val="Heading3"/>
      </w:pPr>
      <w:r>
        <w:t xml:space="preserve">6.3 Effects of Termination</w:t>
      </w:r>
    </w:p>
    <w:p>
      <w:pPr>
        <w:pStyle w:val="Compact"/>
        <w:numPr>
          <w:ilvl w:val="0"/>
          <w:numId w:val="1340"/>
        </w:numPr>
      </w:pPr>
      <w:r>
        <w:t xml:space="preserve">Stop accepting new transactions immediately; already-authorized transactions complete.</w:t>
      </w:r>
    </w:p>
    <w:p>
      <w:pPr>
        <w:pStyle w:val="Compact"/>
        <w:numPr>
          <w:ilvl w:val="0"/>
          <w:numId w:val="1340"/>
        </w:numPr>
      </w:pPr>
      <w:r>
        <w:rPr>
          <w:b/>
          <w:bCs/>
        </w:rPr>
        <w:t xml:space="preserve">Release reserve</w:t>
      </w:r>
      <w:r>
        <w:t xml:space="preserve"> </w:t>
      </w:r>
      <w:r>
        <w:t xml:space="preserve">after the chargeback risk window (assumption</w:t>
      </w:r>
      <w:r>
        <w:t xml:space="preserve"> </w:t>
      </w:r>
      <w:r>
        <w:rPr>
          <w:b/>
          <w:bCs/>
        </w:rPr>
        <w:t xml:space="preserve">90–180 days</w:t>
      </w:r>
      <w:r>
        <w:t xml:space="preserve">).</w:t>
      </w:r>
    </w:p>
    <w:p>
      <w:pPr>
        <w:pStyle w:val="Compact"/>
        <w:numPr>
          <w:ilvl w:val="0"/>
          <w:numId w:val="1340"/>
        </w:numPr>
      </w:pPr>
      <w:r>
        <w:rPr>
          <w:b/>
          <w:bCs/>
        </w:rPr>
        <w:t xml:space="preserve">Retain transaction/audit records</w:t>
      </w:r>
      <w:r>
        <w:t xml:space="preserve"> </w:t>
      </w:r>
      <w:r>
        <w:t xml:space="preserve">as required by law: transaction/AML records</w:t>
      </w:r>
      <w:r>
        <w:t xml:space="preserve"> </w:t>
      </w:r>
      <w:r>
        <w:rPr>
          <w:b/>
          <w:bCs/>
        </w:rPr>
        <w:t xml:space="preserve">at least 5–10 years</w:t>
      </w:r>
      <w:r>
        <w:t xml:space="preserve"> </w:t>
      </w:r>
      <w:r>
        <w:t xml:space="preserve">per the AMLO Act; audit logs per BOT/PCI-DSS — then delete/anonymize per PDPA.</w:t>
      </w:r>
    </w:p>
    <w:p>
      <w:pPr>
        <w:pStyle w:val="Compact"/>
        <w:numPr>
          <w:ilvl w:val="0"/>
          <w:numId w:val="1340"/>
        </w:numPr>
      </w:pPr>
      <w:r>
        <w:t xml:space="preserve">Merchant must not retain CHD obtained via the Services after termination.</w:t>
      </w:r>
    </w:p>
    <w:p>
      <w:r>
        <w:pict>
          <v:rect style="width:0;height:1.5pt" o:hralign="center" o:hrstd="t" o:hr="t"/>
        </w:pict>
      </w:r>
    </w:p>
    <w:bookmarkEnd w:id="899"/>
    <w:bookmarkEnd w:id="900"/>
    <w:bookmarkStart w:id="901" w:name="general"/>
    <w:p>
      <w:pPr>
        <w:pStyle w:val="Heading2"/>
      </w:pPr>
      <w:r>
        <w:t xml:space="preserve">7. General</w:t>
      </w:r>
    </w:p>
    <w:p>
      <w:pPr>
        <w:pStyle w:val="Compact"/>
        <w:numPr>
          <w:ilvl w:val="0"/>
          <w:numId w:val="1341"/>
        </w:numPr>
      </w:pPr>
      <w:r>
        <w:rPr>
          <w:b/>
          <w:bCs/>
        </w:rPr>
        <w:t xml:space="preserve">Governing law:</w:t>
      </w:r>
      <w:r>
        <w:t xml:space="preserve"> </w:t>
      </w:r>
      <w:r>
        <w:t xml:space="preserve">Thai law; disputes before Thai courts (or arbitration if agreed).</w:t>
      </w:r>
    </w:p>
    <w:p>
      <w:pPr>
        <w:pStyle w:val="Compact"/>
        <w:numPr>
          <w:ilvl w:val="0"/>
          <w:numId w:val="1341"/>
        </w:numPr>
      </w:pPr>
      <w:r>
        <w:rPr>
          <w:b/>
          <w:bCs/>
        </w:rPr>
        <w:t xml:space="preserve">Amendments:</w:t>
      </w:r>
      <w:r>
        <w:t xml:space="preserve"> </w:t>
      </w:r>
      <w:r>
        <w:t xml:space="preserve">Gateway may amend on ≥30 days’ notice, except where law/BOT/scheme requires immediate effect.</w:t>
      </w:r>
    </w:p>
    <w:p>
      <w:pPr>
        <w:pStyle w:val="Compact"/>
        <w:numPr>
          <w:ilvl w:val="0"/>
          <w:numId w:val="1341"/>
        </w:numPr>
      </w:pPr>
      <w:r>
        <w:rPr>
          <w:b/>
          <w:bCs/>
        </w:rPr>
        <w:t xml:space="preserve">Assignment:</w:t>
      </w:r>
      <w:r>
        <w:t xml:space="preserve"> </w:t>
      </w:r>
      <w:r>
        <w:t xml:space="preserve">Merchant may not assign without prior written consent.</w:t>
      </w:r>
    </w:p>
    <w:p>
      <w:pPr>
        <w:pStyle w:val="Compact"/>
        <w:numPr>
          <w:ilvl w:val="0"/>
          <w:numId w:val="1341"/>
        </w:numPr>
      </w:pPr>
      <w:r>
        <w:rPr>
          <w:b/>
          <w:bCs/>
        </w:rPr>
        <w:t xml:space="preserve">Annexes:</w:t>
      </w:r>
      <w:r>
        <w:t xml:space="preserve"> </w:t>
      </w:r>
      <w:r>
        <w:t xml:space="preserve">(A) Fee schedule, (B) DPA per PDPA, (C) Scheme rules (Visa/Mastercard), (D) SLA.</w:t>
      </w:r>
    </w:p>
    <w:p>
      <w:r>
        <w:br w:type="page"/>
      </w:r>
    </w:p>
    <w:bookmarkEnd w:id="901"/>
    <w:bookmarkEnd w:id="902"/>
    <w:bookmarkStart w:id="916" w:name="ขอตกลงระดบการใหบรการ-sla-ไทย"/>
    <w:p>
      <w:pPr>
        <w:pStyle w:val="Heading1"/>
      </w:pPr>
      <w:r>
        <w:t xml:space="preserve">ข้อตกลงระดับการให้บริการ (SLA)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 พ.ร.บ. ระบบการชำระเงิน พ.ศ. 2560 ต่อธนาคารแห่งประเทศไทย (ธปท.) และเป็นเอกสารแนบข้อกำหนดระดับการให้บริการ (Service Level Agreement) สำหรับผู้ค้า (Merchant)</w:t>
      </w:r>
      <w:r>
        <w:t xml:space="preserve"> </w:t>
      </w:r>
      <w:r>
        <w:t xml:space="preserve">เอกสารชุดเดียวกันนี้ใช้ประกอบการประเมิน</w:t>
      </w:r>
      <w:r>
        <w:t xml:space="preserve"> </w:t>
      </w:r>
      <w:r>
        <w:rPr>
          <w:b/>
          <w:bCs/>
        </w:rPr>
        <w:t xml:space="preserve">PCI-DSS v4.0 Level 1</w:t>
      </w:r>
      <w:r>
        <w:t xml:space="preserve"> </w:t>
      </w:r>
      <w:r>
        <w:t xml:space="preserve">ในหัวข้อความพร้อมใช้งาน (availability) การตอบสนองเหตุการณ์ (incident response) และการจัดการผู้ให้บริการภายนอก</w:t>
      </w:r>
      <w:r>
        <w:t xml:space="preserve"> </w:t>
      </w:r>
      <w:r>
        <w:t xml:space="preserve">เจ้าของเอกสาร: [บริษัท / Company] · เวอร์ชัน 0.1 · ปรับปรุงล่าสุด: 2026-07-22 · รอบทบทวน: ทุก 12 เดือน หรือเมื่อมีการเปลี่ยนแปลงสำคัญ</w:t>
      </w:r>
    </w:p>
    <w:p>
      <w:r>
        <w:pict>
          <v:rect style="width:0;height:1.5pt" o:hralign="center" o:hrstd="t" o:hr="t"/>
        </w:pict>
      </w:r>
    </w:p>
    <w:bookmarkStart w:id="903" w:name="วตถประสงคและขอบเขต-9"/>
    <w:p>
      <w:pPr>
        <w:pStyle w:val="Heading2"/>
      </w:pPr>
      <w:r>
        <w:t xml:space="preserve">1. วัตถุประสงค์และขอบเขต</w:t>
      </w:r>
    </w:p>
    <w:p>
      <w:pPr>
        <w:pStyle w:val="FirstParagraph"/>
      </w:pPr>
      <w:r>
        <w:t xml:space="preserve">เอกสารนี้กำหนดคำมั่นด้านคุณภาพบริการที่ [บริษัท / Company] (</w:t>
      </w:r>
      <w:r>
        <w:t xml:space="preserve">“ผู้ให้บริการ”</w:t>
      </w:r>
      <w:r>
        <w:t xml:space="preserve">) ให้ไว้ต่อผู้ค้าที่ใช้บริการ Payment Gateway โดยครอบคลุม:</w:t>
      </w:r>
    </w:p>
    <w:p>
      <w:pPr>
        <w:pStyle w:val="Compact"/>
        <w:numPr>
          <w:ilvl w:val="0"/>
          <w:numId w:val="1342"/>
        </w:numPr>
      </w:pPr>
      <w:r>
        <w:rPr>
          <w:b/>
          <w:bCs/>
        </w:rPr>
        <w:t xml:space="preserve">Availability (ความพร้อมใช้งาน)</w:t>
      </w:r>
      <w:r>
        <w:t xml:space="preserve"> </w:t>
      </w:r>
      <w:r>
        <w:t xml:space="preserve">ของบริการหลักและบริการรอง</w:t>
      </w:r>
    </w:p>
    <w:p>
      <w:pPr>
        <w:pStyle w:val="Compact"/>
        <w:numPr>
          <w:ilvl w:val="0"/>
          <w:numId w:val="1342"/>
        </w:numPr>
      </w:pPr>
      <w:r>
        <w:rPr>
          <w:b/>
          <w:bCs/>
        </w:rPr>
        <w:t xml:space="preserve">Latency (เวลาตอบสนอง)</w:t>
      </w:r>
      <w:r>
        <w:t xml:space="preserve"> </w:t>
      </w:r>
      <w:r>
        <w:t xml:space="preserve">ของ API สำคัญ</w:t>
      </w:r>
    </w:p>
    <w:p>
      <w:pPr>
        <w:pStyle w:val="Compact"/>
        <w:numPr>
          <w:ilvl w:val="0"/>
          <w:numId w:val="1342"/>
        </w:numPr>
      </w:pPr>
      <w:r>
        <w:rPr>
          <w:b/>
          <w:bCs/>
        </w:rPr>
        <w:t xml:space="preserve">Support tiers (ระดับการสนับสนุน)</w:t>
      </w:r>
      <w:r>
        <w:t xml:space="preserve"> </w:t>
      </w:r>
      <w:r>
        <w:t xml:space="preserve">และช่องทางติดต่อ</w:t>
      </w:r>
    </w:p>
    <w:p>
      <w:pPr>
        <w:pStyle w:val="Compact"/>
        <w:numPr>
          <w:ilvl w:val="0"/>
          <w:numId w:val="1342"/>
        </w:numPr>
      </w:pPr>
      <w:r>
        <w:rPr>
          <w:b/>
          <w:bCs/>
        </w:rPr>
        <w:t xml:space="preserve">Incident response times (เวลาการตอบสนองเหตุการณ์)</w:t>
      </w:r>
      <w:r>
        <w:t xml:space="preserve"> </w:t>
      </w:r>
      <w:r>
        <w:t xml:space="preserve">ตามระดับความรุนแรง</w:t>
      </w:r>
    </w:p>
    <w:p>
      <w:pPr>
        <w:pStyle w:val="Compact"/>
        <w:numPr>
          <w:ilvl w:val="0"/>
          <w:numId w:val="1342"/>
        </w:numPr>
      </w:pPr>
      <w:r>
        <w:rPr>
          <w:b/>
          <w:bCs/>
        </w:rPr>
        <w:t xml:space="preserve">Service credits (เครดิตชดเชย)</w:t>
      </w:r>
      <w:r>
        <w:t xml:space="preserve"> </w:t>
      </w:r>
      <w:r>
        <w:t xml:space="preserve">เมื่อไม่เป็นไปตามเป้าหมาย</w:t>
      </w:r>
    </w:p>
    <w:p>
      <w:pPr>
        <w:pStyle w:val="FirstParagraph"/>
      </w:pPr>
      <w:r>
        <w:rPr>
          <w:b/>
          <w:bCs/>
        </w:rPr>
        <w:t xml:space="preserve">ขอบเขต:</w:t>
      </w:r>
      <w:r>
        <w:t xml:space="preserve"> </w:t>
      </w:r>
      <w:r>
        <w:t xml:space="preserve">บริการที่ [บริษัท / Company] ควบคุมโดยตรง ได้แก่ Payment Core (authorize/capture/void/refund), Tokenization Vault, Merchant/Admin API, Webhook/Notifier, Dashboard และงาน Reconciliation/Settlement ภายใน</w:t>
      </w:r>
    </w:p>
    <w:p>
      <w:pPr>
        <w:pStyle w:val="BodyText"/>
      </w:pPr>
      <w:r>
        <w:rPr>
          <w:b/>
          <w:bCs/>
        </w:rPr>
        <w:t xml:space="preserve">นอกขอบเขต (out of scope):</w:t>
      </w:r>
      <w:r>
        <w:t xml:space="preserve"> </w:t>
      </w:r>
      <w:r>
        <w:t xml:space="preserve">เหตุขัดข้องที่มีต้นเหตุจากผู้ให้บริการต้นน้ำที่อยู่นอกการควบคุมของผู้ให้บริการ เช่น sponsor bank/acquirer, card scheme (Visa/Mastercard), ผู้ให้บริการ 3-D Secure (ACS/DS), ระบบหักบัญชีท้องถิ่น (เช่น ITMX), ผู้ให้บริการโครงข่ายของผู้ค้า, force majeure และช่วงบำรุงรักษาตามแผน (planned maintenance) ที่แจ้งล่วงหน้า</w:t>
      </w:r>
    </w:p>
    <w:p>
      <w:pPr>
        <w:pStyle w:val="BlockText"/>
      </w:pPr>
      <w:r>
        <w:rPr>
          <w:b/>
          <w:bCs/>
        </w:rPr>
        <w:t xml:space="preserve">หมายเหตุการกำกับ:</w:t>
      </w:r>
      <w:r>
        <w:t xml:space="preserve"> </w:t>
      </w:r>
      <w:r>
        <w:t xml:space="preserve">SLA ฉบับนี้เป็นข้อผูกพันเชิงพาณิชย์ระหว่างผู้ให้บริการกับผู้ค้า และ</w:t>
      </w:r>
      <w:r>
        <w:t xml:space="preserve"> </w:t>
      </w:r>
      <w:r>
        <w:rPr>
          <w:b/>
          <w:bCs/>
        </w:rPr>
        <w:t xml:space="preserve">ไม่ลดทอน</w:t>
      </w:r>
      <w:r>
        <w:t xml:space="preserve"> </w:t>
      </w:r>
      <w:r>
        <w:t xml:space="preserve">หน้าที่ตามกฎหมายของผู้ให้บริการต่อ ธปท. (เช่น การรายงานเหตุการณ์ด้าน IT/ไซเบอร์), ต่อ ปปง./AMLO (การรายงานธุรกรรม/STR-CTR) และต่อ PDPC (การแจ้งเหตุละเมิดข้อมูลส่วนบุคคลภายใน 72 ชั่วโมงตาม PDPA)</w:t>
      </w:r>
    </w:p>
    <w:p>
      <w:r>
        <w:pict>
          <v:rect style="width:0;height:1.5pt" o:hralign="center" o:hrstd="t" o:hr="t"/>
        </w:pict>
      </w:r>
    </w:p>
    <w:bookmarkEnd w:id="903"/>
    <w:bookmarkStart w:id="904" w:name="นยามและวธวด-definitions-measurement"/>
    <w:p>
      <w:pPr>
        <w:pStyle w:val="Heading2"/>
      </w:pPr>
      <w:r>
        <w:t xml:space="preserve">2. นิยามและวิธีวัด (Definitions &amp; Measurement)</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คำ</w:t>
            </w:r>
          </w:p>
        </w:tc>
        <w:tc>
          <w:tcPr/>
          <w:p>
            <w:pPr>
              <w:pStyle w:val="Compact"/>
            </w:pPr>
            <w:r>
              <w:t xml:space="preserve">นิยาม</w:t>
            </w:r>
          </w:p>
        </w:tc>
      </w:tr>
      <w:tr>
        <w:tc>
          <w:tcPr/>
          <w:p>
            <w:pPr>
              <w:pStyle w:val="Compact"/>
            </w:pPr>
            <w:r>
              <w:rPr>
                <w:b/>
                <w:bCs/>
              </w:rPr>
              <w:t xml:space="preserve">Uptime %</w:t>
            </w:r>
          </w:p>
        </w:tc>
        <w:tc>
          <w:tcPr/>
          <w:p>
            <w:pPr>
              <w:pStyle w:val="Compact"/>
            </w:pPr>
            <w:r>
              <w:t xml:space="preserve">(นาทีทั้งหมดในเดือน − นาที Downtime) ÷ นาทีทั้งหมดในเดือน × 100</w:t>
            </w:r>
          </w:p>
        </w:tc>
      </w:tr>
      <w:tr>
        <w:tc>
          <w:tcPr/>
          <w:p>
            <w:pPr>
              <w:pStyle w:val="Compact"/>
            </w:pPr>
            <w:r>
              <w:rPr>
                <w:b/>
                <w:bCs/>
              </w:rPr>
              <w:t xml:space="preserve">Downtime</w:t>
            </w:r>
          </w:p>
        </w:tc>
        <w:tc>
          <w:tcPr/>
          <w:p>
            <w:pPr>
              <w:pStyle w:val="Compact"/>
            </w:pPr>
            <w:r>
              <w:t xml:space="preserve">ช่วงที่บริการหลักไม่สามารถประมวลผลคำขอที่ถูกต้องได้สำเร็จ วัดจากอัตราความล้มเหลว (error rate จาก HTTP 5xx/timeout ที่มีต้นเหตุจากผู้ให้บริการ) เกิน</w:t>
            </w:r>
            <w:r>
              <w:t xml:space="preserve"> </w:t>
            </w:r>
            <w:r>
              <w:rPr>
                <w:b/>
                <w:bCs/>
              </w:rPr>
              <w:t xml:space="preserve">5%</w:t>
            </w:r>
            <w:r>
              <w:t xml:space="preserve"> </w:t>
            </w:r>
            <w:r>
              <w:t xml:space="preserve">ต่อเนื่องเกิน</w:t>
            </w:r>
            <w:r>
              <w:t xml:space="preserve"> </w:t>
            </w:r>
            <w:r>
              <w:rPr>
                <w:b/>
                <w:bCs/>
              </w:rPr>
              <w:t xml:space="preserve">60 วินาที</w:t>
            </w:r>
            <w:r>
              <w:t xml:space="preserve"> </w:t>
            </w:r>
            <w:r>
              <w:t xml:space="preserve">ในหน้าต่างวัด 1 นาที</w:t>
            </w:r>
          </w:p>
        </w:tc>
      </w:tr>
      <w:tr>
        <w:tc>
          <w:tcPr/>
          <w:p>
            <w:pPr>
              <w:pStyle w:val="Compact"/>
            </w:pPr>
            <w:r>
              <w:rPr>
                <w:b/>
                <w:bCs/>
              </w:rPr>
              <w:t xml:space="preserve">รอบวัด (Measurement window)</w:t>
            </w:r>
          </w:p>
        </w:tc>
        <w:tc>
          <w:tcPr/>
          <w:p>
            <w:pPr>
              <w:pStyle w:val="Compact"/>
            </w:pPr>
            <w:r>
              <w:t xml:space="preserve">รายเดือนตามปฏิทิน เขตเวลา Asia/Bangkok (UTC+7)</w:t>
            </w:r>
          </w:p>
        </w:tc>
      </w:tr>
      <w:tr>
        <w:tc>
          <w:tcPr/>
          <w:p>
            <w:pPr>
              <w:pStyle w:val="Compact"/>
            </w:pPr>
            <w:r>
              <w:rPr>
                <w:b/>
                <w:bCs/>
              </w:rPr>
              <w:t xml:space="preserve">แหล่งข้อมูลวัด (System of record)</w:t>
            </w:r>
          </w:p>
        </w:tc>
        <w:tc>
          <w:tcPr/>
          <w:p>
            <w:pPr>
              <w:pStyle w:val="Compact"/>
            </w:pPr>
            <w:r>
              <w:t xml:space="preserve">ระบบ observability ภายใน (Prometheus metrics, OpenTelemetry traces, synthetic health check ทุก 30 วินาทีจากอย่างน้อย 2 จุดวัด) — เก็บ log ≥ 12 เดือน (สอดคล้อง PCI-DSS Req 10)</w:t>
            </w:r>
          </w:p>
        </w:tc>
      </w:tr>
      <w:tr>
        <w:tc>
          <w:tcPr/>
          <w:p>
            <w:pPr>
              <w:pStyle w:val="Compact"/>
            </w:pPr>
            <w:r>
              <w:rPr>
                <w:b/>
                <w:bCs/>
              </w:rPr>
              <w:t xml:space="preserve">Latency p99</w:t>
            </w:r>
          </w:p>
        </w:tc>
        <w:tc>
          <w:tcPr/>
          <w:p>
            <w:pPr>
              <w:pStyle w:val="Compact"/>
            </w:pPr>
            <w:r>
              <w:t xml:space="preserve">เปอร์เซ็นไทล์ที่ 99 ของเวลาประมวลผลฝั่งเซิร์ฟเวอร์ (server-side) ไม่รวมเวลา network ฝั่งผู้ค้า วัดที่ API Edge</w:t>
            </w:r>
          </w:p>
        </w:tc>
      </w:tr>
      <w:tr>
        <w:tc>
          <w:tcPr/>
          <w:p>
            <w:pPr>
              <w:pStyle w:val="Compact"/>
            </w:pPr>
            <w:r>
              <w:rPr>
                <w:b/>
                <w:bCs/>
              </w:rPr>
              <w:t xml:space="preserve">Planned maintenance</w:t>
            </w:r>
          </w:p>
        </w:tc>
        <w:tc>
          <w:tcPr/>
          <w:p>
            <w:pPr>
              <w:pStyle w:val="Compact"/>
            </w:pPr>
            <w:r>
              <w:t xml:space="preserve">งานบำรุงรักษาที่แจ้งล่วงหน้า ≥ 5 วันทำการ ดำเนินการในหน้าต่างมาตรฐาน วันอาทิตย์ 02:00–06:00 (Asia/Bangkok) ไม่นับเป็น Downtime</w:t>
            </w:r>
          </w:p>
        </w:tc>
      </w:tr>
    </w:tbl>
    <w:p>
      <w:r>
        <w:pict>
          <v:rect style="width:0;height:1.5pt" o:hralign="center" o:hrstd="t" o:hr="t"/>
        </w:pict>
      </w:r>
    </w:p>
    <w:bookmarkEnd w:id="904"/>
    <w:bookmarkStart w:id="905" w:name="ความพรอมใชงาน-availability-uptime"/>
    <w:p>
      <w:pPr>
        <w:pStyle w:val="Heading2"/>
      </w:pPr>
      <w:r>
        <w:t xml:space="preserve">3. ความพร้อมใช้งาน (Availability / Uptime)</w:t>
      </w:r>
    </w:p>
    <w:tbl>
      <w:tblPr>
        <w:tblStyle w:val="Table"/>
        <w:tblW w:type="pct" w:w="5000"/>
        <w:tblLayout w:type="fixed"/>
        <w:tblLook w:firstRow="1" w:lastRow="0" w:firstColumn="0" w:lastColumn="0" w:noHBand="0" w:noVBand="0" w:val="0020"/>
      </w:tblPr>
      <w:tblGrid>
        <w:gridCol w:w="945"/>
        <w:gridCol w:w="2600"/>
        <w:gridCol w:w="4373"/>
      </w:tblGrid>
      <w:tr>
        <w:trPr>
          <w:tblHeader w:val="on"/>
        </w:trPr>
        <w:tc>
          <w:tcPr/>
          <w:p>
            <w:pPr>
              <w:pStyle w:val="Compact"/>
            </w:pPr>
            <w:r>
              <w:t xml:space="preserve">บริการ</w:t>
            </w:r>
          </w:p>
        </w:tc>
        <w:tc>
          <w:tcPr/>
          <w:p>
            <w:pPr>
              <w:pStyle w:val="Compact"/>
            </w:pPr>
            <w:r>
              <w:t xml:space="preserve">เป้าหมาย Uptime/เดือน</w:t>
            </w:r>
          </w:p>
        </w:tc>
        <w:tc>
          <w:tcPr/>
          <w:p>
            <w:pPr>
              <w:pStyle w:val="Compact"/>
            </w:pPr>
            <w:r>
              <w:t xml:space="preserve">Downtime สูงสุดต่อเดือน (โดยประมาณ)</w:t>
            </w:r>
          </w:p>
        </w:tc>
      </w:tr>
      <w:tr>
        <w:tc>
          <w:tcPr/>
          <w:p>
            <w:pPr>
              <w:pStyle w:val="Compact"/>
            </w:pPr>
            <w:r>
              <w:rPr>
                <w:b/>
                <w:bCs/>
              </w:rPr>
              <w:t xml:space="preserve">Payment Core API</w:t>
            </w:r>
            <w:r>
              <w:t xml:space="preserve"> </w:t>
            </w:r>
            <w:r>
              <w:t xml:space="preserve">(authorize/capture/void/refund)</w:t>
            </w:r>
          </w:p>
        </w:tc>
        <w:tc>
          <w:tcPr/>
          <w:p>
            <w:pPr>
              <w:pStyle w:val="Compact"/>
            </w:pPr>
            <w:r>
              <w:rPr>
                <w:b/>
                <w:bCs/>
              </w:rPr>
              <w:t xml:space="preserve">≥ 99.95%</w:t>
            </w:r>
          </w:p>
        </w:tc>
        <w:tc>
          <w:tcPr/>
          <w:p>
            <w:pPr>
              <w:pStyle w:val="Compact"/>
            </w:pPr>
            <w:r>
              <w:t xml:space="preserve">~21.9 นาที</w:t>
            </w:r>
          </w:p>
        </w:tc>
      </w:tr>
      <w:tr>
        <w:tc>
          <w:tcPr/>
          <w:p>
            <w:pPr>
              <w:pStyle w:val="Compact"/>
            </w:pPr>
            <w:r>
              <w:rPr>
                <w:b/>
                <w:bCs/>
              </w:rPr>
              <w:t xml:space="preserve">Tokenization Vault</w:t>
            </w:r>
            <w:r>
              <w:t xml:space="preserve"> </w:t>
            </w:r>
            <w:r>
              <w:t xml:space="preserve">(detokenize/tokenize)</w:t>
            </w:r>
          </w:p>
        </w:tc>
        <w:tc>
          <w:tcPr/>
          <w:p>
            <w:pPr>
              <w:pStyle w:val="Compact"/>
            </w:pPr>
            <w:r>
              <w:rPr>
                <w:b/>
                <w:bCs/>
              </w:rPr>
              <w:t xml:space="preserve">≥ 99.95%</w:t>
            </w:r>
          </w:p>
        </w:tc>
        <w:tc>
          <w:tcPr/>
          <w:p>
            <w:pPr>
              <w:pStyle w:val="Compact"/>
            </w:pPr>
            <w:r>
              <w:t xml:space="preserve">~21.9 นาที</w:t>
            </w:r>
          </w:p>
        </w:tc>
      </w:tr>
      <w:tr>
        <w:tc>
          <w:tcPr/>
          <w:p>
            <w:pPr>
              <w:pStyle w:val="Compact"/>
            </w:pPr>
            <w:r>
              <w:rPr>
                <w:b/>
                <w:bCs/>
              </w:rPr>
              <w:t xml:space="preserve">Merchant/Admin API + Dashboard</w:t>
            </w:r>
          </w:p>
        </w:tc>
        <w:tc>
          <w:tcPr/>
          <w:p>
            <w:pPr>
              <w:pStyle w:val="Compact"/>
            </w:pPr>
            <w:r>
              <w:t xml:space="preserve">≥ 99.9%</w:t>
            </w:r>
          </w:p>
        </w:tc>
        <w:tc>
          <w:tcPr/>
          <w:p>
            <w:pPr>
              <w:pStyle w:val="Compact"/>
            </w:pPr>
            <w:r>
              <w:t xml:space="preserve">~43.8 นาที</w:t>
            </w:r>
          </w:p>
        </w:tc>
      </w:tr>
      <w:tr>
        <w:tc>
          <w:tcPr/>
          <w:p>
            <w:pPr>
              <w:pStyle w:val="Compact"/>
            </w:pPr>
            <w:r>
              <w:rPr>
                <w:b/>
                <w:bCs/>
              </w:rPr>
              <w:t xml:space="preserve">Webhook/Notifier</w:t>
            </w:r>
            <w:r>
              <w:t xml:space="preserve"> </w:t>
            </w:r>
            <w:r>
              <w:t xml:space="preserve">(การส่งครั้งแรก)</w:t>
            </w:r>
          </w:p>
        </w:tc>
        <w:tc>
          <w:tcPr/>
          <w:p>
            <w:pPr>
              <w:pStyle w:val="Compact"/>
            </w:pPr>
            <w:r>
              <w:t xml:space="preserve">≥ 99.5% (best-effort + retry)</w:t>
            </w:r>
          </w:p>
        </w:tc>
        <w:tc>
          <w:tcPr/>
          <w:p>
            <w:pPr>
              <w:pStyle w:val="Compact"/>
            </w:pPr>
            <w:r>
              <w:t xml:space="preserve">—</w:t>
            </w:r>
          </w:p>
        </w:tc>
      </w:tr>
      <w:tr>
        <w:tc>
          <w:tcPr/>
          <w:p>
            <w:pPr>
              <w:pStyle w:val="Compact"/>
            </w:pPr>
            <w:r>
              <w:rPr>
                <w:b/>
                <w:bCs/>
              </w:rPr>
              <w:t xml:space="preserve">Reporting/Analytics (แบบ batch)</w:t>
            </w:r>
          </w:p>
        </w:tc>
        <w:tc>
          <w:tcPr/>
          <w:p>
            <w:pPr>
              <w:pStyle w:val="Compact"/>
            </w:pPr>
            <w:r>
              <w:t xml:space="preserve">≥ 99.0%</w:t>
            </w:r>
          </w:p>
        </w:tc>
        <w:tc>
          <w:tcPr/>
          <w:p>
            <w:pPr>
              <w:pStyle w:val="Compact"/>
            </w:pPr>
            <w:r>
              <w:t xml:space="preserve">—</w:t>
            </w:r>
          </w:p>
        </w:tc>
      </w:tr>
    </w:tbl>
    <w:p>
      <w:pPr>
        <w:pStyle w:val="BodyText"/>
      </w:pPr>
      <w:r>
        <w:rPr>
          <w:b/>
          <w:bCs/>
        </w:rPr>
        <w:t xml:space="preserve">สถาปัตยกรรมรองรับเป้าหมาย</w:t>
      </w:r>
      <w:r>
        <w:t xml:space="preserve"> </w:t>
      </w:r>
      <w:r>
        <w:t xml:space="preserve">(อ้างอิง</w:t>
      </w:r>
      <w:r>
        <w:t xml:space="preserve"> </w:t>
      </w:r>
      <w:r>
        <w:rPr>
          <w:rStyle w:val="VerbatimChar"/>
        </w:rPr>
        <w:t xml:space="preserve">ARCHITECTURE.md</w:t>
      </w:r>
      <w:r>
        <w:t xml:space="preserve"> </w:t>
      </w:r>
      <w:r>
        <w:t xml:space="preserve">ข้อ 8): stateless API + horizontal scaling, HA แบบหลาย availability zone, streaming replica (RPO ≤ 5 นาที), เป้าหมายกู้คืน RTO ≤ 30 นาที, health check + auto-failover, WAF/DDoS protection</w:t>
      </w:r>
    </w:p>
    <w:p>
      <w:pPr>
        <w:pStyle w:val="BodyText"/>
      </w:pPr>
      <w:r>
        <w:rPr>
          <w:b/>
          <w:bCs/>
        </w:rPr>
        <w:t xml:space="preserve">Webhook เป็น at-least-once:</w:t>
      </w:r>
      <w:r>
        <w:t xml:space="preserve"> </w:t>
      </w:r>
      <w:r>
        <w:t xml:space="preserve">หากส่งครั้งแรกไม่สำเร็จ ระบบ retry แบบ exponential backoff อย่างน้อย 24 ชั่วโมง และมี endpoint ให้ผู้ค้าดึงสถานะย้อนหลัง (reconciliation) ความล่าช้าของ webhook ไม่ถือเป็น Downtime ของ Payment Core หากธุรกรรมสำเร็จและ query ได้</w:t>
      </w:r>
    </w:p>
    <w:p>
      <w:r>
        <w:pict>
          <v:rect style="width:0;height:1.5pt" o:hralign="center" o:hrstd="t" o:hr="t"/>
        </w:pict>
      </w:r>
    </w:p>
    <w:bookmarkEnd w:id="905"/>
    <w:bookmarkStart w:id="906" w:name="เวลาตอบสนอง-latency"/>
    <w:p>
      <w:pPr>
        <w:pStyle w:val="Heading2"/>
      </w:pPr>
      <w:r>
        <w:t xml:space="preserve">4. เวลาตอบสนอง (Latency)</w:t>
      </w:r>
    </w:p>
    <w:p>
      <w:pPr>
        <w:pStyle w:val="FirstParagraph"/>
      </w:pPr>
      <w:r>
        <w:t xml:space="preserve">เป้าหมาย latency ฝั่งเซิร์ฟเวอร์ (ไม่รวม hop ไป acquirer เว้นแต่ระบุ) วัดรายเดือน:</w:t>
      </w:r>
    </w:p>
    <w:tbl>
      <w:tblPr>
        <w:tblStyle w:val="Table"/>
        <w:tblW w:type="pct" w:w="5000"/>
        <w:tblLayout w:type="fixed"/>
        <w:tblLook w:firstRow="1" w:lastRow="0" w:firstColumn="0" w:lastColumn="0" w:noHBand="0" w:noVBand="0" w:val="0020"/>
      </w:tblPr>
      <w:tblGrid>
        <w:gridCol w:w="4620"/>
        <w:gridCol w:w="1100"/>
        <w:gridCol w:w="1100"/>
        <w:gridCol w:w="1100"/>
      </w:tblGrid>
      <w:tr>
        <w:trPr>
          <w:tblHeader w:val="on"/>
        </w:trPr>
        <w:tc>
          <w:tcPr/>
          <w:p>
            <w:pPr>
              <w:pStyle w:val="Compact"/>
            </w:pPr>
            <w:r>
              <w:t xml:space="preserve">Endpoint / การทำงาน</w:t>
            </w:r>
          </w:p>
        </w:tc>
        <w:tc>
          <w:tcPr/>
          <w:p>
            <w:pPr>
              <w:pStyle w:val="Compact"/>
            </w:pPr>
            <w:r>
              <w:t xml:space="preserve">p50</w:t>
            </w:r>
          </w:p>
        </w:tc>
        <w:tc>
          <w:tcPr/>
          <w:p>
            <w:pPr>
              <w:pStyle w:val="Compact"/>
            </w:pPr>
            <w:r>
              <w:t xml:space="preserve">p95</w:t>
            </w:r>
          </w:p>
        </w:tc>
        <w:tc>
          <w:tcPr/>
          <w:p>
            <w:pPr>
              <w:pStyle w:val="Compact"/>
            </w:pPr>
            <w:r>
              <w:t xml:space="preserve">p99</w:t>
            </w:r>
          </w:p>
        </w:tc>
      </w:tr>
      <w:tr>
        <w:tc>
          <w:tcPr/>
          <w:p>
            <w:pPr>
              <w:pStyle w:val="Compact"/>
            </w:pPr>
            <w:r>
              <w:rPr>
                <w:rStyle w:val="VerbatimChar"/>
              </w:rPr>
              <w:t xml:space="preserve">POST /v1/payments</w:t>
            </w:r>
            <w:r>
              <w:t xml:space="preserve"> </w:t>
            </w:r>
            <w:r>
              <w:t xml:space="preserve">(authorize,</w:t>
            </w:r>
            <w:r>
              <w:t xml:space="preserve"> </w:t>
            </w:r>
            <w:r>
              <w:rPr>
                <w:b/>
                <w:bCs/>
              </w:rPr>
              <w:t xml:space="preserve">ไม่รวม</w:t>
            </w:r>
            <w:r>
              <w:t xml:space="preserve"> </w:t>
            </w:r>
            <w:r>
              <w:t xml:space="preserve">เวลา 3DS/acquirer)</w:t>
            </w:r>
          </w:p>
        </w:tc>
        <w:tc>
          <w:tcPr/>
          <w:p>
            <w:pPr>
              <w:pStyle w:val="Compact"/>
            </w:pPr>
            <w:r>
              <w:t xml:space="preserve">≤ 120 ms</w:t>
            </w:r>
          </w:p>
        </w:tc>
        <w:tc>
          <w:tcPr/>
          <w:p>
            <w:pPr>
              <w:pStyle w:val="Compact"/>
            </w:pPr>
            <w:r>
              <w:t xml:space="preserve">≤ 300 ms</w:t>
            </w:r>
          </w:p>
        </w:tc>
        <w:tc>
          <w:tcPr/>
          <w:p>
            <w:pPr>
              <w:pStyle w:val="Compact"/>
            </w:pPr>
            <w:r>
              <w:t xml:space="preserve">≤ 500 ms</w:t>
            </w:r>
          </w:p>
        </w:tc>
      </w:tr>
      <w:tr>
        <w:tc>
          <w:tcPr/>
          <w:p>
            <w:pPr>
              <w:pStyle w:val="Compact"/>
            </w:pPr>
            <w:r>
              <w:rPr>
                <w:rStyle w:val="VerbatimChar"/>
              </w:rPr>
              <w:t xml:space="preserve">POST /v1/payments</w:t>
            </w:r>
            <w:r>
              <w:t xml:space="preserve"> </w:t>
            </w:r>
            <w:r>
              <w:t xml:space="preserve">(</w:t>
            </w:r>
            <w:r>
              <w:rPr>
                <w:b/>
                <w:bCs/>
              </w:rPr>
              <w:t xml:space="preserve">รวม</w:t>
            </w:r>
            <w:r>
              <w:t xml:space="preserve"> </w:t>
            </w:r>
            <w:r>
              <w:t xml:space="preserve">hop ไป acquirer)</w:t>
            </w:r>
          </w:p>
        </w:tc>
        <w:tc>
          <w:tcPr/>
          <w:p>
            <w:pPr>
              <w:pStyle w:val="Compact"/>
            </w:pPr>
            <w:r>
              <w:t xml:space="preserve">—</w:t>
            </w:r>
          </w:p>
        </w:tc>
        <w:tc>
          <w:tcPr/>
          <w:p>
            <w:pPr>
              <w:pStyle w:val="Compact"/>
            </w:pPr>
            <w:r>
              <w:t xml:space="preserve">—</w:t>
            </w:r>
          </w:p>
        </w:tc>
        <w:tc>
          <w:tcPr/>
          <w:p>
            <w:pPr>
              <w:pStyle w:val="Compact"/>
            </w:pPr>
            <w:r>
              <w:t xml:space="preserve">≤ 800 ms</w:t>
            </w:r>
          </w:p>
        </w:tc>
      </w:tr>
      <w:tr>
        <w:tc>
          <w:tcPr/>
          <w:p>
            <w:pPr>
              <w:pStyle w:val="Compact"/>
            </w:pPr>
            <w:r>
              <w:rPr>
                <w:rStyle w:val="VerbatimChar"/>
              </w:rPr>
              <w:t xml:space="preserve">POST /v1/payments/{id}/capture</w:t>
            </w:r>
          </w:p>
        </w:tc>
        <w:tc>
          <w:tcPr/>
          <w:p>
            <w:pPr>
              <w:pStyle w:val="Compact"/>
            </w:pPr>
            <w:r>
              <w:t xml:space="preserve">≤ 100 ms</w:t>
            </w:r>
          </w:p>
        </w:tc>
        <w:tc>
          <w:tcPr/>
          <w:p>
            <w:pPr>
              <w:pStyle w:val="Compact"/>
            </w:pPr>
            <w:r>
              <w:t xml:space="preserve">≤ 250 ms</w:t>
            </w:r>
          </w:p>
        </w:tc>
        <w:tc>
          <w:tcPr/>
          <w:p>
            <w:pPr>
              <w:pStyle w:val="Compact"/>
            </w:pPr>
            <w:r>
              <w:t xml:space="preserve">≤ 450 ms</w:t>
            </w:r>
          </w:p>
        </w:tc>
      </w:tr>
      <w:tr>
        <w:tc>
          <w:tcPr/>
          <w:p>
            <w:pPr>
              <w:pStyle w:val="Compact"/>
            </w:pPr>
            <w:r>
              <w:rPr>
                <w:rStyle w:val="VerbatimChar"/>
              </w:rPr>
              <w:t xml:space="preserve">POST /v1/payments/{id}/refund</w:t>
            </w:r>
          </w:p>
        </w:tc>
        <w:tc>
          <w:tcPr/>
          <w:p>
            <w:pPr>
              <w:pStyle w:val="Compact"/>
            </w:pPr>
            <w:r>
              <w:t xml:space="preserve">≤ 120 ms</w:t>
            </w:r>
          </w:p>
        </w:tc>
        <w:tc>
          <w:tcPr/>
          <w:p>
            <w:pPr>
              <w:pStyle w:val="Compact"/>
            </w:pPr>
            <w:r>
              <w:t xml:space="preserve">≤ 300 ms</w:t>
            </w:r>
          </w:p>
        </w:tc>
        <w:tc>
          <w:tcPr/>
          <w:p>
            <w:pPr>
              <w:pStyle w:val="Compact"/>
            </w:pPr>
            <w:r>
              <w:t xml:space="preserve">≤ 550 ms</w:t>
            </w:r>
          </w:p>
        </w:tc>
      </w:tr>
      <w:tr>
        <w:tc>
          <w:tcPr/>
          <w:p>
            <w:pPr>
              <w:pStyle w:val="Compact"/>
            </w:pPr>
            <w:r>
              <w:t xml:space="preserve">Tokenize / Detokenize (Vault)</w:t>
            </w:r>
          </w:p>
        </w:tc>
        <w:tc>
          <w:tcPr/>
          <w:p>
            <w:pPr>
              <w:pStyle w:val="Compact"/>
            </w:pPr>
            <w:r>
              <w:t xml:space="preserve">≤ 40 ms</w:t>
            </w:r>
          </w:p>
        </w:tc>
        <w:tc>
          <w:tcPr/>
          <w:p>
            <w:pPr>
              <w:pStyle w:val="Compact"/>
            </w:pPr>
            <w:r>
              <w:t xml:space="preserve">≤ 120 ms</w:t>
            </w:r>
          </w:p>
        </w:tc>
        <w:tc>
          <w:tcPr/>
          <w:p>
            <w:pPr>
              <w:pStyle w:val="Compact"/>
            </w:pPr>
            <w:r>
              <w:t xml:space="preserve">≤ 200 ms</w:t>
            </w:r>
          </w:p>
        </w:tc>
      </w:tr>
      <w:tr>
        <w:tc>
          <w:tcPr/>
          <w:p>
            <w:pPr>
              <w:pStyle w:val="Compact"/>
            </w:pPr>
            <w:r>
              <w:t xml:space="preserve">Read API (GET payment/report)</w:t>
            </w:r>
          </w:p>
        </w:tc>
        <w:tc>
          <w:tcPr/>
          <w:p>
            <w:pPr>
              <w:pStyle w:val="Compact"/>
            </w:pPr>
            <w:r>
              <w:t xml:space="preserve">≤ 60 ms</w:t>
            </w:r>
          </w:p>
        </w:tc>
        <w:tc>
          <w:tcPr/>
          <w:p>
            <w:pPr>
              <w:pStyle w:val="Compact"/>
            </w:pPr>
            <w:r>
              <w:t xml:space="preserve">≤ 150 ms</w:t>
            </w:r>
          </w:p>
        </w:tc>
        <w:tc>
          <w:tcPr/>
          <w:p>
            <w:pPr>
              <w:pStyle w:val="Compact"/>
            </w:pPr>
            <w:r>
              <w:t xml:space="preserve">≤ 300 ms</w:t>
            </w:r>
          </w:p>
        </w:tc>
      </w:tr>
      <w:tr>
        <w:tc>
          <w:tcPr/>
          <w:p>
            <w:pPr>
              <w:pStyle w:val="Compact"/>
            </w:pPr>
            <w:r>
              <w:t xml:space="preserve">Webhook dispatch (ตั้งแต่เหตุการณ์ถึงส่งครั้งแรก)</w:t>
            </w:r>
          </w:p>
        </w:tc>
        <w:tc>
          <w:tcPr/>
          <w:p>
            <w:pPr>
              <w:pStyle w:val="Compact"/>
            </w:pPr>
            <w:r>
              <w:t xml:space="preserve">≤ 2 s</w:t>
            </w:r>
          </w:p>
        </w:tc>
        <w:tc>
          <w:tcPr/>
          <w:p>
            <w:pPr>
              <w:pStyle w:val="Compact"/>
            </w:pPr>
            <w:r>
              <w:t xml:space="preserve">≤ 5 s</w:t>
            </w:r>
          </w:p>
        </w:tc>
        <w:tc>
          <w:tcPr/>
          <w:p>
            <w:pPr>
              <w:pStyle w:val="Compact"/>
            </w:pPr>
            <w:r>
              <w:t xml:space="preserve">≤ 10 s</w:t>
            </w:r>
          </w:p>
        </w:tc>
      </w:tr>
    </w:tbl>
    <w:p>
      <w:pPr>
        <w:pStyle w:val="BlockText"/>
      </w:pPr>
      <w:r>
        <w:t xml:space="preserve">เวลาที่ขึ้นกับผู้ให้บริการภายนอก (3-D Secure challenge, authorization ของ issuer) อยู่นอกการควบคุมของ latency SLA แต่จะรายงานแยกเพื่อความโปร่งใส</w:t>
      </w:r>
    </w:p>
    <w:p>
      <w:r>
        <w:pict>
          <v:rect style="width:0;height:1.5pt" o:hralign="center" o:hrstd="t" o:hr="t"/>
        </w:pict>
      </w:r>
    </w:p>
    <w:bookmarkEnd w:id="906"/>
    <w:bookmarkStart w:id="908" w:name="ระดบการสนบสนน-support-tiers"/>
    <w:p>
      <w:pPr>
        <w:pStyle w:val="Heading2"/>
      </w:pPr>
      <w:r>
        <w:t xml:space="preserve">5. ระดับการสนับสนุน (Support Tiers)</w:t>
      </w:r>
    </w:p>
    <w:tbl>
      <w:tblPr>
        <w:tblStyle w:val="Table"/>
        <w:tblW w:type="pct" w:w="5000"/>
        <w:tblLayout w:type="fixed"/>
        <w:tblLook w:firstRow="1" w:lastRow="0" w:firstColumn="0" w:lastColumn="0" w:noHBand="0" w:noVBand="0" w:val="0020"/>
      </w:tblPr>
      <w:tblGrid>
        <w:gridCol w:w="1516"/>
        <w:gridCol w:w="1348"/>
        <w:gridCol w:w="2359"/>
        <w:gridCol w:w="2696"/>
      </w:tblGrid>
      <w:tr>
        <w:trPr>
          <w:tblHeader w:val="on"/>
        </w:trPr>
        <w:tc>
          <w:tcPr/>
          <w:p>
            <w:pPr>
              <w:pStyle w:val="Compact"/>
            </w:pPr>
            <w:r>
              <w:t xml:space="preserve">แพ็กเกจ</w:t>
            </w:r>
          </w:p>
        </w:tc>
        <w:tc>
          <w:tcPr/>
          <w:p>
            <w:pPr>
              <w:pStyle w:val="Compact"/>
            </w:pPr>
            <w:r>
              <w:t xml:space="preserve">ช่องทาง</w:t>
            </w:r>
          </w:p>
        </w:tc>
        <w:tc>
          <w:tcPr/>
          <w:p>
            <w:pPr>
              <w:pStyle w:val="Compact"/>
            </w:pPr>
            <w:r>
              <w:t xml:space="preserve">เวลาให้บริการ</w:t>
            </w:r>
          </w:p>
        </w:tc>
        <w:tc>
          <w:tcPr/>
          <w:p>
            <w:pPr>
              <w:pStyle w:val="Compact"/>
            </w:pPr>
            <w:r>
              <w:t xml:space="preserve">ผู้ค้าเป้าหมาย</w:t>
            </w:r>
          </w:p>
        </w:tc>
      </w:tr>
      <w:tr>
        <w:tc>
          <w:tcPr/>
          <w:p>
            <w:pPr>
              <w:pStyle w:val="Compact"/>
            </w:pPr>
            <w:r>
              <w:rPr>
                <w:b/>
                <w:bCs/>
              </w:rPr>
              <w:t xml:space="preserve">Standard</w:t>
            </w:r>
          </w:p>
        </w:tc>
        <w:tc>
          <w:tcPr/>
          <w:p>
            <w:pPr>
              <w:pStyle w:val="Compact"/>
            </w:pPr>
            <w:r>
              <w:t xml:space="preserve">อีเมล, ระบบ ticket, เอกสาร/สถานะระบบ (status page)</w:t>
            </w:r>
          </w:p>
        </w:tc>
        <w:tc>
          <w:tcPr/>
          <w:p>
            <w:pPr>
              <w:pStyle w:val="Compact"/>
            </w:pPr>
            <w:r>
              <w:t xml:space="preserve">จันทร์–ศุกร์ 09:00–18:00 (เว้นวันหยุดธนาคาร)</w:t>
            </w:r>
          </w:p>
        </w:tc>
        <w:tc>
          <w:tcPr/>
          <w:p>
            <w:pPr>
              <w:pStyle w:val="Compact"/>
            </w:pPr>
            <w:r>
              <w:t xml:space="preserve">ผู้ค้าทั่วไป</w:t>
            </w:r>
          </w:p>
        </w:tc>
      </w:tr>
      <w:tr>
        <w:tc>
          <w:tcPr/>
          <w:p>
            <w:pPr>
              <w:pStyle w:val="Compact"/>
            </w:pPr>
            <w:r>
              <w:rPr>
                <w:b/>
                <w:bCs/>
              </w:rPr>
              <w:t xml:space="preserve">Business</w:t>
            </w:r>
          </w:p>
        </w:tc>
        <w:tc>
          <w:tcPr/>
          <w:p>
            <w:pPr>
              <w:pStyle w:val="Compact"/>
            </w:pPr>
            <w:r>
              <w:t xml:space="preserve">+ โทรศัพท์สายด่วน, ช่อง chat</w:t>
            </w:r>
          </w:p>
        </w:tc>
        <w:tc>
          <w:tcPr/>
          <w:p>
            <w:pPr>
              <w:pStyle w:val="Compact"/>
            </w:pPr>
            <w:r>
              <w:t xml:space="preserve">07:00–22:00 ทุกวัน</w:t>
            </w:r>
          </w:p>
        </w:tc>
        <w:tc>
          <w:tcPr/>
          <w:p>
            <w:pPr>
              <w:pStyle w:val="Compact"/>
            </w:pPr>
            <w:r>
              <w:t xml:space="preserve">ผู้ค้าปริมาณกลาง</w:t>
            </w:r>
          </w:p>
        </w:tc>
      </w:tr>
      <w:tr>
        <w:tc>
          <w:tcPr/>
          <w:p>
            <w:pPr>
              <w:pStyle w:val="Compact"/>
            </w:pPr>
            <w:r>
              <w:rPr>
                <w:b/>
                <w:bCs/>
              </w:rPr>
              <w:t xml:space="preserve">Enterprise</w:t>
            </w:r>
          </w:p>
        </w:tc>
        <w:tc>
          <w:tcPr/>
          <w:p>
            <w:pPr>
              <w:pStyle w:val="Compact"/>
            </w:pPr>
            <w:r>
              <w:t xml:space="preserve">+ Technical Account Manager (TAM), Slack/Line ร่วม, on-call</w:t>
            </w:r>
          </w:p>
        </w:tc>
        <w:tc>
          <w:tcPr/>
          <w:p>
            <w:pPr>
              <w:pStyle w:val="Compact"/>
            </w:pPr>
            <w:r>
              <w:t xml:space="preserve">24×7×365</w:t>
            </w:r>
          </w:p>
        </w:tc>
        <w:tc>
          <w:tcPr/>
          <w:p>
            <w:pPr>
              <w:pStyle w:val="Compact"/>
            </w:pPr>
            <w:r>
              <w:t xml:space="preserve">ผู้ค้าปริมาณสูง/mission-critical</w:t>
            </w:r>
          </w:p>
        </w:tc>
      </w:tr>
    </w:tbl>
    <w:p>
      <w:pPr>
        <w:pStyle w:val="BodyText"/>
      </w:pPr>
      <w:r>
        <w:rPr>
          <w:b/>
          <w:bCs/>
        </w:rPr>
        <w:t xml:space="preserve">เหตุการณ์ระดับ Sev-1/Sev-2 (ดูข้อ 6) รับแจ้งและตอบสนอง 24×7 สำหรับทุกแพ็กเกจ</w:t>
      </w:r>
      <w:r>
        <w:t xml:space="preserve"> </w:t>
      </w:r>
      <w:r>
        <w:t xml:space="preserve">ผ่านสายด่วนเหตุฉุกเฉิน — โดยไม่ขึ้นกับ tier — เพราะเป็นเรื่องความมั่นคงของระบบชำระเงิน</w:t>
      </w:r>
    </w:p>
    <w:bookmarkStart w:id="907" w:name="บทบาทและความรบผดชอบ-raci-ยอ-1"/>
    <w:p>
      <w:pPr>
        <w:pStyle w:val="Heading3"/>
      </w:pPr>
      <w:r>
        <w:t xml:space="preserve">บทบาทและความรับผิดชอบ (RACI ย่อ)</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บทบาท</w:t>
            </w:r>
          </w:p>
        </w:tc>
        <w:tc>
          <w:tcPr/>
          <w:p>
            <w:pPr>
              <w:pStyle w:val="Compact"/>
            </w:pPr>
            <w:r>
              <w:t xml:space="preserve">หน้าที่</w:t>
            </w:r>
          </w:p>
        </w:tc>
      </w:tr>
      <w:tr>
        <w:tc>
          <w:tcPr/>
          <w:p>
            <w:pPr>
              <w:pStyle w:val="Compact"/>
            </w:pPr>
            <w:r>
              <w:rPr>
                <w:b/>
                <w:bCs/>
              </w:rPr>
              <w:t xml:space="preserve">L1 Support</w:t>
            </w:r>
          </w:p>
        </w:tc>
        <w:tc>
          <w:tcPr/>
          <w:p>
            <w:pPr>
              <w:pStyle w:val="Compact"/>
            </w:pPr>
            <w:r>
              <w:t xml:space="preserve">รับ ticket, จำแนกระดับเบื้องต้น, ตอบคำถามใช้งาน, escalate</w:t>
            </w:r>
          </w:p>
        </w:tc>
      </w:tr>
      <w:tr>
        <w:tc>
          <w:tcPr/>
          <w:p>
            <w:pPr>
              <w:pStyle w:val="Compact"/>
            </w:pPr>
            <w:r>
              <w:rPr>
                <w:b/>
                <w:bCs/>
              </w:rPr>
              <w:t xml:space="preserve">L2 Engineering (on-call)</w:t>
            </w:r>
          </w:p>
        </w:tc>
        <w:tc>
          <w:tcPr/>
          <w:p>
            <w:pPr>
              <w:pStyle w:val="Compact"/>
            </w:pPr>
            <w:r>
              <w:t xml:space="preserve">วิเคราะห์เชิงเทคนิค, แก้ไขเหตุการณ์, ประสาน acquirer/vendor</w:t>
            </w:r>
          </w:p>
        </w:tc>
      </w:tr>
      <w:tr>
        <w:tc>
          <w:tcPr/>
          <w:p>
            <w:pPr>
              <w:pStyle w:val="Compact"/>
            </w:pPr>
            <w:r>
              <w:rPr>
                <w:b/>
                <w:bCs/>
              </w:rPr>
              <w:t xml:space="preserve">Incident Commander (IC)</w:t>
            </w:r>
          </w:p>
        </w:tc>
        <w:tc>
          <w:tcPr/>
          <w:p>
            <w:pPr>
              <w:pStyle w:val="Compact"/>
            </w:pPr>
            <w:r>
              <w:t xml:space="preserve">ควบคุมเหตุการณ์ Sev-1/Sev-2, ตัดสินใจ, สื่อสาร stakeholder</w:t>
            </w:r>
          </w:p>
        </w:tc>
      </w:tr>
      <w:tr>
        <w:tc>
          <w:tcPr/>
          <w:p>
            <w:pPr>
              <w:pStyle w:val="Compact"/>
            </w:pPr>
            <w:r>
              <w:rPr>
                <w:b/>
                <w:bCs/>
              </w:rPr>
              <w:t xml:space="preserve">SRE / Infra</w:t>
            </w:r>
          </w:p>
        </w:tc>
        <w:tc>
          <w:tcPr/>
          <w:p>
            <w:pPr>
              <w:pStyle w:val="Compact"/>
            </w:pPr>
            <w:r>
              <w:t xml:space="preserve">HA, failover, DR, กู้คืนระบบ</w:t>
            </w:r>
          </w:p>
        </w:tc>
      </w:tr>
      <w:tr>
        <w:tc>
          <w:tcPr/>
          <w:p>
            <w:pPr>
              <w:pStyle w:val="Compact"/>
            </w:pPr>
            <w:r>
              <w:rPr>
                <w:b/>
                <w:bCs/>
              </w:rPr>
              <w:t xml:space="preserve">Compliance/DPO</w:t>
            </w:r>
          </w:p>
        </w:tc>
        <w:tc>
          <w:tcPr/>
          <w:p>
            <w:pPr>
              <w:pStyle w:val="Compact"/>
            </w:pPr>
            <w:r>
              <w:t xml:space="preserve">ประเมินหน้าที่รายงาน ธปท./ปปง./PDPC, คุมเส้นตายทางกฎหมาย</w:t>
            </w:r>
          </w:p>
        </w:tc>
      </w:tr>
      <w:tr>
        <w:tc>
          <w:tcPr/>
          <w:p>
            <w:pPr>
              <w:pStyle w:val="Compact"/>
            </w:pPr>
            <w:r>
              <w:rPr>
                <w:b/>
                <w:bCs/>
              </w:rPr>
              <w:t xml:space="preserve">Comms Lead</w:t>
            </w:r>
          </w:p>
        </w:tc>
        <w:tc>
          <w:tcPr/>
          <w:p>
            <w:pPr>
              <w:pStyle w:val="Compact"/>
            </w:pPr>
            <w:r>
              <w:t xml:space="preserve">อัปเดต status page และแจ้งผู้ค้า</w:t>
            </w:r>
          </w:p>
        </w:tc>
      </w:tr>
    </w:tbl>
    <w:p>
      <w:r>
        <w:pict>
          <v:rect style="width:0;height:1.5pt" o:hralign="center" o:hrstd="t" o:hr="t"/>
        </w:pict>
      </w:r>
    </w:p>
    <w:bookmarkEnd w:id="907"/>
    <w:bookmarkEnd w:id="908"/>
    <w:bookmarkStart w:id="911" w:name="Xe724fea5e108b8904a910c945d7ad1828cf3d54"/>
    <w:p>
      <w:pPr>
        <w:pStyle w:val="Heading2"/>
      </w:pPr>
      <w:r>
        <w:t xml:space="preserve">6. การจำแนกระดับและเวลาตอบสนองเหตุการณ์ (Incident Severity &amp; Response)</w:t>
      </w:r>
    </w:p>
    <w:tbl>
      <w:tblPr>
        <w:tblStyle w:val="Table"/>
        <w:tblW w:type="pct" w:w="5000"/>
        <w:tblLayout w:type="fixed"/>
        <w:tblLook w:firstRow="1" w:lastRow="0" w:firstColumn="0" w:lastColumn="0" w:noHBand="0" w:noVBand="0" w:val="0020"/>
      </w:tblPr>
      <w:tblGrid>
        <w:gridCol w:w="596"/>
        <w:gridCol w:w="681"/>
        <w:gridCol w:w="851"/>
        <w:gridCol w:w="2214"/>
        <w:gridCol w:w="936"/>
        <w:gridCol w:w="2640"/>
      </w:tblGrid>
      <w:tr>
        <w:trPr>
          <w:tblHeader w:val="on"/>
        </w:trPr>
        <w:tc>
          <w:tcPr/>
          <w:p>
            <w:pPr>
              <w:pStyle w:val="Compact"/>
            </w:pPr>
            <w:r>
              <w:t xml:space="preserve">ระดับ</w:t>
            </w:r>
          </w:p>
        </w:tc>
        <w:tc>
          <w:tcPr/>
          <w:p>
            <w:pPr>
              <w:pStyle w:val="Compact"/>
            </w:pPr>
            <w:r>
              <w:t xml:space="preserve">คำนิยาม</w:t>
            </w:r>
          </w:p>
        </w:tc>
        <w:tc>
          <w:tcPr/>
          <w:p>
            <w:pPr>
              <w:pStyle w:val="Compact"/>
            </w:pPr>
            <w:r>
              <w:t xml:space="preserve">ตัวอย่าง</w:t>
            </w:r>
          </w:p>
        </w:tc>
        <w:tc>
          <w:tcPr/>
          <w:p>
            <w:pPr>
              <w:pStyle w:val="Compact"/>
            </w:pPr>
            <w:r>
              <w:t xml:space="preserve">เวลาตอบรับ (Acknowledge)</w:t>
            </w:r>
          </w:p>
        </w:tc>
        <w:tc>
          <w:tcPr/>
          <w:p>
            <w:pPr>
              <w:pStyle w:val="Compact"/>
            </w:pPr>
            <w:r>
              <w:t xml:space="preserve">เวลาอัปเดต</w:t>
            </w:r>
          </w:p>
        </w:tc>
        <w:tc>
          <w:tcPr/>
          <w:p>
            <w:pPr>
              <w:pStyle w:val="Compact"/>
            </w:pPr>
            <w:r>
              <w:t xml:space="preserve">เป้าหมายแก้ไข/บรรเทา (Mitigate)</w:t>
            </w:r>
          </w:p>
        </w:tc>
      </w:tr>
      <w:tr>
        <w:tc>
          <w:tcPr/>
          <w:p>
            <w:pPr>
              <w:pStyle w:val="Compact"/>
            </w:pPr>
            <w:r>
              <w:rPr>
                <w:b/>
                <w:bCs/>
              </w:rPr>
              <w:t xml:space="preserve">Sev-1 (Critical)</w:t>
            </w:r>
          </w:p>
        </w:tc>
        <w:tc>
          <w:tcPr/>
          <w:p>
            <w:pPr>
              <w:pStyle w:val="Compact"/>
            </w:pPr>
            <w:r>
              <w:t xml:space="preserve">บริการชำระเงินหลักล่มทั้งระบบ หรือสงสัยเหตุละเมิดข้อมูลบัตร/ข้อมูลส่วนบุคคล</w:t>
            </w:r>
          </w:p>
        </w:tc>
        <w:tc>
          <w:tcPr/>
          <w:p>
            <w:pPr>
              <w:pStyle w:val="Compact"/>
            </w:pPr>
            <w:r>
              <w:t xml:space="preserve">authorize ล้มเหลวทั้งระบบ, Vault ไม่ตอบสนอง, สงสัย data breach</w:t>
            </w:r>
          </w:p>
        </w:tc>
        <w:tc>
          <w:tcPr/>
          <w:p>
            <w:pPr>
              <w:pStyle w:val="Compact"/>
            </w:pPr>
            <w:r>
              <w:rPr>
                <w:b/>
                <w:bCs/>
              </w:rPr>
              <w:t xml:space="preserve">≤ 15 นาที (24×7)</w:t>
            </w:r>
          </w:p>
        </w:tc>
        <w:tc>
          <w:tcPr/>
          <w:p>
            <w:pPr>
              <w:pStyle w:val="Compact"/>
            </w:pPr>
            <w:r>
              <w:t xml:space="preserve">ทุก 30 นาที</w:t>
            </w:r>
          </w:p>
        </w:tc>
        <w:tc>
          <w:tcPr/>
          <w:p>
            <w:pPr>
              <w:pStyle w:val="Compact"/>
            </w:pPr>
            <w:r>
              <w:t xml:space="preserve">≤ 4 ชั่วโมง</w:t>
            </w:r>
          </w:p>
        </w:tc>
      </w:tr>
      <w:tr>
        <w:tc>
          <w:tcPr/>
          <w:p>
            <w:pPr>
              <w:pStyle w:val="Compact"/>
            </w:pPr>
            <w:r>
              <w:rPr>
                <w:b/>
                <w:bCs/>
              </w:rPr>
              <w:t xml:space="preserve">Sev-2 (High)</w:t>
            </w:r>
          </w:p>
        </w:tc>
        <w:tc>
          <w:tcPr/>
          <w:p>
            <w:pPr>
              <w:pStyle w:val="Compact"/>
            </w:pPr>
            <w:r>
              <w:t xml:space="preserve">บริการหลักบางส่วนเสื่อม กระทบผู้ค้าจำนวนมาก</w:t>
            </w:r>
          </w:p>
        </w:tc>
        <w:tc>
          <w:tcPr/>
          <w:p>
            <w:pPr>
              <w:pStyle w:val="Compact"/>
            </w:pPr>
            <w:r>
              <w:t xml:space="preserve">error rate สูงกว่าปกติมาก, latency เกินเป้าอย่างรุนแรง, webhook ค้างเป็นวงกว้าง</w:t>
            </w:r>
          </w:p>
        </w:tc>
        <w:tc>
          <w:tcPr/>
          <w:p>
            <w:pPr>
              <w:pStyle w:val="Compact"/>
            </w:pPr>
            <w:r>
              <w:rPr>
                <w:b/>
                <w:bCs/>
              </w:rPr>
              <w:t xml:space="preserve">≤ 30 นาที (24×7)</w:t>
            </w:r>
          </w:p>
        </w:tc>
        <w:tc>
          <w:tcPr/>
          <w:p>
            <w:pPr>
              <w:pStyle w:val="Compact"/>
            </w:pPr>
            <w:r>
              <w:t xml:space="preserve">ทุก 60 นาที</w:t>
            </w:r>
          </w:p>
        </w:tc>
        <w:tc>
          <w:tcPr/>
          <w:p>
            <w:pPr>
              <w:pStyle w:val="Compact"/>
            </w:pPr>
            <w:r>
              <w:t xml:space="preserve">≤ 8 ชั่วโมง</w:t>
            </w:r>
          </w:p>
        </w:tc>
      </w:tr>
      <w:tr>
        <w:tc>
          <w:tcPr/>
          <w:p>
            <w:pPr>
              <w:pStyle w:val="Compact"/>
            </w:pPr>
            <w:r>
              <w:rPr>
                <w:b/>
                <w:bCs/>
              </w:rPr>
              <w:t xml:space="preserve">Sev-3 (Medium)</w:t>
            </w:r>
          </w:p>
        </w:tc>
        <w:tc>
          <w:tcPr/>
          <w:p>
            <w:pPr>
              <w:pStyle w:val="Compact"/>
            </w:pPr>
            <w:r>
              <w:t xml:space="preserve">กระทบจำกัด มี workaround</w:t>
            </w:r>
          </w:p>
        </w:tc>
        <w:tc>
          <w:tcPr/>
          <w:p>
            <w:pPr>
              <w:pStyle w:val="Compact"/>
            </w:pPr>
            <w:r>
              <w:t xml:space="preserve">ฟีเจอร์รองบางส่วนขัดข้อง, dashboard ช้า</w:t>
            </w:r>
          </w:p>
        </w:tc>
        <w:tc>
          <w:tcPr/>
          <w:p>
            <w:pPr>
              <w:pStyle w:val="Compact"/>
            </w:pPr>
            <w:r>
              <w:t xml:space="preserve">≤ 4 ชั่วโมงทำการ</w:t>
            </w:r>
          </w:p>
        </w:tc>
        <w:tc>
          <w:tcPr/>
          <w:p>
            <w:pPr>
              <w:pStyle w:val="Compact"/>
            </w:pPr>
            <w:r>
              <w:t xml:space="preserve">รายวัน</w:t>
            </w:r>
          </w:p>
        </w:tc>
        <w:tc>
          <w:tcPr/>
          <w:p>
            <w:pPr>
              <w:pStyle w:val="Compact"/>
            </w:pPr>
            <w:r>
              <w:t xml:space="preserve">≤ 3 วันทำการ</w:t>
            </w:r>
          </w:p>
        </w:tc>
      </w:tr>
      <w:tr>
        <w:tc>
          <w:tcPr/>
          <w:p>
            <w:pPr>
              <w:pStyle w:val="Compact"/>
            </w:pPr>
            <w:r>
              <w:rPr>
                <w:b/>
                <w:bCs/>
              </w:rPr>
              <w:t xml:space="preserve">Sev-4 (Low)</w:t>
            </w:r>
          </w:p>
        </w:tc>
        <w:tc>
          <w:tcPr/>
          <w:p>
            <w:pPr>
              <w:pStyle w:val="Compact"/>
            </w:pPr>
            <w:r>
              <w:t xml:space="preserve">ผลกระทบเล็กน้อย/คำถามทั่วไป</w:t>
            </w:r>
          </w:p>
        </w:tc>
        <w:tc>
          <w:tcPr/>
          <w:p>
            <w:pPr>
              <w:pStyle w:val="Compact"/>
            </w:pPr>
            <w:r>
              <w:t xml:space="preserve">ข้อสงสัยการใช้งาน, คำขอเชิงข้อมูล</w:t>
            </w:r>
          </w:p>
        </w:tc>
        <w:tc>
          <w:tcPr/>
          <w:p>
            <w:pPr>
              <w:pStyle w:val="Compact"/>
            </w:pPr>
            <w:r>
              <w:t xml:space="preserve">≤ 1 วันทำการ</w:t>
            </w:r>
          </w:p>
        </w:tc>
        <w:tc>
          <w:tcPr/>
          <w:p>
            <w:pPr>
              <w:pStyle w:val="Compact"/>
            </w:pPr>
            <w:r>
              <w:t xml:space="preserve">ตามตกลง</w:t>
            </w:r>
          </w:p>
        </w:tc>
        <w:tc>
          <w:tcPr/>
          <w:p>
            <w:pPr>
              <w:pStyle w:val="Compact"/>
            </w:pPr>
            <w:r>
              <w:t xml:space="preserve">ตาม backlog</w:t>
            </w:r>
          </w:p>
        </w:tc>
      </w:tr>
    </w:tbl>
    <w:bookmarkStart w:id="909" w:name="X7c52f01f800a4f3316e9d9e6053fbb78fae6da0"/>
    <w:p>
      <w:pPr>
        <w:pStyle w:val="Heading3"/>
      </w:pPr>
      <w:r>
        <w:t xml:space="preserve">กระบวนการตอบสนองเหตุการณ์ (Incident Response Procedure)</w:t>
      </w:r>
    </w:p>
    <w:p>
      <w:pPr>
        <w:pStyle w:val="Compact"/>
        <w:numPr>
          <w:ilvl w:val="0"/>
          <w:numId w:val="1343"/>
        </w:numPr>
      </w:pPr>
      <w:r>
        <w:rPr>
          <w:b/>
          <w:bCs/>
        </w:rPr>
        <w:t xml:space="preserve">Detect</w:t>
      </w:r>
      <w:r>
        <w:t xml:space="preserve"> </w:t>
      </w:r>
      <w:r>
        <w:t xml:space="preserve">— ตรวจพบจาก alert อัตโนมัติ (SLO burn-rate, error budget), synthetic monitor หรือแจ้งจากผู้ค้า</w:t>
      </w:r>
    </w:p>
    <w:p>
      <w:pPr>
        <w:pStyle w:val="Compact"/>
        <w:numPr>
          <w:ilvl w:val="0"/>
          <w:numId w:val="1343"/>
        </w:numPr>
      </w:pPr>
      <w:r>
        <w:rPr>
          <w:b/>
          <w:bCs/>
        </w:rPr>
        <w:t xml:space="preserve">Triage &amp; Declare</w:t>
      </w:r>
      <w:r>
        <w:t xml:space="preserve"> </w:t>
      </w:r>
      <w:r>
        <w:t xml:space="preserve">— L1/on-call จำแนกระดับ; Sev-1/Sev-2 เรียก Incident Commander และเปิด war room ทันที</w:t>
      </w:r>
    </w:p>
    <w:p>
      <w:pPr>
        <w:pStyle w:val="Compact"/>
        <w:numPr>
          <w:ilvl w:val="0"/>
          <w:numId w:val="1343"/>
        </w:numPr>
      </w:pPr>
      <w:r>
        <w:rPr>
          <w:b/>
          <w:bCs/>
        </w:rPr>
        <w:t xml:space="preserve">Contain &amp; Mitigate</w:t>
      </w:r>
      <w:r>
        <w:t xml:space="preserve"> </w:t>
      </w:r>
      <w:r>
        <w:t xml:space="preserve">— failover/rollback/circuit breaker (fail closed ตามหลักการใน</w:t>
      </w:r>
      <w:r>
        <w:t xml:space="preserve"> </w:t>
      </w:r>
      <w:r>
        <w:rPr>
          <w:rStyle w:val="VerbatimChar"/>
        </w:rPr>
        <w:t xml:space="preserve">ARCHITECTURE.md</w:t>
      </w:r>
      <w:r>
        <w:t xml:space="preserve">); หากสงสัยการรั่วไหลของข้อมูลบัตร ให้</w:t>
      </w:r>
      <w:r>
        <w:t xml:space="preserve"> </w:t>
      </w:r>
      <w:r>
        <w:rPr>
          <w:b/>
          <w:bCs/>
        </w:rPr>
        <w:t xml:space="preserve">isolate</w:t>
      </w:r>
      <w:r>
        <w:t xml:space="preserve"> </w:t>
      </w:r>
      <w:r>
        <w:t xml:space="preserve">ระบบและปฏิบัติตาม PCI-DSS Req 12.10 (Incident Response Plan)</w:t>
      </w:r>
    </w:p>
    <w:p>
      <w:pPr>
        <w:pStyle w:val="Compact"/>
        <w:numPr>
          <w:ilvl w:val="0"/>
          <w:numId w:val="1343"/>
        </w:numPr>
      </w:pPr>
      <w:r>
        <w:rPr>
          <w:b/>
          <w:bCs/>
        </w:rPr>
        <w:t xml:space="preserve">Communicate</w:t>
      </w:r>
      <w:r>
        <w:t xml:space="preserve"> </w:t>
      </w:r>
      <w:r>
        <w:t xml:space="preserve">— อัปเดต status page และแจ้งผู้ค้าตามความถี่ในตาราง; Comms Lead เป็นเจ้าของ</w:t>
      </w:r>
    </w:p>
    <w:p>
      <w:pPr>
        <w:pStyle w:val="Compact"/>
        <w:numPr>
          <w:ilvl w:val="0"/>
          <w:numId w:val="1343"/>
        </w:numPr>
      </w:pPr>
      <w:r>
        <w:rPr>
          <w:b/>
          <w:bCs/>
        </w:rPr>
        <w:t xml:space="preserve">Resolve &amp; Recover</w:t>
      </w:r>
      <w:r>
        <w:t xml:space="preserve"> </w:t>
      </w:r>
      <w:r>
        <w:t xml:space="preserve">— ยืนยันบริการกลับสู่ปกติ + reconcile ledger เพื่อความถูกต้องของธุรกรรม</w:t>
      </w:r>
    </w:p>
    <w:p>
      <w:pPr>
        <w:pStyle w:val="Compact"/>
        <w:numPr>
          <w:ilvl w:val="0"/>
          <w:numId w:val="1343"/>
        </w:numPr>
      </w:pPr>
      <w:r>
        <w:rPr>
          <w:b/>
          <w:bCs/>
        </w:rPr>
        <w:t xml:space="preserve">Post-Incident Review (PIR)</w:t>
      </w:r>
      <w:r>
        <w:t xml:space="preserve"> </w:t>
      </w:r>
      <w:r>
        <w:t xml:space="preserve">— สำหรับ Sev-1/Sev-2 จัดทำ blameless RCA ภายใน</w:t>
      </w:r>
      <w:r>
        <w:t xml:space="preserve"> </w:t>
      </w:r>
      <w:r>
        <w:rPr>
          <w:b/>
          <w:bCs/>
        </w:rPr>
        <w:t xml:space="preserve">5 วันทำการ</w:t>
      </w:r>
      <w:r>
        <w:t xml:space="preserve"> </w:t>
      </w:r>
      <w:r>
        <w:t xml:space="preserve">พร้อม corrective action และเจ้าของงาน</w:t>
      </w:r>
    </w:p>
    <w:bookmarkEnd w:id="909"/>
    <w:bookmarkStart w:id="910" w:name="หนาทรายงานตามกฎหมาย-แยกจาก-sla-ทางพาณชย"/>
    <w:p>
      <w:pPr>
        <w:pStyle w:val="Heading3"/>
      </w:pPr>
      <w:r>
        <w:t xml:space="preserve">หน้าที่รายงานตามกฎหมาย (แยกจาก SLA ทางพาณิชย์)</w:t>
      </w:r>
    </w:p>
    <w:tbl>
      <w:tblPr>
        <w:tblStyle w:val="Table"/>
        <w:tblW w:type="pct" w:w="5000"/>
        <w:tblLayout w:type="fixed"/>
        <w:tblLook w:firstRow="1" w:lastRow="0" w:firstColumn="0" w:lastColumn="0" w:noHBand="0" w:noVBand="0" w:val="0020"/>
      </w:tblPr>
      <w:tblGrid>
        <w:gridCol w:w="2554"/>
        <w:gridCol w:w="2810"/>
        <w:gridCol w:w="2554"/>
      </w:tblGrid>
      <w:tr>
        <w:trPr>
          <w:tblHeader w:val="on"/>
        </w:trPr>
        <w:tc>
          <w:tcPr/>
          <w:p>
            <w:pPr>
              <w:pStyle w:val="Compact"/>
            </w:pPr>
            <w:r>
              <w:t xml:space="preserve">หน่วยงาน</w:t>
            </w:r>
          </w:p>
        </w:tc>
        <w:tc>
          <w:tcPr/>
          <w:p>
            <w:pPr>
              <w:pStyle w:val="Compact"/>
            </w:pPr>
            <w:r>
              <w:t xml:space="preserve">เหตุการณ์</w:t>
            </w:r>
          </w:p>
        </w:tc>
        <w:tc>
          <w:tcPr/>
          <w:p>
            <w:pPr>
              <w:pStyle w:val="Compact"/>
            </w:pPr>
            <w:r>
              <w:t xml:space="preserve">กรอบเวลา</w:t>
            </w:r>
          </w:p>
        </w:tc>
      </w:tr>
      <w:tr>
        <w:tc>
          <w:tcPr/>
          <w:p>
            <w:pPr>
              <w:pStyle w:val="Compact"/>
            </w:pPr>
            <w:r>
              <w:rPr>
                <w:b/>
                <w:bCs/>
              </w:rPr>
              <w:t xml:space="preserve">ธปท.</w:t>
            </w:r>
          </w:p>
        </w:tc>
        <w:tc>
          <w:tcPr/>
          <w:p>
            <w:pPr>
              <w:pStyle w:val="Compact"/>
            </w:pPr>
            <w:r>
              <w:t xml:space="preserve">เหตุขัดข้องด้าน IT/ไซเบอร์ที่มีนัยสำคัญต่อบริการชำระเงิน</w:t>
            </w:r>
          </w:p>
        </w:tc>
        <w:tc>
          <w:tcPr/>
          <w:p>
            <w:pPr>
              <w:pStyle w:val="Compact"/>
            </w:pPr>
            <w:r>
              <w:t xml:space="preserve">แจ้งเบื้องต้นโดยเร็วตามหลักเกณฑ์ประกาศ ธปท. (ดู TODO ด้านล่าง) แล้วตามด้วยรายงานฉบับสมบูรณ์</w:t>
            </w:r>
          </w:p>
        </w:tc>
      </w:tr>
      <w:tr>
        <w:tc>
          <w:tcPr/>
          <w:p>
            <w:pPr>
              <w:pStyle w:val="Compact"/>
            </w:pPr>
            <w:r>
              <w:rPr>
                <w:b/>
                <w:bCs/>
              </w:rPr>
              <w:t xml:space="preserve">PDPC</w:t>
            </w:r>
          </w:p>
        </w:tc>
        <w:tc>
          <w:tcPr/>
          <w:p>
            <w:pPr>
              <w:pStyle w:val="Compact"/>
            </w:pPr>
            <w:r>
              <w:t xml:space="preserve">เหตุละเมิดข้อมูลส่วนบุคคลที่เสี่ยงต่อสิทธิของเจ้าของข้อมูล</w:t>
            </w:r>
          </w:p>
        </w:tc>
        <w:tc>
          <w:tcPr/>
          <w:p>
            <w:pPr>
              <w:pStyle w:val="Compact"/>
            </w:pPr>
            <w:r>
              <w:rPr>
                <w:b/>
                <w:bCs/>
              </w:rPr>
              <w:t xml:space="preserve">ภายใน 72 ชั่วโมง</w:t>
            </w:r>
            <w:r>
              <w:t xml:space="preserve"> </w:t>
            </w:r>
            <w:r>
              <w:t xml:space="preserve">ตาม PDPA มาตรา 37(4)</w:t>
            </w:r>
          </w:p>
        </w:tc>
      </w:tr>
      <w:tr>
        <w:tc>
          <w:tcPr/>
          <w:p>
            <w:pPr>
              <w:pStyle w:val="Compact"/>
            </w:pPr>
            <w:r>
              <w:rPr>
                <w:b/>
                <w:bCs/>
              </w:rPr>
              <w:t xml:space="preserve">ปปง./AMLO</w:t>
            </w:r>
          </w:p>
        </w:tc>
        <w:tc>
          <w:tcPr/>
          <w:p>
            <w:pPr>
              <w:pStyle w:val="Compact"/>
            </w:pPr>
            <w:r>
              <w:t xml:space="preserve">ธุรกรรมที่มีเหตุอันควรสงสัย (STR) / ธุรกรรมเงินสด (CTR)</w:t>
            </w:r>
          </w:p>
        </w:tc>
        <w:tc>
          <w:tcPr/>
          <w:p>
            <w:pPr>
              <w:pStyle w:val="Compact"/>
            </w:pPr>
            <w:r>
              <w:t xml:space="preserve">ตามกรอบ พ.ร.บ. ป้องกันและปราบปรามการฟอกเงิน</w:t>
            </w:r>
          </w:p>
        </w:tc>
      </w:tr>
      <w:tr>
        <w:tc>
          <w:tcPr/>
          <w:p>
            <w:pPr>
              <w:pStyle w:val="Compact"/>
            </w:pPr>
            <w:r>
              <w:rPr>
                <w:b/>
                <w:bCs/>
              </w:rPr>
              <w:t xml:space="preserve">Card scheme / Sponsor bank</w:t>
            </w:r>
          </w:p>
        </w:tc>
        <w:tc>
          <w:tcPr/>
          <w:p>
            <w:pPr>
              <w:pStyle w:val="Compact"/>
            </w:pPr>
            <w:r>
              <w:t xml:space="preserve">เหตุกระทบข้อมูลบัตร (Account Data Compromise)</w:t>
            </w:r>
          </w:p>
        </w:tc>
        <w:tc>
          <w:tcPr/>
          <w:p>
            <w:pPr>
              <w:pStyle w:val="Compact"/>
            </w:pPr>
            <w:r>
              <w:t xml:space="preserve">ตามข้อกำหนดสัญญากับ scheme (โดยทั่วไปทันที)</w:t>
            </w:r>
          </w:p>
        </w:tc>
      </w:tr>
    </w:tbl>
    <w:p>
      <w:r>
        <w:pict>
          <v:rect style="width:0;height:1.5pt" o:hralign="center" o:hrstd="t" o:hr="t"/>
        </w:pict>
      </w:r>
    </w:p>
    <w:bookmarkEnd w:id="910"/>
    <w:bookmarkEnd w:id="911"/>
    <w:bookmarkStart w:id="912" w:name="เครดตชดเชย-service-credits"/>
    <w:p>
      <w:pPr>
        <w:pStyle w:val="Heading2"/>
      </w:pPr>
      <w:r>
        <w:t xml:space="preserve">7. เครดิตชดเชย (Service Credits)</w:t>
      </w:r>
    </w:p>
    <w:p>
      <w:pPr>
        <w:pStyle w:val="FirstParagraph"/>
      </w:pPr>
      <w:r>
        <w:t xml:space="preserve">หากค่า</w:t>
      </w:r>
      <w:r>
        <w:t xml:space="preserve"> </w:t>
      </w:r>
      <w:r>
        <w:rPr>
          <w:b/>
          <w:bCs/>
        </w:rPr>
        <w:t xml:space="preserve">Payment Core Uptime</w:t>
      </w:r>
      <w:r>
        <w:t xml:space="preserve"> </w:t>
      </w:r>
      <w:r>
        <w:t xml:space="preserve">รายเดือนต่ำกว่าเป้า</w:t>
      </w:r>
      <w:r>
        <w:t xml:space="preserve"> </w:t>
      </w:r>
      <w:r>
        <w:rPr>
          <w:b/>
          <w:bCs/>
        </w:rPr>
        <w:t xml:space="preserve">99.95%</w:t>
      </w:r>
      <w:r>
        <w:t xml:space="preserve"> </w:t>
      </w:r>
      <w:r>
        <w:t xml:space="preserve">ผู้ค้าที่มีสิทธิ์จะได้รับเครดิตคำนวณจากค่าธรรมเนียมบริการรายเดือน (Monthly Service Fee, MSF) ของเดือนที่เกิดเหตุ: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Uptime รายเดือนจริง</w:t>
            </w:r>
          </w:p>
        </w:tc>
        <w:tc>
          <w:tcPr/>
          <w:p>
            <w:pPr>
              <w:pStyle w:val="Compact"/>
            </w:pPr>
            <w:r>
              <w:t xml:space="preserve">เครดิต (% ของ MSF เดือนนั้น)</w:t>
            </w:r>
          </w:p>
        </w:tc>
      </w:tr>
      <w:tr>
        <w:tc>
          <w:tcPr/>
          <w:p>
            <w:pPr>
              <w:pStyle w:val="Compact"/>
            </w:pPr>
            <w:r>
              <w:t xml:space="preserve">&lt; 99.95% ถึง ≥ 99.90%</w:t>
            </w:r>
          </w:p>
        </w:tc>
        <w:tc>
          <w:tcPr/>
          <w:p>
            <w:pPr>
              <w:pStyle w:val="Compact"/>
            </w:pPr>
            <w:r>
              <w:t xml:space="preserve">5%</w:t>
            </w:r>
          </w:p>
        </w:tc>
      </w:tr>
      <w:tr>
        <w:tc>
          <w:tcPr/>
          <w:p>
            <w:pPr>
              <w:pStyle w:val="Compact"/>
            </w:pPr>
            <w:r>
              <w:t xml:space="preserve">&lt; 99.90% ถึง ≥ 99.50%</w:t>
            </w:r>
          </w:p>
        </w:tc>
        <w:tc>
          <w:tcPr/>
          <w:p>
            <w:pPr>
              <w:pStyle w:val="Compact"/>
            </w:pPr>
            <w:r>
              <w:t xml:space="preserve">10%</w:t>
            </w:r>
          </w:p>
        </w:tc>
      </w:tr>
      <w:tr>
        <w:tc>
          <w:tcPr/>
          <w:p>
            <w:pPr>
              <w:pStyle w:val="Compact"/>
            </w:pPr>
            <w:r>
              <w:t xml:space="preserve">&lt; 99.50% ถึง ≥ 99.00%</w:t>
            </w:r>
          </w:p>
        </w:tc>
        <w:tc>
          <w:tcPr/>
          <w:p>
            <w:pPr>
              <w:pStyle w:val="Compact"/>
            </w:pPr>
            <w:r>
              <w:t xml:space="preserve">25%</w:t>
            </w:r>
          </w:p>
        </w:tc>
      </w:tr>
      <w:tr>
        <w:tc>
          <w:tcPr/>
          <w:p>
            <w:pPr>
              <w:pStyle w:val="Compact"/>
            </w:pPr>
            <w:r>
              <w:t xml:space="preserve">&lt; 99.00%</w:t>
            </w:r>
          </w:p>
        </w:tc>
        <w:tc>
          <w:tcPr/>
          <w:p>
            <w:pPr>
              <w:pStyle w:val="Compact"/>
            </w:pPr>
            <w:r>
              <w:t xml:space="preserve">50%</w:t>
            </w:r>
          </w:p>
        </w:tc>
      </w:tr>
    </w:tbl>
    <w:p>
      <w:pPr>
        <w:pStyle w:val="BodyText"/>
      </w:pPr>
      <w:r>
        <w:rPr>
          <w:b/>
          <w:bCs/>
        </w:rPr>
        <w:t xml:space="preserve">เพดานรวม:</w:t>
      </w:r>
      <w:r>
        <w:t xml:space="preserve"> </w:t>
      </w:r>
      <w:r>
        <w:t xml:space="preserve">เครดิตรวมต่อเดือนไม่เกิน</w:t>
      </w:r>
      <w:r>
        <w:t xml:space="preserve"> </w:t>
      </w:r>
      <w:r>
        <w:rPr>
          <w:b/>
          <w:bCs/>
        </w:rPr>
        <w:t xml:space="preserve">50%</w:t>
      </w:r>
      <w:r>
        <w:t xml:space="preserve"> </w:t>
      </w:r>
      <w:r>
        <w:t xml:space="preserve">ของ MSF เดือนนั้น</w:t>
      </w:r>
    </w:p>
    <w:p>
      <w:pPr>
        <w:pStyle w:val="BodyText"/>
      </w:pPr>
      <w:r>
        <w:rPr>
          <w:b/>
          <w:bCs/>
        </w:rPr>
        <w:t xml:space="preserve">เงื่อนไขการขอเครดิต:</w:t>
      </w:r>
      <w:r>
        <w:t xml:space="preserve"> </w:t>
      </w:r>
      <w:r>
        <w:t xml:space="preserve">- ผู้ค้าต้องยื่นคำขอผ่านระบบ ticket ภายใน</w:t>
      </w:r>
      <w:r>
        <w:t xml:space="preserve"> </w:t>
      </w:r>
      <w:r>
        <w:rPr>
          <w:b/>
          <w:bCs/>
        </w:rPr>
        <w:t xml:space="preserve">30 วัน</w:t>
      </w:r>
      <w:r>
        <w:t xml:space="preserve"> </w:t>
      </w:r>
      <w:r>
        <w:t xml:space="preserve">นับจากสิ้นเดือนที่เกิดเหตุ พร้อมรหัสธุรกรรม/ช่วงเวลาที่ได้รับผลกระทบ</w:t>
      </w:r>
      <w:r>
        <w:t xml:space="preserve"> </w:t>
      </w:r>
      <w:r>
        <w:t xml:space="preserve">- เครดิตเป็นรูปแบบ</w:t>
      </w:r>
      <w:r>
        <w:t xml:space="preserve"> </w:t>
      </w:r>
      <w:r>
        <w:rPr>
          <w:b/>
          <w:bCs/>
        </w:rPr>
        <w:t xml:space="preserve">หักลดค่าบริการรอบถัดไป</w:t>
      </w:r>
      <w:r>
        <w:t xml:space="preserve"> </w:t>
      </w:r>
      <w:r>
        <w:t xml:space="preserve">เท่านั้น ไม่คืนเป็นเงินสด</w:t>
      </w:r>
      <w:r>
        <w:t xml:space="preserve"> </w:t>
      </w:r>
      <w:r>
        <w:t xml:space="preserve">- ยกเว้นไม่นับรวมเป็น Downtime: planned maintenance (แจ้งล่วงหน้า), เหตุจากผู้ให้บริการต้นน้ำ/นอกขอบเขต (ข้อ 1), การใช้งานผิด/เกิน rate limit ของผู้ค้า, force majeure</w:t>
      </w:r>
      <w:r>
        <w:t xml:space="preserve"> </w:t>
      </w:r>
      <w:r>
        <w:t xml:space="preserve">- เครดิตเป็น</w:t>
      </w:r>
      <w:r>
        <w:t xml:space="preserve"> </w:t>
      </w:r>
      <w:r>
        <w:rPr>
          <w:b/>
          <w:bCs/>
        </w:rPr>
        <w:t xml:space="preserve">มาตรการเยียวยาเดียว (sole remedy)</w:t>
      </w:r>
      <w:r>
        <w:t xml:space="preserve"> </w:t>
      </w:r>
      <w:r>
        <w:t xml:space="preserve">สำหรับการไม่บรรลุเป้า Uptime ภายใต้ SLA นี้</w:t>
      </w:r>
    </w:p>
    <w:p>
      <w:r>
        <w:pict>
          <v:rect style="width:0;height:1.5pt" o:hralign="center" o:hrstd="t" o:hr="t"/>
        </w:pict>
      </w:r>
    </w:p>
    <w:bookmarkEnd w:id="912"/>
    <w:bookmarkStart w:id="913" w:name="ขอยกเวนและความรบผดชอบของผคา"/>
    <w:p>
      <w:pPr>
        <w:pStyle w:val="Heading2"/>
      </w:pPr>
      <w:r>
        <w:t xml:space="preserve">8. ข้อยกเว้นและความรับผิดชอบของผู้ค้า</w:t>
      </w:r>
    </w:p>
    <w:p>
      <w:pPr>
        <w:pStyle w:val="Compact"/>
        <w:numPr>
          <w:ilvl w:val="0"/>
          <w:numId w:val="1344"/>
        </w:numPr>
      </w:pPr>
      <w:r>
        <w:t xml:space="preserve">ผู้ค้าต้องตั้งค่า retry/idempotency อย่างถูกต้อง (ใช้</w:t>
      </w:r>
      <w:r>
        <w:t xml:space="preserve"> </w:t>
      </w:r>
      <w:r>
        <w:rPr>
          <w:rStyle w:val="VerbatimChar"/>
        </w:rPr>
        <w:t xml:space="preserve">Idempotency-Key</w:t>
      </w:r>
      <w:r>
        <w:t xml:space="preserve"> </w:t>
      </w:r>
      <w:r>
        <w:t xml:space="preserve">ตามคู่มือ) และรองรับ webhook แบบ at-least-once (idempotent consumer)</w:t>
      </w:r>
    </w:p>
    <w:p>
      <w:pPr>
        <w:pStyle w:val="Compact"/>
        <w:numPr>
          <w:ilvl w:val="0"/>
          <w:numId w:val="1344"/>
        </w:numPr>
      </w:pPr>
      <w:r>
        <w:t xml:space="preserve">ผู้ค้าต้องเก็บรักษา API key อย่างปลอดภัยและใช้ TLS 1.2+ ในการเชื่อมต่อ</w:t>
      </w:r>
    </w:p>
    <w:p>
      <w:pPr>
        <w:pStyle w:val="Compact"/>
        <w:numPr>
          <w:ilvl w:val="0"/>
          <w:numId w:val="1344"/>
        </w:numPr>
      </w:pPr>
      <w:r>
        <w:t xml:space="preserve">ผู้ค้าต้องไม่ส่ง/จัดเก็บ PAN, CVV, PIN, full track ผ่านระบบตนเอง (ใช้ payment token ฝั่ง client) ตามข้อห้ามใน</w:t>
      </w:r>
      <w:r>
        <w:t xml:space="preserve"> </w:t>
      </w:r>
      <w:r>
        <w:rPr>
          <w:rStyle w:val="VerbatimChar"/>
        </w:rPr>
        <w:t xml:space="preserve">ARCHITECTURE.md</w:t>
      </w:r>
      <w:r>
        <w:t xml:space="preserve"> </w:t>
      </w:r>
      <w:r>
        <w:t xml:space="preserve">ข้อ 6</w:t>
      </w:r>
    </w:p>
    <w:p>
      <w:pPr>
        <w:pStyle w:val="Compact"/>
        <w:numPr>
          <w:ilvl w:val="0"/>
          <w:numId w:val="1344"/>
        </w:numPr>
      </w:pPr>
      <w:r>
        <w:t xml:space="preserve">การไม่ปฏิบัติตามอาจทำให้ผู้ค้าเสียสิทธิ์เครดิตในเหตุการณ์ที่เกี่ยวข้อง</w:t>
      </w:r>
    </w:p>
    <w:p>
      <w:r>
        <w:pict>
          <v:rect style="width:0;height:1.5pt" o:hralign="center" o:hrstd="t" o:hr="t"/>
        </w:pict>
      </w:r>
    </w:p>
    <w:bookmarkEnd w:id="913"/>
    <w:bookmarkStart w:id="914" w:name="Xf17f4517623d23440c79f3314812381f477e835"/>
    <w:p>
      <w:pPr>
        <w:pStyle w:val="Heading2"/>
      </w:pPr>
      <w:r>
        <w:t xml:space="preserve">9. การกำกับ ทบทวน และรายงาน (Governance &amp; Reporting)</w:t>
      </w:r>
    </w:p>
    <w:p>
      <w:pPr>
        <w:pStyle w:val="Compact"/>
        <w:numPr>
          <w:ilvl w:val="0"/>
          <w:numId w:val="1345"/>
        </w:numPr>
      </w:pPr>
      <w:r>
        <w:rPr>
          <w:b/>
          <w:bCs/>
        </w:rPr>
        <w:t xml:space="preserve">รายงานประจำเดือน:</w:t>
      </w:r>
      <w:r>
        <w:t xml:space="preserve"> </w:t>
      </w:r>
      <w:r>
        <w:t xml:space="preserve">ค่า Uptime, latency percentile, สรุปเหตุการณ์ และสถานะเครดิต เผยแพร่ผ่าน Dashboard</w:t>
      </w:r>
    </w:p>
    <w:p>
      <w:pPr>
        <w:pStyle w:val="Compact"/>
        <w:numPr>
          <w:ilvl w:val="0"/>
          <w:numId w:val="1345"/>
        </w:numPr>
      </w:pPr>
      <w:r>
        <w:rPr>
          <w:b/>
          <w:bCs/>
        </w:rPr>
        <w:t xml:space="preserve">ทบทวน SLA:</w:t>
      </w:r>
      <w:r>
        <w:t xml:space="preserve"> </w:t>
      </w:r>
      <w:r>
        <w:t xml:space="preserve">อย่างน้อยปีละ 1 ครั้ง หรือเมื่อเปลี่ยน sponsor bank/สถาปัตยกรรม/หลักเกณฑ์ ธปท.</w:t>
      </w:r>
    </w:p>
    <w:p>
      <w:pPr>
        <w:pStyle w:val="Compact"/>
        <w:numPr>
          <w:ilvl w:val="0"/>
          <w:numId w:val="1345"/>
        </w:numPr>
      </w:pPr>
      <w:r>
        <w:rPr>
          <w:b/>
          <w:bCs/>
        </w:rPr>
        <w:t xml:space="preserve">สอดคล้อง PCI-DSS v4.0:</w:t>
      </w:r>
      <w:r>
        <w:t xml:space="preserve"> </w:t>
      </w:r>
      <w:r>
        <w:t xml:space="preserve">การเก็บ log (Req 10), incident response (Req 12.10), การจัดการผู้ให้บริการภายนอก (Req 12.8) และการทดสอบ (quarterly ASV scan, annual penetration test)</w:t>
      </w:r>
    </w:p>
    <w:p>
      <w:pPr>
        <w:pStyle w:val="Compact"/>
        <w:numPr>
          <w:ilvl w:val="0"/>
          <w:numId w:val="1345"/>
        </w:numPr>
      </w:pPr>
      <w:r>
        <w:rPr>
          <w:b/>
          <w:bCs/>
        </w:rPr>
        <w:t xml:space="preserve">การจัดการผู้ให้บริการภายนอก:</w:t>
      </w:r>
      <w:r>
        <w:t xml:space="preserve"> </w:t>
      </w:r>
      <w:r>
        <w:t xml:space="preserve">สัญญากับ sponsor bank/acquirer, ผู้ให้บริการ 3DS, HSM/KMS และ QSA ต้องมี back-to-back SLA ที่รองรับคำมั่นข้างต้น</w:t>
      </w:r>
    </w:p>
    <w:p>
      <w:r>
        <w:pict>
          <v:rect style="width:0;height:1.5pt" o:hralign="center" o:hrstd="t" o:hr="t"/>
        </w:pict>
      </w:r>
    </w:p>
    <w:bookmarkEnd w:id="914"/>
    <w:bookmarkStart w:id="915" w:name="Xde5966f90971f094ad1f38b65b3c39bcde8e0e2"/>
    <w:p>
      <w:pPr>
        <w:pStyle w:val="Heading2"/>
      </w:pPr>
      <w:r>
        <w:t xml:space="preserve">10. สมมติฐานและรายการที่ต้องดำเนินการ (Assumptions / TODO)</w:t>
      </w:r>
    </w:p>
    <w:p>
      <w:pPr>
        <w:pStyle w:val="BlockText"/>
      </w:pPr>
      <w:r>
        <w:rPr>
          <w:b/>
          <w:bCs/>
        </w:rPr>
        <w:t xml:space="preserve">⚠️ กล่องสมมติฐาน — ต้องยืนยันก่อนยื่น/ก่อนมีผลผูกพัน:</w:t>
      </w:r>
    </w:p>
    <w:p>
      <w:pPr>
        <w:pStyle w:val="Compact"/>
        <w:numPr>
          <w:ilvl w:val="0"/>
          <w:numId w:val="1346"/>
        </w:numPr>
      </w:pPr>
      <w:r>
        <w:rPr>
          <w:b/>
          <w:bCs/>
        </w:rPr>
        <w:t xml:space="preserve">[TODO] Sponsor bank / acquirer:</w:t>
      </w:r>
      <w:r>
        <w:t xml:space="preserve"> </w:t>
      </w:r>
      <w:r>
        <w:t xml:space="preserve">ยังไม่สรุปคู่สัญญา — ค่า availability/latency ที่รวม hop ต้นน้ำ (ข้อ 3–4) และหน้าที่แจ้งเหตุ Account Data Compromise (ข้อ 6) จะต้องปรับให้ตรงกับ SLA ของ sponsor bank ที่เลือกจริง</w:t>
      </w:r>
    </w:p>
    <w:p>
      <w:pPr>
        <w:pStyle w:val="Compact"/>
        <w:numPr>
          <w:ilvl w:val="0"/>
          <w:numId w:val="1346"/>
        </w:numPr>
      </w:pPr>
      <w:r>
        <w:rPr>
          <w:b/>
          <w:bCs/>
        </w:rPr>
        <w:t xml:space="preserve">[TODO] QSA vendor:</w:t>
      </w:r>
      <w:r>
        <w:t xml:space="preserve"> </w:t>
      </w:r>
      <w:r>
        <w:t xml:space="preserve">ยังไม่เลือกผู้ประเมิน PCI-DSS Level 1 — กรอบ incident response/logging ต้องผ่านการตรวจและอ้าง RoC เมื่อได้แล้ว</w:t>
      </w:r>
    </w:p>
    <w:p>
      <w:pPr>
        <w:pStyle w:val="Compact"/>
        <w:numPr>
          <w:ilvl w:val="0"/>
          <w:numId w:val="1346"/>
        </w:numPr>
      </w:pPr>
      <w:r>
        <w:rPr>
          <w:b/>
          <w:bCs/>
        </w:rPr>
        <w:t xml:space="preserve">[TODO] หลักเกณฑ์รายงานเหตุ IT/ไซเบอร์ของ ธปท.:</w:t>
      </w:r>
      <w:r>
        <w:t xml:space="preserve"> </w:t>
      </w:r>
      <w:r>
        <w:t xml:space="preserve">กรอบเวลาแจ้งเหตุที่แน่นอนต้องอ้างอิงประกาศ/หนังสือเวียน ธปท. ฉบับล่าสุดที่บังคับใช้ ณ เวลายื่น — ให้ที่ปรึกษากฎหมายด้านใบอนุญาตตรวจสอบ</w:t>
      </w:r>
    </w:p>
    <w:p>
      <w:pPr>
        <w:pStyle w:val="Compact"/>
        <w:numPr>
          <w:ilvl w:val="0"/>
          <w:numId w:val="1346"/>
        </w:numPr>
      </w:pPr>
      <w:r>
        <w:rPr>
          <w:b/>
          <w:bCs/>
        </w:rPr>
        <w:t xml:space="preserve">[TODO] ทุนจดทะเบียนชำระแล้ว 50 ล้านบาท:</w:t>
      </w:r>
      <w:r>
        <w:t xml:space="preserve"> </w:t>
      </w:r>
      <w:r>
        <w:t xml:space="preserve">ต้องยืนยันว่าชำระครบและคงไว้ ≥ 75% ตลอดการดำเนินงาน (เงื่อนไข Full Acquiring) — ไม่ใช่ตัวเลขที่กรอกในเอกสารนี้เพื่อการอ้างอิงเท่านั้น</w:t>
      </w:r>
    </w:p>
    <w:p>
      <w:pPr>
        <w:pStyle w:val="Compact"/>
        <w:numPr>
          <w:ilvl w:val="0"/>
          <w:numId w:val="1346"/>
        </w:numPr>
      </w:pPr>
      <w:r>
        <w:rPr>
          <w:b/>
          <w:bCs/>
        </w:rPr>
        <w:t xml:space="preserve">[TODO] ค่าธรรมเนียมบริการ (MSF) และเพดานเครดิต:</w:t>
      </w:r>
      <w:r>
        <w:t xml:space="preserve"> </w:t>
      </w:r>
      <w:r>
        <w:t xml:space="preserve">ตัวเลข % เครดิตในข้อ 7 เป็นค่าตั้งต้น ต้องสอดคล้องกับสัญญาพาณิชย์และการอนุมัติภายในก่อนมีผลผูกพัน</w:t>
      </w:r>
    </w:p>
    <w:bookmarkEnd w:id="915"/>
    <w:bookmarkEnd w:id="916"/>
    <w:bookmarkStart w:id="930" w:name="X86ba53b51910745f98332f63acb00a34076ff75"/>
    <w:p>
      <w:pPr>
        <w:pStyle w:val="Heading1"/>
      </w:pPr>
      <w:r>
        <w:t xml:space="preserve">Service Level Agreement: uptime, latency, support tiers, incident response times, credits (English)</w:t>
      </w:r>
    </w:p>
    <w:p>
      <w:pPr>
        <w:pStyle w:val="BlockText"/>
      </w:pPr>
      <w:r>
        <w:t xml:space="preserve">Supporting document for the</w:t>
      </w:r>
      <w:r>
        <w:t xml:space="preserve"> </w:t>
      </w:r>
      <w:r>
        <w:rPr>
          <w:b/>
          <w:bCs/>
        </w:rPr>
        <w:t xml:space="preserve">Electronic Payment Acquiring Service (Full Acquiring)</w:t>
      </w:r>
      <w:r>
        <w:t xml:space="preserve"> </w:t>
      </w:r>
      <w:r>
        <w:t xml:space="preserve">license application under the Payment Systems Act B.E. 2560 to the Bank of Thailand (BOT / ธปท.), and the Service Level Agreement schedule offered to Merchants.</w:t>
      </w:r>
      <w:r>
        <w:t xml:space="preserve"> </w:t>
      </w:r>
      <w:r>
        <w:t xml:space="preserve">The same document supports the</w:t>
      </w:r>
      <w:r>
        <w:t xml:space="preserve"> </w:t>
      </w:r>
      <w:r>
        <w:rPr>
          <w:b/>
          <w:bCs/>
        </w:rPr>
        <w:t xml:space="preserve">PCI-DSS v4.0 Level 1</w:t>
      </w:r>
      <w:r>
        <w:t xml:space="preserve"> </w:t>
      </w:r>
      <w:r>
        <w:t xml:space="preserve">assessment for availability, incident response, and third-party service provider management.</w:t>
      </w:r>
      <w:r>
        <w:t xml:space="preserve"> </w:t>
      </w:r>
      <w:r>
        <w:t xml:space="preserve">Document owner: [บริษัท / Company] · Version 0.1 · Last updated: 2026-07-22 · Review cycle: every 12 months or upon material change.</w:t>
      </w:r>
    </w:p>
    <w:p>
      <w:r>
        <w:pict>
          <v:rect style="width:0;height:1.5pt" o:hralign="center" o:hrstd="t" o:hr="t"/>
        </w:pict>
      </w:r>
    </w:p>
    <w:bookmarkStart w:id="917" w:name="purpose-and-scope-4"/>
    <w:p>
      <w:pPr>
        <w:pStyle w:val="Heading2"/>
      </w:pPr>
      <w:r>
        <w:t xml:space="preserve">1. Purpose and Scope</w:t>
      </w:r>
    </w:p>
    <w:p>
      <w:pPr>
        <w:pStyle w:val="FirstParagraph"/>
      </w:pPr>
      <w:r>
        <w:t xml:space="preserve">This document defines the service quality commitments [บริษัท / Company] (</w:t>
      </w:r>
      <w:r>
        <w:t xml:space="preserve">“the Provider”</w:t>
      </w:r>
      <w:r>
        <w:t xml:space="preserve">) makes to Merchants using its Payment Gateway, covering:</w:t>
      </w:r>
    </w:p>
    <w:p>
      <w:pPr>
        <w:pStyle w:val="Compact"/>
        <w:numPr>
          <w:ilvl w:val="0"/>
          <w:numId w:val="1347"/>
        </w:numPr>
      </w:pPr>
      <w:r>
        <w:rPr>
          <w:b/>
          <w:bCs/>
        </w:rPr>
        <w:t xml:space="preserve">Availability / Uptime</w:t>
      </w:r>
      <w:r>
        <w:t xml:space="preserve"> </w:t>
      </w:r>
      <w:r>
        <w:t xml:space="preserve">of primary and secondary services</w:t>
      </w:r>
    </w:p>
    <w:p>
      <w:pPr>
        <w:pStyle w:val="Compact"/>
        <w:numPr>
          <w:ilvl w:val="0"/>
          <w:numId w:val="1347"/>
        </w:numPr>
      </w:pPr>
      <w:r>
        <w:rPr>
          <w:b/>
          <w:bCs/>
        </w:rPr>
        <w:t xml:space="preserve">Latency</w:t>
      </w:r>
      <w:r>
        <w:t xml:space="preserve"> </w:t>
      </w:r>
      <w:r>
        <w:t xml:space="preserve">of critical API operations</w:t>
      </w:r>
    </w:p>
    <w:p>
      <w:pPr>
        <w:pStyle w:val="Compact"/>
        <w:numPr>
          <w:ilvl w:val="0"/>
          <w:numId w:val="1347"/>
        </w:numPr>
      </w:pPr>
      <w:r>
        <w:rPr>
          <w:b/>
          <w:bCs/>
        </w:rPr>
        <w:t xml:space="preserve">Support tiers</w:t>
      </w:r>
      <w:r>
        <w:t xml:space="preserve"> </w:t>
      </w:r>
      <w:r>
        <w:t xml:space="preserve">and contact channels</w:t>
      </w:r>
    </w:p>
    <w:p>
      <w:pPr>
        <w:pStyle w:val="Compact"/>
        <w:numPr>
          <w:ilvl w:val="0"/>
          <w:numId w:val="1347"/>
        </w:numPr>
      </w:pPr>
      <w:r>
        <w:rPr>
          <w:b/>
          <w:bCs/>
        </w:rPr>
        <w:t xml:space="preserve">Incident response times</w:t>
      </w:r>
      <w:r>
        <w:t xml:space="preserve"> </w:t>
      </w:r>
      <w:r>
        <w:t xml:space="preserve">by severity</w:t>
      </w:r>
    </w:p>
    <w:p>
      <w:pPr>
        <w:pStyle w:val="Compact"/>
        <w:numPr>
          <w:ilvl w:val="0"/>
          <w:numId w:val="1347"/>
        </w:numPr>
      </w:pPr>
      <w:r>
        <w:rPr>
          <w:b/>
          <w:bCs/>
        </w:rPr>
        <w:t xml:space="preserve">Service credits</w:t>
      </w:r>
      <w:r>
        <w:t xml:space="preserve"> </w:t>
      </w:r>
      <w:r>
        <w:t xml:space="preserve">when targets are missed</w:t>
      </w:r>
    </w:p>
    <w:p>
      <w:pPr>
        <w:pStyle w:val="FirstParagraph"/>
      </w:pPr>
      <w:r>
        <w:rPr>
          <w:b/>
          <w:bCs/>
        </w:rPr>
        <w:t xml:space="preserve">In scope:</w:t>
      </w:r>
      <w:r>
        <w:t xml:space="preserve"> </w:t>
      </w:r>
      <w:r>
        <w:t xml:space="preserve">services under the Provider’s direct control — Payment Core (authorize/capture/void/refund), Tokenization Vault, Merchant/Admin API, Webhook/Notifier, Dashboard, and internal Reconciliation/Settlement.</w:t>
      </w:r>
    </w:p>
    <w:p>
      <w:pPr>
        <w:pStyle w:val="BodyText"/>
      </w:pPr>
      <w:r>
        <w:rPr>
          <w:b/>
          <w:bCs/>
        </w:rPr>
        <w:t xml:space="preserve">Out of scope:</w:t>
      </w:r>
      <w:r>
        <w:t xml:space="preserve"> </w:t>
      </w:r>
      <w:r>
        <w:t xml:space="preserve">failures originating from upstream providers outside the Provider’s control — sponsor bank/acquirer, card schemes (Visa/Mastercard), 3-D Secure providers (ACS/DS), local clearing rails (e.g., ITMX), the Merchant’s own network, force majeure, and announced planned maintenance windows.</w:t>
      </w:r>
    </w:p>
    <w:p>
      <w:pPr>
        <w:pStyle w:val="BlockText"/>
      </w:pPr>
      <w:r>
        <w:rPr>
          <w:b/>
          <w:bCs/>
        </w:rPr>
        <w:t xml:space="preserve">Regulatory note:</w:t>
      </w:r>
      <w:r>
        <w:t xml:space="preserve"> </w:t>
      </w:r>
      <w:r>
        <w:t xml:space="preserve">This SLA is a commercial commitment between Provider and Merchant and does</w:t>
      </w:r>
      <w:r>
        <w:t xml:space="preserve"> </w:t>
      </w:r>
      <w:r>
        <w:rPr>
          <w:b/>
          <w:bCs/>
        </w:rPr>
        <w:t xml:space="preserve">not</w:t>
      </w:r>
      <w:r>
        <w:t xml:space="preserve"> </w:t>
      </w:r>
      <w:r>
        <w:t xml:space="preserve">diminish the Provider’s statutory obligations to the BOT (e.g., IT/cyber incident reporting), to AMLO/ปปง. (transaction reporting / STR-CTR), or to the PDPC (personal data breach notification within 72 hours under the PDPA).</w:t>
      </w:r>
    </w:p>
    <w:p>
      <w:r>
        <w:pict>
          <v:rect style="width:0;height:1.5pt" o:hralign="center" o:hrstd="t" o:hr="t"/>
        </w:pict>
      </w:r>
    </w:p>
    <w:bookmarkEnd w:id="917"/>
    <w:bookmarkStart w:id="918" w:name="definitions-measurement"/>
    <w:p>
      <w:pPr>
        <w:pStyle w:val="Heading2"/>
      </w:pPr>
      <w:r>
        <w:t xml:space="preserve">2. Definitions &amp; Measurement</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Uptime %</w:t>
            </w:r>
          </w:p>
        </w:tc>
        <w:tc>
          <w:tcPr/>
          <w:p>
            <w:pPr>
              <w:pStyle w:val="Compact"/>
            </w:pPr>
            <w:r>
              <w:t xml:space="preserve">(Total minutes in month − Downtime minutes) ÷ Total minutes in month × 100</w:t>
            </w:r>
          </w:p>
        </w:tc>
      </w:tr>
      <w:tr>
        <w:tc>
          <w:tcPr/>
          <w:p>
            <w:pPr>
              <w:pStyle w:val="Compact"/>
            </w:pPr>
            <w:r>
              <w:rPr>
                <w:b/>
                <w:bCs/>
              </w:rPr>
              <w:t xml:space="preserve">Downtime</w:t>
            </w:r>
          </w:p>
        </w:tc>
        <w:tc>
          <w:tcPr/>
          <w:p>
            <w:pPr>
              <w:pStyle w:val="Compact"/>
            </w:pPr>
            <w:r>
              <w:t xml:space="preserve">Period during which the primary service cannot successfully process valid requests, measured as Provider-caused error rate (5xx/timeouts) exceeding</w:t>
            </w:r>
            <w:r>
              <w:t xml:space="preserve"> </w:t>
            </w:r>
            <w:r>
              <w:rPr>
                <w:b/>
                <w:bCs/>
              </w:rPr>
              <w:t xml:space="preserve">5%</w:t>
            </w:r>
            <w:r>
              <w:t xml:space="preserve"> </w:t>
            </w:r>
            <w:r>
              <w:t xml:space="preserve">for more than</w:t>
            </w:r>
            <w:r>
              <w:t xml:space="preserve"> </w:t>
            </w:r>
            <w:r>
              <w:rPr>
                <w:b/>
                <w:bCs/>
              </w:rPr>
              <w:t xml:space="preserve">60 continuous seconds</w:t>
            </w:r>
            <w:r>
              <w:t xml:space="preserve"> </w:t>
            </w:r>
            <w:r>
              <w:t xml:space="preserve">within a 1-minute window</w:t>
            </w:r>
          </w:p>
        </w:tc>
      </w:tr>
      <w:tr>
        <w:tc>
          <w:tcPr/>
          <w:p>
            <w:pPr>
              <w:pStyle w:val="Compact"/>
            </w:pPr>
            <w:r>
              <w:rPr>
                <w:b/>
                <w:bCs/>
              </w:rPr>
              <w:t xml:space="preserve">Measurement window</w:t>
            </w:r>
          </w:p>
        </w:tc>
        <w:tc>
          <w:tcPr/>
          <w:p>
            <w:pPr>
              <w:pStyle w:val="Compact"/>
            </w:pPr>
            <w:r>
              <w:t xml:space="preserve">Calendar month, Asia/Bangkok time zone (UTC+7)</w:t>
            </w:r>
          </w:p>
        </w:tc>
      </w:tr>
      <w:tr>
        <w:tc>
          <w:tcPr/>
          <w:p>
            <w:pPr>
              <w:pStyle w:val="Compact"/>
            </w:pPr>
            <w:r>
              <w:rPr>
                <w:b/>
                <w:bCs/>
              </w:rPr>
              <w:t xml:space="preserve">System of record</w:t>
            </w:r>
          </w:p>
        </w:tc>
        <w:tc>
          <w:tcPr/>
          <w:p>
            <w:pPr>
              <w:pStyle w:val="Compact"/>
            </w:pPr>
            <w:r>
              <w:t xml:space="preserve">Internal observability stack (Prometheus metrics, OpenTelemetry traces, synthetic health checks every 30 s from ≥ 2 vantage points) — logs retained ≥ 12 months (aligned with PCI-DSS Req 10)</w:t>
            </w:r>
          </w:p>
        </w:tc>
      </w:tr>
      <w:tr>
        <w:tc>
          <w:tcPr/>
          <w:p>
            <w:pPr>
              <w:pStyle w:val="Compact"/>
            </w:pPr>
            <w:r>
              <w:rPr>
                <w:b/>
                <w:bCs/>
              </w:rPr>
              <w:t xml:space="preserve">Latency p99</w:t>
            </w:r>
          </w:p>
        </w:tc>
        <w:tc>
          <w:tcPr/>
          <w:p>
            <w:pPr>
              <w:pStyle w:val="Compact"/>
            </w:pPr>
            <w:r>
              <w:t xml:space="preserve">99th percentile of server-side processing time (excluding Merchant-side network), measured at the API Edge</w:t>
            </w:r>
          </w:p>
        </w:tc>
      </w:tr>
      <w:tr>
        <w:tc>
          <w:tcPr/>
          <w:p>
            <w:pPr>
              <w:pStyle w:val="Compact"/>
            </w:pPr>
            <w:r>
              <w:rPr>
                <w:b/>
                <w:bCs/>
              </w:rPr>
              <w:t xml:space="preserve">Planned maintenance</w:t>
            </w:r>
          </w:p>
        </w:tc>
        <w:tc>
          <w:tcPr/>
          <w:p>
            <w:pPr>
              <w:pStyle w:val="Compact"/>
            </w:pPr>
            <w:r>
              <w:t xml:space="preserve">Work announced ≥ 5 business days ahead, performed in the standard window Sunday 02:00–06:00 (Asia/Bangkok); not counted as Downtime</w:t>
            </w:r>
          </w:p>
        </w:tc>
      </w:tr>
    </w:tbl>
    <w:p>
      <w:r>
        <w:pict>
          <v:rect style="width:0;height:1.5pt" o:hralign="center" o:hrstd="t" o:hr="t"/>
        </w:pict>
      </w:r>
    </w:p>
    <w:bookmarkEnd w:id="918"/>
    <w:bookmarkStart w:id="919" w:name="availability-uptime"/>
    <w:p>
      <w:pPr>
        <w:pStyle w:val="Heading2"/>
      </w:pPr>
      <w:r>
        <w:t xml:space="preserve">3. Availability / Uptime</w:t>
      </w:r>
    </w:p>
    <w:tbl>
      <w:tblPr>
        <w:tblStyle w:val="Table"/>
        <w:tblW w:type="pct" w:w="5000"/>
        <w:tblLayout w:type="fixed"/>
        <w:tblLook w:firstRow="1" w:lastRow="0" w:firstColumn="0" w:lastColumn="0" w:noHBand="0" w:noVBand="0" w:val="0020"/>
      </w:tblPr>
      <w:tblGrid>
        <w:gridCol w:w="1149"/>
        <w:gridCol w:w="2938"/>
        <w:gridCol w:w="3832"/>
      </w:tblGrid>
      <w:tr>
        <w:trPr>
          <w:tblHeader w:val="on"/>
        </w:trPr>
        <w:tc>
          <w:tcPr/>
          <w:p>
            <w:pPr>
              <w:pStyle w:val="Compact"/>
            </w:pPr>
            <w:r>
              <w:t xml:space="preserve">Service</w:t>
            </w:r>
          </w:p>
        </w:tc>
        <w:tc>
          <w:tcPr/>
          <w:p>
            <w:pPr>
              <w:pStyle w:val="Compact"/>
            </w:pPr>
            <w:r>
              <w:t xml:space="preserve">Monthly Uptime target</w:t>
            </w:r>
          </w:p>
        </w:tc>
        <w:tc>
          <w:tcPr/>
          <w:p>
            <w:pPr>
              <w:pStyle w:val="Compact"/>
            </w:pPr>
            <w:r>
              <w:t xml:space="preserve">Max Downtime/month (approx.)</w:t>
            </w:r>
          </w:p>
        </w:tc>
      </w:tr>
      <w:tr>
        <w:tc>
          <w:tcPr/>
          <w:p>
            <w:pPr>
              <w:pStyle w:val="Compact"/>
            </w:pPr>
            <w:r>
              <w:rPr>
                <w:b/>
                <w:bCs/>
              </w:rPr>
              <w:t xml:space="preserve">Payment Core API</w:t>
            </w:r>
            <w:r>
              <w:t xml:space="preserve"> </w:t>
            </w:r>
            <w:r>
              <w:t xml:space="preserve">(authorize/capture/void/refund)</w:t>
            </w:r>
          </w:p>
        </w:tc>
        <w:tc>
          <w:tcPr/>
          <w:p>
            <w:pPr>
              <w:pStyle w:val="Compact"/>
            </w:pPr>
            <w:r>
              <w:rPr>
                <w:b/>
                <w:bCs/>
              </w:rPr>
              <w:t xml:space="preserve">≥ 99.95%</w:t>
            </w:r>
          </w:p>
        </w:tc>
        <w:tc>
          <w:tcPr/>
          <w:p>
            <w:pPr>
              <w:pStyle w:val="Compact"/>
            </w:pPr>
            <w:r>
              <w:t xml:space="preserve">~21.9 min</w:t>
            </w:r>
          </w:p>
        </w:tc>
      </w:tr>
      <w:tr>
        <w:tc>
          <w:tcPr/>
          <w:p>
            <w:pPr>
              <w:pStyle w:val="Compact"/>
            </w:pPr>
            <w:r>
              <w:rPr>
                <w:b/>
                <w:bCs/>
              </w:rPr>
              <w:t xml:space="preserve">Tokenization Vault</w:t>
            </w:r>
            <w:r>
              <w:t xml:space="preserve"> </w:t>
            </w:r>
            <w:r>
              <w:t xml:space="preserve">(detokenize/tokenize)</w:t>
            </w:r>
          </w:p>
        </w:tc>
        <w:tc>
          <w:tcPr/>
          <w:p>
            <w:pPr>
              <w:pStyle w:val="Compact"/>
            </w:pPr>
            <w:r>
              <w:rPr>
                <w:b/>
                <w:bCs/>
              </w:rPr>
              <w:t xml:space="preserve">≥ 99.95%</w:t>
            </w:r>
          </w:p>
        </w:tc>
        <w:tc>
          <w:tcPr/>
          <w:p>
            <w:pPr>
              <w:pStyle w:val="Compact"/>
            </w:pPr>
            <w:r>
              <w:t xml:space="preserve">~21.9 min</w:t>
            </w:r>
          </w:p>
        </w:tc>
      </w:tr>
      <w:tr>
        <w:tc>
          <w:tcPr/>
          <w:p>
            <w:pPr>
              <w:pStyle w:val="Compact"/>
            </w:pPr>
            <w:r>
              <w:rPr>
                <w:b/>
                <w:bCs/>
              </w:rPr>
              <w:t xml:space="preserve">Merchant/Admin API + Dashboard</w:t>
            </w:r>
          </w:p>
        </w:tc>
        <w:tc>
          <w:tcPr/>
          <w:p>
            <w:pPr>
              <w:pStyle w:val="Compact"/>
            </w:pPr>
            <w:r>
              <w:t xml:space="preserve">≥ 99.9%</w:t>
            </w:r>
          </w:p>
        </w:tc>
        <w:tc>
          <w:tcPr/>
          <w:p>
            <w:pPr>
              <w:pStyle w:val="Compact"/>
            </w:pPr>
            <w:r>
              <w:t xml:space="preserve">~43.8 min</w:t>
            </w:r>
          </w:p>
        </w:tc>
      </w:tr>
      <w:tr>
        <w:tc>
          <w:tcPr/>
          <w:p>
            <w:pPr>
              <w:pStyle w:val="Compact"/>
            </w:pPr>
            <w:r>
              <w:rPr>
                <w:b/>
                <w:bCs/>
              </w:rPr>
              <w:t xml:space="preserve">Webhook/Notifier</w:t>
            </w:r>
            <w:r>
              <w:t xml:space="preserve"> </w:t>
            </w:r>
            <w:r>
              <w:t xml:space="preserve">(first delivery)</w:t>
            </w:r>
          </w:p>
        </w:tc>
        <w:tc>
          <w:tcPr/>
          <w:p>
            <w:pPr>
              <w:pStyle w:val="Compact"/>
            </w:pPr>
            <w:r>
              <w:t xml:space="preserve">≥ 99.5% (best-effort + retry)</w:t>
            </w:r>
          </w:p>
        </w:tc>
        <w:tc>
          <w:tcPr/>
          <w:p>
            <w:pPr>
              <w:pStyle w:val="Compact"/>
            </w:pPr>
            <w:r>
              <w:t xml:space="preserve">—</w:t>
            </w:r>
          </w:p>
        </w:tc>
      </w:tr>
      <w:tr>
        <w:tc>
          <w:tcPr/>
          <w:p>
            <w:pPr>
              <w:pStyle w:val="Compact"/>
            </w:pPr>
            <w:r>
              <w:rPr>
                <w:b/>
                <w:bCs/>
              </w:rPr>
              <w:t xml:space="preserve">Reporting/Analytics (batch)</w:t>
            </w:r>
          </w:p>
        </w:tc>
        <w:tc>
          <w:tcPr/>
          <w:p>
            <w:pPr>
              <w:pStyle w:val="Compact"/>
            </w:pPr>
            <w:r>
              <w:t xml:space="preserve">≥ 99.0%</w:t>
            </w:r>
          </w:p>
        </w:tc>
        <w:tc>
          <w:tcPr/>
          <w:p>
            <w:pPr>
              <w:pStyle w:val="Compact"/>
            </w:pPr>
            <w:r>
              <w:t xml:space="preserve">—</w:t>
            </w:r>
          </w:p>
        </w:tc>
      </w:tr>
    </w:tbl>
    <w:p>
      <w:pPr>
        <w:pStyle w:val="BodyText"/>
      </w:pPr>
      <w:r>
        <w:rPr>
          <w:b/>
          <w:bCs/>
        </w:rPr>
        <w:t xml:space="preserve">Architecture supports these targets</w:t>
      </w:r>
      <w:r>
        <w:t xml:space="preserve"> </w:t>
      </w:r>
      <w:r>
        <w:t xml:space="preserve">(per</w:t>
      </w:r>
      <w:r>
        <w:t xml:space="preserve"> </w:t>
      </w:r>
      <w:r>
        <w:rPr>
          <w:rStyle w:val="VerbatimChar"/>
        </w:rPr>
        <w:t xml:space="preserve">ARCHITECTURE.md</w:t>
      </w:r>
      <w:r>
        <w:t xml:space="preserve"> </w:t>
      </w:r>
      <w:r>
        <w:t xml:space="preserve">§8): stateless API + horizontal scaling, multi-AZ HA, streaming replica (RPO ≤ 5 min), recovery target RTO ≤ 30 min, health checks + auto-failover, WAF/DDoS protection.</w:t>
      </w:r>
    </w:p>
    <w:p>
      <w:pPr>
        <w:pStyle w:val="BodyText"/>
      </w:pPr>
      <w:r>
        <w:rPr>
          <w:b/>
          <w:bCs/>
        </w:rPr>
        <w:t xml:space="preserve">Webhooks are at-least-once:</w:t>
      </w:r>
      <w:r>
        <w:t xml:space="preserve"> </w:t>
      </w:r>
      <w:r>
        <w:t xml:space="preserve">on first-delivery failure the system retries with exponential backoff for ≥ 24 hours and exposes a pull endpoint for reconciliation. Webhook lag is not counted as Payment Core Downtime if the transaction succeeded and is queryable.</w:t>
      </w:r>
    </w:p>
    <w:p>
      <w:r>
        <w:pict>
          <v:rect style="width:0;height:1.5pt" o:hralign="center" o:hrstd="t" o:hr="t"/>
        </w:pict>
      </w:r>
    </w:p>
    <w:bookmarkEnd w:id="919"/>
    <w:bookmarkStart w:id="920" w:name="latency"/>
    <w:p>
      <w:pPr>
        <w:pStyle w:val="Heading2"/>
      </w:pPr>
      <w:r>
        <w:t xml:space="preserve">4. Latency</w:t>
      </w:r>
    </w:p>
    <w:p>
      <w:pPr>
        <w:pStyle w:val="FirstParagraph"/>
      </w:pPr>
      <w:r>
        <w:t xml:space="preserve">Server-side latency targets (excluding the acquirer hop unless stated), measured monthly:</w:t>
      </w:r>
    </w:p>
    <w:tbl>
      <w:tblPr>
        <w:tblStyle w:val="Table"/>
        <w:tblW w:type="pct" w:w="5000"/>
        <w:tblLayout w:type="fixed"/>
        <w:tblLook w:firstRow="1" w:lastRow="0" w:firstColumn="0" w:lastColumn="0" w:noHBand="0" w:noVBand="0" w:val="0020"/>
      </w:tblPr>
      <w:tblGrid>
        <w:gridCol w:w="4709"/>
        <w:gridCol w:w="1070"/>
        <w:gridCol w:w="1070"/>
        <w:gridCol w:w="1070"/>
      </w:tblGrid>
      <w:tr>
        <w:trPr>
          <w:tblHeader w:val="on"/>
        </w:trPr>
        <w:tc>
          <w:tcPr/>
          <w:p>
            <w:pPr>
              <w:pStyle w:val="Compact"/>
            </w:pPr>
            <w:r>
              <w:t xml:space="preserve">Endpoint / Operation</w:t>
            </w:r>
          </w:p>
        </w:tc>
        <w:tc>
          <w:tcPr/>
          <w:p>
            <w:pPr>
              <w:pStyle w:val="Compact"/>
            </w:pPr>
            <w:r>
              <w:t xml:space="preserve">p50</w:t>
            </w:r>
          </w:p>
        </w:tc>
        <w:tc>
          <w:tcPr/>
          <w:p>
            <w:pPr>
              <w:pStyle w:val="Compact"/>
            </w:pPr>
            <w:r>
              <w:t xml:space="preserve">p95</w:t>
            </w:r>
          </w:p>
        </w:tc>
        <w:tc>
          <w:tcPr/>
          <w:p>
            <w:pPr>
              <w:pStyle w:val="Compact"/>
            </w:pPr>
            <w:r>
              <w:t xml:space="preserve">p99</w:t>
            </w:r>
          </w:p>
        </w:tc>
      </w:tr>
      <w:tr>
        <w:tc>
          <w:tcPr/>
          <w:p>
            <w:pPr>
              <w:pStyle w:val="Compact"/>
            </w:pPr>
            <w:r>
              <w:rPr>
                <w:rStyle w:val="VerbatimChar"/>
              </w:rPr>
              <w:t xml:space="preserve">POST /v1/payments</w:t>
            </w:r>
            <w:r>
              <w:t xml:space="preserve"> </w:t>
            </w:r>
            <w:r>
              <w:t xml:space="preserve">(authorize,</w:t>
            </w:r>
            <w:r>
              <w:t xml:space="preserve"> </w:t>
            </w:r>
            <w:r>
              <w:rPr>
                <w:b/>
                <w:bCs/>
              </w:rPr>
              <w:t xml:space="preserve">excl.</w:t>
            </w:r>
            <w:r>
              <w:t xml:space="preserve"> </w:t>
            </w:r>
            <w:r>
              <w:t xml:space="preserve">3DS/acquirer time)</w:t>
            </w:r>
          </w:p>
        </w:tc>
        <w:tc>
          <w:tcPr/>
          <w:p>
            <w:pPr>
              <w:pStyle w:val="Compact"/>
            </w:pPr>
            <w:r>
              <w:t xml:space="preserve">≤ 120 ms</w:t>
            </w:r>
          </w:p>
        </w:tc>
        <w:tc>
          <w:tcPr/>
          <w:p>
            <w:pPr>
              <w:pStyle w:val="Compact"/>
            </w:pPr>
            <w:r>
              <w:t xml:space="preserve">≤ 300 ms</w:t>
            </w:r>
          </w:p>
        </w:tc>
        <w:tc>
          <w:tcPr/>
          <w:p>
            <w:pPr>
              <w:pStyle w:val="Compact"/>
            </w:pPr>
            <w:r>
              <w:t xml:space="preserve">≤ 500 ms</w:t>
            </w:r>
          </w:p>
        </w:tc>
      </w:tr>
      <w:tr>
        <w:tc>
          <w:tcPr/>
          <w:p>
            <w:pPr>
              <w:pStyle w:val="Compact"/>
            </w:pPr>
            <w:r>
              <w:rPr>
                <w:rStyle w:val="VerbatimChar"/>
              </w:rPr>
              <w:t xml:space="preserve">POST /v1/payments</w:t>
            </w:r>
            <w:r>
              <w:t xml:space="preserve"> </w:t>
            </w:r>
            <w:r>
              <w:t xml:space="preserve">(</w:t>
            </w:r>
            <w:r>
              <w:rPr>
                <w:b/>
                <w:bCs/>
              </w:rPr>
              <w:t xml:space="preserve">incl.</w:t>
            </w:r>
            <w:r>
              <w:t xml:space="preserve"> </w:t>
            </w:r>
            <w:r>
              <w:t xml:space="preserve">acquirer hop)</w:t>
            </w:r>
          </w:p>
        </w:tc>
        <w:tc>
          <w:tcPr/>
          <w:p>
            <w:pPr>
              <w:pStyle w:val="Compact"/>
            </w:pPr>
            <w:r>
              <w:t xml:space="preserve">—</w:t>
            </w:r>
          </w:p>
        </w:tc>
        <w:tc>
          <w:tcPr/>
          <w:p>
            <w:pPr>
              <w:pStyle w:val="Compact"/>
            </w:pPr>
            <w:r>
              <w:t xml:space="preserve">—</w:t>
            </w:r>
          </w:p>
        </w:tc>
        <w:tc>
          <w:tcPr/>
          <w:p>
            <w:pPr>
              <w:pStyle w:val="Compact"/>
            </w:pPr>
            <w:r>
              <w:t xml:space="preserve">≤ 800 ms</w:t>
            </w:r>
          </w:p>
        </w:tc>
      </w:tr>
      <w:tr>
        <w:tc>
          <w:tcPr/>
          <w:p>
            <w:pPr>
              <w:pStyle w:val="Compact"/>
            </w:pPr>
            <w:r>
              <w:rPr>
                <w:rStyle w:val="VerbatimChar"/>
              </w:rPr>
              <w:t xml:space="preserve">POST /v1/payments/{id}/capture</w:t>
            </w:r>
          </w:p>
        </w:tc>
        <w:tc>
          <w:tcPr/>
          <w:p>
            <w:pPr>
              <w:pStyle w:val="Compact"/>
            </w:pPr>
            <w:r>
              <w:t xml:space="preserve">≤ 100 ms</w:t>
            </w:r>
          </w:p>
        </w:tc>
        <w:tc>
          <w:tcPr/>
          <w:p>
            <w:pPr>
              <w:pStyle w:val="Compact"/>
            </w:pPr>
            <w:r>
              <w:t xml:space="preserve">≤ 250 ms</w:t>
            </w:r>
          </w:p>
        </w:tc>
        <w:tc>
          <w:tcPr/>
          <w:p>
            <w:pPr>
              <w:pStyle w:val="Compact"/>
            </w:pPr>
            <w:r>
              <w:t xml:space="preserve">≤ 450 ms</w:t>
            </w:r>
          </w:p>
        </w:tc>
      </w:tr>
      <w:tr>
        <w:tc>
          <w:tcPr/>
          <w:p>
            <w:pPr>
              <w:pStyle w:val="Compact"/>
            </w:pPr>
            <w:r>
              <w:rPr>
                <w:rStyle w:val="VerbatimChar"/>
              </w:rPr>
              <w:t xml:space="preserve">POST /v1/payments/{id}/refund</w:t>
            </w:r>
          </w:p>
        </w:tc>
        <w:tc>
          <w:tcPr/>
          <w:p>
            <w:pPr>
              <w:pStyle w:val="Compact"/>
            </w:pPr>
            <w:r>
              <w:t xml:space="preserve">≤ 120 ms</w:t>
            </w:r>
          </w:p>
        </w:tc>
        <w:tc>
          <w:tcPr/>
          <w:p>
            <w:pPr>
              <w:pStyle w:val="Compact"/>
            </w:pPr>
            <w:r>
              <w:t xml:space="preserve">≤ 300 ms</w:t>
            </w:r>
          </w:p>
        </w:tc>
        <w:tc>
          <w:tcPr/>
          <w:p>
            <w:pPr>
              <w:pStyle w:val="Compact"/>
            </w:pPr>
            <w:r>
              <w:t xml:space="preserve">≤ 550 ms</w:t>
            </w:r>
          </w:p>
        </w:tc>
      </w:tr>
      <w:tr>
        <w:tc>
          <w:tcPr/>
          <w:p>
            <w:pPr>
              <w:pStyle w:val="Compact"/>
            </w:pPr>
            <w:r>
              <w:t xml:space="preserve">Tokenize / Detokenize (Vault)</w:t>
            </w:r>
          </w:p>
        </w:tc>
        <w:tc>
          <w:tcPr/>
          <w:p>
            <w:pPr>
              <w:pStyle w:val="Compact"/>
            </w:pPr>
            <w:r>
              <w:t xml:space="preserve">≤ 40 ms</w:t>
            </w:r>
          </w:p>
        </w:tc>
        <w:tc>
          <w:tcPr/>
          <w:p>
            <w:pPr>
              <w:pStyle w:val="Compact"/>
            </w:pPr>
            <w:r>
              <w:t xml:space="preserve">≤ 120 ms</w:t>
            </w:r>
          </w:p>
        </w:tc>
        <w:tc>
          <w:tcPr/>
          <w:p>
            <w:pPr>
              <w:pStyle w:val="Compact"/>
            </w:pPr>
            <w:r>
              <w:t xml:space="preserve">≤ 200 ms</w:t>
            </w:r>
          </w:p>
        </w:tc>
      </w:tr>
      <w:tr>
        <w:tc>
          <w:tcPr/>
          <w:p>
            <w:pPr>
              <w:pStyle w:val="Compact"/>
            </w:pPr>
            <w:r>
              <w:t xml:space="preserve">Read API (GET payment/report)</w:t>
            </w:r>
          </w:p>
        </w:tc>
        <w:tc>
          <w:tcPr/>
          <w:p>
            <w:pPr>
              <w:pStyle w:val="Compact"/>
            </w:pPr>
            <w:r>
              <w:t xml:space="preserve">≤ 60 ms</w:t>
            </w:r>
          </w:p>
        </w:tc>
        <w:tc>
          <w:tcPr/>
          <w:p>
            <w:pPr>
              <w:pStyle w:val="Compact"/>
            </w:pPr>
            <w:r>
              <w:t xml:space="preserve">≤ 150 ms</w:t>
            </w:r>
          </w:p>
        </w:tc>
        <w:tc>
          <w:tcPr/>
          <w:p>
            <w:pPr>
              <w:pStyle w:val="Compact"/>
            </w:pPr>
            <w:r>
              <w:t xml:space="preserve">≤ 300 ms</w:t>
            </w:r>
          </w:p>
        </w:tc>
      </w:tr>
      <w:tr>
        <w:tc>
          <w:tcPr/>
          <w:p>
            <w:pPr>
              <w:pStyle w:val="Compact"/>
            </w:pPr>
            <w:r>
              <w:t xml:space="preserve">Webhook dispatch (event → first send)</w:t>
            </w:r>
          </w:p>
        </w:tc>
        <w:tc>
          <w:tcPr/>
          <w:p>
            <w:pPr>
              <w:pStyle w:val="Compact"/>
            </w:pPr>
            <w:r>
              <w:t xml:space="preserve">≤ 2 s</w:t>
            </w:r>
          </w:p>
        </w:tc>
        <w:tc>
          <w:tcPr/>
          <w:p>
            <w:pPr>
              <w:pStyle w:val="Compact"/>
            </w:pPr>
            <w:r>
              <w:t xml:space="preserve">≤ 5 s</w:t>
            </w:r>
          </w:p>
        </w:tc>
        <w:tc>
          <w:tcPr/>
          <w:p>
            <w:pPr>
              <w:pStyle w:val="Compact"/>
            </w:pPr>
            <w:r>
              <w:t xml:space="preserve">≤ 10 s</w:t>
            </w:r>
          </w:p>
        </w:tc>
      </w:tr>
    </w:tbl>
    <w:p>
      <w:pPr>
        <w:pStyle w:val="BlockText"/>
      </w:pPr>
      <w:r>
        <w:t xml:space="preserve">Times dependent on external providers (3-D Secure challenge, issuer authorization) fall outside the latency SLA but are reported separately for transparency.</w:t>
      </w:r>
    </w:p>
    <w:p>
      <w:r>
        <w:pict>
          <v:rect style="width:0;height:1.5pt" o:hralign="center" o:hrstd="t" o:hr="t"/>
        </w:pict>
      </w:r>
    </w:p>
    <w:bookmarkEnd w:id="920"/>
    <w:bookmarkStart w:id="922" w:name="support-tiers"/>
    <w:p>
      <w:pPr>
        <w:pStyle w:val="Heading2"/>
      </w:pPr>
      <w:r>
        <w:t xml:space="preserve">5. Support Tiers</w:t>
      </w:r>
    </w:p>
    <w:tbl>
      <w:tblPr>
        <w:tblStyle w:val="Table"/>
        <w:tblW w:type="pct" w:w="5000"/>
        <w:tblLayout w:type="fixed"/>
        <w:tblLook w:firstRow="1" w:lastRow="0" w:firstColumn="0" w:lastColumn="0" w:noHBand="0" w:noVBand="0" w:val="0020"/>
      </w:tblPr>
      <w:tblGrid>
        <w:gridCol w:w="1620"/>
        <w:gridCol w:w="1800"/>
        <w:gridCol w:w="1260"/>
        <w:gridCol w:w="3240"/>
      </w:tblGrid>
      <w:tr>
        <w:trPr>
          <w:tblHeader w:val="on"/>
        </w:trPr>
        <w:tc>
          <w:tcPr/>
          <w:p>
            <w:pPr>
              <w:pStyle w:val="Compact"/>
            </w:pPr>
            <w:r>
              <w:t xml:space="preserve">Package</w:t>
            </w:r>
          </w:p>
        </w:tc>
        <w:tc>
          <w:tcPr/>
          <w:p>
            <w:pPr>
              <w:pStyle w:val="Compact"/>
            </w:pPr>
            <w:r>
              <w:t xml:space="preserve">Channels</w:t>
            </w:r>
          </w:p>
        </w:tc>
        <w:tc>
          <w:tcPr/>
          <w:p>
            <w:pPr>
              <w:pStyle w:val="Compact"/>
            </w:pPr>
            <w:r>
              <w:t xml:space="preserve">Hours</w:t>
            </w:r>
          </w:p>
        </w:tc>
        <w:tc>
          <w:tcPr/>
          <w:p>
            <w:pPr>
              <w:pStyle w:val="Compact"/>
            </w:pPr>
            <w:r>
              <w:t xml:space="preserve">Target Merchants</w:t>
            </w:r>
          </w:p>
        </w:tc>
      </w:tr>
      <w:tr>
        <w:tc>
          <w:tcPr/>
          <w:p>
            <w:pPr>
              <w:pStyle w:val="Compact"/>
            </w:pPr>
            <w:r>
              <w:rPr>
                <w:b/>
                <w:bCs/>
              </w:rPr>
              <w:t xml:space="preserve">Standard</w:t>
            </w:r>
          </w:p>
        </w:tc>
        <w:tc>
          <w:tcPr/>
          <w:p>
            <w:pPr>
              <w:pStyle w:val="Compact"/>
            </w:pPr>
            <w:r>
              <w:t xml:space="preserve">Email, ticketing, docs/status page</w:t>
            </w:r>
          </w:p>
        </w:tc>
        <w:tc>
          <w:tcPr/>
          <w:p>
            <w:pPr>
              <w:pStyle w:val="Compact"/>
            </w:pPr>
            <w:r>
              <w:t xml:space="preserve">Mon–Fri 09:00–18:00 (excl. bank holidays)</w:t>
            </w:r>
          </w:p>
        </w:tc>
        <w:tc>
          <w:tcPr/>
          <w:p>
            <w:pPr>
              <w:pStyle w:val="Compact"/>
            </w:pPr>
            <w:r>
              <w:t xml:space="preserve">General merchants</w:t>
            </w:r>
          </w:p>
        </w:tc>
      </w:tr>
      <w:tr>
        <w:tc>
          <w:tcPr/>
          <w:p>
            <w:pPr>
              <w:pStyle w:val="Compact"/>
            </w:pPr>
            <w:r>
              <w:rPr>
                <w:b/>
                <w:bCs/>
              </w:rPr>
              <w:t xml:space="preserve">Business</w:t>
            </w:r>
          </w:p>
        </w:tc>
        <w:tc>
          <w:tcPr/>
          <w:p>
            <w:pPr>
              <w:pStyle w:val="Compact"/>
            </w:pPr>
            <w:r>
              <w:t xml:space="preserve">+ Phone hotline, chat</w:t>
            </w:r>
          </w:p>
        </w:tc>
        <w:tc>
          <w:tcPr/>
          <w:p>
            <w:pPr>
              <w:pStyle w:val="Compact"/>
            </w:pPr>
            <w:r>
              <w:t xml:space="preserve">07:00–22:00 daily</w:t>
            </w:r>
          </w:p>
        </w:tc>
        <w:tc>
          <w:tcPr/>
          <w:p>
            <w:pPr>
              <w:pStyle w:val="Compact"/>
            </w:pPr>
            <w:r>
              <w:t xml:space="preserve">Mid-volume merchants</w:t>
            </w:r>
          </w:p>
        </w:tc>
      </w:tr>
      <w:tr>
        <w:tc>
          <w:tcPr/>
          <w:p>
            <w:pPr>
              <w:pStyle w:val="Compact"/>
            </w:pPr>
            <w:r>
              <w:rPr>
                <w:b/>
                <w:bCs/>
              </w:rPr>
              <w:t xml:space="preserve">Enterprise</w:t>
            </w:r>
          </w:p>
        </w:tc>
        <w:tc>
          <w:tcPr/>
          <w:p>
            <w:pPr>
              <w:pStyle w:val="Compact"/>
            </w:pPr>
            <w:r>
              <w:t xml:space="preserve">+ Technical Account Manager (TAM), shared Slack/Line, on-call</w:t>
            </w:r>
          </w:p>
        </w:tc>
        <w:tc>
          <w:tcPr/>
          <w:p>
            <w:pPr>
              <w:pStyle w:val="Compact"/>
            </w:pPr>
            <w:r>
              <w:t xml:space="preserve">24×7×365</w:t>
            </w:r>
          </w:p>
        </w:tc>
        <w:tc>
          <w:tcPr/>
          <w:p>
            <w:pPr>
              <w:pStyle w:val="Compact"/>
            </w:pPr>
            <w:r>
              <w:t xml:space="preserve">High-volume / mission-critical</w:t>
            </w:r>
          </w:p>
        </w:tc>
      </w:tr>
    </w:tbl>
    <w:p>
      <w:pPr>
        <w:pStyle w:val="BodyText"/>
      </w:pPr>
      <w:r>
        <w:rPr>
          <w:b/>
          <w:bCs/>
        </w:rPr>
        <w:t xml:space="preserve">Sev-1/Sev-2 incidents (see §6) are received and responded to 24×7 for all packages</w:t>
      </w:r>
      <w:r>
        <w:t xml:space="preserve"> </w:t>
      </w:r>
      <w:r>
        <w:t xml:space="preserve">via the emergency hotline — regardless of tier — given the criticality of payment infrastructure.</w:t>
      </w:r>
    </w:p>
    <w:bookmarkStart w:id="921" w:name="roles-responsibilities-raci-summary-1"/>
    <w:p>
      <w:pPr>
        <w:pStyle w:val="Heading3"/>
      </w:pPr>
      <w:r>
        <w:t xml:space="preserve">Roles &amp; Responsibilities (RACI summary)</w:t>
      </w:r>
    </w:p>
    <w:tbl>
      <w:tblPr>
        <w:tblStyle w:val="Table"/>
        <w:tblW w:type="pct" w:w="5000"/>
        <w:tblLayout w:type="fixed"/>
        <w:tblLook w:firstRow="1" w:lastRow="0" w:firstColumn="0" w:lastColumn="0" w:noHBand="0" w:noVBand="0" w:val="0020"/>
      </w:tblPr>
      <w:tblGrid>
        <w:gridCol w:w="2160"/>
        <w:gridCol w:w="5760"/>
      </w:tblGrid>
      <w:tr>
        <w:trPr>
          <w:tblHeader w:val="on"/>
        </w:trPr>
        <w:tc>
          <w:tcPr/>
          <w:p>
            <w:pPr>
              <w:pStyle w:val="Compact"/>
            </w:pPr>
            <w:r>
              <w:t xml:space="preserve">Role</w:t>
            </w:r>
          </w:p>
        </w:tc>
        <w:tc>
          <w:tcPr/>
          <w:p>
            <w:pPr>
              <w:pStyle w:val="Compact"/>
            </w:pPr>
            <w:r>
              <w:t xml:space="preserve">Responsibility</w:t>
            </w:r>
          </w:p>
        </w:tc>
      </w:tr>
      <w:tr>
        <w:tc>
          <w:tcPr/>
          <w:p>
            <w:pPr>
              <w:pStyle w:val="Compact"/>
            </w:pPr>
            <w:r>
              <w:rPr>
                <w:b/>
                <w:bCs/>
              </w:rPr>
              <w:t xml:space="preserve">L1 Support</w:t>
            </w:r>
          </w:p>
        </w:tc>
        <w:tc>
          <w:tcPr/>
          <w:p>
            <w:pPr>
              <w:pStyle w:val="Compact"/>
            </w:pPr>
            <w:r>
              <w:t xml:space="preserve">Receive tickets, initial triage, usage questions, escalate</w:t>
            </w:r>
          </w:p>
        </w:tc>
      </w:tr>
      <w:tr>
        <w:tc>
          <w:tcPr/>
          <w:p>
            <w:pPr>
              <w:pStyle w:val="Compact"/>
            </w:pPr>
            <w:r>
              <w:rPr>
                <w:b/>
                <w:bCs/>
              </w:rPr>
              <w:t xml:space="preserve">L2 Engineering (on-call)</w:t>
            </w:r>
          </w:p>
        </w:tc>
        <w:tc>
          <w:tcPr/>
          <w:p>
            <w:pPr>
              <w:pStyle w:val="Compact"/>
            </w:pPr>
            <w:r>
              <w:t xml:space="preserve">Technical analysis, remediation, coordinate with acquirer/vendors</w:t>
            </w:r>
          </w:p>
        </w:tc>
      </w:tr>
      <w:tr>
        <w:tc>
          <w:tcPr/>
          <w:p>
            <w:pPr>
              <w:pStyle w:val="Compact"/>
            </w:pPr>
            <w:r>
              <w:rPr>
                <w:b/>
                <w:bCs/>
              </w:rPr>
              <w:t xml:space="preserve">Incident Commander (IC)</w:t>
            </w:r>
          </w:p>
        </w:tc>
        <w:tc>
          <w:tcPr/>
          <w:p>
            <w:pPr>
              <w:pStyle w:val="Compact"/>
            </w:pPr>
            <w:r>
              <w:t xml:space="preserve">Command Sev-1/Sev-2 incidents, decisions, stakeholder comms</w:t>
            </w:r>
          </w:p>
        </w:tc>
      </w:tr>
      <w:tr>
        <w:tc>
          <w:tcPr/>
          <w:p>
            <w:pPr>
              <w:pStyle w:val="Compact"/>
            </w:pPr>
            <w:r>
              <w:rPr>
                <w:b/>
                <w:bCs/>
              </w:rPr>
              <w:t xml:space="preserve">SRE / Infra</w:t>
            </w:r>
          </w:p>
        </w:tc>
        <w:tc>
          <w:tcPr/>
          <w:p>
            <w:pPr>
              <w:pStyle w:val="Compact"/>
            </w:pPr>
            <w:r>
              <w:t xml:space="preserve">HA, failover, DR, system recovery</w:t>
            </w:r>
          </w:p>
        </w:tc>
      </w:tr>
      <w:tr>
        <w:tc>
          <w:tcPr/>
          <w:p>
            <w:pPr>
              <w:pStyle w:val="Compact"/>
            </w:pPr>
            <w:r>
              <w:rPr>
                <w:b/>
                <w:bCs/>
              </w:rPr>
              <w:t xml:space="preserve">Compliance/DPO</w:t>
            </w:r>
          </w:p>
        </w:tc>
        <w:tc>
          <w:tcPr/>
          <w:p>
            <w:pPr>
              <w:pStyle w:val="Compact"/>
            </w:pPr>
            <w:r>
              <w:t xml:space="preserve">Assess BOT/AMLO/PDPC reporting duties, own legal deadlines</w:t>
            </w:r>
          </w:p>
        </w:tc>
      </w:tr>
      <w:tr>
        <w:tc>
          <w:tcPr/>
          <w:p>
            <w:pPr>
              <w:pStyle w:val="Compact"/>
            </w:pPr>
            <w:r>
              <w:rPr>
                <w:b/>
                <w:bCs/>
              </w:rPr>
              <w:t xml:space="preserve">Comms Lead</w:t>
            </w:r>
          </w:p>
        </w:tc>
        <w:tc>
          <w:tcPr/>
          <w:p>
            <w:pPr>
              <w:pStyle w:val="Compact"/>
            </w:pPr>
            <w:r>
              <w:t xml:space="preserve">Update status page and notify merchants</w:t>
            </w:r>
          </w:p>
        </w:tc>
      </w:tr>
    </w:tbl>
    <w:p>
      <w:r>
        <w:pict>
          <v:rect style="width:0;height:1.5pt" o:hralign="center" o:hrstd="t" o:hr="t"/>
        </w:pict>
      </w:r>
    </w:p>
    <w:bookmarkEnd w:id="921"/>
    <w:bookmarkEnd w:id="922"/>
    <w:bookmarkStart w:id="925" w:name="incident-severity-response"/>
    <w:p>
      <w:pPr>
        <w:pStyle w:val="Heading2"/>
      </w:pPr>
      <w:r>
        <w:t xml:space="preserve">6. Incident Severity &amp; Response</w:t>
      </w:r>
    </w:p>
    <w:tbl>
      <w:tblPr>
        <w:tblStyle w:val="Table"/>
        <w:tblW w:type="pct" w:w="5000"/>
        <w:tblLayout w:type="fixed"/>
        <w:tblLook w:firstRow="1" w:lastRow="0" w:firstColumn="0" w:lastColumn="0" w:noHBand="0" w:noVBand="0" w:val="0020"/>
      </w:tblPr>
      <w:tblGrid>
        <w:gridCol w:w="1002"/>
        <w:gridCol w:w="1102"/>
        <w:gridCol w:w="1002"/>
        <w:gridCol w:w="1303"/>
        <w:gridCol w:w="1604"/>
        <w:gridCol w:w="1904"/>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Examples</w:t>
            </w:r>
          </w:p>
        </w:tc>
        <w:tc>
          <w:tcPr/>
          <w:p>
            <w:pPr>
              <w:pStyle w:val="Compact"/>
            </w:pPr>
            <w:r>
              <w:t xml:space="preserve">Acknowledge</w:t>
            </w:r>
          </w:p>
        </w:tc>
        <w:tc>
          <w:tcPr/>
          <w:p>
            <w:pPr>
              <w:pStyle w:val="Compact"/>
            </w:pPr>
            <w:r>
              <w:t xml:space="preserve">Update cadence</w:t>
            </w:r>
          </w:p>
        </w:tc>
        <w:tc>
          <w:tcPr/>
          <w:p>
            <w:pPr>
              <w:pStyle w:val="Compact"/>
            </w:pPr>
            <w:r>
              <w:t xml:space="preserve">Mitigation target</w:t>
            </w:r>
          </w:p>
        </w:tc>
      </w:tr>
      <w:tr>
        <w:tc>
          <w:tcPr/>
          <w:p>
            <w:pPr>
              <w:pStyle w:val="Compact"/>
            </w:pPr>
            <w:r>
              <w:rPr>
                <w:b/>
                <w:bCs/>
              </w:rPr>
              <w:t xml:space="preserve">Sev-1 (Critical)</w:t>
            </w:r>
          </w:p>
        </w:tc>
        <w:tc>
          <w:tcPr/>
          <w:p>
            <w:pPr>
              <w:pStyle w:val="Compact"/>
            </w:pPr>
            <w:r>
              <w:t xml:space="preserve">Full outage of core payment service, or suspected card/personal data breach</w:t>
            </w:r>
          </w:p>
        </w:tc>
        <w:tc>
          <w:tcPr/>
          <w:p>
            <w:pPr>
              <w:pStyle w:val="Compact"/>
            </w:pPr>
            <w:r>
              <w:t xml:space="preserve">Total authorize failure, Vault unresponsive, suspected data breach</w:t>
            </w:r>
          </w:p>
        </w:tc>
        <w:tc>
          <w:tcPr/>
          <w:p>
            <w:pPr>
              <w:pStyle w:val="Compact"/>
            </w:pPr>
            <w:r>
              <w:rPr>
                <w:b/>
                <w:bCs/>
              </w:rPr>
              <w:t xml:space="preserve">≤ 15 min (24×7)</w:t>
            </w:r>
          </w:p>
        </w:tc>
        <w:tc>
          <w:tcPr/>
          <w:p>
            <w:pPr>
              <w:pStyle w:val="Compact"/>
            </w:pPr>
            <w:r>
              <w:t xml:space="preserve">Every 30 min</w:t>
            </w:r>
          </w:p>
        </w:tc>
        <w:tc>
          <w:tcPr/>
          <w:p>
            <w:pPr>
              <w:pStyle w:val="Compact"/>
            </w:pPr>
            <w:r>
              <w:t xml:space="preserve">≤ 4 hours</w:t>
            </w:r>
          </w:p>
        </w:tc>
      </w:tr>
      <w:tr>
        <w:tc>
          <w:tcPr/>
          <w:p>
            <w:pPr>
              <w:pStyle w:val="Compact"/>
            </w:pPr>
            <w:r>
              <w:rPr>
                <w:b/>
                <w:bCs/>
              </w:rPr>
              <w:t xml:space="preserve">Sev-2 (High)</w:t>
            </w:r>
          </w:p>
        </w:tc>
        <w:tc>
          <w:tcPr/>
          <w:p>
            <w:pPr>
              <w:pStyle w:val="Compact"/>
            </w:pPr>
            <w:r>
              <w:t xml:space="preserve">Partial degradation of core service affecting many merchants</w:t>
            </w:r>
          </w:p>
        </w:tc>
        <w:tc>
          <w:tcPr/>
          <w:p>
            <w:pPr>
              <w:pStyle w:val="Compact"/>
            </w:pPr>
            <w:r>
              <w:t xml:space="preserve">Severely elevated error rate, severe latency breach, widespread webhook backlog</w:t>
            </w:r>
          </w:p>
        </w:tc>
        <w:tc>
          <w:tcPr/>
          <w:p>
            <w:pPr>
              <w:pStyle w:val="Compact"/>
            </w:pPr>
            <w:r>
              <w:rPr>
                <w:b/>
                <w:bCs/>
              </w:rPr>
              <w:t xml:space="preserve">≤ 30 min (24×7)</w:t>
            </w:r>
          </w:p>
        </w:tc>
        <w:tc>
          <w:tcPr/>
          <w:p>
            <w:pPr>
              <w:pStyle w:val="Compact"/>
            </w:pPr>
            <w:r>
              <w:t xml:space="preserve">Every 60 min</w:t>
            </w:r>
          </w:p>
        </w:tc>
        <w:tc>
          <w:tcPr/>
          <w:p>
            <w:pPr>
              <w:pStyle w:val="Compact"/>
            </w:pPr>
            <w:r>
              <w:t xml:space="preserve">≤ 8 hours</w:t>
            </w:r>
          </w:p>
        </w:tc>
      </w:tr>
      <w:tr>
        <w:tc>
          <w:tcPr/>
          <w:p>
            <w:pPr>
              <w:pStyle w:val="Compact"/>
            </w:pPr>
            <w:r>
              <w:rPr>
                <w:b/>
                <w:bCs/>
              </w:rPr>
              <w:t xml:space="preserve">Sev-3 (Medium)</w:t>
            </w:r>
          </w:p>
        </w:tc>
        <w:tc>
          <w:tcPr/>
          <w:p>
            <w:pPr>
              <w:pStyle w:val="Compact"/>
            </w:pPr>
            <w:r>
              <w:t xml:space="preserve">Limited impact with workaround</w:t>
            </w:r>
          </w:p>
        </w:tc>
        <w:tc>
          <w:tcPr/>
          <w:p>
            <w:pPr>
              <w:pStyle w:val="Compact"/>
            </w:pPr>
            <w:r>
              <w:t xml:space="preserve">Secondary feature fault, slow dashboard</w:t>
            </w:r>
          </w:p>
        </w:tc>
        <w:tc>
          <w:tcPr/>
          <w:p>
            <w:pPr>
              <w:pStyle w:val="Compact"/>
            </w:pPr>
            <w:r>
              <w:t xml:space="preserve">≤ 4 business hours</w:t>
            </w:r>
          </w:p>
        </w:tc>
        <w:tc>
          <w:tcPr/>
          <w:p>
            <w:pPr>
              <w:pStyle w:val="Compact"/>
            </w:pPr>
            <w:r>
              <w:t xml:space="preserve">Daily</w:t>
            </w:r>
          </w:p>
        </w:tc>
        <w:tc>
          <w:tcPr/>
          <w:p>
            <w:pPr>
              <w:pStyle w:val="Compact"/>
            </w:pPr>
            <w:r>
              <w:t xml:space="preserve">≤ 3 business days</w:t>
            </w:r>
          </w:p>
        </w:tc>
      </w:tr>
      <w:tr>
        <w:tc>
          <w:tcPr/>
          <w:p>
            <w:pPr>
              <w:pStyle w:val="Compact"/>
            </w:pPr>
            <w:r>
              <w:rPr>
                <w:b/>
                <w:bCs/>
              </w:rPr>
              <w:t xml:space="preserve">Sev-4 (Low)</w:t>
            </w:r>
          </w:p>
        </w:tc>
        <w:tc>
          <w:tcPr/>
          <w:p>
            <w:pPr>
              <w:pStyle w:val="Compact"/>
            </w:pPr>
            <w:r>
              <w:t xml:space="preserve">Minor impact / general query</w:t>
            </w:r>
          </w:p>
        </w:tc>
        <w:tc>
          <w:tcPr/>
          <w:p>
            <w:pPr>
              <w:pStyle w:val="Compact"/>
            </w:pPr>
            <w:r>
              <w:t xml:space="preserve">Usage questions, information requests</w:t>
            </w:r>
          </w:p>
        </w:tc>
        <w:tc>
          <w:tcPr/>
          <w:p>
            <w:pPr>
              <w:pStyle w:val="Compact"/>
            </w:pPr>
            <w:r>
              <w:t xml:space="preserve">≤ 1 business day</w:t>
            </w:r>
          </w:p>
        </w:tc>
        <w:tc>
          <w:tcPr/>
          <w:p>
            <w:pPr>
              <w:pStyle w:val="Compact"/>
            </w:pPr>
            <w:r>
              <w:t xml:space="preserve">As agreed</w:t>
            </w:r>
          </w:p>
        </w:tc>
        <w:tc>
          <w:tcPr/>
          <w:p>
            <w:pPr>
              <w:pStyle w:val="Compact"/>
            </w:pPr>
            <w:r>
              <w:t xml:space="preserve">Per backlog</w:t>
            </w:r>
          </w:p>
        </w:tc>
      </w:tr>
    </w:tbl>
    <w:bookmarkStart w:id="923" w:name="incident-response-procedure"/>
    <w:p>
      <w:pPr>
        <w:pStyle w:val="Heading3"/>
      </w:pPr>
      <w:r>
        <w:t xml:space="preserve">Incident Response Procedure</w:t>
      </w:r>
    </w:p>
    <w:p>
      <w:pPr>
        <w:pStyle w:val="Compact"/>
        <w:numPr>
          <w:ilvl w:val="0"/>
          <w:numId w:val="1348"/>
        </w:numPr>
      </w:pPr>
      <w:r>
        <w:rPr>
          <w:b/>
          <w:bCs/>
        </w:rPr>
        <w:t xml:space="preserve">Detect</w:t>
      </w:r>
      <w:r>
        <w:t xml:space="preserve"> </w:t>
      </w:r>
      <w:r>
        <w:t xml:space="preserve">— automated alerts (SLO burn-rate, error budget), synthetic monitors, or merchant reports</w:t>
      </w:r>
    </w:p>
    <w:p>
      <w:pPr>
        <w:pStyle w:val="Compact"/>
        <w:numPr>
          <w:ilvl w:val="0"/>
          <w:numId w:val="1348"/>
        </w:numPr>
      </w:pPr>
      <w:r>
        <w:rPr>
          <w:b/>
          <w:bCs/>
        </w:rPr>
        <w:t xml:space="preserve">Triage &amp; Declare</w:t>
      </w:r>
      <w:r>
        <w:t xml:space="preserve"> </w:t>
      </w:r>
      <w:r>
        <w:t xml:space="preserve">— L1/on-call assigns severity; Sev-1/Sev-2 invoke the Incident Commander and open a war room immediately</w:t>
      </w:r>
    </w:p>
    <w:p>
      <w:pPr>
        <w:pStyle w:val="Compact"/>
        <w:numPr>
          <w:ilvl w:val="0"/>
          <w:numId w:val="1348"/>
        </w:numPr>
      </w:pPr>
      <w:r>
        <w:rPr>
          <w:b/>
          <w:bCs/>
        </w:rPr>
        <w:t xml:space="preserve">Contain &amp; Mitigate</w:t>
      </w:r>
      <w:r>
        <w:t xml:space="preserve"> </w:t>
      </w:r>
      <w:r>
        <w:t xml:space="preserve">— failover/rollback/circuit breaker (fail-closed per</w:t>
      </w:r>
      <w:r>
        <w:t xml:space="preserve"> </w:t>
      </w:r>
      <w:r>
        <w:rPr>
          <w:rStyle w:val="VerbatimChar"/>
        </w:rPr>
        <w:t xml:space="preserve">ARCHITECTURE.md</w:t>
      </w:r>
      <w:r>
        <w:t xml:space="preserve">); on suspected cardholder data compromise,</w:t>
      </w:r>
      <w:r>
        <w:t xml:space="preserve"> </w:t>
      </w:r>
      <w:r>
        <w:rPr>
          <w:b/>
          <w:bCs/>
        </w:rPr>
        <w:t xml:space="preserve">isolate</w:t>
      </w:r>
      <w:r>
        <w:t xml:space="preserve"> </w:t>
      </w:r>
      <w:r>
        <w:t xml:space="preserve">systems and follow PCI-DSS Req 12.10 (Incident Response Plan)</w:t>
      </w:r>
    </w:p>
    <w:p>
      <w:pPr>
        <w:pStyle w:val="Compact"/>
        <w:numPr>
          <w:ilvl w:val="0"/>
          <w:numId w:val="1348"/>
        </w:numPr>
      </w:pPr>
      <w:r>
        <w:rPr>
          <w:b/>
          <w:bCs/>
        </w:rPr>
        <w:t xml:space="preserve">Communicate</w:t>
      </w:r>
      <w:r>
        <w:t xml:space="preserve"> </w:t>
      </w:r>
      <w:r>
        <w:t xml:space="preserve">— update status page and notify merchants at the cadence above; Comms Lead owns this</w:t>
      </w:r>
    </w:p>
    <w:p>
      <w:pPr>
        <w:pStyle w:val="Compact"/>
        <w:numPr>
          <w:ilvl w:val="0"/>
          <w:numId w:val="1348"/>
        </w:numPr>
      </w:pPr>
      <w:r>
        <w:rPr>
          <w:b/>
          <w:bCs/>
        </w:rPr>
        <w:t xml:space="preserve">Resolve &amp; Recover</w:t>
      </w:r>
      <w:r>
        <w:t xml:space="preserve"> </w:t>
      </w:r>
      <w:r>
        <w:t xml:space="preserve">— confirm service restoration and reconcile the ledger for transaction integrity</w:t>
      </w:r>
    </w:p>
    <w:p>
      <w:pPr>
        <w:pStyle w:val="Compact"/>
        <w:numPr>
          <w:ilvl w:val="0"/>
          <w:numId w:val="1348"/>
        </w:numPr>
      </w:pPr>
      <w:r>
        <w:rPr>
          <w:b/>
          <w:bCs/>
        </w:rPr>
        <w:t xml:space="preserve">Post-Incident Review (PIR)</w:t>
      </w:r>
      <w:r>
        <w:t xml:space="preserve"> </w:t>
      </w:r>
      <w:r>
        <w:t xml:space="preserve">— for Sev-1/Sev-2, produce a blameless RCA within</w:t>
      </w:r>
      <w:r>
        <w:t xml:space="preserve"> </w:t>
      </w:r>
      <w:r>
        <w:rPr>
          <w:b/>
          <w:bCs/>
        </w:rPr>
        <w:t xml:space="preserve">5 business days</w:t>
      </w:r>
      <w:r>
        <w:t xml:space="preserve"> </w:t>
      </w:r>
      <w:r>
        <w:t xml:space="preserve">with corrective actions and owners</w:t>
      </w:r>
    </w:p>
    <w:bookmarkEnd w:id="923"/>
    <w:bookmarkStart w:id="924" w:name="Xba29ab89748130b77d59d599d1548f4d04b690e"/>
    <w:p>
      <w:pPr>
        <w:pStyle w:val="Heading3"/>
      </w:pPr>
      <w:r>
        <w:t xml:space="preserve">Statutory reporting duties (separate from the commercial SLA)</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Authority</w:t>
            </w:r>
          </w:p>
        </w:tc>
        <w:tc>
          <w:tcPr/>
          <w:p>
            <w:pPr>
              <w:pStyle w:val="Compact"/>
            </w:pPr>
            <w:r>
              <w:t xml:space="preserve">Event</w:t>
            </w:r>
          </w:p>
        </w:tc>
        <w:tc>
          <w:tcPr/>
          <w:p>
            <w:pPr>
              <w:pStyle w:val="Compact"/>
            </w:pPr>
            <w:r>
              <w:t xml:space="preserve">Timeline</w:t>
            </w:r>
          </w:p>
        </w:tc>
      </w:tr>
      <w:tr>
        <w:tc>
          <w:tcPr/>
          <w:p>
            <w:pPr>
              <w:pStyle w:val="Compact"/>
            </w:pPr>
            <w:r>
              <w:rPr>
                <w:b/>
                <w:bCs/>
              </w:rPr>
              <w:t xml:space="preserve">BOT (ธปท.)</w:t>
            </w:r>
          </w:p>
        </w:tc>
        <w:tc>
          <w:tcPr/>
          <w:p>
            <w:pPr>
              <w:pStyle w:val="Compact"/>
            </w:pPr>
            <w:r>
              <w:t xml:space="preserve">Material IT/cyber incident affecting payment service</w:t>
            </w:r>
          </w:p>
        </w:tc>
        <w:tc>
          <w:tcPr/>
          <w:p>
            <w:pPr>
              <w:pStyle w:val="Compact"/>
            </w:pPr>
            <w:r>
              <w:t xml:space="preserve">Initial notification promptly per applicable BOT notification (see TODO), followed by full report</w:t>
            </w:r>
          </w:p>
        </w:tc>
      </w:tr>
      <w:tr>
        <w:tc>
          <w:tcPr/>
          <w:p>
            <w:pPr>
              <w:pStyle w:val="Compact"/>
            </w:pPr>
            <w:r>
              <w:rPr>
                <w:b/>
                <w:bCs/>
              </w:rPr>
              <w:t xml:space="preserve">PDPC</w:t>
            </w:r>
          </w:p>
        </w:tc>
        <w:tc>
          <w:tcPr/>
          <w:p>
            <w:pPr>
              <w:pStyle w:val="Compact"/>
            </w:pPr>
            <w:r>
              <w:t xml:space="preserve">Personal data breach risking data subjects’ rights</w:t>
            </w:r>
          </w:p>
        </w:tc>
        <w:tc>
          <w:tcPr/>
          <w:p>
            <w:pPr>
              <w:pStyle w:val="Compact"/>
            </w:pPr>
            <w:r>
              <w:rPr>
                <w:b/>
                <w:bCs/>
              </w:rPr>
              <w:t xml:space="preserve">Within 72 hours</w:t>
            </w:r>
            <w:r>
              <w:t xml:space="preserve"> </w:t>
            </w:r>
            <w:r>
              <w:t xml:space="preserve">per PDPA §37(4)</w:t>
            </w:r>
          </w:p>
        </w:tc>
      </w:tr>
      <w:tr>
        <w:tc>
          <w:tcPr/>
          <w:p>
            <w:pPr>
              <w:pStyle w:val="Compact"/>
            </w:pPr>
            <w:r>
              <w:rPr>
                <w:b/>
                <w:bCs/>
              </w:rPr>
              <w:t xml:space="preserve">AMLO (ปปง.)</w:t>
            </w:r>
          </w:p>
        </w:tc>
        <w:tc>
          <w:tcPr/>
          <w:p>
            <w:pPr>
              <w:pStyle w:val="Compact"/>
            </w:pPr>
            <w:r>
              <w:t xml:space="preserve">Suspicious transaction (STR) / cash transaction (CTR)</w:t>
            </w:r>
          </w:p>
        </w:tc>
        <w:tc>
          <w:tcPr/>
          <w:p>
            <w:pPr>
              <w:pStyle w:val="Compact"/>
            </w:pPr>
            <w:r>
              <w:t xml:space="preserve">Per the Anti-Money Laundering Act framework</w:t>
            </w:r>
          </w:p>
        </w:tc>
      </w:tr>
      <w:tr>
        <w:tc>
          <w:tcPr/>
          <w:p>
            <w:pPr>
              <w:pStyle w:val="Compact"/>
            </w:pPr>
            <w:r>
              <w:rPr>
                <w:b/>
                <w:bCs/>
              </w:rPr>
              <w:t xml:space="preserve">Card scheme / Sponsor bank</w:t>
            </w:r>
          </w:p>
        </w:tc>
        <w:tc>
          <w:tcPr/>
          <w:p>
            <w:pPr>
              <w:pStyle w:val="Compact"/>
            </w:pPr>
            <w:r>
              <w:t xml:space="preserve">Account Data Compromise event</w:t>
            </w:r>
          </w:p>
        </w:tc>
        <w:tc>
          <w:tcPr/>
          <w:p>
            <w:pPr>
              <w:pStyle w:val="Compact"/>
            </w:pPr>
            <w:r>
              <w:t xml:space="preserve">Per scheme contract (typically immediate)</w:t>
            </w:r>
          </w:p>
        </w:tc>
      </w:tr>
    </w:tbl>
    <w:p>
      <w:r>
        <w:pict>
          <v:rect style="width:0;height:1.5pt" o:hralign="center" o:hrstd="t" o:hr="t"/>
        </w:pict>
      </w:r>
    </w:p>
    <w:bookmarkEnd w:id="924"/>
    <w:bookmarkEnd w:id="925"/>
    <w:bookmarkStart w:id="926" w:name="service-credits"/>
    <w:p>
      <w:pPr>
        <w:pStyle w:val="Heading2"/>
      </w:pPr>
      <w:r>
        <w:t xml:space="preserve">7. Service Credits</w:t>
      </w:r>
    </w:p>
    <w:p>
      <w:pPr>
        <w:pStyle w:val="FirstParagraph"/>
      </w:pPr>
      <w:r>
        <w:t xml:space="preserve">If monthly</w:t>
      </w:r>
      <w:r>
        <w:t xml:space="preserve"> </w:t>
      </w:r>
      <w:r>
        <w:rPr>
          <w:b/>
          <w:bCs/>
        </w:rPr>
        <w:t xml:space="preserve">Payment Core Uptime</w:t>
      </w:r>
      <w:r>
        <w:t xml:space="preserve"> </w:t>
      </w:r>
      <w:r>
        <w:t xml:space="preserve">falls below the</w:t>
      </w:r>
      <w:r>
        <w:t xml:space="preserve"> </w:t>
      </w:r>
      <w:r>
        <w:rPr>
          <w:b/>
          <w:bCs/>
        </w:rPr>
        <w:t xml:space="preserve">99.95%</w:t>
      </w:r>
      <w:r>
        <w:t xml:space="preserve"> </w:t>
      </w:r>
      <w:r>
        <w:t xml:space="preserve">target, eligible Merchants receive a credit calculated against that month’s Monthly Service Fee (MSF):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Actual monthly Uptime</w:t>
            </w:r>
          </w:p>
        </w:tc>
        <w:tc>
          <w:tcPr/>
          <w:p>
            <w:pPr>
              <w:pStyle w:val="Compact"/>
            </w:pPr>
            <w:r>
              <w:t xml:space="preserve">Credit (% of that month’s MSF)</w:t>
            </w:r>
          </w:p>
        </w:tc>
      </w:tr>
      <w:tr>
        <w:tc>
          <w:tcPr/>
          <w:p>
            <w:pPr>
              <w:pStyle w:val="Compact"/>
            </w:pPr>
            <w:r>
              <w:t xml:space="preserve">&lt; 99.95% to ≥ 99.90%</w:t>
            </w:r>
          </w:p>
        </w:tc>
        <w:tc>
          <w:tcPr/>
          <w:p>
            <w:pPr>
              <w:pStyle w:val="Compact"/>
            </w:pPr>
            <w:r>
              <w:t xml:space="preserve">5%</w:t>
            </w:r>
          </w:p>
        </w:tc>
      </w:tr>
      <w:tr>
        <w:tc>
          <w:tcPr/>
          <w:p>
            <w:pPr>
              <w:pStyle w:val="Compact"/>
            </w:pPr>
            <w:r>
              <w:t xml:space="preserve">&lt; 99.90% to ≥ 99.50%</w:t>
            </w:r>
          </w:p>
        </w:tc>
        <w:tc>
          <w:tcPr/>
          <w:p>
            <w:pPr>
              <w:pStyle w:val="Compact"/>
            </w:pPr>
            <w:r>
              <w:t xml:space="preserve">10%</w:t>
            </w:r>
          </w:p>
        </w:tc>
      </w:tr>
      <w:tr>
        <w:tc>
          <w:tcPr/>
          <w:p>
            <w:pPr>
              <w:pStyle w:val="Compact"/>
            </w:pPr>
            <w:r>
              <w:t xml:space="preserve">&lt; 99.50% to ≥ 99.00%</w:t>
            </w:r>
          </w:p>
        </w:tc>
        <w:tc>
          <w:tcPr/>
          <w:p>
            <w:pPr>
              <w:pStyle w:val="Compact"/>
            </w:pPr>
            <w:r>
              <w:t xml:space="preserve">25%</w:t>
            </w:r>
          </w:p>
        </w:tc>
      </w:tr>
      <w:tr>
        <w:tc>
          <w:tcPr/>
          <w:p>
            <w:pPr>
              <w:pStyle w:val="Compact"/>
            </w:pPr>
            <w:r>
              <w:t xml:space="preserve">&lt; 99.00%</w:t>
            </w:r>
          </w:p>
        </w:tc>
        <w:tc>
          <w:tcPr/>
          <w:p>
            <w:pPr>
              <w:pStyle w:val="Compact"/>
            </w:pPr>
            <w:r>
              <w:t xml:space="preserve">50%</w:t>
            </w:r>
          </w:p>
        </w:tc>
      </w:tr>
    </w:tbl>
    <w:p>
      <w:pPr>
        <w:pStyle w:val="BodyText"/>
      </w:pPr>
      <w:r>
        <w:rPr>
          <w:b/>
          <w:bCs/>
        </w:rPr>
        <w:t xml:space="preserve">Aggregate cap:</w:t>
      </w:r>
      <w:r>
        <w:t xml:space="preserve"> </w:t>
      </w:r>
      <w:r>
        <w:t xml:space="preserve">total monthly credits shall not exceed</w:t>
      </w:r>
      <w:r>
        <w:t xml:space="preserve"> </w:t>
      </w:r>
      <w:r>
        <w:rPr>
          <w:b/>
          <w:bCs/>
        </w:rPr>
        <w:t xml:space="preserve">50%</w:t>
      </w:r>
      <w:r>
        <w:t xml:space="preserve"> </w:t>
      </w:r>
      <w:r>
        <w:t xml:space="preserve">of that month’s MSF.</w:t>
      </w:r>
    </w:p>
    <w:p>
      <w:pPr>
        <w:pStyle w:val="BodyText"/>
      </w:pPr>
      <w:r>
        <w:rPr>
          <w:b/>
          <w:bCs/>
        </w:rPr>
        <w:t xml:space="preserve">Credit conditions:</w:t>
      </w:r>
      <w:r>
        <w:t xml:space="preserve"> </w:t>
      </w:r>
      <w:r>
        <w:t xml:space="preserve">- The Merchant must submit a claim via the ticketing system within</w:t>
      </w:r>
      <w:r>
        <w:t xml:space="preserve"> </w:t>
      </w:r>
      <w:r>
        <w:rPr>
          <w:b/>
          <w:bCs/>
        </w:rPr>
        <w:t xml:space="preserve">30 days</w:t>
      </w:r>
      <w:r>
        <w:t xml:space="preserve"> </w:t>
      </w:r>
      <w:r>
        <w:t xml:space="preserve">of month-end, with affected transaction IDs / time windows.</w:t>
      </w:r>
      <w:r>
        <w:t xml:space="preserve"> </w:t>
      </w:r>
      <w:r>
        <w:t xml:space="preserve">- Credits are applied as a</w:t>
      </w:r>
      <w:r>
        <w:t xml:space="preserve"> </w:t>
      </w:r>
      <w:r>
        <w:rPr>
          <w:b/>
          <w:bCs/>
        </w:rPr>
        <w:t xml:space="preserve">discount on the next billing cycle</w:t>
      </w:r>
      <w:r>
        <w:t xml:space="preserve"> </w:t>
      </w:r>
      <w:r>
        <w:t xml:space="preserve">only; no cash refund.</w:t>
      </w:r>
      <w:r>
        <w:t xml:space="preserve"> </w:t>
      </w:r>
      <w:r>
        <w:t xml:space="preserve">- Excluded from Downtime: planned maintenance (announced), upstream/out-of-scope causes (§1), Merchant misuse / rate-limit breaches, and force majeure.</w:t>
      </w:r>
      <w:r>
        <w:t xml:space="preserve"> </w:t>
      </w:r>
      <w:r>
        <w:t xml:space="preserve">- Credits are the Merchant’s</w:t>
      </w:r>
      <w:r>
        <w:t xml:space="preserve"> </w:t>
      </w:r>
      <w:r>
        <w:rPr>
          <w:b/>
          <w:bCs/>
        </w:rPr>
        <w:t xml:space="preserve">sole remedy</w:t>
      </w:r>
      <w:r>
        <w:t xml:space="preserve"> </w:t>
      </w:r>
      <w:r>
        <w:t xml:space="preserve">for failure to meet the Uptime target under this SLA.</w:t>
      </w:r>
    </w:p>
    <w:p>
      <w:r>
        <w:pict>
          <v:rect style="width:0;height:1.5pt" o:hralign="center" o:hrstd="t" o:hr="t"/>
        </w:pict>
      </w:r>
    </w:p>
    <w:bookmarkEnd w:id="926"/>
    <w:bookmarkStart w:id="927" w:name="exclusions-and-merchant-responsibilities"/>
    <w:p>
      <w:pPr>
        <w:pStyle w:val="Heading2"/>
      </w:pPr>
      <w:r>
        <w:t xml:space="preserve">8. Exclusions and Merchant Responsibilities</w:t>
      </w:r>
    </w:p>
    <w:p>
      <w:pPr>
        <w:pStyle w:val="Compact"/>
        <w:numPr>
          <w:ilvl w:val="0"/>
          <w:numId w:val="1349"/>
        </w:numPr>
      </w:pPr>
      <w:r>
        <w:t xml:space="preserve">Merchants must correctly configure retry/idempotency (use</w:t>
      </w:r>
      <w:r>
        <w:t xml:space="preserve"> </w:t>
      </w:r>
      <w:r>
        <w:rPr>
          <w:rStyle w:val="VerbatimChar"/>
        </w:rPr>
        <w:t xml:space="preserve">Idempotency-Key</w:t>
      </w:r>
      <w:r>
        <w:t xml:space="preserve"> </w:t>
      </w:r>
      <w:r>
        <w:t xml:space="preserve">per the guide) and consume webhooks at-least-once (idempotent consumer).</w:t>
      </w:r>
    </w:p>
    <w:p>
      <w:pPr>
        <w:pStyle w:val="Compact"/>
        <w:numPr>
          <w:ilvl w:val="0"/>
          <w:numId w:val="1349"/>
        </w:numPr>
      </w:pPr>
      <w:r>
        <w:t xml:space="preserve">Merchants must safeguard API keys and connect over TLS 1.2+.</w:t>
      </w:r>
    </w:p>
    <w:p>
      <w:pPr>
        <w:pStyle w:val="Compact"/>
        <w:numPr>
          <w:ilvl w:val="0"/>
          <w:numId w:val="1349"/>
        </w:numPr>
      </w:pPr>
      <w:r>
        <w:t xml:space="preserve">Merchants must not transmit/store PAN, CVV, PIN, or full track through their own systems (use client-side payment tokens), per the prohibition in</w:t>
      </w:r>
      <w:r>
        <w:t xml:space="preserve"> </w:t>
      </w:r>
      <w:r>
        <w:rPr>
          <w:rStyle w:val="VerbatimChar"/>
        </w:rPr>
        <w:t xml:space="preserve">ARCHITECTURE.md</w:t>
      </w:r>
      <w:r>
        <w:t xml:space="preserve"> </w:t>
      </w:r>
      <w:r>
        <w:t xml:space="preserve">§6.</w:t>
      </w:r>
    </w:p>
    <w:p>
      <w:pPr>
        <w:pStyle w:val="Compact"/>
        <w:numPr>
          <w:ilvl w:val="0"/>
          <w:numId w:val="1349"/>
        </w:numPr>
      </w:pPr>
      <w:r>
        <w:t xml:space="preserve">Non-compliance may forfeit credit eligibility for the related incidents.</w:t>
      </w:r>
    </w:p>
    <w:p>
      <w:r>
        <w:pict>
          <v:rect style="width:0;height:1.5pt" o:hralign="center" o:hrstd="t" o:hr="t"/>
        </w:pict>
      </w:r>
    </w:p>
    <w:bookmarkEnd w:id="927"/>
    <w:bookmarkStart w:id="928" w:name="governance-review-reporting"/>
    <w:p>
      <w:pPr>
        <w:pStyle w:val="Heading2"/>
      </w:pPr>
      <w:r>
        <w:t xml:space="preserve">9. Governance, Review &amp; Reporting</w:t>
      </w:r>
    </w:p>
    <w:p>
      <w:pPr>
        <w:pStyle w:val="Compact"/>
        <w:numPr>
          <w:ilvl w:val="0"/>
          <w:numId w:val="1350"/>
        </w:numPr>
      </w:pPr>
      <w:r>
        <w:rPr>
          <w:b/>
          <w:bCs/>
        </w:rPr>
        <w:t xml:space="preserve">Monthly report:</w:t>
      </w:r>
      <w:r>
        <w:t xml:space="preserve"> </w:t>
      </w:r>
      <w:r>
        <w:t xml:space="preserve">Uptime, latency percentiles, incident summary, and credit status published via the Dashboard.</w:t>
      </w:r>
    </w:p>
    <w:p>
      <w:pPr>
        <w:pStyle w:val="Compact"/>
        <w:numPr>
          <w:ilvl w:val="0"/>
          <w:numId w:val="1350"/>
        </w:numPr>
      </w:pPr>
      <w:r>
        <w:rPr>
          <w:b/>
          <w:bCs/>
        </w:rPr>
        <w:t xml:space="preserve">SLA review:</w:t>
      </w:r>
      <w:r>
        <w:t xml:space="preserve"> </w:t>
      </w:r>
      <w:r>
        <w:t xml:space="preserve">at least annually, or upon change of sponsor bank / architecture / BOT rules.</w:t>
      </w:r>
    </w:p>
    <w:p>
      <w:pPr>
        <w:pStyle w:val="Compact"/>
        <w:numPr>
          <w:ilvl w:val="0"/>
          <w:numId w:val="1350"/>
        </w:numPr>
      </w:pPr>
      <w:r>
        <w:rPr>
          <w:b/>
          <w:bCs/>
        </w:rPr>
        <w:t xml:space="preserve">PCI-DSS v4.0 alignment:</w:t>
      </w:r>
      <w:r>
        <w:t xml:space="preserve"> </w:t>
      </w:r>
      <w:r>
        <w:t xml:space="preserve">log retention (Req 10), incident response (Req 12.10), third-party service provider management (Req 12.8), and testing (quarterly ASV scan, annual penetration test).</w:t>
      </w:r>
    </w:p>
    <w:p>
      <w:pPr>
        <w:pStyle w:val="Compact"/>
        <w:numPr>
          <w:ilvl w:val="0"/>
          <w:numId w:val="1350"/>
        </w:numPr>
      </w:pPr>
      <w:r>
        <w:rPr>
          <w:b/>
          <w:bCs/>
        </w:rPr>
        <w:t xml:space="preserve">Third-party management:</w:t>
      </w:r>
      <w:r>
        <w:t xml:space="preserve"> </w:t>
      </w:r>
      <w:r>
        <w:t xml:space="preserve">contracts with sponsor bank/acquirer, 3DS provider, HSM/KMS, and QSA must carry back-to-back SLAs supporting the commitments above.</w:t>
      </w:r>
    </w:p>
    <w:p>
      <w:r>
        <w:pict>
          <v:rect style="width:0;height:1.5pt" o:hralign="center" o:hrstd="t" o:hr="t"/>
        </w:pict>
      </w:r>
    </w:p>
    <w:bookmarkEnd w:id="928"/>
    <w:bookmarkStart w:id="929" w:name="assumptions-todo-7"/>
    <w:p>
      <w:pPr>
        <w:pStyle w:val="Heading2"/>
      </w:pPr>
      <w:r>
        <w:t xml:space="preserve">10. Assumptions / TODO</w:t>
      </w:r>
    </w:p>
    <w:p>
      <w:pPr>
        <w:pStyle w:val="BlockText"/>
      </w:pPr>
      <w:r>
        <w:rPr>
          <w:b/>
          <w:bCs/>
        </w:rPr>
        <w:t xml:space="preserve">⚠️ Assumptions box — confirm before submission / before this becomes binding:</w:t>
      </w:r>
    </w:p>
    <w:p>
      <w:pPr>
        <w:pStyle w:val="Compact"/>
        <w:numPr>
          <w:ilvl w:val="0"/>
          <w:numId w:val="1351"/>
        </w:numPr>
      </w:pPr>
      <w:r>
        <w:rPr>
          <w:b/>
          <w:bCs/>
        </w:rPr>
        <w:t xml:space="preserve">[TODO] Sponsor bank / acquirer:</w:t>
      </w:r>
      <w:r>
        <w:t xml:space="preserve"> </w:t>
      </w:r>
      <w:r>
        <w:t xml:space="preserve">counterparty not yet finalized — availability/latency figures that include the upstream hop (§3–4) and the Account Data Compromise notification duty (§6) must be aligned to the chosen sponsor bank’s actual SLA.</w:t>
      </w:r>
    </w:p>
    <w:p>
      <w:pPr>
        <w:pStyle w:val="Compact"/>
        <w:numPr>
          <w:ilvl w:val="0"/>
          <w:numId w:val="1351"/>
        </w:numPr>
      </w:pPr>
      <w:r>
        <w:rPr>
          <w:b/>
          <w:bCs/>
        </w:rPr>
        <w:t xml:space="preserve">[TODO] QSA vendor:</w:t>
      </w:r>
      <w:r>
        <w:t xml:space="preserve"> </w:t>
      </w:r>
      <w:r>
        <w:t xml:space="preserve">the PCI-DSS Level 1 assessor is not yet selected — the incident-response/logging framework must pass assessment and cite the resulting RoC.</w:t>
      </w:r>
    </w:p>
    <w:p>
      <w:pPr>
        <w:pStyle w:val="Compact"/>
        <w:numPr>
          <w:ilvl w:val="0"/>
          <w:numId w:val="1351"/>
        </w:numPr>
      </w:pPr>
      <w:r>
        <w:rPr>
          <w:b/>
          <w:bCs/>
        </w:rPr>
        <w:t xml:space="preserve">[TODO] BOT IT/cyber incident reporting rules:</w:t>
      </w:r>
      <w:r>
        <w:t xml:space="preserve"> </w:t>
      </w:r>
      <w:r>
        <w:t xml:space="preserve">the exact notification timeline must reference the latest BOT notification/circular in force at submission — to be verified by licensing counsel.</w:t>
      </w:r>
    </w:p>
    <w:p>
      <w:pPr>
        <w:pStyle w:val="Compact"/>
        <w:numPr>
          <w:ilvl w:val="0"/>
          <w:numId w:val="1351"/>
        </w:numPr>
      </w:pPr>
      <w:r>
        <w:rPr>
          <w:b/>
          <w:bCs/>
        </w:rPr>
        <w:t xml:space="preserve">[TODO] Paid-up registered capital of THB 50M:</w:t>
      </w:r>
      <w:r>
        <w:t xml:space="preserve"> </w:t>
      </w:r>
      <w:r>
        <w:t xml:space="preserve">must be confirmed as fully paid and maintained at ≥ 75% throughout operations (Full Acquiring condition) — the figure herein is for reference only.</w:t>
      </w:r>
    </w:p>
    <w:p>
      <w:pPr>
        <w:pStyle w:val="Compact"/>
        <w:numPr>
          <w:ilvl w:val="0"/>
          <w:numId w:val="1351"/>
        </w:numPr>
      </w:pPr>
      <w:r>
        <w:rPr>
          <w:b/>
          <w:bCs/>
        </w:rPr>
        <w:t xml:space="preserve">[TODO] Monthly Service Fee (MSF) and credit cap:</w:t>
      </w:r>
      <w:r>
        <w:t xml:space="preserve"> </w:t>
      </w:r>
      <w:r>
        <w:t xml:space="preserve">the credit % figures in §7 are defaults and must align with the commercial contract and internal approval before becoming binding.</w:t>
      </w:r>
    </w:p>
    <w:p>
      <w:r>
        <w:br w:type="page"/>
      </w:r>
    </w:p>
    <w:bookmarkEnd w:id="929"/>
    <w:bookmarkEnd w:id="930"/>
    <w:bookmarkStart w:id="958" w:name="X558ca99c32b08fda2359aec1b1e7e0253c9d299"/>
    <w:p>
      <w:pPr>
        <w:pStyle w:val="Heading1"/>
      </w:pPr>
      <w:r>
        <w:t xml:space="preserve">ข้อกำหนดทางเทคนิค Webhook และ Settlement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 พ.ร.บ. ระบบการชำระเงิน พ.ศ. 2560 ต่อธนาคารแห่งประเทศไทย (ธปท.) และเป็นเอกสารประกอบการประเมิน PCI-DSS v4.0 Level 1</w:t>
      </w:r>
    </w:p>
    <w:p>
      <w:pPr>
        <w:pStyle w:val="BlockText"/>
      </w:pPr>
      <w:r>
        <w:t xml:space="preserve">เอกสารเลขที่:</w:t>
      </w:r>
      <w:r>
        <w:t xml:space="preserve"> </w:t>
      </w:r>
      <w:r>
        <w:rPr>
          <w:rStyle w:val="VerbatimChar"/>
        </w:rPr>
        <w:t xml:space="preserve">COMP-27</w:t>
      </w:r>
      <w:r>
        <w:t xml:space="preserve"> </w:t>
      </w:r>
      <w:r>
        <w:t xml:space="preserve">· เวอร์ชัน 1.0 · เจ้าของเอกสาร: Head of Payment Engineering / CTO (ร่วมกับ Settlement &amp; Reconciliation Lead)</w:t>
      </w:r>
      <w:r>
        <w:t xml:space="preserve"> </w:t>
      </w:r>
      <w:r>
        <w:t xml:space="preserve">เอกสารอ้างอิง:</w:t>
      </w:r>
      <w:r>
        <w:t xml:space="preserve"> </w:t>
      </w:r>
      <w:r>
        <w:rPr>
          <w:rStyle w:val="VerbatimChar"/>
        </w:rPr>
        <w:t xml:space="preserve">COMPLIANCE-TH.md</w:t>
      </w:r>
      <w:r>
        <w:t xml:space="preserve">,</w:t>
      </w:r>
      <w:r>
        <w:t xml:space="preserve"> </w:t>
      </w:r>
      <w:r>
        <w:rPr>
          <w:rStyle w:val="VerbatimChar"/>
        </w:rPr>
        <w:t xml:space="preserve">ARCHITECTURE.md</w:t>
      </w:r>
      <w:r>
        <w:t xml:space="preserve"> </w:t>
      </w:r>
      <w:r>
        <w:t xml:space="preserve">(§4, §5, §6, §8),</w:t>
      </w:r>
      <w:r>
        <w:t xml:space="preserve"> </w:t>
      </w:r>
      <w:r>
        <w:rPr>
          <w:rStyle w:val="VerbatimChar"/>
        </w:rPr>
        <w:t xml:space="preserve">ROADMAP.md</w:t>
      </w:r>
      <w:r>
        <w:t xml:space="preserve"> </w:t>
      </w:r>
      <w:r>
        <w:t xml:space="preserve">(Phase 3),</w:t>
      </w:r>
      <w:r>
        <w:t xml:space="preserve"> </w:t>
      </w:r>
      <w:r>
        <w:rPr>
          <w:rStyle w:val="VerbatimChar"/>
        </w:rPr>
        <w:t xml:space="preserve">docs/compliance/13-it-risk-management.md</w:t>
      </w:r>
      <w:r>
        <w:t xml:space="preserve">,</w:t>
      </w:r>
      <w:r>
        <w:t xml:space="preserve"> </w:t>
      </w:r>
      <w:r>
        <w:rPr>
          <w:rStyle w:val="VerbatimChar"/>
        </w:rPr>
        <w:t xml:space="preserve">docs/compliance/16-incident-response-breach.md</w:t>
      </w:r>
      <w:r>
        <w:t xml:space="preserve">,</w:t>
      </w:r>
      <w:r>
        <w:t xml:space="preserve"> </w:t>
      </w:r>
      <w:r>
        <w:rPr>
          <w:rStyle w:val="VerbatimChar"/>
        </w:rPr>
        <w:t xml:space="preserve">docs/compliance/20-network-segmentation-cde.md</w:t>
      </w:r>
    </w:p>
    <w:p>
      <w:pPr>
        <w:pStyle w:val="BlockText"/>
      </w:pPr>
      <w:r>
        <w:rPr>
          <w:b/>
          <w:bCs/>
        </w:rPr>
        <w:t xml:space="preserve">หมายเหตุ:</w:t>
      </w:r>
      <w:r>
        <w:t xml:space="preserve"> </w:t>
      </w:r>
      <w:r>
        <w:t xml:space="preserve">เอกสารนี้เป็นเอกสารเชิงเทคนิค/นโยบายภายใน ไม่ใช่คำแนะนำทางกฎหมาย ต้องผ่านการทบทวนโดยที่ปรึกษากฎหมายและ QSA ก่อนยื่นจริง</w:t>
      </w:r>
    </w:p>
    <w:p>
      <w:r>
        <w:pict>
          <v:rect style="width:0;height:1.5pt" o:hralign="center" o:hrstd="t" o:hr="t"/>
        </w:pict>
      </w:r>
    </w:p>
    <w:p>
      <w:pPr>
        <w:pStyle w:val="Heading3"/>
      </w:pPr>
      <w:bookmarkStart w:id="931" w:name="ขอสมมตและสงทยงตองยนยน-assumptions-todo-3"/>
      <w:r>
        <w:t xml:space="preserve">⚠️ ข้อสมมติและสิ่งที่ยังต้องยืนยัน (Assumptions / TODO)</w:t>
      </w:r>
      <w:bookmarkEnd w:id="931"/>
    </w:p>
    <w:p>
      <w:pPr>
        <w:pStyle w:val="BlockText"/>
      </w:pPr>
      <w:r>
        <w:t xml:space="preserve">รายการต่อไปนี้ยังขึ้นกับคู่สัญญา/ผู้ให้บริการภายนอกที่ยังไม่สรุป — ห้ามถือเป็นข้อเท็จจริงจนกว่าจะยืนยัน:</w:t>
      </w:r>
      <w:r>
        <w:t xml:space="preserve"> </w:t>
      </w:r>
      <w:r>
        <w:t xml:space="preserve">-</w:t>
      </w:r>
      <w:r>
        <w:t xml:space="preserve"> </w:t>
      </w:r>
      <w:r>
        <w:rPr>
          <w:b/>
          <w:bCs/>
        </w:rPr>
        <w:t xml:space="preserve">[TODO — Sponsor Bank / Acquirer]</w:t>
      </w:r>
      <w:r>
        <w:t xml:space="preserve"> </w:t>
      </w:r>
      <w:r>
        <w:t xml:space="preserve">ยังไม่ลงนามธนาคารผู้รับเชื่อม (sponsoring bank) และ card scheme (Visa/Mastercard) —</w:t>
      </w:r>
      <w:r>
        <w:t xml:space="preserve"> </w:t>
      </w:r>
      <w:r>
        <w:rPr>
          <w:b/>
          <w:bCs/>
        </w:rPr>
        <w:t xml:space="preserve">รอบเวลา settlement จริง (settlement window/cut-off), สกุลเงิน settlement, ค่าธรรมเนียม interchange/scheme fee, รูปแบบไฟล์กระทบยอด (clearing/settlement file เช่น Visa TC33/VSS หรือ Mastercard IPM/T112) และ T+n ที่แท้จริง</w:t>
      </w:r>
      <w:r>
        <w:t xml:space="preserve"> </w:t>
      </w:r>
      <w:r>
        <w:t xml:space="preserve">จะกำหนดได้หลังลงนามและผ่าน scheme certification เท่านั้น ค่าที่ระบุในเอกสารนี้เป็น</w:t>
      </w:r>
      <w:r>
        <w:t xml:space="preserve"> </w:t>
      </w:r>
      <w:r>
        <w:rPr>
          <w:b/>
          <w:bCs/>
        </w:rPr>
        <w:t xml:space="preserve">ค่าตั้งต้นเชิงออกแบบ (design default)</w:t>
      </w:r>
      <w:r>
        <w:t xml:space="preserve"> </w:t>
      </w:r>
      <w:r>
        <w:t xml:space="preserve">-</w:t>
      </w:r>
      <w:r>
        <w:t xml:space="preserve"> </w:t>
      </w:r>
      <w:r>
        <w:rPr>
          <w:b/>
          <w:bCs/>
        </w:rPr>
        <w:t xml:space="preserve">[TODO — Local Rails / ITMX]</w:t>
      </w:r>
      <w:r>
        <w:t xml:space="preserve"> </w:t>
      </w:r>
      <w:r>
        <w:t xml:space="preserve">หากใช้ local settlement rails (เช่น ITMX สำหรับบัตรในประเทศ) รอบหักบัญชีและ cut-off ต้องยืนยันกับผู้ให้บริการ switching</w:t>
      </w:r>
      <w:r>
        <w:t xml:space="preserve"> </w:t>
      </w:r>
      <w:r>
        <w:t xml:space="preserve">-</w:t>
      </w:r>
      <w:r>
        <w:t xml:space="preserve"> </w:t>
      </w:r>
      <w:r>
        <w:rPr>
          <w:b/>
          <w:bCs/>
        </w:rPr>
        <w:t xml:space="preserve">[TODO — QSA / ASV]</w:t>
      </w:r>
      <w:r>
        <w:t xml:space="preserve"> </w:t>
      </w:r>
      <w:r>
        <w:t xml:space="preserve">ยังไม่เลือกผู้ประเมิน PCI-DSS (QSA) — การรับรอง webhook payload ว่าไม่มี CHD/SAD และการควบคุม key management ต้องผ่านการทบทวนโดย QSA</w:t>
      </w:r>
      <w:r>
        <w:t xml:space="preserve"> </w:t>
      </w:r>
      <w:r>
        <w:t xml:space="preserve">-</w:t>
      </w:r>
      <w:r>
        <w:t xml:space="preserve"> </w:t>
      </w:r>
      <w:r>
        <w:rPr>
          <w:b/>
          <w:bCs/>
        </w:rPr>
        <w:t xml:space="preserve">[TODO — ทุนจดทะเบียน]</w:t>
      </w:r>
      <w:r>
        <w:t xml:space="preserve"> </w:t>
      </w:r>
      <w:r>
        <w:t xml:space="preserve">ทุนจดทะเบียนชำระแล้วเป้าหมาย</w:t>
      </w:r>
      <w:r>
        <w:t xml:space="preserve"> </w:t>
      </w:r>
      <w:r>
        <w:rPr>
          <w:b/>
          <w:bCs/>
        </w:rPr>
        <w:t xml:space="preserve">50 ล้านบาท</w:t>
      </w:r>
      <w:r>
        <w:t xml:space="preserve"> </w:t>
      </w:r>
      <w:r>
        <w:t xml:space="preserve">(Full Acquiring) — ต้องยืนยันจำนวนที่ชำระจริงและรักษาไว้ ≥ 75% ตลอดการดำเนินงาน</w:t>
      </w:r>
      <w:r>
        <w:t xml:space="preserve"> </w:t>
      </w:r>
      <w:r>
        <w:t xml:space="preserve">-</w:t>
      </w:r>
      <w:r>
        <w:t xml:space="preserve"> </w:t>
      </w:r>
      <w:r>
        <w:rPr>
          <w:b/>
          <w:bCs/>
        </w:rPr>
        <w:t xml:space="preserve">[TODO — ชื่อบริษัท / โดเมนจริง]</w:t>
      </w:r>
      <w:r>
        <w:t xml:space="preserve"> </w:t>
      </w:r>
      <w:r>
        <w:t xml:space="preserve">ชื่อ</w:t>
      </w:r>
      <w:r>
        <w:t xml:space="preserve"> </w:t>
      </w:r>
      <w:r>
        <w:rPr>
          <w:rStyle w:val="VerbatimChar"/>
        </w:rPr>
        <w:t xml:space="preserve">[บริษัท / Company]</w:t>
      </w:r>
      <w:r>
        <w:t xml:space="preserve">, โดเมน webhook (</w:t>
      </w:r>
      <w:r>
        <w:rPr>
          <w:rStyle w:val="VerbatimChar"/>
        </w:rPr>
        <w:t xml:space="preserve">https://webhook.[company].example</w:t>
      </w:r>
      <w:r>
        <w:t xml:space="preserve"> </w:t>
      </w:r>
      <w:r>
        <w:t xml:space="preserve">ในตัวอย่าง), และค่า threshold ปฏิบัติงานจริง ต้องเติมค่าจริงก่อนยื่นและก่อนการประเมิน on-site</w:t>
      </w:r>
    </w:p>
    <w:p>
      <w:r>
        <w:pict>
          <v:rect style="width:0;height:1.5pt" o:hralign="center" o:hrstd="t" o:hr="t"/>
        </w:pict>
      </w:r>
    </w:p>
    <w:bookmarkStart w:id="932" w:name="วตถประสงคและขอบเขต-10"/>
    <w:p>
      <w:pPr>
        <w:pStyle w:val="Heading2"/>
      </w:pPr>
      <w:r>
        <w:t xml:space="preserve">1. วัตถุประสงค์และขอบเขต</w:t>
      </w:r>
    </w:p>
    <w:p>
      <w:pPr>
        <w:pStyle w:val="FirstParagraph"/>
      </w:pPr>
      <w:r>
        <w:t xml:space="preserve">เอกสารนี้กำหนดข้อกำหนดทางเทคนิคของ (ก) การลงลายเซ็น webhook ด้วย</w:t>
      </w:r>
      <w:r>
        <w:t xml:space="preserve"> </w:t>
      </w:r>
      <w:r>
        <w:rPr>
          <w:b/>
          <w:bCs/>
        </w:rPr>
        <w:t xml:space="preserve">HMAC-SHA256</w:t>
      </w:r>
      <w:r>
        <w:t xml:space="preserve">, (ข) นโยบายการส่งซ้ำ (retry policy), (ค) ตารางการชำระบัญชีให้ร้านค้า (settlement schedule แบบ T+n) และ (ง) การกระทบยอด (reconciliation) ของ</w:t>
      </w:r>
      <w:r>
        <w:t xml:space="preserve"> </w:t>
      </w:r>
      <w:r>
        <w:rPr>
          <w:rStyle w:val="VerbatimChar"/>
        </w:rPr>
        <w:t xml:space="preserve">[บริษัท / Company]</w:t>
      </w:r>
      <w:r>
        <w:t xml:space="preserve"> </w:t>
      </w:r>
      <w:r>
        <w:t xml:space="preserve">เพื่อรองรับข้อกำหนดด้าน</w:t>
      </w:r>
      <w:r>
        <w:t xml:space="preserve"> </w:t>
      </w:r>
      <w:r>
        <w:rPr>
          <w:b/>
          <w:bCs/>
        </w:rPr>
        <w:t xml:space="preserve">ความถูกต้องครบถ้วนของธุรกรรม (transaction integrity)</w:t>
      </w:r>
      <w:r>
        <w:t xml:space="preserve">,</w:t>
      </w:r>
      <w:r>
        <w:t xml:space="preserve"> </w:t>
      </w:r>
      <w:r>
        <w:rPr>
          <w:b/>
          <w:bCs/>
        </w:rPr>
        <w:t xml:space="preserve">audit trail</w:t>
      </w:r>
      <w:r>
        <w:t xml:space="preserve"> </w:t>
      </w:r>
      <w:r>
        <w:t xml:space="preserve">ตามประกาศ ธปท. และ</w:t>
      </w:r>
      <w:r>
        <w:t xml:space="preserve"> </w:t>
      </w:r>
      <w:r>
        <w:rPr>
          <w:b/>
          <w:bCs/>
        </w:rPr>
        <w:t xml:space="preserve">PCI-DSS v4.0</w:t>
      </w:r>
      <w:r>
        <w:t xml:space="preserve"> </w:t>
      </w:r>
      <w:r>
        <w:t xml:space="preserve">(Req 4 การเข้ารหัสข้อมูลระหว่างส่ง, Req 10 การบันทึกและตรวจสอบ)</w:t>
      </w:r>
    </w:p>
    <w:p>
      <w:pPr>
        <w:pStyle w:val="BodyText"/>
      </w:pPr>
      <w:r>
        <w:t xml:space="preserve">หลักการที่นำมาจาก</w:t>
      </w:r>
      <w:r>
        <w:t xml:space="preserve"> </w:t>
      </w:r>
      <w:r>
        <w:rPr>
          <w:rStyle w:val="VerbatimChar"/>
        </w:rPr>
        <w:t xml:space="preserve">ARCHITECTURE.md</w:t>
      </w:r>
      <w:r>
        <w:t xml:space="preserve">:</w:t>
      </w:r>
      <w:r>
        <w:t xml:space="preserve"> </w:t>
      </w:r>
      <w:r>
        <w:t xml:space="preserve">-</w:t>
      </w:r>
      <w:r>
        <w:t xml:space="preserve"> </w:t>
      </w:r>
      <w:r>
        <w:rPr>
          <w:b/>
          <w:bCs/>
        </w:rPr>
        <w:t xml:space="preserve">Ledger แบบ append-only (double-entry)</w:t>
      </w:r>
      <w:r>
        <w:t xml:space="preserve"> </w:t>
      </w:r>
      <w:r>
        <w:t xml:space="preserve">เป็น source of truth สำหรับ settlement และ reconciliation (§2, §6)</w:t>
      </w:r>
      <w:r>
        <w:t xml:space="preserve"> </w:t>
      </w:r>
      <w:r>
        <w:t xml:space="preserve">-</w:t>
      </w:r>
      <w:r>
        <w:t xml:space="preserve"> </w:t>
      </w:r>
      <w:r>
        <w:rPr>
          <w:b/>
          <w:bCs/>
        </w:rPr>
        <w:t xml:space="preserve">Idempotency</w:t>
      </w:r>
      <w:r>
        <w:t xml:space="preserve"> </w:t>
      </w:r>
      <w:r>
        <w:t xml:space="preserve">ทุก endpoint ที่ขยับเงิน (§2)</w:t>
      </w:r>
      <w:r>
        <w:t xml:space="preserve"> </w:t>
      </w:r>
      <w:r>
        <w:t xml:space="preserve">-</w:t>
      </w:r>
      <w:r>
        <w:t xml:space="preserve"> </w:t>
      </w:r>
      <w:r>
        <w:rPr>
          <w:b/>
          <w:bCs/>
        </w:rPr>
        <w:t xml:space="preserve">Webhook แบบ at-least-once + retry + ลงลายเซ็น</w:t>
      </w:r>
      <w:r>
        <w:t xml:space="preserve"> </w:t>
      </w:r>
      <w:r>
        <w:t xml:space="preserve">(§4)</w:t>
      </w:r>
      <w:r>
        <w:t xml:space="preserve"> </w:t>
      </w:r>
      <w:r>
        <w:t xml:space="preserve">-</w:t>
      </w:r>
      <w:r>
        <w:t xml:space="preserve"> </w:t>
      </w:r>
      <w:r>
        <w:rPr>
          <w:b/>
          <w:bCs/>
        </w:rPr>
        <w:t xml:space="preserve">Fail closed</w:t>
      </w:r>
      <w:r>
        <w:t xml:space="preserve"> </w:t>
      </w:r>
      <w:r>
        <w:t xml:space="preserve">— เมื่อไม่แน่ใจสถานะให้ถือว่ายังไม่สำเร็จ และ reconcile ภายหลัง (§2)</w:t>
      </w:r>
      <w:r>
        <w:t xml:space="preserve"> </w:t>
      </w:r>
      <w:r>
        <w:t xml:space="preserve">-</w:t>
      </w:r>
      <w:r>
        <w:t xml:space="preserve"> </w:t>
      </w:r>
      <w:r>
        <w:rPr>
          <w:b/>
          <w:bCs/>
        </w:rPr>
        <w:t xml:space="preserve">ห้ามมี CHD/SAD ใน payload</w:t>
      </w:r>
      <w:r>
        <w:t xml:space="preserve"> </w:t>
      </w:r>
      <w:r>
        <w:t xml:space="preserve">— webhook เห็นได้เพียง</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w:t>
      </w:r>
      <w:r>
        <w:t xml:space="preserve">(§6)</w:t>
      </w:r>
    </w:p>
    <w:p>
      <w:r>
        <w:pict>
          <v:rect style="width:0;height:1.5pt" o:hralign="center" o:hrstd="t" o:hr="t"/>
        </w:pict>
      </w:r>
    </w:p>
    <w:bookmarkEnd w:id="932"/>
    <w:bookmarkStart w:id="939" w:name="การลงลายเซน-webhook-hmac-sha256"/>
    <w:p>
      <w:pPr>
        <w:pStyle w:val="Heading2"/>
      </w:pPr>
      <w:r>
        <w:t xml:space="preserve">2. การลงลายเซ็น Webhook (HMAC-SHA256)</w:t>
      </w:r>
    </w:p>
    <w:bookmarkStart w:id="933" w:name="หลกการ-3"/>
    <w:p>
      <w:pPr>
        <w:pStyle w:val="Heading3"/>
      </w:pPr>
      <w:r>
        <w:t xml:space="preserve">2.1 หลักการ</w:t>
      </w:r>
    </w:p>
    <w:p>
      <w:pPr>
        <w:pStyle w:val="FirstParagraph"/>
      </w:pPr>
      <w:r>
        <w:t xml:space="preserve">ทุก webhook ที่</w:t>
      </w:r>
      <w:r>
        <w:t xml:space="preserve"> </w:t>
      </w:r>
      <w:r>
        <w:rPr>
          <w:rStyle w:val="VerbatimChar"/>
        </w:rPr>
        <w:t xml:space="preserve">[บริษัท / Company]</w:t>
      </w:r>
      <w:r>
        <w:t xml:space="preserve"> </w:t>
      </w:r>
      <w:r>
        <w:t xml:space="preserve">ส่งไปยัง endpoint ของร้านค้า ต้องลงลายเซ็นด้วย</w:t>
      </w:r>
      <w:r>
        <w:t xml:space="preserve"> </w:t>
      </w:r>
      <w:r>
        <w:rPr>
          <w:b/>
          <w:bCs/>
        </w:rPr>
        <w:t xml:space="preserve">HMAC-SHA256</w:t>
      </w:r>
      <w:r>
        <w:t xml:space="preserve"> </w:t>
      </w:r>
      <w:r>
        <w:t xml:space="preserve">โดยใช้</w:t>
      </w:r>
      <w:r>
        <w:t xml:space="preserve"> </w:t>
      </w:r>
      <w:r>
        <w:rPr>
          <w:b/>
          <w:bCs/>
        </w:rPr>
        <w:t xml:space="preserve">webhook signing secret</w:t>
      </w:r>
      <w:r>
        <w:t xml:space="preserve"> </w:t>
      </w:r>
      <w:r>
        <w:t xml:space="preserve">เฉพาะร้านค้า (per-merchant) เพื่อให้ร้านค้ายืนยันได้ว่า (ก) ข้อความมาจาก gateway จริง (authenticity) และ (ข) ไม่ถูกแก้ไขระหว่างทาง (integrity)</w:t>
      </w:r>
    </w:p>
    <w:bookmarkEnd w:id="933"/>
    <w:bookmarkStart w:id="934" w:name="การประกอบขอความทใชเซน-signed-payload"/>
    <w:p>
      <w:pPr>
        <w:pStyle w:val="Heading3"/>
      </w:pPr>
      <w:r>
        <w:t xml:space="preserve">2.2 การประกอบข้อความที่ใช้เซ็น (signed payload)</w:t>
      </w:r>
    </w:p>
    <w:p>
      <w:pPr>
        <w:pStyle w:val="SourceCode"/>
      </w:pPr>
      <w:r>
        <w:rPr>
          <w:rStyle w:val="VerbatimChar"/>
        </w:rPr>
        <w:t xml:space="preserve">signed_payload = timestamp + "." + raw_request_body</w:t>
      </w:r>
      <w:r>
        <w:br/>
      </w:r>
      <w:r>
        <w:rPr>
          <w:rStyle w:val="VerbatimChar"/>
        </w:rPr>
        <w:t xml:space="preserve">signature      = hex( HMAC_SHA256(signing_secret, signed_payload) )</w:t>
      </w:r>
    </w:p>
    <w:p>
      <w:pPr>
        <w:pStyle w:val="Compact"/>
        <w:numPr>
          <w:ilvl w:val="0"/>
          <w:numId w:val="1352"/>
        </w:numPr>
      </w:pPr>
      <w:r>
        <w:rPr>
          <w:rStyle w:val="VerbatimChar"/>
        </w:rPr>
        <w:t xml:space="preserve">timestamp</w:t>
      </w:r>
      <w:r>
        <w:t xml:space="preserve"> </w:t>
      </w:r>
      <w:r>
        <w:t xml:space="preserve">= Unix epoch (วินาที) ณ เวลาสร้างลายเซ็น</w:t>
      </w:r>
    </w:p>
    <w:p>
      <w:pPr>
        <w:pStyle w:val="Compact"/>
        <w:numPr>
          <w:ilvl w:val="0"/>
          <w:numId w:val="1352"/>
        </w:numPr>
      </w:pPr>
      <w:r>
        <w:rPr>
          <w:rStyle w:val="VerbatimChar"/>
        </w:rPr>
        <w:t xml:space="preserve">raw_request_body</w:t>
      </w:r>
      <w:r>
        <w:t xml:space="preserve"> </w:t>
      </w:r>
      <w:r>
        <w:t xml:space="preserve">= ไบต์ดิบของ JSON body (ต้องเซ็นและตรวจจากไบต์ดิบ ห้าม re-serialize)</w:t>
      </w:r>
    </w:p>
    <w:bookmarkEnd w:id="934"/>
    <w:bookmarkStart w:id="935" w:name="http-headers-ทสงไปกบทก-webhook"/>
    <w:p>
      <w:pPr>
        <w:pStyle w:val="Heading3"/>
      </w:pPr>
      <w:r>
        <w:t xml:space="preserve">2.3 HTTP headers ที่ส่งไปกับทุก webhook</w:t>
      </w:r>
    </w:p>
    <w:tbl>
      <w:tblPr>
        <w:tblStyle w:val="Table"/>
        <w:tblW w:type="pct" w:w="5000"/>
        <w:tblLayout w:type="fixed"/>
        <w:tblLook w:firstRow="1" w:lastRow="0" w:firstColumn="0" w:lastColumn="0" w:noHBand="0" w:noVBand="0" w:val="0020"/>
      </w:tblPr>
      <w:tblGrid>
        <w:gridCol w:w="2043"/>
        <w:gridCol w:w="3321"/>
        <w:gridCol w:w="2554"/>
      </w:tblGrid>
      <w:tr>
        <w:trPr>
          <w:tblHeader w:val="on"/>
        </w:trPr>
        <w:tc>
          <w:tcPr/>
          <w:p>
            <w:pPr>
              <w:pStyle w:val="Compact"/>
            </w:pPr>
            <w:r>
              <w:t xml:space="preserve">Header</w:t>
            </w:r>
          </w:p>
        </w:tc>
        <w:tc>
          <w:tcPr/>
          <w:p>
            <w:pPr>
              <w:pStyle w:val="Compact"/>
            </w:pPr>
            <w:r>
              <w:t xml:space="preserve">ตัวอย่างค่า</w:t>
            </w:r>
          </w:p>
        </w:tc>
        <w:tc>
          <w:tcPr/>
          <w:p>
            <w:pPr>
              <w:pStyle w:val="Compact"/>
            </w:pPr>
            <w:r>
              <w:t xml:space="preserve">ความหมาย</w:t>
            </w:r>
          </w:p>
        </w:tc>
      </w:tr>
      <w:tr>
        <w:tc>
          <w:tcPr/>
          <w:p>
            <w:pPr>
              <w:pStyle w:val="Compact"/>
            </w:pPr>
            <w:r>
              <w:rPr>
                <w:rStyle w:val="VerbatimChar"/>
              </w:rPr>
              <w:t xml:space="preserve">Webhook-Id</w:t>
            </w:r>
          </w:p>
        </w:tc>
        <w:tc>
          <w:tcPr/>
          <w:p>
            <w:pPr>
              <w:pStyle w:val="Compact"/>
            </w:pPr>
            <w:r>
              <w:rPr>
                <w:rStyle w:val="VerbatimChar"/>
              </w:rPr>
              <w:t xml:space="preserve">evt_01HZX...</w:t>
            </w:r>
          </w:p>
        </w:tc>
        <w:tc>
          <w:tcPr/>
          <w:p>
            <w:pPr>
              <w:pStyle w:val="Compact"/>
            </w:pPr>
            <w:r>
              <w:t xml:space="preserve">รหัส event ไม่ซ้ำ (ใช้ทำ idempotency ฝั่งผู้รับ)</w:t>
            </w:r>
          </w:p>
        </w:tc>
      </w:tr>
      <w:tr>
        <w:tc>
          <w:tcPr/>
          <w:p>
            <w:pPr>
              <w:pStyle w:val="Compact"/>
            </w:pPr>
            <w:r>
              <w:rPr>
                <w:rStyle w:val="VerbatimChar"/>
              </w:rPr>
              <w:t xml:space="preserve">Webhook-Timestamp</w:t>
            </w:r>
          </w:p>
        </w:tc>
        <w:tc>
          <w:tcPr/>
          <w:p>
            <w:pPr>
              <w:pStyle w:val="Compact"/>
            </w:pPr>
            <w:r>
              <w:rPr>
                <w:rStyle w:val="VerbatimChar"/>
              </w:rPr>
              <w:t xml:space="preserve">1753142400</w:t>
            </w:r>
          </w:p>
        </w:tc>
        <w:tc>
          <w:tcPr/>
          <w:p>
            <w:pPr>
              <w:pStyle w:val="Compact"/>
            </w:pPr>
            <w:r>
              <w:t xml:space="preserve">Unix epoch วินาที ใช้ตรวจ replay</w:t>
            </w:r>
          </w:p>
        </w:tc>
      </w:tr>
      <w:tr>
        <w:tc>
          <w:tcPr/>
          <w:p>
            <w:pPr>
              <w:pStyle w:val="Compact"/>
            </w:pPr>
            <w:r>
              <w:rPr>
                <w:rStyle w:val="VerbatimChar"/>
              </w:rPr>
              <w:t xml:space="preserve">Webhook-Signature</w:t>
            </w:r>
          </w:p>
        </w:tc>
        <w:tc>
          <w:tcPr/>
          <w:p>
            <w:pPr>
              <w:pStyle w:val="Compact"/>
            </w:pPr>
            <w:r>
              <w:rPr>
                <w:rStyle w:val="VerbatimChar"/>
              </w:rPr>
              <w:t xml:space="preserve">v1=9f86d0...</w:t>
            </w:r>
          </w:p>
        </w:tc>
        <w:tc>
          <w:tcPr/>
          <w:p>
            <w:pPr>
              <w:pStyle w:val="Compact"/>
            </w:pPr>
            <w:r>
              <w:t xml:space="preserve">ลายเซ็น HMAC-SHA256 (รองรับหลายเวอร์ชันคั่นด้วยช่องว่าง เช่น</w:t>
            </w:r>
            <w:r>
              <w:t xml:space="preserve"> </w:t>
            </w:r>
            <w:r>
              <w:rPr>
                <w:rStyle w:val="VerbatimChar"/>
              </w:rPr>
              <w:t xml:space="preserve">v1=... v1=...</w:t>
            </w:r>
            <w:r>
              <w:t xml:space="preserve"> </w:t>
            </w:r>
            <w:r>
              <w:t xml:space="preserve">ระหว่าง key rotation)</w:t>
            </w:r>
          </w:p>
        </w:tc>
      </w:tr>
      <w:tr>
        <w:tc>
          <w:tcPr/>
          <w:p>
            <w:pPr>
              <w:pStyle w:val="Compact"/>
            </w:pPr>
            <w:r>
              <w:rPr>
                <w:rStyle w:val="VerbatimChar"/>
              </w:rPr>
              <w:t xml:space="preserve">Content-Type</w:t>
            </w:r>
          </w:p>
        </w:tc>
        <w:tc>
          <w:tcPr/>
          <w:p>
            <w:pPr>
              <w:pStyle w:val="Compact"/>
            </w:pPr>
            <w:r>
              <w:rPr>
                <w:rStyle w:val="VerbatimChar"/>
              </w:rPr>
              <w:t xml:space="preserve">application/json</w:t>
            </w:r>
          </w:p>
        </w:tc>
        <w:tc>
          <w:tcPr/>
          <w:p>
            <w:pPr>
              <w:pStyle w:val="Compact"/>
            </w:pPr>
          </w:p>
        </w:tc>
      </w:tr>
      <w:tr>
        <w:tc>
          <w:tcPr/>
          <w:p>
            <w:pPr>
              <w:pStyle w:val="Compact"/>
            </w:pPr>
            <w:r>
              <w:rPr>
                <w:rStyle w:val="VerbatimChar"/>
              </w:rPr>
              <w:t xml:space="preserve">User-Agent</w:t>
            </w:r>
          </w:p>
        </w:tc>
        <w:tc>
          <w:tcPr/>
          <w:p>
            <w:pPr>
              <w:pStyle w:val="Compact"/>
            </w:pPr>
            <w:r>
              <w:rPr>
                <w:rStyle w:val="VerbatimChar"/>
              </w:rPr>
              <w:t xml:space="preserve">[Company]-Webhook/1.0</w:t>
            </w:r>
          </w:p>
        </w:tc>
        <w:tc>
          <w:tcPr/>
          <w:p>
            <w:pPr>
              <w:pStyle w:val="Compact"/>
            </w:pPr>
          </w:p>
        </w:tc>
      </w:tr>
    </w:tbl>
    <w:bookmarkEnd w:id="935"/>
    <w:bookmarkStart w:id="936" w:name="Xbaec9ea521b8055197f64a0ac9406c93b0ba032"/>
    <w:p>
      <w:pPr>
        <w:pStyle w:val="Heading3"/>
      </w:pPr>
      <w:r>
        <w:t xml:space="preserve">2.4 ขั้นตอนการตรวจสอบฝั่งร้านค้า (ต้องระบุในเอกสาร integration)</w:t>
      </w:r>
    </w:p>
    <w:p>
      <w:pPr>
        <w:pStyle w:val="Compact"/>
        <w:numPr>
          <w:ilvl w:val="0"/>
          <w:numId w:val="1353"/>
        </w:numPr>
      </w:pPr>
      <w:r>
        <w:t xml:space="preserve">อ่าน</w:t>
      </w:r>
      <w:r>
        <w:t xml:space="preserve"> </w:t>
      </w:r>
      <w:r>
        <w:rPr>
          <w:rStyle w:val="VerbatimChar"/>
        </w:rPr>
        <w:t xml:space="preserve">Webhook-Timestamp</w:t>
      </w:r>
      <w:r>
        <w:t xml:space="preserve"> </w:t>
      </w:r>
      <w:r>
        <w:t xml:space="preserve">และเทียบกับเวลาปัจจุบัน —</w:t>
      </w:r>
      <w:r>
        <w:t xml:space="preserve"> </w:t>
      </w:r>
      <w:r>
        <w:rPr>
          <w:b/>
          <w:bCs/>
        </w:rPr>
        <w:t xml:space="preserve">ปฏิเสธถ้าเกิน ±5 นาที (300 วินาที)</w:t>
      </w:r>
      <w:r>
        <w:t xml:space="preserve"> </w:t>
      </w:r>
      <w:r>
        <w:t xml:space="preserve">เพื่อกัน replay attack</w:t>
      </w:r>
    </w:p>
    <w:p>
      <w:pPr>
        <w:pStyle w:val="Compact"/>
        <w:numPr>
          <w:ilvl w:val="0"/>
          <w:numId w:val="1353"/>
        </w:numPr>
      </w:pPr>
      <w:r>
        <w:t xml:space="preserve">คำนวณ</w:t>
      </w:r>
      <w:r>
        <w:t xml:space="preserve"> </w:t>
      </w:r>
      <w:r>
        <w:rPr>
          <w:rStyle w:val="VerbatimChar"/>
        </w:rPr>
        <w:t xml:space="preserve">HMAC_SHA256(signing_secret, timestamp + "." + raw_body)</w:t>
      </w:r>
      <w:r>
        <w:t xml:space="preserve"> </w:t>
      </w:r>
      <w:r>
        <w:t xml:space="preserve">ด้วย raw body</w:t>
      </w:r>
    </w:p>
    <w:p>
      <w:pPr>
        <w:pStyle w:val="Compact"/>
        <w:numPr>
          <w:ilvl w:val="0"/>
          <w:numId w:val="1353"/>
        </w:numPr>
      </w:pPr>
      <w:r>
        <w:t xml:space="preserve">เปรียบเทียบกับค่าใน</w:t>
      </w:r>
      <w:r>
        <w:t xml:space="preserve"> </w:t>
      </w:r>
      <w:r>
        <w:rPr>
          <w:rStyle w:val="VerbatimChar"/>
        </w:rPr>
        <w:t xml:space="preserve">Webhook-Signature</w:t>
      </w:r>
      <w:r>
        <w:t xml:space="preserve"> </w:t>
      </w:r>
      <w:r>
        <w:t xml:space="preserve">แบบ</w:t>
      </w:r>
      <w:r>
        <w:t xml:space="preserve"> </w:t>
      </w:r>
      <w:r>
        <w:rPr>
          <w:b/>
          <w:bCs/>
        </w:rPr>
        <w:t xml:space="preserve">constant-time compare</w:t>
      </w:r>
      <w:r>
        <w:t xml:space="preserve"> </w:t>
      </w:r>
      <w:r>
        <w:t xml:space="preserve">(กัน timing attack)</w:t>
      </w:r>
    </w:p>
    <w:p>
      <w:pPr>
        <w:pStyle w:val="Compact"/>
        <w:numPr>
          <w:ilvl w:val="0"/>
          <w:numId w:val="1353"/>
        </w:numPr>
      </w:pPr>
      <w:r>
        <w:t xml:space="preserve">ตรวจ</w:t>
      </w:r>
      <w:r>
        <w:t xml:space="preserve"> </w:t>
      </w:r>
      <w:r>
        <w:rPr>
          <w:rStyle w:val="VerbatimChar"/>
        </w:rPr>
        <w:t xml:space="preserve">Webhook-Id</w:t>
      </w:r>
      <w:r>
        <w:t xml:space="preserve"> </w:t>
      </w:r>
      <w:r>
        <w:t xml:space="preserve">กับที่เคยประมวลผล — ถ้าซ้ำให้ตอบ</w:t>
      </w:r>
      <w:r>
        <w:t xml:space="preserve"> </w:t>
      </w:r>
      <w:r>
        <w:rPr>
          <w:rStyle w:val="VerbatimChar"/>
        </w:rPr>
        <w:t xml:space="preserve">200</w:t>
      </w:r>
      <w:r>
        <w:t xml:space="preserve"> </w:t>
      </w:r>
      <w:r>
        <w:t xml:space="preserve">แล้วหยุด (idempotent)</w:t>
      </w:r>
    </w:p>
    <w:bookmarkEnd w:id="936"/>
    <w:bookmarkStart w:id="937" w:name="การจดการ-signing-secret-และ-key-rotation"/>
    <w:p>
      <w:pPr>
        <w:pStyle w:val="Heading3"/>
      </w:pPr>
      <w:r>
        <w:t xml:space="preserve">2.5 การจัดการ signing secret และ key rotation</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ประเด็น</w:t>
            </w:r>
          </w:p>
        </w:tc>
        <w:tc>
          <w:tcPr/>
          <w:p>
            <w:pPr>
              <w:pStyle w:val="Compact"/>
            </w:pPr>
            <w:r>
              <w:t xml:space="preserve">นโยบาย</w:t>
            </w:r>
          </w:p>
        </w:tc>
      </w:tr>
      <w:tr>
        <w:tc>
          <w:tcPr/>
          <w:p>
            <w:pPr>
              <w:pStyle w:val="Compact"/>
            </w:pPr>
            <w:r>
              <w:t xml:space="preserve">การสร้าง</w:t>
            </w:r>
          </w:p>
        </w:tc>
        <w:tc>
          <w:tcPr/>
          <w:p>
            <w:pPr>
              <w:pStyle w:val="Compact"/>
            </w:pPr>
            <w:r>
              <w:t xml:space="preserve">สุ่มด้วย CSPRNG ความยาว ≥ 256-bit ต่อร้านค้า (per-merchant, per-endpoint)</w:t>
            </w:r>
          </w:p>
        </w:tc>
      </w:tr>
      <w:tr>
        <w:tc>
          <w:tcPr/>
          <w:p>
            <w:pPr>
              <w:pStyle w:val="Compact"/>
            </w:pPr>
            <w:r>
              <w:t xml:space="preserve">การจัดเก็บ</w:t>
            </w:r>
          </w:p>
        </w:tc>
        <w:tc>
          <w:tcPr/>
          <w:p>
            <w:pPr>
              <w:pStyle w:val="Compact"/>
            </w:pPr>
            <w:r>
              <w:t xml:space="preserve">เก็บแบบเข้ารหัส (envelope encryption ด้วย KMS) — ไม่เก็บ plaintext; แสดงเต็มครั้งเดียวตอนสร้างเท่านั้น</w:t>
            </w:r>
          </w:p>
        </w:tc>
      </w:tr>
      <w:tr>
        <w:tc>
          <w:tcPr/>
          <w:p>
            <w:pPr>
              <w:pStyle w:val="Compact"/>
            </w:pPr>
            <w:r>
              <w:t xml:space="preserve">การหมุนคีย์</w:t>
            </w:r>
          </w:p>
        </w:tc>
        <w:tc>
          <w:tcPr/>
          <w:p>
            <w:pPr>
              <w:pStyle w:val="Compact"/>
            </w:pPr>
            <w:r>
              <w:t xml:space="preserve">รองรับ</w:t>
            </w:r>
            <w:r>
              <w:t xml:space="preserve"> </w:t>
            </w:r>
            <w:r>
              <w:rPr>
                <w:b/>
                <w:bCs/>
              </w:rPr>
              <w:t xml:space="preserve">overlapping keys</w:t>
            </w:r>
            <w:r>
              <w:t xml:space="preserve"> </w:t>
            </w:r>
            <w:r>
              <w:t xml:space="preserve">— ระหว่าง rotation ส่งลายเซ็นทั้งคีย์เก่าและใหม่ (ระยะทับซ้อน ≥ 24 ชม.)</w:t>
            </w:r>
          </w:p>
        </w:tc>
      </w:tr>
      <w:tr>
        <w:tc>
          <w:tcPr/>
          <w:p>
            <w:pPr>
              <w:pStyle w:val="Compact"/>
            </w:pPr>
            <w:r>
              <w:t xml:space="preserve">ความถี่</w:t>
            </w:r>
          </w:p>
        </w:tc>
        <w:tc>
          <w:tcPr/>
          <w:p>
            <w:pPr>
              <w:pStyle w:val="Compact"/>
            </w:pPr>
            <w:r>
              <w:t xml:space="preserve">หมุนอย่างน้อยทุก</w:t>
            </w:r>
            <w:r>
              <w:t xml:space="preserve"> </w:t>
            </w:r>
            <w:r>
              <w:rPr>
                <w:b/>
                <w:bCs/>
              </w:rPr>
              <w:t xml:space="preserve">12 เดือน</w:t>
            </w:r>
            <w:r>
              <w:t xml:space="preserve"> </w:t>
            </w:r>
            <w:r>
              <w:t xml:space="preserve">และ</w:t>
            </w:r>
            <w:r>
              <w:t xml:space="preserve"> </w:t>
            </w:r>
            <w:r>
              <w:rPr>
                <w:b/>
                <w:bCs/>
              </w:rPr>
              <w:t xml:space="preserve">ทันที</w:t>
            </w:r>
            <w:r>
              <w:t xml:space="preserve"> </w:t>
            </w:r>
            <w:r>
              <w:t xml:space="preserve">เมื่อสงสัยว่ารั่ว</w:t>
            </w:r>
          </w:p>
        </w:tc>
      </w:tr>
      <w:tr>
        <w:tc>
          <w:tcPr/>
          <w:p>
            <w:pPr>
              <w:pStyle w:val="Compact"/>
            </w:pPr>
            <w:r>
              <w:t xml:space="preserve">การเพิกถอน</w:t>
            </w:r>
          </w:p>
        </w:tc>
        <w:tc>
          <w:tcPr/>
          <w:p>
            <w:pPr>
              <w:pStyle w:val="Compact"/>
            </w:pPr>
            <w:r>
              <w:t xml:space="preserve">ร้านค้าขอ rotate ได้ผ่าน Merchant API / Dashboard; ลง</w:t>
            </w:r>
            <w:r>
              <w:t xml:space="preserve"> </w:t>
            </w:r>
            <w:r>
              <w:rPr>
                <w:rStyle w:val="VerbatimChar"/>
              </w:rPr>
              <w:t xml:space="preserve">audit_log</w:t>
            </w:r>
            <w:r>
              <w:t xml:space="preserve"> </w:t>
            </w:r>
            <w:r>
              <w:t xml:space="preserve">ทุกครั้ง</w:t>
            </w:r>
          </w:p>
        </w:tc>
      </w:tr>
    </w:tbl>
    <w:bookmarkEnd w:id="937"/>
    <w:bookmarkStart w:id="938" w:name="ความปลอดภยของชองทาง"/>
    <w:p>
      <w:pPr>
        <w:pStyle w:val="Heading3"/>
      </w:pPr>
      <w:r>
        <w:t xml:space="preserve">2.6 ความปลอดภัยของช่องทาง</w:t>
      </w:r>
    </w:p>
    <w:p>
      <w:pPr>
        <w:pStyle w:val="Compact"/>
        <w:numPr>
          <w:ilvl w:val="0"/>
          <w:numId w:val="1354"/>
        </w:numPr>
      </w:pPr>
      <w:r>
        <w:t xml:space="preserve">ส่งผ่าน</w:t>
      </w:r>
      <w:r>
        <w:t xml:space="preserve"> </w:t>
      </w:r>
      <w:r>
        <w:rPr>
          <w:b/>
          <w:bCs/>
        </w:rPr>
        <w:t xml:space="preserve">HTTPS (TLS 1.2 ขึ้นไป)</w:t>
      </w:r>
      <w:r>
        <w:t xml:space="preserve"> </w:t>
      </w:r>
      <w:r>
        <w:t xml:space="preserve">เท่านั้น — ปฏิเสธ endpoint ที่เป็น</w:t>
      </w:r>
      <w:r>
        <w:t xml:space="preserve"> </w:t>
      </w:r>
      <w:r>
        <w:rPr>
          <w:rStyle w:val="VerbatimChar"/>
        </w:rPr>
        <w:t xml:space="preserve">http://</w:t>
      </w:r>
      <w:r>
        <w:t xml:space="preserve"> </w:t>
      </w:r>
      <w:r>
        <w:t xml:space="preserve">(PCI Req 4)</w:t>
      </w:r>
    </w:p>
    <w:p>
      <w:pPr>
        <w:pStyle w:val="Compact"/>
        <w:numPr>
          <w:ilvl w:val="0"/>
          <w:numId w:val="1354"/>
        </w:numPr>
      </w:pPr>
      <w:r>
        <w:t xml:space="preserve">HMAC เป็น</w:t>
      </w:r>
      <w:r>
        <w:t xml:space="preserve"> </w:t>
      </w:r>
      <w:r>
        <w:rPr>
          <w:b/>
          <w:bCs/>
        </w:rPr>
        <w:t xml:space="preserve">การยืนยันตัวตนชั้นแอปพลิเคชัน</w:t>
      </w:r>
      <w:r>
        <w:t xml:space="preserve"> </w:t>
      </w:r>
      <w:r>
        <w:t xml:space="preserve">เพิ่มเติมจาก TLS ไม่ใช่ทดแทน</w:t>
      </w:r>
    </w:p>
    <w:p>
      <w:pPr>
        <w:pStyle w:val="Compact"/>
        <w:numPr>
          <w:ilvl w:val="0"/>
          <w:numId w:val="1354"/>
        </w:numPr>
      </w:pPr>
      <w:r>
        <w:rPr>
          <w:b/>
          <w:bCs/>
        </w:rPr>
        <w:t xml:space="preserve">ห้ามใส่ CHD/SAD</w:t>
      </w:r>
      <w:r>
        <w:t xml:space="preserve"> </w:t>
      </w:r>
      <w:r>
        <w:t xml:space="preserve">ใน payload เด็ดขาด — payload มีได้เพียง id, สถานะ, จำนวนเงิน (minor units),</w:t>
      </w:r>
      <w:r>
        <w:t xml:space="preserve"> </w:t>
      </w:r>
      <w:r>
        <w:rPr>
          <w:rStyle w:val="VerbatimChar"/>
        </w:rPr>
        <w:t xml:space="preserve">card_brand</w:t>
      </w:r>
      <w:r>
        <w:t xml:space="preserve">,</w:t>
      </w:r>
      <w:r>
        <w:t xml:space="preserve"> </w:t>
      </w:r>
      <w:r>
        <w:rPr>
          <w:rStyle w:val="VerbatimChar"/>
        </w:rPr>
        <w:t xml:space="preserve">card_last4</w:t>
      </w:r>
      <w:r>
        <w:t xml:space="preserve">, timestamp (สอดคล้อง ARCHITECTURE §6)</w:t>
      </w:r>
    </w:p>
    <w:p>
      <w:r>
        <w:pict>
          <v:rect style="width:0;height:1.5pt" o:hralign="center" o:hrstd="t" o:hr="t"/>
        </w:pict>
      </w:r>
    </w:p>
    <w:bookmarkEnd w:id="938"/>
    <w:bookmarkEnd w:id="939"/>
    <w:bookmarkStart w:id="944" w:name="นโยบายการสงซำ-retry-policy"/>
    <w:p>
      <w:pPr>
        <w:pStyle w:val="Heading2"/>
      </w:pPr>
      <w:r>
        <w:t xml:space="preserve">3. นโยบายการส่งซ้ำ (Retry Policy)</w:t>
      </w:r>
    </w:p>
    <w:bookmarkStart w:id="940" w:name="หลกการสงมอบ"/>
    <w:p>
      <w:pPr>
        <w:pStyle w:val="Heading3"/>
      </w:pPr>
      <w:r>
        <w:t xml:space="preserve">3.1 หลักการส่งมอบ</w:t>
      </w:r>
    </w:p>
    <w:p>
      <w:pPr>
        <w:pStyle w:val="FirstParagraph"/>
      </w:pPr>
      <w:r>
        <w:t xml:space="preserve">Webhook เป็นแบบ</w:t>
      </w:r>
      <w:r>
        <w:t xml:space="preserve"> </w:t>
      </w:r>
      <w:r>
        <w:rPr>
          <w:b/>
          <w:bCs/>
        </w:rPr>
        <w:t xml:space="preserve">at-least-once delivery</w:t>
      </w:r>
      <w:r>
        <w:t xml:space="preserve"> </w:t>
      </w:r>
      <w:r>
        <w:t xml:space="preserve">— ร้านค้าต้องออกแบบ handler ให้</w:t>
      </w:r>
      <w:r>
        <w:t xml:space="preserve"> </w:t>
      </w:r>
      <w:r>
        <w:rPr>
          <w:b/>
          <w:bCs/>
        </w:rPr>
        <w:t xml:space="preserve">idempotent</w:t>
      </w:r>
      <w:r>
        <w:t xml:space="preserve"> </w:t>
      </w:r>
      <w:r>
        <w:t xml:space="preserve">(ใช้</w:t>
      </w:r>
      <w:r>
        <w:t xml:space="preserve"> </w:t>
      </w:r>
      <w:r>
        <w:rPr>
          <w:rStyle w:val="VerbatimChar"/>
        </w:rPr>
        <w:t xml:space="preserve">Webhook-Id</w:t>
      </w:r>
      <w:r>
        <w:t xml:space="preserve">) การส่งเข้าคิวจากตาราง</w:t>
      </w:r>
      <w:r>
        <w:t xml:space="preserve"> </w:t>
      </w:r>
      <w:r>
        <w:rPr>
          <w:rStyle w:val="VerbatimChar"/>
        </w:rPr>
        <w:t xml:space="preserve">webhook_events</w:t>
      </w:r>
      <w:r>
        <w:t xml:space="preserve"> </w:t>
      </w:r>
      <w:r>
        <w:t xml:space="preserve">(ARCHITECTURE §6) ทำโดย worker แยก</w:t>
      </w:r>
    </w:p>
    <w:bookmarkEnd w:id="940"/>
    <w:bookmarkStart w:id="941" w:name="เกณฑวาสงสำเรจ"/>
    <w:p>
      <w:pPr>
        <w:pStyle w:val="Heading3"/>
      </w:pPr>
      <w:r>
        <w:t xml:space="preserve">3.2 เกณฑ์ว่าส่งสำเร็จ</w:t>
      </w:r>
    </w:p>
    <w:p>
      <w:pPr>
        <w:pStyle w:val="Compact"/>
        <w:numPr>
          <w:ilvl w:val="0"/>
          <w:numId w:val="1355"/>
        </w:numPr>
      </w:pPr>
      <w:r>
        <w:t xml:space="preserve">สำเร็จเมื่อได้ HTTP</w:t>
      </w:r>
      <w:r>
        <w:t xml:space="preserve"> </w:t>
      </w:r>
      <w:r>
        <w:rPr>
          <w:b/>
          <w:bCs/>
        </w:rPr>
        <w:t xml:space="preserve">2xx</w:t>
      </w:r>
      <w:r>
        <w:t xml:space="preserve"> </w:t>
      </w:r>
      <w:r>
        <w:t xml:space="preserve">ภายใน</w:t>
      </w:r>
      <w:r>
        <w:t xml:space="preserve"> </w:t>
      </w:r>
      <w:r>
        <w:rPr>
          <w:b/>
          <w:bCs/>
        </w:rPr>
        <w:t xml:space="preserve">timeout 10 วินาที</w:t>
      </w:r>
    </w:p>
    <w:p>
      <w:pPr>
        <w:pStyle w:val="Compact"/>
        <w:numPr>
          <w:ilvl w:val="0"/>
          <w:numId w:val="1355"/>
        </w:numPr>
      </w:pPr>
      <w:r>
        <w:t xml:space="preserve">ถือว่าล้มเหลวเมื่อ: timeout, connection error, TLS error, หรือ HTTP</w:t>
      </w:r>
      <w:r>
        <w:t xml:space="preserve"> </w:t>
      </w:r>
      <w:r>
        <w:rPr>
          <w:b/>
          <w:bCs/>
        </w:rPr>
        <w:t xml:space="preserve">≥ 300</w:t>
      </w:r>
      <w:r>
        <w:t xml:space="preserve"> </w:t>
      </w:r>
      <w:r>
        <w:t xml:space="preserve">(รวม 3xx redirect ที่ไม่ตาม, 4xx, 5xx)</w:t>
      </w:r>
    </w:p>
    <w:bookmarkEnd w:id="941"/>
    <w:bookmarkStart w:id="942" w:name="ตาราง-backoff-exponential-jitter"/>
    <w:p>
      <w:pPr>
        <w:pStyle w:val="Heading3"/>
      </w:pPr>
      <w:r>
        <w:t xml:space="preserve">3.3 ตาราง backoff (exponential + jitter)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ครั้งที่</w:t>
            </w:r>
          </w:p>
        </w:tc>
        <w:tc>
          <w:tcPr/>
          <w:p>
            <w:pPr>
              <w:pStyle w:val="Compact"/>
            </w:pPr>
            <w:r>
              <w:t xml:space="preserve">ระยะห่างโดยประมาณจากครั้งก่อน</w:t>
            </w:r>
          </w:p>
        </w:tc>
        <w:tc>
          <w:tcPr/>
          <w:p>
            <w:pPr>
              <w:pStyle w:val="Compact"/>
            </w:pPr>
            <w:r>
              <w:t xml:space="preserve">เวลาสะสมโดยประมาณ</w:t>
            </w:r>
          </w:p>
        </w:tc>
      </w:tr>
      <w:tr>
        <w:tc>
          <w:tcPr/>
          <w:p>
            <w:pPr>
              <w:pStyle w:val="Compact"/>
            </w:pPr>
            <w:r>
              <w:t xml:space="preserve">1 (ครั้งแรก)</w:t>
            </w:r>
          </w:p>
        </w:tc>
        <w:tc>
          <w:tcPr/>
          <w:p>
            <w:pPr>
              <w:pStyle w:val="Compact"/>
            </w:pPr>
            <w:r>
              <w:t xml:space="preserve">ทันที</w:t>
            </w:r>
          </w:p>
        </w:tc>
        <w:tc>
          <w:tcPr/>
          <w:p>
            <w:pPr>
              <w:pStyle w:val="Compact"/>
            </w:pPr>
            <w:r>
              <w:t xml:space="preserve">0</w:t>
            </w:r>
          </w:p>
        </w:tc>
      </w:tr>
      <w:tr>
        <w:tc>
          <w:tcPr/>
          <w:p>
            <w:pPr>
              <w:pStyle w:val="Compact"/>
            </w:pPr>
            <w:r>
              <w:t xml:space="preserve">2</w:t>
            </w:r>
          </w:p>
        </w:tc>
        <w:tc>
          <w:tcPr/>
          <w:p>
            <w:pPr>
              <w:pStyle w:val="Compact"/>
            </w:pPr>
            <w:r>
              <w:t xml:space="preserve">+1 นาที</w:t>
            </w:r>
          </w:p>
        </w:tc>
        <w:tc>
          <w:tcPr/>
          <w:p>
            <w:pPr>
              <w:pStyle w:val="Compact"/>
            </w:pPr>
            <w:r>
              <w:t xml:space="preserve">~1 นาที</w:t>
            </w:r>
          </w:p>
        </w:tc>
      </w:tr>
      <w:tr>
        <w:tc>
          <w:tcPr/>
          <w:p>
            <w:pPr>
              <w:pStyle w:val="Compact"/>
            </w:pPr>
            <w:r>
              <w:t xml:space="preserve">3</w:t>
            </w:r>
          </w:p>
        </w:tc>
        <w:tc>
          <w:tcPr/>
          <w:p>
            <w:pPr>
              <w:pStyle w:val="Compact"/>
            </w:pPr>
            <w:r>
              <w:t xml:space="preserve">+5 นาที</w:t>
            </w:r>
          </w:p>
        </w:tc>
        <w:tc>
          <w:tcPr/>
          <w:p>
            <w:pPr>
              <w:pStyle w:val="Compact"/>
            </w:pPr>
            <w:r>
              <w:t xml:space="preserve">~6 นาที</w:t>
            </w:r>
          </w:p>
        </w:tc>
      </w:tr>
      <w:tr>
        <w:tc>
          <w:tcPr/>
          <w:p>
            <w:pPr>
              <w:pStyle w:val="Compact"/>
            </w:pPr>
            <w:r>
              <w:t xml:space="preserve">4</w:t>
            </w:r>
          </w:p>
        </w:tc>
        <w:tc>
          <w:tcPr/>
          <w:p>
            <w:pPr>
              <w:pStyle w:val="Compact"/>
            </w:pPr>
            <w:r>
              <w:t xml:space="preserve">+30 นาที</w:t>
            </w:r>
          </w:p>
        </w:tc>
        <w:tc>
          <w:tcPr/>
          <w:p>
            <w:pPr>
              <w:pStyle w:val="Compact"/>
            </w:pPr>
            <w:r>
              <w:t xml:space="preserve">~36 นาที</w:t>
            </w:r>
          </w:p>
        </w:tc>
      </w:tr>
      <w:tr>
        <w:tc>
          <w:tcPr/>
          <w:p>
            <w:pPr>
              <w:pStyle w:val="Compact"/>
            </w:pPr>
            <w:r>
              <w:t xml:space="preserve">5</w:t>
            </w:r>
          </w:p>
        </w:tc>
        <w:tc>
          <w:tcPr/>
          <w:p>
            <w:pPr>
              <w:pStyle w:val="Compact"/>
            </w:pPr>
            <w:r>
              <w:t xml:space="preserve">+2 ชั่วโมง</w:t>
            </w:r>
          </w:p>
        </w:tc>
        <w:tc>
          <w:tcPr/>
          <w:p>
            <w:pPr>
              <w:pStyle w:val="Compact"/>
            </w:pPr>
            <w:r>
              <w:t xml:space="preserve">~2.5 ชั่วโมง</w:t>
            </w:r>
          </w:p>
        </w:tc>
      </w:tr>
      <w:tr>
        <w:tc>
          <w:tcPr/>
          <w:p>
            <w:pPr>
              <w:pStyle w:val="Compact"/>
            </w:pPr>
            <w:r>
              <w:t xml:space="preserve">6</w:t>
            </w:r>
          </w:p>
        </w:tc>
        <w:tc>
          <w:tcPr/>
          <w:p>
            <w:pPr>
              <w:pStyle w:val="Compact"/>
            </w:pPr>
            <w:r>
              <w:t xml:space="preserve">+6 ชั่วโมง</w:t>
            </w:r>
          </w:p>
        </w:tc>
        <w:tc>
          <w:tcPr/>
          <w:p>
            <w:pPr>
              <w:pStyle w:val="Compact"/>
            </w:pPr>
            <w:r>
              <w:t xml:space="preserve">~9 ชั่วโมง</w:t>
            </w:r>
          </w:p>
        </w:tc>
      </w:tr>
      <w:tr>
        <w:tc>
          <w:tcPr/>
          <w:p>
            <w:pPr>
              <w:pStyle w:val="Compact"/>
            </w:pPr>
            <w:r>
              <w:t xml:space="preserve">7–10</w:t>
            </w:r>
          </w:p>
        </w:tc>
        <w:tc>
          <w:tcPr/>
          <w:p>
            <w:pPr>
              <w:pStyle w:val="Compact"/>
            </w:pPr>
            <w:r>
              <w:t xml:space="preserve">+12 ชั่วโมง (ต่อครั้ง)</w:t>
            </w:r>
          </w:p>
        </w:tc>
        <w:tc>
          <w:tcPr/>
          <w:p>
            <w:pPr>
              <w:pStyle w:val="Compact"/>
            </w:pPr>
            <w:r>
              <w:t xml:space="preserve">สูงสุด ~72 ชั่วโมง (3 วัน)</w:t>
            </w:r>
          </w:p>
        </w:tc>
      </w:tr>
    </w:tbl>
    <w:p>
      <w:pPr>
        <w:pStyle w:val="Compact"/>
        <w:numPr>
          <w:ilvl w:val="0"/>
          <w:numId w:val="1356"/>
        </w:numPr>
      </w:pPr>
      <w:r>
        <w:t xml:space="preserve">ใส่</w:t>
      </w:r>
      <w:r>
        <w:t xml:space="preserve"> </w:t>
      </w:r>
      <w:r>
        <w:rPr>
          <w:b/>
          <w:bCs/>
        </w:rPr>
        <w:t xml:space="preserve">jitter</w:t>
      </w:r>
      <w:r>
        <w:t xml:space="preserve"> </w:t>
      </w:r>
      <w:r>
        <w:t xml:space="preserve">แบบสุ่ม ±20% กัน thundering herd</w:t>
      </w:r>
    </w:p>
    <w:p>
      <w:pPr>
        <w:pStyle w:val="Compact"/>
        <w:numPr>
          <w:ilvl w:val="0"/>
          <w:numId w:val="1356"/>
        </w:numPr>
      </w:pPr>
      <w:r>
        <w:t xml:space="preserve">ครบ</w:t>
      </w:r>
      <w:r>
        <w:t xml:space="preserve"> </w:t>
      </w:r>
      <w:r>
        <w:rPr>
          <w:b/>
          <w:bCs/>
        </w:rPr>
        <w:t xml:space="preserve">10 ครั้ง / 72 ชั่วโมง</w:t>
      </w:r>
      <w:r>
        <w:t xml:space="preserve"> </w:t>
      </w:r>
      <w:r>
        <w:t xml:space="preserve">แล้วยังไม่สำเร็จ → ตั้งสถานะ event เป็น</w:t>
      </w:r>
      <w:r>
        <w:t xml:space="preserve"> </w:t>
      </w:r>
      <w:r>
        <w:rPr>
          <w:rStyle w:val="VerbatimChar"/>
        </w:rPr>
        <w:t xml:space="preserve">failed</w:t>
      </w:r>
      <w:r>
        <w:t xml:space="preserve"> </w:t>
      </w:r>
      <w:r>
        <w:t xml:space="preserve">และแจ้งเตือนร้านค้า (email/dashboard alert)</w:t>
      </w:r>
    </w:p>
    <w:bookmarkEnd w:id="942"/>
    <w:bookmarkStart w:id="943" w:name="กลไกเสรม"/>
    <w:p>
      <w:pPr>
        <w:pStyle w:val="Heading3"/>
      </w:pPr>
      <w:r>
        <w:t xml:space="preserve">3.4 กลไกเสริม</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กลไก</w:t>
            </w:r>
          </w:p>
        </w:tc>
        <w:tc>
          <w:tcPr/>
          <w:p>
            <w:pPr>
              <w:pStyle w:val="Compact"/>
            </w:pPr>
            <w:r>
              <w:t xml:space="preserve">รายละเอียด</w:t>
            </w:r>
          </w:p>
        </w:tc>
      </w:tr>
      <w:tr>
        <w:tc>
          <w:tcPr/>
          <w:p>
            <w:pPr>
              <w:pStyle w:val="Compact"/>
            </w:pPr>
            <w:r>
              <w:rPr>
                <w:b/>
                <w:bCs/>
              </w:rPr>
              <w:t xml:space="preserve">Dead-letter</w:t>
            </w:r>
          </w:p>
        </w:tc>
        <w:tc>
          <w:tcPr/>
          <w:p>
            <w:pPr>
              <w:pStyle w:val="Compact"/>
            </w:pPr>
            <w:r>
              <w:t xml:space="preserve">event ที่ล้มเหลวถาวรเก็บใน dead-letter สำหรับ replay ด้วยมือ (ต้องมีสิทธิ์ + ลง audit)</w:t>
            </w:r>
          </w:p>
        </w:tc>
      </w:tr>
      <w:tr>
        <w:tc>
          <w:tcPr/>
          <w:p>
            <w:pPr>
              <w:pStyle w:val="Compact"/>
            </w:pPr>
            <w:r>
              <w:rPr>
                <w:b/>
                <w:bCs/>
              </w:rPr>
              <w:t xml:space="preserve">Manual replay</w:t>
            </w:r>
          </w:p>
        </w:tc>
        <w:tc>
          <w:tcPr/>
          <w:p>
            <w:pPr>
              <w:pStyle w:val="Compact"/>
            </w:pPr>
            <w:r>
              <w:t xml:space="preserve">ร้านค้า/ผู้ดูแลสั่งส่งซ้ำผ่าน Dashboard/Admin API ได้ (ควบคุมด้วย RBAC)</w:t>
            </w:r>
          </w:p>
        </w:tc>
      </w:tr>
      <w:tr>
        <w:tc>
          <w:tcPr/>
          <w:p>
            <w:pPr>
              <w:pStyle w:val="Compact"/>
            </w:pPr>
            <w:r>
              <w:rPr>
                <w:b/>
                <w:bCs/>
              </w:rPr>
              <w:t xml:space="preserve">Circuit breaker</w:t>
            </w:r>
          </w:p>
        </w:tc>
        <w:tc>
          <w:tcPr/>
          <w:p>
            <w:pPr>
              <w:pStyle w:val="Compact"/>
            </w:pPr>
            <w:r>
              <w:t xml:space="preserve">ถ้า endpoint ร้านค้าล้มเหลวต่อเนื่อง ให้ลดอัตราส่งชั่วคราว (back-pressure) กันการถล่ม endpoint</w:t>
            </w:r>
          </w:p>
        </w:tc>
      </w:tr>
      <w:tr>
        <w:tc>
          <w:tcPr/>
          <w:p>
            <w:pPr>
              <w:pStyle w:val="Compact"/>
            </w:pPr>
            <w:r>
              <w:rPr>
                <w:b/>
                <w:bCs/>
              </w:rPr>
              <w:t xml:space="preserve">Ordering</w:t>
            </w:r>
          </w:p>
        </w:tc>
        <w:tc>
          <w:tcPr/>
          <w:p>
            <w:pPr>
              <w:pStyle w:val="Compact"/>
            </w:pPr>
            <w:r>
              <w:t xml:space="preserve">ไม่รับประกันลำดับ — ร้านค้าต้องใช้ timestamp/สถานะใน payload ตัดสิน แทนลำดับการมาถึง</w:t>
            </w:r>
          </w:p>
        </w:tc>
      </w:tr>
      <w:tr>
        <w:tc>
          <w:tcPr/>
          <w:p>
            <w:pPr>
              <w:pStyle w:val="Compact"/>
            </w:pPr>
            <w:r>
              <w:rPr>
                <w:b/>
                <w:bCs/>
              </w:rPr>
              <w:t xml:space="preserve">การเก็บบันทึก</w:t>
            </w:r>
          </w:p>
        </w:tc>
        <w:tc>
          <w:tcPr/>
          <w:p>
            <w:pPr>
              <w:pStyle w:val="Compact"/>
            </w:pPr>
            <w:r>
              <w:t xml:space="preserve">ทุกครั้งที่ส่ง (attempt no., response code, latency) บันทึกเพื่อ audit (PCI Req 10) เก็บอย่างน้อย 1 ปี online + 1 ปี archive (สอดคล้องนโยบาย log retention)</w:t>
            </w:r>
          </w:p>
        </w:tc>
      </w:tr>
    </w:tbl>
    <w:p>
      <w:r>
        <w:pict>
          <v:rect style="width:0;height:1.5pt" o:hralign="center" o:hrstd="t" o:hr="t"/>
        </w:pict>
      </w:r>
    </w:p>
    <w:bookmarkEnd w:id="943"/>
    <w:bookmarkEnd w:id="944"/>
    <w:bookmarkStart w:id="950" w:name="ตารางการชำระบญช-settlement-schedule-tn"/>
    <w:p>
      <w:pPr>
        <w:pStyle w:val="Heading2"/>
      </w:pPr>
      <w:r>
        <w:t xml:space="preserve">4. ตารางการชำระบัญชี (Settlement Schedule — T+n)</w:t>
      </w:r>
    </w:p>
    <w:bookmarkStart w:id="945" w:name="นยาม-tn"/>
    <w:p>
      <w:pPr>
        <w:pStyle w:val="Heading3"/>
      </w:pPr>
      <w:r>
        <w:t xml:space="preserve">4.1 นิยาม T+n</w:t>
      </w:r>
    </w:p>
    <w:p>
      <w:pPr>
        <w:pStyle w:val="FirstParagraph"/>
      </w:pPr>
      <w:r>
        <w:rPr>
          <w:rStyle w:val="VerbatimChar"/>
        </w:rPr>
        <w:t xml:space="preserve">T</w:t>
      </w:r>
      <w:r>
        <w:t xml:space="preserve"> </w:t>
      </w:r>
      <w:r>
        <w:t xml:space="preserve">=</w:t>
      </w:r>
      <w:r>
        <w:t xml:space="preserve"> </w:t>
      </w:r>
      <w:r>
        <w:rPr>
          <w:b/>
          <w:bCs/>
        </w:rPr>
        <w:t xml:space="preserve">วันทำการที่ธุรกรรมถูก capture และเข้ารอบ settlement (batch cut-off)</w:t>
      </w:r>
      <w:r>
        <w:t xml:space="preserve"> </w:t>
      </w:r>
      <w:r>
        <w:t xml:space="preserve">ไม่ใช่วันที่ authorize</w:t>
      </w:r>
      <w:r>
        <w:t xml:space="preserve"> </w:t>
      </w:r>
      <w:r>
        <w:rPr>
          <w:rStyle w:val="VerbatimChar"/>
        </w:rPr>
        <w:t xml:space="preserve">T+n</w:t>
      </w:r>
      <w:r>
        <w:t xml:space="preserve"> </w:t>
      </w:r>
      <w:r>
        <w:t xml:space="preserve">= จำนวน</w:t>
      </w:r>
      <w:r>
        <w:t xml:space="preserve"> </w:t>
      </w:r>
      <w:r>
        <w:rPr>
          <w:b/>
          <w:bCs/>
        </w:rPr>
        <w:t xml:space="preserve">วันทำการ (business days)</w:t>
      </w:r>
      <w:r>
        <w:t xml:space="preserve"> </w:t>
      </w:r>
      <w:r>
        <w:t xml:space="preserve">หลัง T ที่เงินสุทธิ (net) เข้าบัญชีร้านค้า โดยข้ามวันหยุดธนาคาร/วันหยุดนักขัตฤกษ์ตามปฏิทิน ธปท.</w:t>
      </w:r>
    </w:p>
    <w:bookmarkEnd w:id="945"/>
    <w:bookmarkStart w:id="946" w:name="Xd00f375581b888df117c730878964a60961502f"/>
    <w:p>
      <w:pPr>
        <w:pStyle w:val="Heading3"/>
      </w:pPr>
      <w:r>
        <w:t xml:space="preserve">4.2 ตารางค่าตั้งต้นเชิงออกแบบ (design default — ต้องยืนยันกับ sponsor bank)</w:t>
      </w:r>
    </w:p>
    <w:tbl>
      <w:tblPr>
        <w:tblStyle w:val="Table"/>
        <w:tblW w:type="pct" w:w="5000"/>
        <w:tblLayout w:type="fixed"/>
        <w:tblLook w:firstRow="1" w:lastRow="0" w:firstColumn="0" w:lastColumn="0" w:noHBand="0" w:noVBand="0" w:val="0020"/>
      </w:tblPr>
      <w:tblGrid>
        <w:gridCol w:w="4702"/>
        <w:gridCol w:w="1980"/>
        <w:gridCol w:w="1237"/>
      </w:tblGrid>
      <w:tr>
        <w:trPr>
          <w:tblHeader w:val="on"/>
        </w:trPr>
        <w:tc>
          <w:tcPr/>
          <w:p>
            <w:pPr>
              <w:pStyle w:val="Compact"/>
            </w:pPr>
            <w:r>
              <w:t xml:space="preserve">ระดับความเสี่ยงร้านค้า (MCC/history)</w:t>
            </w:r>
          </w:p>
        </w:tc>
        <w:tc>
          <w:tcPr/>
          <w:p>
            <w:pPr>
              <w:pStyle w:val="Compact"/>
            </w:pPr>
            <w:r>
              <w:t xml:space="preserve">รอบ settlement</w:t>
            </w:r>
          </w:p>
        </w:tc>
        <w:tc>
          <w:tcPr/>
          <w:p>
            <w:pPr>
              <w:pStyle w:val="Compact"/>
            </w:pPr>
            <w:r>
              <w:t xml:space="preserve">หมายเหตุ</w:t>
            </w:r>
          </w:p>
        </w:tc>
      </w:tr>
      <w:tr>
        <w:tc>
          <w:tcPr/>
          <w:p>
            <w:pPr>
              <w:pStyle w:val="Compact"/>
            </w:pPr>
            <w:r>
              <w:t xml:space="preserve">ความเสี่ยงต่ำ (standard retail)</w:t>
            </w:r>
          </w:p>
        </w:tc>
        <w:tc>
          <w:tcPr/>
          <w:p>
            <w:pPr>
              <w:pStyle w:val="Compact"/>
            </w:pPr>
            <w:r>
              <w:rPr>
                <w:b/>
                <w:bCs/>
              </w:rPr>
              <w:t xml:space="preserve">T+2 วันทำการ</w:t>
            </w:r>
          </w:p>
        </w:tc>
        <w:tc>
          <w:tcPr/>
          <w:p>
            <w:pPr>
              <w:pStyle w:val="Compact"/>
            </w:pPr>
            <w:r>
              <w:t xml:space="preserve">ค่าตั้งต้นทั่วไป</w:t>
            </w:r>
          </w:p>
        </w:tc>
      </w:tr>
      <w:tr>
        <w:tc>
          <w:tcPr/>
          <w:p>
            <w:pPr>
              <w:pStyle w:val="Compact"/>
            </w:pPr>
            <w:r>
              <w:t xml:space="preserve">ความเสี่ยงกลาง</w:t>
            </w:r>
          </w:p>
        </w:tc>
        <w:tc>
          <w:tcPr/>
          <w:p>
            <w:pPr>
              <w:pStyle w:val="Compact"/>
            </w:pPr>
            <w:r>
              <w:t xml:space="preserve">T+3 ถึง T+5 วันทำการ</w:t>
            </w:r>
          </w:p>
        </w:tc>
        <w:tc>
          <w:tcPr/>
          <w:p>
            <w:pPr>
              <w:pStyle w:val="Compact"/>
            </w:pPr>
            <w:r>
              <w:t xml:space="preserve">ตาม chargeback ratio / MCC</w:t>
            </w:r>
          </w:p>
        </w:tc>
      </w:tr>
      <w:tr>
        <w:tc>
          <w:tcPr/>
          <w:p>
            <w:pPr>
              <w:pStyle w:val="Compact"/>
            </w:pPr>
            <w:r>
              <w:t xml:space="preserve">ความเสี่ยงสูง / ธุรกิจส่งมอบล่วงหน้า (เช่น ท่องเที่ยว, pre-order)</w:t>
            </w:r>
          </w:p>
        </w:tc>
        <w:tc>
          <w:tcPr/>
          <w:p>
            <w:pPr>
              <w:pStyle w:val="Compact"/>
            </w:pPr>
            <w:r>
              <w:t xml:space="preserve">T+7 ขึ้นไป +</w:t>
            </w:r>
            <w:r>
              <w:t xml:space="preserve"> </w:t>
            </w:r>
            <w:r>
              <w:rPr>
                <w:b/>
                <w:bCs/>
              </w:rPr>
              <w:t xml:space="preserve">rolling reserve</w:t>
            </w:r>
          </w:p>
        </w:tc>
        <w:tc>
          <w:tcPr/>
          <w:p>
            <w:pPr>
              <w:pStyle w:val="Compact"/>
            </w:pPr>
            <w:r>
              <w:t xml:space="preserve">ถือ reserve เพื่อคุ้ม chargeback</w:t>
            </w:r>
          </w:p>
        </w:tc>
      </w:tr>
      <w:tr>
        <w:tc>
          <w:tcPr/>
          <w:p>
            <w:pPr>
              <w:pStyle w:val="Compact"/>
            </w:pPr>
            <w:r>
              <w:t xml:space="preserve">ร้านค้าใหม่ (ช่วง onboarding แรก)</w:t>
            </w:r>
          </w:p>
        </w:tc>
        <w:tc>
          <w:tcPr/>
          <w:p>
            <w:pPr>
              <w:pStyle w:val="Compact"/>
            </w:pPr>
            <w:r>
              <w:t xml:space="preserve">+hold ชั่วคราวตามนโยบายความเสี่ยง</w:t>
            </w:r>
          </w:p>
        </w:tc>
        <w:tc>
          <w:tcPr/>
          <w:p>
            <w:pPr>
              <w:pStyle w:val="Compact"/>
            </w:pPr>
            <w:r>
              <w:t xml:space="preserve">ทบทวนหลังผ่านช่วงสังเกตการณ์</w:t>
            </w:r>
          </w:p>
        </w:tc>
      </w:tr>
    </w:tbl>
    <w:p>
      <w:pPr>
        <w:pStyle w:val="BlockText"/>
      </w:pPr>
      <w:r>
        <w:rPr>
          <w:b/>
          <w:bCs/>
        </w:rPr>
        <w:t xml:space="preserve">[TODO — Sponsor Bank]</w:t>
      </w:r>
      <w:r>
        <w:t xml:space="preserve"> </w:t>
      </w:r>
      <w:r>
        <w:t xml:space="preserve">ค่า T+n จริง ขึ้นกับรอบ funding ของ acquirer/scheme และ cut-off ของธนาคารผู้จ่าย</w:t>
      </w:r>
    </w:p>
    <w:bookmarkEnd w:id="946"/>
    <w:bookmarkStart w:id="947" w:name="การคำนวณยอดสทธ-net-settlement"/>
    <w:p>
      <w:pPr>
        <w:pStyle w:val="Heading3"/>
      </w:pPr>
      <w:r>
        <w:t xml:space="preserve">4.3 การคำนวณยอดสุทธิ (net settlement)</w:t>
      </w:r>
    </w:p>
    <w:p>
      <w:pPr>
        <w:pStyle w:val="SourceCode"/>
      </w:pPr>
      <w:r>
        <w:rPr>
          <w:rStyle w:val="VerbatimChar"/>
        </w:rPr>
        <w:t xml:space="preserve">gross_captured       = Σ ยอด capture ในรอบ (minor units)</w:t>
      </w:r>
      <w:r>
        <w:br/>
      </w:r>
      <w:r>
        <w:rPr>
          <w:rStyle w:val="VerbatimChar"/>
        </w:rPr>
        <w:t xml:space="preserve">- refunds            = Σ refund ในรอบ</w:t>
      </w:r>
      <w:r>
        <w:br/>
      </w:r>
      <w:r>
        <w:rPr>
          <w:rStyle w:val="VerbatimChar"/>
        </w:rPr>
        <w:t xml:space="preserve">- chargebacks        = Σ chargeback/dispute ที่ตัดในรอบ</w:t>
      </w:r>
      <w:r>
        <w:br/>
      </w:r>
      <w:r>
        <w:rPr>
          <w:rStyle w:val="VerbatimChar"/>
        </w:rPr>
        <w:t xml:space="preserve">- processing_fee      = ค่าธรรมเนียม [บริษัท] (MDR)</w:t>
      </w:r>
      <w:r>
        <w:br/>
      </w:r>
      <w:r>
        <w:rPr>
          <w:rStyle w:val="VerbatimChar"/>
        </w:rPr>
        <w:t xml:space="preserve">- interchange/scheme  = ค่าธรรมเนียม network [TODO ยืนยันอัตรา]</w:t>
      </w:r>
      <w:r>
        <w:br/>
      </w:r>
      <w:r>
        <w:rPr>
          <w:rStyle w:val="VerbatimChar"/>
        </w:rPr>
        <w:t xml:space="preserve">- rolling_reserve     = ส่วนกันสำรอง (ถ้ามี)</w:t>
      </w:r>
      <w:r>
        <w:br/>
      </w:r>
      <w:r>
        <w:rPr>
          <w:rStyle w:val="VerbatimChar"/>
        </w:rPr>
        <w:t xml:space="preserve">+ reserve_release     = reserve ที่ครบกำหนดคืน</w:t>
      </w:r>
      <w:r>
        <w:br/>
      </w:r>
      <w:r>
        <w:rPr>
          <w:rStyle w:val="VerbatimChar"/>
        </w:rPr>
        <w:t xml:space="preserve">= net_payout          → โอนเข้าบัญชีร้านค้า</w:t>
      </w:r>
    </w:p>
    <w:p>
      <w:pPr>
        <w:pStyle w:val="Compact"/>
        <w:numPr>
          <w:ilvl w:val="0"/>
          <w:numId w:val="1357"/>
        </w:numPr>
      </w:pPr>
      <w:r>
        <w:t xml:space="preserve">ทุกยอดเป็น</w:t>
      </w:r>
      <w:r>
        <w:t xml:space="preserve"> </w:t>
      </w:r>
      <w:r>
        <w:rPr>
          <w:b/>
          <w:bCs/>
        </w:rPr>
        <w:t xml:space="preserve">integer minor units (สตางค์)</w:t>
      </w:r>
      <w:r>
        <w:t xml:space="preserve"> </w:t>
      </w:r>
      <w:r>
        <w:t xml:space="preserve">ห้ามใช้ float (ARCHITECTURE §2)</w:t>
      </w:r>
    </w:p>
    <w:p>
      <w:pPr>
        <w:pStyle w:val="Compact"/>
        <w:numPr>
          <w:ilvl w:val="0"/>
          <w:numId w:val="1357"/>
        </w:numPr>
      </w:pPr>
      <w:r>
        <w:t xml:space="preserve">ทุกองค์ประกอบลง</w:t>
      </w:r>
      <w:r>
        <w:t xml:space="preserve"> </w:t>
      </w:r>
      <w:r>
        <w:rPr>
          <w:rStyle w:val="VerbatimChar"/>
        </w:rPr>
        <w:t xml:space="preserve">ledger_entries</w:t>
      </w:r>
      <w:r>
        <w:t xml:space="preserve"> </w:t>
      </w:r>
      <w:r>
        <w:t xml:space="preserve">(</w:t>
      </w:r>
      <w:r>
        <w:rPr>
          <w:rStyle w:val="VerbatimChar"/>
        </w:rPr>
        <w:t xml:space="preserve">entry_type</w:t>
      </w:r>
      <w:r>
        <w:t xml:space="preserve"> </w:t>
      </w:r>
      <w:r>
        <w:t xml:space="preserve">= capture/refund/fee/settlement) แบบ double-entry</w:t>
      </w:r>
    </w:p>
    <w:p>
      <w:pPr>
        <w:pStyle w:val="Compact"/>
        <w:numPr>
          <w:ilvl w:val="0"/>
          <w:numId w:val="1357"/>
        </w:numPr>
      </w:pPr>
      <w:r>
        <w:t xml:space="preserve">สร้าง</w:t>
      </w:r>
      <w:r>
        <w:t xml:space="preserve"> </w:t>
      </w:r>
      <w:r>
        <w:rPr>
          <w:b/>
          <w:bCs/>
        </w:rPr>
        <w:t xml:space="preserve">settlement statement</w:t>
      </w:r>
      <w:r>
        <w:t xml:space="preserve"> </w:t>
      </w:r>
      <w:r>
        <w:t xml:space="preserve">ต่อรอบต่อร้านค้า พร้อมรายการอ้างอิงกลับไปทุก payment</w:t>
      </w:r>
    </w:p>
    <w:bookmarkEnd w:id="947"/>
    <w:bookmarkStart w:id="948" w:name="ขนตอนงาน-settlement-worker-phase-3"/>
    <w:p>
      <w:pPr>
        <w:pStyle w:val="Heading3"/>
      </w:pPr>
      <w:r>
        <w:t xml:space="preserve">4.4 ขั้นตอนงาน (settlement worker — Phase 3)</w:t>
      </w:r>
    </w:p>
    <w:p>
      <w:pPr>
        <w:pStyle w:val="Compact"/>
        <w:numPr>
          <w:ilvl w:val="0"/>
          <w:numId w:val="1358"/>
        </w:numPr>
      </w:pPr>
      <w:r>
        <w:t xml:space="preserve">Batch cut-off ณ เวลาที่กำหนด (เช่น 23:00 น. เวลาไทย) —</w:t>
      </w:r>
      <w:r>
        <w:t xml:space="preserve"> </w:t>
      </w:r>
      <w:r>
        <w:rPr>
          <w:b/>
          <w:bCs/>
        </w:rPr>
        <w:t xml:space="preserve">[TODO ยืนยัน cut-off กับ acquirer]</w:t>
      </w:r>
    </w:p>
    <w:p>
      <w:pPr>
        <w:pStyle w:val="Compact"/>
        <w:numPr>
          <w:ilvl w:val="0"/>
          <w:numId w:val="1358"/>
        </w:numPr>
      </w:pPr>
      <w:r>
        <w:t xml:space="preserve">รวมรายการ captured/refunded/chargeback ที่ยังไม่ settle</w:t>
      </w:r>
    </w:p>
    <w:p>
      <w:pPr>
        <w:pStyle w:val="Compact"/>
        <w:numPr>
          <w:ilvl w:val="0"/>
          <w:numId w:val="1358"/>
        </w:numPr>
      </w:pPr>
      <w:r>
        <w:t xml:space="preserve">คำนวณ net ต่อร้านค้า → สร้าง settlement statement (สถานะ</w:t>
      </w:r>
      <w:r>
        <w:t xml:space="preserve"> </w:t>
      </w:r>
      <w:r>
        <w:rPr>
          <w:rStyle w:val="VerbatimChar"/>
        </w:rPr>
        <w:t xml:space="preserve">pending</w:t>
      </w:r>
      <w:r>
        <w:t xml:space="preserve">)</w:t>
      </w:r>
    </w:p>
    <w:p>
      <w:pPr>
        <w:pStyle w:val="Compact"/>
        <w:numPr>
          <w:ilvl w:val="0"/>
          <w:numId w:val="1358"/>
        </w:numPr>
      </w:pPr>
      <w:r>
        <w:rPr>
          <w:b/>
          <w:bCs/>
        </w:rPr>
        <w:t xml:space="preserve">กระทบยอดกับไฟล์ acquirer ก่อนจ่าย (ดู §5)</w:t>
      </w:r>
      <w:r>
        <w:t xml:space="preserve"> </w:t>
      </w:r>
      <w:r>
        <w:t xml:space="preserve">— จ่ายเฉพาะที่ตรงกัน (fail closed)</w:t>
      </w:r>
    </w:p>
    <w:p>
      <w:pPr>
        <w:pStyle w:val="Compact"/>
        <w:numPr>
          <w:ilvl w:val="0"/>
          <w:numId w:val="1358"/>
        </w:numPr>
      </w:pPr>
      <w:r>
        <w:t xml:space="preserve">สร้างคำสั่งโอน (payout) → สถานะ</w:t>
      </w:r>
      <w:r>
        <w:t xml:space="preserve"> </w:t>
      </w:r>
      <w:r>
        <w:rPr>
          <w:rStyle w:val="VerbatimChar"/>
        </w:rPr>
        <w:t xml:space="preserve">paid</w:t>
      </w:r>
      <w:r>
        <w:t xml:space="preserve"> </w:t>
      </w:r>
      <w:r>
        <w:t xml:space="preserve">เมื่อยืนยันการโอน</w:t>
      </w:r>
    </w:p>
    <w:p>
      <w:pPr>
        <w:pStyle w:val="Compact"/>
        <w:numPr>
          <w:ilvl w:val="0"/>
          <w:numId w:val="1358"/>
        </w:numPr>
      </w:pPr>
      <w:r>
        <w:t xml:space="preserve">ยิง webhook</w:t>
      </w:r>
      <w:r>
        <w:t xml:space="preserve"> </w:t>
      </w:r>
      <w:r>
        <w:rPr>
          <w:rStyle w:val="VerbatimChar"/>
        </w:rPr>
        <w:t xml:space="preserve">payout.paid</w:t>
      </w:r>
      <w:r>
        <w:t xml:space="preserve"> </w:t>
      </w:r>
      <w:r>
        <w:t xml:space="preserve">+ ให้ statement ผ่าน Merchant API</w:t>
      </w:r>
    </w:p>
    <w:p>
      <w:pPr>
        <w:pStyle w:val="Compact"/>
        <w:numPr>
          <w:ilvl w:val="0"/>
          <w:numId w:val="1358"/>
        </w:numPr>
      </w:pPr>
      <w:r>
        <w:t xml:space="preserve">ลง</w:t>
      </w:r>
      <w:r>
        <w:t xml:space="preserve"> </w:t>
      </w:r>
      <w:r>
        <w:rPr>
          <w:rStyle w:val="VerbatimChar"/>
        </w:rPr>
        <w:t xml:space="preserve">audit_log</w:t>
      </w:r>
      <w:r>
        <w:t xml:space="preserve"> </w:t>
      </w:r>
      <w:r>
        <w:t xml:space="preserve">ทุกขั้น (maker-checker สำหรับการปล่อยจ่ายเกิน threshold)</w:t>
      </w:r>
    </w:p>
    <w:bookmarkEnd w:id="948"/>
    <w:bookmarkStart w:id="949" w:name="การควบคมการปลอยจาย-payout-controls"/>
    <w:p>
      <w:pPr>
        <w:pStyle w:val="Heading3"/>
      </w:pPr>
      <w:r>
        <w:t xml:space="preserve">4.5 การควบคุมการปล่อยจ่าย (payout controls)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การควบคุม</w:t>
            </w:r>
          </w:p>
        </w:tc>
        <w:tc>
          <w:tcPr/>
          <w:p>
            <w:pPr>
              <w:pStyle w:val="Compact"/>
            </w:pPr>
            <w:r>
              <w:t xml:space="preserve">นโยบาย</w:t>
            </w:r>
          </w:p>
        </w:tc>
      </w:tr>
      <w:tr>
        <w:tc>
          <w:tcPr/>
          <w:p>
            <w:pPr>
              <w:pStyle w:val="Compact"/>
            </w:pPr>
            <w:r>
              <w:t xml:space="preserve">Maker-checker</w:t>
            </w:r>
          </w:p>
        </w:tc>
        <w:tc>
          <w:tcPr/>
          <w:p>
            <w:pPr>
              <w:pStyle w:val="Compact"/>
            </w:pPr>
            <w:r>
              <w:t xml:space="preserve">payout เกิน threshold (เช่น &gt; 1,000,000 บาท/รอบ/ร้านค้า —</w:t>
            </w:r>
            <w:r>
              <w:t xml:space="preserve"> </w:t>
            </w:r>
            <w:r>
              <w:rPr>
                <w:b/>
                <w:bCs/>
              </w:rPr>
              <w:t xml:space="preserve">ค่าตั้งต้น ปรับได้</w:t>
            </w:r>
            <w:r>
              <w:t xml:space="preserve">) ต้องมีผู้อนุมัติ 2 คน</w:t>
            </w:r>
          </w:p>
        </w:tc>
      </w:tr>
      <w:tr>
        <w:tc>
          <w:tcPr/>
          <w:p>
            <w:pPr>
              <w:pStyle w:val="Compact"/>
            </w:pPr>
            <w:r>
              <w:t xml:space="preserve">Dual control</w:t>
            </w:r>
          </w:p>
        </w:tc>
        <w:tc>
          <w:tcPr/>
          <w:p>
            <w:pPr>
              <w:pStyle w:val="Compact"/>
            </w:pPr>
            <w:r>
              <w:t xml:space="preserve">คำสั่งโอน batch ต้องอนุมัติโดยผู้มีสิทธิ์ต่างคนจากผู้สร้าง</w:t>
            </w:r>
          </w:p>
        </w:tc>
      </w:tr>
      <w:tr>
        <w:tc>
          <w:tcPr/>
          <w:p>
            <w:pPr>
              <w:pStyle w:val="Compact"/>
            </w:pPr>
            <w:r>
              <w:t xml:space="preserve">AML/Sanction</w:t>
            </w:r>
          </w:p>
        </w:tc>
        <w:tc>
          <w:tcPr/>
          <w:p>
            <w:pPr>
              <w:pStyle w:val="Compact"/>
            </w:pPr>
            <w:r>
              <w:t xml:space="preserve">ก่อนจ่าย ตรวจกับ sanction screening (ปปง./AMLO, OFAC/UN lists) — ดู</w:t>
            </w:r>
            <w:r>
              <w:t xml:space="preserve"> </w:t>
            </w:r>
            <w:r>
              <w:rPr>
                <w:rStyle w:val="VerbatimChar"/>
              </w:rPr>
              <w:t xml:space="preserve">06-sanctions-screening.md</w:t>
            </w:r>
            <w:r>
              <w:t xml:space="preserve">; พบ hit → ระงับ + escalate</w:t>
            </w:r>
          </w:p>
        </w:tc>
      </w:tr>
      <w:tr>
        <w:tc>
          <w:tcPr/>
          <w:p>
            <w:pPr>
              <w:pStyle w:val="Compact"/>
            </w:pPr>
            <w:r>
              <w:t xml:space="preserve">Hold / reserve</w:t>
            </w:r>
          </w:p>
        </w:tc>
        <w:tc>
          <w:tcPr/>
          <w:p>
            <w:pPr>
              <w:pStyle w:val="Compact"/>
            </w:pPr>
            <w:r>
              <w:t xml:space="preserve">ระงับหรือหักสำรองตามนโยบายความเสี่ยง (rolling reserve)</w:t>
            </w:r>
          </w:p>
        </w:tc>
      </w:tr>
      <w:tr>
        <w:tc>
          <w:tcPr/>
          <w:p>
            <w:pPr>
              <w:pStyle w:val="Compact"/>
            </w:pPr>
            <w:r>
              <w:t xml:space="preserve">ธุรกรรมผิดปกติ</w:t>
            </w:r>
          </w:p>
        </w:tc>
        <w:tc>
          <w:tcPr/>
          <w:p>
            <w:pPr>
              <w:pStyle w:val="Compact"/>
            </w:pPr>
            <w:r>
              <w:t xml:space="preserve">ยอดผิดปกติ/spike เข้าเกณฑ์รายงานตาม</w:t>
            </w:r>
            <w:r>
              <w:t xml:space="preserve"> </w:t>
            </w:r>
            <w:r>
              <w:rPr>
                <w:rStyle w:val="VerbatimChar"/>
              </w:rPr>
              <w:t xml:space="preserve">07-sar-str-procedure.md</w:t>
            </w:r>
          </w:p>
        </w:tc>
      </w:tr>
    </w:tbl>
    <w:p>
      <w:r>
        <w:pict>
          <v:rect style="width:0;height:1.5pt" o:hralign="center" o:hrstd="t" o:hr="t"/>
        </w:pict>
      </w:r>
    </w:p>
    <w:bookmarkEnd w:id="949"/>
    <w:bookmarkEnd w:id="950"/>
    <w:bookmarkStart w:id="956" w:name="การกระทบยอด-reconciliation"/>
    <w:p>
      <w:pPr>
        <w:pStyle w:val="Heading2"/>
      </w:pPr>
      <w:r>
        <w:t xml:space="preserve">5. การกระทบยอด (Reconciliation)</w:t>
      </w:r>
    </w:p>
    <w:bookmarkStart w:id="951" w:name="หลกการ-4"/>
    <w:p>
      <w:pPr>
        <w:pStyle w:val="Heading3"/>
      </w:pPr>
      <w:r>
        <w:t xml:space="preserve">5.1 หลักการ</w:t>
      </w:r>
    </w:p>
    <w:p>
      <w:pPr>
        <w:pStyle w:val="FirstParagraph"/>
      </w:pPr>
      <w:r>
        <w:t xml:space="preserve">กระทบยอด</w:t>
      </w:r>
      <w:r>
        <w:t xml:space="preserve"> </w:t>
      </w:r>
      <w:r>
        <w:rPr>
          <w:b/>
          <w:bCs/>
        </w:rPr>
        <w:t xml:space="preserve">3 ทาง (three-way match)</w:t>
      </w:r>
      <w:r>
        <w:t xml:space="preserve"> </w:t>
      </w:r>
      <w:r>
        <w:t xml:space="preserve">ทุกวันทำการ:</w:t>
      </w:r>
    </w:p>
    <w:p>
      <w:pPr>
        <w:pStyle w:val="SourceCode"/>
      </w:pPr>
      <w:r>
        <w:rPr>
          <w:rStyle w:val="VerbatimChar"/>
        </w:rPr>
        <w:t xml:space="preserve">Internal Ledger (ledger_entries)  ⇄  Acquirer/Scheme settlement file  ⇄  Bank statement (เงินเข้าจริง)</w:t>
      </w:r>
    </w:p>
    <w:p>
      <w:pPr>
        <w:pStyle w:val="FirstParagraph"/>
      </w:pPr>
      <w:r>
        <w:t xml:space="preserve">ledger ภายในเป็น source of truth เชิงบัญชี — แต่</w:t>
      </w:r>
      <w:r>
        <w:t xml:space="preserve"> </w:t>
      </w:r>
      <w:r>
        <w:rPr>
          <w:b/>
          <w:bCs/>
        </w:rPr>
        <w:t xml:space="preserve">เงินจริงต้องตรงกับที่ acquirer และธนาคารยืนยัน</w:t>
      </w:r>
      <w:r>
        <w:t xml:space="preserve"> </w:t>
      </w:r>
      <w:r>
        <w:t xml:space="preserve">ก่อนปิดรอบ</w:t>
      </w:r>
    </w:p>
    <w:bookmarkEnd w:id="951"/>
    <w:bookmarkStart w:id="952" w:name="รอบและขอบเขต"/>
    <w:p>
      <w:pPr>
        <w:pStyle w:val="Heading3"/>
      </w:pPr>
      <w:r>
        <w:t xml:space="preserve">5.2 รอบและขอบเขต</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รอบ</w:t>
            </w:r>
          </w:p>
        </w:tc>
        <w:tc>
          <w:tcPr/>
          <w:p>
            <w:pPr>
              <w:pStyle w:val="Compact"/>
            </w:pPr>
            <w:r>
              <w:t xml:space="preserve">สิ่งที่ทำ</w:t>
            </w:r>
          </w:p>
        </w:tc>
      </w:tr>
      <w:tr>
        <w:tc>
          <w:tcPr/>
          <w:p>
            <w:pPr>
              <w:pStyle w:val="Compact"/>
            </w:pPr>
            <w:r>
              <w:rPr>
                <w:b/>
                <w:bCs/>
              </w:rPr>
              <w:t xml:space="preserve">รายวัน (T+1 เช้า)</w:t>
            </w:r>
          </w:p>
        </w:tc>
        <w:tc>
          <w:tcPr/>
          <w:p>
            <w:pPr>
              <w:pStyle w:val="Compact"/>
            </w:pPr>
            <w:r>
              <w:t xml:space="preserve">ดึงไฟล์ settlement/clearing จาก acquirer → จับคู่รายการต่อรายการกับ</w:t>
            </w:r>
            <w:r>
              <w:t xml:space="preserve"> </w:t>
            </w:r>
            <w:r>
              <w:rPr>
                <w:rStyle w:val="VerbatimChar"/>
              </w:rPr>
              <w:t xml:space="preserve">ledger_entries</w:t>
            </w:r>
            <w:r>
              <w:t xml:space="preserve"> </w:t>
            </w:r>
            <w:r>
              <w:t xml:space="preserve">ด้วย</w:t>
            </w:r>
            <w:r>
              <w:t xml:space="preserve"> </w:t>
            </w:r>
            <w:r>
              <w:rPr>
                <w:rStyle w:val="VerbatimChar"/>
              </w:rPr>
              <w:t xml:space="preserve">acquirer_ref</w:t>
            </w:r>
            <w:r>
              <w:t xml:space="preserve">/</w:t>
            </w:r>
            <w:r>
              <w:rPr>
                <w:rStyle w:val="VerbatimChar"/>
              </w:rPr>
              <w:t xml:space="preserve">auth_code</w:t>
            </w:r>
            <w:r>
              <w:t xml:space="preserve">/RRN</w:t>
            </w:r>
          </w:p>
        </w:tc>
      </w:tr>
      <w:tr>
        <w:tc>
          <w:tcPr/>
          <w:p>
            <w:pPr>
              <w:pStyle w:val="Compact"/>
            </w:pPr>
            <w:r>
              <w:rPr>
                <w:b/>
                <w:bCs/>
              </w:rPr>
              <w:t xml:space="preserve">ต่อรอบ settlement</w:t>
            </w:r>
          </w:p>
        </w:tc>
        <w:tc>
          <w:tcPr/>
          <w:p>
            <w:pPr>
              <w:pStyle w:val="Compact"/>
            </w:pPr>
            <w:r>
              <w:t xml:space="preserve">กระทบ net payout กับ bank statement เงินเข้าจริง</w:t>
            </w:r>
          </w:p>
        </w:tc>
      </w:tr>
      <w:tr>
        <w:tc>
          <w:tcPr/>
          <w:p>
            <w:pPr>
              <w:pStyle w:val="Compact"/>
            </w:pPr>
            <w:r>
              <w:rPr>
                <w:b/>
                <w:bCs/>
              </w:rPr>
              <w:t xml:space="preserve">รายเดือน</w:t>
            </w:r>
          </w:p>
        </w:tc>
        <w:tc>
          <w:tcPr/>
          <w:p>
            <w:pPr>
              <w:pStyle w:val="Compact"/>
            </w:pPr>
            <w:r>
              <w:t xml:space="preserve">สรุปค่าธรรมเนียม, reserve, chargeback, ยอดคงค้าง; รายงานผู้บริหาร/ธปท. ตามงวด</w:t>
            </w:r>
          </w:p>
        </w:tc>
      </w:tr>
    </w:tbl>
    <w:bookmarkEnd w:id="952"/>
    <w:bookmarkStart w:id="953" w:name="ประเภทความไมตรง-exceptions-และการจดการ"/>
    <w:p>
      <w:pPr>
        <w:pStyle w:val="Heading3"/>
      </w:pPr>
      <w:r>
        <w:t xml:space="preserve">5.3 ประเภทความไม่ตรง (exceptions) และการจัดการ</w:t>
      </w:r>
    </w:p>
    <w:tbl>
      <w:tblPr>
        <w:tblStyle w:val="Table"/>
        <w:tblW w:type="pct" w:w="5000"/>
        <w:tblLayout w:type="fixed"/>
        <w:tblLook w:firstRow="1" w:lastRow="0" w:firstColumn="0" w:lastColumn="0" w:noHBand="0" w:noVBand="0" w:val="0020"/>
      </w:tblPr>
      <w:tblGrid>
        <w:gridCol w:w="2184"/>
        <w:gridCol w:w="2731"/>
        <w:gridCol w:w="3004"/>
      </w:tblGrid>
      <w:tr>
        <w:trPr>
          <w:tblHeader w:val="on"/>
        </w:trPr>
        <w:tc>
          <w:tcPr/>
          <w:p>
            <w:pPr>
              <w:pStyle w:val="Compact"/>
            </w:pPr>
            <w:r>
              <w:t xml:space="preserve">ประเภท</w:t>
            </w:r>
          </w:p>
        </w:tc>
        <w:tc>
          <w:tcPr/>
          <w:p>
            <w:pPr>
              <w:pStyle w:val="Compact"/>
            </w:pPr>
            <w:r>
              <w:t xml:space="preserve">คำอธิบาย</w:t>
            </w:r>
          </w:p>
        </w:tc>
        <w:tc>
          <w:tcPr/>
          <w:p>
            <w:pPr>
              <w:pStyle w:val="Compact"/>
            </w:pPr>
            <w:r>
              <w:t xml:space="preserve">การจัดการ</w:t>
            </w:r>
          </w:p>
        </w:tc>
      </w:tr>
      <w:tr>
        <w:tc>
          <w:tcPr/>
          <w:p>
            <w:pPr>
              <w:pStyle w:val="Compact"/>
            </w:pPr>
            <w:r>
              <w:rPr>
                <w:b/>
                <w:bCs/>
              </w:rPr>
              <w:t xml:space="preserve">Missing at acquirer</w:t>
            </w:r>
          </w:p>
        </w:tc>
        <w:tc>
          <w:tcPr/>
          <w:p>
            <w:pPr>
              <w:pStyle w:val="Compact"/>
            </w:pPr>
            <w:r>
              <w:t xml:space="preserve">มีใน ledger แต่ไม่มีในไฟล์ acquirer</w:t>
            </w:r>
          </w:p>
        </w:tc>
        <w:tc>
          <w:tcPr/>
          <w:p>
            <w:pPr>
              <w:pStyle w:val="Compact"/>
            </w:pPr>
            <w:r>
              <w:t xml:space="preserve">สอบสวน; อาจ auth ไม่ถูก settle → void/expire</w:t>
            </w:r>
          </w:p>
        </w:tc>
      </w:tr>
      <w:tr>
        <w:tc>
          <w:tcPr/>
          <w:p>
            <w:pPr>
              <w:pStyle w:val="Compact"/>
            </w:pPr>
            <w:r>
              <w:rPr>
                <w:b/>
                <w:bCs/>
              </w:rPr>
              <w:t xml:space="preserve">Missing internally</w:t>
            </w:r>
          </w:p>
        </w:tc>
        <w:tc>
          <w:tcPr/>
          <w:p>
            <w:pPr>
              <w:pStyle w:val="Compact"/>
            </w:pPr>
            <w:r>
              <w:t xml:space="preserve">มีในไฟล์ acquirer แต่ไม่มีใน ledger</w:t>
            </w:r>
          </w:p>
        </w:tc>
        <w:tc>
          <w:tcPr/>
          <w:p>
            <w:pPr>
              <w:pStyle w:val="Compact"/>
            </w:pPr>
            <w:r>
              <w:t xml:space="preserve">ตรวจ webhook/authorization ที่หลุด → บันทึกย้อนพร้อม audit</w:t>
            </w:r>
          </w:p>
        </w:tc>
      </w:tr>
      <w:tr>
        <w:tc>
          <w:tcPr/>
          <w:p>
            <w:pPr>
              <w:pStyle w:val="Compact"/>
            </w:pPr>
            <w:r>
              <w:rPr>
                <w:b/>
                <w:bCs/>
              </w:rPr>
              <w:t xml:space="preserve">Amount mismatch</w:t>
            </w:r>
          </w:p>
        </w:tc>
        <w:tc>
          <w:tcPr/>
          <w:p>
            <w:pPr>
              <w:pStyle w:val="Compact"/>
            </w:pPr>
            <w:r>
              <w:t xml:space="preserve">ยอดต่างกัน</w:t>
            </w:r>
          </w:p>
        </w:tc>
        <w:tc>
          <w:tcPr/>
          <w:p>
            <w:pPr>
              <w:pStyle w:val="Compact"/>
            </w:pPr>
            <w:r>
              <w:t xml:space="preserve">ตรวจ FX/fee/partial capture; แก้ด้วย adjustment entry</w:t>
            </w:r>
          </w:p>
        </w:tc>
      </w:tr>
      <w:tr>
        <w:tc>
          <w:tcPr/>
          <w:p>
            <w:pPr>
              <w:pStyle w:val="Compact"/>
            </w:pPr>
            <w:r>
              <w:rPr>
                <w:b/>
                <w:bCs/>
              </w:rPr>
              <w:t xml:space="preserve">Duplicate</w:t>
            </w:r>
          </w:p>
        </w:tc>
        <w:tc>
          <w:tcPr/>
          <w:p>
            <w:pPr>
              <w:pStyle w:val="Compact"/>
            </w:pPr>
            <w:r>
              <w:t xml:space="preserve">รายการซ้ำ</w:t>
            </w:r>
          </w:p>
        </w:tc>
        <w:tc>
          <w:tcPr/>
          <w:p>
            <w:pPr>
              <w:pStyle w:val="Compact"/>
            </w:pPr>
            <w:r>
              <w:t xml:space="preserve">ตรวจ idempotency; ตัดซ้ำ</w:t>
            </w:r>
          </w:p>
        </w:tc>
      </w:tr>
      <w:tr>
        <w:tc>
          <w:tcPr/>
          <w:p>
            <w:pPr>
              <w:pStyle w:val="Compact"/>
            </w:pPr>
            <w:r>
              <w:rPr>
                <w:b/>
                <w:bCs/>
              </w:rPr>
              <w:t xml:space="preserve">Fee mismatch</w:t>
            </w:r>
          </w:p>
        </w:tc>
        <w:tc>
          <w:tcPr/>
          <w:p>
            <w:pPr>
              <w:pStyle w:val="Compact"/>
            </w:pPr>
            <w:r>
              <w:t xml:space="preserve">ค่าธรรมเนียมต่างจากที่คำนวณ</w:t>
            </w:r>
          </w:p>
        </w:tc>
        <w:tc>
          <w:tcPr/>
          <w:p>
            <w:pPr>
              <w:pStyle w:val="Compact"/>
            </w:pPr>
            <w:r>
              <w:t xml:space="preserve">ทบทวนอัตรา; ปรับปรุงตาราง fee</w:t>
            </w:r>
          </w:p>
        </w:tc>
      </w:tr>
      <w:tr>
        <w:tc>
          <w:tcPr/>
          <w:p>
            <w:pPr>
              <w:pStyle w:val="Compact"/>
            </w:pPr>
            <w:r>
              <w:rPr>
                <w:b/>
                <w:bCs/>
              </w:rPr>
              <w:t xml:space="preserve">Chargeback/dispute</w:t>
            </w:r>
          </w:p>
        </w:tc>
        <w:tc>
          <w:tcPr/>
          <w:p>
            <w:pPr>
              <w:pStyle w:val="Compact"/>
            </w:pPr>
            <w:r>
              <w:t xml:space="preserve">รายการโต้แย้งจาก issuer</w:t>
            </w:r>
          </w:p>
        </w:tc>
        <w:tc>
          <w:tcPr/>
          <w:p>
            <w:pPr>
              <w:pStyle w:val="Compact"/>
            </w:pPr>
            <w:r>
              <w:t xml:space="preserve">เข้าสู่ dispute workflow; ปรับ ledger</w:t>
            </w:r>
          </w:p>
        </w:tc>
      </w:tr>
    </w:tbl>
    <w:bookmarkEnd w:id="953"/>
    <w:bookmarkStart w:id="954" w:name="sla-และการยกระดบ-escalation"/>
    <w:p>
      <w:pPr>
        <w:pStyle w:val="Heading3"/>
      </w:pPr>
      <w:r>
        <w:t xml:space="preserve">5.4 SLA และการยกระดับ (escalation)</w:t>
      </w:r>
    </w:p>
    <w:tbl>
      <w:tblPr>
        <w:tblStyle w:val="Table"/>
        <w:tblW w:type="pct" w:w="5000"/>
        <w:tblLayout w:type="fixed"/>
        <w:tblLook w:firstRow="1" w:lastRow="0" w:firstColumn="0" w:lastColumn="0" w:noHBand="0" w:noVBand="0" w:val="0020"/>
      </w:tblPr>
      <w:tblGrid>
        <w:gridCol w:w="1680"/>
        <w:gridCol w:w="1680"/>
        <w:gridCol w:w="2160"/>
        <w:gridCol w:w="2400"/>
      </w:tblGrid>
      <w:tr>
        <w:trPr>
          <w:tblHeader w:val="on"/>
        </w:trPr>
        <w:tc>
          <w:tcPr/>
          <w:p>
            <w:pPr>
              <w:pStyle w:val="Compact"/>
            </w:pPr>
            <w:r>
              <w:t xml:space="preserve">ระดับ</w:t>
            </w:r>
          </w:p>
        </w:tc>
        <w:tc>
          <w:tcPr/>
          <w:p>
            <w:pPr>
              <w:pStyle w:val="Compact"/>
            </w:pPr>
            <w:r>
              <w:t xml:space="preserve">เกณฑ์</w:t>
            </w:r>
          </w:p>
        </w:tc>
        <w:tc>
          <w:tcPr/>
          <w:p>
            <w:pPr>
              <w:pStyle w:val="Compact"/>
            </w:pPr>
            <w:r>
              <w:t xml:space="preserve">เจ้าของ</w:t>
            </w:r>
          </w:p>
        </w:tc>
        <w:tc>
          <w:tcPr/>
          <w:p>
            <w:pPr>
              <w:pStyle w:val="Compact"/>
            </w:pPr>
            <w:r>
              <w:t xml:space="preserve">กรอบเวลา</w:t>
            </w:r>
          </w:p>
        </w:tc>
      </w:tr>
      <w:tr>
        <w:tc>
          <w:tcPr/>
          <w:p>
            <w:pPr>
              <w:pStyle w:val="Compact"/>
            </w:pPr>
            <w:r>
              <w:t xml:space="preserve">L1</w:t>
            </w:r>
          </w:p>
        </w:tc>
        <w:tc>
          <w:tcPr/>
          <w:p>
            <w:pPr>
              <w:pStyle w:val="Compact"/>
            </w:pPr>
            <w:r>
              <w:t xml:space="preserve">รายการ mismatch &lt; threshold</w:t>
            </w:r>
          </w:p>
        </w:tc>
        <w:tc>
          <w:tcPr/>
          <w:p>
            <w:pPr>
              <w:pStyle w:val="Compact"/>
            </w:pPr>
            <w:r>
              <w:t xml:space="preserve">Settlement/Reconciliation Analyst</w:t>
            </w:r>
          </w:p>
        </w:tc>
        <w:tc>
          <w:tcPr/>
          <w:p>
            <w:pPr>
              <w:pStyle w:val="Compact"/>
            </w:pPr>
            <w:r>
              <w:t xml:space="preserve">แก้ภายในวันทำการเดียวกัน</w:t>
            </w:r>
          </w:p>
        </w:tc>
      </w:tr>
      <w:tr>
        <w:tc>
          <w:tcPr/>
          <w:p>
            <w:pPr>
              <w:pStyle w:val="Compact"/>
            </w:pPr>
            <w:r>
              <w:t xml:space="preserve">L2</w:t>
            </w:r>
          </w:p>
        </w:tc>
        <w:tc>
          <w:tcPr/>
          <w:p>
            <w:pPr>
              <w:pStyle w:val="Compact"/>
            </w:pPr>
            <w:r>
              <w:t xml:space="preserve">mismatch มูลค่าสูง / เกินจำนวนที่กำหนด</w:t>
            </w:r>
          </w:p>
        </w:tc>
        <w:tc>
          <w:tcPr/>
          <w:p>
            <w:pPr>
              <w:pStyle w:val="Compact"/>
            </w:pPr>
            <w:r>
              <w:t xml:space="preserve">Reconciliation Lead + Finance</w:t>
            </w:r>
          </w:p>
        </w:tc>
        <w:tc>
          <w:tcPr/>
          <w:p>
            <w:pPr>
              <w:pStyle w:val="Compact"/>
            </w:pPr>
            <w:r>
              <w:t xml:space="preserve">ภายใน 2 วันทำการ</w:t>
            </w:r>
          </w:p>
        </w:tc>
      </w:tr>
      <w:tr>
        <w:tc>
          <w:tcPr/>
          <w:p>
            <w:pPr>
              <w:pStyle w:val="Compact"/>
            </w:pPr>
            <w:r>
              <w:t xml:space="preserve">L3</w:t>
            </w:r>
          </w:p>
        </w:tc>
        <w:tc>
          <w:tcPr/>
          <w:p>
            <w:pPr>
              <w:pStyle w:val="Compact"/>
            </w:pPr>
            <w:r>
              <w:t xml:space="preserve">สงสัยทุจริต / ระบบผิดพลาดวงกว้าง</w:t>
            </w:r>
          </w:p>
        </w:tc>
        <w:tc>
          <w:tcPr/>
          <w:p>
            <w:pPr>
              <w:pStyle w:val="Compact"/>
            </w:pPr>
            <w:r>
              <w:t xml:space="preserve">CFO / CISO + Incident Response (</w:t>
            </w:r>
            <w:r>
              <w:rPr>
                <w:rStyle w:val="VerbatimChar"/>
              </w:rPr>
              <w:t xml:space="preserve">16-incident-response-breach.md</w:t>
            </w:r>
            <w:r>
              <w:t xml:space="preserve">)</w:t>
            </w:r>
          </w:p>
        </w:tc>
        <w:tc>
          <w:tcPr/>
          <w:p>
            <w:pPr>
              <w:pStyle w:val="Compact"/>
            </w:pPr>
            <w:r>
              <w:t xml:space="preserve">เปิดเคสทันที</w:t>
            </w:r>
          </w:p>
        </w:tc>
      </w:tr>
    </w:tbl>
    <w:p>
      <w:pPr>
        <w:pStyle w:val="Compact"/>
        <w:numPr>
          <w:ilvl w:val="0"/>
          <w:numId w:val="1359"/>
        </w:numPr>
      </w:pPr>
      <w:r>
        <w:rPr>
          <w:b/>
          <w:bCs/>
        </w:rPr>
        <w:t xml:space="preserve">นโยบาย fail closed:</w:t>
      </w:r>
      <w:r>
        <w:t xml:space="preserve"> </w:t>
      </w:r>
      <w:r>
        <w:t xml:space="preserve">ห้ามปล่อย payout สำหรับรายการที่ยัง reconcile ไม่ผ่าน</w:t>
      </w:r>
    </w:p>
    <w:p>
      <w:pPr>
        <w:pStyle w:val="Compact"/>
        <w:numPr>
          <w:ilvl w:val="0"/>
          <w:numId w:val="1359"/>
        </w:numPr>
      </w:pPr>
      <w:r>
        <w:rPr>
          <w:b/>
          <w:bCs/>
        </w:rPr>
        <w:t xml:space="preserve">Segregation of duties:</w:t>
      </w:r>
      <w:r>
        <w:t xml:space="preserve"> </w:t>
      </w:r>
      <w:r>
        <w:t xml:space="preserve">ผู้ทำ reconciliation ต้องแยกจากผู้อนุมัติ payout</w:t>
      </w:r>
    </w:p>
    <w:p>
      <w:pPr>
        <w:pStyle w:val="Compact"/>
        <w:numPr>
          <w:ilvl w:val="0"/>
          <w:numId w:val="1359"/>
        </w:numPr>
      </w:pPr>
      <w:r>
        <w:t xml:space="preserve">ผลกระทบยอดและ exception ทั้งหมดลง</w:t>
      </w:r>
      <w:r>
        <w:t xml:space="preserve"> </w:t>
      </w:r>
      <w:r>
        <w:rPr>
          <w:rStyle w:val="VerbatimChar"/>
        </w:rPr>
        <w:t xml:space="preserve">audit_log</w:t>
      </w:r>
      <w:r>
        <w:t xml:space="preserve"> </w:t>
      </w:r>
      <w:r>
        <w:t xml:space="preserve">(append-only) เพื่อ audit trail ตาม ธปท./PCI Req 10</w:t>
      </w:r>
    </w:p>
    <w:bookmarkEnd w:id="954"/>
    <w:bookmarkStart w:id="955" w:name="บทบาทและความรบผดชอบ-raci-ยอ-2"/>
    <w:p>
      <w:pPr>
        <w:pStyle w:val="Heading3"/>
      </w:pPr>
      <w:r>
        <w:t xml:space="preserve">5.5 บทบาทและความรับผิดชอบ (RACI ย่อ)</w:t>
      </w:r>
    </w:p>
    <w:tbl>
      <w:tblPr>
        <w:tblStyle w:val="Table"/>
        <w:tblW w:type="pct" w:w="5000"/>
        <w:tblLayout w:type="fixed"/>
        <w:tblLook w:firstRow="1" w:lastRow="0" w:firstColumn="0" w:lastColumn="0" w:noHBand="0" w:noVBand="0" w:val="0020"/>
      </w:tblPr>
      <w:tblGrid>
        <w:gridCol w:w="3168"/>
        <w:gridCol w:w="1188"/>
        <w:gridCol w:w="1188"/>
        <w:gridCol w:w="1188"/>
        <w:gridCol w:w="1188"/>
      </w:tblGrid>
      <w:tr>
        <w:trPr>
          <w:tblHeader w:val="on"/>
        </w:trPr>
        <w:tc>
          <w:tcPr/>
          <w:p>
            <w:pPr>
              <w:pStyle w:val="Compact"/>
            </w:pPr>
            <w:r>
              <w:t xml:space="preserve">กิจกรรม</w:t>
            </w:r>
          </w:p>
        </w:tc>
        <w:tc>
          <w:tcPr/>
          <w:p>
            <w:pPr>
              <w:pStyle w:val="Compact"/>
            </w:pPr>
            <w:r>
              <w:t xml:space="preserve">R</w:t>
            </w:r>
          </w:p>
        </w:tc>
        <w:tc>
          <w:tcPr/>
          <w:p>
            <w:pPr>
              <w:pStyle w:val="Compact"/>
            </w:pPr>
            <w:r>
              <w:t xml:space="preserve">A</w:t>
            </w:r>
          </w:p>
        </w:tc>
        <w:tc>
          <w:tcPr/>
          <w:p>
            <w:pPr>
              <w:pStyle w:val="Compact"/>
            </w:pPr>
            <w:r>
              <w:t xml:space="preserve">C</w:t>
            </w:r>
          </w:p>
        </w:tc>
        <w:tc>
          <w:tcPr/>
          <w:p>
            <w:pPr>
              <w:pStyle w:val="Compact"/>
            </w:pPr>
            <w:r>
              <w:t xml:space="preserve">I</w:t>
            </w:r>
          </w:p>
        </w:tc>
      </w:tr>
      <w:tr>
        <w:tc>
          <w:tcPr/>
          <w:p>
            <w:pPr>
              <w:pStyle w:val="Compact"/>
            </w:pPr>
            <w:r>
              <w:t xml:space="preserve">ดึง/นำเข้าไฟล์ acquirer</w:t>
            </w:r>
          </w:p>
        </w:tc>
        <w:tc>
          <w:tcPr/>
          <w:p>
            <w:pPr>
              <w:pStyle w:val="Compact"/>
            </w:pPr>
            <w:r>
              <w:t xml:space="preserve">Settlement Engineer</w:t>
            </w:r>
          </w:p>
        </w:tc>
        <w:tc>
          <w:tcPr/>
          <w:p>
            <w:pPr>
              <w:pStyle w:val="Compact"/>
            </w:pPr>
            <w:r>
              <w:t xml:space="preserve">Recon Lead</w:t>
            </w:r>
          </w:p>
        </w:tc>
        <w:tc>
          <w:tcPr/>
          <w:p>
            <w:pPr>
              <w:pStyle w:val="Compact"/>
            </w:pPr>
            <w:r>
              <w:t xml:space="preserve">—</w:t>
            </w:r>
          </w:p>
        </w:tc>
        <w:tc>
          <w:tcPr/>
          <w:p>
            <w:pPr>
              <w:pStyle w:val="Compact"/>
            </w:pPr>
            <w:r>
              <w:t xml:space="preserve">Finance</w:t>
            </w:r>
          </w:p>
        </w:tc>
      </w:tr>
      <w:tr>
        <w:tc>
          <w:tcPr/>
          <w:p>
            <w:pPr>
              <w:pStyle w:val="Compact"/>
            </w:pPr>
            <w:r>
              <w:t xml:space="preserve">จับคู่ + จัดการ exception</w:t>
            </w:r>
          </w:p>
        </w:tc>
        <w:tc>
          <w:tcPr/>
          <w:p>
            <w:pPr>
              <w:pStyle w:val="Compact"/>
            </w:pPr>
            <w:r>
              <w:t xml:space="preserve">Recon Analyst</w:t>
            </w:r>
          </w:p>
        </w:tc>
        <w:tc>
          <w:tcPr/>
          <w:p>
            <w:pPr>
              <w:pStyle w:val="Compact"/>
            </w:pPr>
            <w:r>
              <w:t xml:space="preserve">Recon Lead</w:t>
            </w:r>
          </w:p>
        </w:tc>
        <w:tc>
          <w:tcPr/>
          <w:p>
            <w:pPr>
              <w:pStyle w:val="Compact"/>
            </w:pPr>
            <w:r>
              <w:t xml:space="preserve">Payment Eng</w:t>
            </w:r>
          </w:p>
        </w:tc>
        <w:tc>
          <w:tcPr/>
          <w:p>
            <w:pPr>
              <w:pStyle w:val="Compact"/>
            </w:pPr>
            <w:r>
              <w:t xml:space="preserve">Finance</w:t>
            </w:r>
          </w:p>
        </w:tc>
      </w:tr>
      <w:tr>
        <w:tc>
          <w:tcPr/>
          <w:p>
            <w:pPr>
              <w:pStyle w:val="Compact"/>
            </w:pPr>
            <w:r>
              <w:t xml:space="preserve">อนุมัติ payout</w:t>
            </w:r>
          </w:p>
        </w:tc>
        <w:tc>
          <w:tcPr/>
          <w:p>
            <w:pPr>
              <w:pStyle w:val="Compact"/>
            </w:pPr>
            <w:r>
              <w:t xml:space="preserve">Finance Approver</w:t>
            </w:r>
          </w:p>
        </w:tc>
        <w:tc>
          <w:tcPr/>
          <w:p>
            <w:pPr>
              <w:pStyle w:val="Compact"/>
            </w:pPr>
            <w:r>
              <w:t xml:space="preserve">CFO</w:t>
            </w:r>
          </w:p>
        </w:tc>
        <w:tc>
          <w:tcPr/>
          <w:p>
            <w:pPr>
              <w:pStyle w:val="Compact"/>
            </w:pPr>
            <w:r>
              <w:t xml:space="preserve">Compliance</w:t>
            </w:r>
          </w:p>
        </w:tc>
        <w:tc>
          <w:tcPr/>
          <w:p>
            <w:pPr>
              <w:pStyle w:val="Compact"/>
            </w:pPr>
            <w:r>
              <w:t xml:space="preserve">Merchant</w:t>
            </w:r>
          </w:p>
        </w:tc>
      </w:tr>
      <w:tr>
        <w:tc>
          <w:tcPr/>
          <w:p>
            <w:pPr>
              <w:pStyle w:val="Compact"/>
            </w:pPr>
            <w:r>
              <w:t xml:space="preserve">รายงาน ธปท. เป็นงวด</w:t>
            </w:r>
          </w:p>
        </w:tc>
        <w:tc>
          <w:tcPr/>
          <w:p>
            <w:pPr>
              <w:pStyle w:val="Compact"/>
            </w:pPr>
            <w:r>
              <w:t xml:space="preserve">Compliance</w:t>
            </w:r>
          </w:p>
        </w:tc>
        <w:tc>
          <w:tcPr/>
          <w:p>
            <w:pPr>
              <w:pStyle w:val="Compact"/>
            </w:pPr>
            <w:r>
              <w:t xml:space="preserve">CFO</w:t>
            </w:r>
          </w:p>
        </w:tc>
        <w:tc>
          <w:tcPr/>
          <w:p>
            <w:pPr>
              <w:pStyle w:val="Compact"/>
            </w:pPr>
            <w:r>
              <w:t xml:space="preserve">Legal</w:t>
            </w:r>
          </w:p>
        </w:tc>
        <w:tc>
          <w:tcPr/>
          <w:p>
            <w:pPr>
              <w:pStyle w:val="Compact"/>
            </w:pPr>
            <w:r>
              <w:t xml:space="preserve">ธปท.</w:t>
            </w:r>
          </w:p>
        </w:tc>
      </w:tr>
    </w:tbl>
    <w:p>
      <w:r>
        <w:pict>
          <v:rect style="width:0;height:1.5pt" o:hralign="center" o:hrstd="t" o:hr="t"/>
        </w:pict>
      </w:r>
    </w:p>
    <w:bookmarkEnd w:id="955"/>
    <w:bookmarkEnd w:id="956"/>
    <w:bookmarkStart w:id="957" w:name="X3e4e382da39e6a89c601f9d8c049512210b9863"/>
    <w:p>
      <w:pPr>
        <w:pStyle w:val="Heading2"/>
      </w:pPr>
      <w:r>
        <w:t xml:space="preserve">6. การเก็บรักษาบันทึกและการตรวจสอบ (Records &amp; Audit)</w:t>
      </w:r>
    </w:p>
    <w:p>
      <w:pPr>
        <w:pStyle w:val="Compact"/>
        <w:numPr>
          <w:ilvl w:val="0"/>
          <w:numId w:val="1360"/>
        </w:numPr>
      </w:pPr>
      <w:r>
        <w:rPr>
          <w:b/>
          <w:bCs/>
        </w:rPr>
        <w:t xml:space="preserve">Webhook delivery log</w:t>
      </w:r>
      <w:r>
        <w:t xml:space="preserve"> </w:t>
      </w:r>
      <w:r>
        <w:t xml:space="preserve">(ทุก attempt, response, latency): online ≥ 1 ปี, archive รวม ≥ 2 ปี</w:t>
      </w:r>
    </w:p>
    <w:p>
      <w:pPr>
        <w:pStyle w:val="Compact"/>
        <w:numPr>
          <w:ilvl w:val="0"/>
          <w:numId w:val="1360"/>
        </w:numPr>
      </w:pPr>
      <w:r>
        <w:rPr>
          <w:b/>
          <w:bCs/>
        </w:rPr>
        <w:t xml:space="preserve">Settlement statements &amp; reconciliation reports:</w:t>
      </w:r>
      <w:r>
        <w:t xml:space="preserve"> </w:t>
      </w:r>
      <w:r>
        <w:t xml:space="preserve">เก็บตามระยะเวลาที่ ธปท./กฎหมายบัญชีกำหนด (โดยทั่วไป ≥ 5–10 ปี —</w:t>
      </w:r>
      <w:r>
        <w:t xml:space="preserve"> </w:t>
      </w:r>
      <w:r>
        <w:rPr>
          <w:b/>
          <w:bCs/>
        </w:rPr>
        <w:t xml:space="preserve">[TODO ยืนยันกับที่ปรึกษากฎหมาย]</w:t>
      </w:r>
      <w:r>
        <w:t xml:space="preserve">)</w:t>
      </w:r>
    </w:p>
    <w:p>
      <w:pPr>
        <w:pStyle w:val="Compact"/>
        <w:numPr>
          <w:ilvl w:val="0"/>
          <w:numId w:val="1360"/>
        </w:numPr>
      </w:pPr>
      <w:r>
        <w:rPr>
          <w:b/>
          <w:bCs/>
        </w:rPr>
        <w:t xml:space="preserve">audit_log</w:t>
      </w:r>
      <w:r>
        <w:t xml:space="preserve"> </w:t>
      </w:r>
      <w:r>
        <w:t xml:space="preserve">(append-only): ทุก state change ของ payment/settlement/payout (ARCHITECTURE §6)</w:t>
      </w:r>
    </w:p>
    <w:p>
      <w:pPr>
        <w:pStyle w:val="Compact"/>
        <w:numPr>
          <w:ilvl w:val="0"/>
          <w:numId w:val="1360"/>
        </w:numPr>
      </w:pPr>
      <w:r>
        <w:t xml:space="preserve">บันทึกทั้งหมด</w:t>
      </w:r>
      <w:r>
        <w:t xml:space="preserve"> </w:t>
      </w:r>
      <w:r>
        <w:rPr>
          <w:b/>
          <w:bCs/>
        </w:rPr>
        <w:t xml:space="preserve">ห้ามมี CHD/SAD</w:t>
      </w:r>
      <w:r>
        <w:t xml:space="preserve"> </w:t>
      </w:r>
      <w:r>
        <w:t xml:space="preserve">และปกป้องด้วย access control + integrity monitoring (PCI Req 10)</w:t>
      </w:r>
    </w:p>
    <w:p>
      <w:r>
        <w:pict>
          <v:rect style="width:0;height:1.5pt" o:hralign="center" o:hrstd="t" o:hr="t"/>
        </w:pict>
      </w:r>
    </w:p>
    <w:bookmarkEnd w:id="957"/>
    <w:bookmarkEnd w:id="958"/>
    <w:bookmarkStart w:id="986" w:name="Xa878560b80186dd2550d3784cdfbd13092477a1"/>
    <w:p>
      <w:pPr>
        <w:pStyle w:val="Heading1"/>
      </w:pPr>
      <w:r>
        <w:t xml:space="preserve">Technical spec: webhook signing (HMAC-SHA256), retry policy, settlement schedule (T+n), reconciliation (English)</w:t>
      </w:r>
    </w:p>
    <w:p>
      <w:pPr>
        <w:pStyle w:val="BlockText"/>
      </w:pPr>
      <w:r>
        <w:t xml:space="preserve">Supporting document for the</w:t>
      </w:r>
      <w:r>
        <w:t xml:space="preserve"> </w:t>
      </w:r>
      <w:r>
        <w:rPr>
          <w:b/>
          <w:bCs/>
        </w:rPr>
        <w:t xml:space="preserve">Electronic Payment Acquiring Service (Full Acquiring)</w:t>
      </w:r>
      <w:r>
        <w:t xml:space="preserve"> </w:t>
      </w:r>
      <w:r>
        <w:t xml:space="preserve">licence application</w:t>
      </w:r>
      <w:r>
        <w:t xml:space="preserve"> </w:t>
      </w:r>
      <w:r>
        <w:t xml:space="preserve">under the Payment Systems Act B.E. 2560 to the Bank of Thailand (BOT), and supporting evidence for PCI-DSS v4.0 Level 1.</w:t>
      </w:r>
    </w:p>
    <w:p>
      <w:pPr>
        <w:pStyle w:val="BlockText"/>
      </w:pPr>
      <w:r>
        <w:t xml:space="preserve">Document no.:</w:t>
      </w:r>
      <w:r>
        <w:t xml:space="preserve"> </w:t>
      </w:r>
      <w:r>
        <w:rPr>
          <w:rStyle w:val="VerbatimChar"/>
        </w:rPr>
        <w:t xml:space="preserve">COMP-27</w:t>
      </w:r>
      <w:r>
        <w:t xml:space="preserve"> </w:t>
      </w:r>
      <w:r>
        <w:t xml:space="preserve">· Version 1.0 · Owner: Head of Payment Engineering / CTO (with Settlement &amp; Reconciliation Lead)</w:t>
      </w:r>
      <w:r>
        <w:t xml:space="preserve"> </w:t>
      </w:r>
      <w:r>
        <w:t xml:space="preserve">References:</w:t>
      </w:r>
      <w:r>
        <w:t xml:space="preserve"> </w:t>
      </w:r>
      <w:r>
        <w:rPr>
          <w:rStyle w:val="VerbatimChar"/>
        </w:rPr>
        <w:t xml:space="preserve">COMPLIANCE-TH.md</w:t>
      </w:r>
      <w:r>
        <w:t xml:space="preserve">,</w:t>
      </w:r>
      <w:r>
        <w:t xml:space="preserve"> </w:t>
      </w:r>
      <w:r>
        <w:rPr>
          <w:rStyle w:val="VerbatimChar"/>
        </w:rPr>
        <w:t xml:space="preserve">ARCHITECTURE.md</w:t>
      </w:r>
      <w:r>
        <w:t xml:space="preserve"> </w:t>
      </w:r>
      <w:r>
        <w:t xml:space="preserve">(§4, §5, §6, §8),</w:t>
      </w:r>
      <w:r>
        <w:t xml:space="preserve"> </w:t>
      </w:r>
      <w:r>
        <w:rPr>
          <w:rStyle w:val="VerbatimChar"/>
        </w:rPr>
        <w:t xml:space="preserve">ROADMAP.md</w:t>
      </w:r>
      <w:r>
        <w:t xml:space="preserve"> </w:t>
      </w:r>
      <w:r>
        <w:t xml:space="preserve">(Phase 3),</w:t>
      </w:r>
      <w:r>
        <w:t xml:space="preserve"> </w:t>
      </w:r>
      <w:r>
        <w:rPr>
          <w:rStyle w:val="VerbatimChar"/>
        </w:rPr>
        <w:t xml:space="preserve">docs/compliance/13-it-risk-management.md</w:t>
      </w:r>
      <w:r>
        <w:t xml:space="preserve">,</w:t>
      </w:r>
      <w:r>
        <w:t xml:space="preserve"> </w:t>
      </w:r>
      <w:r>
        <w:rPr>
          <w:rStyle w:val="VerbatimChar"/>
        </w:rPr>
        <w:t xml:space="preserve">docs/compliance/16-incident-response-breach.md</w:t>
      </w:r>
      <w:r>
        <w:t xml:space="preserve">,</w:t>
      </w:r>
      <w:r>
        <w:t xml:space="preserve"> </w:t>
      </w:r>
      <w:r>
        <w:rPr>
          <w:rStyle w:val="VerbatimChar"/>
        </w:rPr>
        <w:t xml:space="preserve">docs/compliance/20-network-segmentation-cde.md</w:t>
      </w:r>
    </w:p>
    <w:p>
      <w:pPr>
        <w:pStyle w:val="BlockText"/>
      </w:pPr>
      <w:r>
        <w:rPr>
          <w:b/>
          <w:bCs/>
        </w:rPr>
        <w:t xml:space="preserve">Note:</w:t>
      </w:r>
      <w:r>
        <w:t xml:space="preserve"> </w:t>
      </w:r>
      <w:r>
        <w:t xml:space="preserve">This is an internal technical/policy document, not legal advice. It must be reviewed by legal counsel and the QSA before formal submission.</w:t>
      </w:r>
    </w:p>
    <w:p>
      <w:r>
        <w:pict>
          <v:rect style="width:0;height:1.5pt" o:hralign="center" o:hrstd="t" o:hr="t"/>
        </w:pict>
      </w:r>
    </w:p>
    <w:p>
      <w:pPr>
        <w:pStyle w:val="Heading3"/>
      </w:pPr>
      <w:bookmarkStart w:id="959" w:name="assumptions-todo-8"/>
      <w:r>
        <w:t xml:space="preserve">⚠️ Assumptions / TODO</w:t>
      </w:r>
      <w:bookmarkEnd w:id="959"/>
    </w:p>
    <w:p>
      <w:pPr>
        <w:pStyle w:val="BlockText"/>
      </w:pPr>
      <w:r>
        <w:t xml:space="preserve">The following depend on external counterparties not yet finalised — do NOT treat as fact until confirmed:</w:t>
      </w:r>
      <w:r>
        <w:t xml:space="preserve"> </w:t>
      </w:r>
      <w:r>
        <w:t xml:space="preserve">-</w:t>
      </w:r>
      <w:r>
        <w:t xml:space="preserve"> </w:t>
      </w:r>
      <w:r>
        <w:rPr>
          <w:b/>
          <w:bCs/>
        </w:rPr>
        <w:t xml:space="preserve">[TODO — Sponsor Bank / Acquirer]</w:t>
      </w:r>
      <w:r>
        <w:t xml:space="preserve"> </w:t>
      </w:r>
      <w:r>
        <w:t xml:space="preserve">Sponsoring bank and card scheme (Visa/Mastercard) not yet signed — the</w:t>
      </w:r>
      <w:r>
        <w:t xml:space="preserve"> </w:t>
      </w:r>
      <w:r>
        <w:rPr>
          <w:b/>
          <w:bCs/>
        </w:rPr>
        <w:t xml:space="preserve">actual settlement window/cut-off, settlement currency, interchange/scheme fees, clearing/settlement file formats (e.g. Visa TC33/VSS, Mastercard IPM/T112) and true T+n</w:t>
      </w:r>
      <w:r>
        <w:t xml:space="preserve"> </w:t>
      </w:r>
      <w:r>
        <w:t xml:space="preserve">can only be set after signature and scheme certification. Values here are</w:t>
      </w:r>
      <w:r>
        <w:t xml:space="preserve"> </w:t>
      </w:r>
      <w:r>
        <w:rPr>
          <w:b/>
          <w:bCs/>
        </w:rPr>
        <w:t xml:space="preserve">design defaults</w:t>
      </w:r>
      <w:r>
        <w:t xml:space="preserve">.</w:t>
      </w:r>
      <w:r>
        <w:t xml:space="preserve"> </w:t>
      </w:r>
      <w:r>
        <w:t xml:space="preserve">-</w:t>
      </w:r>
      <w:r>
        <w:t xml:space="preserve"> </w:t>
      </w:r>
      <w:r>
        <w:rPr>
          <w:b/>
          <w:bCs/>
        </w:rPr>
        <w:t xml:space="preserve">[TODO — Local Rails / ITMX]</w:t>
      </w:r>
      <w:r>
        <w:t xml:space="preserve"> </w:t>
      </w:r>
      <w:r>
        <w:t xml:space="preserve">If local settlement rails (e.g. ITMX for domestic cards) are used, clearing cycles and cut-offs must be confirmed with the switching provider.</w:t>
      </w:r>
      <w:r>
        <w:t xml:space="preserve"> </w:t>
      </w:r>
      <w:r>
        <w:t xml:space="preserve">-</w:t>
      </w:r>
      <w:r>
        <w:t xml:space="preserve"> </w:t>
      </w:r>
      <w:r>
        <w:rPr>
          <w:b/>
          <w:bCs/>
        </w:rPr>
        <w:t xml:space="preserve">[TODO — QSA / ASV]</w:t>
      </w:r>
      <w:r>
        <w:t xml:space="preserve"> </w:t>
      </w:r>
      <w:r>
        <w:t xml:space="preserve">PCI-DSS assessor (QSA) not yet engaged — attestation that webhook payloads carry no CHD/SAD and the key-management controls must be QSA-reviewed.</w:t>
      </w:r>
      <w:r>
        <w:t xml:space="preserve"> </w:t>
      </w:r>
      <w:r>
        <w:t xml:space="preserve">-</w:t>
      </w:r>
      <w:r>
        <w:t xml:space="preserve"> </w:t>
      </w:r>
      <w:r>
        <w:rPr>
          <w:b/>
          <w:bCs/>
        </w:rPr>
        <w:t xml:space="preserve">[TODO — Paid-up capital]</w:t>
      </w:r>
      <w:r>
        <w:t xml:space="preserve"> </w:t>
      </w:r>
      <w:r>
        <w:t xml:space="preserve">Target paid-up registered capital</w:t>
      </w:r>
      <w:r>
        <w:t xml:space="preserve"> </w:t>
      </w:r>
      <w:r>
        <w:rPr>
          <w:b/>
          <w:bCs/>
        </w:rPr>
        <w:t xml:space="preserve">THB 50M</w:t>
      </w:r>
      <w:r>
        <w:t xml:space="preserve"> </w:t>
      </w:r>
      <w:r>
        <w:t xml:space="preserve">(Full Acquiring) — actual paid amount to be confirmed and maintained at ≥ 75% at all times.</w:t>
      </w:r>
      <w:r>
        <w:t xml:space="preserve"> </w:t>
      </w:r>
      <w:r>
        <w:t xml:space="preserve">-</w:t>
      </w:r>
      <w:r>
        <w:t xml:space="preserve"> </w:t>
      </w:r>
      <w:r>
        <w:rPr>
          <w:b/>
          <w:bCs/>
        </w:rPr>
        <w:t xml:space="preserve">[TODO — Company name / real domains]</w:t>
      </w:r>
      <w:r>
        <w:t xml:space="preserve"> </w:t>
      </w:r>
      <w:r>
        <w:rPr>
          <w:rStyle w:val="VerbatimChar"/>
        </w:rPr>
        <w:t xml:space="preserve">[บริษัท / Company]</w:t>
      </w:r>
      <w:r>
        <w:t xml:space="preserve">, the webhook domain (</w:t>
      </w:r>
      <w:r>
        <w:rPr>
          <w:rStyle w:val="VerbatimChar"/>
        </w:rPr>
        <w:t xml:space="preserve">https://webhook.[company].example</w:t>
      </w:r>
      <w:r>
        <w:t xml:space="preserve"> </w:t>
      </w:r>
      <w:r>
        <w:t xml:space="preserve">in examples), and operational thresholds must be populated before submission and the on-site assessment.</w:t>
      </w:r>
    </w:p>
    <w:p>
      <w:r>
        <w:pict>
          <v:rect style="width:0;height:1.5pt" o:hralign="center" o:hrstd="t" o:hr="t"/>
        </w:pict>
      </w:r>
    </w:p>
    <w:bookmarkStart w:id="960" w:name="purpose-scope-9"/>
    <w:p>
      <w:pPr>
        <w:pStyle w:val="Heading2"/>
      </w:pPr>
      <w:r>
        <w:t xml:space="preserve">1. Purpose &amp; Scope</w:t>
      </w:r>
    </w:p>
    <w:p>
      <w:pPr>
        <w:pStyle w:val="FirstParagraph"/>
      </w:pPr>
      <w:r>
        <w:t xml:space="preserve">This document specifies the technical requirements for (a) webhook signing with</w:t>
      </w:r>
      <w:r>
        <w:t xml:space="preserve"> </w:t>
      </w:r>
      <w:r>
        <w:rPr>
          <w:b/>
          <w:bCs/>
        </w:rPr>
        <w:t xml:space="preserve">HMAC-SHA256</w:t>
      </w:r>
      <w:r>
        <w:t xml:space="preserve">, (b) the</w:t>
      </w:r>
      <w:r>
        <w:t xml:space="preserve"> </w:t>
      </w:r>
      <w:r>
        <w:rPr>
          <w:b/>
          <w:bCs/>
        </w:rPr>
        <w:t xml:space="preserve">retry policy</w:t>
      </w:r>
      <w:r>
        <w:t xml:space="preserve">, (c) the merchant</w:t>
      </w:r>
      <w:r>
        <w:t xml:space="preserve"> </w:t>
      </w:r>
      <w:r>
        <w:rPr>
          <w:b/>
          <w:bCs/>
        </w:rPr>
        <w:t xml:space="preserve">settlement schedule (T+n)</w:t>
      </w:r>
      <w:r>
        <w:t xml:space="preserve">, and (d)</w:t>
      </w:r>
      <w:r>
        <w:t xml:space="preserve"> </w:t>
      </w:r>
      <w:r>
        <w:rPr>
          <w:b/>
          <w:bCs/>
        </w:rPr>
        <w:t xml:space="preserve">reconciliation</w:t>
      </w:r>
      <w:r>
        <w:t xml:space="preserve"> </w:t>
      </w:r>
      <w:r>
        <w:t xml:space="preserve">for</w:t>
      </w:r>
      <w:r>
        <w:t xml:space="preserve"> </w:t>
      </w:r>
      <w:r>
        <w:rPr>
          <w:rStyle w:val="VerbatimChar"/>
        </w:rPr>
        <w:t xml:space="preserve">[บริษัท / Company]</w:t>
      </w:r>
      <w:r>
        <w:t xml:space="preserve">, in support of BOT transaction-integrity/audit-trail requirements and</w:t>
      </w:r>
      <w:r>
        <w:t xml:space="preserve"> </w:t>
      </w:r>
      <w:r>
        <w:rPr>
          <w:b/>
          <w:bCs/>
        </w:rPr>
        <w:t xml:space="preserve">PCI-DSS v4.0</w:t>
      </w:r>
      <w:r>
        <w:t xml:space="preserve"> </w:t>
      </w:r>
      <w:r>
        <w:t xml:space="preserve">(Req 4 – encryption in transit, Req 10 – logging and monitoring).</w:t>
      </w:r>
    </w:p>
    <w:p>
      <w:pPr>
        <w:pStyle w:val="BodyText"/>
      </w:pPr>
      <w:r>
        <w:t xml:space="preserve">Principles inherited from</w:t>
      </w:r>
      <w:r>
        <w:t xml:space="preserve"> </w:t>
      </w:r>
      <w:r>
        <w:rPr>
          <w:rStyle w:val="VerbatimChar"/>
        </w:rPr>
        <w:t xml:space="preserve">ARCHITECTURE.md</w:t>
      </w:r>
      <w:r>
        <w:t xml:space="preserve">:</w:t>
      </w:r>
      <w:r>
        <w:t xml:space="preserve"> </w:t>
      </w:r>
      <w:r>
        <w:t xml:space="preserve">-</w:t>
      </w:r>
      <w:r>
        <w:t xml:space="preserve"> </w:t>
      </w:r>
      <w:r>
        <w:rPr>
          <w:b/>
          <w:bCs/>
        </w:rPr>
        <w:t xml:space="preserve">Append-only double-entry ledger</w:t>
      </w:r>
      <w:r>
        <w:t xml:space="preserve"> </w:t>
      </w:r>
      <w:r>
        <w:t xml:space="preserve">is the source of truth for settlement and reconciliation (§2, §6)</w:t>
      </w:r>
      <w:r>
        <w:t xml:space="preserve"> </w:t>
      </w:r>
      <w:r>
        <w:t xml:space="preserve">-</w:t>
      </w:r>
      <w:r>
        <w:t xml:space="preserve"> </w:t>
      </w:r>
      <w:r>
        <w:rPr>
          <w:b/>
          <w:bCs/>
        </w:rPr>
        <w:t xml:space="preserve">Idempotency</w:t>
      </w:r>
      <w:r>
        <w:t xml:space="preserve"> </w:t>
      </w:r>
      <w:r>
        <w:t xml:space="preserve">on every money-moving endpoint (§2)</w:t>
      </w:r>
      <w:r>
        <w:t xml:space="preserve"> </w:t>
      </w:r>
      <w:r>
        <w:t xml:space="preserve">-</w:t>
      </w:r>
      <w:r>
        <w:t xml:space="preserve"> </w:t>
      </w:r>
      <w:r>
        <w:rPr>
          <w:b/>
          <w:bCs/>
        </w:rPr>
        <w:t xml:space="preserve">Webhooks are at-least-once + retry + signed</w:t>
      </w:r>
      <w:r>
        <w:t xml:space="preserve"> </w:t>
      </w:r>
      <w:r>
        <w:t xml:space="preserve">(§4)</w:t>
      </w:r>
      <w:r>
        <w:t xml:space="preserve"> </w:t>
      </w:r>
      <w:r>
        <w:t xml:space="preserve">-</w:t>
      </w:r>
      <w:r>
        <w:t xml:space="preserve"> </w:t>
      </w:r>
      <w:r>
        <w:rPr>
          <w:b/>
          <w:bCs/>
        </w:rPr>
        <w:t xml:space="preserve">Fail closed</w:t>
      </w:r>
      <w:r>
        <w:t xml:space="preserve"> </w:t>
      </w:r>
      <w:r>
        <w:t xml:space="preserve">— if status is uncertain, treat as not-successful and reconcile later (§2)</w:t>
      </w:r>
      <w:r>
        <w:t xml:space="preserve"> </w:t>
      </w:r>
      <w:r>
        <w:t xml:space="preserve">-</w:t>
      </w:r>
      <w:r>
        <w:t xml:space="preserve"> </w:t>
      </w:r>
      <w:r>
        <w:rPr>
          <w:b/>
          <w:bCs/>
        </w:rPr>
        <w:t xml:space="preserve">No CHD/SAD in payloads</w:t>
      </w:r>
      <w:r>
        <w:t xml:space="preserve"> </w:t>
      </w:r>
      <w:r>
        <w:t xml:space="preserve">— only</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w:t>
      </w:r>
      <w:r>
        <w:t xml:space="preserve">are exposed (§6)</w:t>
      </w:r>
    </w:p>
    <w:p>
      <w:r>
        <w:pict>
          <v:rect style="width:0;height:1.5pt" o:hralign="center" o:hrstd="t" o:hr="t"/>
        </w:pict>
      </w:r>
    </w:p>
    <w:bookmarkEnd w:id="960"/>
    <w:bookmarkStart w:id="967" w:name="webhook-signing-hmac-sha256"/>
    <w:p>
      <w:pPr>
        <w:pStyle w:val="Heading2"/>
      </w:pPr>
      <w:r>
        <w:t xml:space="preserve">2. Webhook Signing (HMAC-SHA256)</w:t>
      </w:r>
    </w:p>
    <w:bookmarkStart w:id="961" w:name="principle"/>
    <w:p>
      <w:pPr>
        <w:pStyle w:val="Heading3"/>
      </w:pPr>
      <w:r>
        <w:t xml:space="preserve">2.1 Principle</w:t>
      </w:r>
    </w:p>
    <w:p>
      <w:pPr>
        <w:pStyle w:val="FirstParagraph"/>
      </w:pPr>
      <w:r>
        <w:t xml:space="preserve">Every webhook</w:t>
      </w:r>
      <w:r>
        <w:t xml:space="preserve"> </w:t>
      </w:r>
      <w:r>
        <w:rPr>
          <w:rStyle w:val="VerbatimChar"/>
        </w:rPr>
        <w:t xml:space="preserve">[บริษัท / Company]</w:t>
      </w:r>
      <w:r>
        <w:t xml:space="preserve"> </w:t>
      </w:r>
      <w:r>
        <w:t xml:space="preserve">sends to a merchant endpoint is signed with</w:t>
      </w:r>
      <w:r>
        <w:t xml:space="preserve"> </w:t>
      </w:r>
      <w:r>
        <w:rPr>
          <w:b/>
          <w:bCs/>
        </w:rPr>
        <w:t xml:space="preserve">HMAC-SHA256</w:t>
      </w:r>
      <w:r>
        <w:t xml:space="preserve"> </w:t>
      </w:r>
      <w:r>
        <w:t xml:space="preserve">using a per-merchant</w:t>
      </w:r>
      <w:r>
        <w:t xml:space="preserve"> </w:t>
      </w:r>
      <w:r>
        <w:rPr>
          <w:b/>
          <w:bCs/>
        </w:rPr>
        <w:t xml:space="preserve">webhook signing secret</w:t>
      </w:r>
      <w:r>
        <w:t xml:space="preserve">, allowing the merchant to verify (a) the message truly originates from the gateway (authenticity) and (b) it was not tampered with in transit (integrity).</w:t>
      </w:r>
    </w:p>
    <w:bookmarkEnd w:id="961"/>
    <w:bookmarkStart w:id="962" w:name="signed-payload-construction"/>
    <w:p>
      <w:pPr>
        <w:pStyle w:val="Heading3"/>
      </w:pPr>
      <w:r>
        <w:t xml:space="preserve">2.2 Signed payload construction</w:t>
      </w:r>
    </w:p>
    <w:p>
      <w:pPr>
        <w:pStyle w:val="SourceCode"/>
      </w:pPr>
      <w:r>
        <w:rPr>
          <w:rStyle w:val="VerbatimChar"/>
        </w:rPr>
        <w:t xml:space="preserve">signed_payload = timestamp + "." + raw_request_body</w:t>
      </w:r>
      <w:r>
        <w:br/>
      </w:r>
      <w:r>
        <w:rPr>
          <w:rStyle w:val="VerbatimChar"/>
        </w:rPr>
        <w:t xml:space="preserve">signature      = hex( HMAC_SHA256(signing_secret, signed_payload) )</w:t>
      </w:r>
    </w:p>
    <w:p>
      <w:pPr>
        <w:pStyle w:val="Compact"/>
        <w:numPr>
          <w:ilvl w:val="0"/>
          <w:numId w:val="1361"/>
        </w:numPr>
      </w:pPr>
      <w:r>
        <w:rPr>
          <w:rStyle w:val="VerbatimChar"/>
        </w:rPr>
        <w:t xml:space="preserve">timestamp</w:t>
      </w:r>
      <w:r>
        <w:t xml:space="preserve"> </w:t>
      </w:r>
      <w:r>
        <w:t xml:space="preserve">= Unix epoch (seconds) at signing time</w:t>
      </w:r>
    </w:p>
    <w:p>
      <w:pPr>
        <w:pStyle w:val="Compact"/>
        <w:numPr>
          <w:ilvl w:val="0"/>
          <w:numId w:val="1361"/>
        </w:numPr>
      </w:pPr>
      <w:r>
        <w:rPr>
          <w:rStyle w:val="VerbatimChar"/>
        </w:rPr>
        <w:t xml:space="preserve">raw_request_body</w:t>
      </w:r>
      <w:r>
        <w:t xml:space="preserve"> </w:t>
      </w:r>
      <w:r>
        <w:t xml:space="preserve">= the raw JSON body bytes (sign and verify against raw bytes; never re-serialize)</w:t>
      </w:r>
    </w:p>
    <w:bookmarkEnd w:id="962"/>
    <w:bookmarkStart w:id="963" w:name="http-headers-sent-with-every-webhook"/>
    <w:p>
      <w:pPr>
        <w:pStyle w:val="Heading3"/>
      </w:pPr>
      <w:r>
        <w:t xml:space="preserve">2.3 HTTP headers sent with every webhook</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Header</w:t>
            </w:r>
          </w:p>
        </w:tc>
        <w:tc>
          <w:tcPr/>
          <w:p>
            <w:pPr>
              <w:pStyle w:val="Compact"/>
            </w:pPr>
            <w:r>
              <w:t xml:space="preserve">Example</w:t>
            </w:r>
          </w:p>
        </w:tc>
        <w:tc>
          <w:tcPr/>
          <w:p>
            <w:pPr>
              <w:pStyle w:val="Compact"/>
            </w:pPr>
            <w:r>
              <w:t xml:space="preserve">Meaning</w:t>
            </w:r>
          </w:p>
        </w:tc>
      </w:tr>
      <w:tr>
        <w:tc>
          <w:tcPr/>
          <w:p>
            <w:pPr>
              <w:pStyle w:val="Compact"/>
            </w:pPr>
            <w:r>
              <w:rPr>
                <w:rStyle w:val="VerbatimChar"/>
              </w:rPr>
              <w:t xml:space="preserve">Webhook-Id</w:t>
            </w:r>
          </w:p>
        </w:tc>
        <w:tc>
          <w:tcPr/>
          <w:p>
            <w:pPr>
              <w:pStyle w:val="Compact"/>
            </w:pPr>
            <w:r>
              <w:rPr>
                <w:rStyle w:val="VerbatimChar"/>
              </w:rPr>
              <w:t xml:space="preserve">evt_01HZX...</w:t>
            </w:r>
          </w:p>
        </w:tc>
        <w:tc>
          <w:tcPr/>
          <w:p>
            <w:pPr>
              <w:pStyle w:val="Compact"/>
            </w:pPr>
            <w:r>
              <w:t xml:space="preserve">Unique event id (receiver-side idempotency key)</w:t>
            </w:r>
          </w:p>
        </w:tc>
      </w:tr>
      <w:tr>
        <w:tc>
          <w:tcPr/>
          <w:p>
            <w:pPr>
              <w:pStyle w:val="Compact"/>
            </w:pPr>
            <w:r>
              <w:rPr>
                <w:rStyle w:val="VerbatimChar"/>
              </w:rPr>
              <w:t xml:space="preserve">Webhook-Timestamp</w:t>
            </w:r>
          </w:p>
        </w:tc>
        <w:tc>
          <w:tcPr/>
          <w:p>
            <w:pPr>
              <w:pStyle w:val="Compact"/>
            </w:pPr>
            <w:r>
              <w:rPr>
                <w:rStyle w:val="VerbatimChar"/>
              </w:rPr>
              <w:t xml:space="preserve">1753142400</w:t>
            </w:r>
          </w:p>
        </w:tc>
        <w:tc>
          <w:tcPr/>
          <w:p>
            <w:pPr>
              <w:pStyle w:val="Compact"/>
            </w:pPr>
            <w:r>
              <w:t xml:space="preserve">Unix epoch seconds, used for replay protection</w:t>
            </w:r>
          </w:p>
        </w:tc>
      </w:tr>
      <w:tr>
        <w:tc>
          <w:tcPr/>
          <w:p>
            <w:pPr>
              <w:pStyle w:val="Compact"/>
            </w:pPr>
            <w:r>
              <w:rPr>
                <w:rStyle w:val="VerbatimChar"/>
              </w:rPr>
              <w:t xml:space="preserve">Webhook-Signature</w:t>
            </w:r>
          </w:p>
        </w:tc>
        <w:tc>
          <w:tcPr/>
          <w:p>
            <w:pPr>
              <w:pStyle w:val="Compact"/>
            </w:pPr>
            <w:r>
              <w:rPr>
                <w:rStyle w:val="VerbatimChar"/>
              </w:rPr>
              <w:t xml:space="preserve">v1=9f86d0...</w:t>
            </w:r>
          </w:p>
        </w:tc>
        <w:tc>
          <w:tcPr/>
          <w:p>
            <w:pPr>
              <w:pStyle w:val="Compact"/>
            </w:pPr>
            <w:r>
              <w:t xml:space="preserve">HMAC-SHA256 signature (multiple space-separated versions supported during key rotation, e.g. </w:t>
            </w:r>
            <w:r>
              <w:rPr>
                <w:rStyle w:val="VerbatimChar"/>
              </w:rPr>
              <w:t xml:space="preserve">v1=... v1=...</w:t>
            </w:r>
            <w:r>
              <w:t xml:space="preserve">)</w:t>
            </w:r>
          </w:p>
        </w:tc>
      </w:tr>
      <w:tr>
        <w:tc>
          <w:tcPr/>
          <w:p>
            <w:pPr>
              <w:pStyle w:val="Compact"/>
            </w:pPr>
            <w:r>
              <w:rPr>
                <w:rStyle w:val="VerbatimChar"/>
              </w:rPr>
              <w:t xml:space="preserve">Content-Type</w:t>
            </w:r>
          </w:p>
        </w:tc>
        <w:tc>
          <w:tcPr/>
          <w:p>
            <w:pPr>
              <w:pStyle w:val="Compact"/>
            </w:pPr>
            <w:r>
              <w:rPr>
                <w:rStyle w:val="VerbatimChar"/>
              </w:rPr>
              <w:t xml:space="preserve">application/json</w:t>
            </w:r>
          </w:p>
        </w:tc>
        <w:tc>
          <w:tcPr/>
          <w:p>
            <w:pPr>
              <w:pStyle w:val="Compact"/>
            </w:pPr>
          </w:p>
        </w:tc>
      </w:tr>
      <w:tr>
        <w:tc>
          <w:tcPr/>
          <w:p>
            <w:pPr>
              <w:pStyle w:val="Compact"/>
            </w:pPr>
            <w:r>
              <w:rPr>
                <w:rStyle w:val="VerbatimChar"/>
              </w:rPr>
              <w:t xml:space="preserve">User-Agent</w:t>
            </w:r>
          </w:p>
        </w:tc>
        <w:tc>
          <w:tcPr/>
          <w:p>
            <w:pPr>
              <w:pStyle w:val="Compact"/>
            </w:pPr>
            <w:r>
              <w:rPr>
                <w:rStyle w:val="VerbatimChar"/>
              </w:rPr>
              <w:t xml:space="preserve">[Company]-Webhook/1.0</w:t>
            </w:r>
          </w:p>
        </w:tc>
        <w:tc>
          <w:tcPr/>
          <w:p>
            <w:pPr>
              <w:pStyle w:val="Compact"/>
            </w:pPr>
          </w:p>
        </w:tc>
      </w:tr>
    </w:tbl>
    <w:bookmarkEnd w:id="963"/>
    <w:bookmarkStart w:id="964" w:name="X2ffdfb865c3bbd97a0ee8018dbdcc143f424f35"/>
    <w:p>
      <w:pPr>
        <w:pStyle w:val="Heading3"/>
      </w:pPr>
      <w:r>
        <w:t xml:space="preserve">2.4 Merchant-side verification steps (must be documented in the integration guide)</w:t>
      </w:r>
    </w:p>
    <w:p>
      <w:pPr>
        <w:pStyle w:val="Compact"/>
        <w:numPr>
          <w:ilvl w:val="0"/>
          <w:numId w:val="1362"/>
        </w:numPr>
      </w:pPr>
      <w:r>
        <w:t xml:space="preserve">Read</w:t>
      </w:r>
      <w:r>
        <w:t xml:space="preserve"> </w:t>
      </w:r>
      <w:r>
        <w:rPr>
          <w:rStyle w:val="VerbatimChar"/>
        </w:rPr>
        <w:t xml:space="preserve">Webhook-Timestamp</w:t>
      </w:r>
      <w:r>
        <w:t xml:space="preserve"> </w:t>
      </w:r>
      <w:r>
        <w:t xml:space="preserve">and compare to now —</w:t>
      </w:r>
      <w:r>
        <w:t xml:space="preserve"> </w:t>
      </w:r>
      <w:r>
        <w:rPr>
          <w:b/>
          <w:bCs/>
        </w:rPr>
        <w:t xml:space="preserve">reject if outside ±5 minutes (300s)</w:t>
      </w:r>
      <w:r>
        <w:t xml:space="preserve"> </w:t>
      </w:r>
      <w:r>
        <w:t xml:space="preserve">to prevent replay.</w:t>
      </w:r>
    </w:p>
    <w:p>
      <w:pPr>
        <w:pStyle w:val="Compact"/>
        <w:numPr>
          <w:ilvl w:val="0"/>
          <w:numId w:val="1362"/>
        </w:numPr>
      </w:pPr>
      <w:r>
        <w:t xml:space="preserve">Compute</w:t>
      </w:r>
      <w:r>
        <w:t xml:space="preserve"> </w:t>
      </w:r>
      <w:r>
        <w:rPr>
          <w:rStyle w:val="VerbatimChar"/>
        </w:rPr>
        <w:t xml:space="preserve">HMAC_SHA256(signing_secret, timestamp + "." + raw_body)</w:t>
      </w:r>
      <w:r>
        <w:t xml:space="preserve"> </w:t>
      </w:r>
      <w:r>
        <w:t xml:space="preserve">over the raw body.</w:t>
      </w:r>
    </w:p>
    <w:p>
      <w:pPr>
        <w:pStyle w:val="Compact"/>
        <w:numPr>
          <w:ilvl w:val="0"/>
          <w:numId w:val="1362"/>
        </w:numPr>
      </w:pPr>
      <w:r>
        <w:t xml:space="preserve">Compare to</w:t>
      </w:r>
      <w:r>
        <w:t xml:space="preserve"> </w:t>
      </w:r>
      <w:r>
        <w:rPr>
          <w:rStyle w:val="VerbatimChar"/>
        </w:rPr>
        <w:t xml:space="preserve">Webhook-Signature</w:t>
      </w:r>
      <w:r>
        <w:t xml:space="preserve"> </w:t>
      </w:r>
      <w:r>
        <w:t xml:space="preserve">using a</w:t>
      </w:r>
      <w:r>
        <w:t xml:space="preserve"> </w:t>
      </w:r>
      <w:r>
        <w:rPr>
          <w:b/>
          <w:bCs/>
        </w:rPr>
        <w:t xml:space="preserve">constant-time comparison</w:t>
      </w:r>
      <w:r>
        <w:t xml:space="preserve"> </w:t>
      </w:r>
      <w:r>
        <w:t xml:space="preserve">(defeats timing attacks).</w:t>
      </w:r>
    </w:p>
    <w:p>
      <w:pPr>
        <w:pStyle w:val="Compact"/>
        <w:numPr>
          <w:ilvl w:val="0"/>
          <w:numId w:val="1362"/>
        </w:numPr>
      </w:pPr>
      <w:r>
        <w:t xml:space="preserve">Check</w:t>
      </w:r>
      <w:r>
        <w:t xml:space="preserve"> </w:t>
      </w:r>
      <w:r>
        <w:rPr>
          <w:rStyle w:val="VerbatimChar"/>
        </w:rPr>
        <w:t xml:space="preserve">Webhook-Id</w:t>
      </w:r>
      <w:r>
        <w:t xml:space="preserve"> </w:t>
      </w:r>
      <w:r>
        <w:t xml:space="preserve">against processed ids — if seen, return</w:t>
      </w:r>
      <w:r>
        <w:t xml:space="preserve"> </w:t>
      </w:r>
      <w:r>
        <w:rPr>
          <w:rStyle w:val="VerbatimChar"/>
        </w:rPr>
        <w:t xml:space="preserve">200</w:t>
      </w:r>
      <w:r>
        <w:t xml:space="preserve"> </w:t>
      </w:r>
      <w:r>
        <w:t xml:space="preserve">and stop (idempotent).</w:t>
      </w:r>
    </w:p>
    <w:bookmarkEnd w:id="964"/>
    <w:bookmarkStart w:id="965" w:name="signing-secret-management-key-rotation"/>
    <w:p>
      <w:pPr>
        <w:pStyle w:val="Heading3"/>
      </w:pPr>
      <w:r>
        <w:t xml:space="preserve">2.5 Signing-secret management &amp; key rotation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Policy</w:t>
            </w:r>
          </w:p>
        </w:tc>
      </w:tr>
      <w:tr>
        <w:tc>
          <w:tcPr/>
          <w:p>
            <w:pPr>
              <w:pStyle w:val="Compact"/>
            </w:pPr>
            <w:r>
              <w:t xml:space="preserve">Generation</w:t>
            </w:r>
          </w:p>
        </w:tc>
        <w:tc>
          <w:tcPr/>
          <w:p>
            <w:pPr>
              <w:pStyle w:val="Compact"/>
            </w:pPr>
            <w:r>
              <w:t xml:space="preserve">CSPRNG, ≥ 256-bit, per-merchant and per-endpoint</w:t>
            </w:r>
          </w:p>
        </w:tc>
      </w:tr>
      <w:tr>
        <w:tc>
          <w:tcPr/>
          <w:p>
            <w:pPr>
              <w:pStyle w:val="Compact"/>
            </w:pPr>
            <w:r>
              <w:t xml:space="preserve">Storage</w:t>
            </w:r>
          </w:p>
        </w:tc>
        <w:tc>
          <w:tcPr/>
          <w:p>
            <w:pPr>
              <w:pStyle w:val="Compact"/>
            </w:pPr>
            <w:r>
              <w:t xml:space="preserve">Encrypted (envelope encryption via KMS) — no plaintext at rest; shown in full only once at creation</w:t>
            </w:r>
          </w:p>
        </w:tc>
      </w:tr>
      <w:tr>
        <w:tc>
          <w:tcPr/>
          <w:p>
            <w:pPr>
              <w:pStyle w:val="Compact"/>
            </w:pPr>
            <w:r>
              <w:t xml:space="preserve">Rotation</w:t>
            </w:r>
          </w:p>
        </w:tc>
        <w:tc>
          <w:tcPr/>
          <w:p>
            <w:pPr>
              <w:pStyle w:val="Compact"/>
            </w:pPr>
            <w:r>
              <w:rPr>
                <w:b/>
                <w:bCs/>
              </w:rPr>
              <w:t xml:space="preserve">Overlapping keys</w:t>
            </w:r>
            <w:r>
              <w:t xml:space="preserve"> </w:t>
            </w:r>
            <w:r>
              <w:t xml:space="preserve">— during rotation, sign with both old and new keys (overlap ≥ 24h)</w:t>
            </w:r>
          </w:p>
        </w:tc>
      </w:tr>
      <w:tr>
        <w:tc>
          <w:tcPr/>
          <w:p>
            <w:pPr>
              <w:pStyle w:val="Compact"/>
            </w:pPr>
            <w:r>
              <w:t xml:space="preserve">Frequency</w:t>
            </w:r>
          </w:p>
        </w:tc>
        <w:tc>
          <w:tcPr/>
          <w:p>
            <w:pPr>
              <w:pStyle w:val="Compact"/>
            </w:pPr>
            <w:r>
              <w:t xml:space="preserve">At least every</w:t>
            </w:r>
            <w:r>
              <w:t xml:space="preserve"> </w:t>
            </w:r>
            <w:r>
              <w:rPr>
                <w:b/>
                <w:bCs/>
              </w:rPr>
              <w:t xml:space="preserve">12 months</w:t>
            </w:r>
            <w:r>
              <w:t xml:space="preserve">, and</w:t>
            </w:r>
            <w:r>
              <w:t xml:space="preserve"> </w:t>
            </w:r>
            <w:r>
              <w:rPr>
                <w:b/>
                <w:bCs/>
              </w:rPr>
              <w:t xml:space="preserve">immediately</w:t>
            </w:r>
            <w:r>
              <w:t xml:space="preserve"> </w:t>
            </w:r>
            <w:r>
              <w:t xml:space="preserve">on suspected compromise</w:t>
            </w:r>
          </w:p>
        </w:tc>
      </w:tr>
      <w:tr>
        <w:tc>
          <w:tcPr/>
          <w:p>
            <w:pPr>
              <w:pStyle w:val="Compact"/>
            </w:pPr>
            <w:r>
              <w:t xml:space="preserve">Revocation</w:t>
            </w:r>
          </w:p>
        </w:tc>
        <w:tc>
          <w:tcPr/>
          <w:p>
            <w:pPr>
              <w:pStyle w:val="Compact"/>
            </w:pPr>
            <w:r>
              <w:t xml:space="preserve">Merchant can rotate via Merchant API / Dashboard; every action written to</w:t>
            </w:r>
            <w:r>
              <w:t xml:space="preserve"> </w:t>
            </w:r>
            <w:r>
              <w:rPr>
                <w:rStyle w:val="VerbatimChar"/>
              </w:rPr>
              <w:t xml:space="preserve">audit_log</w:t>
            </w:r>
          </w:p>
        </w:tc>
      </w:tr>
    </w:tbl>
    <w:bookmarkEnd w:id="965"/>
    <w:bookmarkStart w:id="966" w:name="channel-security"/>
    <w:p>
      <w:pPr>
        <w:pStyle w:val="Heading3"/>
      </w:pPr>
      <w:r>
        <w:t xml:space="preserve">2.6 Channel security</w:t>
      </w:r>
    </w:p>
    <w:p>
      <w:pPr>
        <w:pStyle w:val="Compact"/>
        <w:numPr>
          <w:ilvl w:val="0"/>
          <w:numId w:val="1363"/>
        </w:numPr>
      </w:pPr>
      <w:r>
        <w:t xml:space="preserve">Delivered over</w:t>
      </w:r>
      <w:r>
        <w:t xml:space="preserve"> </w:t>
      </w:r>
      <w:r>
        <w:rPr>
          <w:b/>
          <w:bCs/>
        </w:rPr>
        <w:t xml:space="preserve">HTTPS (TLS 1.2+) only</w:t>
      </w:r>
      <w:r>
        <w:t xml:space="preserve"> </w:t>
      </w:r>
      <w:r>
        <w:t xml:space="preserve">—</w:t>
      </w:r>
      <w:r>
        <w:t xml:space="preserve"> </w:t>
      </w:r>
      <w:r>
        <w:rPr>
          <w:rStyle w:val="VerbatimChar"/>
        </w:rPr>
        <w:t xml:space="preserve">http://</w:t>
      </w:r>
      <w:r>
        <w:t xml:space="preserve"> </w:t>
      </w:r>
      <w:r>
        <w:t xml:space="preserve">endpoints are rejected (PCI Req 4).</w:t>
      </w:r>
    </w:p>
    <w:p>
      <w:pPr>
        <w:pStyle w:val="Compact"/>
        <w:numPr>
          <w:ilvl w:val="0"/>
          <w:numId w:val="1363"/>
        </w:numPr>
      </w:pPr>
      <w:r>
        <w:t xml:space="preserve">HMAC is</w:t>
      </w:r>
      <w:r>
        <w:t xml:space="preserve"> </w:t>
      </w:r>
      <w:r>
        <w:rPr>
          <w:b/>
          <w:bCs/>
        </w:rPr>
        <w:t xml:space="preserve">application-layer authentication</w:t>
      </w:r>
      <w:r>
        <w:t xml:space="preserve"> </w:t>
      </w:r>
      <w:r>
        <w:t xml:space="preserve">in addition to, not a replacement for, TLS.</w:t>
      </w:r>
    </w:p>
    <w:p>
      <w:pPr>
        <w:pStyle w:val="Compact"/>
        <w:numPr>
          <w:ilvl w:val="0"/>
          <w:numId w:val="1363"/>
        </w:numPr>
      </w:pPr>
      <w:r>
        <w:rPr>
          <w:b/>
          <w:bCs/>
        </w:rPr>
        <w:t xml:space="preserve">No CHD/SAD in the payload</w:t>
      </w:r>
      <w:r>
        <w:t xml:space="preserve"> </w:t>
      </w:r>
      <w:r>
        <w:t xml:space="preserve">— only id, status, amount (minor units),</w:t>
      </w:r>
      <w:r>
        <w:t xml:space="preserve"> </w:t>
      </w:r>
      <w:r>
        <w:rPr>
          <w:rStyle w:val="VerbatimChar"/>
        </w:rPr>
        <w:t xml:space="preserve">card_brand</w:t>
      </w:r>
      <w:r>
        <w:t xml:space="preserve">,</w:t>
      </w:r>
      <w:r>
        <w:t xml:space="preserve"> </w:t>
      </w:r>
      <w:r>
        <w:rPr>
          <w:rStyle w:val="VerbatimChar"/>
        </w:rPr>
        <w:t xml:space="preserve">card_last4</w:t>
      </w:r>
      <w:r>
        <w:t xml:space="preserve">, timestamps (per ARCHITECTURE §6).</w:t>
      </w:r>
    </w:p>
    <w:p>
      <w:r>
        <w:pict>
          <v:rect style="width:0;height:1.5pt" o:hralign="center" o:hrstd="t" o:hr="t"/>
        </w:pict>
      </w:r>
    </w:p>
    <w:bookmarkEnd w:id="966"/>
    <w:bookmarkEnd w:id="967"/>
    <w:bookmarkStart w:id="972" w:name="retry-policy"/>
    <w:p>
      <w:pPr>
        <w:pStyle w:val="Heading2"/>
      </w:pPr>
      <w:r>
        <w:t xml:space="preserve">3. Retry Policy</w:t>
      </w:r>
    </w:p>
    <w:bookmarkStart w:id="968" w:name="delivery-guarantee"/>
    <w:p>
      <w:pPr>
        <w:pStyle w:val="Heading3"/>
      </w:pPr>
      <w:r>
        <w:t xml:space="preserve">3.1 Delivery guarantee</w:t>
      </w:r>
    </w:p>
    <w:p>
      <w:pPr>
        <w:pStyle w:val="FirstParagraph"/>
      </w:pPr>
      <w:r>
        <w:t xml:space="preserve">Webhooks are</w:t>
      </w:r>
      <w:r>
        <w:t xml:space="preserve"> </w:t>
      </w:r>
      <w:r>
        <w:rPr>
          <w:b/>
          <w:bCs/>
        </w:rPr>
        <w:t xml:space="preserve">at-least-once</w:t>
      </w:r>
      <w:r>
        <w:t xml:space="preserve">; merchants must build</w:t>
      </w:r>
      <w:r>
        <w:t xml:space="preserve"> </w:t>
      </w:r>
      <w:r>
        <w:rPr>
          <w:b/>
          <w:bCs/>
        </w:rPr>
        <w:t xml:space="preserve">idempotent</w:t>
      </w:r>
      <w:r>
        <w:t xml:space="preserve"> </w:t>
      </w:r>
      <w:r>
        <w:t xml:space="preserve">handlers keyed on</w:t>
      </w:r>
      <w:r>
        <w:t xml:space="preserve"> </w:t>
      </w:r>
      <w:r>
        <w:rPr>
          <w:rStyle w:val="VerbatimChar"/>
        </w:rPr>
        <w:t xml:space="preserve">Webhook-Id</w:t>
      </w:r>
      <w:r>
        <w:t xml:space="preserve">. Delivery is dispatched from the</w:t>
      </w:r>
      <w:r>
        <w:t xml:space="preserve"> </w:t>
      </w:r>
      <w:r>
        <w:rPr>
          <w:rStyle w:val="VerbatimChar"/>
        </w:rPr>
        <w:t xml:space="preserve">webhook_events</w:t>
      </w:r>
      <w:r>
        <w:t xml:space="preserve"> </w:t>
      </w:r>
      <w:r>
        <w:t xml:space="preserve">table (ARCHITECTURE §6) by a dedicated worker.</w:t>
      </w:r>
    </w:p>
    <w:bookmarkEnd w:id="968"/>
    <w:bookmarkStart w:id="969" w:name="success-criteria"/>
    <w:p>
      <w:pPr>
        <w:pStyle w:val="Heading3"/>
      </w:pPr>
      <w:r>
        <w:t xml:space="preserve">3.2 Success criteria</w:t>
      </w:r>
    </w:p>
    <w:p>
      <w:pPr>
        <w:pStyle w:val="Compact"/>
        <w:numPr>
          <w:ilvl w:val="0"/>
          <w:numId w:val="1364"/>
        </w:numPr>
      </w:pPr>
      <w:r>
        <w:t xml:space="preserve">Success = HTTP</w:t>
      </w:r>
      <w:r>
        <w:t xml:space="preserve"> </w:t>
      </w:r>
      <w:r>
        <w:rPr>
          <w:b/>
          <w:bCs/>
        </w:rPr>
        <w:t xml:space="preserve">2xx</w:t>
      </w:r>
      <w:r>
        <w:t xml:space="preserve"> </w:t>
      </w:r>
      <w:r>
        <w:t xml:space="preserve">within a</w:t>
      </w:r>
      <w:r>
        <w:t xml:space="preserve"> </w:t>
      </w:r>
      <w:r>
        <w:rPr>
          <w:b/>
          <w:bCs/>
        </w:rPr>
        <w:t xml:space="preserve">10-second timeout</w:t>
      </w:r>
      <w:r>
        <w:t xml:space="preserve">.</w:t>
      </w:r>
    </w:p>
    <w:p>
      <w:pPr>
        <w:pStyle w:val="Compact"/>
        <w:numPr>
          <w:ilvl w:val="0"/>
          <w:numId w:val="1364"/>
        </w:numPr>
      </w:pPr>
      <w:r>
        <w:t xml:space="preserve">Failure = timeout, connection error, TLS error, or HTTP</w:t>
      </w:r>
      <w:r>
        <w:t xml:space="preserve"> </w:t>
      </w:r>
      <w:r>
        <w:rPr>
          <w:b/>
          <w:bCs/>
        </w:rPr>
        <w:t xml:space="preserve">≥ 300</w:t>
      </w:r>
      <w:r>
        <w:t xml:space="preserve"> </w:t>
      </w:r>
      <w:r>
        <w:t xml:space="preserve">(including un-followed 3xx redirects, 4xx, 5xx).</w:t>
      </w:r>
    </w:p>
    <w:bookmarkEnd w:id="969"/>
    <w:bookmarkStart w:id="970" w:name="backoff-schedule-exponential-jitter"/>
    <w:p>
      <w:pPr>
        <w:pStyle w:val="Heading3"/>
      </w:pPr>
      <w:r>
        <w:t xml:space="preserve">3.3 Backoff schedule (exponential + jitter)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Attempt</w:t>
            </w:r>
          </w:p>
        </w:tc>
        <w:tc>
          <w:tcPr/>
          <w:p>
            <w:pPr>
              <w:pStyle w:val="Compact"/>
            </w:pPr>
            <w:r>
              <w:t xml:space="preserve">Approx. delay from previous</w:t>
            </w:r>
          </w:p>
        </w:tc>
        <w:tc>
          <w:tcPr/>
          <w:p>
            <w:pPr>
              <w:pStyle w:val="Compact"/>
            </w:pPr>
            <w:r>
              <w:t xml:space="preserve">Approx. cumulative</w:t>
            </w:r>
          </w:p>
        </w:tc>
      </w:tr>
      <w:tr>
        <w:tc>
          <w:tcPr/>
          <w:p>
            <w:pPr>
              <w:pStyle w:val="Compact"/>
            </w:pPr>
            <w:r>
              <w:t xml:space="preserve">1 (initial)</w:t>
            </w:r>
          </w:p>
        </w:tc>
        <w:tc>
          <w:tcPr/>
          <w:p>
            <w:pPr>
              <w:pStyle w:val="Compact"/>
            </w:pPr>
            <w:r>
              <w:t xml:space="preserve">immediate</w:t>
            </w:r>
          </w:p>
        </w:tc>
        <w:tc>
          <w:tcPr/>
          <w:p>
            <w:pPr>
              <w:pStyle w:val="Compact"/>
            </w:pPr>
            <w:r>
              <w:t xml:space="preserve">0</w:t>
            </w:r>
          </w:p>
        </w:tc>
      </w:tr>
      <w:tr>
        <w:tc>
          <w:tcPr/>
          <w:p>
            <w:pPr>
              <w:pStyle w:val="Compact"/>
            </w:pPr>
            <w:r>
              <w:t xml:space="preserve">2</w:t>
            </w:r>
          </w:p>
        </w:tc>
        <w:tc>
          <w:tcPr/>
          <w:p>
            <w:pPr>
              <w:pStyle w:val="Compact"/>
            </w:pPr>
            <w:r>
              <w:t xml:space="preserve">+1 min</w:t>
            </w:r>
          </w:p>
        </w:tc>
        <w:tc>
          <w:tcPr/>
          <w:p>
            <w:pPr>
              <w:pStyle w:val="Compact"/>
            </w:pPr>
            <w:r>
              <w:t xml:space="preserve">~1 min</w:t>
            </w:r>
          </w:p>
        </w:tc>
      </w:tr>
      <w:tr>
        <w:tc>
          <w:tcPr/>
          <w:p>
            <w:pPr>
              <w:pStyle w:val="Compact"/>
            </w:pPr>
            <w:r>
              <w:t xml:space="preserve">3</w:t>
            </w:r>
          </w:p>
        </w:tc>
        <w:tc>
          <w:tcPr/>
          <w:p>
            <w:pPr>
              <w:pStyle w:val="Compact"/>
            </w:pPr>
            <w:r>
              <w:t xml:space="preserve">+5 min</w:t>
            </w:r>
          </w:p>
        </w:tc>
        <w:tc>
          <w:tcPr/>
          <w:p>
            <w:pPr>
              <w:pStyle w:val="Compact"/>
            </w:pPr>
            <w:r>
              <w:t xml:space="preserve">~6 min</w:t>
            </w:r>
          </w:p>
        </w:tc>
      </w:tr>
      <w:tr>
        <w:tc>
          <w:tcPr/>
          <w:p>
            <w:pPr>
              <w:pStyle w:val="Compact"/>
            </w:pPr>
            <w:r>
              <w:t xml:space="preserve">4</w:t>
            </w:r>
          </w:p>
        </w:tc>
        <w:tc>
          <w:tcPr/>
          <w:p>
            <w:pPr>
              <w:pStyle w:val="Compact"/>
            </w:pPr>
            <w:r>
              <w:t xml:space="preserve">+30 min</w:t>
            </w:r>
          </w:p>
        </w:tc>
        <w:tc>
          <w:tcPr/>
          <w:p>
            <w:pPr>
              <w:pStyle w:val="Compact"/>
            </w:pPr>
            <w:r>
              <w:t xml:space="preserve">~36 min</w:t>
            </w:r>
          </w:p>
        </w:tc>
      </w:tr>
      <w:tr>
        <w:tc>
          <w:tcPr/>
          <w:p>
            <w:pPr>
              <w:pStyle w:val="Compact"/>
            </w:pPr>
            <w:r>
              <w:t xml:space="preserve">5</w:t>
            </w:r>
          </w:p>
        </w:tc>
        <w:tc>
          <w:tcPr/>
          <w:p>
            <w:pPr>
              <w:pStyle w:val="Compact"/>
            </w:pPr>
            <w:r>
              <w:t xml:space="preserve">+2 h</w:t>
            </w:r>
          </w:p>
        </w:tc>
        <w:tc>
          <w:tcPr/>
          <w:p>
            <w:pPr>
              <w:pStyle w:val="Compact"/>
            </w:pPr>
            <w:r>
              <w:t xml:space="preserve">~2.5 h</w:t>
            </w:r>
          </w:p>
        </w:tc>
      </w:tr>
      <w:tr>
        <w:tc>
          <w:tcPr/>
          <w:p>
            <w:pPr>
              <w:pStyle w:val="Compact"/>
            </w:pPr>
            <w:r>
              <w:t xml:space="preserve">6</w:t>
            </w:r>
          </w:p>
        </w:tc>
        <w:tc>
          <w:tcPr/>
          <w:p>
            <w:pPr>
              <w:pStyle w:val="Compact"/>
            </w:pPr>
            <w:r>
              <w:t xml:space="preserve">+6 h</w:t>
            </w:r>
          </w:p>
        </w:tc>
        <w:tc>
          <w:tcPr/>
          <w:p>
            <w:pPr>
              <w:pStyle w:val="Compact"/>
            </w:pPr>
            <w:r>
              <w:t xml:space="preserve">~9 h</w:t>
            </w:r>
          </w:p>
        </w:tc>
      </w:tr>
      <w:tr>
        <w:tc>
          <w:tcPr/>
          <w:p>
            <w:pPr>
              <w:pStyle w:val="Compact"/>
            </w:pPr>
            <w:r>
              <w:t xml:space="preserve">7–10</w:t>
            </w:r>
          </w:p>
        </w:tc>
        <w:tc>
          <w:tcPr/>
          <w:p>
            <w:pPr>
              <w:pStyle w:val="Compact"/>
            </w:pPr>
            <w:r>
              <w:t xml:space="preserve">+12 h (each)</w:t>
            </w:r>
          </w:p>
        </w:tc>
        <w:tc>
          <w:tcPr/>
          <w:p>
            <w:pPr>
              <w:pStyle w:val="Compact"/>
            </w:pPr>
            <w:r>
              <w:t xml:space="preserve">up to ~72 h (3 days)</w:t>
            </w:r>
          </w:p>
        </w:tc>
      </w:tr>
    </w:tbl>
    <w:p>
      <w:pPr>
        <w:pStyle w:val="Compact"/>
        <w:numPr>
          <w:ilvl w:val="0"/>
          <w:numId w:val="1365"/>
        </w:numPr>
      </w:pPr>
      <w:r>
        <w:t xml:space="preserve">Apply random</w:t>
      </w:r>
      <w:r>
        <w:t xml:space="preserve"> </w:t>
      </w:r>
      <w:r>
        <w:rPr>
          <w:b/>
          <w:bCs/>
        </w:rPr>
        <w:t xml:space="preserve">jitter</w:t>
      </w:r>
      <w:r>
        <w:t xml:space="preserve"> </w:t>
      </w:r>
      <w:r>
        <w:t xml:space="preserve">of ±20% to avoid thundering-herd.</w:t>
      </w:r>
    </w:p>
    <w:p>
      <w:pPr>
        <w:pStyle w:val="Compact"/>
        <w:numPr>
          <w:ilvl w:val="0"/>
          <w:numId w:val="1365"/>
        </w:numPr>
      </w:pPr>
      <w:r>
        <w:t xml:space="preserve">After</w:t>
      </w:r>
      <w:r>
        <w:t xml:space="preserve"> </w:t>
      </w:r>
      <w:r>
        <w:rPr>
          <w:b/>
          <w:bCs/>
        </w:rPr>
        <w:t xml:space="preserve">10 attempts / 72 hours</w:t>
      </w:r>
      <w:r>
        <w:t xml:space="preserve"> </w:t>
      </w:r>
      <w:r>
        <w:t xml:space="preserve">without success → mark the event</w:t>
      </w:r>
      <w:r>
        <w:t xml:space="preserve"> </w:t>
      </w:r>
      <w:r>
        <w:rPr>
          <w:rStyle w:val="VerbatimChar"/>
        </w:rPr>
        <w:t xml:space="preserve">failed</w:t>
      </w:r>
      <w:r>
        <w:t xml:space="preserve"> </w:t>
      </w:r>
      <w:r>
        <w:t xml:space="preserve">and alert the merchant (email/dashboard).</w:t>
      </w:r>
    </w:p>
    <w:bookmarkEnd w:id="970"/>
    <w:bookmarkStart w:id="971" w:name="supporting-mechanisms"/>
    <w:p>
      <w:pPr>
        <w:pStyle w:val="Heading3"/>
      </w:pPr>
      <w:r>
        <w:t xml:space="preserve">3.4 Supporting mechanisms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Mechanism</w:t>
            </w:r>
          </w:p>
        </w:tc>
        <w:tc>
          <w:tcPr/>
          <w:p>
            <w:pPr>
              <w:pStyle w:val="Compact"/>
            </w:pPr>
            <w:r>
              <w:t xml:space="preserve">Detail</w:t>
            </w:r>
          </w:p>
        </w:tc>
      </w:tr>
      <w:tr>
        <w:tc>
          <w:tcPr/>
          <w:p>
            <w:pPr>
              <w:pStyle w:val="Compact"/>
            </w:pPr>
            <w:r>
              <w:rPr>
                <w:b/>
                <w:bCs/>
              </w:rPr>
              <w:t xml:space="preserve">Dead-letter</w:t>
            </w:r>
          </w:p>
        </w:tc>
        <w:tc>
          <w:tcPr/>
          <w:p>
            <w:pPr>
              <w:pStyle w:val="Compact"/>
            </w:pPr>
            <w:r>
              <w:t xml:space="preserve">Permanently failed events go to a dead-letter store for manual replay (requires privilege + audit)</w:t>
            </w:r>
          </w:p>
        </w:tc>
      </w:tr>
      <w:tr>
        <w:tc>
          <w:tcPr/>
          <w:p>
            <w:pPr>
              <w:pStyle w:val="Compact"/>
            </w:pPr>
            <w:r>
              <w:rPr>
                <w:b/>
                <w:bCs/>
              </w:rPr>
              <w:t xml:space="preserve">Manual replay</w:t>
            </w:r>
          </w:p>
        </w:tc>
        <w:tc>
          <w:tcPr/>
          <w:p>
            <w:pPr>
              <w:pStyle w:val="Compact"/>
            </w:pPr>
            <w:r>
              <w:t xml:space="preserve">Merchant/operator can re-send via Dashboard/Admin API (RBAC-controlled)</w:t>
            </w:r>
          </w:p>
        </w:tc>
      </w:tr>
      <w:tr>
        <w:tc>
          <w:tcPr/>
          <w:p>
            <w:pPr>
              <w:pStyle w:val="Compact"/>
            </w:pPr>
            <w:r>
              <w:rPr>
                <w:b/>
                <w:bCs/>
              </w:rPr>
              <w:t xml:space="preserve">Circuit breaker</w:t>
            </w:r>
          </w:p>
        </w:tc>
        <w:tc>
          <w:tcPr/>
          <w:p>
            <w:pPr>
              <w:pStyle w:val="Compact"/>
            </w:pPr>
            <w:r>
              <w:t xml:space="preserve">If a merchant endpoint fails repeatedly, throttle delivery temporarily (back-pressure)</w:t>
            </w:r>
          </w:p>
        </w:tc>
      </w:tr>
      <w:tr>
        <w:tc>
          <w:tcPr/>
          <w:p>
            <w:pPr>
              <w:pStyle w:val="Compact"/>
            </w:pPr>
            <w:r>
              <w:rPr>
                <w:b/>
                <w:bCs/>
              </w:rPr>
              <w:t xml:space="preserve">Ordering</w:t>
            </w:r>
          </w:p>
        </w:tc>
        <w:tc>
          <w:tcPr/>
          <w:p>
            <w:pPr>
              <w:pStyle w:val="Compact"/>
            </w:pPr>
            <w:r>
              <w:t xml:space="preserve">Ordering is not guaranteed — merchants must use payload timestamp/status, not arrival order</w:t>
            </w:r>
          </w:p>
        </w:tc>
      </w:tr>
      <w:tr>
        <w:tc>
          <w:tcPr/>
          <w:p>
            <w:pPr>
              <w:pStyle w:val="Compact"/>
            </w:pPr>
            <w:r>
              <w:rPr>
                <w:b/>
                <w:bCs/>
              </w:rPr>
              <w:t xml:space="preserve">Logging</w:t>
            </w:r>
          </w:p>
        </w:tc>
        <w:tc>
          <w:tcPr/>
          <w:p>
            <w:pPr>
              <w:pStyle w:val="Compact"/>
            </w:pPr>
            <w:r>
              <w:t xml:space="preserve">Every attempt (attempt no., response code, latency) is logged for audit (PCI Req 10); retain ≥ 1 year online + ≥ 1 year archive</w:t>
            </w:r>
          </w:p>
        </w:tc>
      </w:tr>
    </w:tbl>
    <w:p>
      <w:r>
        <w:pict>
          <v:rect style="width:0;height:1.5pt" o:hralign="center" o:hrstd="t" o:hr="t"/>
        </w:pict>
      </w:r>
    </w:p>
    <w:bookmarkEnd w:id="971"/>
    <w:bookmarkEnd w:id="972"/>
    <w:bookmarkStart w:id="978" w:name="settlement-schedule-tn"/>
    <w:p>
      <w:pPr>
        <w:pStyle w:val="Heading2"/>
      </w:pPr>
      <w:r>
        <w:t xml:space="preserve">4. Settlement Schedule (T+n)</w:t>
      </w:r>
    </w:p>
    <w:bookmarkStart w:id="973" w:name="definition-of-tn"/>
    <w:p>
      <w:pPr>
        <w:pStyle w:val="Heading3"/>
      </w:pPr>
      <w:r>
        <w:t xml:space="preserve">4.1 Definition of T+n</w:t>
      </w:r>
    </w:p>
    <w:p>
      <w:pPr>
        <w:pStyle w:val="FirstParagraph"/>
      </w:pPr>
      <w:r>
        <w:rPr>
          <w:rStyle w:val="VerbatimChar"/>
        </w:rPr>
        <w:t xml:space="preserve">T</w:t>
      </w:r>
      <w:r>
        <w:t xml:space="preserve"> </w:t>
      </w:r>
      <w:r>
        <w:t xml:space="preserve">= the</w:t>
      </w:r>
      <w:r>
        <w:t xml:space="preserve"> </w:t>
      </w:r>
      <w:r>
        <w:rPr>
          <w:b/>
          <w:bCs/>
        </w:rPr>
        <w:t xml:space="preserve">business day the transaction is captured and enters the settlement batch (cut-off)</w:t>
      </w:r>
      <w:r>
        <w:t xml:space="preserve"> </w:t>
      </w:r>
      <w:r>
        <w:t xml:space="preserve">— not the authorize date.</w:t>
      </w:r>
      <w:r>
        <w:t xml:space="preserve"> </w:t>
      </w:r>
      <w:r>
        <w:rPr>
          <w:rStyle w:val="VerbatimChar"/>
        </w:rPr>
        <w:t xml:space="preserve">T+n</w:t>
      </w:r>
      <w:r>
        <w:t xml:space="preserve"> </w:t>
      </w:r>
      <w:r>
        <w:t xml:space="preserve">= number of</w:t>
      </w:r>
      <w:r>
        <w:t xml:space="preserve"> </w:t>
      </w:r>
      <w:r>
        <w:rPr>
          <w:b/>
          <w:bCs/>
        </w:rPr>
        <w:t xml:space="preserve">business days</w:t>
      </w:r>
      <w:r>
        <w:t xml:space="preserve"> </w:t>
      </w:r>
      <w:r>
        <w:t xml:space="preserve">after T when net funds land in the merchant account, skipping bank/public holidays per the BOT calendar.</w:t>
      </w:r>
    </w:p>
    <w:bookmarkEnd w:id="973"/>
    <w:bookmarkStart w:id="974" w:name="Xa2d5dca0987ff3d3a0e7d91eeca1f8ae47dec33"/>
    <w:p>
      <w:pPr>
        <w:pStyle w:val="Heading3"/>
      </w:pPr>
      <w:r>
        <w:t xml:space="preserve">4.2 Design-default table (must be confirmed with the sponsor bank)</w:t>
      </w:r>
    </w:p>
    <w:tbl>
      <w:tblPr>
        <w:tblStyle w:val="Table"/>
        <w:tblW w:type="pct" w:w="5000"/>
        <w:tblLayout w:type="fixed"/>
        <w:tblLook w:firstRow="1" w:lastRow="0" w:firstColumn="0" w:lastColumn="0" w:noHBand="0" w:noVBand="0" w:val="0020"/>
      </w:tblPr>
      <w:tblGrid>
        <w:gridCol w:w="4564"/>
        <w:gridCol w:w="2416"/>
        <w:gridCol w:w="939"/>
      </w:tblGrid>
      <w:tr>
        <w:trPr>
          <w:tblHeader w:val="on"/>
        </w:trPr>
        <w:tc>
          <w:tcPr/>
          <w:p>
            <w:pPr>
              <w:pStyle w:val="Compact"/>
            </w:pPr>
            <w:r>
              <w:t xml:space="preserve">Merchant risk tier (MCC/history)</w:t>
            </w:r>
          </w:p>
        </w:tc>
        <w:tc>
          <w:tcPr/>
          <w:p>
            <w:pPr>
              <w:pStyle w:val="Compact"/>
            </w:pPr>
            <w:r>
              <w:t xml:space="preserve">Settlement cycle</w:t>
            </w:r>
          </w:p>
        </w:tc>
        <w:tc>
          <w:tcPr/>
          <w:p>
            <w:pPr>
              <w:pStyle w:val="Compact"/>
            </w:pPr>
            <w:r>
              <w:t xml:space="preserve">Notes</w:t>
            </w:r>
          </w:p>
        </w:tc>
      </w:tr>
      <w:tr>
        <w:tc>
          <w:tcPr/>
          <w:p>
            <w:pPr>
              <w:pStyle w:val="Compact"/>
            </w:pPr>
            <w:r>
              <w:t xml:space="preserve">Low risk (standard retail)</w:t>
            </w:r>
          </w:p>
        </w:tc>
        <w:tc>
          <w:tcPr/>
          <w:p>
            <w:pPr>
              <w:pStyle w:val="Compact"/>
            </w:pPr>
            <w:r>
              <w:rPr>
                <w:b/>
                <w:bCs/>
              </w:rPr>
              <w:t xml:space="preserve">T+2 business days</w:t>
            </w:r>
          </w:p>
        </w:tc>
        <w:tc>
          <w:tcPr/>
          <w:p>
            <w:pPr>
              <w:pStyle w:val="Compact"/>
            </w:pPr>
            <w:r>
              <w:t xml:space="preserve">General default</w:t>
            </w:r>
          </w:p>
        </w:tc>
      </w:tr>
      <w:tr>
        <w:tc>
          <w:tcPr/>
          <w:p>
            <w:pPr>
              <w:pStyle w:val="Compact"/>
            </w:pPr>
            <w:r>
              <w:t xml:space="preserve">Medium risk</w:t>
            </w:r>
          </w:p>
        </w:tc>
        <w:tc>
          <w:tcPr/>
          <w:p>
            <w:pPr>
              <w:pStyle w:val="Compact"/>
            </w:pPr>
            <w:r>
              <w:t xml:space="preserve">T+3 to T+5 business days</w:t>
            </w:r>
          </w:p>
        </w:tc>
        <w:tc>
          <w:tcPr/>
          <w:p>
            <w:pPr>
              <w:pStyle w:val="Compact"/>
            </w:pPr>
            <w:r>
              <w:t xml:space="preserve">Per chargeback ratio / MCC</w:t>
            </w:r>
          </w:p>
        </w:tc>
      </w:tr>
      <w:tr>
        <w:tc>
          <w:tcPr/>
          <w:p>
            <w:pPr>
              <w:pStyle w:val="Compact"/>
            </w:pPr>
            <w:r>
              <w:t xml:space="preserve">High risk / deferred delivery (e.g. travel, pre-order)</w:t>
            </w:r>
          </w:p>
        </w:tc>
        <w:tc>
          <w:tcPr/>
          <w:p>
            <w:pPr>
              <w:pStyle w:val="Compact"/>
            </w:pPr>
            <w:r>
              <w:t xml:space="preserve">T+7+ and</w:t>
            </w:r>
            <w:r>
              <w:t xml:space="preserve"> </w:t>
            </w:r>
            <w:r>
              <w:rPr>
                <w:b/>
                <w:bCs/>
              </w:rPr>
              <w:t xml:space="preserve">rolling reserve</w:t>
            </w:r>
          </w:p>
        </w:tc>
        <w:tc>
          <w:tcPr/>
          <w:p>
            <w:pPr>
              <w:pStyle w:val="Compact"/>
            </w:pPr>
            <w:r>
              <w:t xml:space="preserve">Reserve held to cover chargebacks</w:t>
            </w:r>
          </w:p>
        </w:tc>
      </w:tr>
      <w:tr>
        <w:tc>
          <w:tcPr/>
          <w:p>
            <w:pPr>
              <w:pStyle w:val="Compact"/>
            </w:pPr>
            <w:r>
              <w:t xml:space="preserve">New merchants (initial onboarding)</w:t>
            </w:r>
          </w:p>
        </w:tc>
        <w:tc>
          <w:tcPr/>
          <w:p>
            <w:pPr>
              <w:pStyle w:val="Compact"/>
            </w:pPr>
            <w:r>
              <w:t xml:space="preserve">Temporary hold per risk policy</w:t>
            </w:r>
          </w:p>
        </w:tc>
        <w:tc>
          <w:tcPr/>
          <w:p>
            <w:pPr>
              <w:pStyle w:val="Compact"/>
            </w:pPr>
            <w:r>
              <w:t xml:space="preserve">Reviewed after observation period</w:t>
            </w:r>
          </w:p>
        </w:tc>
      </w:tr>
    </w:tbl>
    <w:p>
      <w:pPr>
        <w:pStyle w:val="BlockText"/>
      </w:pPr>
      <w:r>
        <w:rPr>
          <w:b/>
          <w:bCs/>
        </w:rPr>
        <w:t xml:space="preserve">[TODO — Sponsor Bank]</w:t>
      </w:r>
      <w:r>
        <w:t xml:space="preserve"> </w:t>
      </w:r>
      <w:r>
        <w:t xml:space="preserve">Actual T+n depends on the acquirer/scheme funding cycle and the paying bank’s cut-off.</w:t>
      </w:r>
    </w:p>
    <w:bookmarkEnd w:id="974"/>
    <w:bookmarkStart w:id="975" w:name="net-settlement-calculation"/>
    <w:p>
      <w:pPr>
        <w:pStyle w:val="Heading3"/>
      </w:pPr>
      <w:r>
        <w:t xml:space="preserve">4.3 Net settlement calculation</w:t>
      </w:r>
    </w:p>
    <w:p>
      <w:pPr>
        <w:pStyle w:val="SourceCode"/>
      </w:pPr>
      <w:r>
        <w:rPr>
          <w:rStyle w:val="VerbatimChar"/>
        </w:rPr>
        <w:t xml:space="preserve">gross_captured       = Σ captures in cycle (minor units)</w:t>
      </w:r>
      <w:r>
        <w:br/>
      </w:r>
      <w:r>
        <w:rPr>
          <w:rStyle w:val="VerbatimChar"/>
        </w:rPr>
        <w:t xml:space="preserve">- refunds            = Σ refunds in cycle</w:t>
      </w:r>
      <w:r>
        <w:br/>
      </w:r>
      <w:r>
        <w:rPr>
          <w:rStyle w:val="VerbatimChar"/>
        </w:rPr>
        <w:t xml:space="preserve">- chargebacks        = Σ chargebacks/disputes debited in cycle</w:t>
      </w:r>
      <w:r>
        <w:br/>
      </w:r>
      <w:r>
        <w:rPr>
          <w:rStyle w:val="VerbatimChar"/>
        </w:rPr>
        <w:t xml:space="preserve">- processing_fee      = [Company] fee (MDR)</w:t>
      </w:r>
      <w:r>
        <w:br/>
      </w:r>
      <w:r>
        <w:rPr>
          <w:rStyle w:val="VerbatimChar"/>
        </w:rPr>
        <w:t xml:space="preserve">- interchange/scheme  = network fees [TODO confirm rates]</w:t>
      </w:r>
      <w:r>
        <w:br/>
      </w:r>
      <w:r>
        <w:rPr>
          <w:rStyle w:val="VerbatimChar"/>
        </w:rPr>
        <w:t xml:space="preserve">- rolling_reserve     = reserve withheld (if any)</w:t>
      </w:r>
      <w:r>
        <w:br/>
      </w:r>
      <w:r>
        <w:rPr>
          <w:rStyle w:val="VerbatimChar"/>
        </w:rPr>
        <w:t xml:space="preserve">+ reserve_release     = reserves due for release</w:t>
      </w:r>
      <w:r>
        <w:br/>
      </w:r>
      <w:r>
        <w:rPr>
          <w:rStyle w:val="VerbatimChar"/>
        </w:rPr>
        <w:t xml:space="preserve">= net_payout          → transferred to merchant account</w:t>
      </w:r>
    </w:p>
    <w:p>
      <w:pPr>
        <w:pStyle w:val="Compact"/>
        <w:numPr>
          <w:ilvl w:val="0"/>
          <w:numId w:val="1366"/>
        </w:numPr>
      </w:pPr>
      <w:r>
        <w:t xml:space="preserve">All amounts are</w:t>
      </w:r>
      <w:r>
        <w:t xml:space="preserve"> </w:t>
      </w:r>
      <w:r>
        <w:rPr>
          <w:b/>
          <w:bCs/>
        </w:rPr>
        <w:t xml:space="preserve">integer minor units (satang)</w:t>
      </w:r>
      <w:r>
        <w:t xml:space="preserve"> </w:t>
      </w:r>
      <w:r>
        <w:t xml:space="preserve">— no floats (ARCHITECTURE §2).</w:t>
      </w:r>
    </w:p>
    <w:p>
      <w:pPr>
        <w:pStyle w:val="Compact"/>
        <w:numPr>
          <w:ilvl w:val="0"/>
          <w:numId w:val="1366"/>
        </w:numPr>
      </w:pPr>
      <w:r>
        <w:t xml:space="preserve">Every component is written to</w:t>
      </w:r>
      <w:r>
        <w:t xml:space="preserve"> </w:t>
      </w:r>
      <w:r>
        <w:rPr>
          <w:rStyle w:val="VerbatimChar"/>
        </w:rPr>
        <w:t xml:space="preserve">ledger_entries</w:t>
      </w:r>
      <w:r>
        <w:t xml:space="preserve"> </w:t>
      </w:r>
      <w:r>
        <w:t xml:space="preserve">(</w:t>
      </w:r>
      <w:r>
        <w:rPr>
          <w:rStyle w:val="VerbatimChar"/>
        </w:rPr>
        <w:t xml:space="preserve">entry_type</w:t>
      </w:r>
      <w:r>
        <w:t xml:space="preserve"> </w:t>
      </w:r>
      <w:r>
        <w:t xml:space="preserve">= capture/refund/fee/settlement) as double entries.</w:t>
      </w:r>
    </w:p>
    <w:p>
      <w:pPr>
        <w:pStyle w:val="Compact"/>
        <w:numPr>
          <w:ilvl w:val="0"/>
          <w:numId w:val="1366"/>
        </w:numPr>
      </w:pPr>
      <w:r>
        <w:t xml:space="preserve">Produce a</w:t>
      </w:r>
      <w:r>
        <w:t xml:space="preserve"> </w:t>
      </w:r>
      <w:r>
        <w:rPr>
          <w:b/>
          <w:bCs/>
        </w:rPr>
        <w:t xml:space="preserve">settlement statement</w:t>
      </w:r>
      <w:r>
        <w:t xml:space="preserve"> </w:t>
      </w:r>
      <w:r>
        <w:t xml:space="preserve">per cycle per merchant, cross-referencing every payment.</w:t>
      </w:r>
    </w:p>
    <w:bookmarkEnd w:id="975"/>
    <w:bookmarkStart w:id="976" w:name="settlement-worker-flow-phase-3"/>
    <w:p>
      <w:pPr>
        <w:pStyle w:val="Heading3"/>
      </w:pPr>
      <w:r>
        <w:t xml:space="preserve">4.4 Settlement worker flow (Phase 3)</w:t>
      </w:r>
    </w:p>
    <w:p>
      <w:pPr>
        <w:pStyle w:val="Compact"/>
        <w:numPr>
          <w:ilvl w:val="0"/>
          <w:numId w:val="1367"/>
        </w:numPr>
      </w:pPr>
      <w:r>
        <w:t xml:space="preserve">Batch cut-off at a fixed time (e.g. 23:00 ICT) —</w:t>
      </w:r>
      <w:r>
        <w:t xml:space="preserve"> </w:t>
      </w:r>
      <w:r>
        <w:rPr>
          <w:b/>
          <w:bCs/>
        </w:rPr>
        <w:t xml:space="preserve">[TODO confirm cut-off with acquirer]</w:t>
      </w:r>
      <w:r>
        <w:t xml:space="preserve">.</w:t>
      </w:r>
    </w:p>
    <w:p>
      <w:pPr>
        <w:pStyle w:val="Compact"/>
        <w:numPr>
          <w:ilvl w:val="0"/>
          <w:numId w:val="1367"/>
        </w:numPr>
      </w:pPr>
      <w:r>
        <w:t xml:space="preserve">Aggregate not-yet-settled captured/refunded/chargeback items.</w:t>
      </w:r>
    </w:p>
    <w:p>
      <w:pPr>
        <w:pStyle w:val="Compact"/>
        <w:numPr>
          <w:ilvl w:val="0"/>
          <w:numId w:val="1367"/>
        </w:numPr>
      </w:pPr>
      <w:r>
        <w:t xml:space="preserve">Compute per-merchant net → create statement (status</w:t>
      </w:r>
      <w:r>
        <w:t xml:space="preserve"> </w:t>
      </w:r>
      <w:r>
        <w:rPr>
          <w:rStyle w:val="VerbatimChar"/>
        </w:rPr>
        <w:t xml:space="preserve">pending</w:t>
      </w:r>
      <w:r>
        <w:t xml:space="preserve">).</w:t>
      </w:r>
    </w:p>
    <w:p>
      <w:pPr>
        <w:pStyle w:val="Compact"/>
        <w:numPr>
          <w:ilvl w:val="0"/>
          <w:numId w:val="1367"/>
        </w:numPr>
      </w:pPr>
      <w:r>
        <w:rPr>
          <w:b/>
          <w:bCs/>
        </w:rPr>
        <w:t xml:space="preserve">Reconcile against the acquirer file before paying (see §5)</w:t>
      </w:r>
      <w:r>
        <w:t xml:space="preserve"> </w:t>
      </w:r>
      <w:r>
        <w:t xml:space="preserve">— pay only matched items (fail closed).</w:t>
      </w:r>
    </w:p>
    <w:p>
      <w:pPr>
        <w:pStyle w:val="Compact"/>
        <w:numPr>
          <w:ilvl w:val="0"/>
          <w:numId w:val="1367"/>
        </w:numPr>
      </w:pPr>
      <w:r>
        <w:t xml:space="preserve">Create payout instruction → status</w:t>
      </w:r>
      <w:r>
        <w:t xml:space="preserve"> </w:t>
      </w:r>
      <w:r>
        <w:rPr>
          <w:rStyle w:val="VerbatimChar"/>
        </w:rPr>
        <w:t xml:space="preserve">paid</w:t>
      </w:r>
      <w:r>
        <w:t xml:space="preserve"> </w:t>
      </w:r>
      <w:r>
        <w:t xml:space="preserve">once the transfer is confirmed.</w:t>
      </w:r>
    </w:p>
    <w:p>
      <w:pPr>
        <w:pStyle w:val="Compact"/>
        <w:numPr>
          <w:ilvl w:val="0"/>
          <w:numId w:val="1367"/>
        </w:numPr>
      </w:pPr>
      <w:r>
        <w:t xml:space="preserve">Emit</w:t>
      </w:r>
      <w:r>
        <w:t xml:space="preserve"> </w:t>
      </w:r>
      <w:r>
        <w:rPr>
          <w:rStyle w:val="VerbatimChar"/>
        </w:rPr>
        <w:t xml:space="preserve">payout.paid</w:t>
      </w:r>
      <w:r>
        <w:t xml:space="preserve"> </w:t>
      </w:r>
      <w:r>
        <w:t xml:space="preserve">webhook + expose the statement via Merchant API.</w:t>
      </w:r>
    </w:p>
    <w:p>
      <w:pPr>
        <w:pStyle w:val="Compact"/>
        <w:numPr>
          <w:ilvl w:val="0"/>
          <w:numId w:val="1367"/>
        </w:numPr>
      </w:pPr>
      <w:r>
        <w:t xml:space="preserve">Write every step to</w:t>
      </w:r>
      <w:r>
        <w:t xml:space="preserve"> </w:t>
      </w:r>
      <w:r>
        <w:rPr>
          <w:rStyle w:val="VerbatimChar"/>
        </w:rPr>
        <w:t xml:space="preserve">audit_log</w:t>
      </w:r>
      <w:r>
        <w:t xml:space="preserve"> </w:t>
      </w:r>
      <w:r>
        <w:t xml:space="preserve">(maker-checker for payouts above threshold).</w:t>
      </w:r>
    </w:p>
    <w:bookmarkEnd w:id="976"/>
    <w:bookmarkStart w:id="977" w:name="payout-controls"/>
    <w:p>
      <w:pPr>
        <w:pStyle w:val="Heading3"/>
      </w:pPr>
      <w:r>
        <w:t xml:space="preserve">4.5 Payout controls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Control</w:t>
            </w:r>
          </w:p>
        </w:tc>
        <w:tc>
          <w:tcPr/>
          <w:p>
            <w:pPr>
              <w:pStyle w:val="Compact"/>
            </w:pPr>
            <w:r>
              <w:t xml:space="preserve">Policy</w:t>
            </w:r>
          </w:p>
        </w:tc>
      </w:tr>
      <w:tr>
        <w:tc>
          <w:tcPr/>
          <w:p>
            <w:pPr>
              <w:pStyle w:val="Compact"/>
            </w:pPr>
            <w:r>
              <w:t xml:space="preserve">Maker-checker</w:t>
            </w:r>
          </w:p>
        </w:tc>
        <w:tc>
          <w:tcPr/>
          <w:p>
            <w:pPr>
              <w:pStyle w:val="Compact"/>
            </w:pPr>
            <w:r>
              <w:t xml:space="preserve">Payouts above threshold (e.g. &gt; THB 1,000,000 per cycle per merchant —</w:t>
            </w:r>
            <w:r>
              <w:t xml:space="preserve"> </w:t>
            </w:r>
            <w:r>
              <w:rPr>
                <w:b/>
                <w:bCs/>
              </w:rPr>
              <w:t xml:space="preserve">default, tunable</w:t>
            </w:r>
            <w:r>
              <w:t xml:space="preserve">) need two approvers</w:t>
            </w:r>
          </w:p>
        </w:tc>
      </w:tr>
      <w:tr>
        <w:tc>
          <w:tcPr/>
          <w:p>
            <w:pPr>
              <w:pStyle w:val="Compact"/>
            </w:pPr>
            <w:r>
              <w:t xml:space="preserve">Dual control</w:t>
            </w:r>
          </w:p>
        </w:tc>
        <w:tc>
          <w:tcPr/>
          <w:p>
            <w:pPr>
              <w:pStyle w:val="Compact"/>
            </w:pPr>
            <w:r>
              <w:t xml:space="preserve">Batch transfer instructions approved by someone other than the creator</w:t>
            </w:r>
          </w:p>
        </w:tc>
      </w:tr>
      <w:tr>
        <w:tc>
          <w:tcPr/>
          <w:p>
            <w:pPr>
              <w:pStyle w:val="Compact"/>
            </w:pPr>
            <w:r>
              <w:t xml:space="preserve">AML/Sanctions</w:t>
            </w:r>
          </w:p>
        </w:tc>
        <w:tc>
          <w:tcPr/>
          <w:p>
            <w:pPr>
              <w:pStyle w:val="Compact"/>
            </w:pPr>
            <w:r>
              <w:t xml:space="preserve">Before payout, screen against sanctions lists (AMLO/ปปง., OFAC/UN) — see</w:t>
            </w:r>
            <w:r>
              <w:t xml:space="preserve"> </w:t>
            </w:r>
            <w:r>
              <w:rPr>
                <w:rStyle w:val="VerbatimChar"/>
              </w:rPr>
              <w:t xml:space="preserve">06-sanctions-screening.md</w:t>
            </w:r>
            <w:r>
              <w:t xml:space="preserve">; on a hit → block + escalate</w:t>
            </w:r>
          </w:p>
        </w:tc>
      </w:tr>
      <w:tr>
        <w:tc>
          <w:tcPr/>
          <w:p>
            <w:pPr>
              <w:pStyle w:val="Compact"/>
            </w:pPr>
            <w:r>
              <w:t xml:space="preserve">Hold / reserve</w:t>
            </w:r>
          </w:p>
        </w:tc>
        <w:tc>
          <w:tcPr/>
          <w:p>
            <w:pPr>
              <w:pStyle w:val="Compact"/>
            </w:pPr>
            <w:r>
              <w:t xml:space="preserve">Withhold or reserve per risk policy (rolling reserve)</w:t>
            </w:r>
          </w:p>
        </w:tc>
      </w:tr>
      <w:tr>
        <w:tc>
          <w:tcPr/>
          <w:p>
            <w:pPr>
              <w:pStyle w:val="Compact"/>
            </w:pPr>
            <w:r>
              <w:t xml:space="preserve">Anomalous flows</w:t>
            </w:r>
          </w:p>
        </w:tc>
        <w:tc>
          <w:tcPr/>
          <w:p>
            <w:pPr>
              <w:pStyle w:val="Compact"/>
            </w:pPr>
            <w:r>
              <w:t xml:space="preserve">Unusual amounts/spikes meeting thresholds reported per</w:t>
            </w:r>
            <w:r>
              <w:t xml:space="preserve"> </w:t>
            </w:r>
            <w:r>
              <w:rPr>
                <w:rStyle w:val="VerbatimChar"/>
              </w:rPr>
              <w:t xml:space="preserve">07-sar-str-procedure.md</w:t>
            </w:r>
          </w:p>
        </w:tc>
      </w:tr>
    </w:tbl>
    <w:p>
      <w:r>
        <w:pict>
          <v:rect style="width:0;height:1.5pt" o:hralign="center" o:hrstd="t" o:hr="t"/>
        </w:pict>
      </w:r>
    </w:p>
    <w:bookmarkEnd w:id="977"/>
    <w:bookmarkEnd w:id="978"/>
    <w:bookmarkStart w:id="984" w:name="reconciliation"/>
    <w:p>
      <w:pPr>
        <w:pStyle w:val="Heading2"/>
      </w:pPr>
      <w:r>
        <w:t xml:space="preserve">5. Reconciliation</w:t>
      </w:r>
    </w:p>
    <w:bookmarkStart w:id="979" w:name="principle-1"/>
    <w:p>
      <w:pPr>
        <w:pStyle w:val="Heading3"/>
      </w:pPr>
      <w:r>
        <w:t xml:space="preserve">5.1 Principle</w:t>
      </w:r>
    </w:p>
    <w:p>
      <w:pPr>
        <w:pStyle w:val="FirstParagraph"/>
      </w:pPr>
      <w:r>
        <w:t xml:space="preserve">Perform a</w:t>
      </w:r>
      <w:r>
        <w:t xml:space="preserve"> </w:t>
      </w:r>
      <w:r>
        <w:rPr>
          <w:b/>
          <w:bCs/>
        </w:rPr>
        <w:t xml:space="preserve">three-way match</w:t>
      </w:r>
      <w:r>
        <w:t xml:space="preserve"> </w:t>
      </w:r>
      <w:r>
        <w:t xml:space="preserve">every business day:</w:t>
      </w:r>
    </w:p>
    <w:p>
      <w:pPr>
        <w:pStyle w:val="SourceCode"/>
      </w:pPr>
      <w:r>
        <w:rPr>
          <w:rStyle w:val="VerbatimChar"/>
        </w:rPr>
        <w:t xml:space="preserve">Internal Ledger (ledger_entries)  ⇄  Acquirer/Scheme settlement file  ⇄  Bank statement (actual funds in)</w:t>
      </w:r>
    </w:p>
    <w:p>
      <w:pPr>
        <w:pStyle w:val="FirstParagraph"/>
      </w:pPr>
      <w:r>
        <w:t xml:space="preserve">The internal ledger is the accounting source of truth — but</w:t>
      </w:r>
      <w:r>
        <w:t xml:space="preserve"> </w:t>
      </w:r>
      <w:r>
        <w:rPr>
          <w:b/>
          <w:bCs/>
        </w:rPr>
        <w:t xml:space="preserve">real money must match what the acquirer and bank confirm</w:t>
      </w:r>
      <w:r>
        <w:t xml:space="preserve"> </w:t>
      </w:r>
      <w:r>
        <w:t xml:space="preserve">before a cycle is closed.</w:t>
      </w:r>
    </w:p>
    <w:bookmarkEnd w:id="979"/>
    <w:bookmarkStart w:id="980" w:name="cycles-scope"/>
    <w:p>
      <w:pPr>
        <w:pStyle w:val="Heading3"/>
      </w:pPr>
      <w:r>
        <w:t xml:space="preserve">5.2 Cycles &amp; scope</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Cycle</w:t>
            </w:r>
          </w:p>
        </w:tc>
        <w:tc>
          <w:tcPr/>
          <w:p>
            <w:pPr>
              <w:pStyle w:val="Compact"/>
            </w:pPr>
            <w:r>
              <w:t xml:space="preserve">Activity</w:t>
            </w:r>
          </w:p>
        </w:tc>
      </w:tr>
      <w:tr>
        <w:tc>
          <w:tcPr/>
          <w:p>
            <w:pPr>
              <w:pStyle w:val="Compact"/>
            </w:pPr>
            <w:r>
              <w:rPr>
                <w:b/>
                <w:bCs/>
              </w:rPr>
              <w:t xml:space="preserve">Daily (T+1 morning)</w:t>
            </w:r>
          </w:p>
        </w:tc>
        <w:tc>
          <w:tcPr/>
          <w:p>
            <w:pPr>
              <w:pStyle w:val="Compact"/>
            </w:pPr>
            <w:r>
              <w:t xml:space="preserve">Pull acquirer settlement/clearing file → match line-by-line to</w:t>
            </w:r>
            <w:r>
              <w:t xml:space="preserve"> </w:t>
            </w:r>
            <w:r>
              <w:rPr>
                <w:rStyle w:val="VerbatimChar"/>
              </w:rPr>
              <w:t xml:space="preserve">ledger_entries</w:t>
            </w:r>
            <w:r>
              <w:t xml:space="preserve"> </w:t>
            </w:r>
            <w:r>
              <w:t xml:space="preserve">via</w:t>
            </w:r>
            <w:r>
              <w:t xml:space="preserve"> </w:t>
            </w:r>
            <w:r>
              <w:rPr>
                <w:rStyle w:val="VerbatimChar"/>
              </w:rPr>
              <w:t xml:space="preserve">acquirer_ref</w:t>
            </w:r>
            <w:r>
              <w:t xml:space="preserve">/</w:t>
            </w:r>
            <w:r>
              <w:rPr>
                <w:rStyle w:val="VerbatimChar"/>
              </w:rPr>
              <w:t xml:space="preserve">auth_code</w:t>
            </w:r>
            <w:r>
              <w:t xml:space="preserve">/RRN</w:t>
            </w:r>
          </w:p>
        </w:tc>
      </w:tr>
      <w:tr>
        <w:tc>
          <w:tcPr/>
          <w:p>
            <w:pPr>
              <w:pStyle w:val="Compact"/>
            </w:pPr>
            <w:r>
              <w:rPr>
                <w:b/>
                <w:bCs/>
              </w:rPr>
              <w:t xml:space="preserve">Per settlement cycle</w:t>
            </w:r>
          </w:p>
        </w:tc>
        <w:tc>
          <w:tcPr/>
          <w:p>
            <w:pPr>
              <w:pStyle w:val="Compact"/>
            </w:pPr>
            <w:r>
              <w:t xml:space="preserve">Match net payout to actual funds on the bank statement</w:t>
            </w:r>
          </w:p>
        </w:tc>
      </w:tr>
      <w:tr>
        <w:tc>
          <w:tcPr/>
          <w:p>
            <w:pPr>
              <w:pStyle w:val="Compact"/>
            </w:pPr>
            <w:r>
              <w:rPr>
                <w:b/>
                <w:bCs/>
              </w:rPr>
              <w:t xml:space="preserve">Monthly</w:t>
            </w:r>
          </w:p>
        </w:tc>
        <w:tc>
          <w:tcPr/>
          <w:p>
            <w:pPr>
              <w:pStyle w:val="Compact"/>
            </w:pPr>
            <w:r>
              <w:t xml:space="preserve">Summarise fees, reserves, chargebacks, outstanding balances; periodic reports to management/BOT</w:t>
            </w:r>
          </w:p>
        </w:tc>
      </w:tr>
    </w:tbl>
    <w:bookmarkEnd w:id="980"/>
    <w:bookmarkStart w:id="981" w:name="exception-types-handling"/>
    <w:p>
      <w:pPr>
        <w:pStyle w:val="Heading3"/>
      </w:pPr>
      <w:r>
        <w:t xml:space="preserve">5.3 Exception types &amp; handling</w:t>
      </w:r>
    </w:p>
    <w:tbl>
      <w:tblPr>
        <w:tblStyle w:val="Table"/>
        <w:tblW w:type="pct" w:w="5000"/>
        <w:tblLayout w:type="fixed"/>
        <w:tblLook w:firstRow="1" w:lastRow="0" w:firstColumn="0" w:lastColumn="0" w:noHBand="0" w:noVBand="0" w:val="0020"/>
      </w:tblPr>
      <w:tblGrid>
        <w:gridCol w:w="1638"/>
        <w:gridCol w:w="3550"/>
        <w:gridCol w:w="2731"/>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Handling</w:t>
            </w:r>
          </w:p>
        </w:tc>
      </w:tr>
      <w:tr>
        <w:tc>
          <w:tcPr/>
          <w:p>
            <w:pPr>
              <w:pStyle w:val="Compact"/>
            </w:pPr>
            <w:r>
              <w:rPr>
                <w:b/>
                <w:bCs/>
              </w:rPr>
              <w:t xml:space="preserve">Missing at acquirer</w:t>
            </w:r>
          </w:p>
        </w:tc>
        <w:tc>
          <w:tcPr/>
          <w:p>
            <w:pPr>
              <w:pStyle w:val="Compact"/>
            </w:pPr>
            <w:r>
              <w:t xml:space="preserve">In ledger, absent from acquirer file</w:t>
            </w:r>
          </w:p>
        </w:tc>
        <w:tc>
          <w:tcPr/>
          <w:p>
            <w:pPr>
              <w:pStyle w:val="Compact"/>
            </w:pPr>
            <w:r>
              <w:t xml:space="preserve">Investigate; auth may be unsettled → void/expire</w:t>
            </w:r>
          </w:p>
        </w:tc>
      </w:tr>
      <w:tr>
        <w:tc>
          <w:tcPr/>
          <w:p>
            <w:pPr>
              <w:pStyle w:val="Compact"/>
            </w:pPr>
            <w:r>
              <w:rPr>
                <w:b/>
                <w:bCs/>
              </w:rPr>
              <w:t xml:space="preserve">Missing internally</w:t>
            </w:r>
          </w:p>
        </w:tc>
        <w:tc>
          <w:tcPr/>
          <w:p>
            <w:pPr>
              <w:pStyle w:val="Compact"/>
            </w:pPr>
            <w:r>
              <w:t xml:space="preserve">In acquirer file, absent from ledger</w:t>
            </w:r>
          </w:p>
        </w:tc>
        <w:tc>
          <w:tcPr/>
          <w:p>
            <w:pPr>
              <w:pStyle w:val="Compact"/>
            </w:pPr>
            <w:r>
              <w:t xml:space="preserve">Check dropped webhook/authorization → back-post with audit</w:t>
            </w:r>
          </w:p>
        </w:tc>
      </w:tr>
      <w:tr>
        <w:tc>
          <w:tcPr/>
          <w:p>
            <w:pPr>
              <w:pStyle w:val="Compact"/>
            </w:pPr>
            <w:r>
              <w:rPr>
                <w:b/>
                <w:bCs/>
              </w:rPr>
              <w:t xml:space="preserve">Amount mismatch</w:t>
            </w:r>
          </w:p>
        </w:tc>
        <w:tc>
          <w:tcPr/>
          <w:p>
            <w:pPr>
              <w:pStyle w:val="Compact"/>
            </w:pPr>
            <w:r>
              <w:t xml:space="preserve">Amounts differ</w:t>
            </w:r>
          </w:p>
        </w:tc>
        <w:tc>
          <w:tcPr/>
          <w:p>
            <w:pPr>
              <w:pStyle w:val="Compact"/>
            </w:pPr>
            <w:r>
              <w:t xml:space="preserve">Check FX/fee/partial capture; correct via adjustment entry</w:t>
            </w:r>
          </w:p>
        </w:tc>
      </w:tr>
      <w:tr>
        <w:tc>
          <w:tcPr/>
          <w:p>
            <w:pPr>
              <w:pStyle w:val="Compact"/>
            </w:pPr>
            <w:r>
              <w:rPr>
                <w:b/>
                <w:bCs/>
              </w:rPr>
              <w:t xml:space="preserve">Duplicate</w:t>
            </w:r>
          </w:p>
        </w:tc>
        <w:tc>
          <w:tcPr/>
          <w:p>
            <w:pPr>
              <w:pStyle w:val="Compact"/>
            </w:pPr>
            <w:r>
              <w:t xml:space="preserve">Duplicated line</w:t>
            </w:r>
          </w:p>
        </w:tc>
        <w:tc>
          <w:tcPr/>
          <w:p>
            <w:pPr>
              <w:pStyle w:val="Compact"/>
            </w:pPr>
            <w:r>
              <w:t xml:space="preserve">Check idempotency; de-duplicate</w:t>
            </w:r>
          </w:p>
        </w:tc>
      </w:tr>
      <w:tr>
        <w:tc>
          <w:tcPr/>
          <w:p>
            <w:pPr>
              <w:pStyle w:val="Compact"/>
            </w:pPr>
            <w:r>
              <w:rPr>
                <w:b/>
                <w:bCs/>
              </w:rPr>
              <w:t xml:space="preserve">Fee mismatch</w:t>
            </w:r>
          </w:p>
        </w:tc>
        <w:tc>
          <w:tcPr/>
          <w:p>
            <w:pPr>
              <w:pStyle w:val="Compact"/>
            </w:pPr>
            <w:r>
              <w:t xml:space="preserve">Fee differs from computed</w:t>
            </w:r>
          </w:p>
        </w:tc>
        <w:tc>
          <w:tcPr/>
          <w:p>
            <w:pPr>
              <w:pStyle w:val="Compact"/>
            </w:pPr>
            <w:r>
              <w:t xml:space="preserve">Review rates; update fee table</w:t>
            </w:r>
          </w:p>
        </w:tc>
      </w:tr>
      <w:tr>
        <w:tc>
          <w:tcPr/>
          <w:p>
            <w:pPr>
              <w:pStyle w:val="Compact"/>
            </w:pPr>
            <w:r>
              <w:rPr>
                <w:b/>
                <w:bCs/>
              </w:rPr>
              <w:t xml:space="preserve">Chargeback/dispute</w:t>
            </w:r>
          </w:p>
        </w:tc>
        <w:tc>
          <w:tcPr/>
          <w:p>
            <w:pPr>
              <w:pStyle w:val="Compact"/>
            </w:pPr>
            <w:r>
              <w:t xml:space="preserve">Issuer dispute</w:t>
            </w:r>
          </w:p>
        </w:tc>
        <w:tc>
          <w:tcPr/>
          <w:p>
            <w:pPr>
              <w:pStyle w:val="Compact"/>
            </w:pPr>
            <w:r>
              <w:t xml:space="preserve">Enter dispute workflow; adjust ledger</w:t>
            </w:r>
          </w:p>
        </w:tc>
      </w:tr>
    </w:tbl>
    <w:bookmarkEnd w:id="981"/>
    <w:bookmarkStart w:id="982" w:name="sla-escalation"/>
    <w:p>
      <w:pPr>
        <w:pStyle w:val="Heading3"/>
      </w:pPr>
      <w:r>
        <w:t xml:space="preserve">5.4 SLA &amp; escalation</w:t>
      </w:r>
    </w:p>
    <w:tbl>
      <w:tblPr>
        <w:tblStyle w:val="Table"/>
        <w:tblW w:type="pct" w:w="5000"/>
        <w:tblLayout w:type="fixed"/>
        <w:tblLook w:firstRow="1" w:lastRow="0" w:firstColumn="0" w:lastColumn="0" w:noHBand="0" w:noVBand="0" w:val="0020"/>
      </w:tblPr>
      <w:tblGrid>
        <w:gridCol w:w="1630"/>
        <w:gridCol w:w="2096"/>
        <w:gridCol w:w="1630"/>
        <w:gridCol w:w="2562"/>
      </w:tblGrid>
      <w:tr>
        <w:trPr>
          <w:tblHeader w:val="on"/>
        </w:trPr>
        <w:tc>
          <w:tcPr/>
          <w:p>
            <w:pPr>
              <w:pStyle w:val="Compact"/>
            </w:pPr>
            <w:r>
              <w:t xml:space="preserve">Level</w:t>
            </w:r>
          </w:p>
        </w:tc>
        <w:tc>
          <w:tcPr/>
          <w:p>
            <w:pPr>
              <w:pStyle w:val="Compact"/>
            </w:pPr>
            <w:r>
              <w:t xml:space="preserve">Trigger</w:t>
            </w:r>
          </w:p>
        </w:tc>
        <w:tc>
          <w:tcPr/>
          <w:p>
            <w:pPr>
              <w:pStyle w:val="Compact"/>
            </w:pPr>
            <w:r>
              <w:t xml:space="preserve">Owner</w:t>
            </w:r>
          </w:p>
        </w:tc>
        <w:tc>
          <w:tcPr/>
          <w:p>
            <w:pPr>
              <w:pStyle w:val="Compact"/>
            </w:pPr>
            <w:r>
              <w:t xml:space="preserve">Timeframe</w:t>
            </w:r>
          </w:p>
        </w:tc>
      </w:tr>
      <w:tr>
        <w:tc>
          <w:tcPr/>
          <w:p>
            <w:pPr>
              <w:pStyle w:val="Compact"/>
            </w:pPr>
            <w:r>
              <w:t xml:space="preserve">L1</w:t>
            </w:r>
          </w:p>
        </w:tc>
        <w:tc>
          <w:tcPr/>
          <w:p>
            <w:pPr>
              <w:pStyle w:val="Compact"/>
            </w:pPr>
            <w:r>
              <w:t xml:space="preserve">Mismatch &lt; threshold</w:t>
            </w:r>
          </w:p>
        </w:tc>
        <w:tc>
          <w:tcPr/>
          <w:p>
            <w:pPr>
              <w:pStyle w:val="Compact"/>
            </w:pPr>
            <w:r>
              <w:t xml:space="preserve">Settlement/Reconciliation Analyst</w:t>
            </w:r>
          </w:p>
        </w:tc>
        <w:tc>
          <w:tcPr/>
          <w:p>
            <w:pPr>
              <w:pStyle w:val="Compact"/>
            </w:pPr>
            <w:r>
              <w:t xml:space="preserve">Same business day</w:t>
            </w:r>
          </w:p>
        </w:tc>
      </w:tr>
      <w:tr>
        <w:tc>
          <w:tcPr/>
          <w:p>
            <w:pPr>
              <w:pStyle w:val="Compact"/>
            </w:pPr>
            <w:r>
              <w:t xml:space="preserve">L2</w:t>
            </w:r>
          </w:p>
        </w:tc>
        <w:tc>
          <w:tcPr/>
          <w:p>
            <w:pPr>
              <w:pStyle w:val="Compact"/>
            </w:pPr>
            <w:r>
              <w:t xml:space="preserve">High-value / over-threshold mismatch</w:t>
            </w:r>
          </w:p>
        </w:tc>
        <w:tc>
          <w:tcPr/>
          <w:p>
            <w:pPr>
              <w:pStyle w:val="Compact"/>
            </w:pPr>
            <w:r>
              <w:t xml:space="preserve">Reconciliation Lead + Finance</w:t>
            </w:r>
          </w:p>
        </w:tc>
        <w:tc>
          <w:tcPr/>
          <w:p>
            <w:pPr>
              <w:pStyle w:val="Compact"/>
            </w:pPr>
            <w:r>
              <w:t xml:space="preserve">Within 2 business days</w:t>
            </w:r>
          </w:p>
        </w:tc>
      </w:tr>
      <w:tr>
        <w:tc>
          <w:tcPr/>
          <w:p>
            <w:pPr>
              <w:pStyle w:val="Compact"/>
            </w:pPr>
            <w:r>
              <w:t xml:space="preserve">L3</w:t>
            </w:r>
          </w:p>
        </w:tc>
        <w:tc>
          <w:tcPr/>
          <w:p>
            <w:pPr>
              <w:pStyle w:val="Compact"/>
            </w:pPr>
            <w:r>
              <w:t xml:space="preserve">Suspected fraud / wide-scale error</w:t>
            </w:r>
          </w:p>
        </w:tc>
        <w:tc>
          <w:tcPr/>
          <w:p>
            <w:pPr>
              <w:pStyle w:val="Compact"/>
            </w:pPr>
            <w:r>
              <w:t xml:space="preserve">CFO / CISO + Incident Response (</w:t>
            </w:r>
            <w:r>
              <w:rPr>
                <w:rStyle w:val="VerbatimChar"/>
              </w:rPr>
              <w:t xml:space="preserve">16-incident-response-breach.md</w:t>
            </w:r>
            <w:r>
              <w:t xml:space="preserve">)</w:t>
            </w:r>
          </w:p>
        </w:tc>
        <w:tc>
          <w:tcPr/>
          <w:p>
            <w:pPr>
              <w:pStyle w:val="Compact"/>
            </w:pPr>
            <w:r>
              <w:t xml:space="preserve">Open case immediately</w:t>
            </w:r>
          </w:p>
        </w:tc>
      </w:tr>
    </w:tbl>
    <w:p>
      <w:pPr>
        <w:pStyle w:val="Compact"/>
        <w:numPr>
          <w:ilvl w:val="0"/>
          <w:numId w:val="1368"/>
        </w:numPr>
      </w:pPr>
      <w:r>
        <w:rPr>
          <w:b/>
          <w:bCs/>
        </w:rPr>
        <w:t xml:space="preserve">Fail-closed policy:</w:t>
      </w:r>
      <w:r>
        <w:t xml:space="preserve"> </w:t>
      </w:r>
      <w:r>
        <w:t xml:space="preserve">never release payout for items that have not passed reconciliation.</w:t>
      </w:r>
    </w:p>
    <w:p>
      <w:pPr>
        <w:pStyle w:val="Compact"/>
        <w:numPr>
          <w:ilvl w:val="0"/>
          <w:numId w:val="1368"/>
        </w:numPr>
      </w:pPr>
      <w:r>
        <w:rPr>
          <w:b/>
          <w:bCs/>
        </w:rPr>
        <w:t xml:space="preserve">Segregation of duties:</w:t>
      </w:r>
      <w:r>
        <w:t xml:space="preserve"> </w:t>
      </w:r>
      <w:r>
        <w:t xml:space="preserve">reconciliation performers are separate from payout approvers.</w:t>
      </w:r>
    </w:p>
    <w:p>
      <w:pPr>
        <w:pStyle w:val="Compact"/>
        <w:numPr>
          <w:ilvl w:val="0"/>
          <w:numId w:val="1368"/>
        </w:numPr>
      </w:pPr>
      <w:r>
        <w:t xml:space="preserve">All reconciliation results and exceptions are written to</w:t>
      </w:r>
      <w:r>
        <w:t xml:space="preserve"> </w:t>
      </w:r>
      <w:r>
        <w:rPr>
          <w:rStyle w:val="VerbatimChar"/>
        </w:rPr>
        <w:t xml:space="preserve">audit_log</w:t>
      </w:r>
      <w:r>
        <w:t xml:space="preserve"> </w:t>
      </w:r>
      <w:r>
        <w:t xml:space="preserve">(append-only) for the BOT/PCI Req 10 audit trail.</w:t>
      </w:r>
    </w:p>
    <w:bookmarkEnd w:id="982"/>
    <w:bookmarkStart w:id="983" w:name="roles-responsibilities-condensed-raci"/>
    <w:p>
      <w:pPr>
        <w:pStyle w:val="Heading3"/>
      </w:pPr>
      <w:r>
        <w:t xml:space="preserve">5.5 Roles &amp; responsibilities (condensed RACI)</w:t>
      </w:r>
    </w:p>
    <w:tbl>
      <w:tblPr>
        <w:tblStyle w:val="Table"/>
        <w:tblW w:type="pct" w:w="5000"/>
        <w:tblLayout w:type="fixed"/>
        <w:tblLook w:firstRow="1" w:lastRow="0" w:firstColumn="0" w:lastColumn="0" w:noHBand="0" w:noVBand="0" w:val="0020"/>
      </w:tblPr>
      <w:tblGrid>
        <w:gridCol w:w="3600"/>
        <w:gridCol w:w="1080"/>
        <w:gridCol w:w="1080"/>
        <w:gridCol w:w="1080"/>
        <w:gridCol w:w="1080"/>
      </w:tblGrid>
      <w:tr>
        <w:trPr>
          <w:tblHeader w:val="on"/>
        </w:trPr>
        <w:tc>
          <w:tcPr/>
          <w:p>
            <w:pPr>
              <w:pStyle w:val="Compact"/>
            </w:pPr>
            <w:r>
              <w:t xml:space="preserve">Activity</w:t>
            </w:r>
          </w:p>
        </w:tc>
        <w:tc>
          <w:tcPr/>
          <w:p>
            <w:pPr>
              <w:pStyle w:val="Compact"/>
            </w:pPr>
            <w:r>
              <w:t xml:space="preserve">R</w:t>
            </w:r>
          </w:p>
        </w:tc>
        <w:tc>
          <w:tcPr/>
          <w:p>
            <w:pPr>
              <w:pStyle w:val="Compact"/>
            </w:pPr>
            <w:r>
              <w:t xml:space="preserve">A</w:t>
            </w:r>
          </w:p>
        </w:tc>
        <w:tc>
          <w:tcPr/>
          <w:p>
            <w:pPr>
              <w:pStyle w:val="Compact"/>
            </w:pPr>
            <w:r>
              <w:t xml:space="preserve">C</w:t>
            </w:r>
          </w:p>
        </w:tc>
        <w:tc>
          <w:tcPr/>
          <w:p>
            <w:pPr>
              <w:pStyle w:val="Compact"/>
            </w:pPr>
            <w:r>
              <w:t xml:space="preserve">I</w:t>
            </w:r>
          </w:p>
        </w:tc>
      </w:tr>
      <w:tr>
        <w:tc>
          <w:tcPr/>
          <w:p>
            <w:pPr>
              <w:pStyle w:val="Compact"/>
            </w:pPr>
            <w:r>
              <w:t xml:space="preserve">Ingest acquirer file</w:t>
            </w:r>
          </w:p>
        </w:tc>
        <w:tc>
          <w:tcPr/>
          <w:p>
            <w:pPr>
              <w:pStyle w:val="Compact"/>
            </w:pPr>
            <w:r>
              <w:t xml:space="preserve">Settlement Engineer</w:t>
            </w:r>
          </w:p>
        </w:tc>
        <w:tc>
          <w:tcPr/>
          <w:p>
            <w:pPr>
              <w:pStyle w:val="Compact"/>
            </w:pPr>
            <w:r>
              <w:t xml:space="preserve">Recon Lead</w:t>
            </w:r>
          </w:p>
        </w:tc>
        <w:tc>
          <w:tcPr/>
          <w:p>
            <w:pPr>
              <w:pStyle w:val="Compact"/>
            </w:pPr>
            <w:r>
              <w:t xml:space="preserve">—</w:t>
            </w:r>
          </w:p>
        </w:tc>
        <w:tc>
          <w:tcPr/>
          <w:p>
            <w:pPr>
              <w:pStyle w:val="Compact"/>
            </w:pPr>
            <w:r>
              <w:t xml:space="preserve">Finance</w:t>
            </w:r>
          </w:p>
        </w:tc>
      </w:tr>
      <w:tr>
        <w:tc>
          <w:tcPr/>
          <w:p>
            <w:pPr>
              <w:pStyle w:val="Compact"/>
            </w:pPr>
            <w:r>
              <w:t xml:space="preserve">Match + handle exceptions</w:t>
            </w:r>
          </w:p>
        </w:tc>
        <w:tc>
          <w:tcPr/>
          <w:p>
            <w:pPr>
              <w:pStyle w:val="Compact"/>
            </w:pPr>
            <w:r>
              <w:t xml:space="preserve">Recon Analyst</w:t>
            </w:r>
          </w:p>
        </w:tc>
        <w:tc>
          <w:tcPr/>
          <w:p>
            <w:pPr>
              <w:pStyle w:val="Compact"/>
            </w:pPr>
            <w:r>
              <w:t xml:space="preserve">Recon Lead</w:t>
            </w:r>
          </w:p>
        </w:tc>
        <w:tc>
          <w:tcPr/>
          <w:p>
            <w:pPr>
              <w:pStyle w:val="Compact"/>
            </w:pPr>
            <w:r>
              <w:t xml:space="preserve">Payment Eng</w:t>
            </w:r>
          </w:p>
        </w:tc>
        <w:tc>
          <w:tcPr/>
          <w:p>
            <w:pPr>
              <w:pStyle w:val="Compact"/>
            </w:pPr>
            <w:r>
              <w:t xml:space="preserve">Finance</w:t>
            </w:r>
          </w:p>
        </w:tc>
      </w:tr>
      <w:tr>
        <w:tc>
          <w:tcPr/>
          <w:p>
            <w:pPr>
              <w:pStyle w:val="Compact"/>
            </w:pPr>
            <w:r>
              <w:t xml:space="preserve">Approve payout</w:t>
            </w:r>
          </w:p>
        </w:tc>
        <w:tc>
          <w:tcPr/>
          <w:p>
            <w:pPr>
              <w:pStyle w:val="Compact"/>
            </w:pPr>
            <w:r>
              <w:t xml:space="preserve">Finance Approver</w:t>
            </w:r>
          </w:p>
        </w:tc>
        <w:tc>
          <w:tcPr/>
          <w:p>
            <w:pPr>
              <w:pStyle w:val="Compact"/>
            </w:pPr>
            <w:r>
              <w:t xml:space="preserve">CFO</w:t>
            </w:r>
          </w:p>
        </w:tc>
        <w:tc>
          <w:tcPr/>
          <w:p>
            <w:pPr>
              <w:pStyle w:val="Compact"/>
            </w:pPr>
            <w:r>
              <w:t xml:space="preserve">Compliance</w:t>
            </w:r>
          </w:p>
        </w:tc>
        <w:tc>
          <w:tcPr/>
          <w:p>
            <w:pPr>
              <w:pStyle w:val="Compact"/>
            </w:pPr>
            <w:r>
              <w:t xml:space="preserve">Merchant</w:t>
            </w:r>
          </w:p>
        </w:tc>
      </w:tr>
      <w:tr>
        <w:tc>
          <w:tcPr/>
          <w:p>
            <w:pPr>
              <w:pStyle w:val="Compact"/>
            </w:pPr>
            <w:r>
              <w:t xml:space="preserve">Periodic BOT reporting</w:t>
            </w:r>
          </w:p>
        </w:tc>
        <w:tc>
          <w:tcPr/>
          <w:p>
            <w:pPr>
              <w:pStyle w:val="Compact"/>
            </w:pPr>
            <w:r>
              <w:t xml:space="preserve">Compliance</w:t>
            </w:r>
          </w:p>
        </w:tc>
        <w:tc>
          <w:tcPr/>
          <w:p>
            <w:pPr>
              <w:pStyle w:val="Compact"/>
            </w:pPr>
            <w:r>
              <w:t xml:space="preserve">CFO</w:t>
            </w:r>
          </w:p>
        </w:tc>
        <w:tc>
          <w:tcPr/>
          <w:p>
            <w:pPr>
              <w:pStyle w:val="Compact"/>
            </w:pPr>
            <w:r>
              <w:t xml:space="preserve">Legal</w:t>
            </w:r>
          </w:p>
        </w:tc>
        <w:tc>
          <w:tcPr/>
          <w:p>
            <w:pPr>
              <w:pStyle w:val="Compact"/>
            </w:pPr>
            <w:r>
              <w:t xml:space="preserve">BOT</w:t>
            </w:r>
          </w:p>
        </w:tc>
      </w:tr>
    </w:tbl>
    <w:p>
      <w:r>
        <w:pict>
          <v:rect style="width:0;height:1.5pt" o:hralign="center" o:hrstd="t" o:hr="t"/>
        </w:pict>
      </w:r>
    </w:p>
    <w:bookmarkEnd w:id="983"/>
    <w:bookmarkEnd w:id="984"/>
    <w:bookmarkStart w:id="985" w:name="records-audit-1"/>
    <w:p>
      <w:pPr>
        <w:pStyle w:val="Heading2"/>
      </w:pPr>
      <w:r>
        <w:t xml:space="preserve">6. Records &amp; Audit</w:t>
      </w:r>
    </w:p>
    <w:p>
      <w:pPr>
        <w:pStyle w:val="Compact"/>
        <w:numPr>
          <w:ilvl w:val="0"/>
          <w:numId w:val="1369"/>
        </w:numPr>
      </w:pPr>
      <w:r>
        <w:rPr>
          <w:b/>
          <w:bCs/>
        </w:rPr>
        <w:t xml:space="preserve">Webhook delivery logs</w:t>
      </w:r>
      <w:r>
        <w:t xml:space="preserve"> </w:t>
      </w:r>
      <w:r>
        <w:t xml:space="preserve">(every attempt, response, latency): ≥ 1 year online, ≥ 2 years total including archive.</w:t>
      </w:r>
    </w:p>
    <w:p>
      <w:pPr>
        <w:pStyle w:val="Compact"/>
        <w:numPr>
          <w:ilvl w:val="0"/>
          <w:numId w:val="1369"/>
        </w:numPr>
      </w:pPr>
      <w:r>
        <w:rPr>
          <w:b/>
          <w:bCs/>
        </w:rPr>
        <w:t xml:space="preserve">Settlement statements &amp; reconciliation reports:</w:t>
      </w:r>
      <w:r>
        <w:t xml:space="preserve"> </w:t>
      </w:r>
      <w:r>
        <w:t xml:space="preserve">retained per BOT/accounting-law requirements (generally ≥ 5–10 years —</w:t>
      </w:r>
      <w:r>
        <w:t xml:space="preserve"> </w:t>
      </w:r>
      <w:r>
        <w:rPr>
          <w:b/>
          <w:bCs/>
        </w:rPr>
        <w:t xml:space="preserve">[TODO confirm with legal counsel]</w:t>
      </w:r>
      <w:r>
        <w:t xml:space="preserve">).</w:t>
      </w:r>
    </w:p>
    <w:p>
      <w:pPr>
        <w:pStyle w:val="Compact"/>
        <w:numPr>
          <w:ilvl w:val="0"/>
          <w:numId w:val="1369"/>
        </w:numPr>
      </w:pPr>
      <w:r>
        <w:rPr>
          <w:b/>
          <w:bCs/>
        </w:rPr>
        <w:t xml:space="preserve">audit_log</w:t>
      </w:r>
      <w:r>
        <w:t xml:space="preserve"> </w:t>
      </w:r>
      <w:r>
        <w:t xml:space="preserve">(append-only): every payment/settlement/payout state change (ARCHITECTURE §6).</w:t>
      </w:r>
    </w:p>
    <w:p>
      <w:pPr>
        <w:pStyle w:val="Compact"/>
        <w:numPr>
          <w:ilvl w:val="0"/>
          <w:numId w:val="1369"/>
        </w:numPr>
      </w:pPr>
      <w:r>
        <w:t xml:space="preserve">All records contain</w:t>
      </w:r>
      <w:r>
        <w:t xml:space="preserve"> </w:t>
      </w:r>
      <w:r>
        <w:rPr>
          <w:b/>
          <w:bCs/>
        </w:rPr>
        <w:t xml:space="preserve">no CHD/SAD</w:t>
      </w:r>
      <w:r>
        <w:t xml:space="preserve"> </w:t>
      </w:r>
      <w:r>
        <w:t xml:space="preserve">and are protected by access controls + integrity monitoring (PCI Req 10).</w:t>
      </w:r>
    </w:p>
    <w:p>
      <w:r>
        <w:br w:type="page"/>
      </w:r>
    </w:p>
    <w:bookmarkEnd w:id="985"/>
    <w:bookmarkEnd w:id="986"/>
    <w:bookmarkStart w:id="1017" w:name="X8dff4fe80c71269990b92fdab40438c5a9091eb"/>
    <w:p>
      <w:pPr>
        <w:pStyle w:val="Heading1"/>
      </w:pPr>
      <w:r>
        <w:t xml:space="preserve">นโยบายการคืนเงินและการโต้แย้งรายการ (Chargeback)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 พ.ร.บ. ระบบการชำระเงิน พ.ศ. 2560 ต่อธนาคารแห่งประเทศไทย (ธปท.) — ทุนจดทะเบียนชำระแล้วเป้าหมาย 50 ล้านบาท</w:t>
      </w:r>
    </w:p>
    <w:p>
      <w:pPr>
        <w:pStyle w:val="BlockText"/>
      </w:pPr>
      <w:r>
        <w:t xml:space="preserve">เอกสารเลขที่:</w:t>
      </w:r>
      <w:r>
        <w:t xml:space="preserve"> </w:t>
      </w:r>
      <w:r>
        <w:rPr>
          <w:rStyle w:val="VerbatimChar"/>
        </w:rPr>
        <w:t xml:space="preserve">COMP-28</w:t>
      </w:r>
      <w:r>
        <w:t xml:space="preserve"> </w:t>
      </w:r>
      <w:r>
        <w:t xml:space="preserve">· เวอร์ชัน 1.0 · เจ้าของเอกสาร: Head of Risk &amp; Dispute Operations (ร่วมกับ Head of Settlement และ Compliance)</w:t>
      </w:r>
      <w:r>
        <w:t xml:space="preserve"> </w:t>
      </w:r>
      <w:r>
        <w:t xml:space="preserve">เอกสารอ้างอิง: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05-aml-kyc-cdd-policy.md</w:t>
      </w:r>
      <w:r>
        <w:t xml:space="preserve">,</w:t>
      </w:r>
      <w:r>
        <w:t xml:space="preserve"> </w:t>
      </w:r>
      <w:r>
        <w:rPr>
          <w:rStyle w:val="VerbatimChar"/>
        </w:rPr>
        <w:t xml:space="preserve">07-sar-str-procedure.md</w:t>
      </w:r>
      <w:r>
        <w:t xml:space="preserve">,</w:t>
      </w:r>
      <w:r>
        <w:t xml:space="preserve"> </w:t>
      </w:r>
      <w:r>
        <w:rPr>
          <w:rStyle w:val="VerbatimChar"/>
        </w:rPr>
        <w:t xml:space="preserve">09-pdpa-privacy-policy.md</w:t>
      </w:r>
      <w:r>
        <w:t xml:space="preserve">,</w:t>
      </w:r>
      <w:r>
        <w:t xml:space="preserve"> </w:t>
      </w:r>
      <w:r>
        <w:rPr>
          <w:rStyle w:val="VerbatimChar"/>
        </w:rPr>
        <w:t xml:space="preserve">11-data-retention-deletion.md</w:t>
      </w:r>
      <w:r>
        <w:t xml:space="preserve">,</w:t>
      </w:r>
      <w:r>
        <w:t xml:space="preserve"> </w:t>
      </w:r>
      <w:r>
        <w:rPr>
          <w:rStyle w:val="VerbatimChar"/>
        </w:rPr>
        <w:t xml:space="preserve">19-pci-dss-roadmap.md</w:t>
      </w:r>
    </w:p>
    <w:p>
      <w:pPr>
        <w:pStyle w:val="BlockText"/>
      </w:pPr>
      <w:r>
        <w:rPr>
          <w:b/>
          <w:bCs/>
        </w:rPr>
        <w:t xml:space="preserve">หมายเหตุ:</w:t>
      </w:r>
      <w:r>
        <w:t xml:space="preserve"> </w:t>
      </w:r>
      <w:r>
        <w:t xml:space="preserve">เอกสารนี้เป็นเอกสารเชิงนโยบายภายใน ไม่ใช่คำแนะนำทางกฎหมาย กรอบเวลาและสิทธิการโต้แย้งรายการ (chargeback rights) ที่มีผลผูกพันจริงกำหนดโดยกฎของ card scheme (Visa Core Rules, Mastercard Chargeback Guide) และสัญญากับธนาคารผู้รับเชื่อม (sponsor bank) ซึ่งอาจปรับปรุงเป็นระยะ ต้องยืนยันกับที่ปรึกษากฎหมายและ sponsor bank ก่อนยื่นและก่อนบังคับใช้</w:t>
      </w:r>
    </w:p>
    <w:p>
      <w:r>
        <w:pict>
          <v:rect style="width:0;height:1.5pt" o:hralign="center" o:hrstd="t" o:hr="t"/>
        </w:pict>
      </w:r>
    </w:p>
    <w:p>
      <w:pPr>
        <w:pStyle w:val="Heading3"/>
      </w:pPr>
      <w:bookmarkStart w:id="987" w:name="ขอสมมตและสงทยงตองยนยน-assumptions-todo-4"/>
      <w:r>
        <w:t xml:space="preserve">⚠️ ข้อสมมติและสิ่งที่ยังต้องยืนยัน (Assumptions / TODO)</w:t>
      </w:r>
      <w:bookmarkEnd w:id="987"/>
    </w:p>
    <w:p>
      <w:pPr>
        <w:pStyle w:val="BlockText"/>
      </w:pPr>
      <w:r>
        <w:t xml:space="preserve">รายการต่อไปนี้ยังขึ้นกับคู่สัญญา/ผู้ให้บริการภายนอกที่ยังไม่สรุป —</w:t>
      </w:r>
      <w:r>
        <w:t xml:space="preserve"> </w:t>
      </w:r>
      <w:r>
        <w:rPr>
          <w:b/>
          <w:bCs/>
        </w:rPr>
        <w:t xml:space="preserve">ห้ามถือเป็นข้อเท็จจริงจนกว่าจะยืนยัน</w:t>
      </w:r>
      <w:r>
        <w:t xml:space="preserve">:</w:t>
      </w:r>
      <w:r>
        <w:t xml:space="preserve"> </w:t>
      </w:r>
      <w:r>
        <w:t xml:space="preserve">-</w:t>
      </w:r>
      <w:r>
        <w:t xml:space="preserve"> </w:t>
      </w:r>
      <w:r>
        <w:rPr>
          <w:b/>
          <w:bCs/>
        </w:rPr>
        <w:t xml:space="preserve">[TODO — Sponsor Bank / Acquirer]</w:t>
      </w:r>
      <w:r>
        <w:t xml:space="preserve"> </w:t>
      </w:r>
      <w:r>
        <w:t xml:space="preserve">ยังไม่ลงนามธนาคารผู้รับเชื่อม — ผู้กำหนด (ก) กรอบเวลา representment/pre-arbitration ที่บังคับใช้จริง (ข) อัตราค่าปรับ chargeback fee ต่อรายการ (ค) เกณฑ์ excessive chargeback program และ (ง) ข้อกำหนดเงินสำรอง/หลักประกัน (reserve) ที่ acquirer เรียกจากบริษัท</w:t>
      </w:r>
      <w:r>
        <w:t xml:space="preserve"> </w:t>
      </w:r>
      <w:r>
        <w:t xml:space="preserve">-</w:t>
      </w:r>
      <w:r>
        <w:t xml:space="preserve"> </w:t>
      </w:r>
      <w:r>
        <w:rPr>
          <w:b/>
          <w:bCs/>
        </w:rPr>
        <w:t xml:space="preserve">[TODO — Card scheme rules version]</w:t>
      </w:r>
      <w:r>
        <w:t xml:space="preserve"> </w:t>
      </w:r>
      <w:r>
        <w:t xml:space="preserve">เวอร์ชันปัจจุบันของ Visa Core Rules &amp; Visa Product and Service Rules, Mastercard Chargeback Guide/Security Rules and Procedures รวมทั้ง reason code set ต้องอ้างอิงฉบับล่าสุด ณ วันยื่น</w:t>
      </w:r>
      <w:r>
        <w:t xml:space="preserve"> </w:t>
      </w:r>
      <w:r>
        <w:t xml:space="preserve">-</w:t>
      </w:r>
      <w:r>
        <w:t xml:space="preserve"> </w:t>
      </w:r>
      <w:r>
        <w:rPr>
          <w:b/>
          <w:bCs/>
        </w:rPr>
        <w:t xml:space="preserve">[TODO — Local scheme]</w:t>
      </w:r>
      <w:r>
        <w:t xml:space="preserve"> </w:t>
      </w:r>
      <w:r>
        <w:t xml:space="preserve">เงื่อนไข dispute สำหรับบัตรในประเทศ/local rails (เช่น NITMX/ITMX, บัตร PromptCard) และ PromptPay/QR (ThaiQR) ต้องยืนยันแยก เพราะกลไก chargeback ต่างจากบัตรระหว่างประเทศ</w:t>
      </w:r>
      <w:r>
        <w:t xml:space="preserve"> </w:t>
      </w:r>
      <w:r>
        <w:t xml:space="preserve">-</w:t>
      </w:r>
      <w:r>
        <w:t xml:space="preserve"> </w:t>
      </w:r>
      <w:r>
        <w:rPr>
          <w:b/>
          <w:bCs/>
        </w:rPr>
        <w:t xml:space="preserve">[TODO — ทุนจดทะเบียน/เงินสำรอง]</w:t>
      </w:r>
      <w:r>
        <w:t xml:space="preserve"> </w:t>
      </w:r>
      <w:r>
        <w:t xml:space="preserve">โครงสร้าง merchant reserve (rolling reserve %, upfront reserve, capped reserve) และแหล่งเงินทุนรองรับความเสียหาย chargeback ต้องสอดคล้องกับ</w:t>
      </w:r>
      <w:r>
        <w:t xml:space="preserve"> </w:t>
      </w:r>
      <w:r>
        <w:rPr>
          <w:rStyle w:val="VerbatimChar"/>
        </w:rPr>
        <w:t xml:space="preserve">02-financial-projections-capital.md</w:t>
      </w:r>
      <w:r>
        <w:t xml:space="preserve"> </w:t>
      </w:r>
      <w:r>
        <w:t xml:space="preserve">และเกณฑ์คงทุน ≥ 75%</w:t>
      </w:r>
      <w:r>
        <w:t xml:space="preserve"> </w:t>
      </w:r>
      <w:r>
        <w:t xml:space="preserve">-</w:t>
      </w:r>
      <w:r>
        <w:t xml:space="preserve"> </w:t>
      </w:r>
      <w:r>
        <w:rPr>
          <w:b/>
          <w:bCs/>
        </w:rPr>
        <w:t xml:space="preserve">[TODO — ผู้ให้บริการ 3DS/ACS]</w:t>
      </w:r>
      <w:r>
        <w:t xml:space="preserve"> </w:t>
      </w:r>
      <w:r>
        <w:t xml:space="preserve">ผู้ให้บริการ EMV 3-D Secure (3DS Server/DS/ACS routing) กำหนด liability shift ที่ได้จริง</w:t>
      </w:r>
      <w:r>
        <w:t xml:space="preserve"> </w:t>
      </w:r>
      <w:r>
        <w:t xml:space="preserve">-</w:t>
      </w:r>
      <w:r>
        <w:t xml:space="preserve"> </w:t>
      </w:r>
      <w:r>
        <w:rPr>
          <w:b/>
          <w:bCs/>
        </w:rPr>
        <w:t xml:space="preserve">[TODO — ชื่อบริษัท/ผู้บริหาร]</w:t>
      </w:r>
      <w:r>
        <w:t xml:space="preserve"> </w:t>
      </w:r>
      <w:r>
        <w:t xml:space="preserve">ชื่อ</w:t>
      </w:r>
      <w:r>
        <w:t xml:space="preserve"> </w:t>
      </w:r>
      <w:r>
        <w:rPr>
          <w:rStyle w:val="VerbatimChar"/>
        </w:rPr>
        <w:t xml:space="preserve">[บริษัท / Company]</w:t>
      </w:r>
      <w:r>
        <w:t xml:space="preserve">, ที่อยู่จดทะเบียน, ชื่อผู้รับผิดชอบ (Head of Risk &amp; Dispute Ops) ต้องเติมค่าจริงก่อนยื่น</w:t>
      </w:r>
    </w:p>
    <w:p>
      <w:r>
        <w:pict>
          <v:rect style="width:0;height:1.5pt" o:hralign="center" o:hrstd="t" o:hr="t"/>
        </w:pict>
      </w:r>
    </w:p>
    <w:bookmarkStart w:id="989" w:name="บทนำ-วตถประสงค-และขอบเขต"/>
    <w:p>
      <w:pPr>
        <w:pStyle w:val="Heading2"/>
      </w:pPr>
      <w:r>
        <w:t xml:space="preserve">1. บทนำ วัตถุประสงค์ และขอบเขต</w:t>
      </w:r>
    </w:p>
    <w:p>
      <w:pPr>
        <w:pStyle w:val="FirstParagraph"/>
      </w:pPr>
      <w:r>
        <w:rPr>
          <w:rStyle w:val="VerbatimChar"/>
        </w:rPr>
        <w:t xml:space="preserve">[บริษัท / Company]</w:t>
      </w:r>
      <w:r>
        <w:t xml:space="preserve"> </w:t>
      </w:r>
      <w:r>
        <w:t xml:space="preserve">(ต่อไปนี้เรียก</w:t>
      </w:r>
      <w:r>
        <w:t xml:space="preserve"> </w:t>
      </w:r>
      <w:r>
        <w:t xml:space="preserve">“บริษัท”</w:t>
      </w:r>
      <w:r>
        <w:t xml:space="preserve">) ประกอบธุรกิจให้บริการรับชำระเงินด้วยบัตร (Full Acquiring Payment Gateway) จึงมีหน้าที่บริหารจัดการ</w:t>
      </w:r>
      <w:r>
        <w:t xml:space="preserve"> </w:t>
      </w:r>
      <w:r>
        <w:rPr>
          <w:b/>
          <w:bCs/>
        </w:rPr>
        <w:t xml:space="preserve">การคืนเงิน (refund)</w:t>
      </w:r>
      <w:r>
        <w:t xml:space="preserve">,</w:t>
      </w:r>
      <w:r>
        <w:t xml:space="preserve"> </w:t>
      </w:r>
      <w:r>
        <w:rPr>
          <w:b/>
          <w:bCs/>
        </w:rPr>
        <w:t xml:space="preserve">การกลับรายการ (reversal/void)</w:t>
      </w:r>
      <w:r>
        <w:t xml:space="preserve"> </w:t>
      </w:r>
      <w:r>
        <w:t xml:space="preserve">และ</w:t>
      </w:r>
      <w:r>
        <w:t xml:space="preserve"> </w:t>
      </w:r>
      <w:r>
        <w:rPr>
          <w:b/>
          <w:bCs/>
        </w:rPr>
        <w:t xml:space="preserve">การโต้แย้งรายการ (dispute/chargeback)</w:t>
      </w:r>
      <w:r>
        <w:t xml:space="preserve"> </w:t>
      </w:r>
      <w:r>
        <w:t xml:space="preserve">ให้เป็นไปตามกฎของ card scheme, สัญญากับ sponsor bank และกฎหมายไทย</w:t>
      </w:r>
    </w:p>
    <w:p>
      <w:pPr>
        <w:pStyle w:val="BodyText"/>
      </w:pPr>
      <w:r>
        <w:rPr>
          <w:b/>
          <w:bCs/>
        </w:rPr>
        <w:t xml:space="preserve">วัตถุประสงค์ของนโยบายนี้:</w:t>
      </w:r>
      <w:r>
        <w:t xml:space="preserve"> </w:t>
      </w:r>
      <w:r>
        <w:t xml:space="preserve">1. กำหนดกรอบเวลา (timeframes) ที่ชัดเจนสำหรับ refund, void, chargeback แต่ละขั้น</w:t>
      </w:r>
      <w:r>
        <w:t xml:space="preserve"> </w:t>
      </w:r>
      <w:r>
        <w:t xml:space="preserve">2. กำหนดกระบวนการกลับรายการ (reversal procedures) และการเดินสถานะใน state machine ของระบบ</w:t>
      </w:r>
      <w:r>
        <w:t xml:space="preserve"> </w:t>
      </w:r>
      <w:r>
        <w:t xml:space="preserve">3. กำหนดการจัดสรรความรับผิด (liability allocation) ระหว่างผู้ถือบัตร ธนาคารผู้ออกบัตร ร้านค้า บริษัท และ sponsor bank</w:t>
      </w:r>
      <w:r>
        <w:t xml:space="preserve"> </w:t>
      </w:r>
      <w:r>
        <w:t xml:space="preserve">4. กำหนดกลไกเงินสำรอง (reserves) และหลักประกันเพื่อรองรับความเสี่ยง chargeback/insolvency ของร้านค้า</w:t>
      </w:r>
    </w:p>
    <w:p>
      <w:pPr>
        <w:pStyle w:val="BodyText"/>
      </w:pPr>
      <w:r>
        <w:rPr>
          <w:b/>
          <w:bCs/>
        </w:rPr>
        <w:t xml:space="preserve">ขอบเขต:</w:t>
      </w:r>
      <w:r>
        <w:t xml:space="preserve"> </w:t>
      </w:r>
      <w:r>
        <w:t xml:space="preserve">ครอบคลุมธุรกรรมบัตรเครดิต/เดบิต (Visa, Mastercard และแบรนด์ที่รองรับ), การชำระผ่าน 3DS และธุรกรรม card-not-present (CNP)/card-present (CP) รวมถึงการเชื่อมโยงกับ dispute ของ local rails (QR/PromptPay) เท่าที่กลไกรองรับ (ดู</w:t>
      </w:r>
      <w:r>
        <w:t xml:space="preserve"> </w:t>
      </w:r>
      <w:r>
        <w:rPr>
          <w:rStyle w:val="VerbatimChar"/>
        </w:rPr>
        <w:t xml:space="preserve">QR-PAYMENT.md</w:t>
      </w:r>
      <w:r>
        <w:t xml:space="preserve">)</w:t>
      </w:r>
    </w:p>
    <w:bookmarkStart w:id="988" w:name="นยามศพท"/>
    <w:p>
      <w:pPr>
        <w:pStyle w:val="Heading3"/>
      </w:pPr>
      <w:r>
        <w:t xml:space="preserve">1.1 นิยามศัพท์</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คำ</w:t>
            </w:r>
          </w:p>
        </w:tc>
        <w:tc>
          <w:tcPr/>
          <w:p>
            <w:pPr>
              <w:pStyle w:val="Compact"/>
            </w:pPr>
            <w:r>
              <w:t xml:space="preserve">ความหมาย</w:t>
            </w:r>
          </w:p>
        </w:tc>
      </w:tr>
      <w:tr>
        <w:tc>
          <w:tcPr/>
          <w:p>
            <w:pPr>
              <w:pStyle w:val="Compact"/>
            </w:pPr>
            <w:r>
              <w:rPr>
                <w:b/>
                <w:bCs/>
              </w:rPr>
              <w:t xml:space="preserve">Refund (คืนเงิน)</w:t>
            </w:r>
          </w:p>
        </w:tc>
        <w:tc>
          <w:tcPr/>
          <w:p>
            <w:pPr>
              <w:pStyle w:val="Compact"/>
            </w:pPr>
            <w:r>
              <w:t xml:space="preserve">ร้านค้าคืนเงินให้ผู้ถือบัตรโดยสมัครใจ หลังจาก transaction ถูก capture แล้ว</w:t>
            </w:r>
          </w:p>
        </w:tc>
      </w:tr>
      <w:tr>
        <w:tc>
          <w:tcPr/>
          <w:p>
            <w:pPr>
              <w:pStyle w:val="Compact"/>
            </w:pPr>
            <w:r>
              <w:rPr>
                <w:b/>
                <w:bCs/>
              </w:rPr>
              <w:t xml:space="preserve">Void / Reversal (ยกเลิก/กลับรายการ)</w:t>
            </w:r>
          </w:p>
        </w:tc>
        <w:tc>
          <w:tcPr/>
          <w:p>
            <w:pPr>
              <w:pStyle w:val="Compact"/>
            </w:pPr>
            <w:r>
              <w:t xml:space="preserve">ยกเลิก authorization ก่อน capture/settlement — เงินไม่เคยถูกหักจริง</w:t>
            </w:r>
          </w:p>
        </w:tc>
      </w:tr>
      <w:tr>
        <w:tc>
          <w:tcPr/>
          <w:p>
            <w:pPr>
              <w:pStyle w:val="Compact"/>
            </w:pPr>
            <w:r>
              <w:rPr>
                <w:b/>
                <w:bCs/>
              </w:rPr>
              <w:t xml:space="preserve">Chargeback (การโต้แย้งรายการ)</w:t>
            </w:r>
          </w:p>
        </w:tc>
        <w:tc>
          <w:tcPr/>
          <w:p>
            <w:pPr>
              <w:pStyle w:val="Compact"/>
            </w:pPr>
            <w:r>
              <w:t xml:space="preserve">ผู้ถือบัตรโต้แย้งรายการผ่านธนาคารผู้ออกบัตร (issuer) → issuer ดึงเงินคืนจาก acquirer</w:t>
            </w:r>
          </w:p>
        </w:tc>
      </w:tr>
      <w:tr>
        <w:tc>
          <w:tcPr/>
          <w:p>
            <w:pPr>
              <w:pStyle w:val="Compact"/>
            </w:pPr>
            <w:r>
              <w:rPr>
                <w:b/>
                <w:bCs/>
              </w:rPr>
              <w:t xml:space="preserve">Representment (การนำรายการเสนอกลับ)</w:t>
            </w:r>
          </w:p>
        </w:tc>
        <w:tc>
          <w:tcPr/>
          <w:p>
            <w:pPr>
              <w:pStyle w:val="Compact"/>
            </w:pPr>
            <w:r>
              <w:t xml:space="preserve">acquirer/ร้านค้าโต้กลับ chargeback พร้อมหลักฐานว่ารายการถูกต้อง</w:t>
            </w:r>
          </w:p>
        </w:tc>
      </w:tr>
      <w:tr>
        <w:tc>
          <w:tcPr/>
          <w:p>
            <w:pPr>
              <w:pStyle w:val="Compact"/>
            </w:pPr>
            <w:r>
              <w:rPr>
                <w:b/>
                <w:bCs/>
              </w:rPr>
              <w:t xml:space="preserve">Pre-arbitration / Arbitration</w:t>
            </w:r>
          </w:p>
        </w:tc>
        <w:tc>
          <w:tcPr/>
          <w:p>
            <w:pPr>
              <w:pStyle w:val="Compact"/>
            </w:pPr>
            <w:r>
              <w:t xml:space="preserve">ขั้นตอนยกระดับข้อพิพาทเมื่อ representment ถูกโต้กลับ จนถึงให้ card scheme ตัดสิน</w:t>
            </w:r>
          </w:p>
        </w:tc>
      </w:tr>
      <w:tr>
        <w:tc>
          <w:tcPr/>
          <w:p>
            <w:pPr>
              <w:pStyle w:val="Compact"/>
            </w:pPr>
            <w:r>
              <w:rPr>
                <w:b/>
                <w:bCs/>
              </w:rPr>
              <w:t xml:space="preserve">Liability shift</w:t>
            </w:r>
          </w:p>
        </w:tc>
        <w:tc>
          <w:tcPr/>
          <w:p>
            <w:pPr>
              <w:pStyle w:val="Compact"/>
            </w:pPr>
            <w:r>
              <w:t xml:space="preserve">การโอนความรับผิดจาก acquirer/ร้านค้าไปยัง issuer เมื่อผ่าน EMV 3DS authentication สำเร็จ</w:t>
            </w:r>
          </w:p>
        </w:tc>
      </w:tr>
      <w:tr>
        <w:tc>
          <w:tcPr/>
          <w:p>
            <w:pPr>
              <w:pStyle w:val="Compact"/>
            </w:pPr>
            <w:r>
              <w:rPr>
                <w:b/>
                <w:bCs/>
              </w:rPr>
              <w:t xml:space="preserve">Reserve (เงินสำรอง)</w:t>
            </w:r>
          </w:p>
        </w:tc>
        <w:tc>
          <w:tcPr/>
          <w:p>
            <w:pPr>
              <w:pStyle w:val="Compact"/>
            </w:pPr>
            <w:r>
              <w:t xml:space="preserve">เงินที่บริษัทกันไว้จาก settlement ของร้านค้าเพื่อรองรับ chargeback/refund ในอนาคต</w:t>
            </w:r>
          </w:p>
        </w:tc>
      </w:tr>
      <w:tr>
        <w:tc>
          <w:tcPr/>
          <w:p>
            <w:pPr>
              <w:pStyle w:val="Compact"/>
            </w:pPr>
            <w:r>
              <w:rPr>
                <w:b/>
                <w:bCs/>
              </w:rPr>
              <w:t xml:space="preserve">Excessive chargeback merchant</w:t>
            </w:r>
          </w:p>
        </w:tc>
        <w:tc>
          <w:tcPr/>
          <w:p>
            <w:pPr>
              <w:pStyle w:val="Compact"/>
            </w:pPr>
            <w:r>
              <w:t xml:space="preserve">ร้านค้าที่มีอัตรา chargeback เกินเกณฑ์ของ card scheme (VDMP/VFMP, Mastercard ECM/ECP)</w:t>
            </w:r>
          </w:p>
        </w:tc>
      </w:tr>
    </w:tbl>
    <w:p>
      <w:r>
        <w:pict>
          <v:rect style="width:0;height:1.5pt" o:hralign="center" o:hrstd="t" o:hr="t"/>
        </w:pict>
      </w:r>
    </w:p>
    <w:bookmarkEnd w:id="988"/>
    <w:bookmarkEnd w:id="989"/>
    <w:bookmarkStart w:id="993" w:name="การคนเงน-refund-policy"/>
    <w:p>
      <w:pPr>
        <w:pStyle w:val="Heading2"/>
      </w:pPr>
      <w:r>
        <w:t xml:space="preserve">2. การคืนเงิน (Refund Policy)</w:t>
      </w:r>
    </w:p>
    <w:bookmarkStart w:id="990" w:name="เงอนไขและหลกการ"/>
    <w:p>
      <w:pPr>
        <w:pStyle w:val="Heading3"/>
      </w:pPr>
      <w:r>
        <w:t xml:space="preserve">2.1 เงื่อนไขและหลักการ</w:t>
      </w:r>
    </w:p>
    <w:p>
      <w:pPr>
        <w:pStyle w:val="Compact"/>
        <w:numPr>
          <w:ilvl w:val="0"/>
          <w:numId w:val="1370"/>
        </w:numPr>
      </w:pPr>
      <w:r>
        <w:t xml:space="preserve">Refund ทำได้เฉพาะกับรายการที่มีสถานะ</w:t>
      </w:r>
      <w:r>
        <w:t xml:space="preserve"> </w:t>
      </w:r>
      <w:r>
        <w:rPr>
          <w:rStyle w:val="VerbatimChar"/>
          <w:b/>
          <w:bCs/>
        </w:rPr>
        <w:t xml:space="preserve">captured</w:t>
      </w:r>
      <w:r>
        <w:t xml:space="preserve"> </w:t>
      </w:r>
      <w:r>
        <w:t xml:space="preserve">หรือ</w:t>
      </w:r>
      <w:r>
        <w:t xml:space="preserve"> </w:t>
      </w:r>
      <w:r>
        <w:rPr>
          <w:rStyle w:val="VerbatimChar"/>
          <w:b/>
          <w:bCs/>
        </w:rPr>
        <w:t xml:space="preserve">partial_refunded</w:t>
      </w:r>
      <w:r>
        <w:t xml:space="preserve"> </w:t>
      </w:r>
      <w:r>
        <w:t xml:space="preserve">เท่านั้น (ดู state machine ใน</w:t>
      </w:r>
      <w:r>
        <w:t xml:space="preserve"> </w:t>
      </w:r>
      <w:r>
        <w:rPr>
          <w:rStyle w:val="VerbatimChar"/>
        </w:rPr>
        <w:t xml:space="preserve">ARCHITECTURE.md</w:t>
      </w:r>
      <w:r>
        <w:t xml:space="preserve"> </w:t>
      </w:r>
      <w:r>
        <w:t xml:space="preserve">§5.4)</w:t>
      </w:r>
    </w:p>
    <w:p>
      <w:pPr>
        <w:pStyle w:val="Compact"/>
        <w:numPr>
          <w:ilvl w:val="0"/>
          <w:numId w:val="1370"/>
        </w:numPr>
      </w:pPr>
      <w:r>
        <w:t xml:space="preserve">ยอด refund สะสม</w:t>
      </w:r>
      <w:r>
        <w:t xml:space="preserve"> </w:t>
      </w:r>
      <w:r>
        <w:rPr>
          <w:b/>
          <w:bCs/>
        </w:rPr>
        <w:t xml:space="preserve">ต้องไม่เกิน</w:t>
      </w:r>
      <w:r>
        <w:t xml:space="preserve"> </w:t>
      </w:r>
      <w:r>
        <w:t xml:space="preserve">ยอดที่ capture (</w:t>
      </w:r>
      <w:r>
        <w:rPr>
          <w:rStyle w:val="VerbatimChar"/>
        </w:rPr>
        <w:t xml:space="preserve">Σ refunds ≤ captured_amount</w:t>
      </w:r>
      <w:r>
        <w:t xml:space="preserve">) — บังคับด้วย invariant ในชั้น service (ARCHITECTURE §5.2)</w:t>
      </w:r>
    </w:p>
    <w:p>
      <w:pPr>
        <w:pStyle w:val="Compact"/>
        <w:numPr>
          <w:ilvl w:val="0"/>
          <w:numId w:val="1370"/>
        </w:numPr>
      </w:pPr>
      <w:r>
        <w:t xml:space="preserve">Refund เป็น</w:t>
      </w:r>
      <w:r>
        <w:t xml:space="preserve"> </w:t>
      </w:r>
      <w:r>
        <w:rPr>
          <w:b/>
          <w:bCs/>
        </w:rPr>
        <w:t xml:space="preserve">operation ที่ขยับเงิน</w:t>
      </w:r>
      <w:r>
        <w:t xml:space="preserve"> </w:t>
      </w:r>
      <w:r>
        <w:t xml:space="preserve">จึงต้องแนบ</w:t>
      </w:r>
      <w:r>
        <w:t xml:space="preserve"> </w:t>
      </w:r>
      <w:r>
        <w:rPr>
          <w:rStyle w:val="VerbatimChar"/>
        </w:rPr>
        <w:t xml:space="preserve">Idempotency-Key</w:t>
      </w:r>
      <w:r>
        <w:t xml:space="preserve"> </w:t>
      </w:r>
      <w:r>
        <w:t xml:space="preserve">ทุกครั้ง เพื่อกันคืนเงินซ้ำจาก retry (ARCHITECTURE §2 หลักการ Idempotency)</w:t>
      </w:r>
    </w:p>
    <w:p>
      <w:pPr>
        <w:pStyle w:val="Compact"/>
        <w:numPr>
          <w:ilvl w:val="0"/>
          <w:numId w:val="1370"/>
        </w:numPr>
      </w:pPr>
      <w:r>
        <w:t xml:space="preserve">Refund คืนเข้าบัตรใบเดิมที่ใช้ชำระเสมอ</w:t>
      </w:r>
      <w:r>
        <w:t xml:space="preserve"> </w:t>
      </w:r>
      <w:r>
        <w:rPr>
          <w:b/>
          <w:bCs/>
        </w:rPr>
        <w:t xml:space="preserve">ห้าม</w:t>
      </w:r>
      <w:r>
        <w:t xml:space="preserve"> </w:t>
      </w:r>
      <w:r>
        <w:t xml:space="preserve">คืนเป็นเงินสด/โอนเข้าบัตรใบอื่น (กันการฟอกเงิน — ดู</w:t>
      </w:r>
      <w:r>
        <w:t xml:space="preserve"> </w:t>
      </w:r>
      <w:r>
        <w:rPr>
          <w:rStyle w:val="VerbatimChar"/>
        </w:rPr>
        <w:t xml:space="preserve">05-aml-kyc-cdd-policy.md</w:t>
      </w:r>
      <w:r>
        <w:t xml:space="preserve">)</w:t>
      </w:r>
    </w:p>
    <w:p>
      <w:pPr>
        <w:pStyle w:val="Compact"/>
        <w:numPr>
          <w:ilvl w:val="0"/>
          <w:numId w:val="1370"/>
        </w:numPr>
      </w:pPr>
      <w:r>
        <w:t xml:space="preserve">ทุก refund เขียน</w:t>
      </w:r>
      <w:r>
        <w:t xml:space="preserve"> </w:t>
      </w:r>
      <w:r>
        <w:rPr>
          <w:rStyle w:val="VerbatimChar"/>
        </w:rPr>
        <w:t xml:space="preserve">ledger_entries(refund)</w:t>
      </w:r>
      <w:r>
        <w:t xml:space="preserve"> </w:t>
      </w:r>
      <w:r>
        <w:t xml:space="preserve">(append-only) และ</w:t>
      </w:r>
      <w:r>
        <w:t xml:space="preserve"> </w:t>
      </w:r>
      <w:r>
        <w:rPr>
          <w:rStyle w:val="VerbatimChar"/>
        </w:rPr>
        <w:t xml:space="preserve">audit_log</w:t>
      </w:r>
    </w:p>
    <w:bookmarkEnd w:id="990"/>
    <w:bookmarkStart w:id="991" w:name="กรอบเวลา-refund-timeframes"/>
    <w:p>
      <w:pPr>
        <w:pStyle w:val="Heading3"/>
      </w:pPr>
      <w:r>
        <w:t xml:space="preserve">2.2 กรอบเวลา (Refund Timeframes)</w:t>
      </w:r>
    </w:p>
    <w:tbl>
      <w:tblPr>
        <w:tblStyle w:val="Table"/>
        <w:tblW w:type="pct" w:w="5000"/>
        <w:tblLayout w:type="fixed"/>
        <w:tblLook w:firstRow="1" w:lastRow="0" w:firstColumn="0" w:lastColumn="0" w:noHBand="0" w:noVBand="0" w:val="0020"/>
      </w:tblPr>
      <w:tblGrid>
        <w:gridCol w:w="1738"/>
        <w:gridCol w:w="4249"/>
        <w:gridCol w:w="1931"/>
      </w:tblGrid>
      <w:tr>
        <w:trPr>
          <w:tblHeader w:val="on"/>
        </w:trPr>
        <w:tc>
          <w:tcPr/>
          <w:p>
            <w:pPr>
              <w:pStyle w:val="Compact"/>
            </w:pPr>
            <w:r>
              <w:t xml:space="preserve">ขั้นตอน</w:t>
            </w:r>
          </w:p>
        </w:tc>
        <w:tc>
          <w:tcPr/>
          <w:p>
            <w:pPr>
              <w:pStyle w:val="Compact"/>
            </w:pPr>
            <w:r>
              <w:t xml:space="preserve">กรอบเวลาเป้าหมาย (SLA)</w:t>
            </w:r>
          </w:p>
        </w:tc>
        <w:tc>
          <w:tcPr/>
          <w:p>
            <w:pPr>
              <w:pStyle w:val="Compact"/>
            </w:pPr>
            <w:r>
              <w:t xml:space="preserve">หมายเหตุ</w:t>
            </w:r>
          </w:p>
        </w:tc>
      </w:tr>
      <w:tr>
        <w:tc>
          <w:tcPr/>
          <w:p>
            <w:pPr>
              <w:pStyle w:val="Compact"/>
            </w:pPr>
            <w:r>
              <w:t xml:space="preserve">ร้านค้ายื่นคำขอ refund → บริษัทส่งต่อ acquirer</w:t>
            </w:r>
          </w:p>
        </w:tc>
        <w:tc>
          <w:tcPr/>
          <w:p>
            <w:pPr>
              <w:pStyle w:val="Compact"/>
            </w:pPr>
            <w:r>
              <w:t xml:space="preserve">ภายใน</w:t>
            </w:r>
            <w:r>
              <w:t xml:space="preserve"> </w:t>
            </w:r>
            <w:r>
              <w:rPr>
                <w:b/>
                <w:bCs/>
              </w:rPr>
              <w:t xml:space="preserve">1 ชั่วโมง</w:t>
            </w:r>
            <w:r>
              <w:t xml:space="preserve"> </w:t>
            </w:r>
            <w:r>
              <w:t xml:space="preserve">(อัตโนมัติ) / ภายในวันทำการเดียวกันหากต้องรีวิว</w:t>
            </w:r>
          </w:p>
        </w:tc>
        <w:tc>
          <w:tcPr/>
          <w:p>
            <w:pPr>
              <w:pStyle w:val="Compact"/>
            </w:pPr>
            <w:r>
              <w:t xml:space="preserve">ผ่าน</w:t>
            </w:r>
            <w:r>
              <w:t xml:space="preserve"> </w:t>
            </w:r>
            <w:r>
              <w:rPr>
                <w:rStyle w:val="VerbatimChar"/>
              </w:rPr>
              <w:t xml:space="preserve">POST /v1/payments/{id}/refund</w:t>
            </w:r>
          </w:p>
        </w:tc>
      </w:tr>
      <w:tr>
        <w:tc>
          <w:tcPr/>
          <w:p>
            <w:pPr>
              <w:pStyle w:val="Compact"/>
            </w:pPr>
            <w:r>
              <w:t xml:space="preserve">Refund ปรากฏใน settlement ของ acquirer</w:t>
            </w:r>
          </w:p>
        </w:tc>
        <w:tc>
          <w:tcPr/>
          <w:p>
            <w:pPr>
              <w:pStyle w:val="Compact"/>
            </w:pPr>
            <w:r>
              <w:t xml:space="preserve">ภายใน</w:t>
            </w:r>
            <w:r>
              <w:t xml:space="preserve"> </w:t>
            </w:r>
            <w:r>
              <w:rPr>
                <w:b/>
                <w:bCs/>
              </w:rPr>
              <w:t xml:space="preserve">1–2 วันทำการ</w:t>
            </w:r>
          </w:p>
        </w:tc>
        <w:tc>
          <w:tcPr/>
          <w:p>
            <w:pPr>
              <w:pStyle w:val="Compact"/>
            </w:pPr>
            <w:r>
              <w:t xml:space="preserve">ขึ้นกับ cut-off ของ acquirer</w:t>
            </w:r>
          </w:p>
        </w:tc>
      </w:tr>
      <w:tr>
        <w:tc>
          <w:tcPr/>
          <w:p>
            <w:pPr>
              <w:pStyle w:val="Compact"/>
            </w:pPr>
            <w:r>
              <w:t xml:space="preserve">เงินคืนเข้าบัญชี/วงเงินบัตรผู้ถือบัตร</w:t>
            </w:r>
          </w:p>
        </w:tc>
        <w:tc>
          <w:tcPr/>
          <w:p>
            <w:pPr>
              <w:pStyle w:val="Compact"/>
            </w:pPr>
            <w:r>
              <w:t xml:space="preserve">โดยทั่วไป</w:t>
            </w:r>
            <w:r>
              <w:t xml:space="preserve"> </w:t>
            </w:r>
            <w:r>
              <w:rPr>
                <w:b/>
                <w:bCs/>
              </w:rPr>
              <w:t xml:space="preserve">5–15 วันทำการ</w:t>
            </w:r>
          </w:p>
        </w:tc>
        <w:tc>
          <w:tcPr/>
          <w:p>
            <w:pPr>
              <w:pStyle w:val="Compact"/>
            </w:pPr>
            <w:r>
              <w:t xml:space="preserve">issuer เป็นผู้กำหนดรอบ statement — บริษัทควบคุมไม่ได้ ต้องแจ้งผู้ถือบัตรตามจริง</w:t>
            </w:r>
          </w:p>
        </w:tc>
      </w:tr>
      <w:tr>
        <w:tc>
          <w:tcPr/>
          <w:p>
            <w:pPr>
              <w:pStyle w:val="Compact"/>
            </w:pPr>
            <w:r>
              <w:t xml:space="preserve">การแจ้ง webhook</w:t>
            </w:r>
            <w:r>
              <w:t xml:space="preserve"> </w:t>
            </w:r>
            <w:r>
              <w:rPr>
                <w:rStyle w:val="VerbatimChar"/>
              </w:rPr>
              <w:t xml:space="preserve">payment.refunded</w:t>
            </w:r>
            <w:r>
              <w:t xml:space="preserve"> </w:t>
            </w:r>
            <w:r>
              <w:t xml:space="preserve">ให้ร้านค้า</w:t>
            </w:r>
          </w:p>
        </w:tc>
        <w:tc>
          <w:tcPr/>
          <w:p>
            <w:pPr>
              <w:pStyle w:val="Compact"/>
            </w:pPr>
            <w:r>
              <w:t xml:space="preserve">ภายใน</w:t>
            </w:r>
            <w:r>
              <w:t xml:space="preserve"> </w:t>
            </w:r>
            <w:r>
              <w:rPr>
                <w:b/>
                <w:bCs/>
              </w:rPr>
              <w:t xml:space="preserve">นาที</w:t>
            </w:r>
            <w:r>
              <w:t xml:space="preserve"> </w:t>
            </w:r>
            <w:r>
              <w:t xml:space="preserve">หลังยืนยัน (at-least-once + retry)</w:t>
            </w:r>
          </w:p>
        </w:tc>
        <w:tc>
          <w:tcPr/>
          <w:p>
            <w:pPr>
              <w:pStyle w:val="Compact"/>
            </w:pPr>
            <w:r>
              <w:t xml:space="preserve">ตาม ARCHITECTURE §4 Webhook/Notifier</w:t>
            </w:r>
          </w:p>
        </w:tc>
      </w:tr>
    </w:tbl>
    <w:p>
      <w:pPr>
        <w:pStyle w:val="BlockText"/>
      </w:pPr>
      <w:r>
        <w:rPr>
          <w:b/>
          <w:bCs/>
        </w:rPr>
        <w:t xml:space="preserve">หมายเหตุการคุ้มครองผู้บริโภค:</w:t>
      </w:r>
      <w:r>
        <w:t xml:space="preserve"> </w:t>
      </w:r>
      <w:r>
        <w:t xml:space="preserve">บริษัทต้องเปิดเผยกรอบเวลาคืนเงินโดยประมาณและช่องทางร้องเรียนต่อผู้ถือบัตร/ร้านค้าอย่างชัดเจน สอดคล้องกับแนวทางคุ้มครองผู้ใช้บริการทางการเงินของ ธปท.</w:t>
      </w:r>
    </w:p>
    <w:bookmarkEnd w:id="991"/>
    <w:bookmarkStart w:id="992" w:name="refund-vs.-void-เลอกใชเมอใด"/>
    <w:p>
      <w:pPr>
        <w:pStyle w:val="Heading3"/>
      </w:pPr>
      <w:r>
        <w:t xml:space="preserve">2.3 Refund vs. Void — เลือกใช้เมื่อใด</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เงื่อนไข</w:t>
            </w:r>
          </w:p>
        </w:tc>
        <w:tc>
          <w:tcPr/>
          <w:p>
            <w:pPr>
              <w:pStyle w:val="Compact"/>
            </w:pPr>
            <w:r>
              <w:t xml:space="preserve">ใช้</w:t>
            </w:r>
          </w:p>
        </w:tc>
      </w:tr>
      <w:tr>
        <w:tc>
          <w:tcPr/>
          <w:p>
            <w:pPr>
              <w:pStyle w:val="Compact"/>
            </w:pPr>
            <w:r>
              <w:t xml:space="preserve">ยังไม่ capture (ยังเป็น</w:t>
            </w:r>
            <w:r>
              <w:t xml:space="preserve"> </w:t>
            </w:r>
            <w:r>
              <w:rPr>
                <w:rStyle w:val="VerbatimChar"/>
              </w:rPr>
              <w:t xml:space="preserve">authorized</w:t>
            </w:r>
            <w:r>
              <w:t xml:space="preserve">)</w:t>
            </w:r>
          </w:p>
        </w:tc>
        <w:tc>
          <w:tcPr/>
          <w:p>
            <w:pPr>
              <w:pStyle w:val="Compact"/>
            </w:pPr>
            <w:r>
              <w:rPr>
                <w:b/>
                <w:bCs/>
              </w:rPr>
              <w:t xml:space="preserve">Void</w:t>
            </w:r>
            <w:r>
              <w:t xml:space="preserve"> </w:t>
            </w:r>
            <w:r>
              <w:t xml:space="preserve">— เร็วกว่า ไม่มีค่าธรรมเนียม ไม่กระทบ statement ผู้ถือบัตร</w:t>
            </w:r>
          </w:p>
        </w:tc>
      </w:tr>
      <w:tr>
        <w:tc>
          <w:tcPr/>
          <w:p>
            <w:pPr>
              <w:pStyle w:val="Compact"/>
            </w:pPr>
            <w:r>
              <w:t xml:space="preserve">capture แล้ว / settle แล้ว</w:t>
            </w:r>
          </w:p>
        </w:tc>
        <w:tc>
          <w:tcPr/>
          <w:p>
            <w:pPr>
              <w:pStyle w:val="Compact"/>
            </w:pPr>
            <w:r>
              <w:rPr>
                <w:b/>
                <w:bCs/>
              </w:rPr>
              <w:t xml:space="preserve">Refund</w:t>
            </w:r>
          </w:p>
        </w:tc>
      </w:tr>
    </w:tbl>
    <w:p>
      <w:pPr>
        <w:pStyle w:val="BodyText"/>
      </w:pPr>
      <w:r>
        <w:rPr>
          <w:b/>
          <w:bCs/>
        </w:rPr>
        <w:t xml:space="preserve">หลักการ:</w:t>
      </w:r>
      <w:r>
        <w:t xml:space="preserve"> </w:t>
      </w:r>
      <w:r>
        <w:t xml:space="preserve">หากยกเลิกก่อน settlement ให้ใช้ void เสมอ เพื่อลดต้นทุนและลดความสับสนของผู้ถือบัตร</w:t>
      </w:r>
    </w:p>
    <w:p>
      <w:r>
        <w:pict>
          <v:rect style="width:0;height:1.5pt" o:hralign="center" o:hrstd="t" o:hr="t"/>
        </w:pict>
      </w:r>
    </w:p>
    <w:bookmarkEnd w:id="992"/>
    <w:bookmarkEnd w:id="993"/>
    <w:bookmarkStart w:id="997" w:name="การกลบรายการ-reversal-void-procedures"/>
    <w:p>
      <w:pPr>
        <w:pStyle w:val="Heading2"/>
      </w:pPr>
      <w:r>
        <w:t xml:space="preserve">3. การกลับรายการ (Reversal / Void Procedures)</w:t>
      </w:r>
    </w:p>
    <w:bookmarkStart w:id="994" w:name="authorization-reversal-void"/>
    <w:p>
      <w:pPr>
        <w:pStyle w:val="Heading3"/>
      </w:pPr>
      <w:r>
        <w:t xml:space="preserve">3.1 Authorization Reversal (Void)</w:t>
      </w:r>
    </w:p>
    <w:p>
      <w:pPr>
        <w:pStyle w:val="Compact"/>
        <w:numPr>
          <w:ilvl w:val="0"/>
          <w:numId w:val="1371"/>
        </w:numPr>
      </w:pPr>
      <w:r>
        <w:t xml:space="preserve">ใช้ได้เฉพาะสถานะ</w:t>
      </w:r>
      <w:r>
        <w:t xml:space="preserve"> </w:t>
      </w:r>
      <w:r>
        <w:rPr>
          <w:rStyle w:val="VerbatimChar"/>
          <w:b/>
          <w:bCs/>
        </w:rPr>
        <w:t xml:space="preserve">authorized</w:t>
      </w:r>
      <w:r>
        <w:t xml:space="preserve"> </w:t>
      </w:r>
      <w:r>
        <w:t xml:space="preserve">(ก่อน capture) เท่านั้น → ผลลัพธ์สถานะ</w:t>
      </w:r>
      <w:r>
        <w:t xml:space="preserve"> </w:t>
      </w:r>
      <w:r>
        <w:rPr>
          <w:rStyle w:val="VerbatimChar"/>
          <w:b/>
          <w:bCs/>
        </w:rPr>
        <w:t xml:space="preserve">voided</w:t>
      </w:r>
    </w:p>
    <w:p>
      <w:pPr>
        <w:pStyle w:val="Compact"/>
        <w:numPr>
          <w:ilvl w:val="0"/>
          <w:numId w:val="1371"/>
        </w:numPr>
      </w:pPr>
      <w:r>
        <w:t xml:space="preserve">Endpoint:</w:t>
      </w:r>
      <w:r>
        <w:t xml:space="preserve"> </w:t>
      </w:r>
      <w:r>
        <w:rPr>
          <w:rStyle w:val="VerbatimChar"/>
        </w:rPr>
        <w:t xml:space="preserve">POST /v1/payments/{id}/void</w:t>
      </w:r>
      <w:r>
        <w:t xml:space="preserve"> </w:t>
      </w:r>
      <w:r>
        <w:t xml:space="preserve">→ ส่ง reversal message ไป acquirer → เขียน</w:t>
      </w:r>
      <w:r>
        <w:t xml:space="preserve"> </w:t>
      </w:r>
      <w:r>
        <w:rPr>
          <w:rStyle w:val="VerbatimChar"/>
        </w:rPr>
        <w:t xml:space="preserve">ledger_entries(void)</w:t>
      </w:r>
    </w:p>
    <w:p>
      <w:pPr>
        <w:pStyle w:val="Compact"/>
        <w:numPr>
          <w:ilvl w:val="0"/>
          <w:numId w:val="1371"/>
        </w:numPr>
      </w:pPr>
      <w:r>
        <w:t xml:space="preserve">Full auth reversal ต้องส่งภายในกรอบเวลาที่ scheme กำหนด เพื่อคืนวงเงิน (open-to-buy) ของผู้ถือบัตรทันที</w:t>
      </w:r>
      <w:r>
        <w:t xml:space="preserve"> </w:t>
      </w:r>
      <w:r>
        <w:rPr>
          <w:b/>
          <w:bCs/>
        </w:rPr>
        <w:t xml:space="preserve">[TODO — ยืนยันกรอบเวลากับ sponsor bank/scheme]</w:t>
      </w:r>
    </w:p>
    <w:bookmarkEnd w:id="994"/>
    <w:bookmarkStart w:id="995" w:name="หลกการ-fail-closed-กบ-reversal"/>
    <w:p>
      <w:pPr>
        <w:pStyle w:val="Heading3"/>
      </w:pPr>
      <w:r>
        <w:t xml:space="preserve">3.2 หลักการ</w:t>
      </w:r>
      <w:r>
        <w:t xml:space="preserve"> </w:t>
      </w:r>
      <w:r>
        <w:t xml:space="preserve">“Fail closed”</w:t>
      </w:r>
      <w:r>
        <w:t xml:space="preserve"> </w:t>
      </w:r>
      <w:r>
        <w:t xml:space="preserve">กับ reversal</w:t>
      </w:r>
    </w:p>
    <w:p>
      <w:pPr>
        <w:pStyle w:val="FirstParagraph"/>
      </w:pPr>
      <w:r>
        <w:t xml:space="preserve">ตาม ARCHITECTURE §2 หลักการ 7 — เมื่อไม่แน่ใจสถานะธุรกรรม (เช่น timeout จาก acquirer) ระบบต้อง</w:t>
      </w:r>
      <w:r>
        <w:t xml:space="preserve"> </w:t>
      </w:r>
      <w:r>
        <w:rPr>
          <w:b/>
          <w:bCs/>
        </w:rPr>
        <w:t xml:space="preserve">ถือว่ายังไม่สำเร็จ</w:t>
      </w:r>
      <w:r>
        <w:t xml:space="preserve"> </w:t>
      </w:r>
      <w:r>
        <w:t xml:space="preserve">และเข้ากระบวนการ reconciliation:</w:t>
      </w:r>
      <w:r>
        <w:t xml:space="preserve"> </w:t>
      </w:r>
      <w:r>
        <w:t xml:space="preserve">- หาก authorize timeout → บันทึกเป็น pending → reconcile กับ acquirer → หากพบว่า auth สำเร็จแต่ระบบไม่ได้รับ response → ส่ง</w:t>
      </w:r>
      <w:r>
        <w:t xml:space="preserve"> </w:t>
      </w:r>
      <w:r>
        <w:rPr>
          <w:b/>
          <w:bCs/>
        </w:rPr>
        <w:t xml:space="preserve">auto-reversal</w:t>
      </w:r>
      <w:r>
        <w:t xml:space="preserve"> </w:t>
      </w:r>
      <w:r>
        <w:t xml:space="preserve">- ป้องกันการหักเงินซ้ำ/ค้างวงเงินผู้ถือบัตร (dangling authorization)</w:t>
      </w:r>
    </w:p>
    <w:bookmarkEnd w:id="995"/>
    <w:bookmarkStart w:id="996" w:name="state-machine-ทเกยวของ"/>
    <w:p>
      <w:pPr>
        <w:pStyle w:val="Heading3"/>
      </w:pPr>
      <w:r>
        <w:t xml:space="preserve">3.3 State machine ที่เกี่ยวข้อง</w:t>
      </w:r>
    </w:p>
    <w:p>
      <w:pPr>
        <w:pStyle w:val="SourceCode"/>
      </w:pPr>
      <w:r>
        <w:rPr>
          <w:rStyle w:val="VerbatimChar"/>
        </w:rPr>
        <w:t xml:space="preserve">requires_action ──3DS ok──▶ authorized ──capture──▶ captured ──refund──▶ partial_refunded ──▶ refunded</w:t>
      </w:r>
      <w:r>
        <w:br/>
      </w:r>
      <w:r>
        <w:rPr>
          <w:rStyle w:val="VerbatimChar"/>
        </w:rPr>
        <w:t xml:space="preserve">       │                        │                        │</w:t>
      </w:r>
      <w:r>
        <w:br/>
      </w:r>
      <w:r>
        <w:rPr>
          <w:rStyle w:val="VerbatimChar"/>
        </w:rPr>
        <w:t xml:space="preserve">       └── fail ──▶ failed      └── void ──▶ voided       └── chargeback ──▶ disputed ──▶ (won/lost)</w:t>
      </w:r>
    </w:p>
    <w:p>
      <w:pPr>
        <w:pStyle w:val="BlockText"/>
      </w:pPr>
      <w:r>
        <w:t xml:space="preserve">สถานะ</w:t>
      </w:r>
      <w:r>
        <w:t xml:space="preserve"> </w:t>
      </w:r>
      <w:r>
        <w:rPr>
          <w:rStyle w:val="VerbatimChar"/>
        </w:rPr>
        <w:t xml:space="preserve">disputed</w:t>
      </w:r>
      <w:r>
        <w:t xml:space="preserve">,</w:t>
      </w:r>
      <w:r>
        <w:t xml:space="preserve"> </w:t>
      </w:r>
      <w:r>
        <w:rPr>
          <w:rStyle w:val="VerbatimChar"/>
        </w:rPr>
        <w:t xml:space="preserve">dispute_won</w:t>
      </w:r>
      <w:r>
        <w:t xml:space="preserve">,</w:t>
      </w:r>
      <w:r>
        <w:t xml:space="preserve"> </w:t>
      </w:r>
      <w:r>
        <w:rPr>
          <w:rStyle w:val="VerbatimChar"/>
        </w:rPr>
        <w:t xml:space="preserve">dispute_lost</w:t>
      </w:r>
      <w:r>
        <w:t xml:space="preserve"> </w:t>
      </w:r>
      <w:r>
        <w:t xml:space="preserve">เป็นส่วนขยายของ state machine ใน ARCHITECTURE §5.4 สำหรับงาน chargeback (Phase 3: chargeback/dispute workflow)</w:t>
      </w:r>
    </w:p>
    <w:p>
      <w:r>
        <w:pict>
          <v:rect style="width:0;height:1.5pt" o:hralign="center" o:hrstd="t" o:hr="t"/>
        </w:pict>
      </w:r>
    </w:p>
    <w:bookmarkEnd w:id="996"/>
    <w:bookmarkEnd w:id="997"/>
    <w:bookmarkStart w:id="1002" w:name="การโตแยงรายการ-chargeback-lifecycle"/>
    <w:p>
      <w:pPr>
        <w:pStyle w:val="Heading2"/>
      </w:pPr>
      <w:r>
        <w:t xml:space="preserve">4. การโต้แย้งรายการ (Chargeback Lifecycle)</w:t>
      </w:r>
    </w:p>
    <w:bookmarkStart w:id="998" w:name="Xb0b1ee882f682148446dc206b963ed8c297a4fd"/>
    <w:p>
      <w:pPr>
        <w:pStyle w:val="Heading3"/>
      </w:pPr>
      <w:r>
        <w:t xml:space="preserve">4.1 วงจร chargeback (dual-message, Visa/Mastercard)</w:t>
      </w:r>
    </w:p>
    <w:p>
      <w:pPr>
        <w:pStyle w:val="SourceCode"/>
      </w:pPr>
      <w:r>
        <w:rPr>
          <w:rStyle w:val="VerbatimChar"/>
        </w:rPr>
        <w:t xml:space="preserve">ผู้ถือบัตรโต้แย้ง → Issuer เปิด chargeback (reason code)</w:t>
      </w:r>
      <w:r>
        <w:br/>
      </w:r>
      <w:r>
        <w:rPr>
          <w:rStyle w:val="VerbatimChar"/>
        </w:rPr>
        <w:t xml:space="preserve">        ▼</w:t>
      </w:r>
      <w:r>
        <w:br/>
      </w:r>
      <w:r>
        <w:rPr>
          <w:rStyle w:val="VerbatimChar"/>
        </w:rPr>
        <w:t xml:space="preserve">Acquirer/บริษัท รับแจ้ง → แจ้งร้านค้า (webhook: dispute.opened) → เก็บหลักฐาน</w:t>
      </w:r>
      <w:r>
        <w:br/>
      </w:r>
      <w:r>
        <w:rPr>
          <w:rStyle w:val="VerbatimChar"/>
        </w:rPr>
        <w:t xml:space="preserve">        ▼</w:t>
      </w:r>
      <w:r>
        <w:br/>
      </w:r>
      <w:r>
        <w:rPr>
          <w:rStyle w:val="VerbatimChar"/>
        </w:rPr>
        <w:t xml:space="preserve">[ทางเลือก] Representment (โต้กลับพร้อมหลักฐาน)  ──── หรือ ──── ยอมรับ (accept liability)</w:t>
      </w:r>
      <w:r>
        <w:br/>
      </w:r>
      <w:r>
        <w:rPr>
          <w:rStyle w:val="VerbatimChar"/>
        </w:rPr>
        <w:t xml:space="preserve">        ▼</w:t>
      </w:r>
      <w:r>
        <w:br/>
      </w:r>
      <w:r>
        <w:rPr>
          <w:rStyle w:val="VerbatimChar"/>
        </w:rPr>
        <w:t xml:space="preserve">Issuer พิจารณา → หากไม่ยอมรับ → Pre-arbitration</w:t>
      </w:r>
      <w:r>
        <w:br/>
      </w:r>
      <w:r>
        <w:rPr>
          <w:rStyle w:val="VerbatimChar"/>
        </w:rPr>
        <w:t xml:space="preserve">        ▼</w:t>
      </w:r>
      <w:r>
        <w:br/>
      </w:r>
      <w:r>
        <w:rPr>
          <w:rStyle w:val="VerbatimChar"/>
        </w:rPr>
        <w:t xml:space="preserve">Arbitration (card scheme ตัดสิน) → ผลผูกพัน + ค่าธรรมเนียม arbitration</w:t>
      </w:r>
    </w:p>
    <w:bookmarkEnd w:id="998"/>
    <w:bookmarkStart w:id="999" w:name="X373de9145da5b7f4d515a58b88dd79b5047aab9"/>
    <w:p>
      <w:pPr>
        <w:pStyle w:val="Heading3"/>
      </w:pPr>
      <w:r>
        <w:t xml:space="preserve">4.2 กรอบเวลา chargeback (Chargeback Timeframes)</w:t>
      </w:r>
    </w:p>
    <w:p>
      <w:pPr>
        <w:pStyle w:val="BlockText"/>
      </w:pPr>
      <w:r>
        <w:t xml:space="preserve">ค่าต่อไปนี้เป็น</w:t>
      </w:r>
      <w:r>
        <w:t xml:space="preserve"> </w:t>
      </w:r>
      <w:r>
        <w:rPr>
          <w:b/>
          <w:bCs/>
        </w:rPr>
        <w:t xml:space="preserve">ค่าอ้างอิงตามแนวปฏิบัติทั่วไปของ scheme</w:t>
      </w:r>
      <w:r>
        <w:t xml:space="preserve"> </w:t>
      </w:r>
      <w:r>
        <w:t xml:space="preserve">—</w:t>
      </w:r>
      <w:r>
        <w:t xml:space="preserve"> </w:t>
      </w:r>
      <w:r>
        <w:rPr>
          <w:b/>
          <w:bCs/>
        </w:rPr>
        <w:t xml:space="preserve">[TODO — ยืนยันตัวเลขจริงกับ sponsor bank ตาม Visa Core Rules / Mastercard Chargeback Guide ฉบับล่าสุด]</w:t>
      </w:r>
    </w:p>
    <w:tbl>
      <w:tblPr>
        <w:tblStyle w:val="Table"/>
        <w:tblW w:type="pct" w:w="5000"/>
        <w:tblLayout w:type="fixed"/>
        <w:tblLook w:firstRow="1" w:lastRow="0" w:firstColumn="0" w:lastColumn="0" w:noHBand="0" w:noVBand="0" w:val="0020"/>
      </w:tblPr>
      <w:tblGrid>
        <w:gridCol w:w="1228"/>
        <w:gridCol w:w="1228"/>
        <w:gridCol w:w="2594"/>
        <w:gridCol w:w="2867"/>
      </w:tblGrid>
      <w:tr>
        <w:trPr>
          <w:tblHeader w:val="on"/>
        </w:trPr>
        <w:tc>
          <w:tcPr/>
          <w:p>
            <w:pPr>
              <w:pStyle w:val="Compact"/>
            </w:pPr>
            <w:r>
              <w:t xml:space="preserve">ขั้นตอน</w:t>
            </w:r>
          </w:p>
        </w:tc>
        <w:tc>
          <w:tcPr/>
          <w:p>
            <w:pPr>
              <w:pStyle w:val="Compact"/>
            </w:pPr>
            <w:r>
              <w:t xml:space="preserve">ผู้กระทำ</w:t>
            </w:r>
          </w:p>
        </w:tc>
        <w:tc>
          <w:tcPr/>
          <w:p>
            <w:pPr>
              <w:pStyle w:val="Compact"/>
            </w:pPr>
            <w:r>
              <w:t xml:space="preserve">กรอบเวลา (อ้างอิง)</w:t>
            </w:r>
          </w:p>
        </w:tc>
        <w:tc>
          <w:tcPr/>
          <w:p>
            <w:pPr>
              <w:pStyle w:val="Compact"/>
            </w:pPr>
            <w:r>
              <w:t xml:space="preserve">SLA ภายในของบริษัท</w:t>
            </w:r>
          </w:p>
        </w:tc>
      </w:tr>
      <w:tr>
        <w:tc>
          <w:tcPr/>
          <w:p>
            <w:pPr>
              <w:pStyle w:val="Compact"/>
            </w:pPr>
            <w:r>
              <w:t xml:space="preserve">Issuer เปิด chargeback</w:t>
            </w:r>
          </w:p>
        </w:tc>
        <w:tc>
          <w:tcPr/>
          <w:p>
            <w:pPr>
              <w:pStyle w:val="Compact"/>
            </w:pPr>
            <w:r>
              <w:t xml:space="preserve">Issuer</w:t>
            </w:r>
          </w:p>
        </w:tc>
        <w:tc>
          <w:tcPr/>
          <w:p>
            <w:pPr>
              <w:pStyle w:val="Compact"/>
            </w:pPr>
            <w:r>
              <w:t xml:space="preserve">โดยทั่วไปภายใน</w:t>
            </w:r>
            <w:r>
              <w:t xml:space="preserve"> </w:t>
            </w:r>
            <w:r>
              <w:rPr>
                <w:b/>
                <w:bCs/>
              </w:rPr>
              <w:t xml:space="preserve">120 วัน</w:t>
            </w:r>
            <w:r>
              <w:t xml:space="preserve"> </w:t>
            </w:r>
            <w:r>
              <w:t xml:space="preserve">นับจากวันทำรายการ/วันคาดว่าจะได้รับสินค้า (ต่างตาม reason code)</w:t>
            </w:r>
          </w:p>
        </w:tc>
        <w:tc>
          <w:tcPr/>
          <w:p>
            <w:pPr>
              <w:pStyle w:val="Compact"/>
            </w:pPr>
            <w:r>
              <w:t xml:space="preserve">รับผ่าน acquirer แล้วบันทึกทันที</w:t>
            </w:r>
          </w:p>
        </w:tc>
      </w:tr>
      <w:tr>
        <w:tc>
          <w:tcPr/>
          <w:p>
            <w:pPr>
              <w:pStyle w:val="Compact"/>
            </w:pPr>
            <w:r>
              <w:t xml:space="preserve">บริษัทแจ้งร้านค้า + เปิดเคส</w:t>
            </w:r>
          </w:p>
        </w:tc>
        <w:tc>
          <w:tcPr/>
          <w:p>
            <w:pPr>
              <w:pStyle w:val="Compact"/>
            </w:pPr>
            <w:r>
              <w:t xml:space="preserve">บริษัท</w:t>
            </w:r>
          </w:p>
        </w:tc>
        <w:tc>
          <w:tcPr/>
          <w:p>
            <w:pPr>
              <w:pStyle w:val="Compact"/>
            </w:pPr>
            <w:r>
              <w:t xml:space="preserve">—</w:t>
            </w:r>
          </w:p>
        </w:tc>
        <w:tc>
          <w:tcPr/>
          <w:p>
            <w:pPr>
              <w:pStyle w:val="Compact"/>
            </w:pPr>
            <w:r>
              <w:t xml:space="preserve">ภายใน</w:t>
            </w:r>
            <w:r>
              <w:t xml:space="preserve"> </w:t>
            </w:r>
            <w:r>
              <w:rPr>
                <w:b/>
                <w:bCs/>
              </w:rPr>
              <w:t xml:space="preserve">1 วันทำการ</w:t>
            </w:r>
            <w:r>
              <w:t xml:space="preserve"> </w:t>
            </w:r>
            <w:r>
              <w:t xml:space="preserve">หลังรับแจ้ง (webhook</w:t>
            </w:r>
            <w:r>
              <w:t xml:space="preserve"> </w:t>
            </w:r>
            <w:r>
              <w:rPr>
                <w:rStyle w:val="VerbatimChar"/>
              </w:rPr>
              <w:t xml:space="preserve">dispute.opened</w:t>
            </w:r>
            <w:r>
              <w:t xml:space="preserve">)</w:t>
            </w:r>
          </w:p>
        </w:tc>
      </w:tr>
      <w:tr>
        <w:tc>
          <w:tcPr/>
          <w:p>
            <w:pPr>
              <w:pStyle w:val="Compact"/>
            </w:pPr>
            <w:r>
              <w:t xml:space="preserve">ร้านค้าส่งหลักฐานให้บริษัท</w:t>
            </w:r>
          </w:p>
        </w:tc>
        <w:tc>
          <w:tcPr/>
          <w:p>
            <w:pPr>
              <w:pStyle w:val="Compact"/>
            </w:pPr>
            <w:r>
              <w:t xml:space="preserve">Merchant</w:t>
            </w:r>
          </w:p>
        </w:tc>
        <w:tc>
          <w:tcPr/>
          <w:p>
            <w:pPr>
              <w:pStyle w:val="Compact"/>
            </w:pPr>
            <w:r>
              <w:t xml:space="preserve">—</w:t>
            </w:r>
          </w:p>
        </w:tc>
        <w:tc>
          <w:tcPr/>
          <w:p>
            <w:pPr>
              <w:pStyle w:val="Compact"/>
            </w:pPr>
            <w:r>
              <w:t xml:space="preserve">ภายใน</w:t>
            </w:r>
            <w:r>
              <w:t xml:space="preserve"> </w:t>
            </w:r>
            <w:r>
              <w:rPr>
                <w:b/>
                <w:bCs/>
              </w:rPr>
              <w:t xml:space="preserve">7 วันปฏิทิน</w:t>
            </w:r>
            <w:r>
              <w:t xml:space="preserve"> </w:t>
            </w:r>
            <w:r>
              <w:t xml:space="preserve">(กันชนก่อน scheme deadline)</w:t>
            </w:r>
          </w:p>
        </w:tc>
      </w:tr>
      <w:tr>
        <w:tc>
          <w:tcPr/>
          <w:p>
            <w:pPr>
              <w:pStyle w:val="Compact"/>
            </w:pPr>
            <w:r>
              <w:t xml:space="preserve">บริษัทยื่น representment</w:t>
            </w:r>
          </w:p>
        </w:tc>
        <w:tc>
          <w:tcPr/>
          <w:p>
            <w:pPr>
              <w:pStyle w:val="Compact"/>
            </w:pPr>
            <w:r>
              <w:t xml:space="preserve">บริษัท → acquirer</w:t>
            </w:r>
          </w:p>
        </w:tc>
        <w:tc>
          <w:tcPr/>
          <w:p>
            <w:pPr>
              <w:pStyle w:val="Compact"/>
            </w:pPr>
            <w:r>
              <w:t xml:space="preserve">โดยทั่วไปภายใน</w:t>
            </w:r>
            <w:r>
              <w:t xml:space="preserve"> </w:t>
            </w:r>
            <w:r>
              <w:rPr>
                <w:b/>
                <w:bCs/>
              </w:rPr>
              <w:t xml:space="preserve">30 วัน</w:t>
            </w:r>
            <w:r>
              <w:t xml:space="preserve"> </w:t>
            </w:r>
            <w:r>
              <w:t xml:space="preserve">นับจากวันที่ chargeback</w:t>
            </w:r>
          </w:p>
        </w:tc>
        <w:tc>
          <w:tcPr/>
          <w:p>
            <w:pPr>
              <w:pStyle w:val="Compact"/>
            </w:pPr>
            <w:r>
              <w:t xml:space="preserve">ต้องยื่นก่อน scheme deadline อย่างน้อย</w:t>
            </w:r>
            <w:r>
              <w:t xml:space="preserve"> </w:t>
            </w:r>
            <w:r>
              <w:rPr>
                <w:b/>
                <w:bCs/>
              </w:rPr>
              <w:t xml:space="preserve">3 วันทำการ</w:t>
            </w:r>
          </w:p>
        </w:tc>
      </w:tr>
      <w:tr>
        <w:tc>
          <w:tcPr/>
          <w:p>
            <w:pPr>
              <w:pStyle w:val="Compact"/>
            </w:pPr>
            <w:r>
              <w:t xml:space="preserve">Pre-arbitration</w:t>
            </w:r>
          </w:p>
        </w:tc>
        <w:tc>
          <w:tcPr/>
          <w:p>
            <w:pPr>
              <w:pStyle w:val="Compact"/>
            </w:pPr>
            <w:r>
              <w:t xml:space="preserve">Issuer/Acquirer</w:t>
            </w:r>
          </w:p>
        </w:tc>
        <w:tc>
          <w:tcPr/>
          <w:p>
            <w:pPr>
              <w:pStyle w:val="Compact"/>
            </w:pPr>
            <w:r>
              <w:t xml:space="preserve">โดยทั่วไปภายใน</w:t>
            </w:r>
            <w:r>
              <w:t xml:space="preserve"> </w:t>
            </w:r>
            <w:r>
              <w:rPr>
                <w:b/>
                <w:bCs/>
              </w:rPr>
              <w:t xml:space="preserve">30 วัน</w:t>
            </w:r>
          </w:p>
        </w:tc>
        <w:tc>
          <w:tcPr/>
          <w:p>
            <w:pPr>
              <w:pStyle w:val="Compact"/>
            </w:pPr>
            <w:r>
              <w:t xml:space="preserve">ทีม Dispute Ops ตัดสินใจ escalate/accept</w:t>
            </w:r>
          </w:p>
        </w:tc>
      </w:tr>
      <w:tr>
        <w:tc>
          <w:tcPr/>
          <w:p>
            <w:pPr>
              <w:pStyle w:val="Compact"/>
            </w:pPr>
            <w:r>
              <w:t xml:space="preserve">Arbitration (scheme ตัดสิน)</w:t>
            </w:r>
          </w:p>
        </w:tc>
        <w:tc>
          <w:tcPr/>
          <w:p>
            <w:pPr>
              <w:pStyle w:val="Compact"/>
            </w:pPr>
            <w:r>
              <w:t xml:space="preserve">Card scheme</w:t>
            </w:r>
          </w:p>
        </w:tc>
        <w:tc>
          <w:tcPr/>
          <w:p>
            <w:pPr>
              <w:pStyle w:val="Compact"/>
            </w:pPr>
            <w:r>
              <w:t xml:space="preserve">ตามกฎ scheme</w:t>
            </w:r>
          </w:p>
        </w:tc>
        <w:tc>
          <w:tcPr/>
          <w:p>
            <w:pPr>
              <w:pStyle w:val="Compact"/>
            </w:pPr>
            <w:r>
              <w:t xml:space="preserve">ต้องมีเหตุผลเชิงเศรษฐกิจ (มูลค่า &gt; ค่าธรรมเนียม arbitration)</w:t>
            </w:r>
          </w:p>
        </w:tc>
      </w:tr>
    </w:tbl>
    <w:p>
      <w:pPr>
        <w:pStyle w:val="BlockText"/>
      </w:pPr>
      <w:r>
        <w:rPr>
          <w:b/>
          <w:bCs/>
        </w:rPr>
        <w:t xml:space="preserve">หลักการเดดไลน์:</w:t>
      </w:r>
      <w:r>
        <w:t xml:space="preserve"> </w:t>
      </w:r>
      <w:r>
        <w:t xml:space="preserve">บริษัทตั้ง</w:t>
      </w:r>
      <w:r>
        <w:t xml:space="preserve"> </w:t>
      </w:r>
      <w:r>
        <w:rPr>
          <w:b/>
          <w:bCs/>
        </w:rPr>
        <w:t xml:space="preserve">internal deadline เร็วกว่า scheme deadline เสมอ</w:t>
      </w:r>
      <w:r>
        <w:t xml:space="preserve"> </w:t>
      </w:r>
      <w:r>
        <w:t xml:space="preserve">(buffer ≥ 3 วันทำการ) เพื่อลดความเสี่ยงแพ้เคสจากการยื่นล่าช้า ระบบตั้ง reminder อัตโนมัติที่ T-7, T-3, T-1 วัน</w:t>
      </w:r>
    </w:p>
    <w:bookmarkEnd w:id="999"/>
    <w:bookmarkStart w:id="1000" w:name="ตวอยาง-reason-code-หมวดหลก"/>
    <w:p>
      <w:pPr>
        <w:pStyle w:val="Heading3"/>
      </w:pPr>
      <w:r>
        <w:t xml:space="preserve">4.3 ตัวอย่าง Reason Code (หมวดหลัก)</w:t>
      </w:r>
    </w:p>
    <w:tbl>
      <w:tblPr>
        <w:tblStyle w:val="Table"/>
        <w:tblW w:type="pct" w:w="5000"/>
        <w:tblLayout w:type="fixed"/>
        <w:tblLook w:firstRow="1" w:lastRow="0" w:firstColumn="0" w:lastColumn="0" w:noHBand="0" w:noVBand="0" w:val="0020"/>
      </w:tblPr>
      <w:tblGrid>
        <w:gridCol w:w="678"/>
        <w:gridCol w:w="3394"/>
        <w:gridCol w:w="905"/>
        <w:gridCol w:w="2941"/>
      </w:tblGrid>
      <w:tr>
        <w:trPr>
          <w:tblHeader w:val="on"/>
        </w:trPr>
        <w:tc>
          <w:tcPr/>
          <w:p>
            <w:pPr>
              <w:pStyle w:val="Compact"/>
            </w:pPr>
            <w:r>
              <w:t xml:space="preserve">หมวด</w:t>
            </w:r>
          </w:p>
        </w:tc>
        <w:tc>
          <w:tcPr/>
          <w:p>
            <w:pPr>
              <w:pStyle w:val="Compact"/>
            </w:pPr>
            <w:r>
              <w:t xml:space="preserve">ตัวอย่าง (Visa / Mastercard)</w:t>
            </w:r>
          </w:p>
        </w:tc>
        <w:tc>
          <w:tcPr/>
          <w:p>
            <w:pPr>
              <w:pStyle w:val="Compact"/>
            </w:pPr>
            <w:r>
              <w:t xml:space="preserve">สาเหตุ</w:t>
            </w:r>
          </w:p>
        </w:tc>
        <w:tc>
          <w:tcPr/>
          <w:p>
            <w:pPr>
              <w:pStyle w:val="Compact"/>
            </w:pPr>
            <w:r>
              <w:t xml:space="preserve">หลักฐานโต้กลับที่ต้องใช้</w:t>
            </w:r>
          </w:p>
        </w:tc>
      </w:tr>
      <w:tr>
        <w:tc>
          <w:tcPr/>
          <w:p>
            <w:pPr>
              <w:pStyle w:val="Compact"/>
            </w:pPr>
            <w:r>
              <w:rPr>
                <w:b/>
                <w:bCs/>
              </w:rPr>
              <w:t xml:space="preserve">Fraud</w:t>
            </w:r>
          </w:p>
        </w:tc>
        <w:tc>
          <w:tcPr/>
          <w:p>
            <w:pPr>
              <w:pStyle w:val="Compact"/>
            </w:pPr>
            <w:r>
              <w:t xml:space="preserve">Visa 10.4 / MC 4837</w:t>
            </w:r>
          </w:p>
        </w:tc>
        <w:tc>
          <w:tcPr/>
          <w:p>
            <w:pPr>
              <w:pStyle w:val="Compact"/>
            </w:pPr>
            <w:r>
              <w:t xml:space="preserve">ธุรกรรมไม่ได้รับอนุญาต (CNP fraud)</w:t>
            </w:r>
          </w:p>
        </w:tc>
        <w:tc>
          <w:tcPr/>
          <w:p>
            <w:pPr>
              <w:pStyle w:val="Compact"/>
            </w:pPr>
            <w:r>
              <w:t xml:space="preserve">หลักฐาน 3DS/AVS/CVV, IP/device, ประวัติลูกค้า</w:t>
            </w:r>
          </w:p>
        </w:tc>
      </w:tr>
      <w:tr>
        <w:tc>
          <w:tcPr/>
          <w:p>
            <w:pPr>
              <w:pStyle w:val="Compact"/>
            </w:pPr>
            <w:r>
              <w:rPr>
                <w:b/>
                <w:bCs/>
              </w:rPr>
              <w:t xml:space="preserve">Authorization</w:t>
            </w:r>
          </w:p>
        </w:tc>
        <w:tc>
          <w:tcPr/>
          <w:p>
            <w:pPr>
              <w:pStyle w:val="Compact"/>
            </w:pPr>
            <w:r>
              <w:t xml:space="preserve">Visa 11.x / MC 4808</w:t>
            </w:r>
          </w:p>
        </w:tc>
        <w:tc>
          <w:tcPr/>
          <w:p>
            <w:pPr>
              <w:pStyle w:val="Compact"/>
            </w:pPr>
            <w:r>
              <w:t xml:space="preserve">ไม่มี/ไม่ถูกต้องของ authorization</w:t>
            </w:r>
          </w:p>
        </w:tc>
        <w:tc>
          <w:tcPr/>
          <w:p>
            <w:pPr>
              <w:pStyle w:val="Compact"/>
            </w:pPr>
            <w:r>
              <w:t xml:space="preserve">auth_code, log การขออนุมัติ</w:t>
            </w:r>
          </w:p>
        </w:tc>
      </w:tr>
      <w:tr>
        <w:tc>
          <w:tcPr/>
          <w:p>
            <w:pPr>
              <w:pStyle w:val="Compact"/>
            </w:pPr>
            <w:r>
              <w:rPr>
                <w:b/>
                <w:bCs/>
              </w:rPr>
              <w:t xml:space="preserve">Processing error</w:t>
            </w:r>
          </w:p>
        </w:tc>
        <w:tc>
          <w:tcPr/>
          <w:p>
            <w:pPr>
              <w:pStyle w:val="Compact"/>
            </w:pPr>
            <w:r>
              <w:t xml:space="preserve">Visa 12.x / MC 4834</w:t>
            </w:r>
          </w:p>
        </w:tc>
        <w:tc>
          <w:tcPr/>
          <w:p>
            <w:pPr>
              <w:pStyle w:val="Compact"/>
            </w:pPr>
            <w:r>
              <w:t xml:space="preserve">หักซ้ำ/ยอดผิด/สกุลเงินผิด</w:t>
            </w:r>
          </w:p>
        </w:tc>
        <w:tc>
          <w:tcPr/>
          <w:p>
            <w:pPr>
              <w:pStyle w:val="Compact"/>
            </w:pPr>
            <w:r>
              <w:t xml:space="preserve">ledger_entries, ใบเสร็จ, การ refund ที่ทำไปแล้ว</w:t>
            </w:r>
          </w:p>
        </w:tc>
      </w:tr>
      <w:tr>
        <w:tc>
          <w:tcPr/>
          <w:p>
            <w:pPr>
              <w:pStyle w:val="Compact"/>
            </w:pPr>
            <w:r>
              <w:rPr>
                <w:b/>
                <w:bCs/>
              </w:rPr>
              <w:t xml:space="preserve">Consumer dispute</w:t>
            </w:r>
          </w:p>
        </w:tc>
        <w:tc>
          <w:tcPr/>
          <w:p>
            <w:pPr>
              <w:pStyle w:val="Compact"/>
            </w:pPr>
            <w:r>
              <w:t xml:space="preserve">Visa 13.x / MC 4853</w:t>
            </w:r>
          </w:p>
        </w:tc>
        <w:tc>
          <w:tcPr/>
          <w:p>
            <w:pPr>
              <w:pStyle w:val="Compact"/>
            </w:pPr>
            <w:r>
              <w:t xml:space="preserve">ไม่ได้รับสินค้า/สินค้าไม่ตรง/ยกเลิกแล้ว</w:t>
            </w:r>
          </w:p>
        </w:tc>
        <w:tc>
          <w:tcPr/>
          <w:p>
            <w:pPr>
              <w:pStyle w:val="Compact"/>
            </w:pPr>
            <w:r>
              <w:t xml:space="preserve">หลักฐานส่งมอบ, T&amp;C, นโยบายคืนเงิน, การติดต่อลูกค้า</w:t>
            </w:r>
          </w:p>
        </w:tc>
      </w:tr>
    </w:tbl>
    <w:bookmarkEnd w:id="1000"/>
    <w:bookmarkStart w:id="1001" w:name="X31adcfcf65e5c765a80ae09326f4feefba2cf19"/>
    <w:p>
      <w:pPr>
        <w:pStyle w:val="Heading3"/>
      </w:pPr>
      <w:r>
        <w:t xml:space="preserve">4.4 กระบวนการเก็บและยื่นหลักฐาน (Compelling Evidence)</w:t>
      </w:r>
    </w:p>
    <w:p>
      <w:pPr>
        <w:pStyle w:val="Compact"/>
        <w:numPr>
          <w:ilvl w:val="0"/>
          <w:numId w:val="1372"/>
        </w:numPr>
      </w:pPr>
      <w:r>
        <w:t xml:space="preserve">ระบบสร้าง dispute case ผูกกับ</w:t>
      </w:r>
      <w:r>
        <w:t xml:space="preserve"> </w:t>
      </w:r>
      <w:r>
        <w:rPr>
          <w:rStyle w:val="VerbatimChar"/>
        </w:rPr>
        <w:t xml:space="preserve">payment_id</w:t>
      </w:r>
      <w:r>
        <w:t xml:space="preserve"> </w:t>
      </w:r>
      <w:r>
        <w:t xml:space="preserve">และดึงหลักฐานอัตโนมัติจาก ledger/audit_log/3DS result</w:t>
      </w:r>
    </w:p>
    <w:p>
      <w:pPr>
        <w:pStyle w:val="Compact"/>
        <w:numPr>
          <w:ilvl w:val="0"/>
          <w:numId w:val="1372"/>
        </w:numPr>
      </w:pPr>
      <w:r>
        <w:t xml:space="preserve">ร้านค้าอัปโหลดหลักฐานเพิ่มเติมผ่าน merchant portal (invoice, proof of delivery, การสื่อสารกับลูกค้า)</w:t>
      </w:r>
    </w:p>
    <w:p>
      <w:pPr>
        <w:pStyle w:val="Compact"/>
        <w:numPr>
          <w:ilvl w:val="0"/>
          <w:numId w:val="1372"/>
        </w:numPr>
      </w:pPr>
      <w:r>
        <w:t xml:space="preserve">ทีม Dispute Ops รวบรวมเป็น representment package → ยื่นผ่าน acquirer</w:t>
      </w:r>
    </w:p>
    <w:p>
      <w:pPr>
        <w:pStyle w:val="Compact"/>
        <w:numPr>
          <w:ilvl w:val="0"/>
          <w:numId w:val="1372"/>
        </w:numPr>
      </w:pPr>
      <w:r>
        <w:rPr>
          <w:b/>
          <w:bCs/>
        </w:rPr>
        <w:t xml:space="preserve">PDPA:</w:t>
      </w:r>
      <w:r>
        <w:t xml:space="preserve"> </w:t>
      </w:r>
      <w:r>
        <w:t xml:space="preserve">หลักฐานอาจมีข้อมูลส่วนบุคคล — จำกัดการเข้าถึงตาม least privilege และ retention ตาม</w:t>
      </w:r>
      <w:r>
        <w:t xml:space="preserve"> </w:t>
      </w:r>
      <w:r>
        <w:rPr>
          <w:rStyle w:val="VerbatimChar"/>
        </w:rPr>
        <w:t xml:space="preserve">09-pdpa-privacy-policy.md</w:t>
      </w:r>
      <w:r>
        <w:t xml:space="preserve">,</w:t>
      </w:r>
      <w:r>
        <w:t xml:space="preserve"> </w:t>
      </w:r>
      <w:r>
        <w:rPr>
          <w:rStyle w:val="VerbatimChar"/>
        </w:rPr>
        <w:t xml:space="preserve">11-data-retention-deletion.md</w:t>
      </w:r>
    </w:p>
    <w:p>
      <w:pPr>
        <w:pStyle w:val="Compact"/>
        <w:numPr>
          <w:ilvl w:val="0"/>
          <w:numId w:val="1372"/>
        </w:numPr>
      </w:pPr>
      <w:r>
        <w:rPr>
          <w:b/>
          <w:bCs/>
        </w:rPr>
        <w:t xml:space="preserve">PCI-DSS:</w:t>
      </w:r>
      <w:r>
        <w:t xml:space="preserve"> </w:t>
      </w:r>
      <w:r>
        <w:t xml:space="preserve">หลักฐานห้ามมี full PAN/SAD — ใช้</w:t>
      </w:r>
      <w:r>
        <w:t xml:space="preserve"> </w:t>
      </w:r>
      <w:r>
        <w:rPr>
          <w:rStyle w:val="VerbatimChar"/>
        </w:rPr>
        <w:t xml:space="preserve">card_last4</w:t>
      </w:r>
      <w:r>
        <w:t xml:space="preserve"> </w:t>
      </w:r>
      <w:r>
        <w:t xml:space="preserve">เท่านั้น (ARCHITECTURE §6,</w:t>
      </w:r>
      <w:r>
        <w:t xml:space="preserve"> </w:t>
      </w:r>
      <w:r>
        <w:rPr>
          <w:rStyle w:val="VerbatimChar"/>
        </w:rPr>
        <w:t xml:space="preserve">19-pci-dss-roadmap.md</w:t>
      </w:r>
      <w:r>
        <w:t xml:space="preserve">)</w:t>
      </w:r>
    </w:p>
    <w:p>
      <w:r>
        <w:pict>
          <v:rect style="width:0;height:1.5pt" o:hralign="center" o:hrstd="t" o:hr="t"/>
        </w:pict>
      </w:r>
    </w:p>
    <w:bookmarkEnd w:id="1001"/>
    <w:bookmarkEnd w:id="1002"/>
    <w:bookmarkStart w:id="1006" w:name="การจดสรรความรบผด-liability-allocation"/>
    <w:p>
      <w:pPr>
        <w:pStyle w:val="Heading2"/>
      </w:pPr>
      <w:r>
        <w:t xml:space="preserve">5. การจัดสรรความรับผิด (Liability Allocation)</w:t>
      </w:r>
    </w:p>
    <w:bookmarkStart w:id="1003" w:name="Xb5aafc2bc4a45ae709056485db09b61567e415a"/>
    <w:p>
      <w:pPr>
        <w:pStyle w:val="Heading3"/>
      </w:pPr>
      <w:r>
        <w:t xml:space="preserve">5.1 หลักการ liability shift ด้วย EMV 3-D Secure</w:t>
      </w:r>
    </w:p>
    <w:p>
      <w:pPr>
        <w:pStyle w:val="FirstParagraph"/>
      </w:pPr>
      <w:r>
        <w:t xml:space="preserve">ธุรกรรม CNP ที่ผ่าน</w:t>
      </w:r>
      <w:r>
        <w:t xml:space="preserve"> </w:t>
      </w:r>
      <w:r>
        <w:rPr>
          <w:b/>
          <w:bCs/>
        </w:rPr>
        <w:t xml:space="preserve">EMV 3DS 2.x authentication สำเร็จ</w:t>
      </w:r>
      <w:r>
        <w:t xml:space="preserve"> </w:t>
      </w:r>
      <w:r>
        <w:t xml:space="preserve">โดยทั่วไปจะ</w:t>
      </w:r>
      <w:r>
        <w:t xml:space="preserve"> </w:t>
      </w:r>
      <w:r>
        <w:rPr>
          <w:b/>
          <w:bCs/>
        </w:rPr>
        <w:t xml:space="preserve">โอนความรับผิด fraud chargeback ไปยัง issuer</w:t>
      </w:r>
      <w:r>
        <w:t xml:space="preserve"> </w:t>
      </w:r>
      <w:r>
        <w:t xml:space="preserve">(</w:t>
      </w:r>
      <w:r>
        <w:t xml:space="preserve">“liability shift”</w:t>
      </w:r>
      <w:r>
        <w:t xml:space="preserve">) ทำให้บริษัท/ร้านค้าไม่ต้องรับผิดในเคส fraud (reason code หมวด 10.x)</w:t>
      </w:r>
    </w:p>
    <w:tbl>
      <w:tblPr>
        <w:tblStyle w:val="Table"/>
        <w:tblW w:type="pct" w:w="5000"/>
        <w:tblLayout w:type="fixed"/>
        <w:tblLook w:firstRow="1" w:lastRow="0" w:firstColumn="0" w:lastColumn="0" w:noHBand="0" w:noVBand="0" w:val="0020"/>
      </w:tblPr>
      <w:tblGrid>
        <w:gridCol w:w="2124"/>
        <w:gridCol w:w="5795"/>
      </w:tblGrid>
      <w:tr>
        <w:trPr>
          <w:tblHeader w:val="on"/>
        </w:trPr>
        <w:tc>
          <w:tcPr/>
          <w:p>
            <w:pPr>
              <w:pStyle w:val="Compact"/>
            </w:pPr>
            <w:r>
              <w:t xml:space="preserve">สถานการณ์</w:t>
            </w:r>
          </w:p>
        </w:tc>
        <w:tc>
          <w:tcPr/>
          <w:p>
            <w:pPr>
              <w:pStyle w:val="Compact"/>
            </w:pPr>
            <w:r>
              <w:t xml:space="preserve">ผู้รับผิด (fraud chargeback)</w:t>
            </w:r>
          </w:p>
        </w:tc>
      </w:tr>
      <w:tr>
        <w:tc>
          <w:tcPr/>
          <w:p>
            <w:pPr>
              <w:pStyle w:val="Compact"/>
            </w:pPr>
            <w:r>
              <w:t xml:space="preserve">ผ่าน 3DS สำเร็จ (fully authenticated)</w:t>
            </w:r>
          </w:p>
        </w:tc>
        <w:tc>
          <w:tcPr/>
          <w:p>
            <w:pPr>
              <w:pStyle w:val="Compact"/>
            </w:pPr>
            <w:r>
              <w:rPr>
                <w:b/>
                <w:bCs/>
              </w:rPr>
              <w:t xml:space="preserve">Issuer</w:t>
            </w:r>
            <w:r>
              <w:t xml:space="preserve"> </w:t>
            </w:r>
            <w:r>
              <w:t xml:space="preserve">(liability shift)</w:t>
            </w:r>
          </w:p>
        </w:tc>
      </w:tr>
      <w:tr>
        <w:tc>
          <w:tcPr/>
          <w:p>
            <w:pPr>
              <w:pStyle w:val="Compact"/>
            </w:pPr>
            <w:r>
              <w:t xml:space="preserve">Issuer ไม่รองรับ 3DS / attempted</w:t>
            </w:r>
          </w:p>
        </w:tc>
        <w:tc>
          <w:tcPr/>
          <w:p>
            <w:pPr>
              <w:pStyle w:val="Compact"/>
            </w:pPr>
            <w:r>
              <w:t xml:space="preserve">โดยทั่วไป</w:t>
            </w:r>
            <w:r>
              <w:t xml:space="preserve"> </w:t>
            </w:r>
            <w:r>
              <w:rPr>
                <w:b/>
                <w:bCs/>
              </w:rPr>
              <w:t xml:space="preserve">Issuer</w:t>
            </w:r>
            <w:r>
              <w:t xml:space="preserve"> </w:t>
            </w:r>
            <w:r>
              <w:t xml:space="preserve">(attempted liability shift) — ยืนยันตาม scheme</w:t>
            </w:r>
          </w:p>
        </w:tc>
      </w:tr>
      <w:tr>
        <w:tc>
          <w:tcPr/>
          <w:p>
            <w:pPr>
              <w:pStyle w:val="Compact"/>
            </w:pPr>
            <w:r>
              <w:t xml:space="preserve">ร้านค้าไม่ส่งเข้ากระบวนการ 3DS (CNP)</w:t>
            </w:r>
          </w:p>
        </w:tc>
        <w:tc>
          <w:tcPr/>
          <w:p>
            <w:pPr>
              <w:pStyle w:val="Compact"/>
            </w:pPr>
            <w:r>
              <w:rPr>
                <w:b/>
                <w:bCs/>
              </w:rPr>
              <w:t xml:space="preserve">บริษัท/ร้านค้า</w:t>
            </w:r>
          </w:p>
        </w:tc>
      </w:tr>
      <w:tr>
        <w:tc>
          <w:tcPr/>
          <w:p>
            <w:pPr>
              <w:pStyle w:val="Compact"/>
            </w:pPr>
            <w:r>
              <w:t xml:space="preserve">Chargeback เชิง non-fraud (สินค้าไม่ตรง/ไม่ได้รับ)</w:t>
            </w:r>
          </w:p>
        </w:tc>
        <w:tc>
          <w:tcPr/>
          <w:p>
            <w:pPr>
              <w:pStyle w:val="Compact"/>
            </w:pPr>
            <w:r>
              <w:rPr>
                <w:b/>
                <w:bCs/>
              </w:rPr>
              <w:t xml:space="preserve">ร้านค้า</w:t>
            </w:r>
            <w:r>
              <w:t xml:space="preserve"> </w:t>
            </w:r>
            <w:r>
              <w:t xml:space="preserve">(ไม่ครอบคลุมโดย liability shift)</w:t>
            </w:r>
          </w:p>
        </w:tc>
      </w:tr>
    </w:tbl>
    <w:p>
      <w:pPr>
        <w:pStyle w:val="BlockText"/>
      </w:pPr>
      <w:r>
        <w:rPr>
          <w:b/>
          <w:bCs/>
        </w:rPr>
        <w:t xml:space="preserve">[TODO]</w:t>
      </w:r>
      <w:r>
        <w:t xml:space="preserve"> </w:t>
      </w:r>
      <w:r>
        <w:t xml:space="preserve">ขอบเขต liability shift ที่มีผลจริงขึ้นกับผู้ให้บริการ 3DS และกฎ scheme ฉบับล่าสุด — ต้องยืนยัน</w:t>
      </w:r>
    </w:p>
    <w:bookmarkEnd w:id="1003"/>
    <w:bookmarkStart w:id="1004" w:name="ตารางความรบผดรวม-liability-matrix"/>
    <w:p>
      <w:pPr>
        <w:pStyle w:val="Heading3"/>
      </w:pPr>
      <w:r>
        <w:t xml:space="preserve">5.2 ตารางความรับผิดรวม (Liability Matrix)</w:t>
      </w:r>
    </w:p>
    <w:tbl>
      <w:tblPr>
        <w:tblStyle w:val="Table"/>
        <w:tblW w:type="pct" w:w="5000"/>
        <w:tblLayout w:type="fixed"/>
        <w:tblLook w:firstRow="1" w:lastRow="0" w:firstColumn="0" w:lastColumn="0" w:noHBand="0" w:noVBand="0" w:val="0020"/>
      </w:tblPr>
      <w:tblGrid>
        <w:gridCol w:w="1604"/>
        <w:gridCol w:w="2105"/>
        <w:gridCol w:w="4210"/>
      </w:tblGrid>
      <w:tr>
        <w:trPr>
          <w:tblHeader w:val="on"/>
        </w:trPr>
        <w:tc>
          <w:tcPr/>
          <w:p>
            <w:pPr>
              <w:pStyle w:val="Compact"/>
            </w:pPr>
            <w:r>
              <w:t xml:space="preserve">ประเภทข้อพิพาท</w:t>
            </w:r>
          </w:p>
        </w:tc>
        <w:tc>
          <w:tcPr/>
          <w:p>
            <w:pPr>
              <w:pStyle w:val="Compact"/>
            </w:pPr>
            <w:r>
              <w:t xml:space="preserve">ความรับผิดเบื้องต้น</w:t>
            </w:r>
          </w:p>
        </w:tc>
        <w:tc>
          <w:tcPr/>
          <w:p>
            <w:pPr>
              <w:pStyle w:val="Compact"/>
            </w:pPr>
            <w:r>
              <w:t xml:space="preserve">ผู้รับภาระทางการเงินสุดท้าย (หากแพ้เคส)</w:t>
            </w:r>
          </w:p>
        </w:tc>
      </w:tr>
      <w:tr>
        <w:tc>
          <w:tcPr/>
          <w:p>
            <w:pPr>
              <w:pStyle w:val="Compact"/>
            </w:pPr>
            <w:r>
              <w:t xml:space="preserve">Fraud + ผ่าน 3DS</w:t>
            </w:r>
          </w:p>
        </w:tc>
        <w:tc>
          <w:tcPr/>
          <w:p>
            <w:pPr>
              <w:pStyle w:val="Compact"/>
            </w:pPr>
            <w:r>
              <w:t xml:space="preserve">Issuer</w:t>
            </w:r>
          </w:p>
        </w:tc>
        <w:tc>
          <w:tcPr/>
          <w:p>
            <w:pPr>
              <w:pStyle w:val="Compact"/>
            </w:pPr>
            <w:r>
              <w:t xml:space="preserve">Issuer</w:t>
            </w:r>
          </w:p>
        </w:tc>
      </w:tr>
      <w:tr>
        <w:tc>
          <w:tcPr/>
          <w:p>
            <w:pPr>
              <w:pStyle w:val="Compact"/>
            </w:pPr>
            <w:r>
              <w:t xml:space="preserve">Fraud + ไม่มี 3DS</w:t>
            </w:r>
          </w:p>
        </w:tc>
        <w:tc>
          <w:tcPr/>
          <w:p>
            <w:pPr>
              <w:pStyle w:val="Compact"/>
            </w:pPr>
            <w:r>
              <w:t xml:space="preserve">Acquirer → ร้านค้า</w:t>
            </w:r>
          </w:p>
        </w:tc>
        <w:tc>
          <w:tcPr/>
          <w:p>
            <w:pPr>
              <w:pStyle w:val="Compact"/>
            </w:pPr>
            <w:r>
              <w:t xml:space="preserve">ร้านค้า (บริษัทหักจาก settlement/reserve)</w:t>
            </w:r>
          </w:p>
        </w:tc>
      </w:tr>
      <w:tr>
        <w:tc>
          <w:tcPr/>
          <w:p>
            <w:pPr>
              <w:pStyle w:val="Compact"/>
            </w:pPr>
            <w:r>
              <w:t xml:space="preserve">สินค้าไม่ได้รับ/ไม่ตรง</w:t>
            </w:r>
          </w:p>
        </w:tc>
        <w:tc>
          <w:tcPr/>
          <w:p>
            <w:pPr>
              <w:pStyle w:val="Compact"/>
            </w:pPr>
            <w:r>
              <w:t xml:space="preserve">ร้านค้า</w:t>
            </w:r>
          </w:p>
        </w:tc>
        <w:tc>
          <w:tcPr/>
          <w:p>
            <w:pPr>
              <w:pStyle w:val="Compact"/>
            </w:pPr>
            <w:r>
              <w:t xml:space="preserve">ร้านค้า</w:t>
            </w:r>
          </w:p>
        </w:tc>
      </w:tr>
      <w:tr>
        <w:tc>
          <w:tcPr/>
          <w:p>
            <w:pPr>
              <w:pStyle w:val="Compact"/>
            </w:pPr>
            <w:r>
              <w:t xml:space="preserve">Processing error ของบริษัท</w:t>
            </w:r>
          </w:p>
        </w:tc>
        <w:tc>
          <w:tcPr/>
          <w:p>
            <w:pPr>
              <w:pStyle w:val="Compact"/>
            </w:pPr>
            <w:r>
              <w:t xml:space="preserve">บริษัท</w:t>
            </w:r>
          </w:p>
        </w:tc>
        <w:tc>
          <w:tcPr/>
          <w:p>
            <w:pPr>
              <w:pStyle w:val="Compact"/>
            </w:pPr>
            <w:r>
              <w:t xml:space="preserve">บริษัท</w:t>
            </w:r>
          </w:p>
        </w:tc>
      </w:tr>
      <w:tr>
        <w:tc>
          <w:tcPr/>
          <w:p>
            <w:pPr>
              <w:pStyle w:val="Compact"/>
            </w:pPr>
            <w:r>
              <w:t xml:space="preserve">ร้านค้าล้มละลาย/ปิดกิจการ + chargeback ค้าง</w:t>
            </w:r>
          </w:p>
        </w:tc>
        <w:tc>
          <w:tcPr/>
          <w:p>
            <w:pPr>
              <w:pStyle w:val="Compact"/>
            </w:pPr>
            <w:r>
              <w:t xml:space="preserve">บริษัท (ต่อ scheme/acquirer)</w:t>
            </w:r>
          </w:p>
        </w:tc>
        <w:tc>
          <w:tcPr/>
          <w:p>
            <w:pPr>
              <w:pStyle w:val="Compact"/>
            </w:pPr>
            <w:r>
              <w:rPr>
                <w:b/>
                <w:bCs/>
              </w:rPr>
              <w:t xml:space="preserve">บริษัท</w:t>
            </w:r>
            <w:r>
              <w:t xml:space="preserve"> </w:t>
            </w:r>
            <w:r>
              <w:t xml:space="preserve">(ชดเชยจาก reserve; ส่วนขาดเป็นความเสี่ยงของบริษัท)</w:t>
            </w:r>
          </w:p>
        </w:tc>
      </w:tr>
    </w:tbl>
    <w:p>
      <w:pPr>
        <w:pStyle w:val="BlockText"/>
      </w:pPr>
      <w:r>
        <w:rPr>
          <w:b/>
          <w:bCs/>
        </w:rPr>
        <w:t xml:space="preserve">หลักการสำคัญ:</w:t>
      </w:r>
      <w:r>
        <w:t xml:space="preserve"> </w:t>
      </w:r>
      <w:r>
        <w:t xml:space="preserve">ต่อ card scheme และ sponsor bank</w:t>
      </w:r>
      <w:r>
        <w:t xml:space="preserve"> </w:t>
      </w:r>
      <w:r>
        <w:rPr>
          <w:b/>
          <w:bCs/>
        </w:rPr>
        <w:t xml:space="preserve">บริษัทคือผู้รับผิดชอบสุดท้าย (acquirer-of-record risk)</w:t>
      </w:r>
      <w:r>
        <w:t xml:space="preserve"> </w:t>
      </w:r>
      <w:r>
        <w:t xml:space="preserve">สำหรับ chargeback ของร้านค้าในเครือข่ายตน หากร้านค้าไม่สามารถชดใช้ได้ บริษัทต้องรับภาระ — นี่คือเหตุผลหลักของการกำหนด</w:t>
      </w:r>
      <w:r>
        <w:t xml:space="preserve"> </w:t>
      </w:r>
      <w:r>
        <w:rPr>
          <w:b/>
          <w:bCs/>
        </w:rPr>
        <w:t xml:space="preserve">reserve</w:t>
      </w:r>
      <w:r>
        <w:t xml:space="preserve"> </w:t>
      </w:r>
      <w:r>
        <w:t xml:space="preserve">และการคัดกรองร้านค้า (merchant underwriting)</w:t>
      </w:r>
    </w:p>
    <w:bookmarkEnd w:id="1004"/>
    <w:bookmarkStart w:id="1005" w:name="ความสมพนธกบสญญารานคา-merchant-agreement"/>
    <w:p>
      <w:pPr>
        <w:pStyle w:val="Heading3"/>
      </w:pPr>
      <w:r>
        <w:t xml:space="preserve">5.3 ความสัมพันธ์กับสัญญาร้านค้า (Merchant Agreement)</w:t>
      </w:r>
    </w:p>
    <w:p>
      <w:pPr>
        <w:pStyle w:val="Compact"/>
        <w:numPr>
          <w:ilvl w:val="0"/>
          <w:numId w:val="1373"/>
        </w:numPr>
      </w:pPr>
      <w:r>
        <w:t xml:space="preserve">สัญญาร้านค้าต้องมีข้อ</w:t>
      </w:r>
      <w:r>
        <w:t xml:space="preserve"> </w:t>
      </w:r>
      <w:r>
        <w:rPr>
          <w:b/>
          <w:bCs/>
        </w:rPr>
        <w:t xml:space="preserve">chargeback liability &amp; indemnification</w:t>
      </w:r>
      <w:r>
        <w:t xml:space="preserve"> </w:t>
      </w:r>
      <w:r>
        <w:t xml:space="preserve">ให้บริษัทมีสิทธิ</w:t>
      </w:r>
      <w:r>
        <w:t xml:space="preserve"> </w:t>
      </w:r>
      <w:r>
        <w:rPr>
          <w:b/>
          <w:bCs/>
        </w:rPr>
        <w:t xml:space="preserve">หักกลบ (offset)</w:t>
      </w:r>
      <w:r>
        <w:t xml:space="preserve"> </w:t>
      </w:r>
      <w:r>
        <w:t xml:space="preserve">ยอด chargeback/refund/ค่าปรับจาก settlement และ reserve ของร้านค้า</w:t>
      </w:r>
    </w:p>
    <w:p>
      <w:pPr>
        <w:pStyle w:val="Compact"/>
        <w:numPr>
          <w:ilvl w:val="0"/>
          <w:numId w:val="1373"/>
        </w:numPr>
      </w:pPr>
      <w:r>
        <w:t xml:space="preserve">สัญญาต้องระบุ</w:t>
      </w:r>
      <w:r>
        <w:t xml:space="preserve"> </w:t>
      </w:r>
      <w:r>
        <w:rPr>
          <w:b/>
          <w:bCs/>
        </w:rPr>
        <w:t xml:space="preserve">right of set-off</w:t>
      </w:r>
      <w:r>
        <w:t xml:space="preserve">, การเรียกเงินเพิ่ม (debit) หากยอดค้างเกิน reserve, และเงื่อนไข termination กรณี excessive chargeback</w:t>
      </w:r>
    </w:p>
    <w:p>
      <w:r>
        <w:pict>
          <v:rect style="width:0;height:1.5pt" o:hralign="center" o:hrstd="t" o:hr="t"/>
        </w:pict>
      </w:r>
    </w:p>
    <w:bookmarkEnd w:id="1005"/>
    <w:bookmarkEnd w:id="1006"/>
    <w:bookmarkStart w:id="1011" w:name="X309b3c1e7828ba374e12f50dce6c52ba2ea0239"/>
    <w:p>
      <w:pPr>
        <w:pStyle w:val="Heading2"/>
      </w:pPr>
      <w:r>
        <w:t xml:space="preserve">6. เงินสำรองและการบริหารความเสี่ยงร้านค้า (Reserves &amp; Merchant Risk)</w:t>
      </w:r>
    </w:p>
    <w:bookmarkStart w:id="1007" w:name="ประเภทเงนสำรอง-reserve-types"/>
    <w:p>
      <w:pPr>
        <w:pStyle w:val="Heading3"/>
      </w:pPr>
      <w:r>
        <w:t xml:space="preserve">6.1 ประเภทเงินสำรอง (Reserve Types)</w:t>
      </w:r>
    </w:p>
    <w:tbl>
      <w:tblPr>
        <w:tblStyle w:val="Table"/>
        <w:tblW w:type="pct" w:w="5000"/>
        <w:tblLayout w:type="fixed"/>
        <w:tblLook w:firstRow="1" w:lastRow="0" w:firstColumn="0" w:lastColumn="0" w:noHBand="0" w:noVBand="0" w:val="0020"/>
      </w:tblPr>
      <w:tblGrid>
        <w:gridCol w:w="2534"/>
        <w:gridCol w:w="2217"/>
        <w:gridCol w:w="3168"/>
      </w:tblGrid>
      <w:tr>
        <w:trPr>
          <w:tblHeader w:val="on"/>
        </w:trPr>
        <w:tc>
          <w:tcPr/>
          <w:p>
            <w:pPr>
              <w:pStyle w:val="Compact"/>
            </w:pPr>
            <w:r>
              <w:t xml:space="preserve">ประเภท</w:t>
            </w:r>
          </w:p>
        </w:tc>
        <w:tc>
          <w:tcPr/>
          <w:p>
            <w:pPr>
              <w:pStyle w:val="Compact"/>
            </w:pPr>
            <w:r>
              <w:t xml:space="preserve">นิยาม</w:t>
            </w:r>
          </w:p>
        </w:tc>
        <w:tc>
          <w:tcPr/>
          <w:p>
            <w:pPr>
              <w:pStyle w:val="Compact"/>
            </w:pPr>
            <w:r>
              <w:t xml:space="preserve">ใช้เมื่อ</w:t>
            </w:r>
          </w:p>
        </w:tc>
      </w:tr>
      <w:tr>
        <w:tc>
          <w:tcPr/>
          <w:p>
            <w:pPr>
              <w:pStyle w:val="Compact"/>
            </w:pPr>
            <w:r>
              <w:rPr>
                <w:b/>
                <w:bCs/>
              </w:rPr>
              <w:t xml:space="preserve">Rolling reserve</w:t>
            </w:r>
          </w:p>
        </w:tc>
        <w:tc>
          <w:tcPr/>
          <w:p>
            <w:pPr>
              <w:pStyle w:val="Compact"/>
            </w:pPr>
            <w:r>
              <w:t xml:space="preserve">กันเงินร้อยละหนึ่งของยอดขายไว้เป็นช่วงเวลาหมุนเวียน (เช่น 5–10% นาน 90–180 วัน) แล้วทยอยปล่อยคืน</w:t>
            </w:r>
          </w:p>
        </w:tc>
        <w:tc>
          <w:tcPr/>
          <w:p>
            <w:pPr>
              <w:pStyle w:val="Compact"/>
            </w:pPr>
            <w:r>
              <w:t xml:space="preserve">ร้านค้าความเสี่ยงปานกลาง–สูง, ธุรกิจใหม่</w:t>
            </w:r>
          </w:p>
        </w:tc>
      </w:tr>
      <w:tr>
        <w:tc>
          <w:tcPr/>
          <w:p>
            <w:pPr>
              <w:pStyle w:val="Compact"/>
            </w:pPr>
            <w:r>
              <w:rPr>
                <w:b/>
                <w:bCs/>
              </w:rPr>
              <w:t xml:space="preserve">Upfront / capped reserve</w:t>
            </w:r>
          </w:p>
        </w:tc>
        <w:tc>
          <w:tcPr/>
          <w:p>
            <w:pPr>
              <w:pStyle w:val="Compact"/>
            </w:pPr>
            <w:r>
              <w:t xml:space="preserve">วางเงินก้อนหน้าจนถึงเพดานที่กำหนด</w:t>
            </w:r>
          </w:p>
        </w:tc>
        <w:tc>
          <w:tcPr/>
          <w:p>
            <w:pPr>
              <w:pStyle w:val="Compact"/>
            </w:pPr>
            <w:r>
              <w:t xml:space="preserve">ร้านค้าความเสี่ยงสูง/มีประวัติ chargeback</w:t>
            </w:r>
          </w:p>
        </w:tc>
      </w:tr>
      <w:tr>
        <w:tc>
          <w:tcPr/>
          <w:p>
            <w:pPr>
              <w:pStyle w:val="Compact"/>
            </w:pPr>
            <w:r>
              <w:rPr>
                <w:b/>
                <w:bCs/>
              </w:rPr>
              <w:t xml:space="preserve">Ad-hoc / event reserve</w:t>
            </w:r>
          </w:p>
        </w:tc>
        <w:tc>
          <w:tcPr/>
          <w:p>
            <w:pPr>
              <w:pStyle w:val="Compact"/>
            </w:pPr>
            <w:r>
              <w:t xml:space="preserve">กันเพิ่มชั่วคราวเมื่อพบสัญญาณเสี่ยง (chargeback spike, ข่าวเชิงลบ)</w:t>
            </w:r>
          </w:p>
        </w:tc>
        <w:tc>
          <w:tcPr/>
          <w:p>
            <w:pPr>
              <w:pStyle w:val="Compact"/>
            </w:pPr>
            <w:r>
              <w:t xml:space="preserve">มาตรการเฉพาะกรณี</w:t>
            </w:r>
          </w:p>
        </w:tc>
      </w:tr>
    </w:tbl>
    <w:p>
      <w:pPr>
        <w:pStyle w:val="BlockText"/>
      </w:pPr>
      <w:r>
        <w:rPr>
          <w:b/>
          <w:bCs/>
        </w:rPr>
        <w:t xml:space="preserve">[TODO — sponsor bank/underwriting]</w:t>
      </w:r>
      <w:r>
        <w:t xml:space="preserve"> </w:t>
      </w:r>
      <w:r>
        <w:t xml:space="preserve">อัตรา % ระยะเวลา และเพดาน reserve ที่ใช้จริงกำหนดร่วมกับ acquirer/sponsor bank และนโยบาย underwriting ของบริษัท</w:t>
      </w:r>
    </w:p>
    <w:bookmarkEnd w:id="1007"/>
    <w:bookmarkStart w:id="1008" w:name="X3b2566619c29c804f6cbbb8ff4cd1f8048973f9"/>
    <w:p>
      <w:pPr>
        <w:pStyle w:val="Heading3"/>
      </w:pPr>
      <w:r>
        <w:t xml:space="preserve">6.2 เกณฑ์กำหนด reserve ตามระดับความเสี่ยงร้านค้า (ตัวอย่าง)</w:t>
      </w:r>
    </w:p>
    <w:tbl>
      <w:tblPr>
        <w:tblStyle w:val="Table"/>
        <w:tblW w:type="pct" w:w="5000"/>
        <w:tblLayout w:type="fixed"/>
        <w:tblLook w:firstRow="1" w:lastRow="0" w:firstColumn="0" w:lastColumn="0" w:noHBand="0" w:noVBand="0" w:val="0020"/>
      </w:tblPr>
      <w:tblGrid>
        <w:gridCol w:w="1980"/>
        <w:gridCol w:w="1630"/>
        <w:gridCol w:w="3144"/>
        <w:gridCol w:w="1164"/>
      </w:tblGrid>
      <w:tr>
        <w:trPr>
          <w:tblHeader w:val="on"/>
        </w:trPr>
        <w:tc>
          <w:tcPr/>
          <w:p>
            <w:pPr>
              <w:pStyle w:val="Compact"/>
            </w:pPr>
            <w:r>
              <w:t xml:space="preserve">ระดับความเสี่ยง</w:t>
            </w:r>
          </w:p>
        </w:tc>
        <w:tc>
          <w:tcPr/>
          <w:p>
            <w:pPr>
              <w:pStyle w:val="Compact"/>
            </w:pPr>
            <w:r>
              <w:t xml:space="preserve">ตัวอย่างเกณฑ์</w:t>
            </w:r>
          </w:p>
        </w:tc>
        <w:tc>
          <w:tcPr/>
          <w:p>
            <w:pPr>
              <w:pStyle w:val="Compact"/>
            </w:pPr>
            <w:r>
              <w:t xml:space="preserve">Rolling reserve (อ้างอิง)</w:t>
            </w:r>
          </w:p>
        </w:tc>
        <w:tc>
          <w:tcPr/>
          <w:p>
            <w:pPr>
              <w:pStyle w:val="Compact"/>
            </w:pPr>
            <w:r>
              <w:t xml:space="preserve">ระยะเวลา</w:t>
            </w:r>
          </w:p>
        </w:tc>
      </w:tr>
      <w:tr>
        <w:tc>
          <w:tcPr/>
          <w:p>
            <w:pPr>
              <w:pStyle w:val="Compact"/>
            </w:pPr>
            <w:r>
              <w:t xml:space="preserve">ต่ำ</w:t>
            </w:r>
          </w:p>
        </w:tc>
        <w:tc>
          <w:tcPr/>
          <w:p>
            <w:pPr>
              <w:pStyle w:val="Compact"/>
            </w:pPr>
            <w:r>
              <w:t xml:space="preserve">MCC ความเสี่ยงต่ำ, chargeback &lt; 0.3%</w:t>
            </w:r>
          </w:p>
        </w:tc>
        <w:tc>
          <w:tcPr/>
          <w:p>
            <w:pPr>
              <w:pStyle w:val="Compact"/>
            </w:pPr>
            <w:r>
              <w:t xml:space="preserve">0%</w:t>
            </w:r>
          </w:p>
        </w:tc>
        <w:tc>
          <w:tcPr/>
          <w:p>
            <w:pPr>
              <w:pStyle w:val="Compact"/>
            </w:pPr>
            <w:r>
              <w:t xml:space="preserve">—</w:t>
            </w:r>
          </w:p>
        </w:tc>
      </w:tr>
      <w:tr>
        <w:tc>
          <w:tcPr/>
          <w:p>
            <w:pPr>
              <w:pStyle w:val="Compact"/>
            </w:pPr>
            <w:r>
              <w:t xml:space="preserve">ปานกลาง</w:t>
            </w:r>
          </w:p>
        </w:tc>
        <w:tc>
          <w:tcPr/>
          <w:p>
            <w:pPr>
              <w:pStyle w:val="Compact"/>
            </w:pPr>
            <w:r>
              <w:t xml:space="preserve">ธุรกิจใหม่/ปริมาณผันผวน</w:t>
            </w:r>
          </w:p>
        </w:tc>
        <w:tc>
          <w:tcPr/>
          <w:p>
            <w:pPr>
              <w:pStyle w:val="Compact"/>
            </w:pPr>
            <w:r>
              <w:t xml:space="preserve">5%</w:t>
            </w:r>
          </w:p>
        </w:tc>
        <w:tc>
          <w:tcPr/>
          <w:p>
            <w:pPr>
              <w:pStyle w:val="Compact"/>
            </w:pPr>
            <w:r>
              <w:t xml:space="preserve">90 วัน</w:t>
            </w:r>
          </w:p>
        </w:tc>
      </w:tr>
      <w:tr>
        <w:tc>
          <w:tcPr/>
          <w:p>
            <w:pPr>
              <w:pStyle w:val="Compact"/>
            </w:pPr>
            <w:r>
              <w:t xml:space="preserve">สูง</w:t>
            </w:r>
          </w:p>
        </w:tc>
        <w:tc>
          <w:tcPr/>
          <w:p>
            <w:pPr>
              <w:pStyle w:val="Compact"/>
            </w:pPr>
            <w:r>
              <w:t xml:space="preserve">MCC สูง (travel, subscription, gaming), chargeback 0.6–0.9%</w:t>
            </w:r>
          </w:p>
        </w:tc>
        <w:tc>
          <w:tcPr/>
          <w:p>
            <w:pPr>
              <w:pStyle w:val="Compact"/>
            </w:pPr>
            <w:r>
              <w:t xml:space="preserve">10%</w:t>
            </w:r>
          </w:p>
        </w:tc>
        <w:tc>
          <w:tcPr/>
          <w:p>
            <w:pPr>
              <w:pStyle w:val="Compact"/>
            </w:pPr>
            <w:r>
              <w:t xml:space="preserve">180 วัน</w:t>
            </w:r>
          </w:p>
        </w:tc>
      </w:tr>
      <w:tr>
        <w:tc>
          <w:tcPr/>
          <w:p>
            <w:pPr>
              <w:pStyle w:val="Compact"/>
            </w:pPr>
            <w:r>
              <w:t xml:space="preserve">สูงมาก</w:t>
            </w:r>
          </w:p>
        </w:tc>
        <w:tc>
          <w:tcPr/>
          <w:p>
            <w:pPr>
              <w:pStyle w:val="Compact"/>
            </w:pPr>
            <w:r>
              <w:t xml:space="preserve">เกินเกณฑ์ scheme/มีประวัติ</w:t>
            </w:r>
          </w:p>
        </w:tc>
        <w:tc>
          <w:tcPr/>
          <w:p>
            <w:pPr>
              <w:pStyle w:val="Compact"/>
            </w:pPr>
            <w:r>
              <w:t xml:space="preserve">ตามเจรจา + upfront</w:t>
            </w:r>
          </w:p>
        </w:tc>
        <w:tc>
          <w:tcPr/>
          <w:p>
            <w:pPr>
              <w:pStyle w:val="Compact"/>
            </w:pPr>
            <w:r>
              <w:t xml:space="preserve">ตามเจรจา</w:t>
            </w:r>
          </w:p>
        </w:tc>
      </w:tr>
    </w:tbl>
    <w:p>
      <w:pPr>
        <w:pStyle w:val="BodyText"/>
      </w:pPr>
      <w:r>
        <w:t xml:space="preserve">การจัดระดับความเสี่ยงร้านค้าให้สอดคล้องกับ</w:t>
      </w:r>
      <w:r>
        <w:t xml:space="preserve"> </w:t>
      </w:r>
      <w:r>
        <w:rPr>
          <w:rStyle w:val="VerbatimChar"/>
        </w:rPr>
        <w:t xml:space="preserve">08-customer-risk-categorization.md</w:t>
      </w:r>
      <w:r>
        <w:t xml:space="preserve"> </w:t>
      </w:r>
      <w:r>
        <w:t xml:space="preserve">และการทำ CDD ตาม</w:t>
      </w:r>
      <w:r>
        <w:t xml:space="preserve"> </w:t>
      </w:r>
      <w:r>
        <w:rPr>
          <w:rStyle w:val="VerbatimChar"/>
        </w:rPr>
        <w:t xml:space="preserve">05-aml-kyc-cdd-policy.md</w:t>
      </w:r>
    </w:p>
    <w:bookmarkEnd w:id="1008"/>
    <w:bookmarkStart w:id="1009" w:name="เกณฑ-excessive-chargeback-และการดำเนนการ"/>
    <w:p>
      <w:pPr>
        <w:pStyle w:val="Heading3"/>
      </w:pPr>
      <w:r>
        <w:t xml:space="preserve">6.3 เกณฑ์ excessive chargeback และการดำเนินการ</w:t>
      </w:r>
    </w:p>
    <w:tbl>
      <w:tblPr>
        <w:tblStyle w:val="Table"/>
        <w:tblW w:type="pct" w:w="5000"/>
        <w:tblLayout w:type="fixed"/>
        <w:tblLook w:firstRow="1" w:lastRow="0" w:firstColumn="0" w:lastColumn="0" w:noHBand="0" w:noVBand="0" w:val="0020"/>
      </w:tblPr>
      <w:tblGrid>
        <w:gridCol w:w="5215"/>
        <w:gridCol w:w="2704"/>
      </w:tblGrid>
      <w:tr>
        <w:trPr>
          <w:tblHeader w:val="on"/>
        </w:trPr>
        <w:tc>
          <w:tcPr/>
          <w:p>
            <w:pPr>
              <w:pStyle w:val="Compact"/>
            </w:pPr>
            <w:r>
              <w:t xml:space="preserve">อัตรา chargeback ต่อเดือน</w:t>
            </w:r>
          </w:p>
        </w:tc>
        <w:tc>
          <w:tcPr/>
          <w:p>
            <w:pPr>
              <w:pStyle w:val="Compact"/>
            </w:pPr>
            <w:r>
              <w:t xml:space="preserve">การดำเนินการ</w:t>
            </w:r>
          </w:p>
        </w:tc>
      </w:tr>
      <w:tr>
        <w:tc>
          <w:tcPr/>
          <w:p>
            <w:pPr>
              <w:pStyle w:val="Compact"/>
            </w:pPr>
            <w:r>
              <w:t xml:space="preserve">&lt; 0.5%</w:t>
            </w:r>
          </w:p>
        </w:tc>
        <w:tc>
          <w:tcPr/>
          <w:p>
            <w:pPr>
              <w:pStyle w:val="Compact"/>
            </w:pPr>
            <w:r>
              <w:t xml:space="preserve">ปกติ — เฝ้าติดตาม</w:t>
            </w:r>
          </w:p>
        </w:tc>
      </w:tr>
      <w:tr>
        <w:tc>
          <w:tcPr/>
          <w:p>
            <w:pPr>
              <w:pStyle w:val="Compact"/>
            </w:pPr>
            <w:r>
              <w:t xml:space="preserve">0.5% – 0.9%</w:t>
            </w:r>
          </w:p>
        </w:tc>
        <w:tc>
          <w:tcPr/>
          <w:p>
            <w:pPr>
              <w:pStyle w:val="Compact"/>
            </w:pPr>
            <w:r>
              <w:t xml:space="preserve">เตือน + วางแผนลด + อาจเพิ่ม reserve</w:t>
            </w:r>
          </w:p>
        </w:tc>
      </w:tr>
      <w:tr>
        <w:tc>
          <w:tcPr/>
          <w:p>
            <w:pPr>
              <w:pStyle w:val="Compact"/>
            </w:pPr>
            <w:r>
              <w:t xml:space="preserve">≥ 0.9% หรือเข้าเกณฑ์ VDMP/Mastercard ECM</w:t>
            </w:r>
          </w:p>
        </w:tc>
        <w:tc>
          <w:tcPr/>
          <w:p>
            <w:pPr>
              <w:pStyle w:val="Compact"/>
            </w:pPr>
            <w:r>
              <w:t xml:space="preserve">เข้าโปรแกรมแก้ไข, เพิ่ม reserve, จำกัดปริมาณ</w:t>
            </w:r>
          </w:p>
        </w:tc>
      </w:tr>
      <w:tr>
        <w:tc>
          <w:tcPr/>
          <w:p>
            <w:pPr>
              <w:pStyle w:val="Compact"/>
            </w:pPr>
            <w:r>
              <w:t xml:space="preserve">เกินเกณฑ์ต่อเนื่อง</w:t>
            </w:r>
          </w:p>
        </w:tc>
        <w:tc>
          <w:tcPr/>
          <w:p>
            <w:pPr>
              <w:pStyle w:val="Compact"/>
            </w:pPr>
            <w:r>
              <w:t xml:space="preserve">ระงับ/ยกเลิกร้านค้า (offboarding)</w:t>
            </w:r>
          </w:p>
        </w:tc>
      </w:tr>
    </w:tbl>
    <w:p>
      <w:pPr>
        <w:pStyle w:val="BlockText"/>
      </w:pPr>
      <w:r>
        <w:t xml:space="preserve">เกณฑ์อ้างอิง Visa Dispute Monitoring Program (VDMP) และ Mastercard Excessive Chargeback Program (ECM/ECP) —</w:t>
      </w:r>
      <w:r>
        <w:t xml:space="preserve"> </w:t>
      </w:r>
      <w:r>
        <w:rPr>
          <w:b/>
          <w:bCs/>
        </w:rPr>
        <w:t xml:space="preserve">[TODO — ยืนยัน threshold ฉบับล่าสุด]</w:t>
      </w:r>
    </w:p>
    <w:bookmarkEnd w:id="1009"/>
    <w:bookmarkStart w:id="1010" w:name="การบนทกทางบญชและ-ledger"/>
    <w:p>
      <w:pPr>
        <w:pStyle w:val="Heading3"/>
      </w:pPr>
      <w:r>
        <w:t xml:space="preserve">6.4 การบันทึกทางบัญชีและ ledger</w:t>
      </w:r>
    </w:p>
    <w:p>
      <w:pPr>
        <w:pStyle w:val="Compact"/>
        <w:numPr>
          <w:ilvl w:val="0"/>
          <w:numId w:val="1374"/>
        </w:numPr>
      </w:pPr>
      <w:r>
        <w:t xml:space="preserve">Reserve บันทึกเป็น liability แยกใน ledger (ไม่ปะปนกับเงินทุนบริษัท) — เป็นเงินของร้านค้าที่บริษัทถือแทน</w:t>
      </w:r>
    </w:p>
    <w:p>
      <w:pPr>
        <w:pStyle w:val="Compact"/>
        <w:numPr>
          <w:ilvl w:val="0"/>
          <w:numId w:val="1374"/>
        </w:numPr>
      </w:pPr>
      <w:r>
        <w:t xml:space="preserve">ทุก hold/release ของ reserve เขียน</w:t>
      </w:r>
      <w:r>
        <w:t xml:space="preserve"> </w:t>
      </w:r>
      <w:r>
        <w:rPr>
          <w:rStyle w:val="VerbatimChar"/>
        </w:rPr>
        <w:t xml:space="preserve">ledger_entries</w:t>
      </w:r>
      <w:r>
        <w:t xml:space="preserve"> </w:t>
      </w:r>
      <w:r>
        <w:t xml:space="preserve">และ</w:t>
      </w:r>
      <w:r>
        <w:t xml:space="preserve"> </w:t>
      </w:r>
      <w:r>
        <w:rPr>
          <w:rStyle w:val="VerbatimChar"/>
        </w:rPr>
        <w:t xml:space="preserve">audit_log</w:t>
      </w:r>
    </w:p>
    <w:p>
      <w:pPr>
        <w:pStyle w:val="Compact"/>
        <w:numPr>
          <w:ilvl w:val="0"/>
          <w:numId w:val="1374"/>
        </w:numPr>
      </w:pPr>
      <w:r>
        <w:t xml:space="preserve">ต้องกระทบยอด reserve กับ settlement ในงาน reconciliation (ARCHITECTURE §4, Phase 3)</w:t>
      </w:r>
    </w:p>
    <w:p>
      <w:r>
        <w:pict>
          <v:rect style="width:0;height:1.5pt" o:hralign="center" o:hrstd="t" o:hr="t"/>
        </w:pict>
      </w:r>
    </w:p>
    <w:bookmarkEnd w:id="1010"/>
    <w:bookmarkEnd w:id="1011"/>
    <w:bookmarkStart w:id="1015" w:name="บทบาทหนาทและการกำกบ-roles-governance"/>
    <w:p>
      <w:pPr>
        <w:pStyle w:val="Heading2"/>
      </w:pPr>
      <w:r>
        <w:t xml:space="preserve">7. บทบาทหน้าที่และการกำกับ (Roles &amp; Governance)</w:t>
      </w:r>
    </w:p>
    <w:bookmarkStart w:id="1012" w:name="raci-สรป"/>
    <w:p>
      <w:pPr>
        <w:pStyle w:val="Heading3"/>
      </w:pPr>
      <w:r>
        <w:t xml:space="preserve">7.1 RACI (สรุป)</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บทบาท</w:t>
            </w:r>
          </w:p>
        </w:tc>
        <w:tc>
          <w:tcPr/>
          <w:p>
            <w:pPr>
              <w:pStyle w:val="Compact"/>
            </w:pPr>
            <w:r>
              <w:t xml:space="preserve">หน้าที่หลัก</w:t>
            </w:r>
          </w:p>
        </w:tc>
      </w:tr>
      <w:tr>
        <w:tc>
          <w:tcPr/>
          <w:p>
            <w:pPr>
              <w:pStyle w:val="Compact"/>
            </w:pPr>
            <w:r>
              <w:rPr>
                <w:b/>
                <w:bCs/>
              </w:rPr>
              <w:t xml:space="preserve">Head of Risk &amp; Dispute Ops</w:t>
            </w:r>
          </w:p>
        </w:tc>
        <w:tc>
          <w:tcPr/>
          <w:p>
            <w:pPr>
              <w:pStyle w:val="Compact"/>
            </w:pPr>
            <w:r>
              <w:t xml:space="preserve">เจ้าของนโยบายนี้, ตัดสินใจ escalate/accept, กำหนด reserve</w:t>
            </w:r>
          </w:p>
        </w:tc>
      </w:tr>
      <w:tr>
        <w:tc>
          <w:tcPr/>
          <w:p>
            <w:pPr>
              <w:pStyle w:val="Compact"/>
            </w:pPr>
            <w:r>
              <w:rPr>
                <w:b/>
                <w:bCs/>
              </w:rPr>
              <w:t xml:space="preserve">Dispute Operations Analyst</w:t>
            </w:r>
          </w:p>
        </w:tc>
        <w:tc>
          <w:tcPr/>
          <w:p>
            <w:pPr>
              <w:pStyle w:val="Compact"/>
            </w:pPr>
            <w:r>
              <w:t xml:space="preserve">จัดการเคส chargeback รายวัน, เตรียม representment, จับเดดไลน์</w:t>
            </w:r>
          </w:p>
        </w:tc>
      </w:tr>
      <w:tr>
        <w:tc>
          <w:tcPr/>
          <w:p>
            <w:pPr>
              <w:pStyle w:val="Compact"/>
            </w:pPr>
            <w:r>
              <w:rPr>
                <w:b/>
                <w:bCs/>
              </w:rPr>
              <w:t xml:space="preserve">Head of Settlement</w:t>
            </w:r>
          </w:p>
        </w:tc>
        <w:tc>
          <w:tcPr/>
          <w:p>
            <w:pPr>
              <w:pStyle w:val="Compact"/>
            </w:pPr>
            <w:r>
              <w:t xml:space="preserve">หักกลบ chargeback/refund จาก settlement, บริหาร reserve</w:t>
            </w:r>
          </w:p>
        </w:tc>
      </w:tr>
      <w:tr>
        <w:tc>
          <w:tcPr/>
          <w:p>
            <w:pPr>
              <w:pStyle w:val="Compact"/>
            </w:pPr>
            <w:r>
              <w:rPr>
                <w:b/>
                <w:bCs/>
              </w:rPr>
              <w:t xml:space="preserve">Merchant Underwriting / Risk</w:t>
            </w:r>
          </w:p>
        </w:tc>
        <w:tc>
          <w:tcPr/>
          <w:p>
            <w:pPr>
              <w:pStyle w:val="Compact"/>
            </w:pPr>
            <w:r>
              <w:t xml:space="preserve">จัดระดับความเสี่ยง, กำหนด reserve แรกเข้า, monitoring</w:t>
            </w:r>
          </w:p>
        </w:tc>
      </w:tr>
      <w:tr>
        <w:tc>
          <w:tcPr/>
          <w:p>
            <w:pPr>
              <w:pStyle w:val="Compact"/>
            </w:pPr>
            <w:r>
              <w:rPr>
                <w:b/>
                <w:bCs/>
              </w:rPr>
              <w:t xml:space="preserve">Compliance / AML</w:t>
            </w:r>
          </w:p>
        </w:tc>
        <w:tc>
          <w:tcPr/>
          <w:p>
            <w:pPr>
              <w:pStyle w:val="Compact"/>
            </w:pPr>
            <w:r>
              <w:t xml:space="preserve">เชื่อม refund/chargeback ผิดปกติกับ</w:t>
            </w:r>
            <w:r>
              <w:t xml:space="preserve"> </w:t>
            </w:r>
            <w:r>
              <w:rPr>
                <w:rStyle w:val="VerbatimChar"/>
              </w:rPr>
              <w:t xml:space="preserve">07-sar-str-procedure.md</w:t>
            </w:r>
            <w:r>
              <w:t xml:space="preserve"> </w:t>
            </w:r>
            <w:r>
              <w:t xml:space="preserve">(ปปง./AMLO)</w:t>
            </w:r>
          </w:p>
        </w:tc>
      </w:tr>
      <w:tr>
        <w:tc>
          <w:tcPr/>
          <w:p>
            <w:pPr>
              <w:pStyle w:val="Compact"/>
            </w:pPr>
            <w:r>
              <w:rPr>
                <w:b/>
                <w:bCs/>
              </w:rPr>
              <w:t xml:space="preserve">Legal</w:t>
            </w:r>
          </w:p>
        </w:tc>
        <w:tc>
          <w:tcPr/>
          <w:p>
            <w:pPr>
              <w:pStyle w:val="Compact"/>
            </w:pPr>
            <w:r>
              <w:t xml:space="preserve">สัญญาร้านค้า, ข้อกำหนด liability, การเชื่อมกับ sponsor bank</w:t>
            </w:r>
          </w:p>
        </w:tc>
      </w:tr>
      <w:tr>
        <w:tc>
          <w:tcPr/>
          <w:p>
            <w:pPr>
              <w:pStyle w:val="Compact"/>
            </w:pPr>
            <w:r>
              <w:rPr>
                <w:b/>
                <w:bCs/>
              </w:rPr>
              <w:t xml:space="preserve">Sponsor Bank / Acquirer (external)</w:t>
            </w:r>
          </w:p>
        </w:tc>
        <w:tc>
          <w:tcPr/>
          <w:p>
            <w:pPr>
              <w:pStyle w:val="Compact"/>
            </w:pPr>
            <w:r>
              <w:t xml:space="preserve">ช่องทางยื่น chargeback/representment ต่อ scheme, กำหนด reserve requirement</w:t>
            </w:r>
          </w:p>
        </w:tc>
      </w:tr>
    </w:tbl>
    <w:bookmarkEnd w:id="1012"/>
    <w:bookmarkStart w:id="1013" w:name="การเชอมโยงกบหนวยงานกำกบไทย"/>
    <w:p>
      <w:pPr>
        <w:pStyle w:val="Heading3"/>
      </w:pPr>
      <w:r>
        <w:t xml:space="preserve">7.2 การเชื่อมโยงกับหน่วยงานกำกับไทย</w:t>
      </w:r>
    </w:p>
    <w:p>
      <w:pPr>
        <w:pStyle w:val="Compact"/>
        <w:numPr>
          <w:ilvl w:val="0"/>
          <w:numId w:val="1375"/>
        </w:numPr>
      </w:pPr>
      <w:r>
        <w:rPr>
          <w:b/>
          <w:bCs/>
        </w:rPr>
        <w:t xml:space="preserve">ธปท.</w:t>
      </w:r>
      <w:r>
        <w:t xml:space="preserve"> </w:t>
      </w:r>
      <w:r>
        <w:t xml:space="preserve">— refund/chargeback/reserve เป็นส่วนของการบริหารความเสี่ยงด้านปฏิบัติการและการคุ้มครองผู้ใช้บริการ ต้องพร้อมให้ตรวจ (on-site) และรายงานเป็นงวด</w:t>
      </w:r>
    </w:p>
    <w:p>
      <w:pPr>
        <w:pStyle w:val="Compact"/>
        <w:numPr>
          <w:ilvl w:val="0"/>
          <w:numId w:val="1375"/>
        </w:numPr>
      </w:pPr>
      <w:r>
        <w:rPr>
          <w:b/>
          <w:bCs/>
        </w:rPr>
        <w:t xml:space="preserve">ปปง./AMLO</w:t>
      </w:r>
      <w:r>
        <w:t xml:space="preserve"> </w:t>
      </w:r>
      <w:r>
        <w:t xml:space="preserve">— รูปแบบ refund ผิดปกติ (เช่น refund ไปบัตรที่ไม่ใช่บัตรจ่าย, refund วนซ้ำ) อาจเป็นสัญญาณฟอกเงิน → เชื่อมกับ SAR/STR (</w:t>
      </w:r>
      <w:r>
        <w:rPr>
          <w:rStyle w:val="VerbatimChar"/>
        </w:rPr>
        <w:t xml:space="preserve">07-sar-str-procedure.md</w:t>
      </w:r>
      <w:r>
        <w:t xml:space="preserve">)</w:t>
      </w:r>
    </w:p>
    <w:p>
      <w:pPr>
        <w:pStyle w:val="Compact"/>
        <w:numPr>
          <w:ilvl w:val="0"/>
          <w:numId w:val="1375"/>
        </w:numPr>
      </w:pPr>
      <w:r>
        <w:rPr>
          <w:b/>
          <w:bCs/>
        </w:rPr>
        <w:t xml:space="preserve">PDPC (PDPA)</w:t>
      </w:r>
      <w:r>
        <w:t xml:space="preserve"> </w:t>
      </w:r>
      <w:r>
        <w:t xml:space="preserve">— หลักฐาน dispute ที่มีข้อมูลส่วนบุคคลต้องจัดการตามฐานทางกฎหมายและ retention (</w:t>
      </w:r>
      <w:r>
        <w:rPr>
          <w:rStyle w:val="VerbatimChar"/>
        </w:rPr>
        <w:t xml:space="preserve">09-</w:t>
      </w:r>
      <w:r>
        <w:t xml:space="preserve">,</w:t>
      </w:r>
      <w:r>
        <w:t xml:space="preserve"> </w:t>
      </w:r>
      <w:r>
        <w:rPr>
          <w:rStyle w:val="VerbatimChar"/>
        </w:rPr>
        <w:t xml:space="preserve">11-</w:t>
      </w:r>
      <w:r>
        <w:t xml:space="preserve">)</w:t>
      </w:r>
    </w:p>
    <w:bookmarkEnd w:id="1013"/>
    <w:bookmarkStart w:id="1014" w:name="การเกบบนทกและ-retention"/>
    <w:p>
      <w:pPr>
        <w:pStyle w:val="Heading3"/>
      </w:pPr>
      <w:r>
        <w:t xml:space="preserve">7.3 การเก็บบันทึกและ retention</w:t>
      </w:r>
    </w:p>
    <w:p>
      <w:pPr>
        <w:pStyle w:val="Compact"/>
        <w:numPr>
          <w:ilvl w:val="0"/>
          <w:numId w:val="1376"/>
        </w:numPr>
      </w:pPr>
      <w:r>
        <w:t xml:space="preserve">เก็บบันทึก dispute/refund/reserve ทั้งหมด (append-only audit trail) ตามระยะเวลาที่กฎหมายและ scheme กำหนด — สอดคล้อง</w:t>
      </w:r>
      <w:r>
        <w:t xml:space="preserve"> </w:t>
      </w:r>
      <w:r>
        <w:rPr>
          <w:rStyle w:val="VerbatimChar"/>
        </w:rPr>
        <w:t xml:space="preserve">11-data-retention-deletion.md</w:t>
      </w:r>
      <w:r>
        <w:t xml:space="preserve"> </w:t>
      </w:r>
      <w:r>
        <w:t xml:space="preserve">(โดยทั่วไป ≥ ระยะที่ ธปท./ปปง. กำหนด และ ≥ วงจร chargeback)</w:t>
      </w:r>
    </w:p>
    <w:p>
      <w:pPr>
        <w:pStyle w:val="Compact"/>
        <w:numPr>
          <w:ilvl w:val="0"/>
          <w:numId w:val="1376"/>
        </w:numPr>
      </w:pPr>
      <w:r>
        <w:t xml:space="preserve">ห้ามเก็บ full PAN/SAD ในบันทึกเหล่านี้ (PCI-DSS v4.0 Req 3)</w:t>
      </w:r>
    </w:p>
    <w:p>
      <w:r>
        <w:pict>
          <v:rect style="width:0;height:1.5pt" o:hralign="center" o:hrstd="t" o:hr="t"/>
        </w:pict>
      </w:r>
    </w:p>
    <w:bookmarkEnd w:id="1014"/>
    <w:bookmarkEnd w:id="1015"/>
    <w:bookmarkStart w:id="1016" w:name="ตวชวด-kpis-และการทบทวน"/>
    <w:p>
      <w:pPr>
        <w:pStyle w:val="Heading2"/>
      </w:pPr>
      <w:r>
        <w:t xml:space="preserve">8. ตัวชี้วัด (KPIs) และการทบทวน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ตัวชี้วัด</w:t>
            </w:r>
          </w:p>
        </w:tc>
        <w:tc>
          <w:tcPr/>
          <w:p>
            <w:pPr>
              <w:pStyle w:val="Compact"/>
            </w:pPr>
            <w:r>
              <w:t xml:space="preserve">เป้าหมาย</w:t>
            </w:r>
          </w:p>
        </w:tc>
      </w:tr>
      <w:tr>
        <w:tc>
          <w:tcPr/>
          <w:p>
            <w:pPr>
              <w:pStyle w:val="Compact"/>
            </w:pPr>
            <w:r>
              <w:t xml:space="preserve">Chargeback rate (ต่อร้านค้า/ทั้งพอร์ต)</w:t>
            </w:r>
          </w:p>
        </w:tc>
        <w:tc>
          <w:tcPr/>
          <w:p>
            <w:pPr>
              <w:pStyle w:val="Compact"/>
            </w:pPr>
            <w:r>
              <w:t xml:space="preserve">&lt; 0.5% ต่อเดือน</w:t>
            </w:r>
          </w:p>
        </w:tc>
      </w:tr>
      <w:tr>
        <w:tc>
          <w:tcPr/>
          <w:p>
            <w:pPr>
              <w:pStyle w:val="Compact"/>
            </w:pPr>
            <w:r>
              <w:t xml:space="preserve">Representment win rate</w:t>
            </w:r>
          </w:p>
        </w:tc>
        <w:tc>
          <w:tcPr/>
          <w:p>
            <w:pPr>
              <w:pStyle w:val="Compact"/>
            </w:pPr>
            <w:r>
              <w:t xml:space="preserve">≥ 40% (ปรับตามชนิดเคส)</w:t>
            </w:r>
          </w:p>
        </w:tc>
      </w:tr>
      <w:tr>
        <w:tc>
          <w:tcPr/>
          <w:p>
            <w:pPr>
              <w:pStyle w:val="Compact"/>
            </w:pPr>
            <w:r>
              <w:t xml:space="preserve">Refund SLA (ส่งต่อ acquirer)</w:t>
            </w:r>
          </w:p>
        </w:tc>
        <w:tc>
          <w:tcPr/>
          <w:p>
            <w:pPr>
              <w:pStyle w:val="Compact"/>
            </w:pPr>
            <w:r>
              <w:t xml:space="preserve">≥ 99% ภายในวันทำการเดียวกัน</w:t>
            </w:r>
          </w:p>
        </w:tc>
      </w:tr>
      <w:tr>
        <w:tc>
          <w:tcPr/>
          <w:p>
            <w:pPr>
              <w:pStyle w:val="Compact"/>
            </w:pPr>
            <w:r>
              <w:t xml:space="preserve">เคสยื่นทันเดดไลน์</w:t>
            </w:r>
          </w:p>
        </w:tc>
        <w:tc>
          <w:tcPr/>
          <w:p>
            <w:pPr>
              <w:pStyle w:val="Compact"/>
            </w:pPr>
            <w:r>
              <w:t xml:space="preserve">100% (ไม่มีเคสแพ้จากยื่นสาย)</w:t>
            </w:r>
          </w:p>
        </w:tc>
      </w:tr>
    </w:tbl>
    <w:p>
      <w:pPr>
        <w:pStyle w:val="BlockText"/>
      </w:pPr>
      <w:r>
        <w:t xml:space="preserve">ทบทวนนโยบายนี้อย่างน้อย</w:t>
      </w:r>
      <w:r>
        <w:t xml:space="preserve"> </w:t>
      </w:r>
      <w:r>
        <w:rPr>
          <w:b/>
          <w:bCs/>
        </w:rPr>
        <w:t xml:space="preserve">ปีละครั้ง</w:t>
      </w:r>
      <w:r>
        <w:t xml:space="preserve"> </w:t>
      </w:r>
      <w:r>
        <w:t xml:space="preserve">หรือเมื่อ (ก) scheme rules เปลี่ยน (ข) sponsor bank เปลี่ยนเงื่อนไข (ค) chargeback rate เกินเกณฑ์</w:t>
      </w:r>
    </w:p>
    <w:p>
      <w:r>
        <w:pict>
          <v:rect style="width:0;height:1.5pt" o:hralign="center" o:hrstd="t" o:hr="t"/>
        </w:pict>
      </w:r>
    </w:p>
    <w:p>
      <w:pPr>
        <w:pStyle w:val="BlockText"/>
      </w:pPr>
      <w:r>
        <w:rPr>
          <w:b/>
          <w:bCs/>
        </w:rPr>
        <w:t xml:space="preserve">มาตรฐานที่อ้างอิง:</w:t>
      </w:r>
      <w:r>
        <w:t xml:space="preserve"> </w:t>
      </w:r>
      <w:r>
        <w:t xml:space="preserve">PCI-DSS v4.0 (PCI SSC), EMV 3-D Secure (EMV 3DS) 2.x, Visa Core Rules/VDMP, Mastercard Chargeback Guide/ECM, ISO 8583</w:t>
      </w:r>
      <w:r>
        <w:t xml:space="preserve"> </w:t>
      </w:r>
      <w:r>
        <w:rPr>
          <w:b/>
          <w:bCs/>
        </w:rPr>
        <w:t xml:space="preserve">กฎหมายไทยที่อ้างอิง:</w:t>
      </w:r>
      <w:r>
        <w:t xml:space="preserve"> </w:t>
      </w:r>
      <w:r>
        <w:t xml:space="preserve">พ.ร.บ. ระบบการชำระเงิน พ.ศ. 2560 (ธปท.), PDPA พ.ศ. 2562 (PDPC), พ.ร.บ. ปปง./AMLO</w:t>
      </w:r>
      <w:r>
        <w:t xml:space="preserve"> </w:t>
      </w:r>
      <w:r>
        <w:t xml:space="preserve">เอกสารนี้ต้องได้รับการทบทวนโดยที่ปรึกษากฎหมายและ sponsor bank ก่อนบังคับใช้และก่อนยื่น</w:t>
      </w:r>
    </w:p>
    <w:bookmarkEnd w:id="1016"/>
    <w:bookmarkEnd w:id="1017"/>
    <w:bookmarkStart w:id="1048" w:name="X015992f8c2f375791734024dffe1e13711d0dc1"/>
    <w:p>
      <w:pPr>
        <w:pStyle w:val="Heading1"/>
      </w:pPr>
      <w:r>
        <w:t xml:space="preserve">Refund &amp; chargeback policy: timeframes, reversal procedures, liability allocation, reserves (English)</w:t>
      </w:r>
    </w:p>
    <w:p>
      <w:pPr>
        <w:pStyle w:val="BlockText"/>
      </w:pPr>
      <w:r>
        <w:t xml:space="preserve">Supporting document for the application for an</w:t>
      </w:r>
      <w:r>
        <w:t xml:space="preserve"> </w:t>
      </w:r>
      <w:r>
        <w:rPr>
          <w:b/>
          <w:bCs/>
        </w:rPr>
        <w:t xml:space="preserve">Electronic Payment Acquiring Service (Full Acquiring)</w:t>
      </w:r>
      <w:r>
        <w:t xml:space="preserve"> </w:t>
      </w:r>
      <w:r>
        <w:t xml:space="preserve">license</w:t>
      </w:r>
      <w:r>
        <w:t xml:space="preserve"> </w:t>
      </w:r>
      <w:r>
        <w:t xml:space="preserve">under the Payment Systems Act B.E. 2560 (2017), submitted to the Bank of Thailand (BOT / ธปท.) — target paid-up capital THB 50 million.</w:t>
      </w:r>
    </w:p>
    <w:p>
      <w:pPr>
        <w:pStyle w:val="BlockText"/>
      </w:pPr>
      <w:r>
        <w:t xml:space="preserve">Document no.:</w:t>
      </w:r>
      <w:r>
        <w:t xml:space="preserve"> </w:t>
      </w:r>
      <w:r>
        <w:rPr>
          <w:rStyle w:val="VerbatimChar"/>
        </w:rPr>
        <w:t xml:space="preserve">COMP-28</w:t>
      </w:r>
      <w:r>
        <w:t xml:space="preserve"> </w:t>
      </w:r>
      <w:r>
        <w:t xml:space="preserve">· Version 1.0 · Owner: Head of Risk &amp; Dispute Operations (with Head of Settlement and Compliance)</w:t>
      </w:r>
      <w:r>
        <w:t xml:space="preserve"> </w:t>
      </w:r>
      <w:r>
        <w:t xml:space="preserve">Related:</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05-aml-kyc-cdd-policy.md</w:t>
      </w:r>
      <w:r>
        <w:t xml:space="preserve">,</w:t>
      </w:r>
      <w:r>
        <w:t xml:space="preserve"> </w:t>
      </w:r>
      <w:r>
        <w:rPr>
          <w:rStyle w:val="VerbatimChar"/>
        </w:rPr>
        <w:t xml:space="preserve">07-sar-str-procedure.md</w:t>
      </w:r>
      <w:r>
        <w:t xml:space="preserve">,</w:t>
      </w:r>
      <w:r>
        <w:t xml:space="preserve"> </w:t>
      </w:r>
      <w:r>
        <w:rPr>
          <w:rStyle w:val="VerbatimChar"/>
        </w:rPr>
        <w:t xml:space="preserve">09-pdpa-privacy-policy.md</w:t>
      </w:r>
      <w:r>
        <w:t xml:space="preserve">,</w:t>
      </w:r>
      <w:r>
        <w:t xml:space="preserve"> </w:t>
      </w:r>
      <w:r>
        <w:rPr>
          <w:rStyle w:val="VerbatimChar"/>
        </w:rPr>
        <w:t xml:space="preserve">11-data-retention-deletion.md</w:t>
      </w:r>
      <w:r>
        <w:t xml:space="preserve">,</w:t>
      </w:r>
      <w:r>
        <w:t xml:space="preserve"> </w:t>
      </w:r>
      <w:r>
        <w:rPr>
          <w:rStyle w:val="VerbatimChar"/>
        </w:rPr>
        <w:t xml:space="preserve">19-pci-dss-roadmap.md</w:t>
      </w:r>
    </w:p>
    <w:p>
      <w:pPr>
        <w:pStyle w:val="BlockText"/>
      </w:pPr>
      <w:r>
        <w:rPr>
          <w:b/>
          <w:bCs/>
        </w:rPr>
        <w:t xml:space="preserve">Note:</w:t>
      </w:r>
      <w:r>
        <w:t xml:space="preserve"> </w:t>
      </w:r>
      <w:r>
        <w:t xml:space="preserve">This is an internal policy document, not legal advice. The binding chargeback timeframes and dispute rights are set by card scheme rules (Visa Core Rules, Mastercard Chargeback Guide) and by the sponsor-bank agreement, which are periodically updated. Confirm with legal counsel and the sponsor bank before submission and before enforcement.</w:t>
      </w:r>
    </w:p>
    <w:p>
      <w:r>
        <w:pict>
          <v:rect style="width:0;height:1.5pt" o:hralign="center" o:hrstd="t" o:hr="t"/>
        </w:pict>
      </w:r>
    </w:p>
    <w:p>
      <w:pPr>
        <w:pStyle w:val="Heading3"/>
      </w:pPr>
      <w:bookmarkStart w:id="1018" w:name="X37907c6be0fab9bd8c1e10cac70327cd617a6ab"/>
      <w:r>
        <w:t xml:space="preserve">⚠️ Assumptions / TODO (unresolved external dependencies)</w:t>
      </w:r>
      <w:bookmarkEnd w:id="1018"/>
    </w:p>
    <w:p>
      <w:pPr>
        <w:pStyle w:val="BlockText"/>
      </w:pPr>
      <w:r>
        <w:t xml:space="preserve">The following depend on counterparties/vendors not yet finalized —</w:t>
      </w:r>
      <w:r>
        <w:t xml:space="preserve"> </w:t>
      </w:r>
      <w:r>
        <w:rPr>
          <w:b/>
          <w:bCs/>
        </w:rPr>
        <w:t xml:space="preserve">do not treat as fact until confirmed</w:t>
      </w:r>
      <w:r>
        <w:t xml:space="preserve">:</w:t>
      </w:r>
      <w:r>
        <w:t xml:space="preserve"> </w:t>
      </w:r>
      <w:r>
        <w:t xml:space="preserve">-</w:t>
      </w:r>
      <w:r>
        <w:t xml:space="preserve"> </w:t>
      </w:r>
      <w:r>
        <w:rPr>
          <w:b/>
          <w:bCs/>
        </w:rPr>
        <w:t xml:space="preserve">[TODO — Sponsor Bank / Acquirer]</w:t>
      </w:r>
      <w:r>
        <w:t xml:space="preserve"> </w:t>
      </w:r>
      <w:r>
        <w:t xml:space="preserve">No sponsoring bank signed yet — determines (a) the actual representment/pre-arbitration timeframes, (b) per-item chargeback fees, (c) the excessive-chargeback program thresholds, and (d) the reserve/collateral requirements the acquirer imposes on the company.</w:t>
      </w:r>
      <w:r>
        <w:t xml:space="preserve"> </w:t>
      </w:r>
      <w:r>
        <w:t xml:space="preserve">-</w:t>
      </w:r>
      <w:r>
        <w:t xml:space="preserve"> </w:t>
      </w:r>
      <w:r>
        <w:rPr>
          <w:b/>
          <w:bCs/>
        </w:rPr>
        <w:t xml:space="preserve">[TODO — Card scheme rules version]</w:t>
      </w:r>
      <w:r>
        <w:t xml:space="preserve"> </w:t>
      </w:r>
      <w:r>
        <w:t xml:space="preserve">The current versions of the Visa Core Rules &amp; Visa Product and Service Rules, the Mastercard Chargeback Guide/Security Rules and Procedures, and the reason-code set must reference the latest editions as of the submission date.</w:t>
      </w:r>
      <w:r>
        <w:t xml:space="preserve"> </w:t>
      </w:r>
      <w:r>
        <w:t xml:space="preserve">-</w:t>
      </w:r>
      <w:r>
        <w:t xml:space="preserve"> </w:t>
      </w:r>
      <w:r>
        <w:rPr>
          <w:b/>
          <w:bCs/>
        </w:rPr>
        <w:t xml:space="preserve">[TODO — Local scheme]</w:t>
      </w:r>
      <w:r>
        <w:t xml:space="preserve"> </w:t>
      </w:r>
      <w:r>
        <w:t xml:space="preserve">Dispute handling for domestic cards/local rails (e.g., NITMX/ITMX, PromptCard) and PromptPay/QR (ThaiQR) must be confirmed separately — their chargeback mechanics differ from international cards.</w:t>
      </w:r>
      <w:r>
        <w:t xml:space="preserve"> </w:t>
      </w:r>
      <w:r>
        <w:t xml:space="preserve">-</w:t>
      </w:r>
      <w:r>
        <w:t xml:space="preserve"> </w:t>
      </w:r>
      <w:r>
        <w:rPr>
          <w:b/>
          <w:bCs/>
        </w:rPr>
        <w:t xml:space="preserve">[TODO — Capital / reserves]</w:t>
      </w:r>
      <w:r>
        <w:t xml:space="preserve"> </w:t>
      </w:r>
      <w:r>
        <w:t xml:space="preserve">The merchant-reserve structure (rolling reserve %, upfront reserve, capped reserve) and the capital backing chargeback losses must align with</w:t>
      </w:r>
      <w:r>
        <w:t xml:space="preserve"> </w:t>
      </w:r>
      <w:r>
        <w:rPr>
          <w:rStyle w:val="VerbatimChar"/>
        </w:rPr>
        <w:t xml:space="preserve">02-financial-projections-capital.md</w:t>
      </w:r>
      <w:r>
        <w:t xml:space="preserve"> </w:t>
      </w:r>
      <w:r>
        <w:t xml:space="preserve">and the ≥ 75% capital-maintenance rule.</w:t>
      </w:r>
      <w:r>
        <w:t xml:space="preserve"> </w:t>
      </w:r>
      <w:r>
        <w:t xml:space="preserve">-</w:t>
      </w:r>
      <w:r>
        <w:t xml:space="preserve"> </w:t>
      </w:r>
      <w:r>
        <w:rPr>
          <w:b/>
          <w:bCs/>
        </w:rPr>
        <w:t xml:space="preserve">[TODO — 3DS / ACS provider]</w:t>
      </w:r>
      <w:r>
        <w:t xml:space="preserve"> </w:t>
      </w:r>
      <w:r>
        <w:t xml:space="preserve">The EMV 3-D Secure provider (3DS Server/DS/ACS routing) determines the liability shift actually achieved.</w:t>
      </w:r>
      <w:r>
        <w:t xml:space="preserve"> </w:t>
      </w:r>
      <w:r>
        <w:t xml:space="preserve">-</w:t>
      </w:r>
      <w:r>
        <w:t xml:space="preserve"> </w:t>
      </w:r>
      <w:r>
        <w:rPr>
          <w:b/>
          <w:bCs/>
        </w:rPr>
        <w:t xml:space="preserve">[TODO — Company/officer names]</w:t>
      </w:r>
      <w:r>
        <w:t xml:space="preserve"> </w:t>
      </w:r>
      <w:r>
        <w:rPr>
          <w:rStyle w:val="VerbatimChar"/>
        </w:rPr>
        <w:t xml:space="preserve">[บริษัท / Company]</w:t>
      </w:r>
      <w:r>
        <w:t xml:space="preserve">, registered address, and the responsible officer (Head of Risk &amp; Dispute Ops) must be filled in with real values before submission.</w:t>
      </w:r>
    </w:p>
    <w:p>
      <w:r>
        <w:pict>
          <v:rect style="width:0;height:1.5pt" o:hralign="center" o:hrstd="t" o:hr="t"/>
        </w:pict>
      </w:r>
    </w:p>
    <w:bookmarkStart w:id="1020" w:name="introduction-purpose-and-scope"/>
    <w:p>
      <w:pPr>
        <w:pStyle w:val="Heading2"/>
      </w:pPr>
      <w:r>
        <w:t xml:space="preserve">1. Introduction, purpose, and scope</w:t>
      </w:r>
    </w:p>
    <w:p>
      <w:pPr>
        <w:pStyle w:val="FirstParagraph"/>
      </w:pPr>
      <w:r>
        <w:rPr>
          <w:rStyle w:val="VerbatimChar"/>
        </w:rPr>
        <w:t xml:space="preserve">[บริษัท / Company]</w:t>
      </w:r>
      <w:r>
        <w:t xml:space="preserve"> </w:t>
      </w:r>
      <w:r>
        <w:t xml:space="preserve">(the</w:t>
      </w:r>
      <w:r>
        <w:t xml:space="preserve"> </w:t>
      </w:r>
      <w:r>
        <w:t xml:space="preserve">“Company”</w:t>
      </w:r>
      <w:r>
        <w:t xml:space="preserve">) operates a card-acquiring payment gateway (Full Acquiring) and is therefore responsible for managing</w:t>
      </w:r>
      <w:r>
        <w:t xml:space="preserve"> </w:t>
      </w:r>
      <w:r>
        <w:rPr>
          <w:b/>
          <w:bCs/>
        </w:rPr>
        <w:t xml:space="preserve">refunds</w:t>
      </w:r>
      <w:r>
        <w:t xml:space="preserve">,</w:t>
      </w:r>
      <w:r>
        <w:t xml:space="preserve"> </w:t>
      </w:r>
      <w:r>
        <w:rPr>
          <w:b/>
          <w:bCs/>
        </w:rPr>
        <w:t xml:space="preserve">reversals/voids</w:t>
      </w:r>
      <w:r>
        <w:t xml:space="preserve">, and</w:t>
      </w:r>
      <w:r>
        <w:t xml:space="preserve"> </w:t>
      </w:r>
      <w:r>
        <w:rPr>
          <w:b/>
          <w:bCs/>
        </w:rPr>
        <w:t xml:space="preserve">disputes/chargebacks</w:t>
      </w:r>
      <w:r>
        <w:t xml:space="preserve"> </w:t>
      </w:r>
      <w:r>
        <w:t xml:space="preserve">in accordance with card scheme rules, the sponsor-bank agreement, and Thai law.</w:t>
      </w:r>
    </w:p>
    <w:p>
      <w:pPr>
        <w:pStyle w:val="BodyText"/>
      </w:pPr>
      <w:r>
        <w:rPr>
          <w:b/>
          <w:bCs/>
        </w:rPr>
        <w:t xml:space="preserve">Purpose of this policy:</w:t>
      </w:r>
      <w:r>
        <w:t xml:space="preserve"> </w:t>
      </w:r>
      <w:r>
        <w:t xml:space="preserve">1. Define clear timeframes for each stage of refund, void, and chargeback.</w:t>
      </w:r>
      <w:r>
        <w:t xml:space="preserve"> </w:t>
      </w:r>
      <w:r>
        <w:t xml:space="preserve">2. Define reversal procedures and the corresponding transitions in the system state machine.</w:t>
      </w:r>
      <w:r>
        <w:t xml:space="preserve"> </w:t>
      </w:r>
      <w:r>
        <w:t xml:space="preserve">3. Define liability allocation among cardholder, issuer, merchant, the Company, and the sponsor bank.</w:t>
      </w:r>
      <w:r>
        <w:t xml:space="preserve"> </w:t>
      </w:r>
      <w:r>
        <w:t xml:space="preserve">4. Define the reserve and collateral mechanisms that absorb chargeback/merchant-insolvency risk.</w:t>
      </w:r>
    </w:p>
    <w:p>
      <w:pPr>
        <w:pStyle w:val="BodyText"/>
      </w:pPr>
      <w:r>
        <w:rPr>
          <w:b/>
          <w:bCs/>
        </w:rPr>
        <w:t xml:space="preserve">Scope:</w:t>
      </w:r>
      <w:r>
        <w:t xml:space="preserve"> </w:t>
      </w:r>
      <w:r>
        <w:t xml:space="preserve">covers credit/debit card transactions (Visa, Mastercard, and supported brands), 3DS and card-not-present (CNP)/card-present (CP) transactions, and the linkage to local-rail disputes (QR/PromptPay) where the mechanism permits (see</w:t>
      </w:r>
      <w:r>
        <w:t xml:space="preserve"> </w:t>
      </w:r>
      <w:r>
        <w:rPr>
          <w:rStyle w:val="VerbatimChar"/>
        </w:rPr>
        <w:t xml:space="preserve">QR-PAYMENT.md</w:t>
      </w:r>
      <w:r>
        <w:t xml:space="preserve">).</w:t>
      </w:r>
    </w:p>
    <w:bookmarkStart w:id="1019" w:name="definitions"/>
    <w:p>
      <w:pPr>
        <w:pStyle w:val="Heading3"/>
      </w:pPr>
      <w:r>
        <w:t xml:space="preserve">1.1 Definitions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Refund</w:t>
            </w:r>
          </w:p>
        </w:tc>
        <w:tc>
          <w:tcPr/>
          <w:p>
            <w:pPr>
              <w:pStyle w:val="Compact"/>
            </w:pPr>
            <w:r>
              <w:t xml:space="preserve">Voluntary return of funds by the merchant to the cardholder after a transaction is captured.</w:t>
            </w:r>
          </w:p>
        </w:tc>
      </w:tr>
      <w:tr>
        <w:tc>
          <w:tcPr/>
          <w:p>
            <w:pPr>
              <w:pStyle w:val="Compact"/>
            </w:pPr>
            <w:r>
              <w:rPr>
                <w:b/>
                <w:bCs/>
              </w:rPr>
              <w:t xml:space="preserve">Void / Reversal</w:t>
            </w:r>
          </w:p>
        </w:tc>
        <w:tc>
          <w:tcPr/>
          <w:p>
            <w:pPr>
              <w:pStyle w:val="Compact"/>
            </w:pPr>
            <w:r>
              <w:t xml:space="preserve">Cancellation of an authorization before capture/settlement — funds never actually moved.</w:t>
            </w:r>
          </w:p>
        </w:tc>
      </w:tr>
      <w:tr>
        <w:tc>
          <w:tcPr/>
          <w:p>
            <w:pPr>
              <w:pStyle w:val="Compact"/>
            </w:pPr>
            <w:r>
              <w:rPr>
                <w:b/>
                <w:bCs/>
              </w:rPr>
              <w:t xml:space="preserve">Chargeback</w:t>
            </w:r>
          </w:p>
        </w:tc>
        <w:tc>
          <w:tcPr/>
          <w:p>
            <w:pPr>
              <w:pStyle w:val="Compact"/>
            </w:pPr>
            <w:r>
              <w:t xml:space="preserve">Cardholder disputes a transaction via the issuer, which pulls funds back from the acquirer.</w:t>
            </w:r>
          </w:p>
        </w:tc>
      </w:tr>
      <w:tr>
        <w:tc>
          <w:tcPr/>
          <w:p>
            <w:pPr>
              <w:pStyle w:val="Compact"/>
            </w:pPr>
            <w:r>
              <w:rPr>
                <w:b/>
                <w:bCs/>
              </w:rPr>
              <w:t xml:space="preserve">Representment</w:t>
            </w:r>
          </w:p>
        </w:tc>
        <w:tc>
          <w:tcPr/>
          <w:p>
            <w:pPr>
              <w:pStyle w:val="Compact"/>
            </w:pPr>
            <w:r>
              <w:t xml:space="preserve">The acquirer/merchant contests the chargeback with evidence that the transaction was valid.</w:t>
            </w:r>
          </w:p>
        </w:tc>
      </w:tr>
      <w:tr>
        <w:tc>
          <w:tcPr/>
          <w:p>
            <w:pPr>
              <w:pStyle w:val="Compact"/>
            </w:pPr>
            <w:r>
              <w:rPr>
                <w:b/>
                <w:bCs/>
              </w:rPr>
              <w:t xml:space="preserve">Pre-arbitration / Arbitration</w:t>
            </w:r>
          </w:p>
        </w:tc>
        <w:tc>
          <w:tcPr/>
          <w:p>
            <w:pPr>
              <w:pStyle w:val="Compact"/>
            </w:pPr>
            <w:r>
              <w:t xml:space="preserve">Escalation stages once a representment is contested, up to a card-scheme ruling.</w:t>
            </w:r>
          </w:p>
        </w:tc>
      </w:tr>
      <w:tr>
        <w:tc>
          <w:tcPr/>
          <w:p>
            <w:pPr>
              <w:pStyle w:val="Compact"/>
            </w:pPr>
            <w:r>
              <w:rPr>
                <w:b/>
                <w:bCs/>
              </w:rPr>
              <w:t xml:space="preserve">Liability shift</w:t>
            </w:r>
          </w:p>
        </w:tc>
        <w:tc>
          <w:tcPr/>
          <w:p>
            <w:pPr>
              <w:pStyle w:val="Compact"/>
            </w:pPr>
            <w:r>
              <w:t xml:space="preserve">Transfer of liability from acquirer/merchant to issuer when EMV 3DS authentication succeeds.</w:t>
            </w:r>
          </w:p>
        </w:tc>
      </w:tr>
      <w:tr>
        <w:tc>
          <w:tcPr/>
          <w:p>
            <w:pPr>
              <w:pStyle w:val="Compact"/>
            </w:pPr>
            <w:r>
              <w:rPr>
                <w:b/>
                <w:bCs/>
              </w:rPr>
              <w:t xml:space="preserve">Reserve</w:t>
            </w:r>
          </w:p>
        </w:tc>
        <w:tc>
          <w:tcPr/>
          <w:p>
            <w:pPr>
              <w:pStyle w:val="Compact"/>
            </w:pPr>
            <w:r>
              <w:t xml:space="preserve">Funds the Company withholds from a merchant’s settlement to cover future chargebacks/refunds.</w:t>
            </w:r>
          </w:p>
        </w:tc>
      </w:tr>
      <w:tr>
        <w:tc>
          <w:tcPr/>
          <w:p>
            <w:pPr>
              <w:pStyle w:val="Compact"/>
            </w:pPr>
            <w:r>
              <w:rPr>
                <w:b/>
                <w:bCs/>
              </w:rPr>
              <w:t xml:space="preserve">Excessive chargeback merchant</w:t>
            </w:r>
          </w:p>
        </w:tc>
        <w:tc>
          <w:tcPr/>
          <w:p>
            <w:pPr>
              <w:pStyle w:val="Compact"/>
            </w:pPr>
            <w:r>
              <w:t xml:space="preserve">A merchant whose chargeback rate exceeds the scheme threshold (VDMP/VFMP, Mastercard ECM/ECP).</w:t>
            </w:r>
          </w:p>
        </w:tc>
      </w:tr>
    </w:tbl>
    <w:p>
      <w:r>
        <w:pict>
          <v:rect style="width:0;height:1.5pt" o:hralign="center" o:hrstd="t" o:hr="t"/>
        </w:pict>
      </w:r>
    </w:p>
    <w:bookmarkEnd w:id="1019"/>
    <w:bookmarkEnd w:id="1020"/>
    <w:bookmarkStart w:id="1024" w:name="refund-policy"/>
    <w:p>
      <w:pPr>
        <w:pStyle w:val="Heading2"/>
      </w:pPr>
      <w:r>
        <w:t xml:space="preserve">2. Refund policy</w:t>
      </w:r>
    </w:p>
    <w:bookmarkStart w:id="1021" w:name="conditions-and-principles"/>
    <w:p>
      <w:pPr>
        <w:pStyle w:val="Heading3"/>
      </w:pPr>
      <w:r>
        <w:t xml:space="preserve">2.1 Conditions and principles</w:t>
      </w:r>
    </w:p>
    <w:p>
      <w:pPr>
        <w:pStyle w:val="Compact"/>
        <w:numPr>
          <w:ilvl w:val="0"/>
          <w:numId w:val="1377"/>
        </w:numPr>
      </w:pPr>
      <w:r>
        <w:t xml:space="preserve">A refund is allowed only on transactions in state</w:t>
      </w:r>
      <w:r>
        <w:t xml:space="preserve"> </w:t>
      </w:r>
      <w:r>
        <w:rPr>
          <w:rStyle w:val="VerbatimChar"/>
          <w:b/>
          <w:bCs/>
        </w:rPr>
        <w:t xml:space="preserve">captured</w:t>
      </w:r>
      <w:r>
        <w:t xml:space="preserve"> </w:t>
      </w:r>
      <w:r>
        <w:t xml:space="preserve">or</w:t>
      </w:r>
      <w:r>
        <w:t xml:space="preserve"> </w:t>
      </w:r>
      <w:r>
        <w:rPr>
          <w:rStyle w:val="VerbatimChar"/>
          <w:b/>
          <w:bCs/>
        </w:rPr>
        <w:t xml:space="preserve">partial_refunded</w:t>
      </w:r>
      <w:r>
        <w:t xml:space="preserve"> </w:t>
      </w:r>
      <w:r>
        <w:t xml:space="preserve">(see the state machine in</w:t>
      </w:r>
      <w:r>
        <w:t xml:space="preserve"> </w:t>
      </w:r>
      <w:r>
        <w:rPr>
          <w:rStyle w:val="VerbatimChar"/>
        </w:rPr>
        <w:t xml:space="preserve">ARCHITECTURE.md</w:t>
      </w:r>
      <w:r>
        <w:t xml:space="preserve"> </w:t>
      </w:r>
      <w:r>
        <w:t xml:space="preserve">§5.4).</w:t>
      </w:r>
    </w:p>
    <w:p>
      <w:pPr>
        <w:pStyle w:val="Compact"/>
        <w:numPr>
          <w:ilvl w:val="0"/>
          <w:numId w:val="1377"/>
        </w:numPr>
      </w:pPr>
      <w:r>
        <w:t xml:space="preserve">Cumulative refunds</w:t>
      </w:r>
      <w:r>
        <w:t xml:space="preserve"> </w:t>
      </w:r>
      <w:r>
        <w:rPr>
          <w:b/>
          <w:bCs/>
        </w:rPr>
        <w:t xml:space="preserve">must not exceed</w:t>
      </w:r>
      <w:r>
        <w:t xml:space="preserve"> </w:t>
      </w:r>
      <w:r>
        <w:t xml:space="preserve">the captured amount (</w:t>
      </w:r>
      <w:r>
        <w:rPr>
          <w:rStyle w:val="VerbatimChar"/>
        </w:rPr>
        <w:t xml:space="preserve">Σ refunds ≤ captured_amount</w:t>
      </w:r>
      <w:r>
        <w:t xml:space="preserve">) — enforced as a service-layer invariant (ARCHITECTURE §5.2).</w:t>
      </w:r>
    </w:p>
    <w:p>
      <w:pPr>
        <w:pStyle w:val="Compact"/>
        <w:numPr>
          <w:ilvl w:val="0"/>
          <w:numId w:val="1377"/>
        </w:numPr>
      </w:pPr>
      <w:r>
        <w:t xml:space="preserve">A refund is a</w:t>
      </w:r>
      <w:r>
        <w:t xml:space="preserve"> </w:t>
      </w:r>
      <w:r>
        <w:rPr>
          <w:b/>
          <w:bCs/>
        </w:rPr>
        <w:t xml:space="preserve">money-moving operation</w:t>
      </w:r>
      <w:r>
        <w:t xml:space="preserve"> </w:t>
      </w:r>
      <w:r>
        <w:t xml:space="preserve">and therefore requires an</w:t>
      </w:r>
      <w:r>
        <w:t xml:space="preserve"> </w:t>
      </w:r>
      <w:r>
        <w:rPr>
          <w:rStyle w:val="VerbatimChar"/>
        </w:rPr>
        <w:t xml:space="preserve">Idempotency-Key</w:t>
      </w:r>
      <w:r>
        <w:t xml:space="preserve"> </w:t>
      </w:r>
      <w:r>
        <w:t xml:space="preserve">on every call to prevent duplicate refunds on retry (ARCHITECTURE §2, Idempotency principle).</w:t>
      </w:r>
    </w:p>
    <w:p>
      <w:pPr>
        <w:pStyle w:val="Compact"/>
        <w:numPr>
          <w:ilvl w:val="0"/>
          <w:numId w:val="1377"/>
        </w:numPr>
      </w:pPr>
      <w:r>
        <w:t xml:space="preserve">Refunds always return to the original card used to pay —</w:t>
      </w:r>
      <w:r>
        <w:t xml:space="preserve"> </w:t>
      </w:r>
      <w:r>
        <w:rPr>
          <w:b/>
          <w:bCs/>
        </w:rPr>
        <w:t xml:space="preserve">never</w:t>
      </w:r>
      <w:r>
        <w:t xml:space="preserve"> </w:t>
      </w:r>
      <w:r>
        <w:t xml:space="preserve">cash or a different card (AML control, see</w:t>
      </w:r>
      <w:r>
        <w:t xml:space="preserve"> </w:t>
      </w:r>
      <w:r>
        <w:rPr>
          <w:rStyle w:val="VerbatimChar"/>
        </w:rPr>
        <w:t xml:space="preserve">05-aml-kyc-cdd-policy.md</w:t>
      </w:r>
      <w:r>
        <w:t xml:space="preserve">).</w:t>
      </w:r>
    </w:p>
    <w:p>
      <w:pPr>
        <w:pStyle w:val="Compact"/>
        <w:numPr>
          <w:ilvl w:val="0"/>
          <w:numId w:val="1377"/>
        </w:numPr>
      </w:pPr>
      <w:r>
        <w:t xml:space="preserve">Every refund writes a</w:t>
      </w:r>
      <w:r>
        <w:t xml:space="preserve"> </w:t>
      </w:r>
      <w:r>
        <w:rPr>
          <w:rStyle w:val="VerbatimChar"/>
        </w:rPr>
        <w:t xml:space="preserve">ledger_entries(refund)</w:t>
      </w:r>
      <w:r>
        <w:t xml:space="preserve"> </w:t>
      </w:r>
      <w:r>
        <w:t xml:space="preserve">record (append-only) and an</w:t>
      </w:r>
      <w:r>
        <w:t xml:space="preserve"> </w:t>
      </w:r>
      <w:r>
        <w:rPr>
          <w:rStyle w:val="VerbatimChar"/>
        </w:rPr>
        <w:t xml:space="preserve">audit_log</w:t>
      </w:r>
      <w:r>
        <w:t xml:space="preserve"> </w:t>
      </w:r>
      <w:r>
        <w:t xml:space="preserve">entry.</w:t>
      </w:r>
    </w:p>
    <w:bookmarkEnd w:id="1021"/>
    <w:bookmarkStart w:id="1022" w:name="refund-timeframes"/>
    <w:p>
      <w:pPr>
        <w:pStyle w:val="Heading3"/>
      </w:pPr>
      <w:r>
        <w:t xml:space="preserve">2.2 Refund timeframes</w:t>
      </w:r>
    </w:p>
    <w:tbl>
      <w:tblPr>
        <w:tblStyle w:val="Table"/>
        <w:tblW w:type="pct" w:w="5000"/>
        <w:tblLayout w:type="fixed"/>
        <w:tblLook w:firstRow="1" w:lastRow="0" w:firstColumn="0" w:lastColumn="0" w:noHBand="0" w:noVBand="0" w:val="0020"/>
      </w:tblPr>
      <w:tblGrid>
        <w:gridCol w:w="2310"/>
        <w:gridCol w:w="3630"/>
        <w:gridCol w:w="1980"/>
      </w:tblGrid>
      <w:tr>
        <w:trPr>
          <w:tblHeader w:val="on"/>
        </w:trPr>
        <w:tc>
          <w:tcPr/>
          <w:p>
            <w:pPr>
              <w:pStyle w:val="Compact"/>
            </w:pPr>
            <w:r>
              <w:t xml:space="preserve">Stage</w:t>
            </w:r>
          </w:p>
        </w:tc>
        <w:tc>
          <w:tcPr/>
          <w:p>
            <w:pPr>
              <w:pStyle w:val="Compact"/>
            </w:pPr>
            <w:r>
              <w:t xml:space="preserve">Target SLA</w:t>
            </w:r>
          </w:p>
        </w:tc>
        <w:tc>
          <w:tcPr/>
          <w:p>
            <w:pPr>
              <w:pStyle w:val="Compact"/>
            </w:pPr>
            <w:r>
              <w:t xml:space="preserve">Note</w:t>
            </w:r>
          </w:p>
        </w:tc>
      </w:tr>
      <w:tr>
        <w:tc>
          <w:tcPr/>
          <w:p>
            <w:pPr>
              <w:pStyle w:val="Compact"/>
            </w:pPr>
            <w:r>
              <w:t xml:space="preserve">Merchant requests refund → Company submits to acquirer</w:t>
            </w:r>
          </w:p>
        </w:tc>
        <w:tc>
          <w:tcPr/>
          <w:p>
            <w:pPr>
              <w:pStyle w:val="Compact"/>
            </w:pPr>
            <w:r>
              <w:t xml:space="preserve">Within</w:t>
            </w:r>
            <w:r>
              <w:t xml:space="preserve"> </w:t>
            </w:r>
            <w:r>
              <w:rPr>
                <w:b/>
                <w:bCs/>
              </w:rPr>
              <w:t xml:space="preserve">1 hour</w:t>
            </w:r>
            <w:r>
              <w:t xml:space="preserve"> </w:t>
            </w:r>
            <w:r>
              <w:t xml:space="preserve">(automated) / same business day if review needed</w:t>
            </w:r>
          </w:p>
        </w:tc>
        <w:tc>
          <w:tcPr/>
          <w:p>
            <w:pPr>
              <w:pStyle w:val="Compact"/>
            </w:pPr>
            <w:r>
              <w:t xml:space="preserve">Via</w:t>
            </w:r>
            <w:r>
              <w:t xml:space="preserve"> </w:t>
            </w:r>
            <w:r>
              <w:rPr>
                <w:rStyle w:val="VerbatimChar"/>
              </w:rPr>
              <w:t xml:space="preserve">POST /v1/payments/{id}/refund</w:t>
            </w:r>
          </w:p>
        </w:tc>
      </w:tr>
      <w:tr>
        <w:tc>
          <w:tcPr/>
          <w:p>
            <w:pPr>
              <w:pStyle w:val="Compact"/>
            </w:pPr>
            <w:r>
              <w:t xml:space="preserve">Refund appears in the acquirer’s settlement</w:t>
            </w:r>
          </w:p>
        </w:tc>
        <w:tc>
          <w:tcPr/>
          <w:p>
            <w:pPr>
              <w:pStyle w:val="Compact"/>
            </w:pPr>
            <w:r>
              <w:t xml:space="preserve">Within</w:t>
            </w:r>
            <w:r>
              <w:t xml:space="preserve"> </w:t>
            </w:r>
            <w:r>
              <w:rPr>
                <w:b/>
                <w:bCs/>
              </w:rPr>
              <w:t xml:space="preserve">1–2 business days</w:t>
            </w:r>
          </w:p>
        </w:tc>
        <w:tc>
          <w:tcPr/>
          <w:p>
            <w:pPr>
              <w:pStyle w:val="Compact"/>
            </w:pPr>
            <w:r>
              <w:t xml:space="preserve">Depends on the acquirer’s cut-off</w:t>
            </w:r>
          </w:p>
        </w:tc>
      </w:tr>
      <w:tr>
        <w:tc>
          <w:tcPr/>
          <w:p>
            <w:pPr>
              <w:pStyle w:val="Compact"/>
            </w:pPr>
            <w:r>
              <w:t xml:space="preserve">Funds credited to the cardholder’s account/limit</w:t>
            </w:r>
          </w:p>
        </w:tc>
        <w:tc>
          <w:tcPr/>
          <w:p>
            <w:pPr>
              <w:pStyle w:val="Compact"/>
            </w:pPr>
            <w:r>
              <w:t xml:space="preserve">Typically</w:t>
            </w:r>
            <w:r>
              <w:t xml:space="preserve"> </w:t>
            </w:r>
            <w:r>
              <w:rPr>
                <w:b/>
                <w:bCs/>
              </w:rPr>
              <w:t xml:space="preserve">5–15 business days</w:t>
            </w:r>
          </w:p>
        </w:tc>
        <w:tc>
          <w:tcPr/>
          <w:p>
            <w:pPr>
              <w:pStyle w:val="Compact"/>
            </w:pPr>
            <w:r>
              <w:t xml:space="preserve">Set by the issuer’s statement cycle — outside the Company’s control; disclose realistically</w:t>
            </w:r>
          </w:p>
        </w:tc>
      </w:tr>
      <w:tr>
        <w:tc>
          <w:tcPr/>
          <w:p>
            <w:pPr>
              <w:pStyle w:val="Compact"/>
            </w:pPr>
            <w:r>
              <w:rPr>
                <w:rStyle w:val="VerbatimChar"/>
              </w:rPr>
              <w:t xml:space="preserve">payment.refunded</w:t>
            </w:r>
            <w:r>
              <w:t xml:space="preserve"> </w:t>
            </w:r>
            <w:r>
              <w:t xml:space="preserve">webhook to the merchant</w:t>
            </w:r>
          </w:p>
        </w:tc>
        <w:tc>
          <w:tcPr/>
          <w:p>
            <w:pPr>
              <w:pStyle w:val="Compact"/>
            </w:pPr>
            <w:r>
              <w:t xml:space="preserve">Within</w:t>
            </w:r>
            <w:r>
              <w:t xml:space="preserve"> </w:t>
            </w:r>
            <w:r>
              <w:rPr>
                <w:b/>
                <w:bCs/>
              </w:rPr>
              <w:t xml:space="preserve">minutes</w:t>
            </w:r>
            <w:r>
              <w:t xml:space="preserve"> </w:t>
            </w:r>
            <w:r>
              <w:t xml:space="preserve">of confirmation (at-least-once + retry)</w:t>
            </w:r>
          </w:p>
        </w:tc>
        <w:tc>
          <w:tcPr/>
          <w:p>
            <w:pPr>
              <w:pStyle w:val="Compact"/>
            </w:pPr>
            <w:r>
              <w:t xml:space="preserve">Per ARCHITECTURE §4 Webhook/Notifier</w:t>
            </w:r>
          </w:p>
        </w:tc>
      </w:tr>
    </w:tbl>
    <w:p>
      <w:pPr>
        <w:pStyle w:val="BlockText"/>
      </w:pPr>
      <w:r>
        <w:rPr>
          <w:b/>
          <w:bCs/>
        </w:rPr>
        <w:t xml:space="preserve">Consumer-protection note:</w:t>
      </w:r>
      <w:r>
        <w:t xml:space="preserve"> </w:t>
      </w:r>
      <w:r>
        <w:t xml:space="preserve">the Company must clearly disclose approximate refund timeframes and complaint channels to cardholders/merchants, consistent with BOT financial-consumer-protection guidance.</w:t>
      </w:r>
    </w:p>
    <w:bookmarkEnd w:id="1022"/>
    <w:bookmarkStart w:id="1023" w:name="refund-vs.-void-when-to-use-which"/>
    <w:p>
      <w:pPr>
        <w:pStyle w:val="Heading3"/>
      </w:pPr>
      <w:r>
        <w:t xml:space="preserve">2.3 Refund vs. void — when to use which</w:t>
      </w:r>
    </w:p>
    <w:tbl>
      <w:tblPr>
        <w:tblStyle w:val="Table"/>
        <w:tblW w:type="pct" w:w="5000"/>
        <w:tblLayout w:type="fixed"/>
        <w:tblLook w:firstRow="1" w:lastRow="0" w:firstColumn="0" w:lastColumn="0" w:noHBand="0" w:noVBand="0" w:val="0020"/>
      </w:tblPr>
      <w:tblGrid>
        <w:gridCol w:w="5445"/>
        <w:gridCol w:w="2475"/>
      </w:tblGrid>
      <w:tr>
        <w:trPr>
          <w:tblHeader w:val="on"/>
        </w:trPr>
        <w:tc>
          <w:tcPr/>
          <w:p>
            <w:pPr>
              <w:pStyle w:val="Compact"/>
            </w:pPr>
            <w:r>
              <w:t xml:space="preserve">Condition</w:t>
            </w:r>
          </w:p>
        </w:tc>
        <w:tc>
          <w:tcPr/>
          <w:p>
            <w:pPr>
              <w:pStyle w:val="Compact"/>
            </w:pPr>
            <w:r>
              <w:t xml:space="preserve">Use</w:t>
            </w:r>
          </w:p>
        </w:tc>
      </w:tr>
      <w:tr>
        <w:tc>
          <w:tcPr/>
          <w:p>
            <w:pPr>
              <w:pStyle w:val="Compact"/>
            </w:pPr>
            <w:r>
              <w:t xml:space="preserve">Not yet captured (still</w:t>
            </w:r>
            <w:r>
              <w:t xml:space="preserve"> </w:t>
            </w:r>
            <w:r>
              <w:rPr>
                <w:rStyle w:val="VerbatimChar"/>
              </w:rPr>
              <w:t xml:space="preserve">authorized</w:t>
            </w:r>
            <w:r>
              <w:t xml:space="preserve">)</w:t>
            </w:r>
          </w:p>
        </w:tc>
        <w:tc>
          <w:tcPr/>
          <w:p>
            <w:pPr>
              <w:pStyle w:val="Compact"/>
            </w:pPr>
            <w:r>
              <w:rPr>
                <w:b/>
                <w:bCs/>
              </w:rPr>
              <w:t xml:space="preserve">Void</w:t>
            </w:r>
            <w:r>
              <w:t xml:space="preserve"> </w:t>
            </w:r>
            <w:r>
              <w:t xml:space="preserve">— faster, no fee, no cardholder statement impact</w:t>
            </w:r>
          </w:p>
        </w:tc>
      </w:tr>
      <w:tr>
        <w:tc>
          <w:tcPr/>
          <w:p>
            <w:pPr>
              <w:pStyle w:val="Compact"/>
            </w:pPr>
            <w:r>
              <w:t xml:space="preserve">Already captured / settled</w:t>
            </w:r>
          </w:p>
        </w:tc>
        <w:tc>
          <w:tcPr/>
          <w:p>
            <w:pPr>
              <w:pStyle w:val="Compact"/>
            </w:pPr>
            <w:r>
              <w:rPr>
                <w:b/>
                <w:bCs/>
              </w:rPr>
              <w:t xml:space="preserve">Refund</w:t>
            </w:r>
          </w:p>
        </w:tc>
      </w:tr>
    </w:tbl>
    <w:p>
      <w:pPr>
        <w:pStyle w:val="BodyText"/>
      </w:pPr>
      <w:r>
        <w:rPr>
          <w:b/>
          <w:bCs/>
        </w:rPr>
        <w:t xml:space="preserve">Principle:</w:t>
      </w:r>
      <w:r>
        <w:t xml:space="preserve"> </w:t>
      </w:r>
      <w:r>
        <w:t xml:space="preserve">if cancelling before settlement, always void — it reduces cost and cardholder confusion.</w:t>
      </w:r>
    </w:p>
    <w:p>
      <w:r>
        <w:pict>
          <v:rect style="width:0;height:1.5pt" o:hralign="center" o:hrstd="t" o:hr="t"/>
        </w:pict>
      </w:r>
    </w:p>
    <w:bookmarkEnd w:id="1023"/>
    <w:bookmarkEnd w:id="1024"/>
    <w:bookmarkStart w:id="1028" w:name="reversal-void-procedures"/>
    <w:p>
      <w:pPr>
        <w:pStyle w:val="Heading2"/>
      </w:pPr>
      <w:r>
        <w:t xml:space="preserve">3. Reversal / void procedures</w:t>
      </w:r>
    </w:p>
    <w:bookmarkStart w:id="1025" w:name="authorization-reversal-void-1"/>
    <w:p>
      <w:pPr>
        <w:pStyle w:val="Heading3"/>
      </w:pPr>
      <w:r>
        <w:t xml:space="preserve">3.1 Authorization reversal (void)</w:t>
      </w:r>
    </w:p>
    <w:p>
      <w:pPr>
        <w:pStyle w:val="Compact"/>
        <w:numPr>
          <w:ilvl w:val="0"/>
          <w:numId w:val="1378"/>
        </w:numPr>
      </w:pPr>
      <w:r>
        <w:t xml:space="preserve">Allowed only in state</w:t>
      </w:r>
      <w:r>
        <w:t xml:space="preserve"> </w:t>
      </w:r>
      <w:r>
        <w:rPr>
          <w:rStyle w:val="VerbatimChar"/>
          <w:b/>
          <w:bCs/>
        </w:rPr>
        <w:t xml:space="preserve">authorized</w:t>
      </w:r>
      <w:r>
        <w:t xml:space="preserve"> </w:t>
      </w:r>
      <w:r>
        <w:t xml:space="preserve">(before capture) → resulting state</w:t>
      </w:r>
      <w:r>
        <w:t xml:space="preserve"> </w:t>
      </w:r>
      <w:r>
        <w:rPr>
          <w:rStyle w:val="VerbatimChar"/>
          <w:b/>
          <w:bCs/>
        </w:rPr>
        <w:t xml:space="preserve">voided</w:t>
      </w:r>
      <w:r>
        <w:t xml:space="preserve">.</w:t>
      </w:r>
    </w:p>
    <w:p>
      <w:pPr>
        <w:pStyle w:val="Compact"/>
        <w:numPr>
          <w:ilvl w:val="0"/>
          <w:numId w:val="1378"/>
        </w:numPr>
      </w:pPr>
      <w:r>
        <w:t xml:space="preserve">Endpoint</w:t>
      </w:r>
      <w:r>
        <w:t xml:space="preserve"> </w:t>
      </w:r>
      <w:r>
        <w:rPr>
          <w:rStyle w:val="VerbatimChar"/>
        </w:rPr>
        <w:t xml:space="preserve">POST /v1/payments/{id}/void</w:t>
      </w:r>
      <w:r>
        <w:t xml:space="preserve"> </w:t>
      </w:r>
      <w:r>
        <w:t xml:space="preserve">→ sends a reversal message to the acquirer → writes</w:t>
      </w:r>
      <w:r>
        <w:t xml:space="preserve"> </w:t>
      </w:r>
      <w:r>
        <w:rPr>
          <w:rStyle w:val="VerbatimChar"/>
        </w:rPr>
        <w:t xml:space="preserve">ledger_entries(void)</w:t>
      </w:r>
      <w:r>
        <w:t xml:space="preserve">.</w:t>
      </w:r>
    </w:p>
    <w:p>
      <w:pPr>
        <w:pStyle w:val="Compact"/>
        <w:numPr>
          <w:ilvl w:val="0"/>
          <w:numId w:val="1378"/>
        </w:numPr>
      </w:pPr>
      <w:r>
        <w:t xml:space="preserve">A full auth reversal must be sent within the scheme-mandated window to release the cardholder’s open-to-buy immediately.</w:t>
      </w:r>
      <w:r>
        <w:t xml:space="preserve"> </w:t>
      </w:r>
      <w:r>
        <w:rPr>
          <w:b/>
          <w:bCs/>
        </w:rPr>
        <w:t xml:space="preserve">[TODO — confirm the window with sponsor bank/scheme]</w:t>
      </w:r>
    </w:p>
    <w:bookmarkEnd w:id="1025"/>
    <w:bookmarkStart w:id="1026" w:name="the-fail-closed-principle-for-reversals"/>
    <w:p>
      <w:pPr>
        <w:pStyle w:val="Heading3"/>
      </w:pPr>
      <w:r>
        <w:t xml:space="preserve">3.2 The</w:t>
      </w:r>
      <w:r>
        <w:t xml:space="preserve"> </w:t>
      </w:r>
      <w:r>
        <w:t xml:space="preserve">“fail closed”</w:t>
      </w:r>
      <w:r>
        <w:t xml:space="preserve"> </w:t>
      </w:r>
      <w:r>
        <w:t xml:space="preserve">principle for reversals</w:t>
      </w:r>
    </w:p>
    <w:p>
      <w:pPr>
        <w:pStyle w:val="FirstParagraph"/>
      </w:pPr>
      <w:r>
        <w:t xml:space="preserve">Per ARCHITECTURE §2 principle 7 — when the transaction state is uncertain (e.g., acquirer timeout) the system must</w:t>
      </w:r>
      <w:r>
        <w:t xml:space="preserve"> </w:t>
      </w:r>
      <w:r>
        <w:rPr>
          <w:b/>
          <w:bCs/>
        </w:rPr>
        <w:t xml:space="preserve">treat it as not successful</w:t>
      </w:r>
      <w:r>
        <w:t xml:space="preserve"> </w:t>
      </w:r>
      <w:r>
        <w:t xml:space="preserve">and enter reconciliation:</w:t>
      </w:r>
      <w:r>
        <w:t xml:space="preserve"> </w:t>
      </w:r>
      <w:r>
        <w:t xml:space="preserve">- If an authorize times out → record as pending → reconcile with the acquirer → if the auth actually succeeded but no response was received → send an</w:t>
      </w:r>
      <w:r>
        <w:t xml:space="preserve"> </w:t>
      </w:r>
      <w:r>
        <w:rPr>
          <w:b/>
          <w:bCs/>
        </w:rPr>
        <w:t xml:space="preserve">auto-reversal</w:t>
      </w:r>
      <w:r>
        <w:t xml:space="preserve">.</w:t>
      </w:r>
      <w:r>
        <w:t xml:space="preserve"> </w:t>
      </w:r>
      <w:r>
        <w:t xml:space="preserve">- This prevents double charges and dangling authorizations that block the cardholder’s limit.</w:t>
      </w:r>
    </w:p>
    <w:bookmarkEnd w:id="1026"/>
    <w:bookmarkStart w:id="1027" w:name="relevant-state-machine"/>
    <w:p>
      <w:pPr>
        <w:pStyle w:val="Heading3"/>
      </w:pPr>
      <w:r>
        <w:t xml:space="preserve">3.3 Relevant state machine</w:t>
      </w:r>
    </w:p>
    <w:p>
      <w:pPr>
        <w:pStyle w:val="SourceCode"/>
      </w:pPr>
      <w:r>
        <w:rPr>
          <w:rStyle w:val="VerbatimChar"/>
        </w:rPr>
        <w:t xml:space="preserve">requires_action ──3DS ok──▶ authorized ──capture──▶ captured ──refund──▶ partial_refunded ──▶ refunded</w:t>
      </w:r>
      <w:r>
        <w:br/>
      </w:r>
      <w:r>
        <w:rPr>
          <w:rStyle w:val="VerbatimChar"/>
        </w:rPr>
        <w:t xml:space="preserve">       │                        │                        │</w:t>
      </w:r>
      <w:r>
        <w:br/>
      </w:r>
      <w:r>
        <w:rPr>
          <w:rStyle w:val="VerbatimChar"/>
        </w:rPr>
        <w:t xml:space="preserve">       └── fail ──▶ failed      └── void ──▶ voided       └── chargeback ──▶ disputed ──▶ (won/lost)</w:t>
      </w:r>
    </w:p>
    <w:p>
      <w:pPr>
        <w:pStyle w:val="BlockText"/>
      </w:pPr>
      <w:r>
        <w:t xml:space="preserve">The</w:t>
      </w:r>
      <w:r>
        <w:t xml:space="preserve"> </w:t>
      </w:r>
      <w:r>
        <w:rPr>
          <w:rStyle w:val="VerbatimChar"/>
        </w:rPr>
        <w:t xml:space="preserve">disputed</w:t>
      </w:r>
      <w:r>
        <w:t xml:space="preserve">,</w:t>
      </w:r>
      <w:r>
        <w:t xml:space="preserve"> </w:t>
      </w:r>
      <w:r>
        <w:rPr>
          <w:rStyle w:val="VerbatimChar"/>
        </w:rPr>
        <w:t xml:space="preserve">dispute_won</w:t>
      </w:r>
      <w:r>
        <w:t xml:space="preserve">, and</w:t>
      </w:r>
      <w:r>
        <w:t xml:space="preserve"> </w:t>
      </w:r>
      <w:r>
        <w:rPr>
          <w:rStyle w:val="VerbatimChar"/>
        </w:rPr>
        <w:t xml:space="preserve">dispute_lost</w:t>
      </w:r>
      <w:r>
        <w:t xml:space="preserve"> </w:t>
      </w:r>
      <w:r>
        <w:t xml:space="preserve">states extend the ARCHITECTURE §5.4 state machine for chargeback handling (Phase 3: chargeback/dispute workflow).</w:t>
      </w:r>
    </w:p>
    <w:p>
      <w:r>
        <w:pict>
          <v:rect style="width:0;height:1.5pt" o:hralign="center" o:hrstd="t" o:hr="t"/>
        </w:pict>
      </w:r>
    </w:p>
    <w:bookmarkEnd w:id="1027"/>
    <w:bookmarkEnd w:id="1028"/>
    <w:bookmarkStart w:id="1033" w:name="chargeback-lifecycle"/>
    <w:p>
      <w:pPr>
        <w:pStyle w:val="Heading2"/>
      </w:pPr>
      <w:r>
        <w:t xml:space="preserve">4. Chargeback lifecycle</w:t>
      </w:r>
    </w:p>
    <w:bookmarkStart w:id="1029" w:name="X1d4ed2c46fc14faf23f829f171faead9e47cecd"/>
    <w:p>
      <w:pPr>
        <w:pStyle w:val="Heading3"/>
      </w:pPr>
      <w:r>
        <w:t xml:space="preserve">4.1 Chargeback cycle (dual-message, Visa/Mastercard)</w:t>
      </w:r>
    </w:p>
    <w:p>
      <w:pPr>
        <w:pStyle w:val="SourceCode"/>
      </w:pPr>
      <w:r>
        <w:rPr>
          <w:rStyle w:val="VerbatimChar"/>
        </w:rPr>
        <w:t xml:space="preserve">Cardholder disputes → Issuer opens a chargeback (reason code)</w:t>
      </w:r>
      <w:r>
        <w:br/>
      </w:r>
      <w:r>
        <w:rPr>
          <w:rStyle w:val="VerbatimChar"/>
        </w:rPr>
        <w:t xml:space="preserve">        ▼</w:t>
      </w:r>
      <w:r>
        <w:br/>
      </w:r>
      <w:r>
        <w:rPr>
          <w:rStyle w:val="VerbatimChar"/>
        </w:rPr>
        <w:t xml:space="preserve">Acquirer/Company notified → alerts merchant (webhook: dispute.opened) → collects evidence</w:t>
      </w:r>
      <w:r>
        <w:br/>
      </w:r>
      <w:r>
        <w:rPr>
          <w:rStyle w:val="VerbatimChar"/>
        </w:rPr>
        <w:t xml:space="preserve">        ▼</w:t>
      </w:r>
      <w:r>
        <w:br/>
      </w:r>
      <w:r>
        <w:rPr>
          <w:rStyle w:val="VerbatimChar"/>
        </w:rPr>
        <w:t xml:space="preserve">[optional] Representment (contest with evidence)  ──── or ──── Accept (accept liability)</w:t>
      </w:r>
      <w:r>
        <w:br/>
      </w:r>
      <w:r>
        <w:rPr>
          <w:rStyle w:val="VerbatimChar"/>
        </w:rPr>
        <w:t xml:space="preserve">        ▼</w:t>
      </w:r>
      <w:r>
        <w:br/>
      </w:r>
      <w:r>
        <w:rPr>
          <w:rStyle w:val="VerbatimChar"/>
        </w:rPr>
        <w:t xml:space="preserve">Issuer reviews → if not accepted → Pre-arbitration</w:t>
      </w:r>
      <w:r>
        <w:br/>
      </w:r>
      <w:r>
        <w:rPr>
          <w:rStyle w:val="VerbatimChar"/>
        </w:rPr>
        <w:t xml:space="preserve">        ▼</w:t>
      </w:r>
      <w:r>
        <w:br/>
      </w:r>
      <w:r>
        <w:rPr>
          <w:rStyle w:val="VerbatimChar"/>
        </w:rPr>
        <w:t xml:space="preserve">Arbitration (card scheme rules) → binding outcome + arbitration fees</w:t>
      </w:r>
    </w:p>
    <w:bookmarkEnd w:id="1029"/>
    <w:bookmarkStart w:id="1030" w:name="chargeback-timeframes"/>
    <w:p>
      <w:pPr>
        <w:pStyle w:val="Heading3"/>
      </w:pPr>
      <w:r>
        <w:t xml:space="preserve">4.2 Chargeback timeframes</w:t>
      </w:r>
    </w:p>
    <w:p>
      <w:pPr>
        <w:pStyle w:val="BlockText"/>
      </w:pPr>
      <w:r>
        <w:t xml:space="preserve">The values below are</w:t>
      </w:r>
      <w:r>
        <w:t xml:space="preserve"> </w:t>
      </w:r>
      <w:r>
        <w:rPr>
          <w:b/>
          <w:bCs/>
        </w:rPr>
        <w:t xml:space="preserve">indicative of general scheme practice</w:t>
      </w:r>
      <w:r>
        <w:t xml:space="preserve"> </w:t>
      </w:r>
      <w:r>
        <w:t xml:space="preserve">—</w:t>
      </w:r>
      <w:r>
        <w:t xml:space="preserve"> </w:t>
      </w:r>
      <w:r>
        <w:rPr>
          <w:b/>
          <w:bCs/>
        </w:rPr>
        <w:t xml:space="preserve">[TODO — confirm actual figures with the sponsor bank per the latest Visa Core Rules / Mastercard Chargeback Guide]</w:t>
      </w:r>
    </w:p>
    <w:tbl>
      <w:tblPr>
        <w:tblStyle w:val="Table"/>
        <w:tblW w:type="pct" w:w="5000"/>
        <w:tblLayout w:type="fixed"/>
        <w:tblLook w:firstRow="1" w:lastRow="0" w:firstColumn="0" w:lastColumn="0" w:noHBand="0" w:noVBand="0" w:val="0020"/>
      </w:tblPr>
      <w:tblGrid>
        <w:gridCol w:w="924"/>
        <w:gridCol w:w="924"/>
        <w:gridCol w:w="3168"/>
        <w:gridCol w:w="2904"/>
      </w:tblGrid>
      <w:tr>
        <w:trPr>
          <w:tblHeader w:val="on"/>
        </w:trPr>
        <w:tc>
          <w:tcPr/>
          <w:p>
            <w:pPr>
              <w:pStyle w:val="Compact"/>
            </w:pPr>
            <w:r>
              <w:t xml:space="preserve">Stage</w:t>
            </w:r>
          </w:p>
        </w:tc>
        <w:tc>
          <w:tcPr/>
          <w:p>
            <w:pPr>
              <w:pStyle w:val="Compact"/>
            </w:pPr>
            <w:r>
              <w:t xml:space="preserve">Actor</w:t>
            </w:r>
          </w:p>
        </w:tc>
        <w:tc>
          <w:tcPr/>
          <w:p>
            <w:pPr>
              <w:pStyle w:val="Compact"/>
            </w:pPr>
            <w:r>
              <w:t xml:space="preserve">Timeframe (indicative)</w:t>
            </w:r>
          </w:p>
        </w:tc>
        <w:tc>
          <w:tcPr/>
          <w:p>
            <w:pPr>
              <w:pStyle w:val="Compact"/>
            </w:pPr>
            <w:r>
              <w:t xml:space="preserve">Company internal SLA</w:t>
            </w:r>
          </w:p>
        </w:tc>
      </w:tr>
      <w:tr>
        <w:tc>
          <w:tcPr/>
          <w:p>
            <w:pPr>
              <w:pStyle w:val="Compact"/>
            </w:pPr>
            <w:r>
              <w:t xml:space="preserve">Issuer opens chargeback</w:t>
            </w:r>
          </w:p>
        </w:tc>
        <w:tc>
          <w:tcPr/>
          <w:p>
            <w:pPr>
              <w:pStyle w:val="Compact"/>
            </w:pPr>
            <w:r>
              <w:t xml:space="preserve">Issuer</w:t>
            </w:r>
          </w:p>
        </w:tc>
        <w:tc>
          <w:tcPr/>
          <w:p>
            <w:pPr>
              <w:pStyle w:val="Compact"/>
            </w:pPr>
            <w:r>
              <w:t xml:space="preserve">Generally within</w:t>
            </w:r>
            <w:r>
              <w:t xml:space="preserve"> </w:t>
            </w:r>
            <w:r>
              <w:rPr>
                <w:b/>
                <w:bCs/>
              </w:rPr>
              <w:t xml:space="preserve">120 days</w:t>
            </w:r>
            <w:r>
              <w:t xml:space="preserve"> </w:t>
            </w:r>
            <w:r>
              <w:t xml:space="preserve">of the transaction/expected delivery date (varies by reason code)</w:t>
            </w:r>
          </w:p>
        </w:tc>
        <w:tc>
          <w:tcPr/>
          <w:p>
            <w:pPr>
              <w:pStyle w:val="Compact"/>
            </w:pPr>
            <w:r>
              <w:t xml:space="preserve">Received via acquirer, recorded immediately</w:t>
            </w:r>
          </w:p>
        </w:tc>
      </w:tr>
      <w:tr>
        <w:tc>
          <w:tcPr/>
          <w:p>
            <w:pPr>
              <w:pStyle w:val="Compact"/>
            </w:pPr>
            <w:r>
              <w:t xml:space="preserve">Company notifies merchant + opens case</w:t>
            </w:r>
          </w:p>
        </w:tc>
        <w:tc>
          <w:tcPr/>
          <w:p>
            <w:pPr>
              <w:pStyle w:val="Compact"/>
            </w:pPr>
            <w:r>
              <w:t xml:space="preserve">Company</w:t>
            </w:r>
          </w:p>
        </w:tc>
        <w:tc>
          <w:tcPr/>
          <w:p>
            <w:pPr>
              <w:pStyle w:val="Compact"/>
            </w:pPr>
            <w:r>
              <w:t xml:space="preserve">—</w:t>
            </w:r>
          </w:p>
        </w:tc>
        <w:tc>
          <w:tcPr/>
          <w:p>
            <w:pPr>
              <w:pStyle w:val="Compact"/>
            </w:pPr>
            <w:r>
              <w:t xml:space="preserve">Within</w:t>
            </w:r>
            <w:r>
              <w:t xml:space="preserve"> </w:t>
            </w:r>
            <w:r>
              <w:rPr>
                <w:b/>
                <w:bCs/>
              </w:rPr>
              <w:t xml:space="preserve">1 business day</w:t>
            </w:r>
            <w:r>
              <w:t xml:space="preserve"> </w:t>
            </w:r>
            <w:r>
              <w:t xml:space="preserve">of receipt (webhook</w:t>
            </w:r>
            <w:r>
              <w:t xml:space="preserve"> </w:t>
            </w:r>
            <w:r>
              <w:rPr>
                <w:rStyle w:val="VerbatimChar"/>
              </w:rPr>
              <w:t xml:space="preserve">dispute.opened</w:t>
            </w:r>
            <w:r>
              <w:t xml:space="preserve">)</w:t>
            </w:r>
          </w:p>
        </w:tc>
      </w:tr>
      <w:tr>
        <w:tc>
          <w:tcPr/>
          <w:p>
            <w:pPr>
              <w:pStyle w:val="Compact"/>
            </w:pPr>
            <w:r>
              <w:t xml:space="preserve">Merchant submits evidence to the Company</w:t>
            </w:r>
          </w:p>
        </w:tc>
        <w:tc>
          <w:tcPr/>
          <w:p>
            <w:pPr>
              <w:pStyle w:val="Compact"/>
            </w:pPr>
            <w:r>
              <w:t xml:space="preserve">Merchant</w:t>
            </w:r>
          </w:p>
        </w:tc>
        <w:tc>
          <w:tcPr/>
          <w:p>
            <w:pPr>
              <w:pStyle w:val="Compact"/>
            </w:pPr>
            <w:r>
              <w:t xml:space="preserve">—</w:t>
            </w:r>
          </w:p>
        </w:tc>
        <w:tc>
          <w:tcPr/>
          <w:p>
            <w:pPr>
              <w:pStyle w:val="Compact"/>
            </w:pPr>
            <w:r>
              <w:t xml:space="preserve">Within</w:t>
            </w:r>
            <w:r>
              <w:t xml:space="preserve"> </w:t>
            </w:r>
            <w:r>
              <w:rPr>
                <w:b/>
                <w:bCs/>
              </w:rPr>
              <w:t xml:space="preserve">7 calendar days</w:t>
            </w:r>
            <w:r>
              <w:t xml:space="preserve"> </w:t>
            </w:r>
            <w:r>
              <w:t xml:space="preserve">(buffer before scheme deadline)</w:t>
            </w:r>
          </w:p>
        </w:tc>
      </w:tr>
      <w:tr>
        <w:tc>
          <w:tcPr/>
          <w:p>
            <w:pPr>
              <w:pStyle w:val="Compact"/>
            </w:pPr>
            <w:r>
              <w:t xml:space="preserve">Company files representment</w:t>
            </w:r>
          </w:p>
        </w:tc>
        <w:tc>
          <w:tcPr/>
          <w:p>
            <w:pPr>
              <w:pStyle w:val="Compact"/>
            </w:pPr>
            <w:r>
              <w:t xml:space="preserve">Company → acquirer</w:t>
            </w:r>
          </w:p>
        </w:tc>
        <w:tc>
          <w:tcPr/>
          <w:p>
            <w:pPr>
              <w:pStyle w:val="Compact"/>
            </w:pPr>
            <w:r>
              <w:t xml:space="preserve">Generally within</w:t>
            </w:r>
            <w:r>
              <w:t xml:space="preserve"> </w:t>
            </w:r>
            <w:r>
              <w:rPr>
                <w:b/>
                <w:bCs/>
              </w:rPr>
              <w:t xml:space="preserve">30 days</w:t>
            </w:r>
            <w:r>
              <w:t xml:space="preserve"> </w:t>
            </w:r>
            <w:r>
              <w:t xml:space="preserve">of the chargeback</w:t>
            </w:r>
          </w:p>
        </w:tc>
        <w:tc>
          <w:tcPr/>
          <w:p>
            <w:pPr>
              <w:pStyle w:val="Compact"/>
            </w:pPr>
            <w:r>
              <w:t xml:space="preserve">Must file at least</w:t>
            </w:r>
            <w:r>
              <w:t xml:space="preserve"> </w:t>
            </w:r>
            <w:r>
              <w:rPr>
                <w:b/>
                <w:bCs/>
              </w:rPr>
              <w:t xml:space="preserve">3 business days</w:t>
            </w:r>
            <w:r>
              <w:t xml:space="preserve"> </w:t>
            </w:r>
            <w:r>
              <w:t xml:space="preserve">before the scheme deadline</w:t>
            </w:r>
          </w:p>
        </w:tc>
      </w:tr>
      <w:tr>
        <w:tc>
          <w:tcPr/>
          <w:p>
            <w:pPr>
              <w:pStyle w:val="Compact"/>
            </w:pPr>
            <w:r>
              <w:t xml:space="preserve">Pre-arbitration</w:t>
            </w:r>
          </w:p>
        </w:tc>
        <w:tc>
          <w:tcPr/>
          <w:p>
            <w:pPr>
              <w:pStyle w:val="Compact"/>
            </w:pPr>
            <w:r>
              <w:t xml:space="preserve">Issuer/Acquirer</w:t>
            </w:r>
          </w:p>
        </w:tc>
        <w:tc>
          <w:tcPr/>
          <w:p>
            <w:pPr>
              <w:pStyle w:val="Compact"/>
            </w:pPr>
            <w:r>
              <w:t xml:space="preserve">Generally within</w:t>
            </w:r>
            <w:r>
              <w:t xml:space="preserve"> </w:t>
            </w:r>
            <w:r>
              <w:rPr>
                <w:b/>
                <w:bCs/>
              </w:rPr>
              <w:t xml:space="preserve">30 days</w:t>
            </w:r>
          </w:p>
        </w:tc>
        <w:tc>
          <w:tcPr/>
          <w:p>
            <w:pPr>
              <w:pStyle w:val="Compact"/>
            </w:pPr>
            <w:r>
              <w:t xml:space="preserve">Dispute Ops decides escalate/accept</w:t>
            </w:r>
          </w:p>
        </w:tc>
      </w:tr>
      <w:tr>
        <w:tc>
          <w:tcPr/>
          <w:p>
            <w:pPr>
              <w:pStyle w:val="Compact"/>
            </w:pPr>
            <w:r>
              <w:t xml:space="preserve">Arbitration (scheme ruling)</w:t>
            </w:r>
          </w:p>
        </w:tc>
        <w:tc>
          <w:tcPr/>
          <w:p>
            <w:pPr>
              <w:pStyle w:val="Compact"/>
            </w:pPr>
            <w:r>
              <w:t xml:space="preserve">Card scheme</w:t>
            </w:r>
          </w:p>
        </w:tc>
        <w:tc>
          <w:tcPr/>
          <w:p>
            <w:pPr>
              <w:pStyle w:val="Compact"/>
            </w:pPr>
            <w:r>
              <w:t xml:space="preserve">Per scheme rules</w:t>
            </w:r>
          </w:p>
        </w:tc>
        <w:tc>
          <w:tcPr/>
          <w:p>
            <w:pPr>
              <w:pStyle w:val="Compact"/>
            </w:pPr>
            <w:r>
              <w:t xml:space="preserve">Requires economic rationale (value &gt; arbitration fee)</w:t>
            </w:r>
          </w:p>
        </w:tc>
      </w:tr>
    </w:tbl>
    <w:p>
      <w:pPr>
        <w:pStyle w:val="BlockText"/>
      </w:pPr>
      <w:r>
        <w:rPr>
          <w:b/>
          <w:bCs/>
        </w:rPr>
        <w:t xml:space="preserve">Deadline principle:</w:t>
      </w:r>
      <w:r>
        <w:t xml:space="preserve"> </w:t>
      </w:r>
      <w:r>
        <w:t xml:space="preserve">the Company always sets an</w:t>
      </w:r>
      <w:r>
        <w:t xml:space="preserve"> </w:t>
      </w:r>
      <w:r>
        <w:rPr>
          <w:b/>
          <w:bCs/>
        </w:rPr>
        <w:t xml:space="preserve">internal deadline earlier than the scheme deadline</w:t>
      </w:r>
      <w:r>
        <w:t xml:space="preserve"> </w:t>
      </w:r>
      <w:r>
        <w:t xml:space="preserve">(buffer ≥ 3 business days) to reduce the risk of losing on late filing. The system sets automated reminders at T-7, T-3, and T-1 days.</w:t>
      </w:r>
    </w:p>
    <w:bookmarkEnd w:id="1030"/>
    <w:bookmarkStart w:id="1031" w:name="reason-code-categories-examples"/>
    <w:p>
      <w:pPr>
        <w:pStyle w:val="Heading3"/>
      </w:pPr>
      <w:r>
        <w:t xml:space="preserve">4.3 Reason-code categories (examples)</w:t>
      </w:r>
    </w:p>
    <w:tbl>
      <w:tblPr>
        <w:tblStyle w:val="Table"/>
        <w:tblW w:type="pct" w:w="5000"/>
        <w:tblLayout w:type="fixed"/>
        <w:tblLook w:firstRow="1" w:lastRow="0" w:firstColumn="0" w:lastColumn="0" w:noHBand="0" w:noVBand="0" w:val="0020"/>
      </w:tblPr>
      <w:tblGrid>
        <w:gridCol w:w="1100"/>
        <w:gridCol w:w="3190"/>
        <w:gridCol w:w="770"/>
        <w:gridCol w:w="2860"/>
      </w:tblGrid>
      <w:tr>
        <w:trPr>
          <w:tblHeader w:val="on"/>
        </w:trPr>
        <w:tc>
          <w:tcPr/>
          <w:p>
            <w:pPr>
              <w:pStyle w:val="Compact"/>
            </w:pPr>
            <w:r>
              <w:t xml:space="preserve">Category</w:t>
            </w:r>
          </w:p>
        </w:tc>
        <w:tc>
          <w:tcPr/>
          <w:p>
            <w:pPr>
              <w:pStyle w:val="Compact"/>
            </w:pPr>
            <w:r>
              <w:t xml:space="preserve">Example (Visa / Mastercard)</w:t>
            </w:r>
          </w:p>
        </w:tc>
        <w:tc>
          <w:tcPr/>
          <w:p>
            <w:pPr>
              <w:pStyle w:val="Compact"/>
            </w:pPr>
            <w:r>
              <w:t xml:space="preserve">Cause</w:t>
            </w:r>
          </w:p>
        </w:tc>
        <w:tc>
          <w:tcPr/>
          <w:p>
            <w:pPr>
              <w:pStyle w:val="Compact"/>
            </w:pPr>
            <w:r>
              <w:t xml:space="preserve">Rebuttal evidence needed</w:t>
            </w:r>
          </w:p>
        </w:tc>
      </w:tr>
      <w:tr>
        <w:tc>
          <w:tcPr/>
          <w:p>
            <w:pPr>
              <w:pStyle w:val="Compact"/>
            </w:pPr>
            <w:r>
              <w:rPr>
                <w:b/>
                <w:bCs/>
              </w:rPr>
              <w:t xml:space="preserve">Fraud</w:t>
            </w:r>
          </w:p>
        </w:tc>
        <w:tc>
          <w:tcPr/>
          <w:p>
            <w:pPr>
              <w:pStyle w:val="Compact"/>
            </w:pPr>
            <w:r>
              <w:t xml:space="preserve">Visa 10.4 / MC 4837</w:t>
            </w:r>
          </w:p>
        </w:tc>
        <w:tc>
          <w:tcPr/>
          <w:p>
            <w:pPr>
              <w:pStyle w:val="Compact"/>
            </w:pPr>
            <w:r>
              <w:t xml:space="preserve">Unauthorized transaction (CNP fraud)</w:t>
            </w:r>
          </w:p>
        </w:tc>
        <w:tc>
          <w:tcPr/>
          <w:p>
            <w:pPr>
              <w:pStyle w:val="Compact"/>
            </w:pPr>
            <w:r>
              <w:t xml:space="preserve">3DS/AVS/CVV results, IP/device, customer history</w:t>
            </w:r>
          </w:p>
        </w:tc>
      </w:tr>
      <w:tr>
        <w:tc>
          <w:tcPr/>
          <w:p>
            <w:pPr>
              <w:pStyle w:val="Compact"/>
            </w:pPr>
            <w:r>
              <w:rPr>
                <w:b/>
                <w:bCs/>
              </w:rPr>
              <w:t xml:space="preserve">Authorization</w:t>
            </w:r>
          </w:p>
        </w:tc>
        <w:tc>
          <w:tcPr/>
          <w:p>
            <w:pPr>
              <w:pStyle w:val="Compact"/>
            </w:pPr>
            <w:r>
              <w:t xml:space="preserve">Visa 11.x / MC 4808</w:t>
            </w:r>
          </w:p>
        </w:tc>
        <w:tc>
          <w:tcPr/>
          <w:p>
            <w:pPr>
              <w:pStyle w:val="Compact"/>
            </w:pPr>
            <w:r>
              <w:t xml:space="preserve">Missing/invalid authorization</w:t>
            </w:r>
          </w:p>
        </w:tc>
        <w:tc>
          <w:tcPr/>
          <w:p>
            <w:pPr>
              <w:pStyle w:val="Compact"/>
            </w:pPr>
            <w:r>
              <w:t xml:space="preserve">auth_code, authorization request logs</w:t>
            </w:r>
          </w:p>
        </w:tc>
      </w:tr>
      <w:tr>
        <w:tc>
          <w:tcPr/>
          <w:p>
            <w:pPr>
              <w:pStyle w:val="Compact"/>
            </w:pPr>
            <w:r>
              <w:rPr>
                <w:b/>
                <w:bCs/>
              </w:rPr>
              <w:t xml:space="preserve">Processing error</w:t>
            </w:r>
          </w:p>
        </w:tc>
        <w:tc>
          <w:tcPr/>
          <w:p>
            <w:pPr>
              <w:pStyle w:val="Compact"/>
            </w:pPr>
            <w:r>
              <w:t xml:space="preserve">Visa 12.x / MC 4834</w:t>
            </w:r>
          </w:p>
        </w:tc>
        <w:tc>
          <w:tcPr/>
          <w:p>
            <w:pPr>
              <w:pStyle w:val="Compact"/>
            </w:pPr>
            <w:r>
              <w:t xml:space="preserve">Duplicate/wrong amount/wrong currency</w:t>
            </w:r>
          </w:p>
        </w:tc>
        <w:tc>
          <w:tcPr/>
          <w:p>
            <w:pPr>
              <w:pStyle w:val="Compact"/>
            </w:pPr>
            <w:r>
              <w:t xml:space="preserve">ledger_entries, receipt, any refund already issued</w:t>
            </w:r>
          </w:p>
        </w:tc>
      </w:tr>
      <w:tr>
        <w:tc>
          <w:tcPr/>
          <w:p>
            <w:pPr>
              <w:pStyle w:val="Compact"/>
            </w:pPr>
            <w:r>
              <w:rPr>
                <w:b/>
                <w:bCs/>
              </w:rPr>
              <w:t xml:space="preserve">Consumer dispute</w:t>
            </w:r>
          </w:p>
        </w:tc>
        <w:tc>
          <w:tcPr/>
          <w:p>
            <w:pPr>
              <w:pStyle w:val="Compact"/>
            </w:pPr>
            <w:r>
              <w:t xml:space="preserve">Visa 13.x / MC 4853</w:t>
            </w:r>
          </w:p>
        </w:tc>
        <w:tc>
          <w:tcPr/>
          <w:p>
            <w:pPr>
              <w:pStyle w:val="Compact"/>
            </w:pPr>
            <w:r>
              <w:t xml:space="preserve">Goods not received/not as described/cancelled</w:t>
            </w:r>
          </w:p>
        </w:tc>
        <w:tc>
          <w:tcPr/>
          <w:p>
            <w:pPr>
              <w:pStyle w:val="Compact"/>
            </w:pPr>
            <w:r>
              <w:t xml:space="preserve">proof of delivery, T&amp;Cs, refund policy, customer contact</w:t>
            </w:r>
          </w:p>
        </w:tc>
      </w:tr>
    </w:tbl>
    <w:bookmarkEnd w:id="1031"/>
    <w:bookmarkStart w:id="1032" w:name="X8d4a936e4d598b36e0abcb162537107ee778ba5"/>
    <w:p>
      <w:pPr>
        <w:pStyle w:val="Heading3"/>
      </w:pPr>
      <w:r>
        <w:t xml:space="preserve">4.4 Evidence collection and filing (compelling evidence)</w:t>
      </w:r>
    </w:p>
    <w:p>
      <w:pPr>
        <w:pStyle w:val="Compact"/>
        <w:numPr>
          <w:ilvl w:val="0"/>
          <w:numId w:val="1379"/>
        </w:numPr>
      </w:pPr>
      <w:r>
        <w:t xml:space="preserve">The system creates a dispute case linked to</w:t>
      </w:r>
      <w:r>
        <w:t xml:space="preserve"> </w:t>
      </w:r>
      <w:r>
        <w:rPr>
          <w:rStyle w:val="VerbatimChar"/>
        </w:rPr>
        <w:t xml:space="preserve">payment_id</w:t>
      </w:r>
      <w:r>
        <w:t xml:space="preserve"> </w:t>
      </w:r>
      <w:r>
        <w:t xml:space="preserve">and auto-pulls evidence from ledger/audit_log/3DS results.</w:t>
      </w:r>
    </w:p>
    <w:p>
      <w:pPr>
        <w:pStyle w:val="Compact"/>
        <w:numPr>
          <w:ilvl w:val="0"/>
          <w:numId w:val="1379"/>
        </w:numPr>
      </w:pPr>
      <w:r>
        <w:t xml:space="preserve">The merchant uploads additional evidence via the merchant portal (invoice, proof of delivery, customer communications).</w:t>
      </w:r>
    </w:p>
    <w:p>
      <w:pPr>
        <w:pStyle w:val="Compact"/>
        <w:numPr>
          <w:ilvl w:val="0"/>
          <w:numId w:val="1379"/>
        </w:numPr>
      </w:pPr>
      <w:r>
        <w:t xml:space="preserve">Dispute Ops assembles a representment package → files via the acquirer.</w:t>
      </w:r>
    </w:p>
    <w:p>
      <w:pPr>
        <w:pStyle w:val="Compact"/>
        <w:numPr>
          <w:ilvl w:val="0"/>
          <w:numId w:val="1379"/>
        </w:numPr>
      </w:pPr>
      <w:r>
        <w:rPr>
          <w:b/>
          <w:bCs/>
        </w:rPr>
        <w:t xml:space="preserve">PDPA:</w:t>
      </w:r>
      <w:r>
        <w:t xml:space="preserve"> </w:t>
      </w:r>
      <w:r>
        <w:t xml:space="preserve">evidence may contain personal data — restrict access on least privilege and retain per</w:t>
      </w:r>
      <w:r>
        <w:t xml:space="preserve"> </w:t>
      </w:r>
      <w:r>
        <w:rPr>
          <w:rStyle w:val="VerbatimChar"/>
        </w:rPr>
        <w:t xml:space="preserve">09-pdpa-privacy-policy.md</w:t>
      </w:r>
      <w:r>
        <w:t xml:space="preserve"> </w:t>
      </w:r>
      <w:r>
        <w:t xml:space="preserve">and</w:t>
      </w:r>
      <w:r>
        <w:t xml:space="preserve"> </w:t>
      </w:r>
      <w:r>
        <w:rPr>
          <w:rStyle w:val="VerbatimChar"/>
        </w:rPr>
        <w:t xml:space="preserve">11-data-retention-deletion.md</w:t>
      </w:r>
      <w:r>
        <w:t xml:space="preserve">.</w:t>
      </w:r>
    </w:p>
    <w:p>
      <w:pPr>
        <w:pStyle w:val="Compact"/>
        <w:numPr>
          <w:ilvl w:val="0"/>
          <w:numId w:val="1379"/>
        </w:numPr>
      </w:pPr>
      <w:r>
        <w:rPr>
          <w:b/>
          <w:bCs/>
        </w:rPr>
        <w:t xml:space="preserve">PCI-DSS:</w:t>
      </w:r>
      <w:r>
        <w:t xml:space="preserve"> </w:t>
      </w:r>
      <w:r>
        <w:t xml:space="preserve">evidence must never contain full PAN/SAD — use</w:t>
      </w:r>
      <w:r>
        <w:t xml:space="preserve"> </w:t>
      </w:r>
      <w:r>
        <w:rPr>
          <w:rStyle w:val="VerbatimChar"/>
        </w:rPr>
        <w:t xml:space="preserve">card_last4</w:t>
      </w:r>
      <w:r>
        <w:t xml:space="preserve"> </w:t>
      </w:r>
      <w:r>
        <w:t xml:space="preserve">only (ARCHITECTURE §6,</w:t>
      </w:r>
      <w:r>
        <w:t xml:space="preserve"> </w:t>
      </w:r>
      <w:r>
        <w:rPr>
          <w:rStyle w:val="VerbatimChar"/>
        </w:rPr>
        <w:t xml:space="preserve">19-pci-dss-roadmap.md</w:t>
      </w:r>
      <w:r>
        <w:t xml:space="preserve">).</w:t>
      </w:r>
    </w:p>
    <w:p>
      <w:r>
        <w:pict>
          <v:rect style="width:0;height:1.5pt" o:hralign="center" o:hrstd="t" o:hr="t"/>
        </w:pict>
      </w:r>
    </w:p>
    <w:bookmarkEnd w:id="1032"/>
    <w:bookmarkEnd w:id="1033"/>
    <w:bookmarkStart w:id="1037" w:name="liability-allocation"/>
    <w:p>
      <w:pPr>
        <w:pStyle w:val="Heading2"/>
      </w:pPr>
      <w:r>
        <w:t xml:space="preserve">5. Liability allocation</w:t>
      </w:r>
    </w:p>
    <w:bookmarkStart w:id="1034" w:name="liability-shift-with-emv-3-d-secure"/>
    <w:p>
      <w:pPr>
        <w:pStyle w:val="Heading3"/>
      </w:pPr>
      <w:r>
        <w:t xml:space="preserve">5.1 Liability shift with EMV 3-D Secure</w:t>
      </w:r>
    </w:p>
    <w:p>
      <w:pPr>
        <w:pStyle w:val="FirstParagraph"/>
      </w:pPr>
      <w:r>
        <w:t xml:space="preserve">A CNP transaction that passes</w:t>
      </w:r>
      <w:r>
        <w:t xml:space="preserve"> </w:t>
      </w:r>
      <w:r>
        <w:rPr>
          <w:b/>
          <w:bCs/>
        </w:rPr>
        <w:t xml:space="preserve">EMV 3DS 2.x authentication successfully</w:t>
      </w:r>
      <w:r>
        <w:t xml:space="preserve"> </w:t>
      </w:r>
      <w:r>
        <w:t xml:space="preserve">generally</w:t>
      </w:r>
      <w:r>
        <w:t xml:space="preserve"> </w:t>
      </w:r>
      <w:r>
        <w:rPr>
          <w:b/>
          <w:bCs/>
        </w:rPr>
        <w:t xml:space="preserve">shifts fraud-chargeback liability to the issuer</w:t>
      </w:r>
      <w:r>
        <w:t xml:space="preserve"> </w:t>
      </w:r>
      <w:r>
        <w:t xml:space="preserve">(the</w:t>
      </w:r>
      <w:r>
        <w:t xml:space="preserve"> </w:t>
      </w:r>
      <w:r>
        <w:t xml:space="preserve">“liability shift”</w:t>
      </w:r>
      <w:r>
        <w:t xml:space="preserve">), so the Company/merchant does not bear fraud cases (reason-code category 10.x).</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Situation</w:t>
            </w:r>
          </w:p>
        </w:tc>
        <w:tc>
          <w:tcPr/>
          <w:p>
            <w:pPr>
              <w:pStyle w:val="Compact"/>
            </w:pPr>
            <w:r>
              <w:t xml:space="preserve">Liable party (fraud chargeback)</w:t>
            </w:r>
          </w:p>
        </w:tc>
      </w:tr>
      <w:tr>
        <w:tc>
          <w:tcPr/>
          <w:p>
            <w:pPr>
              <w:pStyle w:val="Compact"/>
            </w:pPr>
            <w:r>
              <w:t xml:space="preserve">3DS passed (fully authenticated)</w:t>
            </w:r>
          </w:p>
        </w:tc>
        <w:tc>
          <w:tcPr/>
          <w:p>
            <w:pPr>
              <w:pStyle w:val="Compact"/>
            </w:pPr>
            <w:r>
              <w:rPr>
                <w:b/>
                <w:bCs/>
              </w:rPr>
              <w:t xml:space="preserve">Issuer</w:t>
            </w:r>
            <w:r>
              <w:t xml:space="preserve"> </w:t>
            </w:r>
            <w:r>
              <w:t xml:space="preserve">(liability shift)</w:t>
            </w:r>
          </w:p>
        </w:tc>
      </w:tr>
      <w:tr>
        <w:tc>
          <w:tcPr/>
          <w:p>
            <w:pPr>
              <w:pStyle w:val="Compact"/>
            </w:pPr>
            <w:r>
              <w:t xml:space="preserve">Issuer does not support 3DS / attempted</w:t>
            </w:r>
          </w:p>
        </w:tc>
        <w:tc>
          <w:tcPr/>
          <w:p>
            <w:pPr>
              <w:pStyle w:val="Compact"/>
            </w:pPr>
            <w:r>
              <w:t xml:space="preserve">Generally</w:t>
            </w:r>
            <w:r>
              <w:t xml:space="preserve"> </w:t>
            </w:r>
            <w:r>
              <w:rPr>
                <w:b/>
                <w:bCs/>
              </w:rPr>
              <w:t xml:space="preserve">Issuer</w:t>
            </w:r>
            <w:r>
              <w:t xml:space="preserve"> </w:t>
            </w:r>
            <w:r>
              <w:t xml:space="preserve">(attempted liability shift) — confirm per scheme</w:t>
            </w:r>
          </w:p>
        </w:tc>
      </w:tr>
      <w:tr>
        <w:tc>
          <w:tcPr/>
          <w:p>
            <w:pPr>
              <w:pStyle w:val="Compact"/>
            </w:pPr>
            <w:r>
              <w:t xml:space="preserve">Merchant did not submit to 3DS (CNP)</w:t>
            </w:r>
          </w:p>
        </w:tc>
        <w:tc>
          <w:tcPr/>
          <w:p>
            <w:pPr>
              <w:pStyle w:val="Compact"/>
            </w:pPr>
            <w:r>
              <w:rPr>
                <w:b/>
                <w:bCs/>
              </w:rPr>
              <w:t xml:space="preserve">Company/merchant</w:t>
            </w:r>
          </w:p>
        </w:tc>
      </w:tr>
      <w:tr>
        <w:tc>
          <w:tcPr/>
          <w:p>
            <w:pPr>
              <w:pStyle w:val="Compact"/>
            </w:pPr>
            <w:r>
              <w:t xml:space="preserve">Non-fraud chargeback (not as described/not received)</w:t>
            </w:r>
          </w:p>
        </w:tc>
        <w:tc>
          <w:tcPr/>
          <w:p>
            <w:pPr>
              <w:pStyle w:val="Compact"/>
            </w:pPr>
            <w:r>
              <w:rPr>
                <w:b/>
                <w:bCs/>
              </w:rPr>
              <w:t xml:space="preserve">Merchant</w:t>
            </w:r>
            <w:r>
              <w:t xml:space="preserve"> </w:t>
            </w:r>
            <w:r>
              <w:t xml:space="preserve">(not covered by the liability shift)</w:t>
            </w:r>
          </w:p>
        </w:tc>
      </w:tr>
    </w:tbl>
    <w:p>
      <w:pPr>
        <w:pStyle w:val="BlockText"/>
      </w:pPr>
      <w:r>
        <w:rPr>
          <w:b/>
          <w:bCs/>
        </w:rPr>
        <w:t xml:space="preserve">[TODO]</w:t>
      </w:r>
      <w:r>
        <w:t xml:space="preserve"> </w:t>
      </w:r>
      <w:r>
        <w:t xml:space="preserve">The liability shift actually achieved depends on the 3DS provider and the latest scheme rules — must be confirmed.</w:t>
      </w:r>
    </w:p>
    <w:bookmarkEnd w:id="1034"/>
    <w:bookmarkStart w:id="1035" w:name="liability-matrix"/>
    <w:p>
      <w:pPr>
        <w:pStyle w:val="Heading3"/>
      </w:pPr>
      <w:r>
        <w:t xml:space="preserve">5.2 Liability matrix</w:t>
      </w:r>
    </w:p>
    <w:tbl>
      <w:tblPr>
        <w:tblStyle w:val="Table"/>
        <w:tblW w:type="pct" w:w="5000"/>
        <w:tblLayout w:type="fixed"/>
        <w:tblLook w:firstRow="1" w:lastRow="0" w:firstColumn="0" w:lastColumn="0" w:noHBand="0" w:noVBand="0" w:val="0020"/>
      </w:tblPr>
      <w:tblGrid>
        <w:gridCol w:w="1403"/>
        <w:gridCol w:w="1904"/>
        <w:gridCol w:w="4611"/>
      </w:tblGrid>
      <w:tr>
        <w:trPr>
          <w:tblHeader w:val="on"/>
        </w:trPr>
        <w:tc>
          <w:tcPr/>
          <w:p>
            <w:pPr>
              <w:pStyle w:val="Compact"/>
            </w:pPr>
            <w:r>
              <w:t xml:space="preserve">Dispute type</w:t>
            </w:r>
          </w:p>
        </w:tc>
        <w:tc>
          <w:tcPr/>
          <w:p>
            <w:pPr>
              <w:pStyle w:val="Compact"/>
            </w:pPr>
            <w:r>
              <w:t xml:space="preserve">Initial liability</w:t>
            </w:r>
          </w:p>
        </w:tc>
        <w:tc>
          <w:tcPr/>
          <w:p>
            <w:pPr>
              <w:pStyle w:val="Compact"/>
            </w:pPr>
            <w:r>
              <w:t xml:space="preserve">Final financial bearer (if the case is lost)</w:t>
            </w:r>
          </w:p>
        </w:tc>
      </w:tr>
      <w:tr>
        <w:tc>
          <w:tcPr/>
          <w:p>
            <w:pPr>
              <w:pStyle w:val="Compact"/>
            </w:pPr>
            <w:r>
              <w:t xml:space="preserve">Fraud + 3DS passed</w:t>
            </w:r>
          </w:p>
        </w:tc>
        <w:tc>
          <w:tcPr/>
          <w:p>
            <w:pPr>
              <w:pStyle w:val="Compact"/>
            </w:pPr>
            <w:r>
              <w:t xml:space="preserve">Issuer</w:t>
            </w:r>
          </w:p>
        </w:tc>
        <w:tc>
          <w:tcPr/>
          <w:p>
            <w:pPr>
              <w:pStyle w:val="Compact"/>
            </w:pPr>
            <w:r>
              <w:t xml:space="preserve">Issuer</w:t>
            </w:r>
          </w:p>
        </w:tc>
      </w:tr>
      <w:tr>
        <w:tc>
          <w:tcPr/>
          <w:p>
            <w:pPr>
              <w:pStyle w:val="Compact"/>
            </w:pPr>
            <w:r>
              <w:t xml:space="preserve">Fraud + no 3DS</w:t>
            </w:r>
          </w:p>
        </w:tc>
        <w:tc>
          <w:tcPr/>
          <w:p>
            <w:pPr>
              <w:pStyle w:val="Compact"/>
            </w:pPr>
            <w:r>
              <w:t xml:space="preserve">Acquirer → merchant</w:t>
            </w:r>
          </w:p>
        </w:tc>
        <w:tc>
          <w:tcPr/>
          <w:p>
            <w:pPr>
              <w:pStyle w:val="Compact"/>
            </w:pPr>
            <w:r>
              <w:t xml:space="preserve">Merchant (Company deducts from settlement/reserve)</w:t>
            </w:r>
          </w:p>
        </w:tc>
      </w:tr>
      <w:tr>
        <w:tc>
          <w:tcPr/>
          <w:p>
            <w:pPr>
              <w:pStyle w:val="Compact"/>
            </w:pPr>
            <w:r>
              <w:t xml:space="preserve">Goods not received/not as described</w:t>
            </w:r>
          </w:p>
        </w:tc>
        <w:tc>
          <w:tcPr/>
          <w:p>
            <w:pPr>
              <w:pStyle w:val="Compact"/>
            </w:pPr>
            <w:r>
              <w:t xml:space="preserve">Merchant</w:t>
            </w:r>
          </w:p>
        </w:tc>
        <w:tc>
          <w:tcPr/>
          <w:p>
            <w:pPr>
              <w:pStyle w:val="Compact"/>
            </w:pPr>
            <w:r>
              <w:t xml:space="preserve">Merchant</w:t>
            </w:r>
          </w:p>
        </w:tc>
      </w:tr>
      <w:tr>
        <w:tc>
          <w:tcPr/>
          <w:p>
            <w:pPr>
              <w:pStyle w:val="Compact"/>
            </w:pPr>
            <w:r>
              <w:t xml:space="preserve">Company processing error</w:t>
            </w:r>
          </w:p>
        </w:tc>
        <w:tc>
          <w:tcPr/>
          <w:p>
            <w:pPr>
              <w:pStyle w:val="Compact"/>
            </w:pPr>
            <w:r>
              <w:t xml:space="preserve">Company</w:t>
            </w:r>
          </w:p>
        </w:tc>
        <w:tc>
          <w:tcPr/>
          <w:p>
            <w:pPr>
              <w:pStyle w:val="Compact"/>
            </w:pPr>
            <w:r>
              <w:t xml:space="preserve">Company</w:t>
            </w:r>
          </w:p>
        </w:tc>
      </w:tr>
      <w:tr>
        <w:tc>
          <w:tcPr/>
          <w:p>
            <w:pPr>
              <w:pStyle w:val="Compact"/>
            </w:pPr>
            <w:r>
              <w:t xml:space="preserve">Merchant insolvency/closure + open chargebacks</w:t>
            </w:r>
          </w:p>
        </w:tc>
        <w:tc>
          <w:tcPr/>
          <w:p>
            <w:pPr>
              <w:pStyle w:val="Compact"/>
            </w:pPr>
            <w:r>
              <w:t xml:space="preserve">Company (to scheme/acquirer)</w:t>
            </w:r>
          </w:p>
        </w:tc>
        <w:tc>
          <w:tcPr/>
          <w:p>
            <w:pPr>
              <w:pStyle w:val="Compact"/>
            </w:pPr>
            <w:r>
              <w:rPr>
                <w:b/>
                <w:bCs/>
              </w:rPr>
              <w:t xml:space="preserve">Company</w:t>
            </w:r>
            <w:r>
              <w:t xml:space="preserve"> </w:t>
            </w:r>
            <w:r>
              <w:t xml:space="preserve">(offset from reserve; the shortfall is the Company’s risk)</w:t>
            </w:r>
          </w:p>
        </w:tc>
      </w:tr>
    </w:tbl>
    <w:p>
      <w:pPr>
        <w:pStyle w:val="BlockText"/>
      </w:pPr>
      <w:r>
        <w:rPr>
          <w:b/>
          <w:bCs/>
        </w:rPr>
        <w:t xml:space="preserve">Key principle:</w:t>
      </w:r>
      <w:r>
        <w:t xml:space="preserve"> </w:t>
      </w:r>
      <w:r>
        <w:t xml:space="preserve">to the card scheme and the sponsor bank, the</w:t>
      </w:r>
      <w:r>
        <w:t xml:space="preserve"> </w:t>
      </w:r>
      <w:r>
        <w:rPr>
          <w:b/>
          <w:bCs/>
        </w:rPr>
        <w:t xml:space="preserve">Company is the party of last resort (acquirer-of-record risk)</w:t>
      </w:r>
      <w:r>
        <w:t xml:space="preserve"> </w:t>
      </w:r>
      <w:r>
        <w:t xml:space="preserve">for the chargebacks of merchants in its network. If a merchant cannot make good, the Company bears the loss — this is the primary rationale for</w:t>
      </w:r>
      <w:r>
        <w:t xml:space="preserve"> </w:t>
      </w:r>
      <w:r>
        <w:rPr>
          <w:b/>
          <w:bCs/>
        </w:rPr>
        <w:t xml:space="preserve">reserves</w:t>
      </w:r>
      <w:r>
        <w:t xml:space="preserve"> </w:t>
      </w:r>
      <w:r>
        <w:t xml:space="preserve">and merchant underwriting.</w:t>
      </w:r>
    </w:p>
    <w:bookmarkEnd w:id="1035"/>
    <w:bookmarkStart w:id="1036" w:name="linkage-to-the-merchant-agreement"/>
    <w:p>
      <w:pPr>
        <w:pStyle w:val="Heading3"/>
      </w:pPr>
      <w:r>
        <w:t xml:space="preserve">5.3 Linkage to the merchant agreement</w:t>
      </w:r>
    </w:p>
    <w:p>
      <w:pPr>
        <w:pStyle w:val="Compact"/>
        <w:numPr>
          <w:ilvl w:val="0"/>
          <w:numId w:val="1380"/>
        </w:numPr>
      </w:pPr>
      <w:r>
        <w:t xml:space="preserve">The merchant agreement must contain a</w:t>
      </w:r>
      <w:r>
        <w:t xml:space="preserve"> </w:t>
      </w:r>
      <w:r>
        <w:rPr>
          <w:b/>
          <w:bCs/>
        </w:rPr>
        <w:t xml:space="preserve">chargeback-liability &amp; indemnification</w:t>
      </w:r>
      <w:r>
        <w:t xml:space="preserve"> </w:t>
      </w:r>
      <w:r>
        <w:t xml:space="preserve">clause granting the Company the right to</w:t>
      </w:r>
      <w:r>
        <w:t xml:space="preserve"> </w:t>
      </w:r>
      <w:r>
        <w:rPr>
          <w:b/>
          <w:bCs/>
        </w:rPr>
        <w:t xml:space="preserve">offset</w:t>
      </w:r>
      <w:r>
        <w:t xml:space="preserve"> </w:t>
      </w:r>
      <w:r>
        <w:t xml:space="preserve">chargebacks/refunds/fees against the merchant’s settlement and reserve.</w:t>
      </w:r>
    </w:p>
    <w:p>
      <w:pPr>
        <w:pStyle w:val="Compact"/>
        <w:numPr>
          <w:ilvl w:val="0"/>
          <w:numId w:val="1380"/>
        </w:numPr>
      </w:pPr>
      <w:r>
        <w:t xml:space="preserve">The agreement must specify a</w:t>
      </w:r>
      <w:r>
        <w:t xml:space="preserve"> </w:t>
      </w:r>
      <w:r>
        <w:rPr>
          <w:b/>
          <w:bCs/>
        </w:rPr>
        <w:t xml:space="preserve">right of set-off</w:t>
      </w:r>
      <w:r>
        <w:t xml:space="preserve">, the ability to debit for balances exceeding reserve, and termination conditions for excessive chargebacks.</w:t>
      </w:r>
    </w:p>
    <w:p>
      <w:r>
        <w:pict>
          <v:rect style="width:0;height:1.5pt" o:hralign="center" o:hrstd="t" o:hr="t"/>
        </w:pict>
      </w:r>
    </w:p>
    <w:bookmarkEnd w:id="1036"/>
    <w:bookmarkEnd w:id="1037"/>
    <w:bookmarkStart w:id="1042" w:name="reserves-merchant-risk-management"/>
    <w:p>
      <w:pPr>
        <w:pStyle w:val="Heading2"/>
      </w:pPr>
      <w:r>
        <w:t xml:space="preserve">6. Reserves &amp; merchant risk management</w:t>
      </w:r>
    </w:p>
    <w:bookmarkStart w:id="1038" w:name="reserve-types"/>
    <w:p>
      <w:pPr>
        <w:pStyle w:val="Heading3"/>
      </w:pPr>
      <w:r>
        <w:t xml:space="preserve">6.1 Reserve types</w:t>
      </w:r>
    </w:p>
    <w:tbl>
      <w:tblPr>
        <w:tblStyle w:val="Table"/>
        <w:tblW w:type="pct" w:w="5000"/>
        <w:tblLayout w:type="fixed"/>
        <w:tblLook w:firstRow="1" w:lastRow="0" w:firstColumn="0" w:lastColumn="0" w:noHBand="0" w:noVBand="0" w:val="0020"/>
      </w:tblPr>
      <w:tblGrid>
        <w:gridCol w:w="1697"/>
        <w:gridCol w:w="3111"/>
        <w:gridCol w:w="3111"/>
      </w:tblGrid>
      <w:tr>
        <w:trPr>
          <w:tblHeader w:val="on"/>
        </w:trPr>
        <w:tc>
          <w:tcPr/>
          <w:p>
            <w:pPr>
              <w:pStyle w:val="Compact"/>
            </w:pPr>
            <w:r>
              <w:t xml:space="preserve">Type</w:t>
            </w:r>
          </w:p>
        </w:tc>
        <w:tc>
          <w:tcPr/>
          <w:p>
            <w:pPr>
              <w:pStyle w:val="Compact"/>
            </w:pPr>
            <w:r>
              <w:t xml:space="preserve">Definition</w:t>
            </w:r>
          </w:p>
        </w:tc>
        <w:tc>
          <w:tcPr/>
          <w:p>
            <w:pPr>
              <w:pStyle w:val="Compact"/>
            </w:pPr>
            <w:r>
              <w:t xml:space="preserve">Used when</w:t>
            </w:r>
          </w:p>
        </w:tc>
      </w:tr>
      <w:tr>
        <w:tc>
          <w:tcPr/>
          <w:p>
            <w:pPr>
              <w:pStyle w:val="Compact"/>
            </w:pPr>
            <w:r>
              <w:rPr>
                <w:b/>
                <w:bCs/>
              </w:rPr>
              <w:t xml:space="preserve">Rolling reserve</w:t>
            </w:r>
          </w:p>
        </w:tc>
        <w:tc>
          <w:tcPr/>
          <w:p>
            <w:pPr>
              <w:pStyle w:val="Compact"/>
            </w:pPr>
            <w:r>
              <w:t xml:space="preserve">Withhold a % of sales for a rolling period (e.g., 5–10% for 90–180 days), then release progressively</w:t>
            </w:r>
          </w:p>
        </w:tc>
        <w:tc>
          <w:tcPr/>
          <w:p>
            <w:pPr>
              <w:pStyle w:val="Compact"/>
            </w:pPr>
            <w:r>
              <w:t xml:space="preserve">Medium–high-risk merchants, new businesses</w:t>
            </w:r>
          </w:p>
        </w:tc>
      </w:tr>
      <w:tr>
        <w:tc>
          <w:tcPr/>
          <w:p>
            <w:pPr>
              <w:pStyle w:val="Compact"/>
            </w:pPr>
            <w:r>
              <w:rPr>
                <w:b/>
                <w:bCs/>
              </w:rPr>
              <w:t xml:space="preserve">Upfront / capped reserve</w:t>
            </w:r>
          </w:p>
        </w:tc>
        <w:tc>
          <w:tcPr/>
          <w:p>
            <w:pPr>
              <w:pStyle w:val="Compact"/>
            </w:pPr>
            <w:r>
              <w:t xml:space="preserve">Deposit a lump sum up to a defined cap</w:t>
            </w:r>
          </w:p>
        </w:tc>
        <w:tc>
          <w:tcPr/>
          <w:p>
            <w:pPr>
              <w:pStyle w:val="Compact"/>
            </w:pPr>
            <w:r>
              <w:t xml:space="preserve">High-risk merchants / chargeback history</w:t>
            </w:r>
          </w:p>
        </w:tc>
      </w:tr>
      <w:tr>
        <w:tc>
          <w:tcPr/>
          <w:p>
            <w:pPr>
              <w:pStyle w:val="Compact"/>
            </w:pPr>
            <w:r>
              <w:rPr>
                <w:b/>
                <w:bCs/>
              </w:rPr>
              <w:t xml:space="preserve">Ad-hoc / event reserve</w:t>
            </w:r>
          </w:p>
        </w:tc>
        <w:tc>
          <w:tcPr/>
          <w:p>
            <w:pPr>
              <w:pStyle w:val="Compact"/>
            </w:pPr>
            <w:r>
              <w:t xml:space="preserve">Temporary additional hold on risk signals (chargeback spike, negative news)</w:t>
            </w:r>
          </w:p>
        </w:tc>
        <w:tc>
          <w:tcPr/>
          <w:p>
            <w:pPr>
              <w:pStyle w:val="Compact"/>
            </w:pPr>
            <w:r>
              <w:t xml:space="preserve">Case-specific measure</w:t>
            </w:r>
          </w:p>
        </w:tc>
      </w:tr>
    </w:tbl>
    <w:p>
      <w:pPr>
        <w:pStyle w:val="BlockText"/>
      </w:pPr>
      <w:r>
        <w:rPr>
          <w:b/>
          <w:bCs/>
        </w:rPr>
        <w:t xml:space="preserve">[TODO — sponsor bank/underwriting]</w:t>
      </w:r>
      <w:r>
        <w:t xml:space="preserve"> </w:t>
      </w:r>
      <w:r>
        <w:t xml:space="preserve">The %, duration, and cap actually used are set jointly with the acquirer/sponsor bank and the Company’s underwriting policy.</w:t>
      </w:r>
    </w:p>
    <w:bookmarkEnd w:id="1038"/>
    <w:bookmarkStart w:id="1039" w:name="Xfb8657305a14f7d2296e4b025db19eb849475af"/>
    <w:p>
      <w:pPr>
        <w:pStyle w:val="Heading3"/>
      </w:pPr>
      <w:r>
        <w:t xml:space="preserve">6.2 Reserve thresholds by merchant risk tier (example)</w:t>
      </w:r>
    </w:p>
    <w:tbl>
      <w:tblPr>
        <w:tblStyle w:val="Table"/>
        <w:tblW w:type="pct" w:w="5000"/>
        <w:tblLayout w:type="fixed"/>
        <w:tblLook w:firstRow="1" w:lastRow="0" w:firstColumn="0" w:lastColumn="0" w:noHBand="0" w:noVBand="0" w:val="0020"/>
      </w:tblPr>
      <w:tblGrid>
        <w:gridCol w:w="1262"/>
        <w:gridCol w:w="2066"/>
        <w:gridCol w:w="3443"/>
        <w:gridCol w:w="1147"/>
      </w:tblGrid>
      <w:tr>
        <w:trPr>
          <w:tblHeader w:val="on"/>
        </w:trPr>
        <w:tc>
          <w:tcPr/>
          <w:p>
            <w:pPr>
              <w:pStyle w:val="Compact"/>
            </w:pPr>
            <w:r>
              <w:t xml:space="preserve">Risk tier</w:t>
            </w:r>
          </w:p>
        </w:tc>
        <w:tc>
          <w:tcPr/>
          <w:p>
            <w:pPr>
              <w:pStyle w:val="Compact"/>
            </w:pPr>
            <w:r>
              <w:t xml:space="preserve">Example criteria</w:t>
            </w:r>
          </w:p>
        </w:tc>
        <w:tc>
          <w:tcPr/>
          <w:p>
            <w:pPr>
              <w:pStyle w:val="Compact"/>
            </w:pPr>
            <w:r>
              <w:t xml:space="preserve">Rolling reserve (indicative)</w:t>
            </w:r>
          </w:p>
        </w:tc>
        <w:tc>
          <w:tcPr/>
          <w:p>
            <w:pPr>
              <w:pStyle w:val="Compact"/>
            </w:pPr>
            <w:r>
              <w:t xml:space="preserve">Duration</w:t>
            </w:r>
          </w:p>
        </w:tc>
      </w:tr>
      <w:tr>
        <w:tc>
          <w:tcPr/>
          <w:p>
            <w:pPr>
              <w:pStyle w:val="Compact"/>
            </w:pPr>
            <w:r>
              <w:t xml:space="preserve">Low</w:t>
            </w:r>
          </w:p>
        </w:tc>
        <w:tc>
          <w:tcPr/>
          <w:p>
            <w:pPr>
              <w:pStyle w:val="Compact"/>
            </w:pPr>
            <w:r>
              <w:t xml:space="preserve">Low-risk MCC, chargebacks &lt; 0.3%</w:t>
            </w:r>
          </w:p>
        </w:tc>
        <w:tc>
          <w:tcPr/>
          <w:p>
            <w:pPr>
              <w:pStyle w:val="Compact"/>
            </w:pPr>
            <w:r>
              <w:t xml:space="preserve">0%</w:t>
            </w:r>
          </w:p>
        </w:tc>
        <w:tc>
          <w:tcPr/>
          <w:p>
            <w:pPr>
              <w:pStyle w:val="Compact"/>
            </w:pPr>
            <w:r>
              <w:t xml:space="preserve">—</w:t>
            </w:r>
          </w:p>
        </w:tc>
      </w:tr>
      <w:tr>
        <w:tc>
          <w:tcPr/>
          <w:p>
            <w:pPr>
              <w:pStyle w:val="Compact"/>
            </w:pPr>
            <w:r>
              <w:t xml:space="preserve">Medium</w:t>
            </w:r>
          </w:p>
        </w:tc>
        <w:tc>
          <w:tcPr/>
          <w:p>
            <w:pPr>
              <w:pStyle w:val="Compact"/>
            </w:pPr>
            <w:r>
              <w:t xml:space="preserve">New business/volatile volume</w:t>
            </w:r>
          </w:p>
        </w:tc>
        <w:tc>
          <w:tcPr/>
          <w:p>
            <w:pPr>
              <w:pStyle w:val="Compact"/>
            </w:pPr>
            <w:r>
              <w:t xml:space="preserve">5%</w:t>
            </w:r>
          </w:p>
        </w:tc>
        <w:tc>
          <w:tcPr/>
          <w:p>
            <w:pPr>
              <w:pStyle w:val="Compact"/>
            </w:pPr>
            <w:r>
              <w:t xml:space="preserve">90 days</w:t>
            </w:r>
          </w:p>
        </w:tc>
      </w:tr>
      <w:tr>
        <w:tc>
          <w:tcPr/>
          <w:p>
            <w:pPr>
              <w:pStyle w:val="Compact"/>
            </w:pPr>
            <w:r>
              <w:t xml:space="preserve">High</w:t>
            </w:r>
          </w:p>
        </w:tc>
        <w:tc>
          <w:tcPr/>
          <w:p>
            <w:pPr>
              <w:pStyle w:val="Compact"/>
            </w:pPr>
            <w:r>
              <w:t xml:space="preserve">High-risk MCC (travel, subscription, gaming), chargebacks 0.6–0.9%</w:t>
            </w:r>
          </w:p>
        </w:tc>
        <w:tc>
          <w:tcPr/>
          <w:p>
            <w:pPr>
              <w:pStyle w:val="Compact"/>
            </w:pPr>
            <w:r>
              <w:t xml:space="preserve">10%</w:t>
            </w:r>
          </w:p>
        </w:tc>
        <w:tc>
          <w:tcPr/>
          <w:p>
            <w:pPr>
              <w:pStyle w:val="Compact"/>
            </w:pPr>
            <w:r>
              <w:t xml:space="preserve">180 days</w:t>
            </w:r>
          </w:p>
        </w:tc>
      </w:tr>
      <w:tr>
        <w:tc>
          <w:tcPr/>
          <w:p>
            <w:pPr>
              <w:pStyle w:val="Compact"/>
            </w:pPr>
            <w:r>
              <w:t xml:space="preserve">Very high</w:t>
            </w:r>
          </w:p>
        </w:tc>
        <w:tc>
          <w:tcPr/>
          <w:p>
            <w:pPr>
              <w:pStyle w:val="Compact"/>
            </w:pPr>
            <w:r>
              <w:t xml:space="preserve">Exceeds scheme thresholds/has history</w:t>
            </w:r>
          </w:p>
        </w:tc>
        <w:tc>
          <w:tcPr/>
          <w:p>
            <w:pPr>
              <w:pStyle w:val="Compact"/>
            </w:pPr>
            <w:r>
              <w:t xml:space="preserve">Negotiated + upfront</w:t>
            </w:r>
          </w:p>
        </w:tc>
        <w:tc>
          <w:tcPr/>
          <w:p>
            <w:pPr>
              <w:pStyle w:val="Compact"/>
            </w:pPr>
            <w:r>
              <w:t xml:space="preserve">Negotiated</w:t>
            </w:r>
          </w:p>
        </w:tc>
      </w:tr>
    </w:tbl>
    <w:p>
      <w:pPr>
        <w:pStyle w:val="BodyText"/>
      </w:pPr>
      <w:r>
        <w:t xml:space="preserve">Merchant risk tiering aligns with</w:t>
      </w:r>
      <w:r>
        <w:t xml:space="preserve"> </w:t>
      </w:r>
      <w:r>
        <w:rPr>
          <w:rStyle w:val="VerbatimChar"/>
        </w:rPr>
        <w:t xml:space="preserve">08-customer-risk-categorization.md</w:t>
      </w:r>
      <w:r>
        <w:t xml:space="preserve"> </w:t>
      </w:r>
      <w:r>
        <w:t xml:space="preserve">and CDD per</w:t>
      </w:r>
      <w:r>
        <w:t xml:space="preserve"> </w:t>
      </w:r>
      <w:r>
        <w:rPr>
          <w:rStyle w:val="VerbatimChar"/>
        </w:rPr>
        <w:t xml:space="preserve">05-aml-kyc-cdd-policy.md</w:t>
      </w:r>
      <w:r>
        <w:t xml:space="preserve">.</w:t>
      </w:r>
    </w:p>
    <w:bookmarkEnd w:id="1039"/>
    <w:bookmarkStart w:id="1040" w:name="X5aaa114e14f20c74a24e3a3654a887e2bfa91ea"/>
    <w:p>
      <w:pPr>
        <w:pStyle w:val="Heading3"/>
      </w:pPr>
      <w:r>
        <w:t xml:space="preserve">6.3 Excessive-chargeback thresholds and actions</w:t>
      </w:r>
    </w:p>
    <w:tbl>
      <w:tblPr>
        <w:tblStyle w:val="Table"/>
        <w:tblW w:type="pct" w:w="5000"/>
        <w:tblLayout w:type="fixed"/>
        <w:tblLook w:firstRow="1" w:lastRow="0" w:firstColumn="0" w:lastColumn="0" w:noHBand="0" w:noVBand="0" w:val="0020"/>
      </w:tblPr>
      <w:tblGrid>
        <w:gridCol w:w="6000"/>
        <w:gridCol w:w="1920"/>
      </w:tblGrid>
      <w:tr>
        <w:trPr>
          <w:tblHeader w:val="on"/>
        </w:trPr>
        <w:tc>
          <w:tcPr/>
          <w:p>
            <w:pPr>
              <w:pStyle w:val="Compact"/>
            </w:pPr>
            <w:r>
              <w:t xml:space="preserve">Monthly chargeback rate</w:t>
            </w:r>
          </w:p>
        </w:tc>
        <w:tc>
          <w:tcPr/>
          <w:p>
            <w:pPr>
              <w:pStyle w:val="Compact"/>
            </w:pPr>
            <w:r>
              <w:t xml:space="preserve">Action</w:t>
            </w:r>
          </w:p>
        </w:tc>
      </w:tr>
      <w:tr>
        <w:tc>
          <w:tcPr/>
          <w:p>
            <w:pPr>
              <w:pStyle w:val="Compact"/>
            </w:pPr>
            <w:r>
              <w:t xml:space="preserve">&lt; 0.5%</w:t>
            </w:r>
          </w:p>
        </w:tc>
        <w:tc>
          <w:tcPr/>
          <w:p>
            <w:pPr>
              <w:pStyle w:val="Compact"/>
            </w:pPr>
            <w:r>
              <w:t xml:space="preserve">Normal — monitor</w:t>
            </w:r>
          </w:p>
        </w:tc>
      </w:tr>
      <w:tr>
        <w:tc>
          <w:tcPr/>
          <w:p>
            <w:pPr>
              <w:pStyle w:val="Compact"/>
            </w:pPr>
            <w:r>
              <w:t xml:space="preserve">0.5% – 0.9%</w:t>
            </w:r>
          </w:p>
        </w:tc>
        <w:tc>
          <w:tcPr/>
          <w:p>
            <w:pPr>
              <w:pStyle w:val="Compact"/>
            </w:pPr>
            <w:r>
              <w:t xml:space="preserve">Warn + remediation plan + possibly increase reserve</w:t>
            </w:r>
          </w:p>
        </w:tc>
      </w:tr>
      <w:tr>
        <w:tc>
          <w:tcPr/>
          <w:p>
            <w:pPr>
              <w:pStyle w:val="Compact"/>
            </w:pPr>
            <w:r>
              <w:t xml:space="preserve">≥ 0.9% or enters VDMP/Mastercard ECM</w:t>
            </w:r>
          </w:p>
        </w:tc>
        <w:tc>
          <w:tcPr/>
          <w:p>
            <w:pPr>
              <w:pStyle w:val="Compact"/>
            </w:pPr>
            <w:r>
              <w:t xml:space="preserve">Enter remediation program, increase reserve, cap volume</w:t>
            </w:r>
          </w:p>
        </w:tc>
      </w:tr>
      <w:tr>
        <w:tc>
          <w:tcPr/>
          <w:p>
            <w:pPr>
              <w:pStyle w:val="Compact"/>
            </w:pPr>
            <w:r>
              <w:t xml:space="preserve">Sustained breach</w:t>
            </w:r>
          </w:p>
        </w:tc>
        <w:tc>
          <w:tcPr/>
          <w:p>
            <w:pPr>
              <w:pStyle w:val="Compact"/>
            </w:pPr>
            <w:r>
              <w:t xml:space="preserve">Suspend/offboard the merchant</w:t>
            </w:r>
          </w:p>
        </w:tc>
      </w:tr>
    </w:tbl>
    <w:p>
      <w:pPr>
        <w:pStyle w:val="BlockText"/>
      </w:pPr>
      <w:r>
        <w:t xml:space="preserve">Thresholds reference the Visa Dispute Monitoring Program (VDMP) and Mastercard Excessive Chargeback Program (ECM/ECP) —</w:t>
      </w:r>
      <w:r>
        <w:t xml:space="preserve"> </w:t>
      </w:r>
      <w:r>
        <w:rPr>
          <w:b/>
          <w:bCs/>
        </w:rPr>
        <w:t xml:space="preserve">[TODO — confirm the latest thresholds]</w:t>
      </w:r>
    </w:p>
    <w:bookmarkEnd w:id="1040"/>
    <w:bookmarkStart w:id="1041" w:name="accounting-and-ledger-treatment"/>
    <w:p>
      <w:pPr>
        <w:pStyle w:val="Heading3"/>
      </w:pPr>
      <w:r>
        <w:t xml:space="preserve">6.4 Accounting and ledger treatment</w:t>
      </w:r>
    </w:p>
    <w:p>
      <w:pPr>
        <w:pStyle w:val="Compact"/>
        <w:numPr>
          <w:ilvl w:val="0"/>
          <w:numId w:val="1381"/>
        </w:numPr>
      </w:pPr>
      <w:r>
        <w:t xml:space="preserve">Reserves are recorded as a segregated liability in the ledger (not commingled with Company capital) — they are merchant funds held on the merchant’s behalf.</w:t>
      </w:r>
    </w:p>
    <w:p>
      <w:pPr>
        <w:pStyle w:val="Compact"/>
        <w:numPr>
          <w:ilvl w:val="0"/>
          <w:numId w:val="1381"/>
        </w:numPr>
      </w:pPr>
      <w:r>
        <w:t xml:space="preserve">Every reserve hold/release writes</w:t>
      </w:r>
      <w:r>
        <w:t xml:space="preserve"> </w:t>
      </w:r>
      <w:r>
        <w:rPr>
          <w:rStyle w:val="VerbatimChar"/>
        </w:rPr>
        <w:t xml:space="preserve">ledger_entries</w:t>
      </w:r>
      <w:r>
        <w:t xml:space="preserve"> </w:t>
      </w:r>
      <w:r>
        <w:t xml:space="preserve">and</w:t>
      </w:r>
      <w:r>
        <w:t xml:space="preserve"> </w:t>
      </w:r>
      <w:r>
        <w:rPr>
          <w:rStyle w:val="VerbatimChar"/>
        </w:rPr>
        <w:t xml:space="preserve">audit_log</w:t>
      </w:r>
      <w:r>
        <w:t xml:space="preserve">.</w:t>
      </w:r>
    </w:p>
    <w:p>
      <w:pPr>
        <w:pStyle w:val="Compact"/>
        <w:numPr>
          <w:ilvl w:val="0"/>
          <w:numId w:val="1381"/>
        </w:numPr>
      </w:pPr>
      <w:r>
        <w:t xml:space="preserve">Reserves must be reconciled against settlement during reconciliation (ARCHITECTURE §4, Phase 3).</w:t>
      </w:r>
    </w:p>
    <w:p>
      <w:r>
        <w:pict>
          <v:rect style="width:0;height:1.5pt" o:hralign="center" o:hrstd="t" o:hr="t"/>
        </w:pict>
      </w:r>
    </w:p>
    <w:bookmarkEnd w:id="1041"/>
    <w:bookmarkEnd w:id="1042"/>
    <w:bookmarkStart w:id="1046" w:name="roles-governance-2"/>
    <w:p>
      <w:pPr>
        <w:pStyle w:val="Heading2"/>
      </w:pPr>
      <w:r>
        <w:t xml:space="preserve">7. Roles &amp; governance</w:t>
      </w:r>
    </w:p>
    <w:bookmarkStart w:id="1043" w:name="raci-summary-1"/>
    <w:p>
      <w:pPr>
        <w:pStyle w:val="Heading3"/>
      </w:pPr>
      <w:r>
        <w:t xml:space="preserve">7.1 RACI (summary)</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Role</w:t>
            </w:r>
          </w:p>
        </w:tc>
        <w:tc>
          <w:tcPr/>
          <w:p>
            <w:pPr>
              <w:pStyle w:val="Compact"/>
            </w:pPr>
            <w:r>
              <w:t xml:space="preserve">Primary responsibility</w:t>
            </w:r>
          </w:p>
        </w:tc>
      </w:tr>
      <w:tr>
        <w:tc>
          <w:tcPr/>
          <w:p>
            <w:pPr>
              <w:pStyle w:val="Compact"/>
            </w:pPr>
            <w:r>
              <w:rPr>
                <w:b/>
                <w:bCs/>
              </w:rPr>
              <w:t xml:space="preserve">Head of Risk &amp; Dispute Ops</w:t>
            </w:r>
          </w:p>
        </w:tc>
        <w:tc>
          <w:tcPr/>
          <w:p>
            <w:pPr>
              <w:pStyle w:val="Compact"/>
            </w:pPr>
            <w:r>
              <w:t xml:space="preserve">Owns this policy; decides escalate/accept; sets reserves</w:t>
            </w:r>
          </w:p>
        </w:tc>
      </w:tr>
      <w:tr>
        <w:tc>
          <w:tcPr/>
          <w:p>
            <w:pPr>
              <w:pStyle w:val="Compact"/>
            </w:pPr>
            <w:r>
              <w:rPr>
                <w:b/>
                <w:bCs/>
              </w:rPr>
              <w:t xml:space="preserve">Dispute Operations Analyst</w:t>
            </w:r>
          </w:p>
        </w:tc>
        <w:tc>
          <w:tcPr/>
          <w:p>
            <w:pPr>
              <w:pStyle w:val="Compact"/>
            </w:pPr>
            <w:r>
              <w:t xml:space="preserve">Handles daily chargeback cases, prepares representments, tracks deadlines</w:t>
            </w:r>
          </w:p>
        </w:tc>
      </w:tr>
      <w:tr>
        <w:tc>
          <w:tcPr/>
          <w:p>
            <w:pPr>
              <w:pStyle w:val="Compact"/>
            </w:pPr>
            <w:r>
              <w:rPr>
                <w:b/>
                <w:bCs/>
              </w:rPr>
              <w:t xml:space="preserve">Head of Settlement</w:t>
            </w:r>
          </w:p>
        </w:tc>
        <w:tc>
          <w:tcPr/>
          <w:p>
            <w:pPr>
              <w:pStyle w:val="Compact"/>
            </w:pPr>
            <w:r>
              <w:t xml:space="preserve">Offsets chargebacks/refunds from settlement; manages reserves</w:t>
            </w:r>
          </w:p>
        </w:tc>
      </w:tr>
      <w:tr>
        <w:tc>
          <w:tcPr/>
          <w:p>
            <w:pPr>
              <w:pStyle w:val="Compact"/>
            </w:pPr>
            <w:r>
              <w:rPr>
                <w:b/>
                <w:bCs/>
              </w:rPr>
              <w:t xml:space="preserve">Merchant Underwriting / Risk</w:t>
            </w:r>
          </w:p>
        </w:tc>
        <w:tc>
          <w:tcPr/>
          <w:p>
            <w:pPr>
              <w:pStyle w:val="Compact"/>
            </w:pPr>
            <w:r>
              <w:t xml:space="preserve">Risk tiering, initial reserve, monitoring</w:t>
            </w:r>
          </w:p>
        </w:tc>
      </w:tr>
      <w:tr>
        <w:tc>
          <w:tcPr/>
          <w:p>
            <w:pPr>
              <w:pStyle w:val="Compact"/>
            </w:pPr>
            <w:r>
              <w:rPr>
                <w:b/>
                <w:bCs/>
              </w:rPr>
              <w:t xml:space="preserve">Compliance / AML</w:t>
            </w:r>
          </w:p>
        </w:tc>
        <w:tc>
          <w:tcPr/>
          <w:p>
            <w:pPr>
              <w:pStyle w:val="Compact"/>
            </w:pPr>
            <w:r>
              <w:t xml:space="preserve">Links abnormal refunds/chargebacks to</w:t>
            </w:r>
            <w:r>
              <w:t xml:space="preserve"> </w:t>
            </w:r>
            <w:r>
              <w:rPr>
                <w:rStyle w:val="VerbatimChar"/>
              </w:rPr>
              <w:t xml:space="preserve">07-sar-str-procedure.md</w:t>
            </w:r>
            <w:r>
              <w:t xml:space="preserve"> </w:t>
            </w:r>
            <w:r>
              <w:t xml:space="preserve">(AMLO)</w:t>
            </w:r>
          </w:p>
        </w:tc>
      </w:tr>
      <w:tr>
        <w:tc>
          <w:tcPr/>
          <w:p>
            <w:pPr>
              <w:pStyle w:val="Compact"/>
            </w:pPr>
            <w:r>
              <w:rPr>
                <w:b/>
                <w:bCs/>
              </w:rPr>
              <w:t xml:space="preserve">Legal</w:t>
            </w:r>
          </w:p>
        </w:tc>
        <w:tc>
          <w:tcPr/>
          <w:p>
            <w:pPr>
              <w:pStyle w:val="Compact"/>
            </w:pPr>
            <w:r>
              <w:t xml:space="preserve">Merchant agreement, liability terms, sponsor-bank linkage</w:t>
            </w:r>
          </w:p>
        </w:tc>
      </w:tr>
      <w:tr>
        <w:tc>
          <w:tcPr/>
          <w:p>
            <w:pPr>
              <w:pStyle w:val="Compact"/>
            </w:pPr>
            <w:r>
              <w:rPr>
                <w:b/>
                <w:bCs/>
              </w:rPr>
              <w:t xml:space="preserve">Sponsor Bank / Acquirer (external)</w:t>
            </w:r>
          </w:p>
        </w:tc>
        <w:tc>
          <w:tcPr/>
          <w:p>
            <w:pPr>
              <w:pStyle w:val="Compact"/>
            </w:pPr>
            <w:r>
              <w:t xml:space="preserve">Channel to file chargebacks/representments to the scheme; sets reserve requirements</w:t>
            </w:r>
          </w:p>
        </w:tc>
      </w:tr>
    </w:tbl>
    <w:bookmarkEnd w:id="1043"/>
    <w:bookmarkStart w:id="1044" w:name="linkage-to-thai-regulators-1"/>
    <w:p>
      <w:pPr>
        <w:pStyle w:val="Heading3"/>
      </w:pPr>
      <w:r>
        <w:t xml:space="preserve">7.2 Linkage to Thai regulators</w:t>
      </w:r>
    </w:p>
    <w:p>
      <w:pPr>
        <w:pStyle w:val="Compact"/>
        <w:numPr>
          <w:ilvl w:val="0"/>
          <w:numId w:val="1382"/>
        </w:numPr>
      </w:pPr>
      <w:r>
        <w:rPr>
          <w:b/>
          <w:bCs/>
        </w:rPr>
        <w:t xml:space="preserve">BOT (ธปท.)</w:t>
      </w:r>
      <w:r>
        <w:t xml:space="preserve"> </w:t>
      </w:r>
      <w:r>
        <w:t xml:space="preserve">— refunds/chargebacks/reserves are part of operational-risk management and consumer protection; must be ready for on-site inspection and periodic reporting.</w:t>
      </w:r>
    </w:p>
    <w:p>
      <w:pPr>
        <w:pStyle w:val="Compact"/>
        <w:numPr>
          <w:ilvl w:val="0"/>
          <w:numId w:val="1382"/>
        </w:numPr>
      </w:pPr>
      <w:r>
        <w:rPr>
          <w:b/>
          <w:bCs/>
        </w:rPr>
        <w:t xml:space="preserve">AMLO (ปปง.)</w:t>
      </w:r>
      <w:r>
        <w:t xml:space="preserve"> </w:t>
      </w:r>
      <w:r>
        <w:t xml:space="preserve">— abnormal refund patterns (e.g., refunds to a card other than the paying card, cyclical refunds) can be laundering signals → link to SAR/STR (</w:t>
      </w:r>
      <w:r>
        <w:rPr>
          <w:rStyle w:val="VerbatimChar"/>
        </w:rPr>
        <w:t xml:space="preserve">07-sar-str-procedure.md</w:t>
      </w:r>
      <w:r>
        <w:t xml:space="preserve">).</w:t>
      </w:r>
    </w:p>
    <w:p>
      <w:pPr>
        <w:pStyle w:val="Compact"/>
        <w:numPr>
          <w:ilvl w:val="0"/>
          <w:numId w:val="1382"/>
        </w:numPr>
      </w:pPr>
      <w:r>
        <w:rPr>
          <w:b/>
          <w:bCs/>
        </w:rPr>
        <w:t xml:space="preserve">PDPC (PDPA)</w:t>
      </w:r>
      <w:r>
        <w:t xml:space="preserve"> </w:t>
      </w:r>
      <w:r>
        <w:t xml:space="preserve">— dispute evidence containing personal data must be handled on a lawful basis and retained per</w:t>
      </w:r>
      <w:r>
        <w:t xml:space="preserve"> </w:t>
      </w:r>
      <w:r>
        <w:rPr>
          <w:rStyle w:val="VerbatimChar"/>
        </w:rPr>
        <w:t xml:space="preserve">09-</w:t>
      </w:r>
      <w:r>
        <w:t xml:space="preserve"> </w:t>
      </w:r>
      <w:r>
        <w:t xml:space="preserve">and</w:t>
      </w:r>
      <w:r>
        <w:t xml:space="preserve"> </w:t>
      </w:r>
      <w:r>
        <w:rPr>
          <w:rStyle w:val="VerbatimChar"/>
        </w:rPr>
        <w:t xml:space="preserve">11-</w:t>
      </w:r>
      <w:r>
        <w:t xml:space="preserve">.</w:t>
      </w:r>
    </w:p>
    <w:bookmarkEnd w:id="1044"/>
    <w:bookmarkStart w:id="1045" w:name="record-keeping-and-retention"/>
    <w:p>
      <w:pPr>
        <w:pStyle w:val="Heading3"/>
      </w:pPr>
      <w:r>
        <w:t xml:space="preserve">7.3 Record-keeping and retention</w:t>
      </w:r>
    </w:p>
    <w:p>
      <w:pPr>
        <w:pStyle w:val="Compact"/>
        <w:numPr>
          <w:ilvl w:val="0"/>
          <w:numId w:val="1383"/>
        </w:numPr>
      </w:pPr>
      <w:r>
        <w:t xml:space="preserve">Retain all dispute/refund/reserve records (append-only audit trail) for the periods required by law and scheme rules — consistent with</w:t>
      </w:r>
      <w:r>
        <w:t xml:space="preserve"> </w:t>
      </w:r>
      <w:r>
        <w:rPr>
          <w:rStyle w:val="VerbatimChar"/>
        </w:rPr>
        <w:t xml:space="preserve">11-data-retention-deletion.md</w:t>
      </w:r>
      <w:r>
        <w:t xml:space="preserve"> </w:t>
      </w:r>
      <w:r>
        <w:t xml:space="preserve">(generally ≥ the periods set by BOT/AMLO and ≥ the chargeback lifecycle).</w:t>
      </w:r>
    </w:p>
    <w:p>
      <w:pPr>
        <w:pStyle w:val="Compact"/>
        <w:numPr>
          <w:ilvl w:val="0"/>
          <w:numId w:val="1383"/>
        </w:numPr>
      </w:pPr>
      <w:r>
        <w:t xml:space="preserve">Never store full PAN/SAD in these records (PCI-DSS v4.0 Req 3).</w:t>
      </w:r>
    </w:p>
    <w:p>
      <w:r>
        <w:pict>
          <v:rect style="width:0;height:1.5pt" o:hralign="center" o:hrstd="t" o:hr="t"/>
        </w:pict>
      </w:r>
    </w:p>
    <w:bookmarkEnd w:id="1045"/>
    <w:bookmarkEnd w:id="1046"/>
    <w:bookmarkStart w:id="1047" w:name="kpis-and-review"/>
    <w:p>
      <w:pPr>
        <w:pStyle w:val="Heading2"/>
      </w:pPr>
      <w:r>
        <w:t xml:space="preserve">8. KPIs and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Chargeback rate (per merchant / portfolio)</w:t>
            </w:r>
          </w:p>
        </w:tc>
        <w:tc>
          <w:tcPr/>
          <w:p>
            <w:pPr>
              <w:pStyle w:val="Compact"/>
            </w:pPr>
            <w:r>
              <w:t xml:space="preserve">&lt; 0.5% per month</w:t>
            </w:r>
          </w:p>
        </w:tc>
      </w:tr>
      <w:tr>
        <w:tc>
          <w:tcPr/>
          <w:p>
            <w:pPr>
              <w:pStyle w:val="Compact"/>
            </w:pPr>
            <w:r>
              <w:t xml:space="preserve">Representment win rate</w:t>
            </w:r>
          </w:p>
        </w:tc>
        <w:tc>
          <w:tcPr/>
          <w:p>
            <w:pPr>
              <w:pStyle w:val="Compact"/>
            </w:pPr>
            <w:r>
              <w:t xml:space="preserve">≥ 40% (adjusted by case type)</w:t>
            </w:r>
          </w:p>
        </w:tc>
      </w:tr>
      <w:tr>
        <w:tc>
          <w:tcPr/>
          <w:p>
            <w:pPr>
              <w:pStyle w:val="Compact"/>
            </w:pPr>
            <w:r>
              <w:t xml:space="preserve">Refund SLA (submitted to acquirer)</w:t>
            </w:r>
          </w:p>
        </w:tc>
        <w:tc>
          <w:tcPr/>
          <w:p>
            <w:pPr>
              <w:pStyle w:val="Compact"/>
            </w:pPr>
            <w:r>
              <w:t xml:space="preserve">≥ 99% same business day</w:t>
            </w:r>
          </w:p>
        </w:tc>
      </w:tr>
      <w:tr>
        <w:tc>
          <w:tcPr/>
          <w:p>
            <w:pPr>
              <w:pStyle w:val="Compact"/>
            </w:pPr>
            <w:r>
              <w:t xml:space="preserve">Cases filed before deadline</w:t>
            </w:r>
          </w:p>
        </w:tc>
        <w:tc>
          <w:tcPr/>
          <w:p>
            <w:pPr>
              <w:pStyle w:val="Compact"/>
            </w:pPr>
            <w:r>
              <w:t xml:space="preserve">100% (no losses from late filing)</w:t>
            </w:r>
          </w:p>
        </w:tc>
      </w:tr>
    </w:tbl>
    <w:p>
      <w:pPr>
        <w:pStyle w:val="BlockText"/>
      </w:pPr>
      <w:r>
        <w:t xml:space="preserve">Review this policy at least</w:t>
      </w:r>
      <w:r>
        <w:t xml:space="preserve"> </w:t>
      </w:r>
      <w:r>
        <w:rPr>
          <w:b/>
          <w:bCs/>
        </w:rPr>
        <w:t xml:space="preserve">annually</w:t>
      </w:r>
      <w:r>
        <w:t xml:space="preserve">, or when (a) scheme rules change, (b) the sponsor bank changes terms, or (c) the chargeback rate breaches thresholds.</w:t>
      </w:r>
    </w:p>
    <w:p>
      <w:r>
        <w:pict>
          <v:rect style="width:0;height:1.5pt" o:hralign="center" o:hrstd="t" o:hr="t"/>
        </w:pict>
      </w:r>
    </w:p>
    <w:p>
      <w:pPr>
        <w:pStyle w:val="BlockText"/>
      </w:pPr>
      <w:r>
        <w:rPr>
          <w:b/>
          <w:bCs/>
        </w:rPr>
        <w:t xml:space="preserve">Standards referenced:</w:t>
      </w:r>
      <w:r>
        <w:t xml:space="preserve"> </w:t>
      </w:r>
      <w:r>
        <w:t xml:space="preserve">PCI-DSS v4.0 (PCI SSC), EMV 3-D Secure (EMV 3DS) 2.x, Visa Core Rules/VDMP, Mastercard Chargeback Guide/ECM, ISO 8583.</w:t>
      </w:r>
      <w:r>
        <w:t xml:space="preserve"> </w:t>
      </w:r>
      <w:r>
        <w:rPr>
          <w:b/>
          <w:bCs/>
        </w:rPr>
        <w:t xml:space="preserve">Thai regulations referenced:</w:t>
      </w:r>
      <w:r>
        <w:t xml:space="preserve"> </w:t>
      </w:r>
      <w:r>
        <w:t xml:space="preserve">Payment Systems Act B.E. 2560 (BOT/ธปท.), PDPA B.E. 2562 (PDPC), AMLO.</w:t>
      </w:r>
      <w:r>
        <w:t xml:space="preserve"> </w:t>
      </w:r>
      <w:r>
        <w:t xml:space="preserve">This document must be reviewed by legal counsel and the sponsor bank before enforcement and before submission.</w:t>
      </w:r>
    </w:p>
    <w:p>
      <w:r>
        <w:br w:type="page"/>
      </w:r>
    </w:p>
    <w:bookmarkEnd w:id="1047"/>
    <w:bookmarkEnd w:id="1048"/>
    <w:bookmarkStart w:id="1059" w:name="ขนตอนการระงบขอพพาท-ไทย"/>
    <w:p>
      <w:pPr>
        <w:pStyle w:val="Heading1"/>
      </w:pPr>
      <w:r>
        <w:t xml:space="preserve">ขั้นตอนการระงับข้อพิพาท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(Acquiring Service)</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ทุนจดทะเบียนชำระแล้ว</w:t>
      </w:r>
      <w:r>
        <w:t xml:space="preserve"> </w:t>
      </w:r>
      <w:r>
        <w:rPr>
          <w:b/>
          <w:bCs/>
        </w:rPr>
        <w:t xml:space="preserve">50 ล้านบาท</w:t>
      </w:r>
      <w:r>
        <w:t xml:space="preserve"> </w:t>
      </w:r>
      <w:r>
        <w:t xml:space="preserve">ควบคู่กับมาตรฐาน</w:t>
      </w:r>
      <w:r>
        <w:t xml:space="preserve"> </w:t>
      </w:r>
      <w:r>
        <w:rPr>
          <w:b/>
          <w:bCs/>
        </w:rPr>
        <w:t xml:space="preserve">PCI-DSS v4.0 Level 1</w:t>
      </w:r>
      <w:r>
        <w:t xml:space="preserve"> </w:t>
      </w:r>
      <w:r>
        <w:t xml:space="preserve">และการรับรอง</w:t>
      </w:r>
      <w:r>
        <w:t xml:space="preserve"> </w:t>
      </w:r>
      <w:r>
        <w:rPr>
          <w:b/>
          <w:bCs/>
        </w:rPr>
        <w:t xml:space="preserve">EMV 3-D Secure (3DS) 2.x</w:t>
      </w:r>
      <w:r>
        <w:t xml:space="preserve"> </w:t>
      </w:r>
      <w:r>
        <w:t xml:space="preserve">สำหรับกระบวนการ authentication/chargeback</w:t>
      </w:r>
    </w:p>
    <w:p>
      <w:pPr>
        <w:pStyle w:val="BlockText"/>
      </w:pPr>
      <w:r>
        <w:t xml:space="preserve">รหัสเอกสาร:</w:t>
      </w:r>
      <w:r>
        <w:t xml:space="preserve"> </w:t>
      </w:r>
      <w:r>
        <w:rPr>
          <w:rStyle w:val="VerbatimChar"/>
        </w:rPr>
        <w:t xml:space="preserve">COMP-29</w:t>
      </w:r>
      <w:r>
        <w:t xml:space="preserve"> </w:t>
      </w:r>
      <w:r>
        <w:t xml:space="preserve">· เวอร์ชัน 0.1 · จัดทำ 2026-07-22 · ทบทวนทุก 12 เดือน (และเมื่อ card scheme ปรับ dispute rules)</w:t>
      </w:r>
      <w:r>
        <w:t xml:space="preserve"> </w:t>
      </w:r>
      <w:r>
        <w:t xml:space="preserve">เจ้าของเอกสาร:</w:t>
      </w:r>
      <w:r>
        <w:t xml:space="preserve"> </w:t>
      </w:r>
      <w:r>
        <w:rPr>
          <w:b/>
          <w:bCs/>
        </w:rPr>
        <w:t xml:space="preserve">Chief Compliance Officer (CCO)</w:t>
      </w:r>
      <w:r>
        <w:t xml:space="preserve"> </w:t>
      </w:r>
      <w:r>
        <w:t xml:space="preserve">ร่วมกับ</w:t>
      </w:r>
      <w:r>
        <w:t xml:space="preserve"> </w:t>
      </w:r>
      <w:r>
        <w:rPr>
          <w:b/>
          <w:bCs/>
        </w:rPr>
        <w:t xml:space="preserve">Head of Merchant Operations / Disputes Manager</w:t>
      </w:r>
      <w:r>
        <w:t xml:space="preserve"> </w:t>
      </w:r>
      <w:r>
        <w:t xml:space="preserve">เอกสารที่เกี่ยวข้อง: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./04-org-chart-governance.md</w:t>
      </w:r>
      <w:r>
        <w:t xml:space="preserve">,</w:t>
      </w:r>
      <w:r>
        <w:t xml:space="preserve"> </w:t>
      </w:r>
      <w:r>
        <w:rPr>
          <w:rStyle w:val="VerbatimChar"/>
        </w:rPr>
        <w:t xml:space="preserve">./05-aml-kyc-cdd-policy.md</w:t>
      </w:r>
      <w:r>
        <w:t xml:space="preserve">,</w:t>
      </w:r>
      <w:r>
        <w:t xml:space="preserve"> </w:t>
      </w:r>
      <w:r>
        <w:rPr>
          <w:rStyle w:val="VerbatimChar"/>
        </w:rPr>
        <w:t xml:space="preserve">./07-sar-str-procedure.md</w:t>
      </w:r>
      <w:r>
        <w:t xml:space="preserve">,</w:t>
      </w:r>
      <w:r>
        <w:t xml:space="preserve"> </w:t>
      </w:r>
      <w:r>
        <w:rPr>
          <w:rStyle w:val="VerbatimChar"/>
        </w:rPr>
        <w:t xml:space="preserve">./09-pdpa-privacy-policy.md</w:t>
      </w:r>
      <w:r>
        <w:t xml:space="preserve">,</w:t>
      </w:r>
      <w:r>
        <w:t xml:space="preserve"> </w:t>
      </w:r>
      <w:r>
        <w:rPr>
          <w:rStyle w:val="VerbatimChar"/>
        </w:rPr>
        <w:t xml:space="preserve">./16-incident-response-breach.md</w:t>
      </w:r>
    </w:p>
    <w:p>
      <w:pPr>
        <w:pStyle w:val="BlockText"/>
      </w:pPr>
      <w:r>
        <w:rPr>
          <w:b/>
          <w:bCs/>
        </w:rPr>
        <w:t xml:space="preserve">ข้อจำกัดความรับผิด:</w:t>
      </w:r>
      <w:r>
        <w:t xml:space="preserve"> </w:t>
      </w:r>
      <w:r>
        <w:t xml:space="preserve">เอกสารนี้เป็นข้อมูลอ้างอิงเชิงโครงสร้าง/ปฏิบัติการ ไม่ใช่คำแนะนำทางกฎหมาย</w:t>
      </w:r>
      <w:r>
        <w:t xml:space="preserve"> </w:t>
      </w:r>
      <w:r>
        <w:t xml:space="preserve">ต้องผ่านการทบทวนโดยที่ปรึกษากฎหมายด้านใบอนุญาต ธปท. และคู่มือ dispute ของ card scheme ฉบับล่าสุดก่อนยื่นจริง</w:t>
      </w:r>
    </w:p>
    <w:p>
      <w:r>
        <w:pict>
          <v:rect style="width:0;height:1.5pt" o:hralign="center" o:hrstd="t" o:hr="t"/>
        </w:pict>
      </w:r>
    </w:p>
    <w:p>
      <w:pPr>
        <w:pStyle w:val="BlockText"/>
      </w:pPr>
      <w:r>
        <w:t xml:space="preserve">[!IMPORTANT]</w:t>
      </w:r>
      <w:r>
        <w:t xml:space="preserve"> </w:t>
      </w:r>
      <w:r>
        <w:rPr>
          <w:b/>
          <w:bCs/>
        </w:rPr>
        <w:t xml:space="preserve">สมมติฐานและรายการที่ยังไม่สรุป (Assumptions / TODO)</w:t>
      </w:r>
      <w:r>
        <w:t xml:space="preserve"> </w:t>
      </w:r>
      <w:r>
        <w:t xml:space="preserve">— ต้องเติมค่าจริงหรือยืนยันก่อนยื่น ธปท. และก่อน go-live</w:t>
      </w:r>
    </w:p>
    <w:tbl>
      <w:tblPr>
        <w:tblStyle w:val="Table"/>
        <w:tblW w:type="pct" w:w="5000"/>
        <w:tblLayout w:type="fixed"/>
        <w:tblLook w:firstRow="1" w:lastRow="0" w:firstColumn="0" w:lastColumn="0" w:noHBand="0" w:noVBand="0" w:val="0020"/>
      </w:tblPr>
      <w:tblGrid>
        <w:gridCol w:w="766"/>
        <w:gridCol w:w="2043"/>
        <w:gridCol w:w="1788"/>
        <w:gridCol w:w="3321"/>
      </w:tblGrid>
      <w:tr>
        <w:trPr>
          <w:tblHeader w:val="on"/>
        </w:trPr>
        <w:tc>
          <w:tcPr/>
          <w:p>
            <w:pPr>
              <w:pStyle w:val="Compact"/>
            </w:pPr>
            <w:r>
              <w:t xml:space="preserve">#</w:t>
            </w:r>
          </w:p>
        </w:tc>
        <w:tc>
          <w:tcPr/>
          <w:p>
            <w:pPr>
              <w:pStyle w:val="Compact"/>
            </w:pPr>
            <w:r>
              <w:t xml:space="preserve">รายการ</w:t>
            </w:r>
          </w:p>
        </w:tc>
        <w:tc>
          <w:tcPr/>
          <w:p>
            <w:pPr>
              <w:pStyle w:val="Compact"/>
            </w:pPr>
            <w:r>
              <w:t xml:space="preserve">สถานะ</w:t>
            </w:r>
          </w:p>
        </w:tc>
        <w:tc>
          <w:tcPr/>
          <w:p>
            <w:pPr>
              <w:pStyle w:val="Compact"/>
            </w:pPr>
            <w:r>
              <w:t xml:space="preserve">ผู้รับผิดชอบ</w:t>
            </w:r>
          </w:p>
        </w:tc>
      </w:tr>
      <w:tr>
        <w:tc>
          <w:tcPr/>
          <w:p>
            <w:pPr>
              <w:pStyle w:val="Compact"/>
            </w:pPr>
            <w:r>
              <w:t xml:space="preserve">A1</w:t>
            </w:r>
          </w:p>
        </w:tc>
        <w:tc>
          <w:tcPr/>
          <w:p>
            <w:pPr>
              <w:pStyle w:val="Compact"/>
            </w:pPr>
            <w:r>
              <w:rPr>
                <w:b/>
                <w:bCs/>
              </w:rPr>
              <w:t xml:space="preserve">ชื่อบริษัทจริง</w:t>
            </w:r>
            <w:r>
              <w:t xml:space="preserve"> </w:t>
            </w:r>
            <w:r>
              <w:t xml:space="preserve">— ใช้ placeholder</w:t>
            </w:r>
            <w:r>
              <w:t xml:space="preserve"> </w:t>
            </w:r>
            <w:r>
              <w:rPr>
                <w:rStyle w:val="VerbatimChar"/>
              </w:rPr>
              <w:t xml:space="preserve">[บริษัท / Company]</w:t>
            </w:r>
            <w:r>
              <w:t xml:space="preserve"> </w:t>
            </w:r>
            <w:r>
              <w:t xml:space="preserve">ทั้งเอกสาร</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bank / Acquiring bank</w:t>
            </w:r>
            <w:r>
              <w:t xml:space="preserve"> </w:t>
            </w:r>
            <w:r>
              <w:t xml:space="preserve">— ยังไม่ลงนาม (เส้นทาง B ตาม ROADMAP) กำหนด SLA การส่ง representment, การหักบัญชี chargeback และ dispute portal ที่ใช้จริง</w:t>
            </w:r>
          </w:p>
        </w:tc>
        <w:tc>
          <w:tcPr/>
          <w:p>
            <w:pPr>
              <w:pStyle w:val="Compact"/>
            </w:pPr>
            <w:r>
              <w:t xml:space="preserve">ยังไม่สรุป</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Card scheme dispute rules ฉบับที่บังคับใช้</w:t>
            </w:r>
            <w:r>
              <w:t xml:space="preserve"> </w:t>
            </w:r>
            <w:r>
              <w:t xml:space="preserve">— Visa VCR (Visa Claims Resolution) และ Mastercard Dispute Resolution (MDR/Mastercom) ต้องยึดฉบับ ณ วันขึ้นระบบ (เลขข้อ/timeline อาจปรับ)</w:t>
            </w:r>
          </w:p>
        </w:tc>
        <w:tc>
          <w:tcPr/>
          <w:p>
            <w:pPr>
              <w:pStyle w:val="Compact"/>
            </w:pPr>
            <w:r>
              <w:t xml:space="preserve">TODO</w:t>
            </w:r>
          </w:p>
        </w:tc>
        <w:tc>
          <w:tcPr/>
          <w:p>
            <w:pPr>
              <w:pStyle w:val="Compact"/>
            </w:pPr>
            <w:r>
              <w:t xml:space="preserve">Disputes Manager</w:t>
            </w:r>
          </w:p>
        </w:tc>
      </w:tr>
      <w:tr>
        <w:tc>
          <w:tcPr/>
          <w:p>
            <w:pPr>
              <w:pStyle w:val="Compact"/>
            </w:pPr>
            <w:r>
              <w:t xml:space="preserve">A4</w:t>
            </w:r>
          </w:p>
        </w:tc>
        <w:tc>
          <w:tcPr/>
          <w:p>
            <w:pPr>
              <w:pStyle w:val="Compact"/>
            </w:pPr>
            <w:r>
              <w:rPr>
                <w:b/>
                <w:bCs/>
              </w:rPr>
              <w:t xml:space="preserve">ITMX / local scheme rules</w:t>
            </w:r>
            <w:r>
              <w:t xml:space="preserve"> </w:t>
            </w:r>
            <w:r>
              <w:t xml:space="preserve">สำหรับบัตรในประเทศและ PromptPay/QR — ขั้นตอน dispute ของ local rails</w:t>
            </w:r>
          </w:p>
        </w:tc>
        <w:tc>
          <w:tcPr/>
          <w:p>
            <w:pPr>
              <w:pStyle w:val="Compact"/>
            </w:pPr>
            <w:r>
              <w:t xml:space="preserve">ยังไม่สรุป</w:t>
            </w:r>
          </w:p>
        </w:tc>
        <w:tc>
          <w:tcPr/>
          <w:p>
            <w:pPr>
              <w:pStyle w:val="Compact"/>
            </w:pPr>
            <w:r>
              <w:t xml:space="preserve">Head of Merchant Ops</w:t>
            </w:r>
          </w:p>
        </w:tc>
      </w:tr>
      <w:tr>
        <w:tc>
          <w:tcPr/>
          <w:p>
            <w:pPr>
              <w:pStyle w:val="Compact"/>
            </w:pPr>
            <w:r>
              <w:t xml:space="preserve">A5</w:t>
            </w:r>
          </w:p>
        </w:tc>
        <w:tc>
          <w:tcPr/>
          <w:p>
            <w:pPr>
              <w:pStyle w:val="Compact"/>
            </w:pPr>
            <w:r>
              <w:rPr>
                <w:b/>
                <w:bCs/>
              </w:rPr>
              <w:t xml:space="preserve">ศูนย์คุ้มครองผู้ใช้บริการทางการเงิน (ศคง.) สายด่วน ธปท. 1213</w:t>
            </w:r>
            <w:r>
              <w:t xml:space="preserve"> </w:t>
            </w:r>
            <w:r>
              <w:t xml:space="preserve">— ยืนยันช่องทาง/แบบฟอร์มร้องเรียนและกรอบเวลาตอบกลับที่ ธปท. คาดหวังจากผู้ประกอบธุรกิจ</w:t>
            </w:r>
          </w:p>
        </w:tc>
        <w:tc>
          <w:tcPr/>
          <w:p>
            <w:pPr>
              <w:pStyle w:val="Compact"/>
            </w:pPr>
            <w:r>
              <w:t xml:space="preserve">TODO</w:t>
            </w:r>
          </w:p>
        </w:tc>
        <w:tc>
          <w:tcPr/>
          <w:p>
            <w:pPr>
              <w:pStyle w:val="Compact"/>
            </w:pPr>
            <w:r>
              <w:t xml:space="preserve">CCO / ที่ปรึกษากฎหมาย</w:t>
            </w:r>
          </w:p>
        </w:tc>
      </w:tr>
      <w:tr>
        <w:tc>
          <w:tcPr/>
          <w:p>
            <w:pPr>
              <w:pStyle w:val="Compact"/>
            </w:pPr>
            <w:r>
              <w:t xml:space="preserve">A6</w:t>
            </w:r>
          </w:p>
        </w:tc>
        <w:tc>
          <w:tcPr/>
          <w:p>
            <w:pPr>
              <w:pStyle w:val="Compact"/>
            </w:pPr>
            <w:r>
              <w:rPr>
                <w:b/>
                <w:bCs/>
              </w:rPr>
              <w:t xml:space="preserve">สถาบันอนุญาโตตุลาการ</w:t>
            </w:r>
            <w:r>
              <w:t xml:space="preserve"> </w:t>
            </w:r>
            <w:r>
              <w:t xml:space="preserve">— เลือกระหว่าง</w:t>
            </w:r>
            <w:r>
              <w:t xml:space="preserve"> </w:t>
            </w:r>
            <w:r>
              <w:rPr>
                <w:b/>
                <w:bCs/>
              </w:rPr>
              <w:t xml:space="preserve">THAC (สถาบันอนุญาโตตุลาการ)</w:t>
            </w:r>
            <w:r>
              <w:t xml:space="preserve"> </w:t>
            </w:r>
            <w:r>
              <w:t xml:space="preserve">หรือ</w:t>
            </w:r>
            <w:r>
              <w:t xml:space="preserve"> </w:t>
            </w:r>
            <w:r>
              <w:rPr>
                <w:b/>
                <w:bCs/>
              </w:rPr>
              <w:t xml:space="preserve">สำนักงานอนุญาโตตุลาการ สำนักงานศาลยุติธรรม (TAI)</w:t>
            </w:r>
            <w:r>
              <w:t xml:space="preserve"> </w:t>
            </w:r>
            <w:r>
              <w:t xml:space="preserve">สำหรับ arbitration clause ในสัญญา merchant</w:t>
            </w:r>
          </w:p>
        </w:tc>
        <w:tc>
          <w:tcPr/>
          <w:p>
            <w:pPr>
              <w:pStyle w:val="Compact"/>
            </w:pPr>
            <w:r>
              <w:t xml:space="preserve">ยังไม่สรุป</w:t>
            </w:r>
          </w:p>
        </w:tc>
        <w:tc>
          <w:tcPr/>
          <w:p>
            <w:pPr>
              <w:pStyle w:val="Compact"/>
            </w:pPr>
            <w:r>
              <w:t xml:space="preserve">Legal Counsel</w:t>
            </w:r>
          </w:p>
        </w:tc>
      </w:tr>
      <w:tr>
        <w:tc>
          <w:tcPr/>
          <w:p>
            <w:pPr>
              <w:pStyle w:val="Compact"/>
            </w:pPr>
            <w:r>
              <w:t xml:space="preserve">A7</w:t>
            </w:r>
          </w:p>
        </w:tc>
        <w:tc>
          <w:tcPr/>
          <w:p>
            <w:pPr>
              <w:pStyle w:val="Compact"/>
            </w:pPr>
            <w:r>
              <w:rPr>
                <w:b/>
                <w:bCs/>
              </w:rPr>
              <w:t xml:space="preserve">วงเงิน chargeback reserve / rolling reserve</w:t>
            </w:r>
            <w:r>
              <w:t xml:space="preserve"> </w:t>
            </w:r>
            <w:r>
              <w:t xml:space="preserve">ต่อ merchant risk tier — ต้องสอดคล้องเงื่อนไข sponsor bank</w:t>
            </w:r>
          </w:p>
        </w:tc>
        <w:tc>
          <w:tcPr/>
          <w:p>
            <w:pPr>
              <w:pStyle w:val="Compact"/>
            </w:pPr>
            <w:r>
              <w:t xml:space="preserve">ยังไม่สรุป</w:t>
            </w:r>
          </w:p>
        </w:tc>
        <w:tc>
          <w:tcPr/>
          <w:p>
            <w:pPr>
              <w:pStyle w:val="Compact"/>
            </w:pPr>
            <w:r>
              <w:t xml:space="preserve">CFO / Risk</w:t>
            </w:r>
          </w:p>
        </w:tc>
      </w:tr>
      <w:tr>
        <w:tc>
          <w:tcPr/>
          <w:p>
            <w:pPr>
              <w:pStyle w:val="Compact"/>
            </w:pPr>
            <w:r>
              <w:t xml:space="preserve">A8</w:t>
            </w:r>
          </w:p>
        </w:tc>
        <w:tc>
          <w:tcPr/>
          <w:p>
            <w:pPr>
              <w:pStyle w:val="Compact"/>
            </w:pPr>
            <w:r>
              <w:rPr>
                <w:b/>
                <w:bCs/>
              </w:rPr>
              <w:t xml:space="preserve">ระบบ case management จริง</w:t>
            </w:r>
            <w:r>
              <w:t xml:space="preserve"> </w:t>
            </w:r>
            <w:r>
              <w:t xml:space="preserve">(dispute workflow tool) และการเชื่อม</w:t>
            </w:r>
            <w:r>
              <w:t xml:space="preserve"> </w:t>
            </w:r>
            <w:r>
              <w:rPr>
                <w:rStyle w:val="VerbatimChar"/>
              </w:rPr>
              <w:t xml:space="preserve">webhook_events</w:t>
            </w:r>
            <w:r>
              <w:t xml:space="preserve"> </w:t>
            </w:r>
            <w:r>
              <w:t xml:space="preserve">เพื่อแจ้ง merchant</w:t>
            </w:r>
          </w:p>
        </w:tc>
        <w:tc>
          <w:tcPr/>
          <w:p>
            <w:pPr>
              <w:pStyle w:val="Compact"/>
            </w:pPr>
            <w:r>
              <w:t xml:space="preserve">TODO</w:t>
            </w:r>
          </w:p>
        </w:tc>
        <w:tc>
          <w:tcPr/>
          <w:p>
            <w:pPr>
              <w:pStyle w:val="Compact"/>
            </w:pPr>
            <w:r>
              <w:t xml:space="preserve">CTO / Disputes Manager</w:t>
            </w:r>
          </w:p>
        </w:tc>
      </w:tr>
    </w:tbl>
    <w:p>
      <w:pPr>
        <w:pStyle w:val="BlockText"/>
      </w:pPr>
      <w:r>
        <w:t xml:space="preserve">ห้ามกรอกชื่อผู้ให้บริการ/เลขข้อ scheme/วงเงินสมมติในช่องข้างต้นลงในเอกสารที่ยื่นจริง — ต้องเป็นข้อมูลที่ยืนยันได้เท่านั้น</w:t>
      </w:r>
    </w:p>
    <w:p>
      <w:r>
        <w:pict>
          <v:rect style="width:0;height:1.5pt" o:hralign="center" o:hrstd="t" o:hr="t"/>
        </w:pict>
      </w:r>
    </w:p>
    <w:bookmarkStart w:id="1049" w:name="วตถประสงคและขอบเขต-11"/>
    <w:p>
      <w:pPr>
        <w:pStyle w:val="Heading2"/>
      </w:pPr>
      <w:r>
        <w:t xml:space="preserve">1. วัตถุประสงค์และขอบเขต</w:t>
      </w:r>
    </w:p>
    <w:p>
      <w:pPr>
        <w:pStyle w:val="FirstParagraph"/>
      </w:pPr>
      <w:r>
        <w:t xml:space="preserve">เอกสารนี้กำหนด</w:t>
      </w:r>
      <w:r>
        <w:t xml:space="preserve"> </w:t>
      </w:r>
      <w:r>
        <w:rPr>
          <w:b/>
          <w:bCs/>
        </w:rPr>
        <w:t xml:space="preserve">ขั้นตอนการระงับข้อพิพาท (Dispute Resolution Procedure)</w:t>
      </w:r>
      <w:r>
        <w:t xml:space="preserve"> </w:t>
      </w:r>
      <w:r>
        <w:t xml:space="preserve">ของ [บริษัท / Company] ในฐานะผู้ให้บริการ Full Acquiring Gateway ครอบคลุมข้อพิพาททุกประเภทระหว่างคู่กรณี ได้แก่</w:t>
      </w:r>
      <w:r>
        <w:t xml:space="preserve"> </w:t>
      </w:r>
      <w:r>
        <w:rPr>
          <w:b/>
          <w:bCs/>
        </w:rPr>
        <w:t xml:space="preserve">ผู้ถือบัตร/ผู้บริโภค (cardholder)</w:t>
      </w:r>
      <w:r>
        <w:t xml:space="preserve">,</w:t>
      </w:r>
      <w:r>
        <w:t xml:space="preserve"> </w:t>
      </w:r>
      <w:r>
        <w:rPr>
          <w:b/>
          <w:bCs/>
        </w:rPr>
        <w:t xml:space="preserve">ร้านค้า (merchant)</w:t>
      </w:r>
      <w:r>
        <w:t xml:space="preserve">,</w:t>
      </w:r>
      <w:r>
        <w:t xml:space="preserve"> </w:t>
      </w:r>
      <w:r>
        <w:rPr>
          <w:b/>
          <w:bCs/>
        </w:rPr>
        <w:t xml:space="preserve">ธนาคารผู้ออกบัตร (issuer)</w:t>
      </w:r>
      <w:r>
        <w:t xml:space="preserve"> </w:t>
      </w:r>
      <w:r>
        <w:t xml:space="preserve">และ</w:t>
      </w:r>
      <w:r>
        <w:t xml:space="preserve"> </w:t>
      </w:r>
      <w:r>
        <w:rPr>
          <w:b/>
          <w:bCs/>
        </w:rPr>
        <w:t xml:space="preserve">[บริษัท / Company]</w:t>
      </w:r>
      <w:r>
        <w:t xml:space="preserve"> </w:t>
      </w:r>
      <w:r>
        <w:t xml:space="preserve">เอง เพื่อให้:</w:t>
      </w:r>
    </w:p>
    <w:p>
      <w:pPr>
        <w:pStyle w:val="Compact"/>
        <w:numPr>
          <w:ilvl w:val="0"/>
          <w:numId w:val="1384"/>
        </w:numPr>
      </w:pPr>
      <w:r>
        <w:t xml:space="preserve">มีช่องทางร้องเรียนและกระบวนการยกระดับ (escalation) ที่ชัดเจน เป็นธรรม และมีกรอบเวลา ตามหลัก</w:t>
      </w:r>
      <w:r>
        <w:t xml:space="preserve"> </w:t>
      </w:r>
      <w:r>
        <w:rPr>
          <w:b/>
          <w:bCs/>
        </w:rPr>
        <w:t xml:space="preserve">การคุ้มครองผู้ใช้บริการทางการเงิน (Market Conduct)</w:t>
      </w:r>
      <w:r>
        <w:t xml:space="preserve"> </w:t>
      </w:r>
      <w:r>
        <w:t xml:space="preserve">ของ ธปท.</w:t>
      </w:r>
    </w:p>
    <w:p>
      <w:pPr>
        <w:pStyle w:val="Compact"/>
        <w:numPr>
          <w:ilvl w:val="0"/>
          <w:numId w:val="1384"/>
        </w:numPr>
      </w:pPr>
      <w:r>
        <w:t xml:space="preserve">จัดการ</w:t>
      </w:r>
      <w:r>
        <w:t xml:space="preserve"> </w:t>
      </w:r>
      <w:r>
        <w:rPr>
          <w:b/>
          <w:bCs/>
        </w:rPr>
        <w:t xml:space="preserve">chargeback / dispute</w:t>
      </w:r>
      <w:r>
        <w:t xml:space="preserve"> </w:t>
      </w:r>
      <w:r>
        <w:t xml:space="preserve">ตามกฎ card scheme (Visa VCR, Mastercard MDR) และ local rails (ITMX/PromptPay) อย่างถูกต้องภายในกรอบเวลา</w:t>
      </w:r>
    </w:p>
    <w:p>
      <w:pPr>
        <w:pStyle w:val="Compact"/>
        <w:numPr>
          <w:ilvl w:val="0"/>
          <w:numId w:val="1384"/>
        </w:numPr>
      </w:pPr>
      <w:r>
        <w:t xml:space="preserve">รองรับการ</w:t>
      </w:r>
      <w:r>
        <w:t xml:space="preserve"> </w:t>
      </w:r>
      <w:r>
        <w:rPr>
          <w:b/>
          <w:bCs/>
        </w:rPr>
        <w:t xml:space="preserve">ยกระดับสู่การไกล่เกลี่ยและอนุญาโตตุลาการ (mediation &amp; arbitration)</w:t>
      </w:r>
      <w:r>
        <w:t xml:space="preserve"> </w:t>
      </w:r>
      <w:r>
        <w:t xml:space="preserve">เมื่อไม่สามารถระงับกันเองได้</w:t>
      </w:r>
    </w:p>
    <w:p>
      <w:pPr>
        <w:pStyle w:val="Compact"/>
        <w:numPr>
          <w:ilvl w:val="0"/>
          <w:numId w:val="1384"/>
        </w:numPr>
      </w:pPr>
      <w:r>
        <w:t xml:space="preserve">ปฏิบัติหน้าที่</w:t>
      </w:r>
      <w:r>
        <w:t xml:space="preserve"> </w:t>
      </w:r>
      <w:r>
        <w:rPr>
          <w:b/>
          <w:bCs/>
        </w:rPr>
        <w:t xml:space="preserve">รายงานต่อ ธปท. และหน่วยงานคุ้มครองผู้บริโภค</w:t>
      </w:r>
      <w:r>
        <w:t xml:space="preserve"> </w:t>
      </w:r>
      <w:r>
        <w:t xml:space="preserve">และประสานกับ ปปง./AMLO และ PDPC เมื่อเข้าเงื่อนไข</w:t>
      </w:r>
    </w:p>
    <w:p>
      <w:pPr>
        <w:pStyle w:val="FirstParagraph"/>
      </w:pPr>
      <w:r>
        <w:rPr>
          <w:b/>
          <w:bCs/>
        </w:rPr>
        <w:t xml:space="preserve">ขอบเขต:</w:t>
      </w:r>
      <w:r>
        <w:t xml:space="preserve"> </w:t>
      </w:r>
      <w:r>
        <w:t xml:space="preserve">ครอบคลุมทุกรายการใน</w:t>
      </w:r>
      <w:r>
        <w:t xml:space="preserve"> </w:t>
      </w:r>
      <w:r>
        <w:rPr>
          <w:rStyle w:val="VerbatimChar"/>
        </w:rPr>
        <w:t xml:space="preserve">payments</w:t>
      </w:r>
      <w:r>
        <w:t xml:space="preserve">,</w:t>
      </w:r>
      <w:r>
        <w:t xml:space="preserve"> </w:t>
      </w:r>
      <w:r>
        <w:rPr>
          <w:rStyle w:val="VerbatimChar"/>
        </w:rPr>
        <w:t xml:space="preserve">refunds</w:t>
      </w:r>
      <w:r>
        <w:t xml:space="preserve">,</w:t>
      </w:r>
      <w:r>
        <w:t xml:space="preserve"> </w:t>
      </w:r>
      <w:r>
        <w:rPr>
          <w:rStyle w:val="VerbatimChar"/>
        </w:rPr>
        <w:t xml:space="preserve">ledger_entries</w:t>
      </w:r>
      <w:r>
        <w:t xml:space="preserve"> </w:t>
      </w:r>
      <w:r>
        <w:t xml:space="preserve">ตาม</w:t>
      </w:r>
      <w:r>
        <w:t xml:space="preserve"> </w:t>
      </w:r>
      <w:r>
        <w:rPr>
          <w:rStyle w:val="VerbatimChar"/>
        </w:rPr>
        <w:t xml:space="preserve">ARCHITECTURE.md</w:t>
      </w:r>
      <w:r>
        <w:t xml:space="preserve"> </w:t>
      </w:r>
      <w:r>
        <w:t xml:space="preserve">และทุกช่องทาง (บัตร, 3DS, QR/PromptPay) ทั้งผ่านช่องทาง merchant, cardholder และ issuer</w:t>
      </w:r>
    </w:p>
    <w:p>
      <w:pPr>
        <w:pStyle w:val="BlockText"/>
      </w:pPr>
      <w:r>
        <w:rPr>
          <w:b/>
          <w:bCs/>
        </w:rPr>
        <w:t xml:space="preserve">หลักการที่ยึดตลอดเอกสาร:</w:t>
      </w:r>
      <w:r>
        <w:t xml:space="preserve"> </w:t>
      </w:r>
      <w:r>
        <w:rPr>
          <w:i/>
          <w:iCs/>
        </w:rPr>
        <w:t xml:space="preserve">“ไกล่เกลี่ยก่อน — ยกระดับเมื่อจำเป็น — บันทึกทุกขั้นตอนใน audit trail”</w:t>
      </w:r>
      <w:r>
        <w:t xml:space="preserve"> </w:t>
      </w:r>
      <w:r>
        <w:t xml:space="preserve">ทุกข้อพิพาทได้รับหมายเลข case (</w:t>
      </w:r>
      <w:r>
        <w:rPr>
          <w:rStyle w:val="VerbatimChar"/>
        </w:rPr>
        <w:t xml:space="preserve">DISP-YYYY-NNNNNN</w:t>
      </w:r>
      <w:r>
        <w:t xml:space="preserve">) และผูกกับ</w:t>
      </w:r>
      <w:r>
        <w:t xml:space="preserve"> </w:t>
      </w:r>
      <w:r>
        <w:rPr>
          <w:rStyle w:val="VerbatimChar"/>
        </w:rPr>
        <w:t xml:space="preserve">payment_id</w:t>
      </w:r>
      <w:r>
        <w:t xml:space="preserve"> </w:t>
      </w:r>
      <w:r>
        <w:t xml:space="preserve">ตั้งแต่วินาทีแรก และทุก state change ลง</w:t>
      </w:r>
      <w:r>
        <w:t xml:space="preserve"> </w:t>
      </w:r>
      <w:r>
        <w:rPr>
          <w:rStyle w:val="VerbatimChar"/>
        </w:rPr>
        <w:t xml:space="preserve">audit_log</w:t>
      </w:r>
      <w:r>
        <w:t xml:space="preserve"> </w:t>
      </w:r>
      <w:r>
        <w:t xml:space="preserve">ตาม PCI-DSS Req 10</w:t>
      </w:r>
    </w:p>
    <w:p>
      <w:r>
        <w:pict>
          <v:rect style="width:0;height:1.5pt" o:hralign="center" o:hrstd="t" o:hr="t"/>
        </w:pict>
      </w:r>
    </w:p>
    <w:bookmarkEnd w:id="1049"/>
    <w:bookmarkStart w:id="1050" w:name="X3088bfa0e00351804a911136814a6c829dbee45"/>
    <w:p>
      <w:pPr>
        <w:pStyle w:val="Heading2"/>
      </w:pPr>
      <w:r>
        <w:t xml:space="preserve">2. ประเภทข้อพิพาทและช่องทางเข้า (Dispute Types &amp; Intake)</w:t>
      </w:r>
    </w:p>
    <w:tbl>
      <w:tblPr>
        <w:tblStyle w:val="Table"/>
        <w:tblW w:type="pct" w:w="5000"/>
        <w:tblLayout w:type="fixed"/>
        <w:tblLook w:firstRow="1" w:lastRow="0" w:firstColumn="0" w:lastColumn="0" w:noHBand="0" w:noVBand="0" w:val="0020"/>
      </w:tblPr>
      <w:tblGrid>
        <w:gridCol w:w="1242"/>
        <w:gridCol w:w="1242"/>
        <w:gridCol w:w="2018"/>
        <w:gridCol w:w="3416"/>
      </w:tblGrid>
      <w:tr>
        <w:trPr>
          <w:tblHeader w:val="on"/>
        </w:trPr>
        <w:tc>
          <w:tcPr/>
          <w:p>
            <w:pPr>
              <w:pStyle w:val="Compact"/>
            </w:pPr>
            <w:r>
              <w:t xml:space="preserve">ประเภท</w:t>
            </w:r>
          </w:p>
        </w:tc>
        <w:tc>
          <w:tcPr/>
          <w:p>
            <w:pPr>
              <w:pStyle w:val="Compact"/>
            </w:pPr>
            <w:r>
              <w:t xml:space="preserve">ต้นทาง</w:t>
            </w:r>
          </w:p>
        </w:tc>
        <w:tc>
          <w:tcPr/>
          <w:p>
            <w:pPr>
              <w:pStyle w:val="Compact"/>
            </w:pPr>
            <w:r>
              <w:t xml:space="preserve">ช่องทางเข้า</w:t>
            </w:r>
          </w:p>
        </w:tc>
        <w:tc>
          <w:tcPr/>
          <w:p>
            <w:pPr>
              <w:pStyle w:val="Compact"/>
            </w:pPr>
            <w:r>
              <w:t xml:space="preserve">ผู้รับเรื่องเริ่มต้น</w:t>
            </w:r>
          </w:p>
        </w:tc>
      </w:tr>
      <w:tr>
        <w:tc>
          <w:tcPr/>
          <w:p>
            <w:pPr>
              <w:pStyle w:val="Compact"/>
            </w:pPr>
            <w:r>
              <w:rPr>
                <w:b/>
                <w:bCs/>
              </w:rPr>
              <w:t xml:space="preserve">ข้อร้องเรียนผู้บริโภค (consumer complaint)</w:t>
            </w:r>
          </w:p>
        </w:tc>
        <w:tc>
          <w:tcPr/>
          <w:p>
            <w:pPr>
              <w:pStyle w:val="Compact"/>
            </w:pPr>
            <w:r>
              <w:t xml:space="preserve">ผู้ถือบัตร/ผู้ใช้บริการ</w:t>
            </w:r>
          </w:p>
        </w:tc>
        <w:tc>
          <w:tcPr/>
          <w:p>
            <w:pPr>
              <w:pStyle w:val="Compact"/>
            </w:pPr>
            <w:r>
              <w:t xml:space="preserve">อีเมล</w:t>
            </w:r>
            <w:r>
              <w:t xml:space="preserve"> </w:t>
            </w:r>
            <w:r>
              <w:rPr>
                <w:rStyle w:val="VerbatimChar"/>
              </w:rPr>
              <w:t xml:space="preserve">disputes@[company]</w:t>
            </w:r>
            <w:r>
              <w:t xml:space="preserve">, สายด่วนลูกค้า, แบบฟอร์มในเว็บ</w:t>
            </w:r>
          </w:p>
        </w:tc>
        <w:tc>
          <w:tcPr/>
          <w:p>
            <w:pPr>
              <w:pStyle w:val="Compact"/>
            </w:pPr>
            <w:r>
              <w:t xml:space="preserve">Customer Support (Tier 1)</w:t>
            </w:r>
          </w:p>
        </w:tc>
      </w:tr>
      <w:tr>
        <w:tc>
          <w:tcPr/>
          <w:p>
            <w:pPr>
              <w:pStyle w:val="Compact"/>
            </w:pPr>
            <w:r>
              <w:rPr>
                <w:b/>
                <w:bCs/>
              </w:rPr>
              <w:t xml:space="preserve">Chargeback / dispute (card)</w:t>
            </w:r>
          </w:p>
        </w:tc>
        <w:tc>
          <w:tcPr/>
          <w:p>
            <w:pPr>
              <w:pStyle w:val="Compact"/>
            </w:pPr>
            <w:r>
              <w:t xml:space="preserve">issuer ผ่าน scheme → sponsor bank</w:t>
            </w:r>
          </w:p>
        </w:tc>
        <w:tc>
          <w:tcPr/>
          <w:p>
            <w:pPr>
              <w:pStyle w:val="Compact"/>
            </w:pPr>
            <w:r>
              <w:t xml:space="preserve">Visa VCR / Mastercom / dispute portal ของ sponsor bank</w:t>
            </w:r>
          </w:p>
        </w:tc>
        <w:tc>
          <w:tcPr/>
          <w:p>
            <w:pPr>
              <w:pStyle w:val="Compact"/>
            </w:pPr>
            <w:r>
              <w:t xml:space="preserve">Disputes Team</w:t>
            </w:r>
          </w:p>
        </w:tc>
      </w:tr>
      <w:tr>
        <w:tc>
          <w:tcPr/>
          <w:p>
            <w:pPr>
              <w:pStyle w:val="Compact"/>
            </w:pPr>
            <w:r>
              <w:rPr>
                <w:b/>
                <w:bCs/>
              </w:rPr>
              <w:t xml:space="preserve">ข้อพิพาทธุรกรรม QR/PromptPay</w:t>
            </w:r>
          </w:p>
        </w:tc>
        <w:tc>
          <w:tcPr/>
          <w:p>
            <w:pPr>
              <w:pStyle w:val="Compact"/>
            </w:pPr>
            <w:r>
              <w:t xml:space="preserve">ผู้จ่าย/ผู้รับผ่าน bank/ITMX</w:t>
            </w:r>
          </w:p>
        </w:tc>
        <w:tc>
          <w:tcPr/>
          <w:p>
            <w:pPr>
              <w:pStyle w:val="Compact"/>
            </w:pPr>
            <w:r>
              <w:t xml:space="preserve">ITMX dispute process</w:t>
            </w:r>
          </w:p>
        </w:tc>
        <w:tc>
          <w:tcPr/>
          <w:p>
            <w:pPr>
              <w:pStyle w:val="Compact"/>
            </w:pPr>
            <w:r>
              <w:t xml:space="preserve">Disputes Team</w:t>
            </w:r>
          </w:p>
        </w:tc>
      </w:tr>
      <w:tr>
        <w:tc>
          <w:tcPr/>
          <w:p>
            <w:pPr>
              <w:pStyle w:val="Compact"/>
            </w:pPr>
            <w:r>
              <w:rPr>
                <w:b/>
                <w:bCs/>
              </w:rPr>
              <w:t xml:space="preserve">ข้อพิพาทเชิงพาณิชย์กับ merchant</w:t>
            </w:r>
          </w:p>
        </w:tc>
        <w:tc>
          <w:tcPr/>
          <w:p>
            <w:pPr>
              <w:pStyle w:val="Compact"/>
            </w:pPr>
            <w:r>
              <w:t xml:space="preserve">merchant (ค่าธรรมเนียม, settlement, reserve, ปิดบัญชี)</w:t>
            </w:r>
          </w:p>
        </w:tc>
        <w:tc>
          <w:tcPr/>
          <w:p>
            <w:pPr>
              <w:pStyle w:val="Compact"/>
            </w:pPr>
            <w:r>
              <w:t xml:space="preserve">Account Manager / อีเมลตามสัญญา</w:t>
            </w:r>
          </w:p>
        </w:tc>
        <w:tc>
          <w:tcPr/>
          <w:p>
            <w:pPr>
              <w:pStyle w:val="Compact"/>
            </w:pPr>
            <w:r>
              <w:t xml:space="preserve">Merchant Operations</w:t>
            </w:r>
          </w:p>
        </w:tc>
      </w:tr>
      <w:tr>
        <w:tc>
          <w:tcPr/>
          <w:p>
            <w:pPr>
              <w:pStyle w:val="Compact"/>
            </w:pPr>
            <w:r>
              <w:rPr>
                <w:b/>
                <w:bCs/>
              </w:rPr>
              <w:t xml:space="preserve">ข้อพิพาทที่ส่งผ่าน ธปท. (ศคง. 1213)</w:t>
            </w:r>
          </w:p>
        </w:tc>
        <w:tc>
          <w:tcPr/>
          <w:p>
            <w:pPr>
              <w:pStyle w:val="Compact"/>
            </w:pPr>
            <w:r>
              <w:t xml:space="preserve">ธปท. ส่งต่อคำร้องเรียน</w:t>
            </w:r>
          </w:p>
        </w:tc>
        <w:tc>
          <w:tcPr/>
          <w:p>
            <w:pPr>
              <w:pStyle w:val="Compact"/>
            </w:pPr>
            <w:r>
              <w:t xml:space="preserve">ช่องทางทางการของ ธปท.</w:t>
            </w:r>
          </w:p>
        </w:tc>
        <w:tc>
          <w:tcPr/>
          <w:p>
            <w:pPr>
              <w:pStyle w:val="Compact"/>
            </w:pPr>
            <w:r>
              <w:t xml:space="preserve">CCO</w:t>
            </w:r>
          </w:p>
        </w:tc>
      </w:tr>
    </w:tbl>
    <w:p>
      <w:pPr>
        <w:pStyle w:val="BodyText"/>
      </w:pPr>
      <w:r>
        <w:rPr>
          <w:b/>
          <w:bCs/>
        </w:rPr>
        <w:t xml:space="preserve">ช่องทาง intake มาตรฐาน:</w:t>
      </w:r>
      <w:r>
        <w:t xml:space="preserve"> </w:t>
      </w:r>
      <w:r>
        <w:t xml:space="preserve">ทุกช่องทางต้องบันทึกเข้าระบบ case management (รายการ A8) ภายใน</w:t>
      </w:r>
      <w:r>
        <w:t xml:space="preserve"> </w:t>
      </w:r>
      <w:r>
        <w:rPr>
          <w:b/>
          <w:bCs/>
        </w:rPr>
        <w:t xml:space="preserve">1 วันทำการ</w:t>
      </w:r>
      <w:r>
        <w:t xml:space="preserve"> </w:t>
      </w:r>
      <w:r>
        <w:t xml:space="preserve">ออกเลข case และส่ง acknowledgement อัตโนมัติให้ผู้ร้อง</w:t>
      </w:r>
    </w:p>
    <w:p>
      <w:r>
        <w:pict>
          <v:rect style="width:0;height:1.5pt" o:hralign="center" o:hrstd="t" o:hr="t"/>
        </w:pict>
      </w:r>
    </w:p>
    <w:bookmarkEnd w:id="1050"/>
    <w:bookmarkStart w:id="1051" w:name="บทบาทและความรบผดชอบ-roles-1"/>
    <w:p>
      <w:pPr>
        <w:pStyle w:val="Heading2"/>
      </w:pPr>
      <w:r>
        <w:t xml:space="preserve">3. บทบาทและความรับผิดชอบ (Roles)</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บทบาท</w:t>
            </w:r>
          </w:p>
        </w:tc>
        <w:tc>
          <w:tcPr/>
          <w:p>
            <w:pPr>
              <w:pStyle w:val="Compact"/>
            </w:pPr>
            <w:r>
              <w:t xml:space="preserve">หน้าที่หลัก</w:t>
            </w:r>
          </w:p>
        </w:tc>
      </w:tr>
      <w:tr>
        <w:tc>
          <w:tcPr/>
          <w:p>
            <w:pPr>
              <w:pStyle w:val="Compact"/>
            </w:pPr>
            <w:r>
              <w:rPr>
                <w:b/>
                <w:bCs/>
              </w:rPr>
              <w:t xml:space="preserve">Customer Support (Tier 1)</w:t>
            </w:r>
          </w:p>
        </w:tc>
        <w:tc>
          <w:tcPr/>
          <w:p>
            <w:pPr>
              <w:pStyle w:val="Compact"/>
            </w:pPr>
            <w:r>
              <w:t xml:space="preserve">รับเรื่อง, ยืนยันตัวตน, แก้เคสง่าย (สอบถามยอด, refund ตามนโยบาย), ออก acknowledgement</w:t>
            </w:r>
          </w:p>
        </w:tc>
      </w:tr>
      <w:tr>
        <w:tc>
          <w:tcPr/>
          <w:p>
            <w:pPr>
              <w:pStyle w:val="Compact"/>
            </w:pPr>
            <w:r>
              <w:rPr>
                <w:b/>
                <w:bCs/>
              </w:rPr>
              <w:t xml:space="preserve">Disputes Team (Tier 2)</w:t>
            </w:r>
          </w:p>
        </w:tc>
        <w:tc>
          <w:tcPr/>
          <w:p>
            <w:pPr>
              <w:pStyle w:val="Compact"/>
            </w:pPr>
            <w:r>
              <w:t xml:space="preserve">จัดการ chargeback/representment, รวบรวมหลักฐาน (compelling evidence), คุมกรอบเวลา scheme</w:t>
            </w:r>
          </w:p>
        </w:tc>
      </w:tr>
      <w:tr>
        <w:tc>
          <w:tcPr/>
          <w:p>
            <w:pPr>
              <w:pStyle w:val="Compact"/>
            </w:pPr>
            <w:r>
              <w:rPr>
                <w:b/>
                <w:bCs/>
              </w:rPr>
              <w:t xml:space="preserve">Disputes Manager</w:t>
            </w:r>
          </w:p>
        </w:tc>
        <w:tc>
          <w:tcPr/>
          <w:p>
            <w:pPr>
              <w:pStyle w:val="Compact"/>
            </w:pPr>
            <w:r>
              <w:t xml:space="preserve">เจ้าของกระบวนการ, อนุมัติ representment/accept liability, รายงาน chargeback ratio</w:t>
            </w:r>
          </w:p>
        </w:tc>
      </w:tr>
      <w:tr>
        <w:tc>
          <w:tcPr/>
          <w:p>
            <w:pPr>
              <w:pStyle w:val="Compact"/>
            </w:pPr>
            <w:r>
              <w:rPr>
                <w:b/>
                <w:bCs/>
              </w:rPr>
              <w:t xml:space="preserve">Merchant Operations / Account Manager</w:t>
            </w:r>
          </w:p>
        </w:tc>
        <w:tc>
          <w:tcPr/>
          <w:p>
            <w:pPr>
              <w:pStyle w:val="Compact"/>
            </w:pPr>
            <w:r>
              <w:t xml:space="preserve">ข้อพิพาทเชิงพาณิชย์กับ merchant, การเจรจา reserve/settlement</w:t>
            </w:r>
          </w:p>
        </w:tc>
      </w:tr>
      <w:tr>
        <w:tc>
          <w:tcPr/>
          <w:p>
            <w:pPr>
              <w:pStyle w:val="Compact"/>
            </w:pPr>
            <w:r>
              <w:rPr>
                <w:b/>
                <w:bCs/>
              </w:rPr>
              <w:t xml:space="preserve">CCO (Chief Compliance Officer)</w:t>
            </w:r>
          </w:p>
        </w:tc>
        <w:tc>
          <w:tcPr/>
          <w:p>
            <w:pPr>
              <w:pStyle w:val="Compact"/>
            </w:pPr>
            <w:r>
              <w:t xml:space="preserve">จุดติดต่อ</w:t>
            </w:r>
            <w:r>
              <w:t xml:space="preserve"> </w:t>
            </w:r>
            <w:r>
              <w:rPr>
                <w:b/>
                <w:bCs/>
              </w:rPr>
              <w:t xml:space="preserve">ธปท./ศคง. 1213</w:t>
            </w:r>
            <w:r>
              <w:t xml:space="preserve"> </w:t>
            </w:r>
            <w:r>
              <w:t xml:space="preserve">อย่างเป็นทางการ, กำกับ market conduct, รายงานตามใบอนุญาต</w:t>
            </w:r>
          </w:p>
        </w:tc>
      </w:tr>
      <w:tr>
        <w:tc>
          <w:tcPr/>
          <w:p>
            <w:pPr>
              <w:pStyle w:val="Compact"/>
            </w:pPr>
            <w:r>
              <w:rPr>
                <w:b/>
                <w:bCs/>
              </w:rPr>
              <w:t xml:space="preserve">MLRO</w:t>
            </w:r>
          </w:p>
        </w:tc>
        <w:tc>
          <w:tcPr/>
          <w:p>
            <w:pPr>
              <w:pStyle w:val="Compact"/>
            </w:pPr>
            <w:r>
              <w:t xml:space="preserve">ประเมินสัญญาณฟอกเงิน/ทุจริต; หากพบให้เริ่ม STR ตาม</w:t>
            </w:r>
            <w:r>
              <w:t xml:space="preserve"> </w:t>
            </w:r>
            <w:r>
              <w:rPr>
                <w:rStyle w:val="VerbatimChar"/>
              </w:rPr>
              <w:t xml:space="preserve">07-sar-str-procedure.md</w:t>
            </w:r>
            <w:r>
              <w:t xml:space="preserve"> </w:t>
            </w:r>
            <w:r>
              <w:t xml:space="preserve">(ห้าม tipping-off)</w:t>
            </w:r>
          </w:p>
        </w:tc>
      </w:tr>
      <w:tr>
        <w:tc>
          <w:tcPr/>
          <w:p>
            <w:pPr>
              <w:pStyle w:val="Compact"/>
            </w:pPr>
            <w:r>
              <w:rPr>
                <w:b/>
                <w:bCs/>
              </w:rPr>
              <w:t xml:space="preserve">DPO</w:t>
            </w:r>
          </w:p>
        </w:tc>
        <w:tc>
          <w:tcPr/>
          <w:p>
            <w:pPr>
              <w:pStyle w:val="Compact"/>
            </w:pPr>
            <w:r>
              <w:t xml:space="preserve">คุ้มครองข้อมูลส่วนบุคคลในเอกสารข้อพิพาท (PDPA), จำกัดการเปิดเผยข้อมูลผู้ถือบัตร</w:t>
            </w:r>
          </w:p>
        </w:tc>
      </w:tr>
      <w:tr>
        <w:tc>
          <w:tcPr/>
          <w:p>
            <w:pPr>
              <w:pStyle w:val="Compact"/>
            </w:pPr>
            <w:r>
              <w:rPr>
                <w:b/>
                <w:bCs/>
              </w:rPr>
              <w:t xml:space="preserve">Legal Counsel</w:t>
            </w:r>
          </w:p>
        </w:tc>
        <w:tc>
          <w:tcPr/>
          <w:p>
            <w:pPr>
              <w:pStyle w:val="Compact"/>
            </w:pPr>
            <w:r>
              <w:t xml:space="preserve">ไกล่เกลี่ย, อนุญาโตตุลาการ, คดีความ, ทบทวนสัญญา/clause</w:t>
            </w:r>
          </w:p>
        </w:tc>
      </w:tr>
      <w:tr>
        <w:tc>
          <w:tcPr/>
          <w:p>
            <w:pPr>
              <w:pStyle w:val="Compact"/>
            </w:pPr>
            <w:r>
              <w:rPr>
                <w:b/>
                <w:bCs/>
              </w:rPr>
              <w:t xml:space="preserve">Dispute Resolution Committee (DRC)</w:t>
            </w:r>
          </w:p>
        </w:tc>
        <w:tc>
          <w:tcPr/>
          <w:p>
            <w:pPr>
              <w:pStyle w:val="Compact"/>
            </w:pPr>
            <w:r>
              <w:t xml:space="preserve">คณะกรรมการภายในพิจารณาเคสยกระดับ (ดูข้อ 4), มติเป็นลายลักษณ์อักษร</w:t>
            </w:r>
          </w:p>
        </w:tc>
      </w:tr>
    </w:tbl>
    <w:p>
      <w:pPr>
        <w:pStyle w:val="BlockText"/>
      </w:pPr>
      <w:r>
        <w:rPr>
          <w:b/>
          <w:bCs/>
        </w:rPr>
        <w:t xml:space="preserve">หลักการแบ่งแยกหน้าที่:</w:t>
      </w:r>
      <w:r>
        <w:t xml:space="preserve"> </w:t>
      </w:r>
      <w:r>
        <w:t xml:space="preserve">มีเพียง</w:t>
      </w:r>
      <w:r>
        <w:t xml:space="preserve"> </w:t>
      </w:r>
      <w:r>
        <w:rPr>
          <w:b/>
          <w:bCs/>
        </w:rPr>
        <w:t xml:space="preserve">CCO</w:t>
      </w:r>
      <w:r>
        <w:t xml:space="preserve"> </w:t>
      </w:r>
      <w:r>
        <w:t xml:space="preserve">ที่ติดต่อ ธปท. อย่างเป็นทางการ, มีเพียง</w:t>
      </w:r>
      <w:r>
        <w:t xml:space="preserve"> </w:t>
      </w:r>
      <w:r>
        <w:rPr>
          <w:b/>
          <w:bCs/>
        </w:rPr>
        <w:t xml:space="preserve">Legal</w:t>
      </w:r>
      <w:r>
        <w:t xml:space="preserve"> </w:t>
      </w:r>
      <w:r>
        <w:t xml:space="preserve">ที่ผูกพันบริษัทในการไกล่เกลี่ย/อนุญาโตตุลาการ, และผู้ที่ตัดสินใจ refund/chargeback ต้องไม่ใช่คนเดียวกับผู้บันทึก ledger (segregation of duties ตาม</w:t>
      </w:r>
      <w:r>
        <w:t xml:space="preserve"> </w:t>
      </w:r>
      <w:r>
        <w:rPr>
          <w:rStyle w:val="VerbatimChar"/>
        </w:rPr>
        <w:t xml:space="preserve">18-segregation-of-duties.md</w:t>
      </w:r>
      <w:r>
        <w:t xml:space="preserve">)</w:t>
      </w:r>
    </w:p>
    <w:p>
      <w:r>
        <w:pict>
          <v:rect style="width:0;height:1.5pt" o:hralign="center" o:hrstd="t" o:hr="t"/>
        </w:pict>
      </w:r>
    </w:p>
    <w:bookmarkEnd w:id="1051"/>
    <w:bookmarkStart w:id="1052" w:name="ขนตอนการยกระดบ-escalation-ladder"/>
    <w:p>
      <w:pPr>
        <w:pStyle w:val="Heading2"/>
      </w:pPr>
      <w:r>
        <w:t xml:space="preserve">4. ขั้นตอนการยกระดับ (Escalation Ladder)</w:t>
      </w:r>
    </w:p>
    <w:p>
      <w:pPr>
        <w:pStyle w:val="FirstParagraph"/>
      </w:pPr>
      <w:r>
        <w:t xml:space="preserve">ข้อพิพาทดำเนินตามลำดับชั้น 4 ระดับ โดยยกระดับเมื่อไม่สามารถระงับได้ในระดับก่อนหน้าภายในกรอบเวลา:</w:t>
      </w:r>
    </w:p>
    <w:tbl>
      <w:tblPr>
        <w:tblStyle w:val="Table"/>
        <w:tblW w:type="pct" w:w="5000"/>
        <w:tblLayout w:type="fixed"/>
        <w:tblLook w:firstRow="1" w:lastRow="0" w:firstColumn="0" w:lastColumn="0" w:noHBand="0" w:noVBand="0" w:val="0020"/>
      </w:tblPr>
      <w:tblGrid>
        <w:gridCol w:w="939"/>
        <w:gridCol w:w="1745"/>
        <w:gridCol w:w="1745"/>
        <w:gridCol w:w="1745"/>
        <w:gridCol w:w="1745"/>
      </w:tblGrid>
      <w:tr>
        <w:trPr>
          <w:tblHeader w:val="on"/>
        </w:trPr>
        <w:tc>
          <w:tcPr/>
          <w:p>
            <w:pPr>
              <w:pStyle w:val="Compact"/>
            </w:pPr>
            <w:r>
              <w:t xml:space="preserve">ระดับ</w:t>
            </w:r>
          </w:p>
        </w:tc>
        <w:tc>
          <w:tcPr/>
          <w:p>
            <w:pPr>
              <w:pStyle w:val="Compact"/>
            </w:pPr>
            <w:r>
              <w:t xml:space="preserve">ผู้รับผิดชอบ</w:t>
            </w:r>
          </w:p>
        </w:tc>
        <w:tc>
          <w:tcPr/>
          <w:p>
            <w:pPr>
              <w:pStyle w:val="Compact"/>
            </w:pPr>
            <w:r>
              <w:t xml:space="preserve">ขอบเขตอำนาจ</w:t>
            </w:r>
          </w:p>
        </w:tc>
        <w:tc>
          <w:tcPr/>
          <w:p>
            <w:pPr>
              <w:pStyle w:val="Compact"/>
            </w:pPr>
            <w:r>
              <w:t xml:space="preserve">SLA ตอบกลับ</w:t>
            </w:r>
          </w:p>
        </w:tc>
        <w:tc>
          <w:tcPr/>
          <w:p>
            <w:pPr>
              <w:pStyle w:val="Compact"/>
            </w:pPr>
            <w:r>
              <w:t xml:space="preserve">SLA ปิดเคส</w:t>
            </w:r>
          </w:p>
        </w:tc>
      </w:tr>
      <w:tr>
        <w:tc>
          <w:tcPr/>
          <w:p>
            <w:pPr>
              <w:pStyle w:val="Compact"/>
            </w:pPr>
            <w:r>
              <w:rPr>
                <w:b/>
                <w:bCs/>
              </w:rPr>
              <w:t xml:space="preserve">L1 — Frontline</w:t>
            </w:r>
          </w:p>
        </w:tc>
        <w:tc>
          <w:tcPr/>
          <w:p>
            <w:pPr>
              <w:pStyle w:val="Compact"/>
            </w:pPr>
            <w:r>
              <w:t xml:space="preserve">Customer Support</w:t>
            </w:r>
          </w:p>
        </w:tc>
        <w:tc>
          <w:tcPr/>
          <w:p>
            <w:pPr>
              <w:pStyle w:val="Compact"/>
            </w:pPr>
            <w:r>
              <w:t xml:space="preserve">ยืนยันข้อมูล, refund ≤ ตามนโยบาย, ตอบข้อสงสัย</w:t>
            </w:r>
          </w:p>
        </w:tc>
        <w:tc>
          <w:tcPr/>
          <w:p>
            <w:pPr>
              <w:pStyle w:val="Compact"/>
            </w:pPr>
            <w:r>
              <w:t xml:space="preserve">รับทราบภายใน</w:t>
            </w:r>
            <w:r>
              <w:t xml:space="preserve"> </w:t>
            </w:r>
            <w:r>
              <w:rPr>
                <w:b/>
                <w:bCs/>
              </w:rPr>
              <w:t xml:space="preserve">1 วันทำการ</w:t>
            </w:r>
          </w:p>
        </w:tc>
        <w:tc>
          <w:tcPr/>
          <w:p>
            <w:pPr>
              <w:pStyle w:val="Compact"/>
            </w:pPr>
            <w:r>
              <w:rPr>
                <w:b/>
                <w:bCs/>
              </w:rPr>
              <w:t xml:space="preserve">5 วันทำการ</w:t>
            </w:r>
          </w:p>
        </w:tc>
      </w:tr>
      <w:tr>
        <w:tc>
          <w:tcPr/>
          <w:p>
            <w:pPr>
              <w:pStyle w:val="Compact"/>
            </w:pPr>
            <w:r>
              <w:rPr>
                <w:b/>
                <w:bCs/>
              </w:rPr>
              <w:t xml:space="preserve">L2 — Disputes/Ops</w:t>
            </w:r>
          </w:p>
        </w:tc>
        <w:tc>
          <w:tcPr/>
          <w:p>
            <w:pPr>
              <w:pStyle w:val="Compact"/>
            </w:pPr>
            <w:r>
              <w:t xml:space="preserve">Disputes Team / Account Manager</w:t>
            </w:r>
          </w:p>
        </w:tc>
        <w:tc>
          <w:tcPr/>
          <w:p>
            <w:pPr>
              <w:pStyle w:val="Compact"/>
            </w:pPr>
            <w:r>
              <w:t xml:space="preserve">chargeback/representment, ข้อพิพาทเชิงพาณิชย์</w:t>
            </w:r>
          </w:p>
        </w:tc>
        <w:tc>
          <w:tcPr/>
          <w:p>
            <w:pPr>
              <w:pStyle w:val="Compact"/>
            </w:pPr>
            <w:r>
              <w:rPr>
                <w:b/>
                <w:bCs/>
              </w:rPr>
              <w:t xml:space="preserve">2 วันทำการ</w:t>
            </w:r>
          </w:p>
        </w:tc>
        <w:tc>
          <w:tcPr/>
          <w:p>
            <w:pPr>
              <w:pStyle w:val="Compact"/>
            </w:pPr>
            <w:r>
              <w:rPr>
                <w:b/>
                <w:bCs/>
              </w:rPr>
              <w:t xml:space="preserve">15 วันทำการ</w:t>
            </w:r>
          </w:p>
        </w:tc>
      </w:tr>
      <w:tr>
        <w:tc>
          <w:tcPr/>
          <w:p>
            <w:pPr>
              <w:pStyle w:val="Compact"/>
            </w:pPr>
            <w:r>
              <w:rPr>
                <w:b/>
                <w:bCs/>
              </w:rPr>
              <w:t xml:space="preserve">L3 — Committee (DRC)</w:t>
            </w:r>
          </w:p>
        </w:tc>
        <w:tc>
          <w:tcPr/>
          <w:p>
            <w:pPr>
              <w:pStyle w:val="Compact"/>
            </w:pPr>
            <w:r>
              <w:t xml:space="preserve">Dispute Resolution Committee (CCO + Legal + Disputes Manager + Risk)</w:t>
            </w:r>
          </w:p>
        </w:tc>
        <w:tc>
          <w:tcPr/>
          <w:p>
            <w:pPr>
              <w:pStyle w:val="Compact"/>
            </w:pPr>
            <w:r>
              <w:t xml:space="preserve">เคสมูลค่าสูง/ซับซ้อน/มีข้อกฎหมาย</w:t>
            </w:r>
          </w:p>
        </w:tc>
        <w:tc>
          <w:tcPr/>
          <w:p>
            <w:pPr>
              <w:pStyle w:val="Compact"/>
            </w:pPr>
            <w:r>
              <w:rPr>
                <w:b/>
                <w:bCs/>
              </w:rPr>
              <w:t xml:space="preserve">5 วันทำการ</w:t>
            </w:r>
          </w:p>
        </w:tc>
        <w:tc>
          <w:tcPr/>
          <w:p>
            <w:pPr>
              <w:pStyle w:val="Compact"/>
            </w:pPr>
            <w:r>
              <w:rPr>
                <w:b/>
                <w:bCs/>
              </w:rPr>
              <w:t xml:space="preserve">30 วันทำการ</w:t>
            </w:r>
          </w:p>
        </w:tc>
      </w:tr>
      <w:tr>
        <w:tc>
          <w:tcPr/>
          <w:p>
            <w:pPr>
              <w:pStyle w:val="Compact"/>
            </w:pPr>
            <w:r>
              <w:rPr>
                <w:b/>
                <w:bCs/>
              </w:rPr>
              <w:t xml:space="preserve">L4 — External</w:t>
            </w:r>
          </w:p>
        </w:tc>
        <w:tc>
          <w:tcPr/>
          <w:p>
            <w:pPr>
              <w:pStyle w:val="Compact"/>
            </w:pPr>
            <w:r>
              <w:t xml:space="preserve">Legal Counsel</w:t>
            </w:r>
          </w:p>
        </w:tc>
        <w:tc>
          <w:tcPr/>
          <w:p>
            <w:pPr>
              <w:pStyle w:val="Compact"/>
            </w:pPr>
            <w:r>
              <w:t xml:space="preserve">ไกล่เกลี่ยภายนอก / อนุญาโตตุลาการ / ศาล / ธปท.</w:t>
            </w:r>
          </w:p>
        </w:tc>
        <w:tc>
          <w:tcPr/>
          <w:p>
            <w:pPr>
              <w:pStyle w:val="Compact"/>
            </w:pPr>
            <w:r>
              <w:t xml:space="preserve">ตามกฎของสถาบัน</w:t>
            </w:r>
          </w:p>
        </w:tc>
        <w:tc>
          <w:tcPr/>
          <w:p>
            <w:pPr>
              <w:pStyle w:val="Compact"/>
            </w:pPr>
            <w:r>
              <w:t xml:space="preserve">ตามกระบวนการ</w:t>
            </w:r>
          </w:p>
        </w:tc>
      </w:tr>
    </w:tbl>
    <w:p>
      <w:pPr>
        <w:pStyle w:val="BodyText"/>
      </w:pPr>
      <w:r>
        <w:rPr>
          <w:b/>
          <w:bCs/>
        </w:rPr>
        <w:t xml:space="preserve">เกณฑ์ยกระดับ (escalation triggers):</w:t>
      </w:r>
      <w:r>
        <w:t xml:space="preserve"> </w:t>
      </w:r>
      <w:r>
        <w:t xml:space="preserve">- ผู้ร้องไม่พอใจผลและขอทบทวน; หรือเกิน SLA ปิดเคสของระดับนั้น</w:t>
      </w:r>
      <w:r>
        <w:t xml:space="preserve"> </w:t>
      </w:r>
      <w:r>
        <w:t xml:space="preserve">- มูลค่าข้อพิพาท</w:t>
      </w:r>
      <w:r>
        <w:t xml:space="preserve"> </w:t>
      </w:r>
      <w:r>
        <w:rPr>
          <w:b/>
          <w:bCs/>
        </w:rPr>
        <w:t xml:space="preserve">≥ 100,000 บาท</w:t>
      </w:r>
      <w:r>
        <w:t xml:space="preserve"> </w:t>
      </w:r>
      <w:r>
        <w:t xml:space="preserve">หรือกระทบผู้ร้องหลายราย (systemic) → ขึ้น L3 อัตโนมัติ</w:t>
      </w:r>
      <w:r>
        <w:t xml:space="preserve"> </w:t>
      </w:r>
      <w:r>
        <w:t xml:space="preserve">- มีประเด็นข้อกฎหมาย/ความรับผิด/ความเสี่ยงชื่อเสียง → ขึ้น L3</w:t>
      </w:r>
      <w:r>
        <w:t xml:space="preserve"> </w:t>
      </w:r>
      <w:r>
        <w:t xml:space="preserve">- ธปท./ศคง. ส่งเรื่องต่อ → CCO รับตรงและถือเป็น</w:t>
      </w:r>
      <w:r>
        <w:t xml:space="preserve"> </w:t>
      </w:r>
      <w:r>
        <w:rPr>
          <w:b/>
          <w:bCs/>
        </w:rPr>
        <w:t xml:space="preserve">priority</w:t>
      </w:r>
      <w:r>
        <w:t xml:space="preserve"> </w:t>
      </w:r>
      <w:r>
        <w:t xml:space="preserve">(ดูข้อ 8)</w:t>
      </w:r>
      <w:r>
        <w:t xml:space="preserve"> </w:t>
      </w:r>
      <w:r>
        <w:t xml:space="preserve">- พบสัญญาณฉ้อโกง/ฟอกเงิน → แจ้ง MLRO ทันที (คู่ขนาน ไม่หยุดกระบวนการ dispute)</w:t>
      </w:r>
    </w:p>
    <w:p>
      <w:pPr>
        <w:pStyle w:val="BlockText"/>
      </w:pPr>
      <w:r>
        <w:rPr>
          <w:b/>
          <w:bCs/>
        </w:rPr>
        <w:t xml:space="preserve">หมายเหตุ:</w:t>
      </w:r>
      <w:r>
        <w:t xml:space="preserve"> </w:t>
      </w:r>
      <w:r>
        <w:t xml:space="preserve">กรอบเวลาภายในข้างต้นเป็น</w:t>
      </w:r>
      <w:r>
        <w:t xml:space="preserve"> </w:t>
      </w:r>
      <w:r>
        <w:rPr>
          <w:b/>
          <w:bCs/>
        </w:rPr>
        <w:t xml:space="preserve">นโยบายภายในของบริษัท</w:t>
      </w:r>
      <w:r>
        <w:t xml:space="preserve"> </w:t>
      </w:r>
      <w:r>
        <w:t xml:space="preserve">ต้องไม่ขัดและไม่เกินกว่ากรอบเวลาบังคับของ card scheme (ข้อ 5) และแนวปฏิบัติ market conduct ของ ธปท. (ข้อ 8) — เมื่อขัดกันให้ยึดกรอบที่สั้นกว่า/เข้มกว่า</w:t>
      </w:r>
    </w:p>
    <w:p>
      <w:r>
        <w:pict>
          <v:rect style="width:0;height:1.5pt" o:hralign="center" o:hrstd="t" o:hr="t"/>
        </w:pict>
      </w:r>
    </w:p>
    <w:bookmarkEnd w:id="1052"/>
    <w:bookmarkStart w:id="1053" w:name="X549605b4e8777cebdb86102a07dfd958d3f33b9"/>
    <w:p>
      <w:pPr>
        <w:pStyle w:val="Heading2"/>
      </w:pPr>
      <w:r>
        <w:t xml:space="preserve">5. Chargeback และ Representment (Card Scheme Dispute)</w:t>
      </w:r>
    </w:p>
    <w:p>
      <w:pPr>
        <w:pStyle w:val="FirstParagraph"/>
      </w:pPr>
      <w:r>
        <w:t xml:space="preserve">กระบวนการ chargeback ยึดตามวงจรของ card scheme ผ่าน sponsor bank (รายการ A2, A3):</w:t>
      </w:r>
    </w:p>
    <w:tbl>
      <w:tblPr>
        <w:tblStyle w:val="Table"/>
        <w:tblW w:type="pct" w:w="5000"/>
        <w:tblLayout w:type="fixed"/>
        <w:tblLook w:firstRow="1" w:lastRow="0" w:firstColumn="0" w:lastColumn="0" w:noHBand="0" w:noVBand="0" w:val="0020"/>
      </w:tblPr>
      <w:tblGrid>
        <w:gridCol w:w="698"/>
        <w:gridCol w:w="1048"/>
        <w:gridCol w:w="698"/>
        <w:gridCol w:w="5474"/>
      </w:tblGrid>
      <w:tr>
        <w:trPr>
          <w:tblHeader w:val="on"/>
        </w:trPr>
        <w:tc>
          <w:tcPr/>
          <w:p>
            <w:pPr>
              <w:pStyle w:val="Compact"/>
            </w:pPr>
            <w:r>
              <w:t xml:space="preserve">ขั้น</w:t>
            </w:r>
          </w:p>
        </w:tc>
        <w:tc>
          <w:tcPr/>
          <w:p>
            <w:pPr>
              <w:pStyle w:val="Compact"/>
            </w:pPr>
            <w:r>
              <w:t xml:space="preserve">ผู้กระทำ</w:t>
            </w:r>
          </w:p>
        </w:tc>
        <w:tc>
          <w:tcPr/>
          <w:p>
            <w:pPr>
              <w:pStyle w:val="Compact"/>
            </w:pPr>
            <w:r>
              <w:t xml:space="preserve">สาระ</w:t>
            </w:r>
          </w:p>
        </w:tc>
        <w:tc>
          <w:tcPr/>
          <w:p>
            <w:pPr>
              <w:pStyle w:val="Compact"/>
            </w:pPr>
            <w:r>
              <w:t xml:space="preserve">กรอบเวลาบังคับ (โดยประมาณ — ต้องยืนยันตาม A3)</w:t>
            </w:r>
          </w:p>
        </w:tc>
      </w:tr>
      <w:tr>
        <w:tc>
          <w:tcPr/>
          <w:p>
            <w:pPr>
              <w:pStyle w:val="Compact"/>
            </w:pPr>
            <w:r>
              <w:rPr>
                <w:b/>
                <w:bCs/>
              </w:rPr>
              <w:t xml:space="preserve">1. Retrieval / Inquiry</w:t>
            </w:r>
            <w:r>
              <w:t xml:space="preserve"> </w:t>
            </w:r>
            <w:r>
              <w:t xml:space="preserve">(ถ้ามี)</w:t>
            </w:r>
          </w:p>
        </w:tc>
        <w:tc>
          <w:tcPr/>
          <w:p>
            <w:pPr>
              <w:pStyle w:val="Compact"/>
            </w:pPr>
            <w:r>
              <w:t xml:space="preserve">issuer</w:t>
            </w:r>
          </w:p>
        </w:tc>
        <w:tc>
          <w:tcPr/>
          <w:p>
            <w:pPr>
              <w:pStyle w:val="Compact"/>
            </w:pPr>
            <w:r>
              <w:t xml:space="preserve">ขอสำเนาหลักฐานธุรกรรม</w:t>
            </w:r>
          </w:p>
        </w:tc>
        <w:tc>
          <w:tcPr/>
          <w:p>
            <w:pPr>
              <w:pStyle w:val="Compact"/>
            </w:pPr>
            <w:r>
              <w:t xml:space="preserve">ตอบภายในกรอบ scheme</w:t>
            </w:r>
          </w:p>
        </w:tc>
      </w:tr>
      <w:tr>
        <w:tc>
          <w:tcPr/>
          <w:p>
            <w:pPr>
              <w:pStyle w:val="Compact"/>
            </w:pPr>
            <w:r>
              <w:rPr>
                <w:b/>
                <w:bCs/>
              </w:rPr>
              <w:t xml:space="preserve">2. First Chargeback</w:t>
            </w:r>
          </w:p>
        </w:tc>
        <w:tc>
          <w:tcPr/>
          <w:p>
            <w:pPr>
              <w:pStyle w:val="Compact"/>
            </w:pPr>
            <w:r>
              <w:t xml:space="preserve">issuer → acquirer</w:t>
            </w:r>
          </w:p>
        </w:tc>
        <w:tc>
          <w:tcPr/>
          <w:p>
            <w:pPr>
              <w:pStyle w:val="Compact"/>
            </w:pPr>
            <w:r>
              <w:t xml:space="preserve">issuer หักเงินคืน cardholder อ้าง reason code</w:t>
            </w:r>
          </w:p>
        </w:tc>
        <w:tc>
          <w:tcPr/>
          <w:p>
            <w:pPr>
              <w:pStyle w:val="Compact"/>
            </w:pPr>
            <w:r>
              <w:t xml:space="preserve">โดยทั่วไป cardholder โต้แย้งได้ภายใน</w:t>
            </w:r>
            <w:r>
              <w:t xml:space="preserve"> </w:t>
            </w:r>
            <w:r>
              <w:rPr>
                <w:b/>
                <w:bCs/>
              </w:rPr>
              <w:t xml:space="preserve">120 วัน</w:t>
            </w:r>
            <w:r>
              <w:t xml:space="preserve"> </w:t>
            </w:r>
            <w:r>
              <w:t xml:space="preserve">นับจากวันธุรกรรม/คาดว่าจะได้รับสินค้า</w:t>
            </w:r>
          </w:p>
        </w:tc>
      </w:tr>
      <w:tr>
        <w:tc>
          <w:tcPr/>
          <w:p>
            <w:pPr>
              <w:pStyle w:val="Compact"/>
            </w:pPr>
            <w:r>
              <w:rPr>
                <w:b/>
                <w:bCs/>
              </w:rPr>
              <w:t xml:space="preserve">3. Representment</w:t>
            </w:r>
          </w:p>
        </w:tc>
        <w:tc>
          <w:tcPr/>
          <w:p>
            <w:pPr>
              <w:pStyle w:val="Compact"/>
            </w:pPr>
            <w:r>
              <w:t xml:space="preserve">acquirer → issuer</w:t>
            </w:r>
          </w:p>
        </w:tc>
        <w:tc>
          <w:tcPr/>
          <w:p>
            <w:pPr>
              <w:pStyle w:val="Compact"/>
            </w:pPr>
            <w:r>
              <w:t xml:space="preserve">[บริษัท / Company] ส่ง</w:t>
            </w:r>
            <w:r>
              <w:t xml:space="preserve"> </w:t>
            </w:r>
            <w:r>
              <w:rPr>
                <w:b/>
                <w:bCs/>
              </w:rPr>
              <w:t xml:space="preserve">compelling evidence</w:t>
            </w:r>
            <w:r>
              <w:t xml:space="preserve"> </w:t>
            </w:r>
            <w:r>
              <w:t xml:space="preserve">โต้กลับแทน merchant</w:t>
            </w:r>
          </w:p>
        </w:tc>
        <w:tc>
          <w:tcPr/>
          <w:p>
            <w:pPr>
              <w:pStyle w:val="Compact"/>
            </w:pPr>
            <w:r>
              <w:t xml:space="preserve">โดยทั่วไป</w:t>
            </w:r>
            <w:r>
              <w:t xml:space="preserve"> </w:t>
            </w:r>
            <w:r>
              <w:rPr>
                <w:b/>
                <w:bCs/>
              </w:rPr>
              <w:t xml:space="preserve">≤ 30 วัน</w:t>
            </w:r>
            <w:r>
              <w:t xml:space="preserve"> </w:t>
            </w:r>
            <w:r>
              <w:t xml:space="preserve">นับจากได้รับ chargeback</w:t>
            </w:r>
          </w:p>
        </w:tc>
      </w:tr>
      <w:tr>
        <w:tc>
          <w:tcPr/>
          <w:p>
            <w:pPr>
              <w:pStyle w:val="Compact"/>
            </w:pPr>
            <w:r>
              <w:rPr>
                <w:b/>
                <w:bCs/>
              </w:rPr>
              <w:t xml:space="preserve">4. Pre-Arbitration</w:t>
            </w:r>
          </w:p>
        </w:tc>
        <w:tc>
          <w:tcPr/>
          <w:p>
            <w:pPr>
              <w:pStyle w:val="Compact"/>
            </w:pPr>
            <w:r>
              <w:t xml:space="preserve">issuer</w:t>
            </w:r>
          </w:p>
        </w:tc>
        <w:tc>
          <w:tcPr/>
          <w:p>
            <w:pPr>
              <w:pStyle w:val="Compact"/>
            </w:pPr>
            <w:r>
              <w:t xml:space="preserve">issuer ยืนกรานพร้อมหลักฐานเพิ่ม</w:t>
            </w:r>
          </w:p>
        </w:tc>
        <w:tc>
          <w:tcPr/>
          <w:p>
            <w:pPr>
              <w:pStyle w:val="Compact"/>
            </w:pPr>
            <w:r>
              <w:t xml:space="preserve">ตาม scheme</w:t>
            </w:r>
          </w:p>
        </w:tc>
      </w:tr>
      <w:tr>
        <w:tc>
          <w:tcPr/>
          <w:p>
            <w:pPr>
              <w:pStyle w:val="Compact"/>
            </w:pPr>
            <w:r>
              <w:rPr>
                <w:b/>
                <w:bCs/>
              </w:rPr>
              <w:t xml:space="preserve">5. Arbitration (scheme)</w:t>
            </w:r>
          </w:p>
        </w:tc>
        <w:tc>
          <w:tcPr/>
          <w:p>
            <w:pPr>
              <w:pStyle w:val="Compact"/>
            </w:pPr>
            <w:r>
              <w:t xml:space="preserve">Visa/Mastercard ชี้ขาด</w:t>
            </w:r>
          </w:p>
        </w:tc>
        <w:tc>
          <w:tcPr/>
          <w:p>
            <w:pPr>
              <w:pStyle w:val="Compact"/>
            </w:pPr>
            <w:r>
              <w:t xml:space="preserve">scheme ตัดสินความรับผิดและปรับค่าธรรมเนียม</w:t>
            </w:r>
          </w:p>
        </w:tc>
        <w:tc>
          <w:tcPr/>
          <w:p>
            <w:pPr>
              <w:pStyle w:val="Compact"/>
            </w:pPr>
            <w:r>
              <w:t xml:space="preserve">คำชี้ขาดผูกพันทั้งสองฝ่าย</w:t>
            </w:r>
          </w:p>
        </w:tc>
      </w:tr>
    </w:tbl>
    <w:p>
      <w:pPr>
        <w:pStyle w:val="BodyText"/>
      </w:pPr>
      <w:r>
        <w:rPr>
          <w:b/>
          <w:bCs/>
        </w:rPr>
        <w:t xml:space="preserve">หลักฐาน compelling evidence ที่จัดเก็บ:</w:t>
      </w:r>
      <w:r>
        <w:t xml:space="preserve"> </w:t>
      </w:r>
      <w:r>
        <w:rPr>
          <w:rStyle w:val="VerbatimChar"/>
        </w:rPr>
        <w:t xml:space="preserve">auth_code</w:t>
      </w:r>
      <w:r>
        <w:t xml:space="preserve">, ผล</w:t>
      </w:r>
      <w:r>
        <w:t xml:space="preserve"> </w:t>
      </w:r>
      <w:r>
        <w:rPr>
          <w:b/>
          <w:bCs/>
        </w:rPr>
        <w:t xml:space="preserve">3DS 2.x</w:t>
      </w:r>
      <w:r>
        <w:t xml:space="preserve"> </w:t>
      </w:r>
      <w:r>
        <w:t xml:space="preserve">(liability shift เมื่อ authenticated), หลักฐานการส่งมอบ/ใช้บริการ,</w:t>
      </w:r>
      <w:r>
        <w:t xml:space="preserve"> </w:t>
      </w:r>
      <w:r>
        <w:rPr>
          <w:rStyle w:val="VerbatimChar"/>
        </w:rPr>
        <w:t xml:space="preserve">card_last4</w:t>
      </w:r>
      <w:r>
        <w:t xml:space="preserve"> </w:t>
      </w:r>
      <w:r>
        <w:t xml:space="preserve">+</w:t>
      </w:r>
      <w:r>
        <w:t xml:space="preserve"> </w:t>
      </w:r>
      <w:r>
        <w:rPr>
          <w:rStyle w:val="VerbatimChar"/>
        </w:rPr>
        <w:t xml:space="preserve">card_brand</w:t>
      </w:r>
      <w:r>
        <w:t xml:space="preserve"> </w:t>
      </w:r>
      <w:r>
        <w:t xml:space="preserve">(ห้ามเก็บ PAN/CVV ตาม</w:t>
      </w:r>
      <w:r>
        <w:t xml:space="preserve"> </w:t>
      </w:r>
      <w:r>
        <w:rPr>
          <w:rStyle w:val="VerbatimChar"/>
        </w:rPr>
        <w:t xml:space="preserve">ARCHITECTURE.md</w:t>
      </w:r>
      <w:r>
        <w:t xml:space="preserve"> </w:t>
      </w:r>
      <w:r>
        <w:t xml:space="preserve">ข้อ 6), IP/device, ประวัติการติดต่อ merchant</w:t>
      </w:r>
    </w:p>
    <w:p>
      <w:pPr>
        <w:pStyle w:val="BodyText"/>
      </w:pPr>
      <w:r>
        <w:rPr>
          <w:b/>
          <w:bCs/>
        </w:rPr>
        <w:t xml:space="preserve">การควบคุมอัตรา chargeback:</w:t>
      </w:r>
      <w:r>
        <w:t xml:space="preserve"> </w:t>
      </w:r>
      <w:r>
        <w:t xml:space="preserve">- Monitor</w:t>
      </w:r>
      <w:r>
        <w:t xml:space="preserve"> </w:t>
      </w:r>
      <w:r>
        <w:rPr>
          <w:b/>
          <w:bCs/>
        </w:rPr>
        <w:t xml:space="preserve">chargeback ratio</w:t>
      </w:r>
      <w:r>
        <w:t xml:space="preserve"> </w:t>
      </w:r>
      <w:r>
        <w:t xml:space="preserve">รายเดือนต่อ merchant; เกณฑ์เตือนภายในที่</w:t>
      </w:r>
      <w:r>
        <w:t xml:space="preserve"> </w:t>
      </w:r>
      <w:r>
        <w:rPr>
          <w:b/>
          <w:bCs/>
        </w:rPr>
        <w:t xml:space="preserve">&gt; 0.9%</w:t>
      </w:r>
      <w:r>
        <w:t xml:space="preserve"> </w:t>
      </w:r>
      <w:r>
        <w:t xml:space="preserve">หรือ</w:t>
      </w:r>
      <w:r>
        <w:t xml:space="preserve"> </w:t>
      </w:r>
      <w:r>
        <w:rPr>
          <w:b/>
          <w:bCs/>
        </w:rPr>
        <w:t xml:space="preserve">&gt; 100 รายการ/เดือน</w:t>
      </w:r>
      <w:r>
        <w:t xml:space="preserve"> </w:t>
      </w:r>
      <w:r>
        <w:t xml:space="preserve">→ เข้าโปรแกรม remediation</w:t>
      </w:r>
      <w:r>
        <w:t xml:space="preserve"> </w:t>
      </w:r>
      <w:r>
        <w:t xml:space="preserve">- Merchant ที่เข้าข่าย scheme monitoring program (เช่น Visa VDMP / Mastercard ECM) → เพิ่ม reserve และทบทวนการต่อสัญญา</w:t>
      </w:r>
      <w:r>
        <w:t xml:space="preserve"> </w:t>
      </w:r>
      <w:r>
        <w:t xml:space="preserve">-</w:t>
      </w:r>
      <w:r>
        <w:t xml:space="preserve"> </w:t>
      </w:r>
      <w:r>
        <w:rPr>
          <w:b/>
          <w:bCs/>
        </w:rPr>
        <w:t xml:space="preserve">3DS 2.x บังคับ</w:t>
      </w:r>
      <w:r>
        <w:t xml:space="preserve"> </w:t>
      </w:r>
      <w:r>
        <w:t xml:space="preserve">สำหรับ MCC เสี่ยงสูง เพื่อย้าย liability ไปที่ issuer</w:t>
      </w:r>
    </w:p>
    <w:p>
      <w:pPr>
        <w:pStyle w:val="BlockText"/>
      </w:pPr>
      <w:r>
        <w:rPr>
          <w:b/>
          <w:bCs/>
        </w:rPr>
        <w:t xml:space="preserve">หมายเหตุ:</w:t>
      </w:r>
      <w:r>
        <w:t xml:space="preserve"> </w:t>
      </w:r>
      <w:r>
        <w:t xml:space="preserve">ตัวเลข reason code, จำนวนวัน และเกณฑ์ program เป็นค่าประมาณตามฉบับที่เผยแพร่ทั่วไป —</w:t>
      </w:r>
      <w:r>
        <w:t xml:space="preserve"> </w:t>
      </w:r>
      <w:r>
        <w:rPr>
          <w:b/>
          <w:bCs/>
        </w:rPr>
        <w:t xml:space="preserve">ต้องยึดคู่มือ Visa VCR / Mastercard MDR ฉบับที่บังคับ ณ วันขึ้นระบบ</w:t>
      </w:r>
      <w:r>
        <w:t xml:space="preserve"> </w:t>
      </w:r>
      <w:r>
        <w:t xml:space="preserve">(รายการ A3) และเงื่อนไข sponsor bank</w:t>
      </w:r>
    </w:p>
    <w:p>
      <w:r>
        <w:pict>
          <v:rect style="width:0;height:1.5pt" o:hralign="center" o:hrstd="t" o:hr="t"/>
        </w:pict>
      </w:r>
    </w:p>
    <w:bookmarkEnd w:id="1053"/>
    <w:bookmarkStart w:id="1054" w:name="การไกลเกลย-mediation"/>
    <w:p>
      <w:pPr>
        <w:pStyle w:val="Heading2"/>
      </w:pPr>
      <w:r>
        <w:t xml:space="preserve">6. การไกล่เกลี่ย (Mediation)</w:t>
      </w:r>
    </w:p>
    <w:p>
      <w:pPr>
        <w:pStyle w:val="FirstParagraph"/>
      </w:pPr>
      <w:r>
        <w:t xml:space="preserve">ก่อนเข้าสู่อนุญาโตตุลาการ [บริษัท / Company] เสนอ</w:t>
      </w:r>
      <w:r>
        <w:t xml:space="preserve"> </w:t>
      </w:r>
      <w:r>
        <w:rPr>
          <w:b/>
          <w:bCs/>
        </w:rPr>
        <w:t xml:space="preserve">การไกล่เกลี่ยโดยสมัครใจ</w:t>
      </w:r>
      <w:r>
        <w:t xml:space="preserve"> </w:t>
      </w:r>
      <w:r>
        <w:t xml:space="preserve">เป็นทางเลือก:</w:t>
      </w:r>
    </w:p>
    <w:p>
      <w:pPr>
        <w:pStyle w:val="Compact"/>
        <w:numPr>
          <w:ilvl w:val="0"/>
          <w:numId w:val="1385"/>
        </w:numPr>
      </w:pPr>
      <w:r>
        <w:rPr>
          <w:b/>
          <w:bCs/>
        </w:rPr>
        <w:t xml:space="preserve">การไกล่เกลี่ยภายใน</w:t>
      </w:r>
      <w:r>
        <w:t xml:space="preserve"> </w:t>
      </w:r>
      <w:r>
        <w:t xml:space="preserve">— โดย Dispute Resolution Committee (DRC) เชิญคู่กรณีชี้แจง มติเป็นลายลักษณ์อักษร ไม่ผูกมัดหากไม่ยอมรับ</w:t>
      </w:r>
    </w:p>
    <w:p>
      <w:pPr>
        <w:pStyle w:val="Compact"/>
        <w:numPr>
          <w:ilvl w:val="0"/>
          <w:numId w:val="1385"/>
        </w:numPr>
      </w:pPr>
      <w:r>
        <w:rPr>
          <w:b/>
          <w:bCs/>
        </w:rPr>
        <w:t xml:space="preserve">การไกล่เกลี่ยผ่าน ธปท.</w:t>
      </w:r>
      <w:r>
        <w:t xml:space="preserve"> </w:t>
      </w:r>
      <w:r>
        <w:t xml:space="preserve">— สำหรับข้อร้องเรียนผู้บริโภคที่ส่งผ่าน ศคง. 1213 บริษัทให้ความร่วมมือเต็มที่ตามแนวทาง market conduct</w:t>
      </w:r>
    </w:p>
    <w:p>
      <w:pPr>
        <w:pStyle w:val="Compact"/>
        <w:numPr>
          <w:ilvl w:val="0"/>
          <w:numId w:val="1385"/>
        </w:numPr>
      </w:pPr>
      <w:r>
        <w:rPr>
          <w:b/>
          <w:bCs/>
        </w:rPr>
        <w:t xml:space="preserve">การไกล่เกลี่ยภายนอก</w:t>
      </w:r>
      <w:r>
        <w:t xml:space="preserve"> </w:t>
      </w:r>
      <w:r>
        <w:t xml:space="preserve">— ผ่านสถาบันที่คู่กรณีตกลง (เช่น THAC) กรณีข้อพิพาทเชิงพาณิชย์กับ merchant</w:t>
      </w:r>
    </w:p>
    <w:p>
      <w:pPr>
        <w:pStyle w:val="FirstParagraph"/>
      </w:pPr>
      <w:r>
        <w:t xml:space="preserve">การไกล่เกลี่ยไม่ตัดสิทธิคู่กรณีในการดำเนินการตาม scheme rules หรือกฎหมาย</w:t>
      </w:r>
    </w:p>
    <w:p>
      <w:r>
        <w:pict>
          <v:rect style="width:0;height:1.5pt" o:hralign="center" o:hrstd="t" o:hr="t"/>
        </w:pict>
      </w:r>
    </w:p>
    <w:bookmarkEnd w:id="1054"/>
    <w:bookmarkStart w:id="1055" w:name="อนญาโตตลาการ-arbitration"/>
    <w:p>
      <w:pPr>
        <w:pStyle w:val="Heading2"/>
      </w:pPr>
      <w:r>
        <w:t xml:space="preserve">7. อนุญาโตตุลาการ (Arbitration)</w:t>
      </w:r>
    </w:p>
    <w:p>
      <w:pPr>
        <w:pStyle w:val="FirstParagraph"/>
      </w:pPr>
      <w:r>
        <w:t xml:space="preserve">สัญญา merchant ของ [บริษัท / Company] มี</w:t>
      </w:r>
      <w:r>
        <w:t xml:space="preserve"> </w:t>
      </w:r>
      <w:r>
        <w:rPr>
          <w:b/>
          <w:bCs/>
        </w:rPr>
        <w:t xml:space="preserve">ข้อสัญญาอนุญาโตตุลาการ (arbitration clause)</w:t>
      </w:r>
      <w:r>
        <w:t xml:space="preserve"> </w:t>
      </w:r>
      <w:r>
        <w:t xml:space="preserve">สำหรับข้อพิพาทเชิงพาณิชย์ที่ไม่สามารถระงับด้วยการไกล่เกลี่ย ตาม</w:t>
      </w:r>
      <w:r>
        <w:t xml:space="preserve"> </w:t>
      </w:r>
      <w:r>
        <w:rPr>
          <w:b/>
          <w:bCs/>
        </w:rPr>
        <w:t xml:space="preserve">พ.ร.บ. อนุญาโตตุลาการ พ.ศ. 2545</w:t>
      </w:r>
      <w:r>
        <w:t xml:space="preserv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องค์ประกอบ</w:t>
            </w:r>
          </w:p>
        </w:tc>
        <w:tc>
          <w:tcPr/>
          <w:p>
            <w:pPr>
              <w:pStyle w:val="Compact"/>
            </w:pPr>
            <w:r>
              <w:t xml:space="preserve">ข้อกำหนด</w:t>
            </w:r>
          </w:p>
        </w:tc>
      </w:tr>
      <w:tr>
        <w:tc>
          <w:tcPr/>
          <w:p>
            <w:pPr>
              <w:pStyle w:val="Compact"/>
            </w:pPr>
            <w:r>
              <w:rPr>
                <w:b/>
                <w:bCs/>
              </w:rPr>
              <w:t xml:space="preserve">สถาบัน</w:t>
            </w:r>
          </w:p>
        </w:tc>
        <w:tc>
          <w:tcPr/>
          <w:p>
            <w:pPr>
              <w:pStyle w:val="Compact"/>
            </w:pPr>
            <w:r>
              <w:t xml:space="preserve">THAC หรือ TAI (รายการ A6 — เลือกก่อนยื่น)</w:t>
            </w:r>
          </w:p>
        </w:tc>
      </w:tr>
      <w:tr>
        <w:tc>
          <w:tcPr/>
          <w:p>
            <w:pPr>
              <w:pStyle w:val="Compact"/>
            </w:pPr>
            <w:r>
              <w:rPr>
                <w:b/>
                <w:bCs/>
              </w:rPr>
              <w:t xml:space="preserve">สถานที่ / ภาษา</w:t>
            </w:r>
          </w:p>
        </w:tc>
        <w:tc>
          <w:tcPr/>
          <w:p>
            <w:pPr>
              <w:pStyle w:val="Compact"/>
            </w:pPr>
            <w:r>
              <w:t xml:space="preserve">กรุงเทพมหานคร / ภาษาไทย (คำแปลภาษาอังกฤษเมื่อจำเป็น)</w:t>
            </w:r>
          </w:p>
        </w:tc>
      </w:tr>
      <w:tr>
        <w:tc>
          <w:tcPr/>
          <w:p>
            <w:pPr>
              <w:pStyle w:val="Compact"/>
            </w:pPr>
            <w:r>
              <w:rPr>
                <w:b/>
                <w:bCs/>
              </w:rPr>
              <w:t xml:space="preserve">จำนวนอนุญาโตตุลาการ</w:t>
            </w:r>
          </w:p>
        </w:tc>
        <w:tc>
          <w:tcPr/>
          <w:p>
            <w:pPr>
              <w:pStyle w:val="Compact"/>
            </w:pPr>
            <w:r>
              <w:t xml:space="preserve">คนเดียว หากทุนทรัพย์ต่ำ; คณะ 3 คนหากทุนทรัพย์สูง/ซับซ้อน</w:t>
            </w:r>
          </w:p>
        </w:tc>
      </w:tr>
      <w:tr>
        <w:tc>
          <w:tcPr/>
          <w:p>
            <w:pPr>
              <w:pStyle w:val="Compact"/>
            </w:pPr>
            <w:r>
              <w:rPr>
                <w:b/>
                <w:bCs/>
              </w:rPr>
              <w:t xml:space="preserve">กฎหมายที่ใช้บังคับ</w:t>
            </w:r>
          </w:p>
        </w:tc>
        <w:tc>
          <w:tcPr/>
          <w:p>
            <w:pPr>
              <w:pStyle w:val="Compact"/>
            </w:pPr>
            <w:r>
              <w:t xml:space="preserve">กฎหมายไทย</w:t>
            </w:r>
          </w:p>
        </w:tc>
      </w:tr>
      <w:tr>
        <w:tc>
          <w:tcPr/>
          <w:p>
            <w:pPr>
              <w:pStyle w:val="Compact"/>
            </w:pPr>
            <w:r>
              <w:rPr>
                <w:b/>
                <w:bCs/>
              </w:rPr>
              <w:t xml:space="preserve">ผลของคำชี้ขาด</w:t>
            </w:r>
          </w:p>
        </w:tc>
        <w:tc>
          <w:tcPr/>
          <w:p>
            <w:pPr>
              <w:pStyle w:val="Compact"/>
            </w:pPr>
            <w:r>
              <w:t xml:space="preserve">ผูกพันและบังคับได้ตามกฎหมาย</w:t>
            </w:r>
          </w:p>
        </w:tc>
      </w:tr>
      <w:tr>
        <w:tc>
          <w:tcPr/>
          <w:p>
            <w:pPr>
              <w:pStyle w:val="Compact"/>
            </w:pPr>
            <w:r>
              <w:rPr>
                <w:b/>
                <w:bCs/>
              </w:rPr>
              <w:t xml:space="preserve">ข้อยกเว้น</w:t>
            </w:r>
          </w:p>
        </w:tc>
        <w:tc>
          <w:tcPr/>
          <w:p>
            <w:pPr>
              <w:pStyle w:val="Compact"/>
            </w:pPr>
            <w:r>
              <w:t xml:space="preserve">ไม่ตัด (ก) chargeback/arbitration ของ card scheme, (ข) การร้องเรียนต่อ ธปท./ศคง., (ค) มาตรการเร่งด่วน/คุ้มครองชั่วคราวจากศาล</w:t>
            </w:r>
          </w:p>
        </w:tc>
      </w:tr>
    </w:tbl>
    <w:p>
      <w:pPr>
        <w:pStyle w:val="BlockText"/>
      </w:pPr>
      <w:r>
        <w:rPr>
          <w:b/>
          <w:bCs/>
        </w:rPr>
        <w:t xml:space="preserve">สำคัญ:</w:t>
      </w:r>
      <w:r>
        <w:t xml:space="preserve"> </w:t>
      </w:r>
      <w:r>
        <w:t xml:space="preserve">สำหรับ</w:t>
      </w:r>
      <w:r>
        <w:t xml:space="preserve"> </w:t>
      </w:r>
      <w:r>
        <w:rPr>
          <w:b/>
          <w:bCs/>
        </w:rPr>
        <w:t xml:space="preserve">ผู้บริโภค (cardholder)</w:t>
      </w:r>
      <w:r>
        <w:t xml:space="preserve"> </w:t>
      </w:r>
      <w:r>
        <w:t xml:space="preserve">การบังคับใช้ arbitration clause อาจถูกจำกัดตาม</w:t>
      </w:r>
      <w:r>
        <w:t xml:space="preserve"> </w:t>
      </w:r>
      <w:r>
        <w:rPr>
          <w:b/>
          <w:bCs/>
        </w:rPr>
        <w:t xml:space="preserve">พ.ร.บ. วิธีพิจารณาคดีผู้บริโภค</w:t>
      </w:r>
      <w:r>
        <w:t xml:space="preserve"> </w:t>
      </w:r>
      <w:r>
        <w:t xml:space="preserve">และกฎหมายคุ้มครองผู้บริโภค — ผู้บริโภคยังคงมีสิทธิร้องเรียนต่อ ธปท./สคบ. และฟ้องคดีผู้บริโภคได้เสมอ ต้องให้ Legal ทบทวน clause นี้ก่อนใช้จริง (รายการ A6)</w:t>
      </w:r>
    </w:p>
    <w:p>
      <w:r>
        <w:pict>
          <v:rect style="width:0;height:1.5pt" o:hralign="center" o:hrstd="t" o:hr="t"/>
        </w:pict>
      </w:r>
    </w:p>
    <w:bookmarkEnd w:id="1055"/>
    <w:bookmarkStart w:id="1056" w:name="X35084ae6ca87c93522b7c3084001bbab1762b41"/>
    <w:p>
      <w:pPr>
        <w:pStyle w:val="Heading2"/>
      </w:pPr>
      <w:r>
        <w:t xml:space="preserve">8. การรายงานต่อ ธปท. และการคุ้มครองผู้บริโภค (BOT / Consumer Protection Reporting)</w:t>
      </w:r>
    </w:p>
    <w:tbl>
      <w:tblPr>
        <w:tblStyle w:val="Table"/>
        <w:tblW w:type="pct" w:w="5000"/>
        <w:tblLayout w:type="fixed"/>
        <w:tblLook w:firstRow="1" w:lastRow="0" w:firstColumn="0" w:lastColumn="0" w:noHBand="0" w:noVBand="0" w:val="0020"/>
      </w:tblPr>
      <w:tblGrid>
        <w:gridCol w:w="990"/>
        <w:gridCol w:w="1650"/>
        <w:gridCol w:w="1485"/>
        <w:gridCol w:w="1650"/>
        <w:gridCol w:w="2145"/>
      </w:tblGrid>
      <w:tr>
        <w:trPr>
          <w:tblHeader w:val="on"/>
        </w:trPr>
        <w:tc>
          <w:tcPr/>
          <w:p>
            <w:pPr>
              <w:pStyle w:val="Compact"/>
            </w:pPr>
            <w:r>
              <w:t xml:space="preserve">กรณี</w:t>
            </w:r>
          </w:p>
        </w:tc>
        <w:tc>
          <w:tcPr/>
          <w:p>
            <w:pPr>
              <w:pStyle w:val="Compact"/>
            </w:pPr>
            <w:r>
              <w:t xml:space="preserve">หน่วยงาน</w:t>
            </w:r>
          </w:p>
        </w:tc>
        <w:tc>
          <w:tcPr/>
          <w:p>
            <w:pPr>
              <w:pStyle w:val="Compact"/>
            </w:pPr>
            <w:r>
              <w:t xml:space="preserve">ช่องทาง</w:t>
            </w:r>
          </w:p>
        </w:tc>
        <w:tc>
          <w:tcPr/>
          <w:p>
            <w:pPr>
              <w:pStyle w:val="Compact"/>
            </w:pPr>
            <w:r>
              <w:t xml:space="preserve">กรอบเวลา</w:t>
            </w:r>
          </w:p>
        </w:tc>
        <w:tc>
          <w:tcPr/>
          <w:p>
            <w:pPr>
              <w:pStyle w:val="Compact"/>
            </w:pPr>
            <w:r>
              <w:t xml:space="preserve">ผู้รับผิดชอบ</w:t>
            </w:r>
          </w:p>
        </w:tc>
      </w:tr>
      <w:tr>
        <w:tc>
          <w:tcPr/>
          <w:p>
            <w:pPr>
              <w:pStyle w:val="Compact"/>
            </w:pPr>
            <w:r>
              <w:t xml:space="preserve">ข้อร้องเรียนผู้บริโภคที่ ธปท. ส่งต่อ</w:t>
            </w:r>
          </w:p>
        </w:tc>
        <w:tc>
          <w:tcPr/>
          <w:p>
            <w:pPr>
              <w:pStyle w:val="Compact"/>
            </w:pPr>
            <w:r>
              <w:rPr>
                <w:b/>
                <w:bCs/>
              </w:rPr>
              <w:t xml:space="preserve">ธปท. / ศคง. 1213</w:t>
            </w:r>
          </w:p>
        </w:tc>
        <w:tc>
          <w:tcPr/>
          <w:p>
            <w:pPr>
              <w:pStyle w:val="Compact"/>
            </w:pPr>
            <w:r>
              <w:t xml:space="preserve">ช่องทางทางการ ธปท. (ยืนยัน A5)</w:t>
            </w:r>
          </w:p>
        </w:tc>
        <w:tc>
          <w:tcPr/>
          <w:p>
            <w:pPr>
              <w:pStyle w:val="Compact"/>
            </w:pPr>
            <w:r>
              <w:t xml:space="preserve">ตอบกลับตามกรอบที่ ธปท. กำหนด (โดยทั่วไปเร่งด่วน)</w:t>
            </w:r>
          </w:p>
        </w:tc>
        <w:tc>
          <w:tcPr/>
          <w:p>
            <w:pPr>
              <w:pStyle w:val="Compact"/>
            </w:pPr>
            <w:r>
              <w:t xml:space="preserve">CCO</w:t>
            </w:r>
          </w:p>
        </w:tc>
      </w:tr>
      <w:tr>
        <w:tc>
          <w:tcPr/>
          <w:p>
            <w:pPr>
              <w:pStyle w:val="Compact"/>
            </w:pPr>
            <w:r>
              <w:t xml:space="preserve">รายงานสถิติข้อร้องเรียน/ข้อพิพาทเป็นงวด</w:t>
            </w:r>
          </w:p>
        </w:tc>
        <w:tc>
          <w:tcPr/>
          <w:p>
            <w:pPr>
              <w:pStyle w:val="Compact"/>
            </w:pPr>
            <w:r>
              <w:rPr>
                <w:b/>
                <w:bCs/>
              </w:rPr>
              <w:t xml:space="preserve">ธปท.</w:t>
            </w:r>
          </w:p>
        </w:tc>
        <w:tc>
          <w:tcPr/>
          <w:p>
            <w:pPr>
              <w:pStyle w:val="Compact"/>
            </w:pPr>
            <w:r>
              <w:t xml:space="preserve">รายงานตามเงื่อนไขใบอนุญาต</w:t>
            </w:r>
          </w:p>
        </w:tc>
        <w:tc>
          <w:tcPr/>
          <w:p>
            <w:pPr>
              <w:pStyle w:val="Compact"/>
            </w:pPr>
            <w:r>
              <w:t xml:space="preserve">รายไตรมาส/รายปี (ตามที่กำหนด)</w:t>
            </w:r>
          </w:p>
        </w:tc>
        <w:tc>
          <w:tcPr/>
          <w:p>
            <w:pPr>
              <w:pStyle w:val="Compact"/>
            </w:pPr>
            <w:r>
              <w:t xml:space="preserve">CCO</w:t>
            </w:r>
          </w:p>
        </w:tc>
      </w:tr>
      <w:tr>
        <w:tc>
          <w:tcPr/>
          <w:p>
            <w:pPr>
              <w:pStyle w:val="Compact"/>
            </w:pPr>
            <w:r>
              <w:t xml:space="preserve">เหตุการณ์กระทบผู้ใช้บริการวงกว้าง (systemic)</w:t>
            </w:r>
          </w:p>
        </w:tc>
        <w:tc>
          <w:tcPr/>
          <w:p>
            <w:pPr>
              <w:pStyle w:val="Compact"/>
            </w:pPr>
            <w:r>
              <w:rPr>
                <w:b/>
                <w:bCs/>
              </w:rPr>
              <w:t xml:space="preserve">ธปท.</w:t>
            </w:r>
          </w:p>
        </w:tc>
        <w:tc>
          <w:tcPr/>
          <w:p>
            <w:pPr>
              <w:pStyle w:val="Compact"/>
            </w:pPr>
            <w:r>
              <w:t xml:space="preserve">แจ้งเหตุตามประกาศ IT risk/market conduct</w:t>
            </w:r>
          </w:p>
        </w:tc>
        <w:tc>
          <w:tcPr/>
          <w:p>
            <w:pPr>
              <w:pStyle w:val="Compact"/>
            </w:pPr>
            <w:r>
              <w:t xml:space="preserve">ทันทีเมื่อเข้าเงื่อนไข</w:t>
            </w:r>
          </w:p>
        </w:tc>
        <w:tc>
          <w:tcPr/>
          <w:p>
            <w:pPr>
              <w:pStyle w:val="Compact"/>
            </w:pPr>
            <w:r>
              <w:t xml:space="preserve">CCO / CISO</w:t>
            </w:r>
          </w:p>
        </w:tc>
      </w:tr>
      <w:tr>
        <w:tc>
          <w:tcPr/>
          <w:p>
            <w:pPr>
              <w:pStyle w:val="Compact"/>
            </w:pPr>
            <w:r>
              <w:t xml:space="preserve">พบธุรกรรมน่าสงสัย (ฟอกเงิน/ทุจริต)</w:t>
            </w:r>
          </w:p>
        </w:tc>
        <w:tc>
          <w:tcPr/>
          <w:p>
            <w:pPr>
              <w:pStyle w:val="Compact"/>
            </w:pPr>
            <w:r>
              <w:rPr>
                <w:b/>
                <w:bCs/>
              </w:rPr>
              <w:t xml:space="preserve">ปปง. (AMLO)</w:t>
            </w:r>
          </w:p>
        </w:tc>
        <w:tc>
          <w:tcPr/>
          <w:p>
            <w:pPr>
              <w:pStyle w:val="Compact"/>
            </w:pPr>
            <w:r>
              <w:t xml:space="preserve">STR/SAR ตาม</w:t>
            </w:r>
            <w:r>
              <w:t xml:space="preserve"> </w:t>
            </w:r>
            <w:r>
              <w:rPr>
                <w:rStyle w:val="VerbatimChar"/>
              </w:rPr>
              <w:t xml:space="preserve">07-sar-str-procedure.md</w:t>
            </w:r>
          </w:p>
        </w:tc>
        <w:tc>
          <w:tcPr/>
          <w:p>
            <w:pPr>
              <w:pStyle w:val="Compact"/>
            </w:pPr>
            <w:r>
              <w:t xml:space="preserve">ตามกำหนดของ ปปง. (ห้าม tipping-off)</w:t>
            </w:r>
          </w:p>
        </w:tc>
        <w:tc>
          <w:tcPr/>
          <w:p>
            <w:pPr>
              <w:pStyle w:val="Compact"/>
            </w:pPr>
            <w:r>
              <w:t xml:space="preserve">MLRO</w:t>
            </w:r>
          </w:p>
        </w:tc>
      </w:tr>
      <w:tr>
        <w:tc>
          <w:tcPr/>
          <w:p>
            <w:pPr>
              <w:pStyle w:val="Compact"/>
            </w:pPr>
            <w:r>
              <w:t xml:space="preserve">ข้อมูลส่วนบุคคลรั่วไหลจากข้อพิพาท</w:t>
            </w:r>
          </w:p>
        </w:tc>
        <w:tc>
          <w:tcPr/>
          <w:p>
            <w:pPr>
              <w:pStyle w:val="Compact"/>
            </w:pPr>
            <w:r>
              <w:rPr>
                <w:b/>
                <w:bCs/>
              </w:rPr>
              <w:t xml:space="preserve">PDPC</w:t>
            </w:r>
          </w:p>
        </w:tc>
        <w:tc>
          <w:tcPr/>
          <w:p>
            <w:pPr>
              <w:pStyle w:val="Compact"/>
            </w:pPr>
            <w:r>
              <w:t xml:space="preserve">ตาม</w:t>
            </w:r>
            <w:r>
              <w:t xml:space="preserve"> </w:t>
            </w:r>
            <w:r>
              <w:rPr>
                <w:rStyle w:val="VerbatimChar"/>
              </w:rPr>
              <w:t xml:space="preserve">16-incident-response-breach.md</w:t>
            </w:r>
          </w:p>
        </w:tc>
        <w:tc>
          <w:tcPr/>
          <w:p>
            <w:pPr>
              <w:pStyle w:val="Compact"/>
            </w:pPr>
            <w:r>
              <w:t xml:space="preserve">แจ้ง PDPC ภายใน</w:t>
            </w:r>
            <w:r>
              <w:t xml:space="preserve"> </w:t>
            </w:r>
            <w:r>
              <w:rPr>
                <w:b/>
                <w:bCs/>
              </w:rPr>
              <w:t xml:space="preserve">72 ชม.</w:t>
            </w:r>
            <w:r>
              <w:t xml:space="preserve"> </w:t>
            </w:r>
            <w:r>
              <w:t xml:space="preserve">ตาม PDPA ม.37(4)</w:t>
            </w:r>
          </w:p>
        </w:tc>
        <w:tc>
          <w:tcPr/>
          <w:p>
            <w:pPr>
              <w:pStyle w:val="Compact"/>
            </w:pPr>
            <w:r>
              <w:t xml:space="preserve">DPO</w:t>
            </w:r>
          </w:p>
        </w:tc>
      </w:tr>
      <w:tr>
        <w:tc>
          <w:tcPr/>
          <w:p>
            <w:pPr>
              <w:pStyle w:val="Compact"/>
            </w:pPr>
            <w:r>
              <w:t xml:space="preserve">ข้อร้องเรียนผู้บริโภคทั่วไปเรื่องสินค้า/บริการ</w:t>
            </w:r>
          </w:p>
        </w:tc>
        <w:tc>
          <w:tcPr/>
          <w:p>
            <w:pPr>
              <w:pStyle w:val="Compact"/>
            </w:pPr>
            <w:r>
              <w:rPr>
                <w:b/>
                <w:bCs/>
              </w:rPr>
              <w:t xml:space="preserve">สคบ.</w:t>
            </w:r>
          </w:p>
        </w:tc>
        <w:tc>
          <w:tcPr/>
          <w:p>
            <w:pPr>
              <w:pStyle w:val="Compact"/>
            </w:pPr>
            <w:r>
              <w:t xml:space="preserve">เมื่อเกี่ยวข้อง</w:t>
            </w:r>
          </w:p>
        </w:tc>
        <w:tc>
          <w:tcPr/>
          <w:p>
            <w:pPr>
              <w:pStyle w:val="Compact"/>
            </w:pPr>
            <w:r>
              <w:t xml:space="preserve">ตามกระบวนการ สคบ.</w:t>
            </w:r>
          </w:p>
        </w:tc>
        <w:tc>
          <w:tcPr/>
          <w:p>
            <w:pPr>
              <w:pStyle w:val="Compact"/>
            </w:pPr>
            <w:r>
              <w:t xml:space="preserve">Legal / CCO</w:t>
            </w:r>
          </w:p>
        </w:tc>
      </w:tr>
    </w:tbl>
    <w:p>
      <w:pPr>
        <w:pStyle w:val="BodyText"/>
      </w:pPr>
      <w:r>
        <w:rPr>
          <w:b/>
          <w:bCs/>
        </w:rPr>
        <w:t xml:space="preserve">หลักการรายงาน:</w:t>
      </w:r>
      <w:r>
        <w:t xml:space="preserve"> </w:t>
      </w:r>
      <w:r>
        <w:t xml:space="preserve">- [บริษัท / Company] เก็บ</w:t>
      </w:r>
      <w:r>
        <w:t xml:space="preserve"> </w:t>
      </w:r>
      <w:r>
        <w:rPr>
          <w:b/>
          <w:bCs/>
        </w:rPr>
        <w:t xml:space="preserve">register กลางของข้อร้องเรียน/ข้อพิพาท</w:t>
      </w:r>
      <w:r>
        <w:t xml:space="preserve"> </w:t>
      </w:r>
      <w:r>
        <w:t xml:space="preserve">ทั้งหมด (case log) พร้อม root cause, ผล, ระยะเวลา และมาตรการแก้ไข เพื่อพร้อมให้ ธปท. ตรวจสอบ (on-site/off-site)</w:t>
      </w:r>
      <w:r>
        <w:t xml:space="preserve"> </w:t>
      </w:r>
      <w:r>
        <w:t xml:space="preserve">- วิเคราะห์แนวโน้ม (trend/root-cause analysis) รายไตรมาสเสนอ DRC และผู้บริหาร เพื่อปรับปรุงกระบวนการเชิงระบบ</w:t>
      </w:r>
      <w:r>
        <w:t xml:space="preserve"> </w:t>
      </w:r>
      <w:r>
        <w:t xml:space="preserve">- ข้อมูลผู้ถือบัตรในเอกสารรายงานต้องผ่านการ minimize/mask ตาม PDPA และ PCI (ไม่มี PAN/CVV)</w:t>
      </w:r>
    </w:p>
    <w:p>
      <w:r>
        <w:pict>
          <v:rect style="width:0;height:1.5pt" o:hralign="center" o:hrstd="t" o:hr="t"/>
        </w:pict>
      </w:r>
    </w:p>
    <w:bookmarkEnd w:id="1056"/>
    <w:bookmarkStart w:id="1057" w:name="X37bb3614edb14a9cd0320da9efabeb75096da23"/>
    <w:p>
      <w:pPr>
        <w:pStyle w:val="Heading2"/>
      </w:pPr>
      <w:r>
        <w:t xml:space="preserve">9. Audit Trail และการเก็บรักษาเอกสาร (Recordkeeping)</w:t>
      </w:r>
    </w:p>
    <w:p>
      <w:pPr>
        <w:pStyle w:val="Compact"/>
        <w:numPr>
          <w:ilvl w:val="0"/>
          <w:numId w:val="1386"/>
        </w:numPr>
      </w:pPr>
      <w:r>
        <w:t xml:space="preserve">ทุกข้อพิพาทมี case record แบบ append-only เชื่อมกับ</w:t>
      </w:r>
      <w:r>
        <w:t xml:space="preserve"> </w:t>
      </w:r>
      <w:r>
        <w:rPr>
          <w:rStyle w:val="VerbatimChar"/>
        </w:rPr>
        <w:t xml:space="preserve">payment_id</w:t>
      </w:r>
      <w:r>
        <w:t xml:space="preserve">,</w:t>
      </w:r>
      <w:r>
        <w:t xml:space="preserve"> </w:t>
      </w:r>
      <w:r>
        <w:rPr>
          <w:rStyle w:val="VerbatimChar"/>
        </w:rPr>
        <w:t xml:space="preserve">ledger_entries</w:t>
      </w:r>
      <w:r>
        <w:t xml:space="preserve"> </w:t>
      </w:r>
      <w:r>
        <w:t xml:space="preserve">และ</w:t>
      </w:r>
      <w:r>
        <w:t xml:space="preserve"> </w:t>
      </w:r>
      <w:r>
        <w:rPr>
          <w:rStyle w:val="VerbatimChar"/>
        </w:rPr>
        <w:t xml:space="preserve">audit_log</w:t>
      </w:r>
    </w:p>
    <w:p>
      <w:pPr>
        <w:pStyle w:val="Compact"/>
        <w:numPr>
          <w:ilvl w:val="0"/>
          <w:numId w:val="1386"/>
        </w:numPr>
      </w:pPr>
      <w:r>
        <w:t xml:space="preserve">บันทึกครบ: ผู้ร้อง, วันเวลา, ช่องทาง, ระดับ escalation, ผู้ตัดสินใจ, หลักฐาน, ผล, การจ่ายเงินคืน/ปรับ ledger</w:t>
      </w:r>
    </w:p>
    <w:p>
      <w:pPr>
        <w:pStyle w:val="Compact"/>
        <w:numPr>
          <w:ilvl w:val="0"/>
          <w:numId w:val="1386"/>
        </w:numPr>
      </w:pPr>
      <w:r>
        <w:rPr>
          <w:b/>
          <w:bCs/>
        </w:rPr>
        <w:t xml:space="preserve">ระยะเก็บรักษา:</w:t>
      </w:r>
      <w:r>
        <w:t xml:space="preserve"> </w:t>
      </w:r>
      <w:r>
        <w:t xml:space="preserve">อย่างน้อย</w:t>
      </w:r>
      <w:r>
        <w:t xml:space="preserve"> </w:t>
      </w:r>
      <w:r>
        <w:rPr>
          <w:b/>
          <w:bCs/>
        </w:rPr>
        <w:t xml:space="preserve">5 ปี</w:t>
      </w:r>
      <w:r>
        <w:t xml:space="preserve"> </w:t>
      </w:r>
      <w:r>
        <w:t xml:space="preserve">สอดคล้อง พ.ร.บ. ป้องกันและปราบปรามการฟอกเงิน และเงื่อนไขใบอนุญาต ธปท. (ยืนยันตาม</w:t>
      </w:r>
      <w:r>
        <w:t xml:space="preserve"> </w:t>
      </w:r>
      <w:r>
        <w:rPr>
          <w:rStyle w:val="VerbatimChar"/>
        </w:rPr>
        <w:t xml:space="preserve">11-data-retention-deletion.md</w:t>
      </w:r>
      <w:r>
        <w:t xml:space="preserve">); ทำลายตามนโยบายเมื่อครบกำหนดและไม่มีคดี</w:t>
      </w:r>
    </w:p>
    <w:p>
      <w:pPr>
        <w:pStyle w:val="Compact"/>
        <w:numPr>
          <w:ilvl w:val="0"/>
          <w:numId w:val="1386"/>
        </w:numPr>
      </w:pPr>
      <w:r>
        <w:t xml:space="preserve">แจ้งความคืบหน้าและผลให้ merchant ผ่าน</w:t>
      </w:r>
      <w:r>
        <w:t xml:space="preserve"> </w:t>
      </w:r>
      <w:r>
        <w:rPr>
          <w:rStyle w:val="VerbatimChar"/>
        </w:rPr>
        <w:t xml:space="preserve">webhook_events</w:t>
      </w:r>
      <w:r>
        <w:t xml:space="preserve"> </w:t>
      </w:r>
      <w:r>
        <w:t xml:space="preserve">(เหตุการณ์</w:t>
      </w:r>
      <w:r>
        <w:t xml:space="preserve"> </w:t>
      </w:r>
      <w:r>
        <w:rPr>
          <w:rStyle w:val="VerbatimChar"/>
        </w:rPr>
        <w:t xml:space="preserve">dispute.opened</w:t>
      </w:r>
      <w:r>
        <w:t xml:space="preserve">,</w:t>
      </w:r>
      <w:r>
        <w:t xml:space="preserve"> </w:t>
      </w:r>
      <w:r>
        <w:rPr>
          <w:rStyle w:val="VerbatimChar"/>
        </w:rPr>
        <w:t xml:space="preserve">dispute.evidence_required</w:t>
      </w:r>
      <w:r>
        <w:t xml:space="preserve">,</w:t>
      </w:r>
      <w:r>
        <w:t xml:space="preserve"> </w:t>
      </w:r>
      <w:r>
        <w:rPr>
          <w:rStyle w:val="VerbatimChar"/>
        </w:rPr>
        <w:t xml:space="preserve">dispute.won</w:t>
      </w:r>
      <w:r>
        <w:t xml:space="preserve">,</w:t>
      </w:r>
      <w:r>
        <w:t xml:space="preserve"> </w:t>
      </w:r>
      <w:r>
        <w:rPr>
          <w:rStyle w:val="VerbatimChar"/>
        </w:rPr>
        <w:t xml:space="preserve">dispute.lost</w:t>
      </w:r>
      <w:r>
        <w:t xml:space="preserve">)</w:t>
      </w:r>
    </w:p>
    <w:p>
      <w:r>
        <w:pict>
          <v:rect style="width:0;height:1.5pt" o:hralign="center" o:hrstd="t" o:hr="t"/>
        </w:pict>
      </w:r>
    </w:p>
    <w:bookmarkEnd w:id="1057"/>
    <w:bookmarkStart w:id="1058" w:name="ตวชวด-kpis"/>
    <w:p>
      <w:pPr>
        <w:pStyle w:val="Heading2"/>
      </w:pPr>
      <w:r>
        <w:t xml:space="preserve">10. ตัวชี้วัด (KPIs)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ตัวชี้วัด</w:t>
            </w:r>
          </w:p>
        </w:tc>
        <w:tc>
          <w:tcPr/>
          <w:p>
            <w:pPr>
              <w:pStyle w:val="Compact"/>
            </w:pPr>
            <w:r>
              <w:t xml:space="preserve">เป้าหมาย</w:t>
            </w:r>
          </w:p>
        </w:tc>
      </w:tr>
      <w:tr>
        <w:tc>
          <w:tcPr/>
          <w:p>
            <w:pPr>
              <w:pStyle w:val="Compact"/>
            </w:pPr>
            <w:r>
              <w:t xml:space="preserve">Acknowledgement ผู้ร้อง</w:t>
            </w:r>
          </w:p>
        </w:tc>
        <w:tc>
          <w:tcPr/>
          <w:p>
            <w:pPr>
              <w:pStyle w:val="Compact"/>
            </w:pPr>
            <w:r>
              <w:t xml:space="preserve">≤ 1 วันทำการ (≥ 98%)</w:t>
            </w:r>
          </w:p>
        </w:tc>
      </w:tr>
      <w:tr>
        <w:tc>
          <w:tcPr/>
          <w:p>
            <w:pPr>
              <w:pStyle w:val="Compact"/>
            </w:pPr>
            <w:r>
              <w:t xml:space="preserve">ปิดเคส L1 ภายใน SLA</w:t>
            </w:r>
          </w:p>
        </w:tc>
        <w:tc>
          <w:tcPr/>
          <w:p>
            <w:pPr>
              <w:pStyle w:val="Compact"/>
            </w:pPr>
            <w:r>
              <w:t xml:space="preserve">≥ 90% ภายใน 5 วันทำการ</w:t>
            </w:r>
          </w:p>
        </w:tc>
      </w:tr>
      <w:tr>
        <w:tc>
          <w:tcPr/>
          <w:p>
            <w:pPr>
              <w:pStyle w:val="Compact"/>
            </w:pPr>
            <w:r>
              <w:t xml:space="preserve">ปิดเคส L2 ภายใน SLA</w:t>
            </w:r>
          </w:p>
        </w:tc>
        <w:tc>
          <w:tcPr/>
          <w:p>
            <w:pPr>
              <w:pStyle w:val="Compact"/>
            </w:pPr>
            <w:r>
              <w:t xml:space="preserve">≥ 90% ภายใน 15 วันทำการ</w:t>
            </w:r>
          </w:p>
        </w:tc>
      </w:tr>
      <w:tr>
        <w:tc>
          <w:tcPr/>
          <w:p>
            <w:pPr>
              <w:pStyle w:val="Compact"/>
            </w:pPr>
            <w:r>
              <w:t xml:space="preserve">Representment win rate</w:t>
            </w:r>
          </w:p>
        </w:tc>
        <w:tc>
          <w:tcPr/>
          <w:p>
            <w:pPr>
              <w:pStyle w:val="Compact"/>
            </w:pPr>
            <w:r>
              <w:t xml:space="preserve">ติดตามและปรับปรุงต่อเนื่อง</w:t>
            </w:r>
          </w:p>
        </w:tc>
      </w:tr>
      <w:tr>
        <w:tc>
          <w:tcPr/>
          <w:p>
            <w:pPr>
              <w:pStyle w:val="Compact"/>
            </w:pPr>
            <w:r>
              <w:t xml:space="preserve">Chargeback ratio (portfolio)</w:t>
            </w:r>
          </w:p>
        </w:tc>
        <w:tc>
          <w:tcPr/>
          <w:p>
            <w:pPr>
              <w:pStyle w:val="Compact"/>
            </w:pPr>
            <w:r>
              <w:t xml:space="preserve">&lt; 0.9%</w:t>
            </w:r>
          </w:p>
        </w:tc>
      </w:tr>
      <w:tr>
        <w:tc>
          <w:tcPr/>
          <w:p>
            <w:pPr>
              <w:pStyle w:val="Compact"/>
            </w:pPr>
            <w:r>
              <w:t xml:space="preserve">เคสจาก ธปท./ศคง. ตอบกลับตรงเวลา</w:t>
            </w:r>
          </w:p>
        </w:tc>
        <w:tc>
          <w:tcPr/>
          <w:p>
            <w:pPr>
              <w:pStyle w:val="Compact"/>
            </w:pPr>
            <w:r>
              <w:t xml:space="preserve">100%</w:t>
            </w:r>
          </w:p>
        </w:tc>
      </w:tr>
    </w:tbl>
    <w:p>
      <w:r>
        <w:pict>
          <v:rect style="width:0;height:1.5pt" o:hralign="center" o:hrstd="t" o:hr="t"/>
        </w:pict>
      </w:r>
    </w:p>
    <w:bookmarkEnd w:id="1058"/>
    <w:bookmarkEnd w:id="1059"/>
    <w:bookmarkStart w:id="1070" w:name="X33ec6a0d73a974618fabbbfc4d574cdb1ba6e67"/>
    <w:p>
      <w:pPr>
        <w:pStyle w:val="Heading1"/>
      </w:pPr>
      <w:r>
        <w:t xml:space="preserve">Dispute resolution procedure: escalation, arbitration, BOT/consumer-protection reporting (English)</w:t>
      </w:r>
    </w:p>
    <w:p>
      <w:pPr>
        <w:pStyle w:val="BlockText"/>
      </w:pPr>
      <w:r>
        <w:t xml:space="preserve">Supporting document for the</w:t>
      </w:r>
      <w:r>
        <w:t xml:space="preserve"> </w:t>
      </w:r>
      <w:r>
        <w:rPr>
          <w:b/>
          <w:bCs/>
        </w:rPr>
        <w:t xml:space="preserve">Acquiring Service license application</w:t>
      </w:r>
      <w:r>
        <w:t xml:space="preserve"> </w:t>
      </w:r>
      <w:r>
        <w:t xml:space="preserve">under the</w:t>
      </w:r>
      <w:r>
        <w:t xml:space="preserve"> </w:t>
      </w:r>
      <w:r>
        <w:rPr>
          <w:b/>
          <w:bCs/>
        </w:rPr>
        <w:t xml:space="preserve">Payment Systems Act B.E. 2560 (2017)</w:t>
      </w:r>
      <w:r>
        <w:t xml:space="preserve">, supervised by the</w:t>
      </w:r>
      <w:r>
        <w:t xml:space="preserve"> </w:t>
      </w:r>
      <w:r>
        <w:rPr>
          <w:b/>
          <w:bCs/>
        </w:rPr>
        <w:t xml:space="preserve">Bank of Thailand (BOT)</w:t>
      </w:r>
      <w:r>
        <w:t xml:space="preserve">, with paid-up registered capital of</w:t>
      </w:r>
      <w:r>
        <w:t xml:space="preserve"> </w:t>
      </w:r>
      <w:r>
        <w:rPr>
          <w:b/>
          <w:bCs/>
        </w:rPr>
        <w:t xml:space="preserve">THB 50 million</w:t>
      </w:r>
      <w:r>
        <w:t xml:space="preserve">.</w:t>
      </w:r>
      <w:r>
        <w:t xml:space="preserve"> </w:t>
      </w:r>
      <w:r>
        <w:t xml:space="preserve">Aligned with</w:t>
      </w:r>
      <w:r>
        <w:t xml:space="preserve"> </w:t>
      </w:r>
      <w:r>
        <w:rPr>
          <w:b/>
          <w:bCs/>
        </w:rPr>
        <w:t xml:space="preserve">PCI-DSS v4.0 Level 1</w:t>
      </w:r>
      <w:r>
        <w:t xml:space="preserve"> </w:t>
      </w:r>
      <w:r>
        <w:t xml:space="preserve">and</w:t>
      </w:r>
      <w:r>
        <w:t xml:space="preserve"> </w:t>
      </w:r>
      <w:r>
        <w:rPr>
          <w:b/>
          <w:bCs/>
        </w:rPr>
        <w:t xml:space="preserve">EMV 3-D Secure (3DS) 2.x</w:t>
      </w:r>
      <w:r>
        <w:t xml:space="preserve"> </w:t>
      </w:r>
      <w:r>
        <w:t xml:space="preserve">for authentication/chargeback processes.</w:t>
      </w:r>
    </w:p>
    <w:p>
      <w:pPr>
        <w:pStyle w:val="BlockText"/>
      </w:pPr>
      <w:r>
        <w:t xml:space="preserve">Document ID:</w:t>
      </w:r>
      <w:r>
        <w:t xml:space="preserve"> </w:t>
      </w:r>
      <w:r>
        <w:rPr>
          <w:rStyle w:val="VerbatimChar"/>
        </w:rPr>
        <w:t xml:space="preserve">COMP-29</w:t>
      </w:r>
      <w:r>
        <w:t xml:space="preserve"> </w:t>
      </w:r>
      <w:r>
        <w:t xml:space="preserve">· Version 0.1 · Prepared 2026-07-22 · Reviewed every 12 months (and whenever card-scheme dispute rules change)</w:t>
      </w:r>
      <w:r>
        <w:t xml:space="preserve"> </w:t>
      </w:r>
      <w:r>
        <w:t xml:space="preserve">Document owner:</w:t>
      </w:r>
      <w:r>
        <w:t xml:space="preserve"> </w:t>
      </w:r>
      <w:r>
        <w:rPr>
          <w:b/>
          <w:bCs/>
        </w:rPr>
        <w:t xml:space="preserve">Chief Compliance Officer (CCO)</w:t>
      </w:r>
      <w:r>
        <w:t xml:space="preserve"> </w:t>
      </w:r>
      <w:r>
        <w:t xml:space="preserve">together with</w:t>
      </w:r>
      <w:r>
        <w:t xml:space="preserve"> </w:t>
      </w:r>
      <w:r>
        <w:rPr>
          <w:b/>
          <w:bCs/>
        </w:rPr>
        <w:t xml:space="preserve">Head of Merchant Operations / Disputes Manager</w:t>
      </w:r>
      <w:r>
        <w:t xml:space="preserve"> </w:t>
      </w:r>
      <w:r>
        <w:t xml:space="preserve">Related documents: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./04-org-chart-governance.md</w:t>
      </w:r>
      <w:r>
        <w:t xml:space="preserve">,</w:t>
      </w:r>
      <w:r>
        <w:t xml:space="preserve"> </w:t>
      </w:r>
      <w:r>
        <w:rPr>
          <w:rStyle w:val="VerbatimChar"/>
        </w:rPr>
        <w:t xml:space="preserve">./05-aml-kyc-cdd-policy.md</w:t>
      </w:r>
      <w:r>
        <w:t xml:space="preserve">,</w:t>
      </w:r>
      <w:r>
        <w:t xml:space="preserve"> </w:t>
      </w:r>
      <w:r>
        <w:rPr>
          <w:rStyle w:val="VerbatimChar"/>
        </w:rPr>
        <w:t xml:space="preserve">./07-sar-str-procedure.md</w:t>
      </w:r>
      <w:r>
        <w:t xml:space="preserve">,</w:t>
      </w:r>
      <w:r>
        <w:t xml:space="preserve"> </w:t>
      </w:r>
      <w:r>
        <w:rPr>
          <w:rStyle w:val="VerbatimChar"/>
        </w:rPr>
        <w:t xml:space="preserve">./09-pdpa-privacy-policy.md</w:t>
      </w:r>
      <w:r>
        <w:t xml:space="preserve">,</w:t>
      </w:r>
      <w:r>
        <w:t xml:space="preserve"> </w:t>
      </w:r>
      <w:r>
        <w:rPr>
          <w:rStyle w:val="VerbatimChar"/>
        </w:rPr>
        <w:t xml:space="preserve">./16-incident-response-breach.md</w:t>
      </w:r>
    </w:p>
    <w:p>
      <w:pPr>
        <w:pStyle w:val="BlockText"/>
      </w:pPr>
      <w:r>
        <w:rPr>
          <w:b/>
          <w:bCs/>
        </w:rPr>
        <w:t xml:space="preserve">Disclaimer:</w:t>
      </w:r>
      <w:r>
        <w:t xml:space="preserve"> </w:t>
      </w:r>
      <w:r>
        <w:t xml:space="preserve">This document is operational/structural reference material, not legal advice. It must be reviewed against BOT licensing counsel and the latest card-scheme dispute manuals before submission.</w:t>
      </w:r>
    </w:p>
    <w:p>
      <w:r>
        <w:pict>
          <v:rect style="width:0;height:1.5pt" o:hralign="center" o:hrstd="t" o:hr="t"/>
        </w:pict>
      </w:r>
    </w:p>
    <w:p>
      <w:pPr>
        <w:pStyle w:val="BlockText"/>
      </w:pPr>
      <w:r>
        <w:t xml:space="preserve">[!IMPORTANT]</w:t>
      </w:r>
      <w:r>
        <w:t xml:space="preserve"> </w:t>
      </w:r>
      <w:r>
        <w:rPr>
          <w:b/>
          <w:bCs/>
        </w:rPr>
        <w:t xml:space="preserve">Assumptions / TODO</w:t>
      </w:r>
      <w:r>
        <w:t xml:space="preserve"> </w:t>
      </w:r>
      <w:r>
        <w:t xml:space="preserve">— values to confirm before BOT submission and go-live</w:t>
      </w:r>
    </w:p>
    <w:tbl>
      <w:tblPr>
        <w:tblStyle w:val="Table"/>
        <w:tblW w:type="pct" w:w="5000"/>
        <w:tblLayout w:type="fixed"/>
        <w:tblLook w:firstRow="1" w:lastRow="0" w:firstColumn="0" w:lastColumn="0" w:noHBand="0" w:noVBand="0" w:val="0020"/>
      </w:tblPr>
      <w:tblGrid>
        <w:gridCol w:w="990"/>
        <w:gridCol w:w="1980"/>
        <w:gridCol w:w="2640"/>
        <w:gridCol w:w="2310"/>
      </w:tblGrid>
      <w:tr>
        <w:trPr>
          <w:tblHeader w:val="on"/>
        </w:trPr>
        <w:tc>
          <w:tcPr/>
          <w:p>
            <w:pPr>
              <w:pStyle w:val="Compact"/>
            </w:pPr>
            <w:r>
              <w:t xml:space="preserve">#</w:t>
            </w:r>
          </w:p>
        </w:tc>
        <w:tc>
          <w:tcPr/>
          <w:p>
            <w:pPr>
              <w:pStyle w:val="Compact"/>
            </w:pPr>
            <w:r>
              <w:t xml:space="preserve">Item</w:t>
            </w:r>
          </w:p>
        </w:tc>
        <w:tc>
          <w:tcPr/>
          <w:p>
            <w:pPr>
              <w:pStyle w:val="Compact"/>
            </w:pPr>
            <w:r>
              <w:t xml:space="preserve">Status</w:t>
            </w:r>
          </w:p>
        </w:tc>
        <w:tc>
          <w:tcPr/>
          <w:p>
            <w:pPr>
              <w:pStyle w:val="Compact"/>
            </w:pPr>
            <w:r>
              <w:t xml:space="preserve">Owner</w:t>
            </w:r>
          </w:p>
        </w:tc>
      </w:tr>
      <w:tr>
        <w:tc>
          <w:tcPr/>
          <w:p>
            <w:pPr>
              <w:pStyle w:val="Compact"/>
            </w:pPr>
            <w:r>
              <w:t xml:space="preserve">A1</w:t>
            </w:r>
          </w:p>
        </w:tc>
        <w:tc>
          <w:tcPr/>
          <w:p>
            <w:pPr>
              <w:pStyle w:val="Compact"/>
            </w:pPr>
            <w:r>
              <w:rPr>
                <w:b/>
                <w:bCs/>
              </w:rPr>
              <w:t xml:space="preserve">Legal company name</w:t>
            </w:r>
            <w:r>
              <w:t xml:space="preserve"> </w:t>
            </w:r>
            <w:r>
              <w:t xml:space="preserve">— placeholder</w:t>
            </w:r>
            <w:r>
              <w:t xml:space="preserve"> </w:t>
            </w:r>
            <w:r>
              <w:rPr>
                <w:rStyle w:val="VerbatimChar"/>
              </w:rPr>
              <w:t xml:space="preserve">[บริษัท / Company]</w:t>
            </w:r>
            <w:r>
              <w:t xml:space="preserve"> </w:t>
            </w:r>
            <w:r>
              <w:t xml:space="preserve">used throughout</w:t>
            </w:r>
          </w:p>
        </w:tc>
        <w:tc>
          <w:tcPr/>
          <w:p>
            <w:pPr>
              <w:pStyle w:val="Compact"/>
            </w:pPr>
            <w:r>
              <w:t xml:space="preserve">TODO</w:t>
            </w:r>
          </w:p>
        </w:tc>
        <w:tc>
          <w:tcPr/>
          <w:p>
            <w:pPr>
              <w:pStyle w:val="Compact"/>
            </w:pPr>
            <w:r>
              <w:t xml:space="preserve">Corporate Secretary</w:t>
            </w:r>
          </w:p>
        </w:tc>
      </w:tr>
      <w:tr>
        <w:tc>
          <w:tcPr/>
          <w:p>
            <w:pPr>
              <w:pStyle w:val="Compact"/>
            </w:pPr>
            <w:r>
              <w:t xml:space="preserve">A2</w:t>
            </w:r>
          </w:p>
        </w:tc>
        <w:tc>
          <w:tcPr/>
          <w:p>
            <w:pPr>
              <w:pStyle w:val="Compact"/>
            </w:pPr>
            <w:r>
              <w:rPr>
                <w:b/>
                <w:bCs/>
              </w:rPr>
              <w:t xml:space="preserve">Sponsor / acquiring bank</w:t>
            </w:r>
            <w:r>
              <w:t xml:space="preserve"> </w:t>
            </w:r>
            <w:r>
              <w:t xml:space="preserve">— not yet signed (Path B per ROADMAP); defines representment SLA, chargeback debit and the actual dispute portal</w:t>
            </w:r>
          </w:p>
        </w:tc>
        <w:tc>
          <w:tcPr/>
          <w:p>
            <w:pPr>
              <w:pStyle w:val="Compact"/>
            </w:pPr>
            <w:r>
              <w:t xml:space="preserve">Open</w:t>
            </w:r>
          </w:p>
        </w:tc>
        <w:tc>
          <w:tcPr/>
          <w:p>
            <w:pPr>
              <w:pStyle w:val="Compact"/>
            </w:pPr>
            <w:r>
              <w:t xml:space="preserve">CEO / Head of Partnerships</w:t>
            </w:r>
          </w:p>
        </w:tc>
      </w:tr>
      <w:tr>
        <w:tc>
          <w:tcPr/>
          <w:p>
            <w:pPr>
              <w:pStyle w:val="Compact"/>
            </w:pPr>
            <w:r>
              <w:t xml:space="preserve">A3</w:t>
            </w:r>
          </w:p>
        </w:tc>
        <w:tc>
          <w:tcPr/>
          <w:p>
            <w:pPr>
              <w:pStyle w:val="Compact"/>
            </w:pPr>
            <w:r>
              <w:rPr>
                <w:b/>
                <w:bCs/>
              </w:rPr>
              <w:t xml:space="preserve">Applicable card-scheme dispute rules</w:t>
            </w:r>
            <w:r>
              <w:t xml:space="preserve"> </w:t>
            </w:r>
            <w:r>
              <w:t xml:space="preserve">— Visa VCR (Visa Claims Resolution) and Mastercard Dispute Resolution (MDR/Mastercom); must follow the edition in force at go-live (reason codes/timelines may change)</w:t>
            </w:r>
          </w:p>
        </w:tc>
        <w:tc>
          <w:tcPr/>
          <w:p>
            <w:pPr>
              <w:pStyle w:val="Compact"/>
            </w:pPr>
            <w:r>
              <w:t xml:space="preserve">TODO</w:t>
            </w:r>
          </w:p>
        </w:tc>
        <w:tc>
          <w:tcPr/>
          <w:p>
            <w:pPr>
              <w:pStyle w:val="Compact"/>
            </w:pPr>
            <w:r>
              <w:t xml:space="preserve">Disputes Manager</w:t>
            </w:r>
          </w:p>
        </w:tc>
      </w:tr>
      <w:tr>
        <w:tc>
          <w:tcPr/>
          <w:p>
            <w:pPr>
              <w:pStyle w:val="Compact"/>
            </w:pPr>
            <w:r>
              <w:t xml:space="preserve">A4</w:t>
            </w:r>
          </w:p>
        </w:tc>
        <w:tc>
          <w:tcPr/>
          <w:p>
            <w:pPr>
              <w:pStyle w:val="Compact"/>
            </w:pPr>
            <w:r>
              <w:rPr>
                <w:b/>
                <w:bCs/>
              </w:rPr>
              <w:t xml:space="preserve">ITMX / local scheme rules</w:t>
            </w:r>
            <w:r>
              <w:t xml:space="preserve"> </w:t>
            </w:r>
            <w:r>
              <w:t xml:space="preserve">for domestic cards and PromptPay/QR dispute handling</w:t>
            </w:r>
          </w:p>
        </w:tc>
        <w:tc>
          <w:tcPr/>
          <w:p>
            <w:pPr>
              <w:pStyle w:val="Compact"/>
            </w:pPr>
            <w:r>
              <w:t xml:space="preserve">Open</w:t>
            </w:r>
          </w:p>
        </w:tc>
        <w:tc>
          <w:tcPr/>
          <w:p>
            <w:pPr>
              <w:pStyle w:val="Compact"/>
            </w:pPr>
            <w:r>
              <w:t xml:space="preserve">Head of Merchant Ops</w:t>
            </w:r>
          </w:p>
        </w:tc>
      </w:tr>
      <w:tr>
        <w:tc>
          <w:tcPr/>
          <w:p>
            <w:pPr>
              <w:pStyle w:val="Compact"/>
            </w:pPr>
            <w:r>
              <w:t xml:space="preserve">A5</w:t>
            </w:r>
          </w:p>
        </w:tc>
        <w:tc>
          <w:tcPr/>
          <w:p>
            <w:pPr>
              <w:pStyle w:val="Compact"/>
            </w:pPr>
            <w:r>
              <w:rPr>
                <w:b/>
                <w:bCs/>
              </w:rPr>
              <w:t xml:space="preserve">BOT Financial Consumer Protection Center (hotline 1213)</w:t>
            </w:r>
            <w:r>
              <w:t xml:space="preserve"> </w:t>
            </w:r>
            <w:r>
              <w:t xml:space="preserve">— confirm official channel/form and the response window BOT expects from operators</w:t>
            </w:r>
          </w:p>
        </w:tc>
        <w:tc>
          <w:tcPr/>
          <w:p>
            <w:pPr>
              <w:pStyle w:val="Compact"/>
            </w:pPr>
            <w:r>
              <w:t xml:space="preserve">TODO</w:t>
            </w:r>
          </w:p>
        </w:tc>
        <w:tc>
          <w:tcPr/>
          <w:p>
            <w:pPr>
              <w:pStyle w:val="Compact"/>
            </w:pPr>
            <w:r>
              <w:t xml:space="preserve">CCO / Legal counsel</w:t>
            </w:r>
          </w:p>
        </w:tc>
      </w:tr>
      <w:tr>
        <w:tc>
          <w:tcPr/>
          <w:p>
            <w:pPr>
              <w:pStyle w:val="Compact"/>
            </w:pPr>
            <w:r>
              <w:t xml:space="preserve">A6</w:t>
            </w:r>
          </w:p>
        </w:tc>
        <w:tc>
          <w:tcPr/>
          <w:p>
            <w:pPr>
              <w:pStyle w:val="Compact"/>
            </w:pPr>
            <w:r>
              <w:rPr>
                <w:b/>
                <w:bCs/>
              </w:rPr>
              <w:t xml:space="preserve">Arbitration institution</w:t>
            </w:r>
            <w:r>
              <w:t xml:space="preserve"> </w:t>
            </w:r>
            <w:r>
              <w:t xml:space="preserve">— choose</w:t>
            </w:r>
            <w:r>
              <w:t xml:space="preserve"> </w:t>
            </w:r>
            <w:r>
              <w:rPr>
                <w:b/>
                <w:bCs/>
              </w:rPr>
              <w:t xml:space="preserve">THAC</w:t>
            </w:r>
            <w:r>
              <w:t xml:space="preserve"> </w:t>
            </w:r>
            <w:r>
              <w:t xml:space="preserve">or the</w:t>
            </w:r>
            <w:r>
              <w:t xml:space="preserve"> </w:t>
            </w:r>
            <w:r>
              <w:rPr>
                <w:b/>
                <w:bCs/>
              </w:rPr>
              <w:t xml:space="preserve">Thai Arbitration Institute (TAI)</w:t>
            </w:r>
            <w:r>
              <w:t xml:space="preserve"> </w:t>
            </w:r>
            <w:r>
              <w:t xml:space="preserve">for the merchant-agreement arbitration clause</w:t>
            </w:r>
          </w:p>
        </w:tc>
        <w:tc>
          <w:tcPr/>
          <w:p>
            <w:pPr>
              <w:pStyle w:val="Compact"/>
            </w:pPr>
            <w:r>
              <w:t xml:space="preserve">Open</w:t>
            </w:r>
          </w:p>
        </w:tc>
        <w:tc>
          <w:tcPr/>
          <w:p>
            <w:pPr>
              <w:pStyle w:val="Compact"/>
            </w:pPr>
            <w:r>
              <w:t xml:space="preserve">Legal Counsel</w:t>
            </w:r>
          </w:p>
        </w:tc>
      </w:tr>
      <w:tr>
        <w:tc>
          <w:tcPr/>
          <w:p>
            <w:pPr>
              <w:pStyle w:val="Compact"/>
            </w:pPr>
            <w:r>
              <w:t xml:space="preserve">A7</w:t>
            </w:r>
          </w:p>
        </w:tc>
        <w:tc>
          <w:tcPr/>
          <w:p>
            <w:pPr>
              <w:pStyle w:val="Compact"/>
            </w:pPr>
            <w:r>
              <w:rPr>
                <w:b/>
                <w:bCs/>
              </w:rPr>
              <w:t xml:space="preserve">Chargeback / rolling reserve amounts</w:t>
            </w:r>
            <w:r>
              <w:t xml:space="preserve"> </w:t>
            </w:r>
            <w:r>
              <w:t xml:space="preserve">per merchant risk tier — must align with sponsor-bank terms</w:t>
            </w:r>
          </w:p>
        </w:tc>
        <w:tc>
          <w:tcPr/>
          <w:p>
            <w:pPr>
              <w:pStyle w:val="Compact"/>
            </w:pPr>
            <w:r>
              <w:t xml:space="preserve">Open</w:t>
            </w:r>
          </w:p>
        </w:tc>
        <w:tc>
          <w:tcPr/>
          <w:p>
            <w:pPr>
              <w:pStyle w:val="Compact"/>
            </w:pPr>
            <w:r>
              <w:t xml:space="preserve">CFO / Risk</w:t>
            </w:r>
          </w:p>
        </w:tc>
      </w:tr>
      <w:tr>
        <w:tc>
          <w:tcPr/>
          <w:p>
            <w:pPr>
              <w:pStyle w:val="Compact"/>
            </w:pPr>
            <w:r>
              <w:t xml:space="preserve">A8</w:t>
            </w:r>
          </w:p>
        </w:tc>
        <w:tc>
          <w:tcPr/>
          <w:p>
            <w:pPr>
              <w:pStyle w:val="Compact"/>
            </w:pPr>
            <w:r>
              <w:rPr>
                <w:b/>
                <w:bCs/>
              </w:rPr>
              <w:t xml:space="preserve">Actual case-management system</w:t>
            </w:r>
            <w:r>
              <w:t xml:space="preserve"> </w:t>
            </w:r>
            <w:r>
              <w:t xml:space="preserve">(dispute workflow tool) and</w:t>
            </w:r>
            <w:r>
              <w:t xml:space="preserve"> </w:t>
            </w:r>
            <w:r>
              <w:rPr>
                <w:rStyle w:val="VerbatimChar"/>
              </w:rPr>
              <w:t xml:space="preserve">webhook_events</w:t>
            </w:r>
            <w:r>
              <w:t xml:space="preserve"> </w:t>
            </w:r>
            <w:r>
              <w:t xml:space="preserve">integration for merchant notification</w:t>
            </w:r>
          </w:p>
        </w:tc>
        <w:tc>
          <w:tcPr/>
          <w:p>
            <w:pPr>
              <w:pStyle w:val="Compact"/>
            </w:pPr>
            <w:r>
              <w:t xml:space="preserve">TODO</w:t>
            </w:r>
          </w:p>
        </w:tc>
        <w:tc>
          <w:tcPr/>
          <w:p>
            <w:pPr>
              <w:pStyle w:val="Compact"/>
            </w:pPr>
            <w:r>
              <w:t xml:space="preserve">CTO / Disputes Manager</w:t>
            </w:r>
          </w:p>
        </w:tc>
      </w:tr>
    </w:tbl>
    <w:p>
      <w:pPr>
        <w:pStyle w:val="BlockText"/>
      </w:pPr>
      <w:r>
        <w:t xml:space="preserve">Do not enter assumed vendor names / scheme article numbers / amounts into the submitted document — only verifiable data.</w:t>
      </w:r>
    </w:p>
    <w:p>
      <w:r>
        <w:pict>
          <v:rect style="width:0;height:1.5pt" o:hralign="center" o:hrstd="t" o:hr="t"/>
        </w:pict>
      </w:r>
    </w:p>
    <w:bookmarkStart w:id="1060" w:name="purpose-scope-10"/>
    <w:p>
      <w:pPr>
        <w:pStyle w:val="Heading2"/>
      </w:pPr>
      <w:r>
        <w:t xml:space="preserve">1. Purpose &amp; Scope</w:t>
      </w:r>
    </w:p>
    <w:p>
      <w:pPr>
        <w:pStyle w:val="FirstParagraph"/>
      </w:pPr>
      <w:r>
        <w:t xml:space="preserve">This document defines the</w:t>
      </w:r>
      <w:r>
        <w:t xml:space="preserve"> </w:t>
      </w:r>
      <w:r>
        <w:rPr>
          <w:b/>
          <w:bCs/>
        </w:rPr>
        <w:t xml:space="preserve">Dispute Resolution Procedure</w:t>
      </w:r>
      <w:r>
        <w:t xml:space="preserve"> </w:t>
      </w:r>
      <w:r>
        <w:t xml:space="preserve">of [บริษัท / Company] as a Full Acquiring Gateway, covering disputes among all parties —</w:t>
      </w:r>
      <w:r>
        <w:t xml:space="preserve"> </w:t>
      </w:r>
      <w:r>
        <w:rPr>
          <w:b/>
          <w:bCs/>
        </w:rPr>
        <w:t xml:space="preserve">cardholders/consumers</w:t>
      </w:r>
      <w:r>
        <w:t xml:space="preserve">,</w:t>
      </w:r>
      <w:r>
        <w:t xml:space="preserve"> </w:t>
      </w:r>
      <w:r>
        <w:rPr>
          <w:b/>
          <w:bCs/>
        </w:rPr>
        <w:t xml:space="preserve">merchants</w:t>
      </w:r>
      <w:r>
        <w:t xml:space="preserve">,</w:t>
      </w:r>
      <w:r>
        <w:t xml:space="preserve"> </w:t>
      </w:r>
      <w:r>
        <w:rPr>
          <w:b/>
          <w:bCs/>
        </w:rPr>
        <w:t xml:space="preserve">issuers</w:t>
      </w:r>
      <w:r>
        <w:t xml:space="preserve">, and [บริษัท / Company] itself — in order to:</w:t>
      </w:r>
    </w:p>
    <w:p>
      <w:pPr>
        <w:pStyle w:val="Compact"/>
        <w:numPr>
          <w:ilvl w:val="0"/>
          <w:numId w:val="1387"/>
        </w:numPr>
      </w:pPr>
      <w:r>
        <w:t xml:space="preserve">Provide clear, fair, time-bound complaint and escalation channels consistent with BOT</w:t>
      </w:r>
      <w:r>
        <w:t xml:space="preserve"> </w:t>
      </w:r>
      <w:r>
        <w:rPr>
          <w:b/>
          <w:bCs/>
        </w:rPr>
        <w:t xml:space="preserve">Market Conduct / financial consumer protection</w:t>
      </w:r>
      <w:r>
        <w:t xml:space="preserve"> </w:t>
      </w:r>
      <w:r>
        <w:t xml:space="preserve">principles.</w:t>
      </w:r>
    </w:p>
    <w:p>
      <w:pPr>
        <w:pStyle w:val="Compact"/>
        <w:numPr>
          <w:ilvl w:val="0"/>
          <w:numId w:val="1387"/>
        </w:numPr>
      </w:pPr>
      <w:r>
        <w:t xml:space="preserve">Handle</w:t>
      </w:r>
      <w:r>
        <w:t xml:space="preserve"> </w:t>
      </w:r>
      <w:r>
        <w:rPr>
          <w:b/>
          <w:bCs/>
        </w:rPr>
        <w:t xml:space="preserve">chargebacks / disputes</w:t>
      </w:r>
      <w:r>
        <w:t xml:space="preserve"> </w:t>
      </w:r>
      <w:r>
        <w:t xml:space="preserve">per card-scheme rules (Visa VCR, Mastercard MDR) and local rails (ITMX/PromptPay) within mandatory timelines.</w:t>
      </w:r>
    </w:p>
    <w:p>
      <w:pPr>
        <w:pStyle w:val="Compact"/>
        <w:numPr>
          <w:ilvl w:val="0"/>
          <w:numId w:val="1387"/>
        </w:numPr>
      </w:pPr>
      <w:r>
        <w:t xml:space="preserve">Support</w:t>
      </w:r>
      <w:r>
        <w:t xml:space="preserve"> </w:t>
      </w:r>
      <w:r>
        <w:rPr>
          <w:b/>
          <w:bCs/>
        </w:rPr>
        <w:t xml:space="preserve">escalation to mediation and arbitration</w:t>
      </w:r>
      <w:r>
        <w:t xml:space="preserve"> </w:t>
      </w:r>
      <w:r>
        <w:t xml:space="preserve">where parties cannot resolve directly.</w:t>
      </w:r>
    </w:p>
    <w:p>
      <w:pPr>
        <w:pStyle w:val="Compact"/>
        <w:numPr>
          <w:ilvl w:val="0"/>
          <w:numId w:val="1387"/>
        </w:numPr>
      </w:pPr>
      <w:r>
        <w:t xml:space="preserve">Fulfil</w:t>
      </w:r>
      <w:r>
        <w:t xml:space="preserve"> </w:t>
      </w:r>
      <w:r>
        <w:rPr>
          <w:b/>
          <w:bCs/>
        </w:rPr>
        <w:t xml:space="preserve">reporting duties to BOT and consumer-protection bodies</w:t>
      </w:r>
      <w:r>
        <w:t xml:space="preserve"> </w:t>
      </w:r>
      <w:r>
        <w:t xml:space="preserve">and coordinate with AMLO and PDPC when triggered.</w:t>
      </w:r>
    </w:p>
    <w:p>
      <w:pPr>
        <w:pStyle w:val="FirstParagraph"/>
      </w:pPr>
      <w:r>
        <w:rPr>
          <w:b/>
          <w:bCs/>
        </w:rPr>
        <w:t xml:space="preserve">Scope:</w:t>
      </w:r>
      <w:r>
        <w:t xml:space="preserve"> </w:t>
      </w:r>
      <w:r>
        <w:t xml:space="preserve">all records in</w:t>
      </w:r>
      <w:r>
        <w:t xml:space="preserve"> </w:t>
      </w:r>
      <w:r>
        <w:rPr>
          <w:rStyle w:val="VerbatimChar"/>
        </w:rPr>
        <w:t xml:space="preserve">payments</w:t>
      </w:r>
      <w:r>
        <w:t xml:space="preserve">,</w:t>
      </w:r>
      <w:r>
        <w:t xml:space="preserve"> </w:t>
      </w:r>
      <w:r>
        <w:rPr>
          <w:rStyle w:val="VerbatimChar"/>
        </w:rPr>
        <w:t xml:space="preserve">refunds</w:t>
      </w:r>
      <w:r>
        <w:t xml:space="preserve">,</w:t>
      </w:r>
      <w:r>
        <w:t xml:space="preserve"> </w:t>
      </w:r>
      <w:r>
        <w:rPr>
          <w:rStyle w:val="VerbatimChar"/>
        </w:rPr>
        <w:t xml:space="preserve">ledger_entries</w:t>
      </w:r>
      <w:r>
        <w:t xml:space="preserve"> </w:t>
      </w:r>
      <w:r>
        <w:t xml:space="preserve">per</w:t>
      </w:r>
      <w:r>
        <w:t xml:space="preserve"> </w:t>
      </w:r>
      <w:r>
        <w:rPr>
          <w:rStyle w:val="VerbatimChar"/>
        </w:rPr>
        <w:t xml:space="preserve">ARCHITECTURE.md</w:t>
      </w:r>
      <w:r>
        <w:t xml:space="preserve">, across all channels (card, 3DS, QR/PromptPay) and all originators (merchant, cardholder, issuer).</w:t>
      </w:r>
    </w:p>
    <w:p>
      <w:pPr>
        <w:pStyle w:val="BlockText"/>
      </w:pPr>
      <w:r>
        <w:rPr>
          <w:b/>
          <w:bCs/>
        </w:rPr>
        <w:t xml:space="preserve">Guiding principle:</w:t>
      </w:r>
      <w:r>
        <w:t xml:space="preserve"> </w:t>
      </w:r>
      <w:r>
        <w:rPr>
          <w:i/>
          <w:iCs/>
        </w:rPr>
        <w:t xml:space="preserve">“Mediate first — escalate when needed — record every step in the audit trail.”</w:t>
      </w:r>
      <w:r>
        <w:t xml:space="preserve"> </w:t>
      </w:r>
      <w:r>
        <w:t xml:space="preserve">Every dispute is assigned a case number (</w:t>
      </w:r>
      <w:r>
        <w:rPr>
          <w:rStyle w:val="VerbatimChar"/>
        </w:rPr>
        <w:t xml:space="preserve">DISP-YYYY-NNNNNN</w:t>
      </w:r>
      <w:r>
        <w:t xml:space="preserve">) linked to its</w:t>
      </w:r>
      <w:r>
        <w:t xml:space="preserve"> </w:t>
      </w:r>
      <w:r>
        <w:rPr>
          <w:rStyle w:val="VerbatimChar"/>
        </w:rPr>
        <w:t xml:space="preserve">payment_id</w:t>
      </w:r>
      <w:r>
        <w:t xml:space="preserve"> </w:t>
      </w:r>
      <w:r>
        <w:t xml:space="preserve">from the outset, and every state change is written to</w:t>
      </w:r>
      <w:r>
        <w:t xml:space="preserve"> </w:t>
      </w:r>
      <w:r>
        <w:rPr>
          <w:rStyle w:val="VerbatimChar"/>
        </w:rPr>
        <w:t xml:space="preserve">audit_log</w:t>
      </w:r>
      <w:r>
        <w:t xml:space="preserve"> </w:t>
      </w:r>
      <w:r>
        <w:t xml:space="preserve">per PCI-DSS Req 10.</w:t>
      </w:r>
    </w:p>
    <w:p>
      <w:r>
        <w:pict>
          <v:rect style="width:0;height:1.5pt" o:hralign="center" o:hrstd="t" o:hr="t"/>
        </w:pict>
      </w:r>
    </w:p>
    <w:bookmarkEnd w:id="1060"/>
    <w:bookmarkStart w:id="1061" w:name="dispute-types-intake"/>
    <w:p>
      <w:pPr>
        <w:pStyle w:val="Heading2"/>
      </w:pPr>
      <w:r>
        <w:t xml:space="preserve">2. Dispute Types &amp; Intake</w:t>
      </w:r>
    </w:p>
    <w:tbl>
      <w:tblPr>
        <w:tblStyle w:val="Table"/>
        <w:tblW w:type="pct" w:w="5000"/>
        <w:tblLayout w:type="fixed"/>
        <w:tblLook w:firstRow="1" w:lastRow="0" w:firstColumn="0" w:lastColumn="0" w:noHBand="0" w:noVBand="0" w:val="0020"/>
      </w:tblPr>
      <w:tblGrid>
        <w:gridCol w:w="1011"/>
        <w:gridCol w:w="1348"/>
        <w:gridCol w:w="2696"/>
        <w:gridCol w:w="2864"/>
      </w:tblGrid>
      <w:tr>
        <w:trPr>
          <w:tblHeader w:val="on"/>
        </w:trPr>
        <w:tc>
          <w:tcPr/>
          <w:p>
            <w:pPr>
              <w:pStyle w:val="Compact"/>
            </w:pPr>
            <w:r>
              <w:t xml:space="preserve">Type</w:t>
            </w:r>
          </w:p>
        </w:tc>
        <w:tc>
          <w:tcPr/>
          <w:p>
            <w:pPr>
              <w:pStyle w:val="Compact"/>
            </w:pPr>
            <w:r>
              <w:t xml:space="preserve">Origin</w:t>
            </w:r>
          </w:p>
        </w:tc>
        <w:tc>
          <w:tcPr/>
          <w:p>
            <w:pPr>
              <w:pStyle w:val="Compact"/>
            </w:pPr>
            <w:r>
              <w:t xml:space="preserve">Intake channel</w:t>
            </w:r>
          </w:p>
        </w:tc>
        <w:tc>
          <w:tcPr/>
          <w:p>
            <w:pPr>
              <w:pStyle w:val="Compact"/>
            </w:pPr>
            <w:r>
              <w:t xml:space="preserve">First responder</w:t>
            </w:r>
          </w:p>
        </w:tc>
      </w:tr>
      <w:tr>
        <w:tc>
          <w:tcPr/>
          <w:p>
            <w:pPr>
              <w:pStyle w:val="Compact"/>
            </w:pPr>
            <w:r>
              <w:rPr>
                <w:b/>
                <w:bCs/>
              </w:rPr>
              <w:t xml:space="preserve">Consumer complaint</w:t>
            </w:r>
          </w:p>
        </w:tc>
        <w:tc>
          <w:tcPr/>
          <w:p>
            <w:pPr>
              <w:pStyle w:val="Compact"/>
            </w:pPr>
            <w:r>
              <w:t xml:space="preserve">Cardholder/user</w:t>
            </w:r>
          </w:p>
        </w:tc>
        <w:tc>
          <w:tcPr/>
          <w:p>
            <w:pPr>
              <w:pStyle w:val="Compact"/>
            </w:pPr>
            <w:r>
              <w:rPr>
                <w:rStyle w:val="VerbatimChar"/>
              </w:rPr>
              <w:t xml:space="preserve">disputes@[company]</w:t>
            </w:r>
            <w:r>
              <w:t xml:space="preserve">, support hotline, web form</w:t>
            </w:r>
          </w:p>
        </w:tc>
        <w:tc>
          <w:tcPr/>
          <w:p>
            <w:pPr>
              <w:pStyle w:val="Compact"/>
            </w:pPr>
            <w:r>
              <w:t xml:space="preserve">Customer Support (Tier 1)</w:t>
            </w:r>
          </w:p>
        </w:tc>
      </w:tr>
      <w:tr>
        <w:tc>
          <w:tcPr/>
          <w:p>
            <w:pPr>
              <w:pStyle w:val="Compact"/>
            </w:pPr>
            <w:r>
              <w:rPr>
                <w:b/>
                <w:bCs/>
              </w:rPr>
              <w:t xml:space="preserve">Chargeback / dispute (card)</w:t>
            </w:r>
          </w:p>
        </w:tc>
        <w:tc>
          <w:tcPr/>
          <w:p>
            <w:pPr>
              <w:pStyle w:val="Compact"/>
            </w:pPr>
            <w:r>
              <w:t xml:space="preserve">Issuer via scheme → sponsor bank</w:t>
            </w:r>
          </w:p>
        </w:tc>
        <w:tc>
          <w:tcPr/>
          <w:p>
            <w:pPr>
              <w:pStyle w:val="Compact"/>
            </w:pPr>
            <w:r>
              <w:t xml:space="preserve">Visa VCR / Mastercom / sponsor-bank portal</w:t>
            </w:r>
          </w:p>
        </w:tc>
        <w:tc>
          <w:tcPr/>
          <w:p>
            <w:pPr>
              <w:pStyle w:val="Compact"/>
            </w:pPr>
            <w:r>
              <w:t xml:space="preserve">Disputes Team</w:t>
            </w:r>
          </w:p>
        </w:tc>
      </w:tr>
      <w:tr>
        <w:tc>
          <w:tcPr/>
          <w:p>
            <w:pPr>
              <w:pStyle w:val="Compact"/>
            </w:pPr>
            <w:r>
              <w:rPr>
                <w:b/>
                <w:bCs/>
              </w:rPr>
              <w:t xml:space="preserve">QR/PromptPay transaction dispute</w:t>
            </w:r>
          </w:p>
        </w:tc>
        <w:tc>
          <w:tcPr/>
          <w:p>
            <w:pPr>
              <w:pStyle w:val="Compact"/>
            </w:pPr>
            <w:r>
              <w:t xml:space="preserve">Payer/payee via bank/ITMX</w:t>
            </w:r>
          </w:p>
        </w:tc>
        <w:tc>
          <w:tcPr/>
          <w:p>
            <w:pPr>
              <w:pStyle w:val="Compact"/>
            </w:pPr>
            <w:r>
              <w:t xml:space="preserve">ITMX dispute process</w:t>
            </w:r>
          </w:p>
        </w:tc>
        <w:tc>
          <w:tcPr/>
          <w:p>
            <w:pPr>
              <w:pStyle w:val="Compact"/>
            </w:pPr>
            <w:r>
              <w:t xml:space="preserve">Disputes Team</w:t>
            </w:r>
          </w:p>
        </w:tc>
      </w:tr>
      <w:tr>
        <w:tc>
          <w:tcPr/>
          <w:p>
            <w:pPr>
              <w:pStyle w:val="Compact"/>
            </w:pPr>
            <w:r>
              <w:rPr>
                <w:b/>
                <w:bCs/>
              </w:rPr>
              <w:t xml:space="preserve">Commercial dispute with merchant</w:t>
            </w:r>
          </w:p>
        </w:tc>
        <w:tc>
          <w:tcPr/>
          <w:p>
            <w:pPr>
              <w:pStyle w:val="Compact"/>
            </w:pPr>
            <w:r>
              <w:t xml:space="preserve">Merchant (fees, settlement, reserve, offboarding)</w:t>
            </w:r>
          </w:p>
        </w:tc>
        <w:tc>
          <w:tcPr/>
          <w:p>
            <w:pPr>
              <w:pStyle w:val="Compact"/>
            </w:pPr>
            <w:r>
              <w:t xml:space="preserve">Account Manager / contractual email</w:t>
            </w:r>
          </w:p>
        </w:tc>
        <w:tc>
          <w:tcPr/>
          <w:p>
            <w:pPr>
              <w:pStyle w:val="Compact"/>
            </w:pPr>
            <w:r>
              <w:t xml:space="preserve">Merchant Operations</w:t>
            </w:r>
          </w:p>
        </w:tc>
      </w:tr>
      <w:tr>
        <w:tc>
          <w:tcPr/>
          <w:p>
            <w:pPr>
              <w:pStyle w:val="Compact"/>
            </w:pPr>
            <w:r>
              <w:rPr>
                <w:b/>
                <w:bCs/>
              </w:rPr>
              <w:t xml:space="preserve">BOT-referred complaint (hotline 1213)</w:t>
            </w:r>
          </w:p>
        </w:tc>
        <w:tc>
          <w:tcPr/>
          <w:p>
            <w:pPr>
              <w:pStyle w:val="Compact"/>
            </w:pPr>
            <w:r>
              <w:t xml:space="preserve">BOT forwards complaint</w:t>
            </w:r>
          </w:p>
        </w:tc>
        <w:tc>
          <w:tcPr/>
          <w:p>
            <w:pPr>
              <w:pStyle w:val="Compact"/>
            </w:pPr>
            <w:r>
              <w:t xml:space="preserve">BOT official channel</w:t>
            </w:r>
          </w:p>
        </w:tc>
        <w:tc>
          <w:tcPr/>
          <w:p>
            <w:pPr>
              <w:pStyle w:val="Compact"/>
            </w:pPr>
            <w:r>
              <w:t xml:space="preserve">CCO</w:t>
            </w:r>
          </w:p>
        </w:tc>
      </w:tr>
    </w:tbl>
    <w:p>
      <w:pPr>
        <w:pStyle w:val="BodyText"/>
      </w:pPr>
      <w:r>
        <w:rPr>
          <w:b/>
          <w:bCs/>
        </w:rPr>
        <w:t xml:space="preserve">Standard intake:</w:t>
      </w:r>
      <w:r>
        <w:t xml:space="preserve"> </w:t>
      </w:r>
      <w:r>
        <w:t xml:space="preserve">every channel must be logged into the case-management system (A8) within</w:t>
      </w:r>
      <w:r>
        <w:t xml:space="preserve"> </w:t>
      </w:r>
      <w:r>
        <w:rPr>
          <w:b/>
          <w:bCs/>
        </w:rPr>
        <w:t xml:space="preserve">1 business day</w:t>
      </w:r>
      <w:r>
        <w:t xml:space="preserve">, assigned a case number, with an automatic acknowledgement to the complainant.</w:t>
      </w:r>
    </w:p>
    <w:p>
      <w:r>
        <w:pict>
          <v:rect style="width:0;height:1.5pt" o:hralign="center" o:hrstd="t" o:hr="t"/>
        </w:pict>
      </w:r>
    </w:p>
    <w:bookmarkEnd w:id="1061"/>
    <w:bookmarkStart w:id="1062" w:name="roles-responsibilities-5"/>
    <w:p>
      <w:pPr>
        <w:pStyle w:val="Heading2"/>
      </w:pPr>
      <w:r>
        <w:t xml:space="preserve">3. Roles &amp; Responsibilities</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Role</w:t>
            </w:r>
          </w:p>
        </w:tc>
        <w:tc>
          <w:tcPr/>
          <w:p>
            <w:pPr>
              <w:pStyle w:val="Compact"/>
            </w:pPr>
            <w:r>
              <w:t xml:space="preserve">Primary responsibility</w:t>
            </w:r>
          </w:p>
        </w:tc>
      </w:tr>
      <w:tr>
        <w:tc>
          <w:tcPr/>
          <w:p>
            <w:pPr>
              <w:pStyle w:val="Compact"/>
            </w:pPr>
            <w:r>
              <w:rPr>
                <w:b/>
                <w:bCs/>
              </w:rPr>
              <w:t xml:space="preserve">Customer Support (Tier 1)</w:t>
            </w:r>
          </w:p>
        </w:tc>
        <w:tc>
          <w:tcPr/>
          <w:p>
            <w:pPr>
              <w:pStyle w:val="Compact"/>
            </w:pPr>
            <w:r>
              <w:t xml:space="preserve">Intake, identity verification, simple resolutions (balance queries, policy refunds), acknowledgements</w:t>
            </w:r>
          </w:p>
        </w:tc>
      </w:tr>
      <w:tr>
        <w:tc>
          <w:tcPr/>
          <w:p>
            <w:pPr>
              <w:pStyle w:val="Compact"/>
            </w:pPr>
            <w:r>
              <w:rPr>
                <w:b/>
                <w:bCs/>
              </w:rPr>
              <w:t xml:space="preserve">Disputes Team (Tier 2)</w:t>
            </w:r>
          </w:p>
        </w:tc>
        <w:tc>
          <w:tcPr/>
          <w:p>
            <w:pPr>
              <w:pStyle w:val="Compact"/>
            </w:pPr>
            <w:r>
              <w:t xml:space="preserve">Chargeback/representment handling, compelling-evidence gathering, scheme timeline control</w:t>
            </w:r>
          </w:p>
        </w:tc>
      </w:tr>
      <w:tr>
        <w:tc>
          <w:tcPr/>
          <w:p>
            <w:pPr>
              <w:pStyle w:val="Compact"/>
            </w:pPr>
            <w:r>
              <w:rPr>
                <w:b/>
                <w:bCs/>
              </w:rPr>
              <w:t xml:space="preserve">Disputes Manager</w:t>
            </w:r>
          </w:p>
        </w:tc>
        <w:tc>
          <w:tcPr/>
          <w:p>
            <w:pPr>
              <w:pStyle w:val="Compact"/>
            </w:pPr>
            <w:r>
              <w:t xml:space="preserve">Process owner; approves representment / liability acceptance; reports chargeback ratio</w:t>
            </w:r>
          </w:p>
        </w:tc>
      </w:tr>
      <w:tr>
        <w:tc>
          <w:tcPr/>
          <w:p>
            <w:pPr>
              <w:pStyle w:val="Compact"/>
            </w:pPr>
            <w:r>
              <w:rPr>
                <w:b/>
                <w:bCs/>
              </w:rPr>
              <w:t xml:space="preserve">Merchant Operations / Account Manager</w:t>
            </w:r>
          </w:p>
        </w:tc>
        <w:tc>
          <w:tcPr/>
          <w:p>
            <w:pPr>
              <w:pStyle w:val="Compact"/>
            </w:pPr>
            <w:r>
              <w:t xml:space="preserve">Commercial disputes with merchants; reserve/settlement negotiation</w:t>
            </w:r>
          </w:p>
        </w:tc>
      </w:tr>
      <w:tr>
        <w:tc>
          <w:tcPr/>
          <w:p>
            <w:pPr>
              <w:pStyle w:val="Compact"/>
            </w:pPr>
            <w:r>
              <w:rPr>
                <w:b/>
                <w:bCs/>
              </w:rPr>
              <w:t xml:space="preserve">CCO</w:t>
            </w:r>
          </w:p>
        </w:tc>
        <w:tc>
          <w:tcPr/>
          <w:p>
            <w:pPr>
              <w:pStyle w:val="Compact"/>
            </w:pPr>
            <w:r>
              <w:t xml:space="preserve">Official point of contact for</w:t>
            </w:r>
            <w:r>
              <w:t xml:space="preserve"> </w:t>
            </w:r>
            <w:r>
              <w:rPr>
                <w:b/>
                <w:bCs/>
              </w:rPr>
              <w:t xml:space="preserve">BOT / hotline 1213</w:t>
            </w:r>
            <w:r>
              <w:t xml:space="preserve">, market-conduct oversight, license-based reporting</w:t>
            </w:r>
          </w:p>
        </w:tc>
      </w:tr>
      <w:tr>
        <w:tc>
          <w:tcPr/>
          <w:p>
            <w:pPr>
              <w:pStyle w:val="Compact"/>
            </w:pPr>
            <w:r>
              <w:rPr>
                <w:b/>
                <w:bCs/>
              </w:rPr>
              <w:t xml:space="preserve">MLRO</w:t>
            </w:r>
          </w:p>
        </w:tc>
        <w:tc>
          <w:tcPr/>
          <w:p>
            <w:pPr>
              <w:pStyle w:val="Compact"/>
            </w:pPr>
            <w:r>
              <w:t xml:space="preserve">Assesses ML/fraud signals; if present, initiates STR per</w:t>
            </w:r>
            <w:r>
              <w:t xml:space="preserve"> </w:t>
            </w:r>
            <w:r>
              <w:rPr>
                <w:rStyle w:val="VerbatimChar"/>
              </w:rPr>
              <w:t xml:space="preserve">07-sar-str-procedure.md</w:t>
            </w:r>
            <w:r>
              <w:t xml:space="preserve"> </w:t>
            </w:r>
            <w:r>
              <w:t xml:space="preserve">(no tipping-off)</w:t>
            </w:r>
          </w:p>
        </w:tc>
      </w:tr>
      <w:tr>
        <w:tc>
          <w:tcPr/>
          <w:p>
            <w:pPr>
              <w:pStyle w:val="Compact"/>
            </w:pPr>
            <w:r>
              <w:rPr>
                <w:b/>
                <w:bCs/>
              </w:rPr>
              <w:t xml:space="preserve">DPO</w:t>
            </w:r>
          </w:p>
        </w:tc>
        <w:tc>
          <w:tcPr/>
          <w:p>
            <w:pPr>
              <w:pStyle w:val="Compact"/>
            </w:pPr>
            <w:r>
              <w:t xml:space="preserve">Protects personal data within dispute files (PDPA); limits cardholder-data disclosure</w:t>
            </w:r>
          </w:p>
        </w:tc>
      </w:tr>
      <w:tr>
        <w:tc>
          <w:tcPr/>
          <w:p>
            <w:pPr>
              <w:pStyle w:val="Compact"/>
            </w:pPr>
            <w:r>
              <w:rPr>
                <w:b/>
                <w:bCs/>
              </w:rPr>
              <w:t xml:space="preserve">Legal Counsel</w:t>
            </w:r>
          </w:p>
        </w:tc>
        <w:tc>
          <w:tcPr/>
          <w:p>
            <w:pPr>
              <w:pStyle w:val="Compact"/>
            </w:pPr>
            <w:r>
              <w:t xml:space="preserve">Mediation, arbitration, litigation, contract/clause review</w:t>
            </w:r>
          </w:p>
        </w:tc>
      </w:tr>
      <w:tr>
        <w:tc>
          <w:tcPr/>
          <w:p>
            <w:pPr>
              <w:pStyle w:val="Compact"/>
            </w:pPr>
            <w:r>
              <w:rPr>
                <w:b/>
                <w:bCs/>
              </w:rPr>
              <w:t xml:space="preserve">Dispute Resolution Committee (DRC)</w:t>
            </w:r>
          </w:p>
        </w:tc>
        <w:tc>
          <w:tcPr/>
          <w:p>
            <w:pPr>
              <w:pStyle w:val="Compact"/>
            </w:pPr>
            <w:r>
              <w:t xml:space="preserve">Internal committee for escalated cases (see §4); written resolutions</w:t>
            </w:r>
          </w:p>
        </w:tc>
      </w:tr>
    </w:tbl>
    <w:p>
      <w:pPr>
        <w:pStyle w:val="BlockText"/>
      </w:pPr>
      <w:r>
        <w:rPr>
          <w:b/>
          <w:bCs/>
        </w:rPr>
        <w:t xml:space="preserve">Segregation of duties:</w:t>
      </w:r>
      <w:r>
        <w:t xml:space="preserve"> </w:t>
      </w:r>
      <w:r>
        <w:t xml:space="preserve">only the</w:t>
      </w:r>
      <w:r>
        <w:t xml:space="preserve"> </w:t>
      </w:r>
      <w:r>
        <w:rPr>
          <w:b/>
          <w:bCs/>
        </w:rPr>
        <w:t xml:space="preserve">CCO</w:t>
      </w:r>
      <w:r>
        <w:t xml:space="preserve"> </w:t>
      </w:r>
      <w:r>
        <w:t xml:space="preserve">contacts BOT officially, only</w:t>
      </w:r>
      <w:r>
        <w:t xml:space="preserve"> </w:t>
      </w:r>
      <w:r>
        <w:rPr>
          <w:b/>
          <w:bCs/>
        </w:rPr>
        <w:t xml:space="preserve">Legal</w:t>
      </w:r>
      <w:r>
        <w:t xml:space="preserve"> </w:t>
      </w:r>
      <w:r>
        <w:t xml:space="preserve">binds the company in mediation/arbitration, and whoever decides a refund/chargeback must not be the person posting the ledger entry (per</w:t>
      </w:r>
      <w:r>
        <w:t xml:space="preserve"> </w:t>
      </w:r>
      <w:r>
        <w:rPr>
          <w:rStyle w:val="VerbatimChar"/>
        </w:rPr>
        <w:t xml:space="preserve">18-segregation-of-duties.md</w:t>
      </w:r>
      <w:r>
        <w:t xml:space="preserve">).</w:t>
      </w:r>
    </w:p>
    <w:p>
      <w:r>
        <w:pict>
          <v:rect style="width:0;height:1.5pt" o:hralign="center" o:hrstd="t" o:hr="t"/>
        </w:pict>
      </w:r>
    </w:p>
    <w:bookmarkEnd w:id="1062"/>
    <w:bookmarkStart w:id="1063" w:name="escalation-ladder"/>
    <w:p>
      <w:pPr>
        <w:pStyle w:val="Heading2"/>
      </w:pPr>
      <w:r>
        <w:t xml:space="preserve">4. Escalation Ladder</w:t>
      </w:r>
    </w:p>
    <w:p>
      <w:pPr>
        <w:pStyle w:val="FirstParagraph"/>
      </w:pPr>
      <w:r>
        <w:t xml:space="preserve">Disputes follow four levels, escalating when unresolved within the level’s timeframe:</w:t>
      </w:r>
    </w:p>
    <w:tbl>
      <w:tblPr>
        <w:tblStyle w:val="Table"/>
        <w:tblW w:type="pct" w:w="5000"/>
        <w:tblLayout w:type="fixed"/>
        <w:tblLook w:firstRow="1" w:lastRow="0" w:firstColumn="0" w:lastColumn="0" w:noHBand="0" w:noVBand="0" w:val="0020"/>
      </w:tblPr>
      <w:tblGrid>
        <w:gridCol w:w="1007"/>
        <w:gridCol w:w="1007"/>
        <w:gridCol w:w="1584"/>
        <w:gridCol w:w="2015"/>
        <w:gridCol w:w="2304"/>
      </w:tblGrid>
      <w:tr>
        <w:trPr>
          <w:tblHeader w:val="on"/>
        </w:trPr>
        <w:tc>
          <w:tcPr/>
          <w:p>
            <w:pPr>
              <w:pStyle w:val="Compact"/>
            </w:pPr>
            <w:r>
              <w:t xml:space="preserve">Level</w:t>
            </w:r>
          </w:p>
        </w:tc>
        <w:tc>
          <w:tcPr/>
          <w:p>
            <w:pPr>
              <w:pStyle w:val="Compact"/>
            </w:pPr>
            <w:r>
              <w:t xml:space="preserve">Owner</w:t>
            </w:r>
          </w:p>
        </w:tc>
        <w:tc>
          <w:tcPr/>
          <w:p>
            <w:pPr>
              <w:pStyle w:val="Compact"/>
            </w:pPr>
            <w:r>
              <w:t xml:space="preserve">Authority</w:t>
            </w:r>
          </w:p>
        </w:tc>
        <w:tc>
          <w:tcPr/>
          <w:p>
            <w:pPr>
              <w:pStyle w:val="Compact"/>
            </w:pPr>
            <w:r>
              <w:t xml:space="preserve">Response SLA</w:t>
            </w:r>
          </w:p>
        </w:tc>
        <w:tc>
          <w:tcPr/>
          <w:p>
            <w:pPr>
              <w:pStyle w:val="Compact"/>
            </w:pPr>
            <w:r>
              <w:t xml:space="preserve">Resolution SLA</w:t>
            </w:r>
          </w:p>
        </w:tc>
      </w:tr>
      <w:tr>
        <w:tc>
          <w:tcPr/>
          <w:p>
            <w:pPr>
              <w:pStyle w:val="Compact"/>
            </w:pPr>
            <w:r>
              <w:rPr>
                <w:b/>
                <w:bCs/>
              </w:rPr>
              <w:t xml:space="preserve">L1 — Frontline</w:t>
            </w:r>
          </w:p>
        </w:tc>
        <w:tc>
          <w:tcPr/>
          <w:p>
            <w:pPr>
              <w:pStyle w:val="Compact"/>
            </w:pPr>
            <w:r>
              <w:t xml:space="preserve">Customer Support</w:t>
            </w:r>
          </w:p>
        </w:tc>
        <w:tc>
          <w:tcPr/>
          <w:p>
            <w:pPr>
              <w:pStyle w:val="Compact"/>
            </w:pPr>
            <w:r>
              <w:t xml:space="preserve">Verify data, policy refunds, answer queries</w:t>
            </w:r>
          </w:p>
        </w:tc>
        <w:tc>
          <w:tcPr/>
          <w:p>
            <w:pPr>
              <w:pStyle w:val="Compact"/>
            </w:pPr>
            <w:r>
              <w:t xml:space="preserve">Ack within</w:t>
            </w:r>
            <w:r>
              <w:t xml:space="preserve"> </w:t>
            </w:r>
            <w:r>
              <w:rPr>
                <w:b/>
                <w:bCs/>
              </w:rPr>
              <w:t xml:space="preserve">1 business day</w:t>
            </w:r>
          </w:p>
        </w:tc>
        <w:tc>
          <w:tcPr/>
          <w:p>
            <w:pPr>
              <w:pStyle w:val="Compact"/>
            </w:pPr>
            <w:r>
              <w:rPr>
                <w:b/>
                <w:bCs/>
              </w:rPr>
              <w:t xml:space="preserve">5 business days</w:t>
            </w:r>
          </w:p>
        </w:tc>
      </w:tr>
      <w:tr>
        <w:tc>
          <w:tcPr/>
          <w:p>
            <w:pPr>
              <w:pStyle w:val="Compact"/>
            </w:pPr>
            <w:r>
              <w:rPr>
                <w:b/>
                <w:bCs/>
              </w:rPr>
              <w:t xml:space="preserve">L2 — Disputes/Ops</w:t>
            </w:r>
          </w:p>
        </w:tc>
        <w:tc>
          <w:tcPr/>
          <w:p>
            <w:pPr>
              <w:pStyle w:val="Compact"/>
            </w:pPr>
            <w:r>
              <w:t xml:space="preserve">Disputes Team / Account Manager</w:t>
            </w:r>
          </w:p>
        </w:tc>
        <w:tc>
          <w:tcPr/>
          <w:p>
            <w:pPr>
              <w:pStyle w:val="Compact"/>
            </w:pPr>
            <w:r>
              <w:t xml:space="preserve">Chargeback/representment, commercial disputes</w:t>
            </w:r>
          </w:p>
        </w:tc>
        <w:tc>
          <w:tcPr/>
          <w:p>
            <w:pPr>
              <w:pStyle w:val="Compact"/>
            </w:pPr>
            <w:r>
              <w:rPr>
                <w:b/>
                <w:bCs/>
              </w:rPr>
              <w:t xml:space="preserve">2 business days</w:t>
            </w:r>
          </w:p>
        </w:tc>
        <w:tc>
          <w:tcPr/>
          <w:p>
            <w:pPr>
              <w:pStyle w:val="Compact"/>
            </w:pPr>
            <w:r>
              <w:rPr>
                <w:b/>
                <w:bCs/>
              </w:rPr>
              <w:t xml:space="preserve">15 business days</w:t>
            </w:r>
          </w:p>
        </w:tc>
      </w:tr>
      <w:tr>
        <w:tc>
          <w:tcPr/>
          <w:p>
            <w:pPr>
              <w:pStyle w:val="Compact"/>
            </w:pPr>
            <w:r>
              <w:rPr>
                <w:b/>
                <w:bCs/>
              </w:rPr>
              <w:t xml:space="preserve">L3 — Committee (DRC)</w:t>
            </w:r>
          </w:p>
        </w:tc>
        <w:tc>
          <w:tcPr/>
          <w:p>
            <w:pPr>
              <w:pStyle w:val="Compact"/>
            </w:pPr>
            <w:r>
              <w:t xml:space="preserve">DRC (CCO + Legal + Disputes Manager + Risk)</w:t>
            </w:r>
          </w:p>
        </w:tc>
        <w:tc>
          <w:tcPr/>
          <w:p>
            <w:pPr>
              <w:pStyle w:val="Compact"/>
            </w:pPr>
            <w:r>
              <w:t xml:space="preserve">High-value/complex/legal cases</w:t>
            </w:r>
          </w:p>
        </w:tc>
        <w:tc>
          <w:tcPr/>
          <w:p>
            <w:pPr>
              <w:pStyle w:val="Compact"/>
            </w:pPr>
            <w:r>
              <w:rPr>
                <w:b/>
                <w:bCs/>
              </w:rPr>
              <w:t xml:space="preserve">5 business days</w:t>
            </w:r>
          </w:p>
        </w:tc>
        <w:tc>
          <w:tcPr/>
          <w:p>
            <w:pPr>
              <w:pStyle w:val="Compact"/>
            </w:pPr>
            <w:r>
              <w:rPr>
                <w:b/>
                <w:bCs/>
              </w:rPr>
              <w:t xml:space="preserve">30 business days</w:t>
            </w:r>
          </w:p>
        </w:tc>
      </w:tr>
      <w:tr>
        <w:tc>
          <w:tcPr/>
          <w:p>
            <w:pPr>
              <w:pStyle w:val="Compact"/>
            </w:pPr>
            <w:r>
              <w:rPr>
                <w:b/>
                <w:bCs/>
              </w:rPr>
              <w:t xml:space="preserve">L4 — External</w:t>
            </w:r>
          </w:p>
        </w:tc>
        <w:tc>
          <w:tcPr/>
          <w:p>
            <w:pPr>
              <w:pStyle w:val="Compact"/>
            </w:pPr>
            <w:r>
              <w:t xml:space="preserve">Legal Counsel</w:t>
            </w:r>
          </w:p>
        </w:tc>
        <w:tc>
          <w:tcPr/>
          <w:p>
            <w:pPr>
              <w:pStyle w:val="Compact"/>
            </w:pPr>
            <w:r>
              <w:t xml:space="preserve">External mediation / arbitration / court / BOT</w:t>
            </w:r>
          </w:p>
        </w:tc>
        <w:tc>
          <w:tcPr/>
          <w:p>
            <w:pPr>
              <w:pStyle w:val="Compact"/>
            </w:pPr>
            <w:r>
              <w:t xml:space="preserve">Per institution rules</w:t>
            </w:r>
          </w:p>
        </w:tc>
        <w:tc>
          <w:tcPr/>
          <w:p>
            <w:pPr>
              <w:pStyle w:val="Compact"/>
            </w:pPr>
            <w:r>
              <w:t xml:space="preserve">Per process</w:t>
            </w:r>
          </w:p>
        </w:tc>
      </w:tr>
    </w:tbl>
    <w:p>
      <w:pPr>
        <w:pStyle w:val="BodyText"/>
      </w:pPr>
      <w:r>
        <w:rPr>
          <w:b/>
          <w:bCs/>
        </w:rPr>
        <w:t xml:space="preserve">Escalation triggers:</w:t>
      </w:r>
      <w:r>
        <w:t xml:space="preserve"> </w:t>
      </w:r>
      <w:r>
        <w:t xml:space="preserve">- Complainant dissatisfied and requests review; or the level’s resolution SLA is exceeded.</w:t>
      </w:r>
      <w:r>
        <w:t xml:space="preserve"> </w:t>
      </w:r>
      <w:r>
        <w:t xml:space="preserve">- Dispute value</w:t>
      </w:r>
      <w:r>
        <w:t xml:space="preserve"> </w:t>
      </w:r>
      <w:r>
        <w:rPr>
          <w:b/>
          <w:bCs/>
        </w:rPr>
        <w:t xml:space="preserve">≥ THB 100,000</w:t>
      </w:r>
      <w:r>
        <w:t xml:space="preserve"> </w:t>
      </w:r>
      <w:r>
        <w:t xml:space="preserve">or multi-party (systemic) impact → auto-escalate to L3.</w:t>
      </w:r>
      <w:r>
        <w:t xml:space="preserve"> </w:t>
      </w:r>
      <w:r>
        <w:t xml:space="preserve">- Legal/liability/reputational issues → L3.</w:t>
      </w:r>
      <w:r>
        <w:t xml:space="preserve"> </w:t>
      </w:r>
      <w:r>
        <w:t xml:space="preserve">- BOT / hotline 1213 referral → CCO handles directly as</w:t>
      </w:r>
      <w:r>
        <w:t xml:space="preserve"> </w:t>
      </w:r>
      <w:r>
        <w:rPr>
          <w:b/>
          <w:bCs/>
        </w:rPr>
        <w:t xml:space="preserve">priority</w:t>
      </w:r>
      <w:r>
        <w:t xml:space="preserve"> </w:t>
      </w:r>
      <w:r>
        <w:t xml:space="preserve">(see §8).</w:t>
      </w:r>
      <w:r>
        <w:t xml:space="preserve"> </w:t>
      </w:r>
      <w:r>
        <w:t xml:space="preserve">- Fraud/ML indicators → notify MLRO immediately (in parallel; dispute process continues).</w:t>
      </w:r>
    </w:p>
    <w:p>
      <w:pPr>
        <w:pStyle w:val="BlockText"/>
      </w:pPr>
      <w:r>
        <w:rPr>
          <w:b/>
          <w:bCs/>
        </w:rPr>
        <w:t xml:space="preserve">Note:</w:t>
      </w:r>
      <w:r>
        <w:t xml:space="preserve"> </w:t>
      </w:r>
      <w:r>
        <w:t xml:space="preserve">the internal timeframes above are</w:t>
      </w:r>
      <w:r>
        <w:t xml:space="preserve"> </w:t>
      </w:r>
      <w:r>
        <w:rPr>
          <w:b/>
          <w:bCs/>
        </w:rPr>
        <w:t xml:space="preserve">company policy</w:t>
      </w:r>
      <w:r>
        <w:t xml:space="preserve"> </w:t>
      </w:r>
      <w:r>
        <w:t xml:space="preserve">and must never conflict with or exceed mandatory card-scheme timelines (§5) or BOT market-conduct expectations (§8). Where they conflict, the shorter/stricter timeframe prevails.</w:t>
      </w:r>
    </w:p>
    <w:p>
      <w:r>
        <w:pict>
          <v:rect style="width:0;height:1.5pt" o:hralign="center" o:hrstd="t" o:hr="t"/>
        </w:pict>
      </w:r>
    </w:p>
    <w:bookmarkEnd w:id="1063"/>
    <w:bookmarkStart w:id="1064" w:name="X1c2c6fb1d0ef06824493299153dcc41e5724d01"/>
    <w:p>
      <w:pPr>
        <w:pStyle w:val="Heading2"/>
      </w:pPr>
      <w:r>
        <w:t xml:space="preserve">5. Chargeback &amp; Representment (Card-Scheme Dispute)</w:t>
      </w:r>
    </w:p>
    <w:p>
      <w:pPr>
        <w:pStyle w:val="FirstParagraph"/>
      </w:pPr>
      <w:r>
        <w:t xml:space="preserve">The chargeback lifecycle follows the card-scheme cycle via the sponsor bank (A2, A3):</w:t>
      </w:r>
    </w:p>
    <w:tbl>
      <w:tblPr>
        <w:tblStyle w:val="Table"/>
        <w:tblW w:type="pct" w:w="5000"/>
        <w:tblLayout w:type="fixed"/>
        <w:tblLook w:firstRow="1" w:lastRow="0" w:firstColumn="0" w:lastColumn="0" w:noHBand="0" w:noVBand="0" w:val="0020"/>
      </w:tblPr>
      <w:tblGrid>
        <w:gridCol w:w="720"/>
        <w:gridCol w:w="720"/>
        <w:gridCol w:w="1131"/>
        <w:gridCol w:w="5348"/>
      </w:tblGrid>
      <w:tr>
        <w:trPr>
          <w:tblHeader w:val="on"/>
        </w:trPr>
        <w:tc>
          <w:tcPr/>
          <w:p>
            <w:pPr>
              <w:pStyle w:val="Compact"/>
            </w:pPr>
            <w:r>
              <w:t xml:space="preserve">Stage</w:t>
            </w:r>
          </w:p>
        </w:tc>
        <w:tc>
          <w:tcPr/>
          <w:p>
            <w:pPr>
              <w:pStyle w:val="Compact"/>
            </w:pPr>
            <w:r>
              <w:t xml:space="preserve">Actor</w:t>
            </w:r>
          </w:p>
        </w:tc>
        <w:tc>
          <w:tcPr/>
          <w:p>
            <w:pPr>
              <w:pStyle w:val="Compact"/>
            </w:pPr>
            <w:r>
              <w:t xml:space="preserve">Substance</w:t>
            </w:r>
          </w:p>
        </w:tc>
        <w:tc>
          <w:tcPr/>
          <w:p>
            <w:pPr>
              <w:pStyle w:val="Compact"/>
            </w:pPr>
            <w:r>
              <w:t xml:space="preserve">Mandatory timeframe (indicative — confirm per A3)</w:t>
            </w:r>
          </w:p>
        </w:tc>
      </w:tr>
      <w:tr>
        <w:tc>
          <w:tcPr/>
          <w:p>
            <w:pPr>
              <w:pStyle w:val="Compact"/>
            </w:pPr>
            <w:r>
              <w:rPr>
                <w:b/>
                <w:bCs/>
              </w:rPr>
              <w:t xml:space="preserve">1. Retrieval / Inquiry</w:t>
            </w:r>
            <w:r>
              <w:t xml:space="preserve"> </w:t>
            </w:r>
            <w:r>
              <w:t xml:space="preserve">(if used)</w:t>
            </w:r>
          </w:p>
        </w:tc>
        <w:tc>
          <w:tcPr/>
          <w:p>
            <w:pPr>
              <w:pStyle w:val="Compact"/>
            </w:pPr>
            <w:r>
              <w:t xml:space="preserve">Issuer</w:t>
            </w:r>
          </w:p>
        </w:tc>
        <w:tc>
          <w:tcPr/>
          <w:p>
            <w:pPr>
              <w:pStyle w:val="Compact"/>
            </w:pPr>
            <w:r>
              <w:t xml:space="preserve">Request transaction evidence</w:t>
            </w:r>
          </w:p>
        </w:tc>
        <w:tc>
          <w:tcPr/>
          <w:p>
            <w:pPr>
              <w:pStyle w:val="Compact"/>
            </w:pPr>
            <w:r>
              <w:t xml:space="preserve">Respond within scheme window</w:t>
            </w:r>
          </w:p>
        </w:tc>
      </w:tr>
      <w:tr>
        <w:tc>
          <w:tcPr/>
          <w:p>
            <w:pPr>
              <w:pStyle w:val="Compact"/>
            </w:pPr>
            <w:r>
              <w:rPr>
                <w:b/>
                <w:bCs/>
              </w:rPr>
              <w:t xml:space="preserve">2. First Chargeback</w:t>
            </w:r>
          </w:p>
        </w:tc>
        <w:tc>
          <w:tcPr/>
          <w:p>
            <w:pPr>
              <w:pStyle w:val="Compact"/>
            </w:pPr>
            <w:r>
              <w:t xml:space="preserve">Issuer → acquirer</w:t>
            </w:r>
          </w:p>
        </w:tc>
        <w:tc>
          <w:tcPr/>
          <w:p>
            <w:pPr>
              <w:pStyle w:val="Compact"/>
            </w:pPr>
            <w:r>
              <w:t xml:space="preserve">Issuer debits, cites a reason code</w:t>
            </w:r>
          </w:p>
        </w:tc>
        <w:tc>
          <w:tcPr/>
          <w:p>
            <w:pPr>
              <w:pStyle w:val="Compact"/>
            </w:pPr>
            <w:r>
              <w:t xml:space="preserve">Cardholder typically disputes within</w:t>
            </w:r>
            <w:r>
              <w:t xml:space="preserve"> </w:t>
            </w:r>
            <w:r>
              <w:rPr>
                <w:b/>
                <w:bCs/>
              </w:rPr>
              <w:t xml:space="preserve">120 days</w:t>
            </w:r>
            <w:r>
              <w:t xml:space="preserve"> </w:t>
            </w:r>
            <w:r>
              <w:t xml:space="preserve">of transaction/expected delivery</w:t>
            </w:r>
          </w:p>
        </w:tc>
      </w:tr>
      <w:tr>
        <w:tc>
          <w:tcPr/>
          <w:p>
            <w:pPr>
              <w:pStyle w:val="Compact"/>
            </w:pPr>
            <w:r>
              <w:rPr>
                <w:b/>
                <w:bCs/>
              </w:rPr>
              <w:t xml:space="preserve">3. Representment</w:t>
            </w:r>
          </w:p>
        </w:tc>
        <w:tc>
          <w:tcPr/>
          <w:p>
            <w:pPr>
              <w:pStyle w:val="Compact"/>
            </w:pPr>
            <w:r>
              <w:t xml:space="preserve">Acquirer → issuer</w:t>
            </w:r>
          </w:p>
        </w:tc>
        <w:tc>
          <w:tcPr/>
          <w:p>
            <w:pPr>
              <w:pStyle w:val="Compact"/>
            </w:pPr>
            <w:r>
              <w:t xml:space="preserve">[บริษัท / Company] submits</w:t>
            </w:r>
            <w:r>
              <w:t xml:space="preserve"> </w:t>
            </w:r>
            <w:r>
              <w:rPr>
                <w:b/>
                <w:bCs/>
              </w:rPr>
              <w:t xml:space="preserve">compelling evidence</w:t>
            </w:r>
            <w:r>
              <w:t xml:space="preserve"> </w:t>
            </w:r>
            <w:r>
              <w:t xml:space="preserve">on the merchant’s behalf</w:t>
            </w:r>
          </w:p>
        </w:tc>
        <w:tc>
          <w:tcPr/>
          <w:p>
            <w:pPr>
              <w:pStyle w:val="Compact"/>
            </w:pPr>
            <w:r>
              <w:t xml:space="preserve">Typically</w:t>
            </w:r>
            <w:r>
              <w:t xml:space="preserve"> </w:t>
            </w:r>
            <w:r>
              <w:rPr>
                <w:b/>
                <w:bCs/>
              </w:rPr>
              <w:t xml:space="preserve">≤ 30 days</w:t>
            </w:r>
            <w:r>
              <w:t xml:space="preserve"> </w:t>
            </w:r>
            <w:r>
              <w:t xml:space="preserve">of receiving the chargeback</w:t>
            </w:r>
          </w:p>
        </w:tc>
      </w:tr>
      <w:tr>
        <w:tc>
          <w:tcPr/>
          <w:p>
            <w:pPr>
              <w:pStyle w:val="Compact"/>
            </w:pPr>
            <w:r>
              <w:rPr>
                <w:b/>
                <w:bCs/>
              </w:rPr>
              <w:t xml:space="preserve">4. Pre-Arbitration</w:t>
            </w:r>
          </w:p>
        </w:tc>
        <w:tc>
          <w:tcPr/>
          <w:p>
            <w:pPr>
              <w:pStyle w:val="Compact"/>
            </w:pPr>
            <w:r>
              <w:t xml:space="preserve">Issuer</w:t>
            </w:r>
          </w:p>
        </w:tc>
        <w:tc>
          <w:tcPr/>
          <w:p>
            <w:pPr>
              <w:pStyle w:val="Compact"/>
            </w:pPr>
            <w:r>
              <w:t xml:space="preserve">Issuer maintains with further evidence</w:t>
            </w:r>
          </w:p>
        </w:tc>
        <w:tc>
          <w:tcPr/>
          <w:p>
            <w:pPr>
              <w:pStyle w:val="Compact"/>
            </w:pPr>
            <w:r>
              <w:t xml:space="preserve">Per scheme</w:t>
            </w:r>
          </w:p>
        </w:tc>
      </w:tr>
      <w:tr>
        <w:tc>
          <w:tcPr/>
          <w:p>
            <w:pPr>
              <w:pStyle w:val="Compact"/>
            </w:pPr>
            <w:r>
              <w:rPr>
                <w:b/>
                <w:bCs/>
              </w:rPr>
              <w:t xml:space="preserve">5. Arbitration (scheme)</w:t>
            </w:r>
          </w:p>
        </w:tc>
        <w:tc>
          <w:tcPr/>
          <w:p>
            <w:pPr>
              <w:pStyle w:val="Compact"/>
            </w:pPr>
            <w:r>
              <w:t xml:space="preserve">Visa/Mastercard rules</w:t>
            </w:r>
          </w:p>
        </w:tc>
        <w:tc>
          <w:tcPr/>
          <w:p>
            <w:pPr>
              <w:pStyle w:val="Compact"/>
            </w:pPr>
            <w:r>
              <w:t xml:space="preserve">Scheme rules on liability and fees</w:t>
            </w:r>
          </w:p>
        </w:tc>
        <w:tc>
          <w:tcPr/>
          <w:p>
            <w:pPr>
              <w:pStyle w:val="Compact"/>
            </w:pPr>
            <w:r>
              <w:t xml:space="preserve">Ruling binding on both parties</w:t>
            </w:r>
          </w:p>
        </w:tc>
      </w:tr>
    </w:tbl>
    <w:p>
      <w:pPr>
        <w:pStyle w:val="BodyText"/>
      </w:pPr>
      <w:r>
        <w:rPr>
          <w:b/>
          <w:bCs/>
        </w:rPr>
        <w:t xml:space="preserve">Compelling evidence retained:</w:t>
      </w:r>
      <w:r>
        <w:t xml:space="preserve"> </w:t>
      </w:r>
      <w:r>
        <w:rPr>
          <w:rStyle w:val="VerbatimChar"/>
        </w:rPr>
        <w:t xml:space="preserve">auth_code</w:t>
      </w:r>
      <w:r>
        <w:t xml:space="preserve">,</w:t>
      </w:r>
      <w:r>
        <w:t xml:space="preserve"> </w:t>
      </w:r>
      <w:r>
        <w:rPr>
          <w:b/>
          <w:bCs/>
        </w:rPr>
        <w:t xml:space="preserve">3DS 2.x</w:t>
      </w:r>
      <w:r>
        <w:t xml:space="preserve"> </w:t>
      </w:r>
      <w:r>
        <w:t xml:space="preserve">result (liability shift when authenticated), proof of delivery/service,</w:t>
      </w:r>
      <w:r>
        <w:t xml:space="preserve"> </w:t>
      </w:r>
      <w:r>
        <w:rPr>
          <w:rStyle w:val="VerbatimChar"/>
        </w:rPr>
        <w:t xml:space="preserve">card_last4</w:t>
      </w:r>
      <w:r>
        <w:t xml:space="preserve"> </w:t>
      </w:r>
      <w:r>
        <w:t xml:space="preserve">+</w:t>
      </w:r>
      <w:r>
        <w:t xml:space="preserve"> </w:t>
      </w:r>
      <w:r>
        <w:rPr>
          <w:rStyle w:val="VerbatimChar"/>
        </w:rPr>
        <w:t xml:space="preserve">card_brand</w:t>
      </w:r>
      <w:r>
        <w:t xml:space="preserve"> </w:t>
      </w:r>
      <w:r>
        <w:t xml:space="preserve">(never PAN/CVV per</w:t>
      </w:r>
      <w:r>
        <w:t xml:space="preserve"> </w:t>
      </w:r>
      <w:r>
        <w:rPr>
          <w:rStyle w:val="VerbatimChar"/>
        </w:rPr>
        <w:t xml:space="preserve">ARCHITECTURE.md</w:t>
      </w:r>
      <w:r>
        <w:t xml:space="preserve"> </w:t>
      </w:r>
      <w:r>
        <w:t xml:space="preserve">§6), IP/device, merchant contact history.</w:t>
      </w:r>
    </w:p>
    <w:p>
      <w:pPr>
        <w:pStyle w:val="BodyText"/>
      </w:pPr>
      <w:r>
        <w:rPr>
          <w:b/>
          <w:bCs/>
        </w:rPr>
        <w:t xml:space="preserve">Chargeback-rate controls:</w:t>
      </w:r>
      <w:r>
        <w:t xml:space="preserve"> </w:t>
      </w:r>
      <w:r>
        <w:t xml:space="preserve">- Monitor monthly</w:t>
      </w:r>
      <w:r>
        <w:t xml:space="preserve"> </w:t>
      </w:r>
      <w:r>
        <w:rPr>
          <w:b/>
          <w:bCs/>
        </w:rPr>
        <w:t xml:space="preserve">chargeback ratio</w:t>
      </w:r>
      <w:r>
        <w:t xml:space="preserve"> </w:t>
      </w:r>
      <w:r>
        <w:t xml:space="preserve">per merchant; internal warning at</w:t>
      </w:r>
      <w:r>
        <w:t xml:space="preserve"> </w:t>
      </w:r>
      <w:r>
        <w:rPr>
          <w:b/>
          <w:bCs/>
        </w:rPr>
        <w:t xml:space="preserve">&gt; 0.9%</w:t>
      </w:r>
      <w:r>
        <w:t xml:space="preserve"> </w:t>
      </w:r>
      <w:r>
        <w:t xml:space="preserve">or</w:t>
      </w:r>
      <w:r>
        <w:t xml:space="preserve"> </w:t>
      </w:r>
      <w:r>
        <w:rPr>
          <w:b/>
          <w:bCs/>
        </w:rPr>
        <w:t xml:space="preserve">&gt; 100 items/month</w:t>
      </w:r>
      <w:r>
        <w:t xml:space="preserve"> </w:t>
      </w:r>
      <w:r>
        <w:t xml:space="preserve">→ remediation program.</w:t>
      </w:r>
      <w:r>
        <w:t xml:space="preserve"> </w:t>
      </w:r>
      <w:r>
        <w:t xml:space="preserve">- Merchants entering scheme monitoring programs (e.g., Visa VDMP / Mastercard ECM) → increased reserve and contract review.</w:t>
      </w:r>
      <w:r>
        <w:t xml:space="preserve"> </w:t>
      </w:r>
      <w:r>
        <w:t xml:space="preserve">-</w:t>
      </w:r>
      <w:r>
        <w:t xml:space="preserve"> </w:t>
      </w:r>
      <w:r>
        <w:rPr>
          <w:b/>
          <w:bCs/>
        </w:rPr>
        <w:t xml:space="preserve">3DS 2.x mandatory</w:t>
      </w:r>
      <w:r>
        <w:t xml:space="preserve"> </w:t>
      </w:r>
      <w:r>
        <w:t xml:space="preserve">for high-risk MCCs to shift liability to the issuer.</w:t>
      </w:r>
    </w:p>
    <w:p>
      <w:pPr>
        <w:pStyle w:val="BlockText"/>
      </w:pPr>
      <w:r>
        <w:rPr>
          <w:b/>
          <w:bCs/>
        </w:rPr>
        <w:t xml:space="preserve">Note:</w:t>
      </w:r>
      <w:r>
        <w:t xml:space="preserve"> </w:t>
      </w:r>
      <w:r>
        <w:t xml:space="preserve">reason codes, day counts and program thresholds are indicative per commonly published editions —</w:t>
      </w:r>
      <w:r>
        <w:t xml:space="preserve"> </w:t>
      </w:r>
      <w:r>
        <w:rPr>
          <w:b/>
          <w:bCs/>
        </w:rPr>
        <w:t xml:space="preserve">the Visa VCR / Mastercard MDR manuals in force at go-live govern</w:t>
      </w:r>
      <w:r>
        <w:t xml:space="preserve"> </w:t>
      </w:r>
      <w:r>
        <w:t xml:space="preserve">(A3), together with sponsor-bank terms.</w:t>
      </w:r>
    </w:p>
    <w:p>
      <w:r>
        <w:pict>
          <v:rect style="width:0;height:1.5pt" o:hralign="center" o:hrstd="t" o:hr="t"/>
        </w:pict>
      </w:r>
    </w:p>
    <w:bookmarkEnd w:id="1064"/>
    <w:bookmarkStart w:id="1065" w:name="mediation"/>
    <w:p>
      <w:pPr>
        <w:pStyle w:val="Heading2"/>
      </w:pPr>
      <w:r>
        <w:t xml:space="preserve">6. Mediation</w:t>
      </w:r>
    </w:p>
    <w:p>
      <w:pPr>
        <w:pStyle w:val="FirstParagraph"/>
      </w:pPr>
      <w:r>
        <w:t xml:space="preserve">Before arbitration, [บริษัท / Company] offers</w:t>
      </w:r>
      <w:r>
        <w:t xml:space="preserve"> </w:t>
      </w:r>
      <w:r>
        <w:rPr>
          <w:b/>
          <w:bCs/>
        </w:rPr>
        <w:t xml:space="preserve">voluntary mediation</w:t>
      </w:r>
      <w:r>
        <w:t xml:space="preserve"> </w:t>
      </w:r>
      <w:r>
        <w:t xml:space="preserve">as an option:</w:t>
      </w:r>
    </w:p>
    <w:p>
      <w:pPr>
        <w:pStyle w:val="Compact"/>
        <w:numPr>
          <w:ilvl w:val="0"/>
          <w:numId w:val="1388"/>
        </w:numPr>
      </w:pPr>
      <w:r>
        <w:rPr>
          <w:b/>
          <w:bCs/>
        </w:rPr>
        <w:t xml:space="preserve">Internal mediation</w:t>
      </w:r>
      <w:r>
        <w:t xml:space="preserve"> </w:t>
      </w:r>
      <w:r>
        <w:t xml:space="preserve">— via the Dispute Resolution Committee (DRC); parties are heard; written, non-binding unless accepted.</w:t>
      </w:r>
    </w:p>
    <w:p>
      <w:pPr>
        <w:pStyle w:val="Compact"/>
        <w:numPr>
          <w:ilvl w:val="0"/>
          <w:numId w:val="1388"/>
        </w:numPr>
      </w:pPr>
      <w:r>
        <w:rPr>
          <w:b/>
          <w:bCs/>
        </w:rPr>
        <w:t xml:space="preserve">BOT-facilitated mediation</w:t>
      </w:r>
      <w:r>
        <w:t xml:space="preserve"> </w:t>
      </w:r>
      <w:r>
        <w:t xml:space="preserve">— for consumer complaints routed through hotline 1213; the company cooperates fully under market-conduct guidance.</w:t>
      </w:r>
    </w:p>
    <w:p>
      <w:pPr>
        <w:pStyle w:val="Compact"/>
        <w:numPr>
          <w:ilvl w:val="0"/>
          <w:numId w:val="1388"/>
        </w:numPr>
      </w:pPr>
      <w:r>
        <w:rPr>
          <w:b/>
          <w:bCs/>
        </w:rPr>
        <w:t xml:space="preserve">External mediation</w:t>
      </w:r>
      <w:r>
        <w:t xml:space="preserve"> </w:t>
      </w:r>
      <w:r>
        <w:t xml:space="preserve">— through a mutually agreed institution (e.g., THAC) for commercial disputes with merchants.</w:t>
      </w:r>
    </w:p>
    <w:p>
      <w:pPr>
        <w:pStyle w:val="FirstParagraph"/>
      </w:pPr>
      <w:r>
        <w:t xml:space="preserve">Mediation does not waive any party’s rights under scheme rules or law.</w:t>
      </w:r>
    </w:p>
    <w:p>
      <w:r>
        <w:pict>
          <v:rect style="width:0;height:1.5pt" o:hralign="center" o:hrstd="t" o:hr="t"/>
        </w:pict>
      </w:r>
    </w:p>
    <w:bookmarkEnd w:id="1065"/>
    <w:bookmarkStart w:id="1066" w:name="arbitration"/>
    <w:p>
      <w:pPr>
        <w:pStyle w:val="Heading2"/>
      </w:pPr>
      <w:r>
        <w:t xml:space="preserve">7. Arbitration</w:t>
      </w:r>
    </w:p>
    <w:p>
      <w:pPr>
        <w:pStyle w:val="FirstParagraph"/>
      </w:pPr>
      <w:r>
        <w:t xml:space="preserve">The [บริษัท / Company] merchant agreement contains an</w:t>
      </w:r>
      <w:r>
        <w:t xml:space="preserve"> </w:t>
      </w:r>
      <w:r>
        <w:rPr>
          <w:b/>
          <w:bCs/>
        </w:rPr>
        <w:t xml:space="preserve">arbitration clause</w:t>
      </w:r>
      <w:r>
        <w:t xml:space="preserve"> </w:t>
      </w:r>
      <w:r>
        <w:t xml:space="preserve">for commercial disputes unresolved by mediation, under the</w:t>
      </w:r>
      <w:r>
        <w:t xml:space="preserve"> </w:t>
      </w:r>
      <w:r>
        <w:rPr>
          <w:b/>
          <w:bCs/>
        </w:rPr>
        <w:t xml:space="preserve">Arbitration Act B.E. 2545 (2002)</w:t>
      </w:r>
      <w:r>
        <w:t xml:space="preserve">:</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Element</w:t>
            </w:r>
          </w:p>
        </w:tc>
        <w:tc>
          <w:tcPr/>
          <w:p>
            <w:pPr>
              <w:pStyle w:val="Compact"/>
            </w:pPr>
            <w:r>
              <w:t xml:space="preserve">Provision</w:t>
            </w:r>
          </w:p>
        </w:tc>
      </w:tr>
      <w:tr>
        <w:tc>
          <w:tcPr/>
          <w:p>
            <w:pPr>
              <w:pStyle w:val="Compact"/>
            </w:pPr>
            <w:r>
              <w:rPr>
                <w:b/>
                <w:bCs/>
              </w:rPr>
              <w:t xml:space="preserve">Institution</w:t>
            </w:r>
          </w:p>
        </w:tc>
        <w:tc>
          <w:tcPr/>
          <w:p>
            <w:pPr>
              <w:pStyle w:val="Compact"/>
            </w:pPr>
            <w:r>
              <w:t xml:space="preserve">THAC or TAI (A6 — select before submission)</w:t>
            </w:r>
          </w:p>
        </w:tc>
      </w:tr>
      <w:tr>
        <w:tc>
          <w:tcPr/>
          <w:p>
            <w:pPr>
              <w:pStyle w:val="Compact"/>
            </w:pPr>
            <w:r>
              <w:rPr>
                <w:b/>
                <w:bCs/>
              </w:rPr>
              <w:t xml:space="preserve">Seat / language</w:t>
            </w:r>
          </w:p>
        </w:tc>
        <w:tc>
          <w:tcPr/>
          <w:p>
            <w:pPr>
              <w:pStyle w:val="Compact"/>
            </w:pPr>
            <w:r>
              <w:t xml:space="preserve">Bangkok / Thai (English translation where needed)</w:t>
            </w:r>
          </w:p>
        </w:tc>
      </w:tr>
      <w:tr>
        <w:tc>
          <w:tcPr/>
          <w:p>
            <w:pPr>
              <w:pStyle w:val="Compact"/>
            </w:pPr>
            <w:r>
              <w:rPr>
                <w:b/>
                <w:bCs/>
              </w:rPr>
              <w:t xml:space="preserve">Number of arbitrators</w:t>
            </w:r>
          </w:p>
        </w:tc>
        <w:tc>
          <w:tcPr/>
          <w:p>
            <w:pPr>
              <w:pStyle w:val="Compact"/>
            </w:pPr>
            <w:r>
              <w:t xml:space="preserve">Sole arbitrator for low value; panel of 3 for high-value/complex</w:t>
            </w:r>
          </w:p>
        </w:tc>
      </w:tr>
      <w:tr>
        <w:tc>
          <w:tcPr/>
          <w:p>
            <w:pPr>
              <w:pStyle w:val="Compact"/>
            </w:pPr>
            <w:r>
              <w:rPr>
                <w:b/>
                <w:bCs/>
              </w:rPr>
              <w:t xml:space="preserve">Governing law</w:t>
            </w:r>
          </w:p>
        </w:tc>
        <w:tc>
          <w:tcPr/>
          <w:p>
            <w:pPr>
              <w:pStyle w:val="Compact"/>
            </w:pPr>
            <w:r>
              <w:t xml:space="preserve">Thai law</w:t>
            </w:r>
          </w:p>
        </w:tc>
      </w:tr>
      <w:tr>
        <w:tc>
          <w:tcPr/>
          <w:p>
            <w:pPr>
              <w:pStyle w:val="Compact"/>
            </w:pPr>
            <w:r>
              <w:rPr>
                <w:b/>
                <w:bCs/>
              </w:rPr>
              <w:t xml:space="preserve">Effect of award</w:t>
            </w:r>
          </w:p>
        </w:tc>
        <w:tc>
          <w:tcPr/>
          <w:p>
            <w:pPr>
              <w:pStyle w:val="Compact"/>
            </w:pPr>
            <w:r>
              <w:t xml:space="preserve">Binding and enforceable at law</w:t>
            </w:r>
          </w:p>
        </w:tc>
      </w:tr>
      <w:tr>
        <w:tc>
          <w:tcPr/>
          <w:p>
            <w:pPr>
              <w:pStyle w:val="Compact"/>
            </w:pPr>
            <w:r>
              <w:rPr>
                <w:b/>
                <w:bCs/>
              </w:rPr>
              <w:t xml:space="preserve">Carve-outs</w:t>
            </w:r>
          </w:p>
        </w:tc>
        <w:tc>
          <w:tcPr/>
          <w:p>
            <w:pPr>
              <w:pStyle w:val="Compact"/>
            </w:pPr>
            <w:r>
              <w:t xml:space="preserve">Does not bar (a) card-scheme chargeback/arbitration, (b) complaints to BOT/hotline 1213, (c) urgent/interim court relief</w:t>
            </w:r>
          </w:p>
        </w:tc>
      </w:tr>
    </w:tbl>
    <w:p>
      <w:pPr>
        <w:pStyle w:val="BlockText"/>
      </w:pPr>
      <w:r>
        <w:rPr>
          <w:b/>
          <w:bCs/>
        </w:rPr>
        <w:t xml:space="preserve">Important:</w:t>
      </w:r>
      <w:r>
        <w:t xml:space="preserve"> </w:t>
      </w:r>
      <w:r>
        <w:t xml:space="preserve">for</w:t>
      </w:r>
      <w:r>
        <w:t xml:space="preserve"> </w:t>
      </w:r>
      <w:r>
        <w:rPr>
          <w:b/>
          <w:bCs/>
        </w:rPr>
        <w:t xml:space="preserve">consumers (cardholders)</w:t>
      </w:r>
      <w:r>
        <w:t xml:space="preserve">, enforceability of the arbitration clause may be limited under the</w:t>
      </w:r>
      <w:r>
        <w:t xml:space="preserve"> </w:t>
      </w:r>
      <w:r>
        <w:rPr>
          <w:b/>
          <w:bCs/>
        </w:rPr>
        <w:t xml:space="preserve">Consumer Case Procedure Act</w:t>
      </w:r>
      <w:r>
        <w:t xml:space="preserve"> </w:t>
      </w:r>
      <w:r>
        <w:t xml:space="preserve">and consumer-protection law — consumers always retain the right to complain to BOT/OCPB and to bring a consumer case. Legal must review this clause before use (A6).</w:t>
      </w:r>
    </w:p>
    <w:p>
      <w:r>
        <w:pict>
          <v:rect style="width:0;height:1.5pt" o:hralign="center" o:hrstd="t" o:hr="t"/>
        </w:pict>
      </w:r>
    </w:p>
    <w:bookmarkEnd w:id="1066"/>
    <w:bookmarkStart w:id="1067" w:name="bot-consumer-protection-reporting"/>
    <w:p>
      <w:pPr>
        <w:pStyle w:val="Heading2"/>
      </w:pPr>
      <w:r>
        <w:t xml:space="preserve">8. BOT &amp; Consumer-Protection Reporting</w:t>
      </w:r>
    </w:p>
    <w:tbl>
      <w:tblPr>
        <w:tblStyle w:val="Table"/>
        <w:tblW w:type="pct" w:w="5000"/>
        <w:tblLayout w:type="fixed"/>
        <w:tblLook w:firstRow="1" w:lastRow="0" w:firstColumn="0" w:lastColumn="0" w:noHBand="0" w:noVBand="0" w:val="0020"/>
      </w:tblPr>
      <w:tblGrid>
        <w:gridCol w:w="1080"/>
        <w:gridCol w:w="1980"/>
        <w:gridCol w:w="1620"/>
        <w:gridCol w:w="1980"/>
        <w:gridCol w:w="1260"/>
      </w:tblGrid>
      <w:tr>
        <w:trPr>
          <w:tblHeader w:val="on"/>
        </w:trPr>
        <w:tc>
          <w:tcPr/>
          <w:p>
            <w:pPr>
              <w:pStyle w:val="Compact"/>
            </w:pPr>
            <w:r>
              <w:t xml:space="preserve">Case</w:t>
            </w:r>
          </w:p>
        </w:tc>
        <w:tc>
          <w:tcPr/>
          <w:p>
            <w:pPr>
              <w:pStyle w:val="Compact"/>
            </w:pPr>
            <w:r>
              <w:t xml:space="preserve">Authority</w:t>
            </w:r>
          </w:p>
        </w:tc>
        <w:tc>
          <w:tcPr/>
          <w:p>
            <w:pPr>
              <w:pStyle w:val="Compact"/>
            </w:pPr>
            <w:r>
              <w:t xml:space="preserve">Channel</w:t>
            </w:r>
          </w:p>
        </w:tc>
        <w:tc>
          <w:tcPr/>
          <w:p>
            <w:pPr>
              <w:pStyle w:val="Compact"/>
            </w:pPr>
            <w:r>
              <w:t xml:space="preserve">Timeframe</w:t>
            </w:r>
          </w:p>
        </w:tc>
        <w:tc>
          <w:tcPr/>
          <w:p>
            <w:pPr>
              <w:pStyle w:val="Compact"/>
            </w:pPr>
            <w:r>
              <w:t xml:space="preserve">Owner</w:t>
            </w:r>
          </w:p>
        </w:tc>
      </w:tr>
      <w:tr>
        <w:tc>
          <w:tcPr/>
          <w:p>
            <w:pPr>
              <w:pStyle w:val="Compact"/>
            </w:pPr>
            <w:r>
              <w:t xml:space="preserve">BOT-referred consumer complaint</w:t>
            </w:r>
          </w:p>
        </w:tc>
        <w:tc>
          <w:tcPr/>
          <w:p>
            <w:pPr>
              <w:pStyle w:val="Compact"/>
            </w:pPr>
            <w:r>
              <w:rPr>
                <w:b/>
                <w:bCs/>
              </w:rPr>
              <w:t xml:space="preserve">BOT / hotline 1213</w:t>
            </w:r>
          </w:p>
        </w:tc>
        <w:tc>
          <w:tcPr/>
          <w:p>
            <w:pPr>
              <w:pStyle w:val="Compact"/>
            </w:pPr>
            <w:r>
              <w:t xml:space="preserve">BOT official channel (confirm A5)</w:t>
            </w:r>
          </w:p>
        </w:tc>
        <w:tc>
          <w:tcPr/>
          <w:p>
            <w:pPr>
              <w:pStyle w:val="Compact"/>
            </w:pPr>
            <w:r>
              <w:t xml:space="preserve">Respond within BOT-set window (usually expedited)</w:t>
            </w:r>
          </w:p>
        </w:tc>
        <w:tc>
          <w:tcPr/>
          <w:p>
            <w:pPr>
              <w:pStyle w:val="Compact"/>
            </w:pPr>
            <w:r>
              <w:t xml:space="preserve">CCO</w:t>
            </w:r>
          </w:p>
        </w:tc>
      </w:tr>
      <w:tr>
        <w:tc>
          <w:tcPr/>
          <w:p>
            <w:pPr>
              <w:pStyle w:val="Compact"/>
            </w:pPr>
            <w:r>
              <w:t xml:space="preserve">Periodic complaint/dispute statistics</w:t>
            </w:r>
          </w:p>
        </w:tc>
        <w:tc>
          <w:tcPr/>
          <w:p>
            <w:pPr>
              <w:pStyle w:val="Compact"/>
            </w:pPr>
            <w:r>
              <w:rPr>
                <w:b/>
                <w:bCs/>
              </w:rPr>
              <w:t xml:space="preserve">BOT</w:t>
            </w:r>
          </w:p>
        </w:tc>
        <w:tc>
          <w:tcPr/>
          <w:p>
            <w:pPr>
              <w:pStyle w:val="Compact"/>
            </w:pPr>
            <w:r>
              <w:t xml:space="preserve">License-condition reporting</w:t>
            </w:r>
          </w:p>
        </w:tc>
        <w:tc>
          <w:tcPr/>
          <w:p>
            <w:pPr>
              <w:pStyle w:val="Compact"/>
            </w:pPr>
            <w:r>
              <w:t xml:space="preserve">Quarterly/annual (as prescribed)</w:t>
            </w:r>
          </w:p>
        </w:tc>
        <w:tc>
          <w:tcPr/>
          <w:p>
            <w:pPr>
              <w:pStyle w:val="Compact"/>
            </w:pPr>
            <w:r>
              <w:t xml:space="preserve">CCO</w:t>
            </w:r>
          </w:p>
        </w:tc>
      </w:tr>
      <w:tr>
        <w:tc>
          <w:tcPr/>
          <w:p>
            <w:pPr>
              <w:pStyle w:val="Compact"/>
            </w:pPr>
            <w:r>
              <w:t xml:space="preserve">Systemic event affecting many users</w:t>
            </w:r>
          </w:p>
        </w:tc>
        <w:tc>
          <w:tcPr/>
          <w:p>
            <w:pPr>
              <w:pStyle w:val="Compact"/>
            </w:pPr>
            <w:r>
              <w:rPr>
                <w:b/>
                <w:bCs/>
              </w:rPr>
              <w:t xml:space="preserve">BOT</w:t>
            </w:r>
          </w:p>
        </w:tc>
        <w:tc>
          <w:tcPr/>
          <w:p>
            <w:pPr>
              <w:pStyle w:val="Compact"/>
            </w:pPr>
            <w:r>
              <w:t xml:space="preserve">IT-risk/market-conduct notification</w:t>
            </w:r>
          </w:p>
        </w:tc>
        <w:tc>
          <w:tcPr/>
          <w:p>
            <w:pPr>
              <w:pStyle w:val="Compact"/>
            </w:pPr>
            <w:r>
              <w:t xml:space="preserve">Immediately when triggered</w:t>
            </w:r>
          </w:p>
        </w:tc>
        <w:tc>
          <w:tcPr/>
          <w:p>
            <w:pPr>
              <w:pStyle w:val="Compact"/>
            </w:pPr>
            <w:r>
              <w:t xml:space="preserve">CCO / CISO</w:t>
            </w:r>
          </w:p>
        </w:tc>
      </w:tr>
      <w:tr>
        <w:tc>
          <w:tcPr/>
          <w:p>
            <w:pPr>
              <w:pStyle w:val="Compact"/>
            </w:pPr>
            <w:r>
              <w:t xml:space="preserve">Suspicious transaction (ML/fraud)</w:t>
            </w:r>
          </w:p>
        </w:tc>
        <w:tc>
          <w:tcPr/>
          <w:p>
            <w:pPr>
              <w:pStyle w:val="Compact"/>
            </w:pPr>
            <w:r>
              <w:rPr>
                <w:b/>
                <w:bCs/>
              </w:rPr>
              <w:t xml:space="preserve">AMLO</w:t>
            </w:r>
          </w:p>
        </w:tc>
        <w:tc>
          <w:tcPr/>
          <w:p>
            <w:pPr>
              <w:pStyle w:val="Compact"/>
            </w:pPr>
            <w:r>
              <w:t xml:space="preserve">STR/SAR per</w:t>
            </w:r>
            <w:r>
              <w:t xml:space="preserve"> </w:t>
            </w:r>
            <w:r>
              <w:rPr>
                <w:rStyle w:val="VerbatimChar"/>
              </w:rPr>
              <w:t xml:space="preserve">07-sar-str-procedure.md</w:t>
            </w:r>
          </w:p>
        </w:tc>
        <w:tc>
          <w:tcPr/>
          <w:p>
            <w:pPr>
              <w:pStyle w:val="Compact"/>
            </w:pPr>
            <w:r>
              <w:t xml:space="preserve">Per AMLO deadlines (no tipping-off)</w:t>
            </w:r>
          </w:p>
        </w:tc>
        <w:tc>
          <w:tcPr/>
          <w:p>
            <w:pPr>
              <w:pStyle w:val="Compact"/>
            </w:pPr>
            <w:r>
              <w:t xml:space="preserve">MLRO</w:t>
            </w:r>
          </w:p>
        </w:tc>
      </w:tr>
      <w:tr>
        <w:tc>
          <w:tcPr/>
          <w:p>
            <w:pPr>
              <w:pStyle w:val="Compact"/>
            </w:pPr>
            <w:r>
              <w:t xml:space="preserve">Personal-data breach from a dispute</w:t>
            </w:r>
          </w:p>
        </w:tc>
        <w:tc>
          <w:tcPr/>
          <w:p>
            <w:pPr>
              <w:pStyle w:val="Compact"/>
            </w:pPr>
            <w:r>
              <w:rPr>
                <w:b/>
                <w:bCs/>
              </w:rPr>
              <w:t xml:space="preserve">PDPC</w:t>
            </w:r>
          </w:p>
        </w:tc>
        <w:tc>
          <w:tcPr/>
          <w:p>
            <w:pPr>
              <w:pStyle w:val="Compact"/>
            </w:pPr>
            <w:r>
              <w:t xml:space="preserve">Per</w:t>
            </w:r>
            <w:r>
              <w:t xml:space="preserve"> </w:t>
            </w:r>
            <w:r>
              <w:rPr>
                <w:rStyle w:val="VerbatimChar"/>
              </w:rPr>
              <w:t xml:space="preserve">16-incident-response-breach.md</w:t>
            </w:r>
          </w:p>
        </w:tc>
        <w:tc>
          <w:tcPr/>
          <w:p>
            <w:pPr>
              <w:pStyle w:val="Compact"/>
            </w:pPr>
            <w:r>
              <w:t xml:space="preserve">Notify PDPC within</w:t>
            </w:r>
            <w:r>
              <w:t xml:space="preserve"> </w:t>
            </w:r>
            <w:r>
              <w:rPr>
                <w:b/>
                <w:bCs/>
              </w:rPr>
              <w:t xml:space="preserve">72 hrs</w:t>
            </w:r>
            <w:r>
              <w:t xml:space="preserve"> </w:t>
            </w:r>
            <w:r>
              <w:t xml:space="preserve">per PDPA s.37(4)</w:t>
            </w:r>
          </w:p>
        </w:tc>
        <w:tc>
          <w:tcPr/>
          <w:p>
            <w:pPr>
              <w:pStyle w:val="Compact"/>
            </w:pPr>
            <w:r>
              <w:t xml:space="preserve">DPO</w:t>
            </w:r>
          </w:p>
        </w:tc>
      </w:tr>
      <w:tr>
        <w:tc>
          <w:tcPr/>
          <w:p>
            <w:pPr>
              <w:pStyle w:val="Compact"/>
            </w:pPr>
            <w:r>
              <w:t xml:space="preserve">General consumer complaint (goods/services)</w:t>
            </w:r>
          </w:p>
        </w:tc>
        <w:tc>
          <w:tcPr/>
          <w:p>
            <w:pPr>
              <w:pStyle w:val="Compact"/>
            </w:pPr>
            <w:r>
              <w:rPr>
                <w:b/>
                <w:bCs/>
              </w:rPr>
              <w:t xml:space="preserve">OCPB</w:t>
            </w:r>
          </w:p>
        </w:tc>
        <w:tc>
          <w:tcPr/>
          <w:p>
            <w:pPr>
              <w:pStyle w:val="Compact"/>
            </w:pPr>
            <w:r>
              <w:t xml:space="preserve">When relevant</w:t>
            </w:r>
          </w:p>
        </w:tc>
        <w:tc>
          <w:tcPr/>
          <w:p>
            <w:pPr>
              <w:pStyle w:val="Compact"/>
            </w:pPr>
            <w:r>
              <w:t xml:space="preserve">Per OCPB process</w:t>
            </w:r>
          </w:p>
        </w:tc>
        <w:tc>
          <w:tcPr/>
          <w:p>
            <w:pPr>
              <w:pStyle w:val="Compact"/>
            </w:pPr>
            <w:r>
              <w:t xml:space="preserve">Legal / CCO</w:t>
            </w:r>
          </w:p>
        </w:tc>
      </w:tr>
    </w:tbl>
    <w:p>
      <w:pPr>
        <w:pStyle w:val="BodyText"/>
      </w:pPr>
      <w:r>
        <w:rPr>
          <w:b/>
          <w:bCs/>
        </w:rPr>
        <w:t xml:space="preserve">Reporting principles:</w:t>
      </w:r>
      <w:r>
        <w:t xml:space="preserve"> </w:t>
      </w:r>
      <w:r>
        <w:t xml:space="preserve">- [บริษัท / Company] maintains a</w:t>
      </w:r>
      <w:r>
        <w:t xml:space="preserve"> </w:t>
      </w:r>
      <w:r>
        <w:rPr>
          <w:b/>
          <w:bCs/>
        </w:rPr>
        <w:t xml:space="preserve">central complaint/dispute register</w:t>
      </w:r>
      <w:r>
        <w:t xml:space="preserve"> </w:t>
      </w:r>
      <w:r>
        <w:t xml:space="preserve">(case log) with root cause, outcome, duration and remediation, ready for BOT inspection (on-site/off-site).</w:t>
      </w:r>
      <w:r>
        <w:t xml:space="preserve"> </w:t>
      </w:r>
      <w:r>
        <w:t xml:space="preserve">- Quarterly trend / root-cause analysis is presented to the DRC and management to drive systemic improvements.</w:t>
      </w:r>
      <w:r>
        <w:t xml:space="preserve"> </w:t>
      </w:r>
      <w:r>
        <w:t xml:space="preserve">- Cardholder data in any report is minimized/masked per PDPA and PCI (no PAN/CVV).</w:t>
      </w:r>
    </w:p>
    <w:p>
      <w:r>
        <w:pict>
          <v:rect style="width:0;height:1.5pt" o:hralign="center" o:hrstd="t" o:hr="t"/>
        </w:pict>
      </w:r>
    </w:p>
    <w:bookmarkEnd w:id="1067"/>
    <w:bookmarkStart w:id="1068" w:name="audit-trail-recordkeeping"/>
    <w:p>
      <w:pPr>
        <w:pStyle w:val="Heading2"/>
      </w:pPr>
      <w:r>
        <w:t xml:space="preserve">9. Audit Trail &amp; Recordkeeping</w:t>
      </w:r>
    </w:p>
    <w:p>
      <w:pPr>
        <w:pStyle w:val="Compact"/>
        <w:numPr>
          <w:ilvl w:val="0"/>
          <w:numId w:val="1389"/>
        </w:numPr>
      </w:pPr>
      <w:r>
        <w:t xml:space="preserve">Every dispute has an append-only case record linked to</w:t>
      </w:r>
      <w:r>
        <w:t xml:space="preserve"> </w:t>
      </w:r>
      <w:r>
        <w:rPr>
          <w:rStyle w:val="VerbatimChar"/>
        </w:rPr>
        <w:t xml:space="preserve">payment_id</w:t>
      </w:r>
      <w:r>
        <w:t xml:space="preserve">,</w:t>
      </w:r>
      <w:r>
        <w:t xml:space="preserve"> </w:t>
      </w:r>
      <w:r>
        <w:rPr>
          <w:rStyle w:val="VerbatimChar"/>
        </w:rPr>
        <w:t xml:space="preserve">ledger_entries</w:t>
      </w:r>
      <w:r>
        <w:t xml:space="preserve"> </w:t>
      </w:r>
      <w:r>
        <w:t xml:space="preserve">and</w:t>
      </w:r>
      <w:r>
        <w:t xml:space="preserve"> </w:t>
      </w:r>
      <w:r>
        <w:rPr>
          <w:rStyle w:val="VerbatimChar"/>
        </w:rPr>
        <w:t xml:space="preserve">audit_log</w:t>
      </w:r>
      <w:r>
        <w:t xml:space="preserve">.</w:t>
      </w:r>
    </w:p>
    <w:p>
      <w:pPr>
        <w:pStyle w:val="Compact"/>
        <w:numPr>
          <w:ilvl w:val="0"/>
          <w:numId w:val="1389"/>
        </w:numPr>
      </w:pPr>
      <w:r>
        <w:t xml:space="preserve">Records capture: complainant, timestamps, channel, escalation level, decision-maker, evidence, outcome, refund/ledger adjustment.</w:t>
      </w:r>
    </w:p>
    <w:p>
      <w:pPr>
        <w:pStyle w:val="Compact"/>
        <w:numPr>
          <w:ilvl w:val="0"/>
          <w:numId w:val="1389"/>
        </w:numPr>
      </w:pPr>
      <w:r>
        <w:rPr>
          <w:b/>
          <w:bCs/>
        </w:rPr>
        <w:t xml:space="preserve">Retention:</w:t>
      </w:r>
      <w:r>
        <w:t xml:space="preserve"> </w:t>
      </w:r>
      <w:r>
        <w:t xml:space="preserve">at least</w:t>
      </w:r>
      <w:r>
        <w:t xml:space="preserve"> </w:t>
      </w:r>
      <w:r>
        <w:rPr>
          <w:b/>
          <w:bCs/>
        </w:rPr>
        <w:t xml:space="preserve">5 years</w:t>
      </w:r>
      <w:r>
        <w:t xml:space="preserve">, consistent with the Anti-Money Laundering Act and BOT license conditions (confirm per</w:t>
      </w:r>
      <w:r>
        <w:t xml:space="preserve"> </w:t>
      </w:r>
      <w:r>
        <w:rPr>
          <w:rStyle w:val="VerbatimChar"/>
        </w:rPr>
        <w:t xml:space="preserve">11-data-retention-deletion.md</w:t>
      </w:r>
      <w:r>
        <w:t xml:space="preserve">); destroyed per policy once the period lapses and no litigation is pending.</w:t>
      </w:r>
    </w:p>
    <w:p>
      <w:pPr>
        <w:pStyle w:val="Compact"/>
        <w:numPr>
          <w:ilvl w:val="0"/>
          <w:numId w:val="1389"/>
        </w:numPr>
      </w:pPr>
      <w:r>
        <w:t xml:space="preserve">Progress and outcomes are pushed to merchants via</w:t>
      </w:r>
      <w:r>
        <w:t xml:space="preserve"> </w:t>
      </w:r>
      <w:r>
        <w:rPr>
          <w:rStyle w:val="VerbatimChar"/>
        </w:rPr>
        <w:t xml:space="preserve">webhook_events</w:t>
      </w:r>
      <w:r>
        <w:t xml:space="preserve"> </w:t>
      </w:r>
      <w:r>
        <w:t xml:space="preserve">(</w:t>
      </w:r>
      <w:r>
        <w:rPr>
          <w:rStyle w:val="VerbatimChar"/>
        </w:rPr>
        <w:t xml:space="preserve">dispute.opened</w:t>
      </w:r>
      <w:r>
        <w:t xml:space="preserve">,</w:t>
      </w:r>
      <w:r>
        <w:t xml:space="preserve"> </w:t>
      </w:r>
      <w:r>
        <w:rPr>
          <w:rStyle w:val="VerbatimChar"/>
        </w:rPr>
        <w:t xml:space="preserve">dispute.evidence_required</w:t>
      </w:r>
      <w:r>
        <w:t xml:space="preserve">,</w:t>
      </w:r>
      <w:r>
        <w:t xml:space="preserve"> </w:t>
      </w:r>
      <w:r>
        <w:rPr>
          <w:rStyle w:val="VerbatimChar"/>
        </w:rPr>
        <w:t xml:space="preserve">dispute.won</w:t>
      </w:r>
      <w:r>
        <w:t xml:space="preserve">,</w:t>
      </w:r>
      <w:r>
        <w:t xml:space="preserve"> </w:t>
      </w:r>
      <w:r>
        <w:rPr>
          <w:rStyle w:val="VerbatimChar"/>
        </w:rPr>
        <w:t xml:space="preserve">dispute.lost</w:t>
      </w:r>
      <w:r>
        <w:t xml:space="preserve">).</w:t>
      </w:r>
    </w:p>
    <w:p>
      <w:r>
        <w:pict>
          <v:rect style="width:0;height:1.5pt" o:hralign="center" o:hrstd="t" o:hr="t"/>
        </w:pict>
      </w:r>
    </w:p>
    <w:bookmarkEnd w:id="1068"/>
    <w:bookmarkStart w:id="1069" w:name="kpis"/>
    <w:p>
      <w:pPr>
        <w:pStyle w:val="Heading2"/>
      </w:pPr>
      <w:r>
        <w:t xml:space="preserve">10. KPIs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Complainant acknowledgement</w:t>
            </w:r>
          </w:p>
        </w:tc>
        <w:tc>
          <w:tcPr/>
          <w:p>
            <w:pPr>
              <w:pStyle w:val="Compact"/>
            </w:pPr>
            <w:r>
              <w:t xml:space="preserve">≤ 1 business day (≥ 98%)</w:t>
            </w:r>
          </w:p>
        </w:tc>
      </w:tr>
      <w:tr>
        <w:tc>
          <w:tcPr/>
          <w:p>
            <w:pPr>
              <w:pStyle w:val="Compact"/>
            </w:pPr>
            <w:r>
              <w:t xml:space="preserve">L1 closure within SLA</w:t>
            </w:r>
          </w:p>
        </w:tc>
        <w:tc>
          <w:tcPr/>
          <w:p>
            <w:pPr>
              <w:pStyle w:val="Compact"/>
            </w:pPr>
            <w:r>
              <w:t xml:space="preserve">≥ 90% within 5 business days</w:t>
            </w:r>
          </w:p>
        </w:tc>
      </w:tr>
      <w:tr>
        <w:tc>
          <w:tcPr/>
          <w:p>
            <w:pPr>
              <w:pStyle w:val="Compact"/>
            </w:pPr>
            <w:r>
              <w:t xml:space="preserve">L2 closure within SLA</w:t>
            </w:r>
          </w:p>
        </w:tc>
        <w:tc>
          <w:tcPr/>
          <w:p>
            <w:pPr>
              <w:pStyle w:val="Compact"/>
            </w:pPr>
            <w:r>
              <w:t xml:space="preserve">≥ 90% within 15 business days</w:t>
            </w:r>
          </w:p>
        </w:tc>
      </w:tr>
      <w:tr>
        <w:tc>
          <w:tcPr/>
          <w:p>
            <w:pPr>
              <w:pStyle w:val="Compact"/>
            </w:pPr>
            <w:r>
              <w:t xml:space="preserve">Representment win rate</w:t>
            </w:r>
          </w:p>
        </w:tc>
        <w:tc>
          <w:tcPr/>
          <w:p>
            <w:pPr>
              <w:pStyle w:val="Compact"/>
            </w:pPr>
            <w:r>
              <w:t xml:space="preserve">Tracked and continuously improved</w:t>
            </w:r>
          </w:p>
        </w:tc>
      </w:tr>
      <w:tr>
        <w:tc>
          <w:tcPr/>
          <w:p>
            <w:pPr>
              <w:pStyle w:val="Compact"/>
            </w:pPr>
            <w:r>
              <w:t xml:space="preserve">Chargeback ratio (portfolio)</w:t>
            </w:r>
          </w:p>
        </w:tc>
        <w:tc>
          <w:tcPr/>
          <w:p>
            <w:pPr>
              <w:pStyle w:val="Compact"/>
            </w:pPr>
            <w:r>
              <w:t xml:space="preserve">&lt; 0.9%</w:t>
            </w:r>
          </w:p>
        </w:tc>
      </w:tr>
      <w:tr>
        <w:tc>
          <w:tcPr/>
          <w:p>
            <w:pPr>
              <w:pStyle w:val="Compact"/>
            </w:pPr>
            <w:r>
              <w:t xml:space="preserve">BOT/hotline-1213 cases answered on time</w:t>
            </w:r>
          </w:p>
        </w:tc>
        <w:tc>
          <w:tcPr/>
          <w:p>
            <w:pPr>
              <w:pStyle w:val="Compact"/>
            </w:pPr>
            <w:r>
              <w:t xml:space="preserve">100%</w:t>
            </w:r>
          </w:p>
        </w:tc>
      </w:tr>
    </w:tbl>
    <w:p>
      <w:r>
        <w:br w:type="page"/>
      </w:r>
    </w:p>
    <w:bookmarkEnd w:id="1069"/>
    <w:bookmarkEnd w:id="1070"/>
    <w:bookmarkStart w:id="1085" w:name="X030764086478dc5ea63d3f266bc93a9cc348474"/>
    <w:p>
      <w:pPr>
        <w:pStyle w:val="Heading1"/>
      </w:pPr>
      <w:r>
        <w:t xml:space="preserve">การบริหารความเสี่ยงผู้ให้บริการภายนอก (Outsourcing) (ไทย)</w:t>
      </w:r>
    </w:p>
    <w:p>
      <w:pPr>
        <w:pStyle w:val="BlockText"/>
      </w:pPr>
      <w:r>
        <w:t xml:space="preserve">เอกสารประกอบการยื่นขอใบอนุญาต</w:t>
      </w:r>
      <w:r>
        <w:t xml:space="preserve"> </w:t>
      </w:r>
      <w:r>
        <w:rPr>
          <w:b/>
          <w:bCs/>
        </w:rPr>
        <w:t xml:space="preserve">บริการรับชำระเงินด้วยวิธีการทางอิเล็กทรอนิกส์ (Acquiring)</w:t>
      </w:r>
      <w:r>
        <w:t xml:space="preserve"> </w:t>
      </w:r>
      <w:r>
        <w:t xml:space="preserve">ภายใต้ พ.ร.บ. ระบบการชำระเงิน พ.ศ. 2560 · ทุนจดทะเบียนชำระแล้ว 50 ล้านบาท · PCI-DSS v4.0 Level 1</w:t>
      </w:r>
      <w:r>
        <w:t xml:space="preserve"> </w:t>
      </w:r>
      <w:r>
        <w:t xml:space="preserve">เอกสารเลขที่</w:t>
      </w:r>
      <w:r>
        <w:t xml:space="preserve"> </w:t>
      </w:r>
      <w:r>
        <w:rPr>
          <w:b/>
          <w:bCs/>
        </w:rPr>
        <w:t xml:space="preserve">30 — การบริหารความเสี่ยงผู้ให้บริการภายนอก: บัญชีผู้ให้บริการสำคัญ + การประเมินความเสี่ยง + ข้อสัญญา SLA/สิทธิตรวจสอบ ตามหลักเกณฑ์ Outsourcing ของ ธปท.</w:t>
      </w:r>
      <w:r>
        <w:t xml:space="preserve"> </w:t>
      </w:r>
      <w:r>
        <w:t xml:space="preserve">เจ้าของเอกสาร:</w:t>
      </w:r>
      <w:r>
        <w:t xml:space="preserve"> </w:t>
      </w:r>
      <w:r>
        <w:rPr>
          <w:b/>
          <w:bCs/>
        </w:rPr>
        <w:t xml:space="preserve">[บริษัท / Company]</w:t>
      </w:r>
      <w:r>
        <w:t xml:space="preserve"> </w:t>
      </w:r>
      <w:r>
        <w:t xml:space="preserve">· เวอร์ชัน 1.0 · จัดทำ 2026-07-22 · ทบทวนทุก 12 เดือน</w:t>
      </w:r>
    </w:p>
    <w:p>
      <w:pPr>
        <w:pStyle w:val="BlockText"/>
      </w:pPr>
      <w:r>
        <w:rPr>
          <w:b/>
          <w:bCs/>
        </w:rPr>
        <w:t xml:space="preserve">หมายเหตุ:</w:t>
      </w:r>
      <w:r>
        <w:t xml:space="preserve"> </w:t>
      </w:r>
      <w:r>
        <w:t xml:space="preserve">เอกสารนี้เป็นเอกสารเชิงเทคนิค/ปฏิบัติการ ไม่ใช่คำแนะนำทางกฎหมาย ต้องผ่านการตรวจ</w:t>
      </w:r>
      <w:r>
        <w:t xml:space="preserve"> </w:t>
      </w:r>
      <w:r>
        <w:t xml:space="preserve">โดยที่ปรึกษากฎหมายและ QSA ก่อนยื่นจริง เอกสารอ้างอิงร่วม:</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13-it-risk-management.md</w:t>
      </w:r>
      <w:r>
        <w:t xml:space="preserve">,</w:t>
      </w:r>
      <w:r>
        <w:t xml:space="preserve"> </w:t>
      </w:r>
      <w:r>
        <w:rPr>
          <w:rStyle w:val="VerbatimChar"/>
        </w:rPr>
        <w:t xml:space="preserve">14-cyber-resilience.md</w:t>
      </w:r>
      <w:r>
        <w:t xml:space="preserve">,</w:t>
      </w:r>
      <w:r>
        <w:t xml:space="preserve"> </w:t>
      </w:r>
      <w:r>
        <w:rPr>
          <w:rStyle w:val="VerbatimChar"/>
        </w:rPr>
        <w:t xml:space="preserve">15-bcp-dr.md</w:t>
      </w:r>
      <w:r>
        <w:t xml:space="preserve">,</w:t>
      </w:r>
      <w:r>
        <w:t xml:space="preserve"> </w:t>
      </w:r>
      <w:r>
        <w:rPr>
          <w:rStyle w:val="VerbatimChar"/>
        </w:rPr>
        <w:t xml:space="preserve">18-segregation-of-duties.md</w:t>
      </w:r>
      <w:r>
        <w:t xml:space="preserve">,</w:t>
      </w:r>
      <w:r>
        <w:t xml:space="preserve"> </w:t>
      </w:r>
      <w:r>
        <w:rPr>
          <w:rStyle w:val="VerbatimChar"/>
        </w:rPr>
        <w:t xml:space="preserve">21-tokenization-hsm-keymgmt.md</w:t>
      </w:r>
    </w:p>
    <w:p>
      <w:r>
        <w:pict>
          <v:rect style="width:0;height:1.5pt" o:hralign="center" o:hrstd="t" o:hr="t"/>
        </w:pict>
      </w:r>
    </w:p>
    <w:bookmarkStart w:id="1071" w:name="วตถประสงคและขอบเขต-12"/>
    <w:p>
      <w:pPr>
        <w:pStyle w:val="Heading2"/>
      </w:pPr>
      <w:r>
        <w:t xml:space="preserve">1. วัตถุประสงค์และขอบเขต</w:t>
      </w:r>
    </w:p>
    <w:p>
      <w:pPr>
        <w:pStyle w:val="FirstParagraph"/>
      </w:pPr>
      <w:r>
        <w:t xml:space="preserve">นโยบายนี้กำหนดวิธีที่ [บริษัท / Company]</w:t>
      </w:r>
      <w:r>
        <w:t xml:space="preserve"> </w:t>
      </w:r>
      <w:r>
        <w:rPr>
          <w:b/>
          <w:bCs/>
        </w:rPr>
        <w:t xml:space="preserve">คัดเลือก ประเมิน ทำสัญญา กำกับ ติดตาม และยุติ</w:t>
      </w:r>
      <w:r>
        <w:t xml:space="preserve"> </w:t>
      </w:r>
      <w:r>
        <w:t xml:space="preserve">การใช้ผู้ให้บริการภายนอก</w:t>
      </w:r>
      <w:r>
        <w:t xml:space="preserve"> </w:t>
      </w:r>
      <w:r>
        <w:t xml:space="preserve">(outsourcing / third-party service providers) โดยเฉพาะผู้ให้บริการที่รองรับ</w:t>
      </w:r>
      <w:r>
        <w:t xml:space="preserve"> </w:t>
      </w:r>
      <w:r>
        <w:rPr>
          <w:b/>
          <w:bCs/>
        </w:rPr>
        <w:t xml:space="preserve">งานสำคัญ (critical / material outsourcing)</w:t>
      </w:r>
      <w:r>
        <w:t xml:space="preserve"> </w:t>
      </w:r>
      <w:r>
        <w:t xml:space="preserve">ของธุรกิจรับชำระเงินด้วยบัตร โดยยึดหลัก</w:t>
      </w:r>
      <w:r>
        <w:t xml:space="preserve"> </w:t>
      </w:r>
      <w:r>
        <w:rPr>
          <w:b/>
          <w:bCs/>
        </w:rPr>
        <w:t xml:space="preserve">“การมอบหมายงานให้ผู้อื่นทำ ไม่ได้เป็นการมอบความรับผิดชอบตามกฎหมายไปด้วย”</w:t>
      </w:r>
      <w:r>
        <w:rPr>
          <w:b/>
          <w:bCs/>
        </w:rPr>
        <w:t xml:space="preserve"> </w:t>
      </w:r>
      <w:r>
        <w:rPr>
          <w:b/>
          <w:bCs/>
        </w:rPr>
        <w:t xml:space="preserve">([บริษัท / Company] ยังคงรับผิดชอบเต็มต่อ ธปท. และลูกค้าเสมอ)</w:t>
      </w:r>
    </w:p>
    <w:p>
      <w:pPr>
        <w:pStyle w:val="BodyText"/>
      </w:pPr>
      <w:r>
        <w:t xml:space="preserve">นโยบายนี้ตอบข้อกำหนดหลักดังนี้:</w:t>
      </w:r>
    </w:p>
    <w:p>
      <w:pPr>
        <w:pStyle w:val="Compact"/>
        <w:numPr>
          <w:ilvl w:val="0"/>
          <w:numId w:val="1390"/>
        </w:numPr>
      </w:pPr>
      <w:r>
        <w:rPr>
          <w:b/>
          <w:bCs/>
        </w:rPr>
        <w:t xml:space="preserve">ประกาศ ธปท. ว่าด้วยการใช้บริการจากผู้ให้บริการภายนอก (Outsourcing)</w:t>
      </w:r>
      <w:r>
        <w:t xml:space="preserve"> </w:t>
      </w:r>
      <w:r>
        <w:t xml:space="preserve">สำหรับสถาบันการเงิน/ผู้ประกอบธุรกิจ</w:t>
      </w:r>
      <w:r>
        <w:t xml:space="preserve"> </w:t>
      </w:r>
      <w:r>
        <w:t xml:space="preserve">ระบบและบริการการชำระเงินภายใต้ พ.ร.บ. ระบบการชำระเงิน พ.ศ. 2560 — หลักการ due diligence ก่อนใช้บริการ,</w:t>
      </w:r>
      <w:r>
        <w:t xml:space="preserve"> </w:t>
      </w:r>
      <w:r>
        <w:t xml:space="preserve">สัญญาที่ครอบคลุมความเสี่ยง, สิทธิเข้าตรวจสอบ (audit right) ของบริษัทและของ ธปท., แผนสำรอง/exit plan,</w:t>
      </w:r>
      <w:r>
        <w:t xml:space="preserve"> </w:t>
      </w:r>
      <w:r>
        <w:t xml:space="preserve">และการกำกับผู้ให้บริการช่วง (sub-outsourcing)</w:t>
      </w:r>
    </w:p>
    <w:p>
      <w:pPr>
        <w:pStyle w:val="Compact"/>
        <w:numPr>
          <w:ilvl w:val="0"/>
          <w:numId w:val="1390"/>
        </w:numPr>
      </w:pPr>
      <w:r>
        <w:rPr>
          <w:b/>
          <w:bCs/>
        </w:rPr>
        <w:t xml:space="preserve">ประกาศ ธปท. ด้าน IT risk / cyber resilience</w:t>
      </w:r>
      <w:r>
        <w:t xml:space="preserve"> </w:t>
      </w:r>
      <w:r>
        <w:t xml:space="preserve">— การจัดการความเสี่ยงด้านเทคโนโลยีสารสนเทศจากบุคคลภายนอก</w:t>
      </w:r>
      <w:r>
        <w:t xml:space="preserve"> </w:t>
      </w:r>
      <w:r>
        <w:t xml:space="preserve">และ concentration risk / cloud</w:t>
      </w:r>
    </w:p>
    <w:p>
      <w:pPr>
        <w:pStyle w:val="Compact"/>
        <w:numPr>
          <w:ilvl w:val="0"/>
          <w:numId w:val="1390"/>
        </w:numPr>
      </w:pPr>
      <w:r>
        <w:rPr>
          <w:b/>
          <w:bCs/>
        </w:rPr>
        <w:t xml:space="preserve">PCI-DSS v4.0 Requirement 12.8 (12.8.1–12.8.5)</w:t>
      </w:r>
      <w:r>
        <w:t xml:space="preserve"> </w:t>
      </w:r>
      <w:r>
        <w:t xml:space="preserve">— การบริหาร Third-Party Service Providers (TPSP):</w:t>
      </w:r>
      <w:r>
        <w:t xml:space="preserve"> </w:t>
      </w:r>
      <w:r>
        <w:t xml:space="preserve">รายการ TPSP, การระบุว่าใครรับผิดชอบ PCI requirement ข้อใด (responsibility matrix), การตรวจสอบสถานะ PCI</w:t>
      </w:r>
      <w:r>
        <w:t xml:space="preserve"> </w:t>
      </w:r>
      <w:r>
        <w:t xml:space="preserve">ของผู้ให้บริการอย่างน้อยปีละครั้ง, และ due diligence ก่อนผูกพัน</w:t>
      </w:r>
    </w:p>
    <w:p>
      <w:pPr>
        <w:pStyle w:val="Compact"/>
        <w:numPr>
          <w:ilvl w:val="0"/>
          <w:numId w:val="1390"/>
        </w:numPr>
      </w:pPr>
      <w:r>
        <w:rPr>
          <w:b/>
          <w:bCs/>
        </w:rPr>
        <w:t xml:space="preserve">PCI-DSS v4.0 Requirement 12.9</w:t>
      </w:r>
      <w:r>
        <w:t xml:space="preserve"> </w:t>
      </w:r>
      <w:r>
        <w:t xml:space="preserve">— ข้อผูกพันฝั่ง TPSP ที่ต้องยอมรับความรับผิดชอบต่อ CHD ที่ตนถือ/กระทบ</w:t>
      </w:r>
    </w:p>
    <w:p>
      <w:pPr>
        <w:pStyle w:val="Compact"/>
        <w:numPr>
          <w:ilvl w:val="0"/>
          <w:numId w:val="1390"/>
        </w:numPr>
      </w:pPr>
      <w:r>
        <w:rPr>
          <w:b/>
          <w:bCs/>
        </w:rPr>
        <w:t xml:space="preserve">พ.ร.บ. คุ้มครองข้อมูลส่วนบุคคล พ.ศ. 2562 (PDPA) / PDPC</w:t>
      </w:r>
      <w:r>
        <w:t xml:space="preserve"> </w:t>
      </w:r>
      <w:r>
        <w:t xml:space="preserve">— เมื่อผู้ให้บริการเป็น</w:t>
      </w:r>
      <w:r>
        <w:t xml:space="preserve"> </w:t>
      </w:r>
      <w:r>
        <w:rPr>
          <w:b/>
          <w:bCs/>
        </w:rPr>
        <w:t xml:space="preserve">ผู้ประมวลผลข้อมูล (Data Processor)</w:t>
      </w:r>
      <w:r>
        <w:t xml:space="preserve"> </w:t>
      </w:r>
      <w:r>
        <w:t xml:space="preserve">ต้องมี</w:t>
      </w:r>
      <w:r>
        <w:t xml:space="preserve"> </w:t>
      </w:r>
      <w:r>
        <w:rPr>
          <w:b/>
          <w:bCs/>
        </w:rPr>
        <w:t xml:space="preserve">Data Processing Agreement (DPA)</w:t>
      </w:r>
      <w:r>
        <w:t xml:space="preserve"> </w:t>
      </w:r>
      <w:r>
        <w:t xml:space="preserve">ตาม ม.40 (ดู</w:t>
      </w:r>
      <w:r>
        <w:t xml:space="preserve"> </w:t>
      </w:r>
      <w:r>
        <w:rPr>
          <w:rStyle w:val="VerbatimChar"/>
        </w:rPr>
        <w:t xml:space="preserve">10-dpa-templates.md</w:t>
      </w:r>
      <w:r>
        <w:t xml:space="preserve">) และควบคุมการโอนข้อมูลข้ามพรมแดน (ม.28–29)</w:t>
      </w:r>
    </w:p>
    <w:p>
      <w:pPr>
        <w:pStyle w:val="Compact"/>
        <w:numPr>
          <w:ilvl w:val="0"/>
          <w:numId w:val="1390"/>
        </w:numPr>
      </w:pPr>
      <w:r>
        <w:rPr>
          <w:b/>
          <w:bCs/>
        </w:rPr>
        <w:t xml:space="preserve">พ.ร.บ. ป้องกันและปราบปรามการฟอกเงิน (ปปง./AMLO)</w:t>
      </w:r>
      <w:r>
        <w:t xml:space="preserve"> </w:t>
      </w:r>
      <w:r>
        <w:t xml:space="preserve">— ผู้ให้บริการที่ทำงาน KYC/CDD/sanction screening แทน</w:t>
      </w:r>
      <w:r>
        <w:t xml:space="preserve"> </w:t>
      </w:r>
      <w:r>
        <w:t xml:space="preserve">ต้องอยู่ใต้การกำกับและตรวจสอบได้ ([บริษัท / Company] ยังรับผิดชอบการรายงาน STR/SAR เอง)</w:t>
      </w:r>
    </w:p>
    <w:p>
      <w:pPr>
        <w:pStyle w:val="BlockText"/>
      </w:pPr>
      <w:r>
        <w:rPr>
          <w:b/>
          <w:bCs/>
        </w:rPr>
        <w:t xml:space="preserve">ขอบเขต:</w:t>
      </w:r>
      <w:r>
        <w:t xml:space="preserve"> </w:t>
      </w:r>
      <w:r>
        <w:t xml:space="preserve">ครอบคลุมผู้ให้บริการทุกรายที่ (ก) เข้าถึง/ประมวลผล/จัดเก็บ Cardholder Data (CHD) หรือข้อมูลส่วนบุคคล,</w:t>
      </w:r>
      <w:r>
        <w:t xml:space="preserve"> </w:t>
      </w:r>
      <w:r>
        <w:t xml:space="preserve">(ข) รองรับฟังก์ชันที่กระทบความต่อเนื่องของบริการชำระเงิน, หรือ (ค) เชื่อมต่อเข้ากับ Cardholder Data Environment (CDE)</w:t>
      </w:r>
      <w:r>
        <w:t xml:space="preserve"> </w:t>
      </w:r>
      <w:r>
        <w:t xml:space="preserve">ตาม</w:t>
      </w:r>
      <w:r>
        <w:t xml:space="preserve"> </w:t>
      </w:r>
      <w:r>
        <w:rPr>
          <w:rStyle w:val="VerbatimChar"/>
        </w:rPr>
        <w:t xml:space="preserve">ARCHITECTURE.md</w:t>
      </w:r>
      <w:r>
        <w:t xml:space="preserve"> </w:t>
      </w:r>
      <w:r>
        <w:t xml:space="preserve">การซื้อสินค้า/บริการทั่วไปที่ไม่กระทบข้อ (ก)–(ค) ใช้กระบวนการจัดซื้อมาตรฐาน ไม่อยู่ในนโยบายนี้</w:t>
      </w:r>
    </w:p>
    <w:p>
      <w:r>
        <w:pict>
          <v:rect style="width:0;height:1.5pt" o:hralign="center" o:hrstd="t" o:hr="t"/>
        </w:pict>
      </w:r>
    </w:p>
    <w:bookmarkEnd w:id="1071"/>
    <w:bookmarkStart w:id="1072" w:name="Xfdae6f40d37a136814776beb6ad85c7af1bc7b0"/>
    <w:p>
      <w:pPr>
        <w:pStyle w:val="Heading2"/>
      </w:pPr>
      <w:r>
        <w:t xml:space="preserve">2. บทบาทและความรับผิดชอบ (Roles &amp; Responsibilities)</w:t>
      </w:r>
    </w:p>
    <w:tbl>
      <w:tblPr>
        <w:tblStyle w:val="Table"/>
        <w:tblW w:type="pct" w:w="5000"/>
        <w:tblLayout w:type="fixed"/>
        <w:tblLook w:firstRow="1" w:lastRow="0" w:firstColumn="0" w:lastColumn="0" w:noHBand="0" w:noVBand="0" w:val="0020"/>
      </w:tblPr>
      <w:tblGrid>
        <w:gridCol w:w="1458"/>
        <w:gridCol w:w="6461"/>
      </w:tblGrid>
      <w:tr>
        <w:trPr>
          <w:tblHeader w:val="on"/>
        </w:trPr>
        <w:tc>
          <w:tcPr/>
          <w:p>
            <w:pPr>
              <w:pStyle w:val="Compact"/>
            </w:pPr>
            <w:r>
              <w:t xml:space="preserve">บทบาท</w:t>
            </w:r>
          </w:p>
        </w:tc>
        <w:tc>
          <w:tcPr/>
          <w:p>
            <w:pPr>
              <w:pStyle w:val="Compact"/>
            </w:pPr>
            <w:r>
              <w:t xml:space="preserve">ความรับผิดชอบด้าน vendor risk</w:t>
            </w:r>
          </w:p>
        </w:tc>
      </w:tr>
      <w:tr>
        <w:tc>
          <w:tcPr/>
          <w:p>
            <w:pPr>
              <w:pStyle w:val="Compact"/>
            </w:pPr>
            <w:r>
              <w:rPr>
                <w:b/>
                <w:bCs/>
              </w:rPr>
              <w:t xml:space="preserve">Business Owner (เจ้าของงาน)</w:t>
            </w:r>
          </w:p>
        </w:tc>
        <w:tc>
          <w:tcPr/>
          <w:p>
            <w:pPr>
              <w:pStyle w:val="Compact"/>
            </w:pPr>
            <w:r>
              <w:t xml:space="preserve">ระบุความจำเป็นทางธุรกิจ, นิยาม service scope/SLA, เป็นเจ้าของความสัมพันธ์รายวัน</w:t>
            </w:r>
          </w:p>
        </w:tc>
      </w:tr>
      <w:tr>
        <w:tc>
          <w:tcPr/>
          <w:p>
            <w:pPr>
              <w:pStyle w:val="Compact"/>
            </w:pPr>
            <w:r>
              <w:rPr>
                <w:b/>
                <w:bCs/>
              </w:rPr>
              <w:t xml:space="preserve">Vendor Risk Manager / Third-Party Risk (TPRM)</w:t>
            </w:r>
          </w:p>
        </w:tc>
        <w:tc>
          <w:tcPr/>
          <w:p>
            <w:pPr>
              <w:pStyle w:val="Compact"/>
            </w:pPr>
            <w:r>
              <w:t xml:space="preserve">เจ้าของทะเบียนผู้ให้บริการ, จัด due diligence, ให้คะแนนความเสี่ยง, ติดตามรอบทบทวน</w:t>
            </w:r>
          </w:p>
        </w:tc>
      </w:tr>
      <w:tr>
        <w:tc>
          <w:tcPr/>
          <w:p>
            <w:pPr>
              <w:pStyle w:val="Compact"/>
            </w:pPr>
            <w:r>
              <w:rPr>
                <w:b/>
                <w:bCs/>
              </w:rPr>
              <w:t xml:space="preserve">CISO / DevSecOps</w:t>
            </w:r>
          </w:p>
        </w:tc>
        <w:tc>
          <w:tcPr/>
          <w:p>
            <w:pPr>
              <w:pStyle w:val="Compact"/>
            </w:pPr>
            <w:r>
              <w:t xml:space="preserve">ประเมินความเสี่ยงด้านความปลอดภัย/CDE, ตรวจ PCI AoC ของผู้ให้บริการ, อนุมัติการเชื่อมต่อทางเทคนิค</w:t>
            </w:r>
          </w:p>
        </w:tc>
      </w:tr>
      <w:tr>
        <w:tc>
          <w:tcPr/>
          <w:p>
            <w:pPr>
              <w:pStyle w:val="Compact"/>
            </w:pPr>
            <w:r>
              <w:rPr>
                <w:b/>
                <w:bCs/>
              </w:rPr>
              <w:t xml:space="preserve">DPO</w:t>
            </w:r>
          </w:p>
        </w:tc>
        <w:tc>
          <w:tcPr/>
          <w:p>
            <w:pPr>
              <w:pStyle w:val="Compact"/>
            </w:pPr>
            <w:r>
              <w:t xml:space="preserve">ตรวจว่าเป็น Data Processor หรือไม่, จัดทำ/ตรวจ DPA, ประเมินการโอนข้อมูลข้ามพรมแดน (PDPA)</w:t>
            </w:r>
          </w:p>
        </w:tc>
      </w:tr>
      <w:tr>
        <w:tc>
          <w:tcPr/>
          <w:p>
            <w:pPr>
              <w:pStyle w:val="Compact"/>
            </w:pPr>
            <w:r>
              <w:rPr>
                <w:b/>
                <w:bCs/>
              </w:rPr>
              <w:t xml:space="preserve">Compliance / AML Officer</w:t>
            </w:r>
          </w:p>
        </w:tc>
        <w:tc>
          <w:tcPr/>
          <w:p>
            <w:pPr>
              <w:pStyle w:val="Compact"/>
            </w:pPr>
            <w:r>
              <w:t xml:space="preserve">ตรวจผู้ให้บริการงาน AML/KYC/screening, sanction check ตัวผู้ให้บริการเอง</w:t>
            </w:r>
          </w:p>
        </w:tc>
      </w:tr>
      <w:tr>
        <w:tc>
          <w:tcPr/>
          <w:p>
            <w:pPr>
              <w:pStyle w:val="Compact"/>
            </w:pPr>
            <w:r>
              <w:rPr>
                <w:b/>
                <w:bCs/>
              </w:rPr>
              <w:t xml:space="preserve">Legal</w:t>
            </w:r>
          </w:p>
        </w:tc>
        <w:tc>
          <w:tcPr/>
          <w:p>
            <w:pPr>
              <w:pStyle w:val="Compact"/>
            </w:pPr>
            <w:r>
              <w:t xml:space="preserve">ร่าง/ตรวจสัญญา, ฝัง audit-right / exit / sub-outsourcing / liability clauses</w:t>
            </w:r>
          </w:p>
        </w:tc>
      </w:tr>
      <w:tr>
        <w:tc>
          <w:tcPr/>
          <w:p>
            <w:pPr>
              <w:pStyle w:val="Compact"/>
            </w:pPr>
            <w:r>
              <w:rPr>
                <w:b/>
                <w:bCs/>
              </w:rPr>
              <w:t xml:space="preserve">Procurement</w:t>
            </w:r>
          </w:p>
        </w:tc>
        <w:tc>
          <w:tcPr/>
          <w:p>
            <w:pPr>
              <w:pStyle w:val="Compact"/>
            </w:pPr>
            <w:r>
              <w:t xml:space="preserve">กระบวนการจัดซื้อ, ตรวจฐานะการเงินผู้ให้บริการ, จัดการ PO/สัญญา</w:t>
            </w:r>
          </w:p>
        </w:tc>
      </w:tr>
      <w:tr>
        <w:tc>
          <w:tcPr/>
          <w:p>
            <w:pPr>
              <w:pStyle w:val="Compact"/>
            </w:pPr>
            <w:r>
              <w:rPr>
                <w:b/>
                <w:bCs/>
              </w:rPr>
              <w:t xml:space="preserve">Outsourcing Risk Committee (ORC)</w:t>
            </w:r>
          </w:p>
        </w:tc>
        <w:tc>
          <w:tcPr/>
          <w:p>
            <w:pPr>
              <w:pStyle w:val="Compact"/>
            </w:pPr>
            <w:r>
              <w:t xml:space="preserve">อนุมัติการใช้ผู้ให้บริการระดับ</w:t>
            </w:r>
            <w:r>
              <w:t xml:space="preserve"> </w:t>
            </w:r>
            <w:r>
              <w:rPr>
                <w:b/>
                <w:bCs/>
              </w:rPr>
              <w:t xml:space="preserve">Critical/Material</w:t>
            </w:r>
            <w:r>
              <w:t xml:space="preserve">, ทบทวนความเสี่ยงรวม (concentration)</w:t>
            </w:r>
          </w:p>
        </w:tc>
      </w:tr>
      <w:tr>
        <w:tc>
          <w:tcPr/>
          <w:p>
            <w:pPr>
              <w:pStyle w:val="Compact"/>
            </w:pPr>
            <w:r>
              <w:rPr>
                <w:b/>
                <w:bCs/>
              </w:rPr>
              <w:t xml:space="preserve">Internal Audit</w:t>
            </w:r>
          </w:p>
        </w:tc>
        <w:tc>
          <w:tcPr/>
          <w:p>
            <w:pPr>
              <w:pStyle w:val="Compact"/>
            </w:pPr>
            <w:r>
              <w:t xml:space="preserve">ตรวจอิสระว่ากระบวนการนี้ถูกปฏิบัติจริง, ทดสอบตัวอย่างสัญญา/การประเมิน</w:t>
            </w:r>
          </w:p>
        </w:tc>
      </w:tr>
      <w:tr>
        <w:tc>
          <w:tcPr/>
          <w:p>
            <w:pPr>
              <w:pStyle w:val="Compact"/>
            </w:pPr>
            <w:r>
              <w:rPr>
                <w:b/>
                <w:bCs/>
              </w:rPr>
              <w:t xml:space="preserve">Board / คณะกรรมการ</w:t>
            </w:r>
          </w:p>
        </w:tc>
        <w:tc>
          <w:tcPr/>
          <w:p>
            <w:pPr>
              <w:pStyle w:val="Compact"/>
            </w:pPr>
            <w:r>
              <w:t xml:space="preserve">อนุมัตินโยบาย outsourcing, รับทราบความเสี่ยง critical outsourcing รายปี</w:t>
            </w:r>
          </w:p>
        </w:tc>
      </w:tr>
    </w:tbl>
    <w:p>
      <w:pPr>
        <w:pStyle w:val="BlockText"/>
      </w:pPr>
      <w:r>
        <w:rPr>
          <w:b/>
          <w:bCs/>
        </w:rPr>
        <w:t xml:space="preserve">หลัก Separation of Duties (SoD):</w:t>
      </w:r>
      <w:r>
        <w:t xml:space="preserve"> </w:t>
      </w:r>
      <w:r>
        <w:t xml:space="preserve">ผู้ที่คัดเลือก/เจรจากับผู้ให้บริการ (Business Owner/Procurement)</w:t>
      </w:r>
      <w:r>
        <w:t xml:space="preserve"> </w:t>
      </w:r>
      <w:r>
        <w:rPr>
          <w:b/>
          <w:bCs/>
        </w:rPr>
        <w:t xml:space="preserve">ต้องไม่ใช่</w:t>
      </w:r>
      <w:r>
        <w:t xml:space="preserve"> </w:t>
      </w:r>
      <w:r>
        <w:t xml:space="preserve">ผู้อนุมัติความเสี่ยงขั้นสุดท้าย (ORC) การอนุมัติ Critical outsourcing ต้องมี CISO + DPO + Compliance ลงนามร่วม</w:t>
      </w:r>
    </w:p>
    <w:p>
      <w:r>
        <w:pict>
          <v:rect style="width:0;height:1.5pt" o:hralign="center" o:hrstd="t" o:hr="t"/>
        </w:pict>
      </w:r>
    </w:p>
    <w:bookmarkEnd w:id="1072"/>
    <w:bookmarkStart w:id="1073" w:name="X81e15b182aba61426e15caed3890c4fb3ba3bf7"/>
    <w:p>
      <w:pPr>
        <w:pStyle w:val="Heading2"/>
      </w:pPr>
      <w:r>
        <w:t xml:space="preserve">3. การจัดชั้นความสำคัญของผู้ให้บริการ (Vendor Criticality Tiering)</w:t>
      </w:r>
    </w:p>
    <w:tbl>
      <w:tblPr>
        <w:tblStyle w:val="Table"/>
        <w:tblW w:type="pct" w:w="5000"/>
        <w:tblLayout w:type="fixed"/>
        <w:tblLook w:firstRow="1" w:lastRow="0" w:firstColumn="0" w:lastColumn="0" w:noHBand="0" w:noVBand="0" w:val="0020"/>
      </w:tblPr>
      <w:tblGrid>
        <w:gridCol w:w="1485"/>
        <w:gridCol w:w="1732"/>
        <w:gridCol w:w="2227"/>
        <w:gridCol w:w="2475"/>
      </w:tblGrid>
      <w:tr>
        <w:trPr>
          <w:tblHeader w:val="on"/>
        </w:trPr>
        <w:tc>
          <w:tcPr/>
          <w:p>
            <w:pPr>
              <w:pStyle w:val="Compact"/>
            </w:pPr>
            <w:r>
              <w:t xml:space="preserve">ชั้น</w:t>
            </w:r>
          </w:p>
        </w:tc>
        <w:tc>
          <w:tcPr/>
          <w:p>
            <w:pPr>
              <w:pStyle w:val="Compact"/>
            </w:pPr>
            <w:r>
              <w:t xml:space="preserve">นิยาม</w:t>
            </w:r>
          </w:p>
        </w:tc>
        <w:tc>
          <w:tcPr/>
          <w:p>
            <w:pPr>
              <w:pStyle w:val="Compact"/>
            </w:pPr>
            <w:r>
              <w:t xml:space="preserve">ตัวอย่าง</w:t>
            </w:r>
          </w:p>
        </w:tc>
        <w:tc>
          <w:tcPr/>
          <w:p>
            <w:pPr>
              <w:pStyle w:val="Compact"/>
            </w:pPr>
            <w:r>
              <w:t xml:space="preserve">การกำกับ</w:t>
            </w:r>
          </w:p>
        </w:tc>
      </w:tr>
      <w:tr>
        <w:tc>
          <w:tcPr/>
          <w:p>
            <w:pPr>
              <w:pStyle w:val="Compact"/>
            </w:pPr>
            <w:r>
              <w:rPr>
                <w:b/>
                <w:bCs/>
              </w:rPr>
              <w:t xml:space="preserve">Tier 1 — Critical / Material</w:t>
            </w:r>
          </w:p>
        </w:tc>
        <w:tc>
          <w:tcPr/>
          <w:p>
            <w:pPr>
              <w:pStyle w:val="Compact"/>
            </w:pPr>
            <w:r>
              <w:t xml:space="preserve">หากล้มเหลว/รั่วไหล กระทบบริการชำระเงินหรือ CHD อย่างมีนัยสำคัญ หรือเข้าถึง CDE</w:t>
            </w:r>
          </w:p>
        </w:tc>
        <w:tc>
          <w:tcPr/>
          <w:p>
            <w:pPr>
              <w:pStyle w:val="Compact"/>
            </w:pPr>
            <w:r>
              <w:t xml:space="preserve">Sponsor bank/acquirer, cloud (IaaS), HSM/KMS, tokenization vault, 3DS server (ACS/DS), KYC/screening</w:t>
            </w:r>
          </w:p>
        </w:tc>
        <w:tc>
          <w:tcPr/>
          <w:p>
            <w:pPr>
              <w:pStyle w:val="Compact"/>
            </w:pPr>
            <w:r>
              <w:t xml:space="preserve">Due diligence เต็ม + อนุมัติ ORC + สัญญามี audit-right + exit plan + on-site ได้ + ทบทวนทุก 12 เดือน</w:t>
            </w:r>
          </w:p>
        </w:tc>
      </w:tr>
      <w:tr>
        <w:tc>
          <w:tcPr/>
          <w:p>
            <w:pPr>
              <w:pStyle w:val="Compact"/>
            </w:pPr>
            <w:r>
              <w:rPr>
                <w:b/>
                <w:bCs/>
              </w:rPr>
              <w:t xml:space="preserve">Tier 2 — Important</w:t>
            </w:r>
          </w:p>
        </w:tc>
        <w:tc>
          <w:tcPr/>
          <w:p>
            <w:pPr>
              <w:pStyle w:val="Compact"/>
            </w:pPr>
            <w:r>
              <w:t xml:space="preserve">กระทบการดำเนินงานแต่มีทางเลี่ยง/สำรอง หรือถือข้อมูลส่วนบุคคลจำกัด</w:t>
            </w:r>
          </w:p>
        </w:tc>
        <w:tc>
          <w:tcPr/>
          <w:p>
            <w:pPr>
              <w:pStyle w:val="Compact"/>
            </w:pPr>
            <w:r>
              <w:t xml:space="preserve">Email/notification (SMS/LINE), monitoring/SIEM SaaS, log storage, ASV vendor</w:t>
            </w:r>
          </w:p>
        </w:tc>
        <w:tc>
          <w:tcPr/>
          <w:p>
            <w:pPr>
              <w:pStyle w:val="Compact"/>
            </w:pPr>
            <w:r>
              <w:t xml:space="preserve">Due diligence มาตรฐาน + อนุมัติ CISO/DPO + DPA + ทบทวนทุก 12–24 เดือน</w:t>
            </w:r>
          </w:p>
        </w:tc>
      </w:tr>
      <w:tr>
        <w:tc>
          <w:tcPr/>
          <w:p>
            <w:pPr>
              <w:pStyle w:val="Compact"/>
            </w:pPr>
            <w:r>
              <w:rPr>
                <w:b/>
                <w:bCs/>
              </w:rPr>
              <w:t xml:space="preserve">Tier 3 — Low</w:t>
            </w:r>
          </w:p>
        </w:tc>
        <w:tc>
          <w:tcPr/>
          <w:p>
            <w:pPr>
              <w:pStyle w:val="Compact"/>
            </w:pPr>
            <w:r>
              <w:t xml:space="preserve">ไม่แตะ CHD/PII สำคัญ กระทบต่ำ</w:t>
            </w:r>
          </w:p>
        </w:tc>
        <w:tc>
          <w:tcPr/>
          <w:p>
            <w:pPr>
              <w:pStyle w:val="Compact"/>
            </w:pPr>
            <w:r>
              <w:t xml:space="preserve">เครื่องมือ productivity, ที่ปรึกษาไม่แตะข้อมูลลูกค้า</w:t>
            </w:r>
          </w:p>
        </w:tc>
        <w:tc>
          <w:tcPr/>
          <w:p>
            <w:pPr>
              <w:pStyle w:val="Compact"/>
            </w:pPr>
            <w:r>
              <w:t xml:space="preserve">Due diligence แบบเบา + ทบทวนตามสัญญา</w:t>
            </w:r>
          </w:p>
        </w:tc>
      </w:tr>
    </w:tbl>
    <w:p>
      <w:pPr>
        <w:pStyle w:val="BodyText"/>
      </w:pPr>
      <w:r>
        <w:rPr>
          <w:b/>
          <w:bCs/>
        </w:rPr>
        <w:t xml:space="preserve">เกณฑ์ Threshold ที่ทำให้เป็น Tier 1 (เข้าเงื่อนไขข้อใดข้อหนึ่งถือเป็น Critical):</w:t>
      </w:r>
      <w:r>
        <w:t xml:space="preserve"> </w:t>
      </w:r>
      <w:r>
        <w:t xml:space="preserve">- เข้าถึง/จัดเก็บ/ส่งผ่าน</w:t>
      </w:r>
      <w:r>
        <w:t xml:space="preserve"> </w:t>
      </w:r>
      <w:r>
        <w:rPr>
          <w:b/>
          <w:bCs/>
        </w:rPr>
        <w:t xml:space="preserve">CHD หรือ authentication data</w:t>
      </w:r>
      <w:r>
        <w:t xml:space="preserve"> </w:t>
      </w:r>
      <w:r>
        <w:t xml:space="preserve">หรืออยู่ใน/ติดกับ</w:t>
      </w:r>
      <w:r>
        <w:t xml:space="preserve"> </w:t>
      </w:r>
      <w:r>
        <w:rPr>
          <w:b/>
          <w:bCs/>
        </w:rPr>
        <w:t xml:space="preserve">CDE</w:t>
      </w:r>
      <w:r>
        <w:t xml:space="preserve"> </w:t>
      </w:r>
      <w:r>
        <w:t xml:space="preserve">- รองรับฟังก์ชันที่ downtime &gt;</w:t>
      </w:r>
      <w:r>
        <w:t xml:space="preserve"> </w:t>
      </w:r>
      <w:r>
        <w:rPr>
          <w:b/>
          <w:bCs/>
        </w:rPr>
        <w:t xml:space="preserve">30 นาที</w:t>
      </w:r>
      <w:r>
        <w:t xml:space="preserve"> </w:t>
      </w:r>
      <w:r>
        <w:t xml:space="preserve">กระทบ authorization/settlement (สอดคล้อง RTO ใน</w:t>
      </w:r>
      <w:r>
        <w:t xml:space="preserve"> </w:t>
      </w:r>
      <w:r>
        <w:rPr>
          <w:rStyle w:val="VerbatimChar"/>
        </w:rPr>
        <w:t xml:space="preserve">ARCHITECTURE.md</w:t>
      </w:r>
      <w:r>
        <w:t xml:space="preserve">)</w:t>
      </w:r>
      <w:r>
        <w:t xml:space="preserve"> </w:t>
      </w:r>
      <w:r>
        <w:t xml:space="preserve">- ประมวลผลข้อมูลส่วนบุคคลของผู้ถือบัตร &gt;</w:t>
      </w:r>
      <w:r>
        <w:t xml:space="preserve"> </w:t>
      </w:r>
      <w:r>
        <w:rPr>
          <w:b/>
          <w:bCs/>
        </w:rPr>
        <w:t xml:space="preserve">10,000 ราย</w:t>
      </w:r>
      <w:r>
        <w:t xml:space="preserve"> </w:t>
      </w:r>
      <w:r>
        <w:t xml:space="preserve">หรือมีการโอนข้อมูลออกนอกประเทศ</w:t>
      </w:r>
      <w:r>
        <w:t xml:space="preserve"> </w:t>
      </w:r>
      <w:r>
        <w:t xml:space="preserve">- ทำหน้าที่ตามกฎหมายแทนบริษัท (KYC/CDD, sanction screening, การรายงาน)</w:t>
      </w:r>
    </w:p>
    <w:p>
      <w:r>
        <w:pict>
          <v:rect style="width:0;height:1.5pt" o:hralign="center" o:hrstd="t" o:hr="t"/>
        </w:pict>
      </w:r>
    </w:p>
    <w:bookmarkEnd w:id="1073"/>
    <w:bookmarkStart w:id="1074" w:name="Xb8f2cf613e138ea50fa3836c90526f39bea767c"/>
    <w:p>
      <w:pPr>
        <w:pStyle w:val="Heading2"/>
      </w:pPr>
      <w:r>
        <w:t xml:space="preserve">4. บัญชีผู้ให้บริการสำคัญ (Critical Service Provider List / TPSP Inventory — PCI Req 12.8.1)</w:t>
      </w:r>
    </w:p>
    <w:p>
      <w:pPr>
        <w:pStyle w:val="BlockText"/>
      </w:pPr>
      <w:r>
        <w:t xml:space="preserve">ตารางนี้เป็น</w:t>
      </w:r>
      <w:r>
        <w:t xml:space="preserve"> </w:t>
      </w:r>
      <w:r>
        <w:rPr>
          <w:b/>
          <w:bCs/>
        </w:rPr>
        <w:t xml:space="preserve">living document</w:t>
      </w:r>
      <w:r>
        <w:t xml:space="preserve"> </w:t>
      </w:r>
      <w:r>
        <w:t xml:space="preserve">ปรับปรุงเมื่อมีการเพิ่ม/เปลี่ยนผู้ให้บริการ และทบทวนอย่างน้อยปีละครั้ง</w:t>
      </w:r>
      <w:r>
        <w:t xml:space="preserve"> </w:t>
      </w:r>
      <w:r>
        <w:t xml:space="preserve">ช่อง</w:t>
      </w:r>
      <w:r>
        <w:t xml:space="preserve"> </w:t>
      </w:r>
      <w:r>
        <w:t xml:space="preserve">“PCI responsibility”</w:t>
      </w:r>
      <w:r>
        <w:t xml:space="preserve"> </w:t>
      </w:r>
      <w:r>
        <w:t xml:space="preserve">อ้างอิง responsibility matrix (ข้อ 8)</w:t>
      </w:r>
    </w:p>
    <w:tbl>
      <w:tblPr>
        <w:tblStyle w:val="Table"/>
        <w:tblW w:type="pct" w:w="5000"/>
        <w:tblLayout w:type="fixed"/>
        <w:tblLook w:firstRow="1" w:lastRow="0" w:firstColumn="0" w:lastColumn="0" w:noHBand="0" w:noVBand="0" w:val="0020"/>
      </w:tblPr>
      <w:tblGrid>
        <w:gridCol w:w="159"/>
        <w:gridCol w:w="797"/>
        <w:gridCol w:w="1860"/>
        <w:gridCol w:w="318"/>
        <w:gridCol w:w="691"/>
        <w:gridCol w:w="1275"/>
        <w:gridCol w:w="1169"/>
        <w:gridCol w:w="1063"/>
        <w:gridCol w:w="584"/>
      </w:tblGrid>
      <w:tr>
        <w:trPr>
          <w:tblHeader w:val="on"/>
        </w:trPr>
        <w:tc>
          <w:tcPr/>
          <w:p>
            <w:pPr>
              <w:pStyle w:val="Compact"/>
            </w:pPr>
            <w:r>
              <w:t xml:space="preserve">#</w:t>
            </w:r>
          </w:p>
        </w:tc>
        <w:tc>
          <w:tcPr/>
          <w:p>
            <w:pPr>
              <w:pStyle w:val="Compact"/>
            </w:pPr>
            <w:r>
              <w:t xml:space="preserve">ประเภทบริการ</w:t>
            </w:r>
          </w:p>
        </w:tc>
        <w:tc>
          <w:tcPr/>
          <w:p>
            <w:pPr>
              <w:pStyle w:val="Compact"/>
            </w:pPr>
            <w:r>
              <w:t xml:space="preserve">ผู้ให้บริการ (ตัวอย่าง/ที่วางแผน)</w:t>
            </w:r>
          </w:p>
        </w:tc>
        <w:tc>
          <w:tcPr/>
          <w:p>
            <w:pPr>
              <w:pStyle w:val="Compact"/>
            </w:pPr>
            <w:r>
              <w:t xml:space="preserve">Tier</w:t>
            </w:r>
          </w:p>
        </w:tc>
        <w:tc>
          <w:tcPr/>
          <w:p>
            <w:pPr>
              <w:pStyle w:val="Compact"/>
            </w:pPr>
            <w:r>
              <w:t xml:space="preserve">เข้าถึง CHD?</w:t>
            </w:r>
          </w:p>
        </w:tc>
        <w:tc>
          <w:tcPr/>
          <w:p>
            <w:pPr>
              <w:pStyle w:val="Compact"/>
            </w:pPr>
            <w:r>
              <w:t xml:space="preserve">Data Processor (PDPA)?</w:t>
            </w:r>
          </w:p>
        </w:tc>
        <w:tc>
          <w:tcPr/>
          <w:p>
            <w:pPr>
              <w:pStyle w:val="Compact"/>
            </w:pPr>
            <w:r>
              <w:t xml:space="preserve">ในประเทศ/ต่างประเทศ</w:t>
            </w:r>
          </w:p>
        </w:tc>
        <w:tc>
          <w:tcPr/>
          <w:p>
            <w:pPr>
              <w:pStyle w:val="Compact"/>
            </w:pPr>
            <w:r>
              <w:t xml:space="preserve">หลักฐานที่ต้องเก็บ</w:t>
            </w:r>
          </w:p>
        </w:tc>
        <w:tc>
          <w:tcPr/>
          <w:p>
            <w:pPr>
              <w:pStyle w:val="Compact"/>
            </w:pPr>
            <w:r>
              <w:t xml:space="preserve">รอบทบทวน</w:t>
            </w:r>
          </w:p>
        </w:tc>
      </w:tr>
      <w:tr>
        <w:tc>
          <w:tcPr/>
          <w:p>
            <w:pPr>
              <w:pStyle w:val="Compact"/>
            </w:pPr>
            <w:r>
              <w:t xml:space="preserve">1</w:t>
            </w:r>
          </w:p>
        </w:tc>
        <w:tc>
          <w:tcPr/>
          <w:p>
            <w:pPr>
              <w:pStyle w:val="Compact"/>
            </w:pPr>
            <w:r>
              <w:t xml:space="preserve">Sponsor bank / Acquirer / Card switch</w:t>
            </w:r>
          </w:p>
        </w:tc>
        <w:tc>
          <w:tcPr/>
          <w:p>
            <w:pPr>
              <w:pStyle w:val="Compact"/>
            </w:pPr>
            <w:r>
              <w:rPr>
                <w:b/>
                <w:bCs/>
              </w:rPr>
              <w:t xml:space="preserve">TODO — ยังไม่สรุป (ดู callout §12)</w:t>
            </w:r>
          </w:p>
        </w:tc>
        <w:tc>
          <w:tcPr/>
          <w:p>
            <w:pPr>
              <w:pStyle w:val="Compact"/>
            </w:pPr>
            <w:r>
              <w:t xml:space="preserve">1</w:t>
            </w:r>
          </w:p>
        </w:tc>
        <w:tc>
          <w:tcPr/>
          <w:p>
            <w:pPr>
              <w:pStyle w:val="Compact"/>
            </w:pPr>
            <w:r>
              <w:t xml:space="preserve">ทางอ้อม (routing)</w:t>
            </w:r>
          </w:p>
        </w:tc>
        <w:tc>
          <w:tcPr/>
          <w:p>
            <w:pPr>
              <w:pStyle w:val="Compact"/>
            </w:pPr>
            <w:r>
              <w:t xml:space="preserve">ไม่ (controller-to-controller)</w:t>
            </w:r>
          </w:p>
        </w:tc>
        <w:tc>
          <w:tcPr/>
          <w:p>
            <w:pPr>
              <w:pStyle w:val="Compact"/>
            </w:pPr>
            <w:r>
              <w:t xml:space="preserve">ในประเทศ</w:t>
            </w:r>
          </w:p>
        </w:tc>
        <w:tc>
          <w:tcPr/>
          <w:p>
            <w:pPr>
              <w:pStyle w:val="Compact"/>
            </w:pPr>
            <w:r>
              <w:t xml:space="preserve">สัญญา acquiring, scheme cert</w:t>
            </w:r>
          </w:p>
        </w:tc>
        <w:tc>
          <w:tcPr/>
          <w:p>
            <w:pPr>
              <w:pStyle w:val="Compact"/>
            </w:pPr>
            <w:r>
              <w:t xml:space="preserve">12 เดือน</w:t>
            </w:r>
          </w:p>
        </w:tc>
      </w:tr>
      <w:tr>
        <w:tc>
          <w:tcPr/>
          <w:p>
            <w:pPr>
              <w:pStyle w:val="Compact"/>
            </w:pPr>
            <w:r>
              <w:t xml:space="preserve">2</w:t>
            </w:r>
          </w:p>
        </w:tc>
        <w:tc>
          <w:tcPr/>
          <w:p>
            <w:pPr>
              <w:pStyle w:val="Compact"/>
            </w:pPr>
            <w:r>
              <w:t xml:space="preserve">Cloud / IaaS (compute, DB, network)</w:t>
            </w:r>
          </w:p>
        </w:tc>
        <w:tc>
          <w:tcPr/>
          <w:p>
            <w:pPr>
              <w:pStyle w:val="Compact"/>
            </w:pPr>
            <w:r>
              <w:t xml:space="preserve">เช่น AWS/GCP ap-southeast (region ในไทยเมื่อพร้อม) —</w:t>
            </w:r>
            <w:r>
              <w:t xml:space="preserve"> </w:t>
            </w:r>
            <w:r>
              <w:rPr>
                <w:b/>
                <w:bCs/>
              </w:rPr>
              <w:t xml:space="preserve">TODO ยืนยัน data residency</w:t>
            </w:r>
          </w:p>
        </w:tc>
        <w:tc>
          <w:tcPr/>
          <w:p>
            <w:pPr>
              <w:pStyle w:val="Compact"/>
            </w:pPr>
            <w:r>
              <w:t xml:space="preserve">1</w:t>
            </w:r>
          </w:p>
        </w:tc>
        <w:tc>
          <w:tcPr/>
          <w:p>
            <w:pPr>
              <w:pStyle w:val="Compact"/>
            </w:pPr>
            <w:r>
              <w:t xml:space="preserve">มี (host CDE)</w:t>
            </w:r>
          </w:p>
        </w:tc>
        <w:tc>
          <w:tcPr/>
          <w:p>
            <w:pPr>
              <w:pStyle w:val="Compact"/>
            </w:pPr>
            <w:r>
              <w:t xml:space="preserve">ใช่ (sub-processor)</w:t>
            </w:r>
          </w:p>
        </w:tc>
        <w:tc>
          <w:tcPr/>
          <w:p>
            <w:pPr>
              <w:pStyle w:val="Compact"/>
            </w:pPr>
            <w:r>
              <w:rPr>
                <w:b/>
                <w:bCs/>
              </w:rPr>
              <w:t xml:space="preserve">ต้องยืนยันว่าเก็บในไทย</w:t>
            </w:r>
            <w:r>
              <w:t xml:space="preserve"> </w:t>
            </w:r>
            <w:r>
              <w:t xml:space="preserve">(ARCHITECTURE §8)</w:t>
            </w:r>
          </w:p>
        </w:tc>
        <w:tc>
          <w:tcPr/>
          <w:p>
            <w:pPr>
              <w:pStyle w:val="Compact"/>
            </w:pPr>
            <w:r>
              <w:t xml:space="preserve">PCI AoC (SP), SOC 2 Type II, ISO 27001, DPA</w:t>
            </w:r>
          </w:p>
        </w:tc>
        <w:tc>
          <w:tcPr/>
          <w:p>
            <w:pPr>
              <w:pStyle w:val="Compact"/>
            </w:pPr>
            <w:r>
              <w:t xml:space="preserve">12 เดือน</w:t>
            </w:r>
          </w:p>
        </w:tc>
      </w:tr>
      <w:tr>
        <w:tc>
          <w:tcPr/>
          <w:p>
            <w:pPr>
              <w:pStyle w:val="Compact"/>
            </w:pPr>
            <w:r>
              <w:t xml:space="preserve">3</w:t>
            </w:r>
          </w:p>
        </w:tc>
        <w:tc>
          <w:tcPr/>
          <w:p>
            <w:pPr>
              <w:pStyle w:val="Compact"/>
            </w:pPr>
            <w:r>
              <w:t xml:space="preserve">HSM / KMS</w:t>
            </w:r>
          </w:p>
        </w:tc>
        <w:tc>
          <w:tcPr/>
          <w:p>
            <w:pPr>
              <w:pStyle w:val="Compact"/>
            </w:pPr>
            <w:r>
              <w:t xml:space="preserve">เช่น cloud HSM หรือ on-prem PCI-PTS HSM —</w:t>
            </w:r>
            <w:r>
              <w:t xml:space="preserve"> </w:t>
            </w:r>
            <w:r>
              <w:rPr>
                <w:b/>
                <w:bCs/>
              </w:rPr>
              <w:t xml:space="preserve">TODO</w:t>
            </w:r>
          </w:p>
        </w:tc>
        <w:tc>
          <w:tcPr/>
          <w:p>
            <w:pPr>
              <w:pStyle w:val="Compact"/>
            </w:pPr>
            <w:r>
              <w:t xml:space="preserve">1</w:t>
            </w:r>
          </w:p>
        </w:tc>
        <w:tc>
          <w:tcPr/>
          <w:p>
            <w:pPr>
              <w:pStyle w:val="Compact"/>
            </w:pPr>
            <w:r>
              <w:t xml:space="preserve">มี (คีย์เข้ารหัส PAN)</w:t>
            </w:r>
          </w:p>
        </w:tc>
        <w:tc>
          <w:tcPr/>
          <w:p>
            <w:pPr>
              <w:pStyle w:val="Compact"/>
            </w:pPr>
            <w:r>
              <w:t xml:space="preserve">ไม่ (ถือคีย์ ไม่ถือ PII)</w:t>
            </w:r>
          </w:p>
        </w:tc>
        <w:tc>
          <w:tcPr/>
          <w:p>
            <w:pPr>
              <w:pStyle w:val="Compact"/>
            </w:pPr>
            <w:r>
              <w:t xml:space="preserve">ในประเทศ</w:t>
            </w:r>
          </w:p>
        </w:tc>
        <w:tc>
          <w:tcPr/>
          <w:p>
            <w:pPr>
              <w:pStyle w:val="Compact"/>
            </w:pPr>
            <w:r>
              <w:t xml:space="preserve">FIPS 140-2/3 Lvl 3+, PCI AoC</w:t>
            </w:r>
          </w:p>
        </w:tc>
        <w:tc>
          <w:tcPr/>
          <w:p>
            <w:pPr>
              <w:pStyle w:val="Compact"/>
            </w:pPr>
            <w:r>
              <w:t xml:space="preserve">12 เดือน</w:t>
            </w:r>
          </w:p>
        </w:tc>
      </w:tr>
      <w:tr>
        <w:tc>
          <w:tcPr/>
          <w:p>
            <w:pPr>
              <w:pStyle w:val="Compact"/>
            </w:pPr>
            <w:r>
              <w:t xml:space="preserve">4</w:t>
            </w:r>
          </w:p>
        </w:tc>
        <w:tc>
          <w:tcPr/>
          <w:p>
            <w:pPr>
              <w:pStyle w:val="Compact"/>
            </w:pPr>
            <w:r>
              <w:t xml:space="preserve">Tokenization Vault (ถ้าใช้ external)</w:t>
            </w:r>
          </w:p>
        </w:tc>
        <w:tc>
          <w:tcPr/>
          <w:p>
            <w:pPr>
              <w:pStyle w:val="Compact"/>
            </w:pPr>
            <w:r>
              <w:rPr>
                <w:b/>
                <w:bCs/>
              </w:rPr>
              <w:t xml:space="preserve">TODO — ตัดสินใจ build vs buy</w:t>
            </w:r>
            <w:r>
              <w:t xml:space="preserve"> </w:t>
            </w:r>
            <w:r>
              <w:t xml:space="preserve">(ARCHITECTURE §4)</w:t>
            </w:r>
          </w:p>
        </w:tc>
        <w:tc>
          <w:tcPr/>
          <w:p>
            <w:pPr>
              <w:pStyle w:val="Compact"/>
            </w:pPr>
            <w:r>
              <w:t xml:space="preserve">1</w:t>
            </w:r>
          </w:p>
        </w:tc>
        <w:tc>
          <w:tcPr/>
          <w:p>
            <w:pPr>
              <w:pStyle w:val="Compact"/>
            </w:pPr>
            <w:r>
              <w:t xml:space="preserve">มี (PAN)</w:t>
            </w:r>
          </w:p>
        </w:tc>
        <w:tc>
          <w:tcPr/>
          <w:p>
            <w:pPr>
              <w:pStyle w:val="Compact"/>
            </w:pPr>
            <w:r>
              <w:t xml:space="preserve">ใช่</w:t>
            </w:r>
          </w:p>
        </w:tc>
        <w:tc>
          <w:tcPr/>
          <w:p>
            <w:pPr>
              <w:pStyle w:val="Compact"/>
            </w:pPr>
            <w:r>
              <w:t xml:space="preserve">ต้องในไทย</w:t>
            </w:r>
          </w:p>
        </w:tc>
        <w:tc>
          <w:tcPr/>
          <w:p>
            <w:pPr>
              <w:pStyle w:val="Compact"/>
            </w:pPr>
            <w:r>
              <w:t xml:space="preserve">PCI AoC (SP), token scheme</w:t>
            </w:r>
          </w:p>
        </w:tc>
        <w:tc>
          <w:tcPr/>
          <w:p>
            <w:pPr>
              <w:pStyle w:val="Compact"/>
            </w:pPr>
            <w:r>
              <w:t xml:space="preserve">12 เดือน</w:t>
            </w:r>
          </w:p>
        </w:tc>
      </w:tr>
      <w:tr>
        <w:tc>
          <w:tcPr/>
          <w:p>
            <w:pPr>
              <w:pStyle w:val="Compact"/>
            </w:pPr>
            <w:r>
              <w:t xml:space="preserve">5</w:t>
            </w:r>
          </w:p>
        </w:tc>
        <w:tc>
          <w:tcPr/>
          <w:p>
            <w:pPr>
              <w:pStyle w:val="Compact"/>
            </w:pPr>
            <w:r>
              <w:t xml:space="preserve">3-D Secure (ACS/DS/3DS Server)</w:t>
            </w:r>
          </w:p>
        </w:tc>
        <w:tc>
          <w:tcPr/>
          <w:p>
            <w:pPr>
              <w:pStyle w:val="Compact"/>
            </w:pPr>
            <w:r>
              <w:t xml:space="preserve">ผู้ให้บริการ EMV 3DS v2.x —</w:t>
            </w:r>
            <w:r>
              <w:t xml:space="preserve"> </w:t>
            </w:r>
            <w:r>
              <w:rPr>
                <w:b/>
                <w:bCs/>
              </w:rPr>
              <w:t xml:space="preserve">TODO</w:t>
            </w:r>
          </w:p>
        </w:tc>
        <w:tc>
          <w:tcPr/>
          <w:p>
            <w:pPr>
              <w:pStyle w:val="Compact"/>
            </w:pPr>
            <w:r>
              <w:t xml:space="preserve">1</w:t>
            </w:r>
          </w:p>
        </w:tc>
        <w:tc>
          <w:tcPr/>
          <w:p>
            <w:pPr>
              <w:pStyle w:val="Compact"/>
            </w:pPr>
            <w:r>
              <w:t xml:space="preserve">authentication data</w:t>
            </w:r>
          </w:p>
        </w:tc>
        <w:tc>
          <w:tcPr/>
          <w:p>
            <w:pPr>
              <w:pStyle w:val="Compact"/>
            </w:pPr>
            <w:r>
              <w:t xml:space="preserve">ใช่</w:t>
            </w:r>
          </w:p>
        </w:tc>
        <w:tc>
          <w:tcPr/>
          <w:p>
            <w:pPr>
              <w:pStyle w:val="Compact"/>
            </w:pPr>
            <w:r>
              <w:t xml:space="preserve">ต้องยืนยัน</w:t>
            </w:r>
          </w:p>
        </w:tc>
        <w:tc>
          <w:tcPr/>
          <w:p>
            <w:pPr>
              <w:pStyle w:val="Compact"/>
            </w:pPr>
            <w:r>
              <w:t xml:space="preserve">EMVCo approval, PCI 3DS SDK/Core AoC</w:t>
            </w:r>
          </w:p>
        </w:tc>
        <w:tc>
          <w:tcPr/>
          <w:p>
            <w:pPr>
              <w:pStyle w:val="Compact"/>
            </w:pPr>
            <w:r>
              <w:t xml:space="preserve">12 เดือน</w:t>
            </w:r>
          </w:p>
        </w:tc>
      </w:tr>
      <w:tr>
        <w:tc>
          <w:tcPr/>
          <w:p>
            <w:pPr>
              <w:pStyle w:val="Compact"/>
            </w:pPr>
            <w:r>
              <w:t xml:space="preserve">6</w:t>
            </w:r>
          </w:p>
        </w:tc>
        <w:tc>
          <w:tcPr/>
          <w:p>
            <w:pPr>
              <w:pStyle w:val="Compact"/>
            </w:pPr>
            <w:r>
              <w:t xml:space="preserve">KYC / CDD / e-KYC + Sanction screening</w:t>
            </w:r>
          </w:p>
        </w:tc>
        <w:tc>
          <w:tcPr/>
          <w:p>
            <w:pPr>
              <w:pStyle w:val="Compact"/>
            </w:pPr>
            <w:r>
              <w:t xml:space="preserve">ผู้ให้บริการ screening (เทียบ UN/OFAC/ปปง.) —</w:t>
            </w:r>
            <w:r>
              <w:t xml:space="preserve"> </w:t>
            </w:r>
            <w:r>
              <w:rPr>
                <w:b/>
                <w:bCs/>
              </w:rPr>
              <w:t xml:space="preserve">TODO</w:t>
            </w:r>
          </w:p>
        </w:tc>
        <w:tc>
          <w:tcPr/>
          <w:p>
            <w:pPr>
              <w:pStyle w:val="Compact"/>
            </w:pPr>
            <w:r>
              <w:t xml:space="preserve">1</w:t>
            </w:r>
          </w:p>
        </w:tc>
        <w:tc>
          <w:tcPr/>
          <w:p>
            <w:pPr>
              <w:pStyle w:val="Compact"/>
            </w:pPr>
            <w:r>
              <w:t xml:space="preserve">PII (identity)</w:t>
            </w:r>
          </w:p>
        </w:tc>
        <w:tc>
          <w:tcPr/>
          <w:p>
            <w:pPr>
              <w:pStyle w:val="Compact"/>
            </w:pPr>
            <w:r>
              <w:t xml:space="preserve">ใช่</w:t>
            </w:r>
          </w:p>
        </w:tc>
        <w:tc>
          <w:tcPr/>
          <w:p>
            <w:pPr>
              <w:pStyle w:val="Compact"/>
            </w:pPr>
            <w:r>
              <w:t xml:space="preserve">ต้องยืนยัน</w:t>
            </w:r>
          </w:p>
        </w:tc>
        <w:tc>
          <w:tcPr/>
          <w:p>
            <w:pPr>
              <w:pStyle w:val="Compact"/>
            </w:pPr>
            <w:r>
              <w:t xml:space="preserve">DPA, ISO 27001, list coverage</w:t>
            </w:r>
          </w:p>
        </w:tc>
        <w:tc>
          <w:tcPr/>
          <w:p>
            <w:pPr>
              <w:pStyle w:val="Compact"/>
            </w:pPr>
            <w:r>
              <w:t xml:space="preserve">12 เดือน</w:t>
            </w:r>
          </w:p>
        </w:tc>
      </w:tr>
      <w:tr>
        <w:tc>
          <w:tcPr/>
          <w:p>
            <w:pPr>
              <w:pStyle w:val="Compact"/>
            </w:pPr>
            <w:r>
              <w:t xml:space="preserve">7</w:t>
            </w:r>
          </w:p>
        </w:tc>
        <w:tc>
          <w:tcPr/>
          <w:p>
            <w:pPr>
              <w:pStyle w:val="Compact"/>
            </w:pPr>
            <w:r>
              <w:t xml:space="preserve">QSA (PCI audit) + ASV (scan) + Pentest</w:t>
            </w:r>
          </w:p>
        </w:tc>
        <w:tc>
          <w:tcPr/>
          <w:p>
            <w:pPr>
              <w:pStyle w:val="Compact"/>
            </w:pPr>
            <w:r>
              <w:rPr>
                <w:b/>
                <w:bCs/>
              </w:rPr>
              <w:t xml:space="preserve">TODO — ยังไม่จ้าง (ดู</w:t>
            </w:r>
            <w:r>
              <w:rPr>
                <w:b/>
                <w:bCs/>
              </w:rPr>
              <w:t xml:space="preserve"> </w:t>
            </w:r>
            <w:r>
              <w:rPr>
                <w:rStyle w:val="VerbatimChar"/>
                <w:b/>
                <w:bCs/>
              </w:rPr>
              <w:t xml:space="preserve">23-qsa-asv-pentest-plan.md</w:t>
            </w:r>
            <w:r>
              <w:rPr>
                <w:b/>
                <w:bCs/>
              </w:rPr>
              <w:t xml:space="preserve">)</w:t>
            </w:r>
          </w:p>
        </w:tc>
        <w:tc>
          <w:tcPr/>
          <w:p>
            <w:pPr>
              <w:pStyle w:val="Compact"/>
            </w:pPr>
            <w:r>
              <w:t xml:space="preserve">1/2</w:t>
            </w:r>
          </w:p>
        </w:tc>
        <w:tc>
          <w:tcPr/>
          <w:p>
            <w:pPr>
              <w:pStyle w:val="Compact"/>
            </w:pPr>
            <w:r>
              <w:t xml:space="preserve">อาจเห็น scope</w:t>
            </w:r>
          </w:p>
        </w:tc>
        <w:tc>
          <w:tcPr/>
          <w:p>
            <w:pPr>
              <w:pStyle w:val="Compact"/>
            </w:pPr>
            <w:r>
              <w:t xml:space="preserve">จำกัด (ภายใต้ NDA)</w:t>
            </w:r>
          </w:p>
        </w:tc>
        <w:tc>
          <w:tcPr/>
          <w:p>
            <w:pPr>
              <w:pStyle w:val="Compact"/>
            </w:pPr>
            <w:r>
              <w:t xml:space="preserve">—</w:t>
            </w:r>
          </w:p>
        </w:tc>
        <w:tc>
          <w:tcPr/>
          <w:p>
            <w:pPr>
              <w:pStyle w:val="Compact"/>
            </w:pPr>
            <w:r>
              <w:t xml:space="preserve">PCI SSC listing (QSA/ASV)</w:t>
            </w:r>
          </w:p>
        </w:tc>
        <w:tc>
          <w:tcPr/>
          <w:p>
            <w:pPr>
              <w:pStyle w:val="Compact"/>
            </w:pPr>
            <w:r>
              <w:t xml:space="preserve">ต่อ engagement</w:t>
            </w:r>
          </w:p>
        </w:tc>
      </w:tr>
      <w:tr>
        <w:tc>
          <w:tcPr/>
          <w:p>
            <w:pPr>
              <w:pStyle w:val="Compact"/>
            </w:pPr>
            <w:r>
              <w:t xml:space="preserve">8</w:t>
            </w:r>
          </w:p>
        </w:tc>
        <w:tc>
          <w:tcPr/>
          <w:p>
            <w:pPr>
              <w:pStyle w:val="Compact"/>
            </w:pPr>
            <w:r>
              <w:t xml:space="preserve">SIEM / Log management / Monitoring</w:t>
            </w:r>
          </w:p>
        </w:tc>
        <w:tc>
          <w:tcPr/>
          <w:p>
            <w:pPr>
              <w:pStyle w:val="Compact"/>
            </w:pPr>
            <w:r>
              <w:t xml:space="preserve">SaaS observability (Prometheus/OTel sink, log store)</w:t>
            </w:r>
          </w:p>
        </w:tc>
        <w:tc>
          <w:tcPr/>
          <w:p>
            <w:pPr>
              <w:pStyle w:val="Compact"/>
            </w:pPr>
            <w:r>
              <w:t xml:space="preserve">2</w:t>
            </w:r>
          </w:p>
        </w:tc>
        <w:tc>
          <w:tcPr/>
          <w:p>
            <w:pPr>
              <w:pStyle w:val="Compact"/>
            </w:pPr>
            <w:r>
              <w:t xml:space="preserve">ไม่ควรมี CHD (masking)</w:t>
            </w:r>
          </w:p>
        </w:tc>
        <w:tc>
          <w:tcPr/>
          <w:p>
            <w:pPr>
              <w:pStyle w:val="Compact"/>
            </w:pPr>
            <w:r>
              <w:t xml:space="preserve">ใช่ (log อาจมี PII)</w:t>
            </w:r>
          </w:p>
        </w:tc>
        <w:tc>
          <w:tcPr/>
          <w:p>
            <w:pPr>
              <w:pStyle w:val="Compact"/>
            </w:pPr>
            <w:r>
              <w:t xml:space="preserve">ต้องยืนยัน</w:t>
            </w:r>
          </w:p>
        </w:tc>
        <w:tc>
          <w:tcPr/>
          <w:p>
            <w:pPr>
              <w:pStyle w:val="Compact"/>
            </w:pPr>
            <w:r>
              <w:t xml:space="preserve">SOC 2, DPA, log masking config</w:t>
            </w:r>
          </w:p>
        </w:tc>
        <w:tc>
          <w:tcPr/>
          <w:p>
            <w:pPr>
              <w:pStyle w:val="Compact"/>
            </w:pPr>
            <w:r>
              <w:t xml:space="preserve">12–24 เดือน</w:t>
            </w:r>
          </w:p>
        </w:tc>
      </w:tr>
      <w:tr>
        <w:tc>
          <w:tcPr/>
          <w:p>
            <w:pPr>
              <w:pStyle w:val="Compact"/>
            </w:pPr>
            <w:r>
              <w:t xml:space="preserve">9</w:t>
            </w:r>
          </w:p>
        </w:tc>
        <w:tc>
          <w:tcPr/>
          <w:p>
            <w:pPr>
              <w:pStyle w:val="Compact"/>
            </w:pPr>
            <w:r>
              <w:t xml:space="preserve">Notification (email/SMS/LINE)</w:t>
            </w:r>
          </w:p>
        </w:tc>
        <w:tc>
          <w:tcPr/>
          <w:p>
            <w:pPr>
              <w:pStyle w:val="Compact"/>
            </w:pPr>
            <w:r>
              <w:t xml:space="preserve">ผู้ให้บริการส่งข้อความ merchant/ลูกค้า</w:t>
            </w:r>
          </w:p>
        </w:tc>
        <w:tc>
          <w:tcPr/>
          <w:p>
            <w:pPr>
              <w:pStyle w:val="Compact"/>
            </w:pPr>
            <w:r>
              <w:t xml:space="preserve">2</w:t>
            </w:r>
          </w:p>
        </w:tc>
        <w:tc>
          <w:tcPr/>
          <w:p>
            <w:pPr>
              <w:pStyle w:val="Compact"/>
            </w:pPr>
            <w:r>
              <w:t xml:space="preserve">ไม่</w:t>
            </w:r>
          </w:p>
        </w:tc>
        <w:tc>
          <w:tcPr/>
          <w:p>
            <w:pPr>
              <w:pStyle w:val="Compact"/>
            </w:pPr>
            <w:r>
              <w:t xml:space="preserve">ใช่</w:t>
            </w:r>
          </w:p>
        </w:tc>
        <w:tc>
          <w:tcPr/>
          <w:p>
            <w:pPr>
              <w:pStyle w:val="Compact"/>
            </w:pPr>
            <w:r>
              <w:t xml:space="preserve">ต้องยืนยัน</w:t>
            </w:r>
          </w:p>
        </w:tc>
        <w:tc>
          <w:tcPr/>
          <w:p>
            <w:pPr>
              <w:pStyle w:val="Compact"/>
            </w:pPr>
            <w:r>
              <w:t xml:space="preserve">DPA</w:t>
            </w:r>
          </w:p>
        </w:tc>
        <w:tc>
          <w:tcPr/>
          <w:p>
            <w:pPr>
              <w:pStyle w:val="Compact"/>
            </w:pPr>
            <w:r>
              <w:t xml:space="preserve">24 เดือน</w:t>
            </w:r>
          </w:p>
        </w:tc>
      </w:tr>
      <w:tr>
        <w:tc>
          <w:tcPr/>
          <w:p>
            <w:pPr>
              <w:pStyle w:val="Compact"/>
            </w:pPr>
            <w:r>
              <w:t xml:space="preserve">10</w:t>
            </w:r>
          </w:p>
        </w:tc>
        <w:tc>
          <w:tcPr/>
          <w:p>
            <w:pPr>
              <w:pStyle w:val="Compact"/>
            </w:pPr>
            <w:r>
              <w:t xml:space="preserve">WAF / DDoS / CDN</w:t>
            </w:r>
          </w:p>
        </w:tc>
        <w:tc>
          <w:tcPr/>
          <w:p>
            <w:pPr>
              <w:pStyle w:val="Compact"/>
            </w:pPr>
            <w:r>
              <w:t xml:space="preserve">ผู้ให้บริการ edge security</w:t>
            </w:r>
          </w:p>
        </w:tc>
        <w:tc>
          <w:tcPr/>
          <w:p>
            <w:pPr>
              <w:pStyle w:val="Compact"/>
            </w:pPr>
            <w:r>
              <w:t xml:space="preserve">2</w:t>
            </w:r>
          </w:p>
        </w:tc>
        <w:tc>
          <w:tcPr/>
          <w:p>
            <w:pPr>
              <w:pStyle w:val="Compact"/>
            </w:pPr>
            <w:r>
              <w:t xml:space="preserve">TLS termination? (ต้องเลี่ยง)</w:t>
            </w:r>
          </w:p>
        </w:tc>
        <w:tc>
          <w:tcPr/>
          <w:p>
            <w:pPr>
              <w:pStyle w:val="Compact"/>
            </w:pPr>
            <w:r>
              <w:t xml:space="preserve">จำกัด</w:t>
            </w:r>
          </w:p>
        </w:tc>
        <w:tc>
          <w:tcPr/>
          <w:p>
            <w:pPr>
              <w:pStyle w:val="Compact"/>
            </w:pPr>
            <w:r>
              <w:t xml:space="preserve">ต้องยืนยัน</w:t>
            </w:r>
          </w:p>
        </w:tc>
        <w:tc>
          <w:tcPr/>
          <w:p>
            <w:pPr>
              <w:pStyle w:val="Compact"/>
            </w:pPr>
            <w:r>
              <w:t xml:space="preserve">SOC 2, PCI AoC ถ้า terminate TLS</w:t>
            </w:r>
          </w:p>
        </w:tc>
        <w:tc>
          <w:tcPr/>
          <w:p>
            <w:pPr>
              <w:pStyle w:val="Compact"/>
            </w:pPr>
            <w:r>
              <w:t xml:space="preserve">12 เดือน</w:t>
            </w:r>
          </w:p>
        </w:tc>
      </w:tr>
    </w:tbl>
    <w:p>
      <w:pPr>
        <w:pStyle w:val="BlockText"/>
      </w:pPr>
      <w:r>
        <w:rPr>
          <w:b/>
          <w:bCs/>
        </w:rPr>
        <w:t xml:space="preserve">TODO (ระบุจริงก่อนยื่น):</w:t>
      </w:r>
      <w:r>
        <w:t xml:space="preserve"> </w:t>
      </w:r>
      <w:r>
        <w:t xml:space="preserve">ต้องเติมชื่อผู้ให้บริการจริง, เลขที่สัญญา, วันหมดอายุ PCI AoC, DPO contact ของผู้ให้บริการ</w:t>
      </w:r>
      <w:r>
        <w:t xml:space="preserve"> </w:t>
      </w:r>
      <w:r>
        <w:t xml:space="preserve">และ concentration flag (ผู้ให้บริการรายเดียวรองรับหลายฟังก์ชัน) — ดู callout §12</w:t>
      </w:r>
    </w:p>
    <w:p>
      <w:r>
        <w:pict>
          <v:rect style="width:0;height:1.5pt" o:hralign="center" o:hrstd="t" o:hr="t"/>
        </w:pict>
      </w:r>
    </w:p>
    <w:bookmarkEnd w:id="1074"/>
    <w:bookmarkStart w:id="1075" w:name="X7fbad8bd1f4dfa634b93468935032e0bc95a1f9"/>
    <w:p>
      <w:pPr>
        <w:pStyle w:val="Heading2"/>
      </w:pPr>
      <w:r>
        <w:t xml:space="preserve">5. กระบวนการก่อนผูกพัน (Pre-engagement Due Diligence)</w:t>
      </w:r>
    </w:p>
    <w:p>
      <w:pPr>
        <w:pStyle w:val="FirstParagraph"/>
      </w:pPr>
      <w:r>
        <w:t xml:space="preserve">การใช้ผู้ให้บริการ</w:t>
      </w:r>
      <w:r>
        <w:t xml:space="preserve"> </w:t>
      </w:r>
      <w:r>
        <w:rPr>
          <w:b/>
          <w:bCs/>
        </w:rPr>
        <w:t xml:space="preserve">Tier 1/Tier 2 ทุกราย</w:t>
      </w:r>
      <w:r>
        <w:t xml:space="preserve"> </w:t>
      </w:r>
      <w:r>
        <w:t xml:space="preserve">ต้องผ่าน due diligence ก่อนลงนาม โดยรวบรวมและประเมิน:</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t xml:space="preserve">ด้าน</w:t>
            </w:r>
          </w:p>
        </w:tc>
        <w:tc>
          <w:tcPr/>
          <w:p>
            <w:pPr>
              <w:pStyle w:val="Compact"/>
            </w:pPr>
            <w:r>
              <w:t xml:space="preserve">สิ่งที่ตรวจ</w:t>
            </w:r>
          </w:p>
        </w:tc>
        <w:tc>
          <w:tcPr/>
          <w:p>
            <w:pPr>
              <w:pStyle w:val="Compact"/>
            </w:pPr>
            <w:r>
              <w:t xml:space="preserve">หลักฐาน</w:t>
            </w:r>
          </w:p>
        </w:tc>
      </w:tr>
      <w:tr>
        <w:tc>
          <w:tcPr/>
          <w:p>
            <w:pPr>
              <w:pStyle w:val="Compact"/>
            </w:pPr>
            <w:r>
              <w:t xml:space="preserve">ฐานะการเงิน</w:t>
            </w:r>
          </w:p>
        </w:tc>
        <w:tc>
          <w:tcPr/>
          <w:p>
            <w:pPr>
              <w:pStyle w:val="Compact"/>
            </w:pPr>
            <w:r>
              <w:t xml:space="preserve">ความมั่นคง, ความสามารถให้บริการต่อเนื่อง</w:t>
            </w:r>
          </w:p>
        </w:tc>
        <w:tc>
          <w:tcPr/>
          <w:p>
            <w:pPr>
              <w:pStyle w:val="Compact"/>
            </w:pPr>
            <w:r>
              <w:t xml:space="preserve">งบการเงิน, credit check</w:t>
            </w:r>
          </w:p>
        </w:tc>
      </w:tr>
      <w:tr>
        <w:tc>
          <w:tcPr/>
          <w:p>
            <w:pPr>
              <w:pStyle w:val="Compact"/>
            </w:pPr>
            <w:r>
              <w:t xml:space="preserve">ความปลอดภัย/PCI</w:t>
            </w:r>
          </w:p>
        </w:tc>
        <w:tc>
          <w:tcPr/>
          <w:p>
            <w:pPr>
              <w:pStyle w:val="Compact"/>
            </w:pPr>
            <w:r>
              <w:t xml:space="preserve">สถานะ PCI ปัจจุบัน, scope, ข้อยกเว้น</w:t>
            </w:r>
          </w:p>
        </w:tc>
        <w:tc>
          <w:tcPr/>
          <w:p>
            <w:pPr>
              <w:pStyle w:val="Compact"/>
            </w:pPr>
            <w:r>
              <w:rPr>
                <w:b/>
                <w:bCs/>
              </w:rPr>
              <w:t xml:space="preserve">PCI AoC/RoC</w:t>
            </w:r>
            <w:r>
              <w:t xml:space="preserve">, SOC 2 Type II, ISO 27001</w:t>
            </w:r>
          </w:p>
        </w:tc>
      </w:tr>
      <w:tr>
        <w:tc>
          <w:tcPr/>
          <w:p>
            <w:pPr>
              <w:pStyle w:val="Compact"/>
            </w:pPr>
            <w:r>
              <w:t xml:space="preserve">PDPA</w:t>
            </w:r>
          </w:p>
        </w:tc>
        <w:tc>
          <w:tcPr/>
          <w:p>
            <w:pPr>
              <w:pStyle w:val="Compact"/>
            </w:pPr>
            <w:r>
              <w:t xml:space="preserve">เป็น Data Processor?, มาตรการคุ้มครองข้อมูล, การโอนข้ามพรมแดน</w:t>
            </w:r>
          </w:p>
        </w:tc>
        <w:tc>
          <w:tcPr/>
          <w:p>
            <w:pPr>
              <w:pStyle w:val="Compact"/>
            </w:pPr>
            <w:r>
              <w:t xml:space="preserve">DPA readiness, บันทึกกิจกรรมประมวลผล</w:t>
            </w:r>
          </w:p>
        </w:tc>
      </w:tr>
      <w:tr>
        <w:tc>
          <w:tcPr/>
          <w:p>
            <w:pPr>
              <w:pStyle w:val="Compact"/>
            </w:pPr>
            <w:r>
              <w:t xml:space="preserve">ความต่อเนื่อง (BCP/DR)</w:t>
            </w:r>
          </w:p>
        </w:tc>
        <w:tc>
          <w:tcPr/>
          <w:p>
            <w:pPr>
              <w:pStyle w:val="Compact"/>
            </w:pPr>
            <w:r>
              <w:t xml:space="preserve">RTO/RPO ของผู้ให้บริการ vs ของเรา, ผลทดสอบ DR</w:t>
            </w:r>
          </w:p>
        </w:tc>
        <w:tc>
          <w:tcPr/>
          <w:p>
            <w:pPr>
              <w:pStyle w:val="Compact"/>
            </w:pPr>
            <w:r>
              <w:t xml:space="preserve">BCP/DR summary, ผล DR test ล่าสุด</w:t>
            </w:r>
          </w:p>
        </w:tc>
      </w:tr>
      <w:tr>
        <w:tc>
          <w:tcPr/>
          <w:p>
            <w:pPr>
              <w:pStyle w:val="Compact"/>
            </w:pPr>
            <w:r>
              <w:t xml:space="preserve">AML/reputation</w:t>
            </w:r>
          </w:p>
        </w:tc>
        <w:tc>
          <w:tcPr/>
          <w:p>
            <w:pPr>
              <w:pStyle w:val="Compact"/>
            </w:pPr>
            <w:r>
              <w:t xml:space="preserve">sanction screening ตัวผู้ให้บริการ/UBO, ข่าวเชิงลบ</w:t>
            </w:r>
          </w:p>
        </w:tc>
        <w:tc>
          <w:tcPr/>
          <w:p>
            <w:pPr>
              <w:pStyle w:val="Compact"/>
            </w:pPr>
            <w:r>
              <w:t xml:space="preserve">ผล screening, adverse media</w:t>
            </w:r>
          </w:p>
        </w:tc>
      </w:tr>
      <w:tr>
        <w:tc>
          <w:tcPr/>
          <w:p>
            <w:pPr>
              <w:pStyle w:val="Compact"/>
            </w:pPr>
            <w:r>
              <w:t xml:space="preserve">Sub-outsourcing</w:t>
            </w:r>
          </w:p>
        </w:tc>
        <w:tc>
          <w:tcPr/>
          <w:p>
            <w:pPr>
              <w:pStyle w:val="Compact"/>
            </w:pPr>
            <w:r>
              <w:t xml:space="preserve">ผู้ให้บริการช่วง (4th party) และการควบคุม</w:t>
            </w:r>
          </w:p>
        </w:tc>
        <w:tc>
          <w:tcPr/>
          <w:p>
            <w:pPr>
              <w:pStyle w:val="Compact"/>
            </w:pPr>
            <w:r>
              <w:t xml:space="preserve">รายการ sub-processor</w:t>
            </w:r>
          </w:p>
        </w:tc>
      </w:tr>
      <w:tr>
        <w:tc>
          <w:tcPr/>
          <w:p>
            <w:pPr>
              <w:pStyle w:val="Compact"/>
            </w:pPr>
            <w:r>
              <w:t xml:space="preserve">Concentration</w:t>
            </w:r>
          </w:p>
        </w:tc>
        <w:tc>
          <w:tcPr/>
          <w:p>
            <w:pPr>
              <w:pStyle w:val="Compact"/>
            </w:pPr>
            <w:r>
              <w:t xml:space="preserve">ซ้ำกับผู้ให้บริการเดิมหรือไม่ (single point of failure)</w:t>
            </w:r>
          </w:p>
        </w:tc>
        <w:tc>
          <w:tcPr/>
          <w:p>
            <w:pPr>
              <w:pStyle w:val="Compact"/>
            </w:pPr>
            <w:r>
              <w:t xml:space="preserve">mapping ภายใน</w:t>
            </w:r>
          </w:p>
        </w:tc>
      </w:tr>
    </w:tbl>
    <w:p>
      <w:pPr>
        <w:pStyle w:val="BodyText"/>
      </w:pPr>
      <w:r>
        <w:rPr>
          <w:b/>
          <w:bCs/>
        </w:rPr>
        <w:t xml:space="preserve">ผลลัพธ์:</w:t>
      </w:r>
      <w:r>
        <w:t xml:space="preserve"> </w:t>
      </w:r>
      <w:r>
        <w:t xml:space="preserve">สรุปเป็น</w:t>
      </w:r>
      <w:r>
        <w:t xml:space="preserve"> </w:t>
      </w:r>
      <w:r>
        <w:rPr>
          <w:b/>
          <w:bCs/>
        </w:rPr>
        <w:t xml:space="preserve">Vendor Risk Assessment Report</w:t>
      </w:r>
      <w:r>
        <w:t xml:space="preserve"> </w:t>
      </w:r>
      <w:r>
        <w:t xml:space="preserve">ให้คะแนนความเสี่ยง (ข้อ 6) และเสนอผู้อนุมัติตาม Tier</w:t>
      </w:r>
      <w:r>
        <w:t xml:space="preserve"> </w:t>
      </w:r>
      <w:r>
        <w:t xml:space="preserve">Tier 1 ต้องอนุมัติโดย</w:t>
      </w:r>
      <w:r>
        <w:t xml:space="preserve"> </w:t>
      </w:r>
      <w:r>
        <w:rPr>
          <w:b/>
          <w:bCs/>
        </w:rPr>
        <w:t xml:space="preserve">ORC</w:t>
      </w:r>
      <w:r>
        <w:t xml:space="preserve"> </w:t>
      </w:r>
      <w:r>
        <w:t xml:space="preserve">ก่อนลงนามสัญญา</w:t>
      </w:r>
    </w:p>
    <w:p>
      <w:r>
        <w:pict>
          <v:rect style="width:0;height:1.5pt" o:hralign="center" o:hrstd="t" o:hr="t"/>
        </w:pict>
      </w:r>
    </w:p>
    <w:bookmarkEnd w:id="1075"/>
    <w:bookmarkStart w:id="1076" w:name="การใหคะแนนความเสยง-vendor-risk-scoring"/>
    <w:p>
      <w:pPr>
        <w:pStyle w:val="Heading2"/>
      </w:pPr>
      <w:r>
        <w:t xml:space="preserve">6. การให้คะแนนความเสี่ยง (Vendor Risk Scoring)</w:t>
      </w:r>
    </w:p>
    <w:p>
      <w:pPr>
        <w:pStyle w:val="FirstParagraph"/>
      </w:pPr>
      <w:r>
        <w:t xml:space="preserve">ให้คะแนน 6 มิติ มิติละ 1 (ต่ำ) ถึง 5 (สูง) แล้วถ่วงน้ำหนัก: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มิติ</w:t>
            </w:r>
          </w:p>
        </w:tc>
        <w:tc>
          <w:tcPr/>
          <w:p>
            <w:pPr>
              <w:pStyle w:val="Compact"/>
            </w:pPr>
            <w:r>
              <w:t xml:space="preserve">น้ำหนัก</w:t>
            </w:r>
          </w:p>
        </w:tc>
      </w:tr>
      <w:tr>
        <w:tc>
          <w:tcPr/>
          <w:p>
            <w:pPr>
              <w:pStyle w:val="Compact"/>
            </w:pPr>
            <w:r>
              <w:t xml:space="preserve">Data sensitivity (CHD/PII ที่แตะ)</w:t>
            </w:r>
          </w:p>
        </w:tc>
        <w:tc>
          <w:tcPr/>
          <w:p>
            <w:pPr>
              <w:pStyle w:val="Compact"/>
            </w:pPr>
            <w:r>
              <w:t xml:space="preserve">30%</w:t>
            </w:r>
          </w:p>
        </w:tc>
      </w:tr>
      <w:tr>
        <w:tc>
          <w:tcPr/>
          <w:p>
            <w:pPr>
              <w:pStyle w:val="Compact"/>
            </w:pPr>
            <w:r>
              <w:t xml:space="preserve">Security posture (PCI/SOC2/gap)</w:t>
            </w:r>
          </w:p>
        </w:tc>
        <w:tc>
          <w:tcPr/>
          <w:p>
            <w:pPr>
              <w:pStyle w:val="Compact"/>
            </w:pPr>
            <w:r>
              <w:t xml:space="preserve">25%</w:t>
            </w:r>
          </w:p>
        </w:tc>
      </w:tr>
      <w:tr>
        <w:tc>
          <w:tcPr/>
          <w:p>
            <w:pPr>
              <w:pStyle w:val="Compact"/>
            </w:pPr>
            <w:r>
              <w:t xml:space="preserve">Operational criticality (impact ถ้าล่ม)</w:t>
            </w:r>
          </w:p>
        </w:tc>
        <w:tc>
          <w:tcPr/>
          <w:p>
            <w:pPr>
              <w:pStyle w:val="Compact"/>
            </w:pPr>
            <w:r>
              <w:t xml:space="preserve">20%</w:t>
            </w:r>
          </w:p>
        </w:tc>
      </w:tr>
      <w:tr>
        <w:tc>
          <w:tcPr/>
          <w:p>
            <w:pPr>
              <w:pStyle w:val="Compact"/>
            </w:pPr>
            <w:r>
              <w:t xml:space="preserve">Compliance/PDPA/AML</w:t>
            </w:r>
          </w:p>
        </w:tc>
        <w:tc>
          <w:tcPr/>
          <w:p>
            <w:pPr>
              <w:pStyle w:val="Compact"/>
            </w:pPr>
            <w:r>
              <w:t xml:space="preserve">10%</w:t>
            </w:r>
          </w:p>
        </w:tc>
      </w:tr>
      <w:tr>
        <w:tc>
          <w:tcPr/>
          <w:p>
            <w:pPr>
              <w:pStyle w:val="Compact"/>
            </w:pPr>
            <w:r>
              <w:t xml:space="preserve">Financial stability</w:t>
            </w:r>
          </w:p>
        </w:tc>
        <w:tc>
          <w:tcPr/>
          <w:p>
            <w:pPr>
              <w:pStyle w:val="Compact"/>
            </w:pPr>
            <w:r>
              <w:t xml:space="preserve">10%</w:t>
            </w:r>
          </w:p>
        </w:tc>
      </w:tr>
      <w:tr>
        <w:tc>
          <w:tcPr/>
          <w:p>
            <w:pPr>
              <w:pStyle w:val="Compact"/>
            </w:pPr>
            <w:r>
              <w:t xml:space="preserve">Concentration / sub-outsourcing</w:t>
            </w:r>
          </w:p>
        </w:tc>
        <w:tc>
          <w:tcPr/>
          <w:p>
            <w:pPr>
              <w:pStyle w:val="Compact"/>
            </w:pPr>
            <w:r>
              <w:t xml:space="preserve">5%</w:t>
            </w:r>
          </w:p>
        </w:tc>
      </w:tr>
    </w:tbl>
    <w:p>
      <w:pPr>
        <w:pStyle w:val="BodyText"/>
      </w:pPr>
      <w:r>
        <w:rPr>
          <w:b/>
          <w:bCs/>
        </w:rPr>
        <w:t xml:space="preserve">Residual score → Rating:</w:t>
      </w:r>
      <w:r>
        <w:t xml:space="preserve"> </w:t>
      </w:r>
      <w:r>
        <w:t xml:space="preserve">1.0–2.0 Low · 2.1–3.5 Medium · 3.6–5.0 High</w:t>
      </w:r>
      <w:r>
        <w:t xml:space="preserve"> </w:t>
      </w:r>
      <w:r>
        <w:t xml:space="preserve">ผู้ให้บริการ</w:t>
      </w:r>
      <w:r>
        <w:t xml:space="preserve"> </w:t>
      </w:r>
      <w:r>
        <w:rPr>
          <w:b/>
          <w:bCs/>
        </w:rPr>
        <w:t xml:space="preserve">High</w:t>
      </w:r>
      <w:r>
        <w:t xml:space="preserve"> </w:t>
      </w:r>
      <w:r>
        <w:t xml:space="preserve">ต้องมีแผนลดความเสี่ยง (mitigation) + อนุมัติ ORC + ทบทวนถี่ขึ้น (ทุก 6 เดือน)</w:t>
      </w:r>
    </w:p>
    <w:p>
      <w:r>
        <w:pict>
          <v:rect style="width:0;height:1.5pt" o:hralign="center" o:hrstd="t" o:hr="t"/>
        </w:pict>
      </w:r>
    </w:p>
    <w:bookmarkEnd w:id="1076"/>
    <w:bookmarkStart w:id="1079" w:name="Xe660c60febbbf05cec29db022623cedd761374b"/>
    <w:p>
      <w:pPr>
        <w:pStyle w:val="Heading2"/>
      </w:pPr>
      <w:r>
        <w:t xml:space="preserve">7. ข้อสัญญาบังคับ (Mandatory Contract Clauses — SLA / Audit-Rights / Exit)</w:t>
      </w:r>
    </w:p>
    <w:p>
      <w:pPr>
        <w:pStyle w:val="FirstParagraph"/>
      </w:pPr>
      <w:r>
        <w:t xml:space="preserve">ทุกสัญญา</w:t>
      </w:r>
      <w:r>
        <w:t xml:space="preserve"> </w:t>
      </w:r>
      <w:r>
        <w:rPr>
          <w:b/>
          <w:bCs/>
        </w:rPr>
        <w:t xml:space="preserve">Tier 1</w:t>
      </w:r>
      <w:r>
        <w:t xml:space="preserve"> </w:t>
      </w:r>
      <w:r>
        <w:t xml:space="preserve">ต้องมีข้อสัญญาต่อไปนี้ (Tier 2 ปรับตามความเหมาะสม):</w:t>
      </w:r>
    </w:p>
    <w:p>
      <w:pPr>
        <w:pStyle w:val="Compact"/>
        <w:numPr>
          <w:ilvl w:val="0"/>
          <w:numId w:val="1391"/>
        </w:numPr>
      </w:pPr>
      <w:r>
        <w:rPr>
          <w:b/>
          <w:bCs/>
        </w:rPr>
        <w:t xml:space="preserve">ขอบเขตบริการ &amp; SLA</w:t>
      </w:r>
      <w:r>
        <w:t xml:space="preserve"> </w:t>
      </w:r>
      <w:r>
        <w:t xml:space="preserve">— availability, response/resolution time, capacity, ระบุ metric วัดผลได้ (ตาราง §7.1)</w:t>
      </w:r>
    </w:p>
    <w:p>
      <w:pPr>
        <w:pStyle w:val="Compact"/>
        <w:numPr>
          <w:ilvl w:val="0"/>
          <w:numId w:val="1391"/>
        </w:numPr>
      </w:pPr>
      <w:r>
        <w:rPr>
          <w:b/>
          <w:bCs/>
        </w:rPr>
        <w:t xml:space="preserve">สิทธิเข้าตรวจสอบ (Audit Rights)</w:t>
      </w:r>
      <w:r>
        <w:t xml:space="preserve"> </w:t>
      </w:r>
      <w:r>
        <w:t xml:space="preserve">— [บริษัท / Company]</w:t>
      </w:r>
      <w:r>
        <w:t xml:space="preserve"> </w:t>
      </w:r>
      <w:r>
        <w:rPr>
          <w:b/>
          <w:bCs/>
        </w:rPr>
        <w:t xml:space="preserve">และ ธปท./ผู้ตรวจที่ ธปท. แต่งตั้ง</w:t>
      </w:r>
      <w:r>
        <w:t xml:space="preserve"> </w:t>
      </w:r>
      <w:r>
        <w:t xml:space="preserve">มีสิทธิเข้าตรวจ</w:t>
      </w:r>
      <w:r>
        <w:t xml:space="preserve"> </w:t>
      </w:r>
      <w:r>
        <w:t xml:space="preserve">(ทั้ง on-site และเอกสาร) รวมถึงการขอ report การตรวจสอบอิสระ (SOC 2/PCI AoC) โดยไม่จำกัดสิทธินี้</w:t>
      </w:r>
    </w:p>
    <w:p>
      <w:pPr>
        <w:pStyle w:val="Compact"/>
        <w:numPr>
          <w:ilvl w:val="0"/>
          <w:numId w:val="1391"/>
        </w:numPr>
      </w:pPr>
      <w:r>
        <w:rPr>
          <w:b/>
          <w:bCs/>
        </w:rPr>
        <w:t xml:space="preserve">การคุ้มครองข้อมูล (PDPA/DPA)</w:t>
      </w:r>
      <w:r>
        <w:t xml:space="preserve"> </w:t>
      </w:r>
      <w:r>
        <w:t xml:space="preserve">— เป็นภาคผนวก DPA ตาม ม.40 (ดู</w:t>
      </w:r>
      <w:r>
        <w:t xml:space="preserve"> </w:t>
      </w:r>
      <w:r>
        <w:rPr>
          <w:rStyle w:val="VerbatimChar"/>
        </w:rPr>
        <w:t xml:space="preserve">10-dpa-templates.md</w:t>
      </w:r>
      <w:r>
        <w:t xml:space="preserve">), ข้อจำกัดการใช้ข้อมูล,</w:t>
      </w:r>
      <w:r>
        <w:t xml:space="preserve"> </w:t>
      </w:r>
      <w:r>
        <w:t xml:space="preserve">การแจ้งเหตุละเมิดข้อมูลภายในเวลากำหนด (§7.2), การคืน/ทำลายข้อมูลเมื่อสิ้นสุด</w:t>
      </w:r>
    </w:p>
    <w:p>
      <w:pPr>
        <w:pStyle w:val="Compact"/>
        <w:numPr>
          <w:ilvl w:val="0"/>
          <w:numId w:val="1391"/>
        </w:numPr>
      </w:pPr>
      <w:r>
        <w:rPr>
          <w:b/>
          <w:bCs/>
        </w:rPr>
        <w:t xml:space="preserve">ความปลอดภัย &amp; PCI</w:t>
      </w:r>
      <w:r>
        <w:t xml:space="preserve"> </w:t>
      </w:r>
      <w:r>
        <w:t xml:space="preserve">— ผู้ให้บริการต้องคง PCI DSS ตลอดสัญญา, ส่ง AoC ปีละครั้ง, ยอมรับความรับผิดชอบต่อ CHD</w:t>
      </w:r>
      <w:r>
        <w:t xml:space="preserve"> </w:t>
      </w:r>
      <w:r>
        <w:t xml:space="preserve">ที่ตนถือ (PCI 12.9), แจ้งเมื่อ scope/สถานะ PCI เปลี่ยน</w:t>
      </w:r>
    </w:p>
    <w:p>
      <w:pPr>
        <w:pStyle w:val="Compact"/>
        <w:numPr>
          <w:ilvl w:val="0"/>
          <w:numId w:val="1391"/>
        </w:numPr>
      </w:pPr>
      <w:r>
        <w:rPr>
          <w:b/>
          <w:bCs/>
        </w:rPr>
        <w:t xml:space="preserve">การแจ้งเหตุ (Incident/Breach Notification)</w:t>
      </w:r>
      <w:r>
        <w:t xml:space="preserve"> </w:t>
      </w:r>
      <w:r>
        <w:t xml:space="preserve">— แจ้งเหตุด้านความปลอดภัย/ข้อมูลรั่วไหลภายในเวลาที่กำหนด (§7.2)</w:t>
      </w:r>
    </w:p>
    <w:p>
      <w:pPr>
        <w:pStyle w:val="Compact"/>
        <w:numPr>
          <w:ilvl w:val="0"/>
          <w:numId w:val="1391"/>
        </w:numPr>
      </w:pPr>
      <w:r>
        <w:rPr>
          <w:b/>
          <w:bCs/>
        </w:rPr>
        <w:t xml:space="preserve">Sub-outsourcing (4th party)</w:t>
      </w:r>
      <w:r>
        <w:t xml:space="preserve"> </w:t>
      </w:r>
      <w:r>
        <w:t xml:space="preserve">— ห้ามใช้ผู้ให้บริการช่วงในงานสำคัญโดยไม่แจ้ง/ขออนุมัติล่วงหน้า, ต้องส่งต่อ</w:t>
      </w:r>
      <w:r>
        <w:t xml:space="preserve"> </w:t>
      </w:r>
      <w:r>
        <w:t xml:space="preserve">ข้อผูกพันเดียวกัน (flow-down)</w:t>
      </w:r>
    </w:p>
    <w:p>
      <w:pPr>
        <w:pStyle w:val="Compact"/>
        <w:numPr>
          <w:ilvl w:val="0"/>
          <w:numId w:val="1391"/>
        </w:numPr>
      </w:pPr>
      <w:r>
        <w:rPr>
          <w:b/>
          <w:bCs/>
        </w:rPr>
        <w:t xml:space="preserve">ความต่อเนื่องธุรกิจ (BCP/DR)</w:t>
      </w:r>
      <w:r>
        <w:t xml:space="preserve"> </w:t>
      </w:r>
      <w:r>
        <w:t xml:space="preserve">— ผู้ให้บริการต้องมี BCP/DR, ทดสอบรายปี, และให้เข้าร่วม DR drill ของเรา</w:t>
      </w:r>
    </w:p>
    <w:p>
      <w:pPr>
        <w:pStyle w:val="Compact"/>
        <w:numPr>
          <w:ilvl w:val="0"/>
          <w:numId w:val="1391"/>
        </w:numPr>
      </w:pPr>
      <w:r>
        <w:rPr>
          <w:b/>
          <w:bCs/>
        </w:rPr>
        <w:t xml:space="preserve">Exit / Termination &amp; Transition</w:t>
      </w:r>
      <w:r>
        <w:t xml:space="preserve"> </w:t>
      </w:r>
      <w:r>
        <w:t xml:space="preserve">— สิทธิบอกเลิกเมื่อผิดสัญญา/ผลตรวจไม่ผ่าน/ ธปท. สั่ง, ระยะเวลา transition,</w:t>
      </w:r>
      <w:r>
        <w:t xml:space="preserve"> </w:t>
      </w:r>
      <w:r>
        <w:t xml:space="preserve">การส่งมอบและทำลายข้อมูล,</w:t>
      </w:r>
      <w:r>
        <w:t xml:space="preserve"> </w:t>
      </w:r>
      <w:r>
        <w:rPr>
          <w:b/>
          <w:bCs/>
        </w:rPr>
        <w:t xml:space="preserve">Exit Plan</w:t>
      </w:r>
      <w:r>
        <w:t xml:space="preserve"> </w:t>
      </w:r>
      <w:r>
        <w:t xml:space="preserve">(§9)</w:t>
      </w:r>
    </w:p>
    <w:p>
      <w:pPr>
        <w:pStyle w:val="Compact"/>
        <w:numPr>
          <w:ilvl w:val="0"/>
          <w:numId w:val="1391"/>
        </w:numPr>
      </w:pPr>
      <w:r>
        <w:rPr>
          <w:b/>
          <w:bCs/>
        </w:rPr>
        <w:t xml:space="preserve">Liability / Indemnity</w:t>
      </w:r>
      <w:r>
        <w:t xml:space="preserve"> </w:t>
      </w:r>
      <w:r>
        <w:t xml:space="preserve">— ความรับผิดกรณีข้อมูลรั่ว/ผิด SLA, การประกันภัย (cyber insurance) ถ้าเข้าเกณฑ์</w:t>
      </w:r>
    </w:p>
    <w:p>
      <w:pPr>
        <w:pStyle w:val="Compact"/>
        <w:numPr>
          <w:ilvl w:val="0"/>
          <w:numId w:val="1391"/>
        </w:numPr>
      </w:pPr>
      <w:r>
        <w:rPr>
          <w:b/>
          <w:bCs/>
        </w:rPr>
        <w:t xml:space="preserve">Data residency / Cross-border</w:t>
      </w:r>
      <w:r>
        <w:t xml:space="preserve"> </w:t>
      </w:r>
      <w:r>
        <w:t xml:space="preserve">— ระบุที่ตั้งข้อมูลตามข้อกำหนด ธปท./PDPA, การโอนข้ามพรมแดนต้องมีฐานทางกฎหมาย</w:t>
      </w:r>
    </w:p>
    <w:p>
      <w:pPr>
        <w:pStyle w:val="Compact"/>
        <w:numPr>
          <w:ilvl w:val="0"/>
          <w:numId w:val="1391"/>
        </w:numPr>
      </w:pPr>
      <w:r>
        <w:rPr>
          <w:b/>
          <w:bCs/>
        </w:rPr>
        <w:t xml:space="preserve">สิทธิของ ธปท.</w:t>
      </w:r>
      <w:r>
        <w:t xml:space="preserve"> </w:t>
      </w:r>
      <w:r>
        <w:t xml:space="preserve">— ยอมรับให้ ธปท. เข้าถึงข้อมูล/สถานที่/ระบบที่เกี่ยวข้องกับบริการที่ให้แก่บริษัท</w:t>
      </w:r>
    </w:p>
    <w:p>
      <w:pPr>
        <w:pStyle w:val="Compact"/>
        <w:numPr>
          <w:ilvl w:val="0"/>
          <w:numId w:val="1391"/>
        </w:numPr>
      </w:pPr>
      <w:r>
        <w:rPr>
          <w:b/>
          <w:bCs/>
        </w:rPr>
        <w:t xml:space="preserve">การรายงาน</w:t>
      </w:r>
      <w:r>
        <w:t xml:space="preserve"> </w:t>
      </w:r>
      <w:r>
        <w:t xml:space="preserve">— ส่ง SLA report / security report ตามรอบ (§7.1)</w:t>
      </w:r>
    </w:p>
    <w:bookmarkStart w:id="1077" w:name="ตวอยาง-sla-service-credit-tier-1"/>
    <w:p>
      <w:pPr>
        <w:pStyle w:val="Heading3"/>
      </w:pPr>
      <w:r>
        <w:t xml:space="preserve">7.1 ตัวอย่าง SLA &amp; Service Credit (Tier 1)</w:t>
      </w:r>
    </w:p>
    <w:tbl>
      <w:tblPr>
        <w:tblStyle w:val="Table"/>
        <w:tblW w:type="pct" w:w="5000"/>
        <w:tblLayout w:type="fixed"/>
        <w:tblLook w:firstRow="1" w:lastRow="0" w:firstColumn="0" w:lastColumn="0" w:noHBand="0" w:noVBand="0" w:val="0020"/>
      </w:tblPr>
      <w:tblGrid>
        <w:gridCol w:w="1173"/>
        <w:gridCol w:w="1320"/>
        <w:gridCol w:w="1173"/>
        <w:gridCol w:w="4253"/>
      </w:tblGrid>
      <w:tr>
        <w:trPr>
          <w:tblHeader w:val="on"/>
        </w:trPr>
        <w:tc>
          <w:tcPr/>
          <w:p>
            <w:pPr>
              <w:pStyle w:val="Compact"/>
            </w:pPr>
            <w:r>
              <w:t xml:space="preserve">Metric</w:t>
            </w:r>
          </w:p>
        </w:tc>
        <w:tc>
          <w:tcPr/>
          <w:p>
            <w:pPr>
              <w:pStyle w:val="Compact"/>
            </w:pPr>
            <w:r>
              <w:t xml:space="preserve">เป้าหมาย</w:t>
            </w:r>
          </w:p>
        </w:tc>
        <w:tc>
          <w:tcPr/>
          <w:p>
            <w:pPr>
              <w:pStyle w:val="Compact"/>
            </w:pPr>
            <w:r>
              <w:t xml:space="preserve">การวัด</w:t>
            </w:r>
          </w:p>
        </w:tc>
        <w:tc>
          <w:tcPr/>
          <w:p>
            <w:pPr>
              <w:pStyle w:val="Compact"/>
            </w:pPr>
            <w:r>
              <w:t xml:space="preserve">Service credit เมื่อไม่ถึง</w:t>
            </w:r>
          </w:p>
        </w:tc>
      </w:tr>
      <w:tr>
        <w:tc>
          <w:tcPr/>
          <w:p>
            <w:pPr>
              <w:pStyle w:val="Compact"/>
            </w:pPr>
            <w:r>
              <w:t xml:space="preserve">Availability (บริการหลัก)</w:t>
            </w:r>
          </w:p>
        </w:tc>
        <w:tc>
          <w:tcPr/>
          <w:p>
            <w:pPr>
              <w:pStyle w:val="Compact"/>
            </w:pPr>
            <w:r>
              <w:t xml:space="preserve">≥ 99.95%/เดือน</w:t>
            </w:r>
          </w:p>
        </w:tc>
        <w:tc>
          <w:tcPr/>
          <w:p>
            <w:pPr>
              <w:pStyle w:val="Compact"/>
            </w:pPr>
            <w:r>
              <w:t xml:space="preserve">uptime monitoring</w:t>
            </w:r>
          </w:p>
        </w:tc>
        <w:tc>
          <w:tcPr/>
          <w:p>
            <w:pPr>
              <w:pStyle w:val="Compact"/>
            </w:pPr>
            <w:r>
              <w:t xml:space="preserve">credit แบบขั้นบันได ตามชั่วโมงที่ขาด</w:t>
            </w:r>
          </w:p>
        </w:tc>
      </w:tr>
      <w:tr>
        <w:tc>
          <w:tcPr/>
          <w:p>
            <w:pPr>
              <w:pStyle w:val="Compact"/>
            </w:pPr>
            <w:r>
              <w:t xml:space="preserve">P1 incident acknowledgement</w:t>
            </w:r>
          </w:p>
        </w:tc>
        <w:tc>
          <w:tcPr/>
          <w:p>
            <w:pPr>
              <w:pStyle w:val="Compact"/>
            </w:pPr>
            <w:r>
              <w:t xml:space="preserve">≤ 15 นาที</w:t>
            </w:r>
          </w:p>
        </w:tc>
        <w:tc>
          <w:tcPr/>
          <w:p>
            <w:pPr>
              <w:pStyle w:val="Compact"/>
            </w:pPr>
            <w:r>
              <w:t xml:space="preserve">ticketing</w:t>
            </w:r>
          </w:p>
        </w:tc>
        <w:tc>
          <w:tcPr/>
          <w:p>
            <w:pPr>
              <w:pStyle w:val="Compact"/>
            </w:pPr>
            <w:r>
              <w:t xml:space="preserve">credit + escalation</w:t>
            </w:r>
          </w:p>
        </w:tc>
      </w:tr>
      <w:tr>
        <w:tc>
          <w:tcPr/>
          <w:p>
            <w:pPr>
              <w:pStyle w:val="Compact"/>
            </w:pPr>
            <w:r>
              <w:t xml:space="preserve">P1 resolution / workaround</w:t>
            </w:r>
          </w:p>
        </w:tc>
        <w:tc>
          <w:tcPr/>
          <w:p>
            <w:pPr>
              <w:pStyle w:val="Compact"/>
            </w:pPr>
            <w:r>
              <w:t xml:space="preserve">≤ 4 ชั่วโมง</w:t>
            </w:r>
          </w:p>
        </w:tc>
        <w:tc>
          <w:tcPr/>
          <w:p>
            <w:pPr>
              <w:pStyle w:val="Compact"/>
            </w:pPr>
            <w:r>
              <w:t xml:space="preserve">ticketing</w:t>
            </w:r>
          </w:p>
        </w:tc>
        <w:tc>
          <w:tcPr/>
          <w:p>
            <w:pPr>
              <w:pStyle w:val="Compact"/>
            </w:pPr>
            <w:r>
              <w:t xml:space="preserve">credit + RCA ภายใน 5 วันทำการ</w:t>
            </w:r>
          </w:p>
        </w:tc>
      </w:tr>
      <w:tr>
        <w:tc>
          <w:tcPr/>
          <w:p>
            <w:pPr>
              <w:pStyle w:val="Compact"/>
            </w:pPr>
            <w:r>
              <w:t xml:space="preserve">Breach notification</w:t>
            </w:r>
          </w:p>
        </w:tc>
        <w:tc>
          <w:tcPr/>
          <w:p>
            <w:pPr>
              <w:pStyle w:val="Compact"/>
            </w:pPr>
            <w:r>
              <w:t xml:space="preserve">≤ 24 ชั่วโมง (§7.2)</w:t>
            </w:r>
          </w:p>
        </w:tc>
        <w:tc>
          <w:tcPr/>
          <w:p>
            <w:pPr>
              <w:pStyle w:val="Compact"/>
            </w:pPr>
            <w:r>
              <w:t xml:space="preserve">log/email</w:t>
            </w:r>
          </w:p>
        </w:tc>
        <w:tc>
          <w:tcPr/>
          <w:p>
            <w:pPr>
              <w:pStyle w:val="Compact"/>
            </w:pPr>
            <w:r>
              <w:t xml:space="preserve">ถือเป็นเหตุผิดสัญญาสำคัญ</w:t>
            </w:r>
          </w:p>
        </w:tc>
      </w:tr>
      <w:tr>
        <w:tc>
          <w:tcPr/>
          <w:p>
            <w:pPr>
              <w:pStyle w:val="Compact"/>
            </w:pPr>
            <w:r>
              <w:t xml:space="preserve">PCI AoC ประจำปี</w:t>
            </w:r>
          </w:p>
        </w:tc>
        <w:tc>
          <w:tcPr/>
          <w:p>
            <w:pPr>
              <w:pStyle w:val="Compact"/>
            </w:pPr>
            <w:r>
              <w:t xml:space="preserve">ส่งก่อนหมดอายุ</w:t>
            </w:r>
          </w:p>
        </w:tc>
        <w:tc>
          <w:tcPr/>
          <w:p>
            <w:pPr>
              <w:pStyle w:val="Compact"/>
            </w:pPr>
            <w:r>
              <w:t xml:space="preserve">tracker</w:t>
            </w:r>
          </w:p>
        </w:tc>
        <w:tc>
          <w:tcPr/>
          <w:p>
            <w:pPr>
              <w:pStyle w:val="Compact"/>
            </w:pPr>
            <w:r>
              <w:t xml:space="preserve">ระงับ/บอกเลิกได้</w:t>
            </w:r>
          </w:p>
        </w:tc>
      </w:tr>
      <w:tr>
        <w:tc>
          <w:tcPr/>
          <w:p>
            <w:pPr>
              <w:pStyle w:val="Compact"/>
            </w:pPr>
            <w:r>
              <w:t xml:space="preserve">SLA report</w:t>
            </w:r>
          </w:p>
        </w:tc>
        <w:tc>
          <w:tcPr/>
          <w:p>
            <w:pPr>
              <w:pStyle w:val="Compact"/>
            </w:pPr>
            <w:r>
              <w:t xml:space="preserve">รายเดือน</w:t>
            </w:r>
          </w:p>
        </w:tc>
        <w:tc>
          <w:tcPr/>
          <w:p>
            <w:pPr>
              <w:pStyle w:val="Compact"/>
            </w:pPr>
            <w:r>
              <w:t xml:space="preserve">report</w:t>
            </w:r>
          </w:p>
        </w:tc>
        <w:tc>
          <w:tcPr/>
          <w:p>
            <w:pPr>
              <w:pStyle w:val="Compact"/>
            </w:pPr>
            <w:r>
              <w:t xml:space="preserve">escalation</w:t>
            </w:r>
          </w:p>
        </w:tc>
      </w:tr>
    </w:tbl>
    <w:bookmarkEnd w:id="1077"/>
    <w:bookmarkStart w:id="1078" w:name="ระยะเวลาแจงเหต-notification-timelines"/>
    <w:p>
      <w:pPr>
        <w:pStyle w:val="Heading3"/>
      </w:pPr>
      <w:r>
        <w:t xml:space="preserve">7.2 ระยะเวลาแจ้งเหตุ (Notification Timelines)</w:t>
      </w:r>
    </w:p>
    <w:p>
      <w:pPr>
        <w:pStyle w:val="Compact"/>
        <w:numPr>
          <w:ilvl w:val="0"/>
          <w:numId w:val="1392"/>
        </w:numPr>
      </w:pPr>
      <w:r>
        <w:rPr>
          <w:b/>
          <w:bCs/>
        </w:rPr>
        <w:t xml:space="preserve">ข้อมูลส่วนบุคคลรั่วไหล (PDPA):</w:t>
      </w:r>
      <w:r>
        <w:t xml:space="preserve"> </w:t>
      </w:r>
      <w:r>
        <w:t xml:space="preserve">ผู้ให้บริการแจ้ง [บริษัท / Company]</w:t>
      </w:r>
      <w:r>
        <w:t xml:space="preserve"> </w:t>
      </w:r>
      <w:r>
        <w:rPr>
          <w:b/>
          <w:bCs/>
        </w:rPr>
        <w:t xml:space="preserve">โดยไม่ชักช้า (≤ 24 ชม.)</w:t>
      </w:r>
      <w:r>
        <w:t xml:space="preserve"> </w:t>
      </w:r>
      <w:r>
        <w:t xml:space="preserve">เพื่อให้บริษัท</w:t>
      </w:r>
      <w:r>
        <w:t xml:space="preserve"> </w:t>
      </w:r>
      <w:r>
        <w:t xml:space="preserve">แจ้ง</w:t>
      </w:r>
      <w:r>
        <w:t xml:space="preserve"> </w:t>
      </w:r>
      <w:r>
        <w:rPr>
          <w:b/>
          <w:bCs/>
        </w:rPr>
        <w:t xml:space="preserve">PDPC ภายใน 72 ชั่วโมง</w:t>
      </w:r>
      <w:r>
        <w:t xml:space="preserve"> </w:t>
      </w:r>
      <w:r>
        <w:t xml:space="preserve">ตาม ม.37(4) (ดู</w:t>
      </w:r>
      <w:r>
        <w:t xml:space="preserve"> </w:t>
      </w:r>
      <w:r>
        <w:rPr>
          <w:rStyle w:val="VerbatimChar"/>
        </w:rPr>
        <w:t xml:space="preserve">16-incident-response-breach.md</w:t>
      </w:r>
      <w:r>
        <w:t xml:space="preserve">)</w:t>
      </w:r>
    </w:p>
    <w:p>
      <w:pPr>
        <w:pStyle w:val="Compact"/>
        <w:numPr>
          <w:ilvl w:val="0"/>
          <w:numId w:val="1392"/>
        </w:numPr>
      </w:pPr>
      <w:r>
        <w:rPr>
          <w:b/>
          <w:bCs/>
        </w:rPr>
        <w:t xml:space="preserve">เหตุด้านความปลอดภัย/CDE (PCI):</w:t>
      </w:r>
      <w:r>
        <w:t xml:space="preserve"> </w:t>
      </w:r>
      <w:r>
        <w:t xml:space="preserve">แจ้ง ≤ 24 ชม., ให้ความร่วมมือในการสอบสวน (forensics)</w:t>
      </w:r>
    </w:p>
    <w:p>
      <w:pPr>
        <w:pStyle w:val="Compact"/>
        <w:numPr>
          <w:ilvl w:val="0"/>
          <w:numId w:val="1392"/>
        </w:numPr>
      </w:pPr>
      <w:r>
        <w:rPr>
          <w:b/>
          <w:bCs/>
        </w:rPr>
        <w:t xml:space="preserve">เหตุกระทบบริการชำระเงิน:</w:t>
      </w:r>
      <w:r>
        <w:t xml:space="preserve"> </w:t>
      </w:r>
      <w:r>
        <w:t xml:space="preserve">แจ้งตาม incident response ของเรา และรายงาน ธปท. ตามเกณฑ์ที่กำหนด</w:t>
      </w:r>
    </w:p>
    <w:p>
      <w:r>
        <w:pict>
          <v:rect style="width:0;height:1.5pt" o:hralign="center" o:hrstd="t" o:hr="t"/>
        </w:pict>
      </w:r>
    </w:p>
    <w:bookmarkEnd w:id="1078"/>
    <w:bookmarkEnd w:id="1079"/>
    <w:bookmarkStart w:id="1080" w:name="responsibility-matrix-pci-req-12.8.5"/>
    <w:p>
      <w:pPr>
        <w:pStyle w:val="Heading2"/>
      </w:pPr>
      <w:r>
        <w:t xml:space="preserve">8. Responsibility Matrix (PCI Req 12.8.5)</w:t>
      </w:r>
    </w:p>
    <w:p>
      <w:pPr>
        <w:pStyle w:val="FirstParagraph"/>
      </w:pPr>
      <w:r>
        <w:t xml:space="preserve">จัดทำ matrix ระบุว่า PCI-DSS แต่ละ requirement ใครรับผิดชอบ — [บริษัท / Company], ผู้ให้บริการ, หรือร่วมกัน (shared)</w:t>
      </w:r>
      <w:r>
        <w:t xml:space="preserve"> </w:t>
      </w:r>
      <w:r>
        <w:t xml:space="preserve">ตัวอย่าง (สรุป):</w:t>
      </w:r>
    </w:p>
    <w:tbl>
      <w:tblPr>
        <w:tblStyle w:val="Table"/>
        <w:tblW w:type="pct" w:w="5000"/>
        <w:tblLayout w:type="fixed"/>
        <w:tblLook w:firstRow="1" w:lastRow="0" w:firstColumn="0" w:lastColumn="0" w:noHBand="0" w:noVBand="0" w:val="0020"/>
      </w:tblPr>
      <w:tblGrid>
        <w:gridCol w:w="3394"/>
        <w:gridCol w:w="1131"/>
        <w:gridCol w:w="1131"/>
        <w:gridCol w:w="1131"/>
        <w:gridCol w:w="1131"/>
      </w:tblGrid>
      <w:tr>
        <w:trPr>
          <w:tblHeader w:val="on"/>
        </w:trPr>
        <w:tc>
          <w:tcPr/>
          <w:p>
            <w:pPr>
              <w:pStyle w:val="Compact"/>
            </w:pPr>
            <w:r>
              <w:t xml:space="preserve">PCI Req (ย่อ)</w:t>
            </w:r>
          </w:p>
        </w:tc>
        <w:tc>
          <w:tcPr/>
          <w:p>
            <w:pPr>
              <w:pStyle w:val="Compact"/>
              <w:jc w:val="center"/>
            </w:pPr>
            <w:r>
              <w:t xml:space="preserve">[บริษัท / Company]</w:t>
            </w:r>
          </w:p>
        </w:tc>
        <w:tc>
          <w:tcPr/>
          <w:p>
            <w:pPr>
              <w:pStyle w:val="Compact"/>
              <w:jc w:val="center"/>
            </w:pPr>
            <w:r>
              <w:t xml:space="preserve">Cloud/IaaS</w:t>
            </w:r>
          </w:p>
        </w:tc>
        <w:tc>
          <w:tcPr/>
          <w:p>
            <w:pPr>
              <w:pStyle w:val="Compact"/>
              <w:jc w:val="center"/>
            </w:pPr>
            <w:r>
              <w:t xml:space="preserve">Tokenization/Vault</w:t>
            </w:r>
          </w:p>
        </w:tc>
        <w:tc>
          <w:tcPr/>
          <w:p>
            <w:pPr>
              <w:pStyle w:val="Compact"/>
              <w:jc w:val="center"/>
            </w:pPr>
            <w:r>
              <w:t xml:space="preserve">3DS</w:t>
            </w:r>
          </w:p>
        </w:tc>
      </w:tr>
      <w:tr>
        <w:tc>
          <w:tcPr/>
          <w:p>
            <w:pPr>
              <w:pStyle w:val="Compact"/>
            </w:pPr>
            <w:r>
              <w:t xml:space="preserve">Req 1 Network security controls</w:t>
            </w:r>
          </w:p>
        </w:tc>
        <w:tc>
          <w:tcPr/>
          <w:p>
            <w:pPr>
              <w:pStyle w:val="Compact"/>
              <w:jc w:val="center"/>
            </w:pPr>
            <w:r>
              <w:t xml:space="preserve">Shared</w:t>
            </w:r>
          </w:p>
        </w:tc>
        <w:tc>
          <w:tcPr/>
          <w:p>
            <w:pPr>
              <w:pStyle w:val="Compact"/>
              <w:jc w:val="center"/>
            </w:pPr>
            <w:r>
              <w:t xml:space="preserve">✔ (infra)</w:t>
            </w:r>
          </w:p>
        </w:tc>
        <w:tc>
          <w:tcPr/>
          <w:p>
            <w:pPr>
              <w:pStyle w:val="Compact"/>
              <w:jc w:val="center"/>
            </w:pPr>
            <w:r>
              <w:t xml:space="preserve">—</w:t>
            </w:r>
          </w:p>
        </w:tc>
        <w:tc>
          <w:tcPr/>
          <w:p>
            <w:pPr>
              <w:pStyle w:val="Compact"/>
              <w:jc w:val="center"/>
            </w:pPr>
            <w:r>
              <w:t xml:space="preserve">—</w:t>
            </w:r>
          </w:p>
        </w:tc>
      </w:tr>
      <w:tr>
        <w:tc>
          <w:tcPr/>
          <w:p>
            <w:pPr>
              <w:pStyle w:val="Compact"/>
            </w:pPr>
            <w:r>
              <w:t xml:space="preserve">Req 3 Protect stored account data</w:t>
            </w:r>
          </w:p>
        </w:tc>
        <w:tc>
          <w:tcPr/>
          <w:p>
            <w:pPr>
              <w:pStyle w:val="Compact"/>
              <w:jc w:val="center"/>
            </w:pPr>
            <w:r>
              <w:t xml:space="preserve">Shared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 6 Secure software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Shared</w:t>
            </w:r>
          </w:p>
        </w:tc>
        <w:tc>
          <w:tcPr/>
          <w:p>
            <w:pPr>
              <w:pStyle w:val="Compact"/>
              <w:jc w:val="center"/>
            </w:pPr>
            <w:r>
              <w:t xml:space="preserve">Shared</w:t>
            </w:r>
          </w:p>
        </w:tc>
      </w:tr>
      <w:tr>
        <w:tc>
          <w:tcPr/>
          <w:p>
            <w:pPr>
              <w:pStyle w:val="Compact"/>
            </w:pPr>
            <w:r>
              <w:t xml:space="preserve">Req 10 Logging &amp; monitoring</w:t>
            </w:r>
          </w:p>
        </w:tc>
        <w:tc>
          <w:tcPr/>
          <w:p>
            <w:pPr>
              <w:pStyle w:val="Compact"/>
              <w:jc w:val="center"/>
            </w:pPr>
            <w:r>
              <w:t xml:space="preserve">✔</w:t>
            </w:r>
          </w:p>
        </w:tc>
        <w:tc>
          <w:tcPr/>
          <w:p>
            <w:pPr>
              <w:pStyle w:val="Compact"/>
              <w:jc w:val="center"/>
            </w:pPr>
            <w:r>
              <w:t xml:space="preserve">Shared</w:t>
            </w:r>
          </w:p>
        </w:tc>
        <w:tc>
          <w:tcPr/>
          <w:p>
            <w:pPr>
              <w:pStyle w:val="Compact"/>
              <w:jc w:val="center"/>
            </w:pPr>
            <w:r>
              <w:t xml:space="preserve">Shared</w:t>
            </w:r>
          </w:p>
        </w:tc>
        <w:tc>
          <w:tcPr/>
          <w:p>
            <w:pPr>
              <w:pStyle w:val="Compact"/>
              <w:jc w:val="center"/>
            </w:pPr>
            <w:r>
              <w:t xml:space="preserve">Shared</w:t>
            </w:r>
          </w:p>
        </w:tc>
      </w:tr>
      <w:tr>
        <w:tc>
          <w:tcPr/>
          <w:p>
            <w:pPr>
              <w:pStyle w:val="Compact"/>
            </w:pPr>
            <w:r>
              <w:t xml:space="preserve">Req 11 Testing (ASV/pentest)</w:t>
            </w:r>
          </w:p>
        </w:tc>
        <w:tc>
          <w:tcPr/>
          <w:p>
            <w:pPr>
              <w:pStyle w:val="Compact"/>
              <w:jc w:val="center"/>
            </w:pPr>
            <w:r>
              <w:t xml:space="preserve">✔ (จ้าง)</w:t>
            </w:r>
          </w:p>
        </w:tc>
        <w:tc>
          <w:tcPr/>
          <w:p>
            <w:pPr>
              <w:pStyle w:val="Compact"/>
              <w:jc w:val="center"/>
            </w:pPr>
            <w:r>
              <w:t xml:space="preserve">Shared</w:t>
            </w:r>
          </w:p>
        </w:tc>
        <w:tc>
          <w:tcPr/>
          <w:p>
            <w:pPr>
              <w:pStyle w:val="Compact"/>
              <w:jc w:val="center"/>
            </w:pPr>
            <w:r>
              <w:t xml:space="preserve">Shared</w:t>
            </w:r>
          </w:p>
        </w:tc>
        <w:tc>
          <w:tcPr/>
          <w:p>
            <w:pPr>
              <w:pStyle w:val="Compact"/>
              <w:jc w:val="center"/>
            </w:pPr>
            <w:r>
              <w:t xml:space="preserve">Shared</w:t>
            </w:r>
          </w:p>
        </w:tc>
      </w:tr>
      <w:tr>
        <w:tc>
          <w:tcPr/>
          <w:p>
            <w:pPr>
              <w:pStyle w:val="Compact"/>
            </w:pPr>
            <w:r>
              <w:t xml:space="preserve">Req 12 Policy &amp; TPSP mgmt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lockText"/>
      </w:pPr>
      <w:r>
        <w:t xml:space="preserve">matrix ฉบับเต็มเก็บแยกและทบทวนพร้อม AoC ประจำปีของแต่ละผู้ให้บริการ</w:t>
      </w:r>
    </w:p>
    <w:p>
      <w:r>
        <w:pict>
          <v:rect style="width:0;height:1.5pt" o:hralign="center" o:hrstd="t" o:hr="t"/>
        </w:pict>
      </w:r>
    </w:p>
    <w:bookmarkEnd w:id="1080"/>
    <w:bookmarkStart w:id="1081" w:name="Xcd7c613ec3a6bf72e25bc3146ab20f8d1726aa1"/>
    <w:p>
      <w:pPr>
        <w:pStyle w:val="Heading2"/>
      </w:pPr>
      <w:r>
        <w:t xml:space="preserve">9. การกำกับต่อเนื่อง &amp; Exit Plan (Ongoing Monitoring &amp; Exit)</w:t>
      </w:r>
    </w:p>
    <w:p>
      <w:pPr>
        <w:pStyle w:val="FirstParagraph"/>
      </w:pPr>
      <w:r>
        <w:rPr>
          <w:b/>
          <w:bCs/>
        </w:rPr>
        <w:t xml:space="preserve">Ongoing monitoring:</w:t>
      </w:r>
      <w:r>
        <w:t xml:space="preserve"> </w:t>
      </w:r>
      <w:r>
        <w:t xml:space="preserve">- ทบทวน SLA report รายเดือน (Tier 1), รายไตรมาส (Tier 2)</w:t>
      </w:r>
      <w:r>
        <w:t xml:space="preserve"> </w:t>
      </w:r>
      <w:r>
        <w:t xml:space="preserve">- เก็บ/ตรวจ</w:t>
      </w:r>
      <w:r>
        <w:t xml:space="preserve"> </w:t>
      </w:r>
      <w:r>
        <w:rPr>
          <w:b/>
          <w:bCs/>
        </w:rPr>
        <w:t xml:space="preserve">PCI AoC และ SOC 2</w:t>
      </w:r>
      <w:r>
        <w:t xml:space="preserve"> </w:t>
      </w:r>
      <w:r>
        <w:t xml:space="preserve">ปีละครั้ง (PCI 12.8.4) — ติดตามวันหมดอายุใน tracker</w:t>
      </w:r>
      <w:r>
        <w:t xml:space="preserve"> </w:t>
      </w:r>
      <w:r>
        <w:t xml:space="preserve">- ประเมินความเสี่ยงใหม่ตามรอบ (§3) หรือเมื่อมี trigger: incident, เปลี่ยน sub-processor, M&amp;A, ผลตรวจไม่ผ่าน</w:t>
      </w:r>
      <w:r>
        <w:t xml:space="preserve"> </w:t>
      </w:r>
      <w:r>
        <w:t xml:space="preserve">- ทบทวน concentration risk รายปีต่อ ORC</w:t>
      </w:r>
    </w:p>
    <w:p>
      <w:pPr>
        <w:pStyle w:val="BodyText"/>
      </w:pPr>
      <w:r>
        <w:rPr>
          <w:b/>
          <w:bCs/>
        </w:rPr>
        <w:t xml:space="preserve">Exit Plan (บังคับสำหรับ Tier 1):</w:t>
      </w:r>
      <w:r>
        <w:t xml:space="preserve"> </w:t>
      </w:r>
      <w:r>
        <w:t xml:space="preserve">ต้องมีก่อนลงนาม ระบุ (ก) ผู้ให้บริการสำรอง/ทางเลือก, (ข) ขั้นตอนย้ายข้อมูล/</w:t>
      </w:r>
      <w:r>
        <w:t xml:space="preserve"> </w:t>
      </w:r>
      <w:r>
        <w:t xml:space="preserve">ระบบและระยะเวลา, (ค) การคืน/ทำลายข้อมูลพร้อมหลักฐาน, (ง) เงื่อนไข trigger การ exit (ธปท. สั่ง, ผิดสัญญาร้ายแรง,</w:t>
      </w:r>
      <w:r>
        <w:t xml:space="preserve"> </w:t>
      </w:r>
      <w:r>
        <w:t xml:space="preserve">ผู้ให้บริการล้มละลาย) เพื่อไม่ให้เกิด vendor lock-in ที่กระทบความต่อเนื่องของบริการชำระเงิน</w:t>
      </w:r>
    </w:p>
    <w:p>
      <w:r>
        <w:pict>
          <v:rect style="width:0;height:1.5pt" o:hralign="center" o:hrstd="t" o:hr="t"/>
        </w:pict>
      </w:r>
    </w:p>
    <w:bookmarkEnd w:id="1081"/>
    <w:bookmarkStart w:id="1082" w:name="ตารางสรปกระบวนการ-end-to-end"/>
    <w:p>
      <w:pPr>
        <w:pStyle w:val="Heading2"/>
      </w:pPr>
      <w:r>
        <w:t xml:space="preserve">10. ตารางสรุปกระบวนการ (End-to-End)</w:t>
      </w:r>
    </w:p>
    <w:p>
      <w:pPr>
        <w:pStyle w:val="SourceCode"/>
      </w:pPr>
      <w:r>
        <w:rPr>
          <w:rStyle w:val="VerbatimChar"/>
        </w:rPr>
        <w:t xml:space="preserve">ระบุความจำเป็น ─▶ จัดชั้น Tier ─▶ Due Diligence ─▶ Risk Scoring ─▶ อนุมัติ (ORC/CISO/DPO)</w:t>
      </w:r>
      <w:r>
        <w:br/>
      </w:r>
      <w:r>
        <w:rPr>
          <w:rStyle w:val="VerbatimChar"/>
        </w:rPr>
        <w:t xml:space="preserve">      │                                                                      │</w:t>
      </w:r>
      <w:r>
        <w:br/>
      </w:r>
      <w:r>
        <w:rPr>
          <w:rStyle w:val="VerbatimChar"/>
        </w:rPr>
        <w:t xml:space="preserve">      │                                                                      ▼</w:t>
      </w:r>
      <w:r>
        <w:br/>
      </w:r>
      <w:r>
        <w:rPr>
          <w:rStyle w:val="VerbatimChar"/>
        </w:rPr>
        <w:t xml:space="preserve">      └───────────────  ทบทวน/Exit ◀── Ongoing Monitoring ◀── ลงนามสัญญา (clauses §7) + onboarding</w:t>
      </w:r>
    </w:p>
    <w:p>
      <w:r>
        <w:pict>
          <v:rect style="width:0;height:1.5pt" o:hralign="center" o:hrstd="t" o:hr="t"/>
        </w:pict>
      </w:r>
    </w:p>
    <w:bookmarkEnd w:id="1082"/>
    <w:bookmarkStart w:id="1083" w:name="เอกสารหลกฐานทเกบ-evidence-for-bot-qsa"/>
    <w:p>
      <w:pPr>
        <w:pStyle w:val="Heading2"/>
      </w:pPr>
      <w:r>
        <w:t xml:space="preserve">11. เอกสาร/หลักฐานที่เก็บ (Evidence for BOT / QSA)</w:t>
      </w:r>
    </w:p>
    <w:p>
      <w:pPr>
        <w:pStyle w:val="Compact"/>
        <w:numPr>
          <w:ilvl w:val="0"/>
          <w:numId w:val="1393"/>
        </w:numPr>
      </w:pPr>
      <w:r>
        <w:t xml:space="preserve">ทะเบียนผู้ให้บริการ (TPSP Inventory) + criticality tier</w:t>
      </w:r>
    </w:p>
    <w:p>
      <w:pPr>
        <w:pStyle w:val="Compact"/>
        <w:numPr>
          <w:ilvl w:val="0"/>
          <w:numId w:val="1393"/>
        </w:numPr>
      </w:pPr>
      <w:r>
        <w:t xml:space="preserve">Vendor Risk Assessment Report ต่อราย + คะแนน</w:t>
      </w:r>
    </w:p>
    <w:p>
      <w:pPr>
        <w:pStyle w:val="Compact"/>
        <w:numPr>
          <w:ilvl w:val="0"/>
          <w:numId w:val="1393"/>
        </w:numPr>
      </w:pPr>
      <w:r>
        <w:t xml:space="preserve">สัญญา + ภาคผนวก DPA + SLA + audit-right clause</w:t>
      </w:r>
    </w:p>
    <w:p>
      <w:pPr>
        <w:pStyle w:val="Compact"/>
        <w:numPr>
          <w:ilvl w:val="0"/>
          <w:numId w:val="1393"/>
        </w:numPr>
      </w:pPr>
      <w:r>
        <w:t xml:space="preserve">PCI AoC / SOC 2 / ISO 27001 ของผู้ให้บริการ (ล่าสุด)</w:t>
      </w:r>
    </w:p>
    <w:p>
      <w:pPr>
        <w:pStyle w:val="Compact"/>
        <w:numPr>
          <w:ilvl w:val="0"/>
          <w:numId w:val="1393"/>
        </w:numPr>
      </w:pPr>
      <w:r>
        <w:t xml:space="preserve">Responsibility matrix (PCI 12.8.5)</w:t>
      </w:r>
    </w:p>
    <w:p>
      <w:pPr>
        <w:pStyle w:val="Compact"/>
        <w:numPr>
          <w:ilvl w:val="0"/>
          <w:numId w:val="1393"/>
        </w:numPr>
      </w:pPr>
      <w:r>
        <w:t xml:space="preserve">บันทึกการอนุมัติ ORC + minutes ทบทวน concentration</w:t>
      </w:r>
    </w:p>
    <w:p>
      <w:pPr>
        <w:pStyle w:val="Compact"/>
        <w:numPr>
          <w:ilvl w:val="0"/>
          <w:numId w:val="1393"/>
        </w:numPr>
      </w:pPr>
      <w:r>
        <w:t xml:space="preserve">Exit plan ต่อ Tier 1</w:t>
      </w:r>
    </w:p>
    <w:p>
      <w:r>
        <w:pict>
          <v:rect style="width:0;height:1.5pt" o:hralign="center" o:hrstd="t" o:hr="t"/>
        </w:pict>
      </w:r>
    </w:p>
    <w:bookmarkEnd w:id="1083"/>
    <w:bookmarkStart w:id="1084" w:name="ขอสมมตและงานคาง-assumptions-todo"/>
    <w:p>
      <w:pPr>
        <w:pStyle w:val="Heading2"/>
      </w:pPr>
      <w:r>
        <w:t xml:space="preserve">12. ข้อสมมติและงานค้าง (Assumptions &amp; TODO)</w:t>
      </w:r>
    </w:p>
    <w:p>
      <w:pPr>
        <w:pStyle w:val="BlockText"/>
      </w:pPr>
      <w:r>
        <w:rPr>
          <w:b/>
          <w:bCs/>
        </w:rPr>
        <w:t xml:space="preserve">CALLOUT — ต้องปิดก่อนยื่นจริง:</w:t>
      </w:r>
      <w:r>
        <w:t xml:space="preserve"> </w:t>
      </w:r>
      <w:r>
        <w:t xml:space="preserve">-</w:t>
      </w:r>
      <w:r>
        <w:t xml:space="preserve"> </w:t>
      </w:r>
      <w:r>
        <w:rPr>
          <w:b/>
          <w:bCs/>
        </w:rPr>
        <w:t xml:space="preserve">Sponsor bank / acquirer:</w:t>
      </w:r>
      <w:r>
        <w:t xml:space="preserve"> </w:t>
      </w:r>
      <w:r>
        <w:t xml:space="preserve">ยังไม่สรุปคู่สัญญา (สอดคล้อง</w:t>
      </w:r>
      <w:r>
        <w:t xml:space="preserve"> </w:t>
      </w:r>
      <w:r>
        <w:rPr>
          <w:rStyle w:val="VerbatimChar"/>
        </w:rPr>
        <w:t xml:space="preserve">ROADMAP.md</w:t>
      </w:r>
      <w:r>
        <w:t xml:space="preserve"> </w:t>
      </w:r>
      <w:r>
        <w:t xml:space="preserve">§5 critical path) — ต้องเติมชื่อ, สัญญา,</w:t>
      </w:r>
      <w:r>
        <w:t xml:space="preserve"> </w:t>
      </w:r>
      <w:r>
        <w:t xml:space="preserve">scheme certification timeline</w:t>
      </w:r>
      <w:r>
        <w:t xml:space="preserve"> </w:t>
      </w:r>
      <w:r>
        <w:t xml:space="preserve">-</w:t>
      </w:r>
      <w:r>
        <w:t xml:space="preserve"> </w:t>
      </w:r>
      <w:r>
        <w:rPr>
          <w:b/>
          <w:bCs/>
        </w:rPr>
        <w:t xml:space="preserve">Cloud data residency:</w:t>
      </w:r>
      <w:r>
        <w:t xml:space="preserve"> </w:t>
      </w:r>
      <w:r>
        <w:t xml:space="preserve">ต้องยืนยันว่า region/ข้อมูลอยู่ในไทยตาม ธปท./PDPA (</w:t>
      </w:r>
      <w:r>
        <w:rPr>
          <w:rStyle w:val="VerbatimChar"/>
        </w:rPr>
        <w:t xml:space="preserve">ARCHITECTURE.md</w:t>
      </w:r>
      <w:r>
        <w:t xml:space="preserve"> </w:t>
      </w:r>
      <w:r>
        <w:t xml:space="preserve">§8) ก่อนลงนาม</w:t>
      </w:r>
      <w:r>
        <w:t xml:space="preserve"> </w:t>
      </w:r>
      <w:r>
        <w:t xml:space="preserve">-</w:t>
      </w:r>
      <w:r>
        <w:t xml:space="preserve"> </w:t>
      </w:r>
      <w:r>
        <w:rPr>
          <w:b/>
          <w:bCs/>
        </w:rPr>
        <w:t xml:space="preserve">Tokenization vault:</w:t>
      </w:r>
      <w:r>
        <w:t xml:space="preserve"> </w:t>
      </w:r>
      <w:r>
        <w:t xml:space="preserve">ยังไม่ตัดสินใจ build vs buy — ถ้าใช้ external ต้องมี PCI AoC + DPA</w:t>
      </w:r>
      <w:r>
        <w:t xml:space="preserve"> </w:t>
      </w:r>
      <w:r>
        <w:t xml:space="preserve">-</w:t>
      </w:r>
      <w:r>
        <w:t xml:space="preserve"> </w:t>
      </w:r>
      <w:r>
        <w:rPr>
          <w:b/>
          <w:bCs/>
        </w:rPr>
        <w:t xml:space="preserve">QSA / ASV / Pentest vendor:</w:t>
      </w:r>
      <w:r>
        <w:t xml:space="preserve"> </w:t>
      </w:r>
      <w:r>
        <w:t xml:space="preserve">ยังไม่จ้าง (ดู</w:t>
      </w:r>
      <w:r>
        <w:t xml:space="preserve"> </w:t>
      </w:r>
      <w:r>
        <w:rPr>
          <w:rStyle w:val="VerbatimChar"/>
        </w:rPr>
        <w:t xml:space="preserve">23-qsa-asv-pentest-plan.md</w:t>
      </w:r>
      <w:r>
        <w:t xml:space="preserve">) — ล็อกคิวก่อนตาม critical path</w:t>
      </w:r>
      <w:r>
        <w:t xml:space="preserve"> </w:t>
      </w:r>
      <w:r>
        <w:t xml:space="preserve">-</w:t>
      </w:r>
      <w:r>
        <w:t xml:space="preserve"> </w:t>
      </w:r>
      <w:r>
        <w:rPr>
          <w:b/>
          <w:bCs/>
        </w:rPr>
        <w:t xml:space="preserve">ทุนจดทะเบียนชำระแล้วจริง 50 ล้านบาท:</w:t>
      </w:r>
      <w:r>
        <w:t xml:space="preserve"> </w:t>
      </w:r>
      <w:r>
        <w:t xml:space="preserve">อ้างอิงตามแผน ต้องยืนยันจากเอกสารนิติบุคคลจริง (</w:t>
      </w:r>
      <w:r>
        <w:rPr>
          <w:rStyle w:val="VerbatimChar"/>
        </w:rPr>
        <w:t xml:space="preserve">02-financial-projections-capital.md</w:t>
      </w:r>
      <w:r>
        <w:t xml:space="preserve">)</w:t>
      </w:r>
      <w:r>
        <w:t xml:space="preserve"> </w:t>
      </w:r>
      <w:r>
        <w:t xml:space="preserve">- ชื่อผู้ให้บริการทั้งหมดในตาราง §4 เป็นตัวอย่าง/แผน ยังไม่ผูกพัน จนกว่าจะผ่าน due diligence + ORC</w:t>
      </w:r>
    </w:p>
    <w:bookmarkEnd w:id="1084"/>
    <w:bookmarkEnd w:id="1085"/>
    <w:bookmarkStart w:id="1100" w:name="X469a4cf5de40b6ecb69e5725c5b8d8c799a4b90"/>
    <w:p>
      <w:pPr>
        <w:pStyle w:val="Heading1"/>
      </w:pPr>
      <w:r>
        <w:t xml:space="preserve">Critical service provider list + vendor risk assessment + SLA/audit-rights clauses per BOT outsourcing rules (English)</w:t>
      </w:r>
    </w:p>
    <w:p>
      <w:pPr>
        <w:pStyle w:val="BlockText"/>
      </w:pPr>
      <w:r>
        <w:t xml:space="preserve">Supporting document for the</w:t>
      </w:r>
      <w:r>
        <w:t xml:space="preserve"> </w:t>
      </w:r>
      <w:r>
        <w:rPr>
          <w:b/>
          <w:bCs/>
        </w:rPr>
        <w:t xml:space="preserve">Acquiring (Electronic Payment Acceptance) license</w:t>
      </w:r>
      <w:r>
        <w:t xml:space="preserve"> </w:t>
      </w:r>
      <w:r>
        <w:t xml:space="preserve">application</w:t>
      </w:r>
      <w:r>
        <w:t xml:space="preserve"> </w:t>
      </w:r>
      <w:r>
        <w:t xml:space="preserve">under the Payment Systems Act B.E. 2560 · Paid-up capital THB 50M · PCI-DSS v4.0 Level 1</w:t>
      </w:r>
      <w:r>
        <w:t xml:space="preserve"> </w:t>
      </w:r>
      <w:r>
        <w:t xml:space="preserve">Document No. </w:t>
      </w:r>
      <w:r>
        <w:rPr>
          <w:b/>
          <w:bCs/>
        </w:rPr>
        <w:t xml:space="preserve">30 — Vendor Risk Management: critical service provider list + vendor risk assessment + SLA/audit-rights clauses per BOT outsourcing rules</w:t>
      </w:r>
      <w:r>
        <w:t xml:space="preserve"> </w:t>
      </w:r>
      <w:r>
        <w:t xml:space="preserve">Owner:</w:t>
      </w:r>
      <w:r>
        <w:t xml:space="preserve"> </w:t>
      </w:r>
      <w:r>
        <w:rPr>
          <w:b/>
          <w:bCs/>
        </w:rPr>
        <w:t xml:space="preserve">[บริษัท / Company]</w:t>
      </w:r>
      <w:r>
        <w:t xml:space="preserve"> </w:t>
      </w:r>
      <w:r>
        <w:t xml:space="preserve">· Version 1.0 · Prepared 2026-07-22 · Reviewed every 12 months</w:t>
      </w:r>
    </w:p>
    <w:p>
      <w:pPr>
        <w:pStyle w:val="BlockText"/>
      </w:pPr>
      <w:r>
        <w:rPr>
          <w:b/>
          <w:bCs/>
        </w:rPr>
        <w:t xml:space="preserve">Note:</w:t>
      </w:r>
      <w:r>
        <w:t xml:space="preserve"> </w:t>
      </w:r>
      <w:r>
        <w:t xml:space="preserve">This is a technical/operational document, not legal advice. It must be reviewed by legal counsel and the QSA</w:t>
      </w:r>
      <w:r>
        <w:t xml:space="preserve"> </w:t>
      </w:r>
      <w:r>
        <w:t xml:space="preserve">before submission. Related docs: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13-it-risk-management.md</w:t>
      </w:r>
      <w:r>
        <w:t xml:space="preserve">,</w:t>
      </w:r>
      <w:r>
        <w:t xml:space="preserve"> </w:t>
      </w:r>
      <w:r>
        <w:rPr>
          <w:rStyle w:val="VerbatimChar"/>
        </w:rPr>
        <w:t xml:space="preserve">14-cyber-resilience.md</w:t>
      </w:r>
      <w:r>
        <w:t xml:space="preserve">,</w:t>
      </w:r>
      <w:r>
        <w:t xml:space="preserve"> </w:t>
      </w:r>
      <w:r>
        <w:rPr>
          <w:rStyle w:val="VerbatimChar"/>
        </w:rPr>
        <w:t xml:space="preserve">15-bcp-dr.md</w:t>
      </w:r>
      <w:r>
        <w:t xml:space="preserve">,</w:t>
      </w:r>
      <w:r>
        <w:t xml:space="preserve"> </w:t>
      </w:r>
      <w:r>
        <w:rPr>
          <w:rStyle w:val="VerbatimChar"/>
        </w:rPr>
        <w:t xml:space="preserve">18-segregation-of-duties.md</w:t>
      </w:r>
      <w:r>
        <w:t xml:space="preserve">,</w:t>
      </w:r>
      <w:r>
        <w:t xml:space="preserve"> </w:t>
      </w:r>
      <w:r>
        <w:rPr>
          <w:rStyle w:val="VerbatimChar"/>
        </w:rPr>
        <w:t xml:space="preserve">21-tokenization-hsm-keymgmt.md</w:t>
      </w:r>
    </w:p>
    <w:p>
      <w:r>
        <w:pict>
          <v:rect style="width:0;height:1.5pt" o:hralign="center" o:hrstd="t" o:hr="t"/>
        </w:pict>
      </w:r>
    </w:p>
    <w:bookmarkStart w:id="1086" w:name="purpose-scope-11"/>
    <w:p>
      <w:pPr>
        <w:pStyle w:val="Heading2"/>
      </w:pPr>
      <w:r>
        <w:t xml:space="preserve">1. Purpose &amp; Scope</w:t>
      </w:r>
    </w:p>
    <w:p>
      <w:pPr>
        <w:pStyle w:val="FirstParagraph"/>
      </w:pPr>
      <w:r>
        <w:t xml:space="preserve">This policy defines how [บริษัท / Company]</w:t>
      </w:r>
      <w:r>
        <w:t xml:space="preserve"> </w:t>
      </w:r>
      <w:r>
        <w:rPr>
          <w:b/>
          <w:bCs/>
        </w:rPr>
        <w:t xml:space="preserve">selects, assesses, contracts, governs, monitors and exits</w:t>
      </w:r>
      <w:r>
        <w:t xml:space="preserve"> </w:t>
      </w:r>
      <w:r>
        <w:t xml:space="preserve">third-party</w:t>
      </w:r>
      <w:r>
        <w:t xml:space="preserve"> </w:t>
      </w:r>
      <w:r>
        <w:t xml:space="preserve">service providers (outsourcing / TPSPs), especially those supporting</w:t>
      </w:r>
      <w:r>
        <w:t xml:space="preserve"> </w:t>
      </w:r>
      <w:r>
        <w:rPr>
          <w:b/>
          <w:bCs/>
        </w:rPr>
        <w:t xml:space="preserve">critical / material outsourcing</w:t>
      </w:r>
      <w:r>
        <w:t xml:space="preserve"> </w:t>
      </w:r>
      <w:r>
        <w:t xml:space="preserve">of the card</w:t>
      </w:r>
      <w:r>
        <w:t xml:space="preserve"> </w:t>
      </w:r>
      <w:r>
        <w:t xml:space="preserve">acquiring business, on the principle that</w:t>
      </w:r>
      <w:r>
        <w:t xml:space="preserve"> </w:t>
      </w:r>
      <w:r>
        <w:rPr>
          <w:b/>
          <w:bCs/>
        </w:rPr>
        <w:t xml:space="preserve">outsourcing a function does not outsource the legal accountability</w:t>
      </w:r>
      <w:r>
        <w:t xml:space="preserve"> </w:t>
      </w:r>
      <w:r>
        <w:t xml:space="preserve">— [บริษัท / Company] remains fully responsible to the BOT and to customers at all times.</w:t>
      </w:r>
    </w:p>
    <w:p>
      <w:pPr>
        <w:pStyle w:val="BodyText"/>
      </w:pPr>
      <w:r>
        <w:t xml:space="preserve">It satisfies:</w:t>
      </w:r>
    </w:p>
    <w:p>
      <w:pPr>
        <w:pStyle w:val="Compact"/>
        <w:numPr>
          <w:ilvl w:val="0"/>
          <w:numId w:val="1394"/>
        </w:numPr>
      </w:pPr>
      <w:r>
        <w:rPr>
          <w:b/>
          <w:bCs/>
        </w:rPr>
        <w:t xml:space="preserve">BOT Outsourcing notification</w:t>
      </w:r>
      <w:r>
        <w:t xml:space="preserve"> </w:t>
      </w:r>
      <w:r>
        <w:t xml:space="preserve">for financial institutions / payment operators under the Payment Systems Act B.E. 2560</w:t>
      </w:r>
      <w:r>
        <w:t xml:space="preserve"> </w:t>
      </w:r>
      <w:r>
        <w:t xml:space="preserve">— pre-engagement due diligence, risk-covering contracts,</w:t>
      </w:r>
      <w:r>
        <w:t xml:space="preserve"> </w:t>
      </w:r>
      <w:r>
        <w:rPr>
          <w:b/>
          <w:bCs/>
        </w:rPr>
        <w:t xml:space="preserve">audit rights</w:t>
      </w:r>
      <w:r>
        <w:t xml:space="preserve"> </w:t>
      </w:r>
      <w:r>
        <w:t xml:space="preserve">for the company</w:t>
      </w:r>
      <w:r>
        <w:t xml:space="preserve"> </w:t>
      </w:r>
      <w:r>
        <w:rPr>
          <w:b/>
          <w:bCs/>
        </w:rPr>
        <w:t xml:space="preserve">and for the BOT</w:t>
      </w:r>
      <w:r>
        <w:t xml:space="preserve">,</w:t>
      </w:r>
      <w:r>
        <w:t xml:space="preserve"> </w:t>
      </w:r>
      <w:r>
        <w:t xml:space="preserve">contingency/exit plans, and governance of</w:t>
      </w:r>
      <w:r>
        <w:t xml:space="preserve"> </w:t>
      </w:r>
      <w:r>
        <w:rPr>
          <w:b/>
          <w:bCs/>
        </w:rPr>
        <w:t xml:space="preserve">sub-outsourcing (4th parties)</w:t>
      </w:r>
      <w:r>
        <w:t xml:space="preserve">.</w:t>
      </w:r>
    </w:p>
    <w:p>
      <w:pPr>
        <w:pStyle w:val="Compact"/>
        <w:numPr>
          <w:ilvl w:val="0"/>
          <w:numId w:val="1394"/>
        </w:numPr>
      </w:pPr>
      <w:r>
        <w:rPr>
          <w:b/>
          <w:bCs/>
        </w:rPr>
        <w:t xml:space="preserve">BOT IT risk / cyber resilience notifications</w:t>
      </w:r>
      <w:r>
        <w:t xml:space="preserve"> </w:t>
      </w:r>
      <w:r>
        <w:t xml:space="preserve">— managing third-party technology and concentration/cloud risk.</w:t>
      </w:r>
    </w:p>
    <w:p>
      <w:pPr>
        <w:pStyle w:val="Compact"/>
        <w:numPr>
          <w:ilvl w:val="0"/>
          <w:numId w:val="1394"/>
        </w:numPr>
      </w:pPr>
      <w:r>
        <w:rPr>
          <w:b/>
          <w:bCs/>
        </w:rPr>
        <w:t xml:space="preserve">PCI-DSS v4.0 Req 12.8 (12.8.1–12.8.5)</w:t>
      </w:r>
      <w:r>
        <w:t xml:space="preserve"> </w:t>
      </w:r>
      <w:r>
        <w:t xml:space="preserve">— TPSP inventory, responsibility matrix, at-least-annual monitoring of</w:t>
      </w:r>
      <w:r>
        <w:t xml:space="preserve"> </w:t>
      </w:r>
      <w:r>
        <w:t xml:space="preserve">provider PCI status, and due diligence before engagement.</w:t>
      </w:r>
    </w:p>
    <w:p>
      <w:pPr>
        <w:pStyle w:val="Compact"/>
        <w:numPr>
          <w:ilvl w:val="0"/>
          <w:numId w:val="1394"/>
        </w:numPr>
      </w:pPr>
      <w:r>
        <w:rPr>
          <w:b/>
          <w:bCs/>
        </w:rPr>
        <w:t xml:space="preserve">PCI-DSS v4.0 Req 12.9</w:t>
      </w:r>
      <w:r>
        <w:t xml:space="preserve"> </w:t>
      </w:r>
      <w:r>
        <w:t xml:space="preserve">— providers must acknowledge responsibility for CHD they store/process/impact.</w:t>
      </w:r>
    </w:p>
    <w:p>
      <w:pPr>
        <w:pStyle w:val="Compact"/>
        <w:numPr>
          <w:ilvl w:val="0"/>
          <w:numId w:val="1394"/>
        </w:numPr>
      </w:pPr>
      <w:r>
        <w:rPr>
          <w:b/>
          <w:bCs/>
        </w:rPr>
        <w:t xml:space="preserve">PDPA B.E. 2562 / PDPC</w:t>
      </w:r>
      <w:r>
        <w:t xml:space="preserve"> </w:t>
      </w:r>
      <w:r>
        <w:t xml:space="preserve">— where a provider is a</w:t>
      </w:r>
      <w:r>
        <w:t xml:space="preserve"> </w:t>
      </w:r>
      <w:r>
        <w:rPr>
          <w:b/>
          <w:bCs/>
        </w:rPr>
        <w:t xml:space="preserve">Data Processor</w:t>
      </w:r>
      <w:r>
        <w:t xml:space="preserve">, a</w:t>
      </w:r>
      <w:r>
        <w:t xml:space="preserve"> </w:t>
      </w:r>
      <w:r>
        <w:rPr>
          <w:b/>
          <w:bCs/>
        </w:rPr>
        <w:t xml:space="preserve">Data Processing Agreement (DPA)</w:t>
      </w:r>
      <w:r>
        <w:t xml:space="preserve"> </w:t>
      </w:r>
      <w:r>
        <w:t xml:space="preserve">under</w:t>
      </w:r>
      <w:r>
        <w:t xml:space="preserve"> </w:t>
      </w:r>
      <w:r>
        <w:t xml:space="preserve">s.40 is required (see</w:t>
      </w:r>
      <w:r>
        <w:t xml:space="preserve"> </w:t>
      </w:r>
      <w:r>
        <w:rPr>
          <w:rStyle w:val="VerbatimChar"/>
        </w:rPr>
        <w:t xml:space="preserve">10-dpa-templates.md</w:t>
      </w:r>
      <w:r>
        <w:t xml:space="preserve">), plus cross-border transfer controls (s.28–29).</w:t>
      </w:r>
    </w:p>
    <w:p>
      <w:pPr>
        <w:pStyle w:val="Compact"/>
        <w:numPr>
          <w:ilvl w:val="0"/>
          <w:numId w:val="1394"/>
        </w:numPr>
      </w:pPr>
      <w:r>
        <w:rPr>
          <w:b/>
          <w:bCs/>
        </w:rPr>
        <w:t xml:space="preserve">AMLA (AMLO/ปปง.)</w:t>
      </w:r>
      <w:r>
        <w:t xml:space="preserve"> </w:t>
      </w:r>
      <w:r>
        <w:t xml:space="preserve">— providers performing KYC/CDD/sanction screening on our behalf must remain governable and</w:t>
      </w:r>
      <w:r>
        <w:t xml:space="preserve"> </w:t>
      </w:r>
      <w:r>
        <w:t xml:space="preserve">auditable; [บริษัท / Company] retains STR/SAR reporting responsibility.</w:t>
      </w:r>
    </w:p>
    <w:p>
      <w:pPr>
        <w:pStyle w:val="BlockText"/>
      </w:pPr>
      <w:r>
        <w:rPr>
          <w:b/>
          <w:bCs/>
        </w:rPr>
        <w:t xml:space="preserve">Scope:</w:t>
      </w:r>
      <w:r>
        <w:t xml:space="preserve"> </w:t>
      </w:r>
      <w:r>
        <w:t xml:space="preserve">every provider that (a) accesses/processes/stores Cardholder Data (CHD) or personal data, (b) supports a</w:t>
      </w:r>
      <w:r>
        <w:t xml:space="preserve"> </w:t>
      </w:r>
      <w:r>
        <w:t xml:space="preserve">function affecting payment-service continuity, or (c) connects to the CDE per</w:t>
      </w:r>
      <w:r>
        <w:t xml:space="preserve"> </w:t>
      </w:r>
      <w:r>
        <w:rPr>
          <w:rStyle w:val="VerbatimChar"/>
        </w:rPr>
        <w:t xml:space="preserve">ARCHITECTURE.md</w:t>
      </w:r>
      <w:r>
        <w:t xml:space="preserve">. General procurement</w:t>
      </w:r>
      <w:r>
        <w:t xml:space="preserve"> </w:t>
      </w:r>
      <w:r>
        <w:t xml:space="preserve">not touching (a)–(c) uses the standard purchasing process and is out of scope here.</w:t>
      </w:r>
    </w:p>
    <w:p>
      <w:r>
        <w:pict>
          <v:rect style="width:0;height:1.5pt" o:hralign="center" o:hrstd="t" o:hr="t"/>
        </w:pict>
      </w:r>
    </w:p>
    <w:bookmarkEnd w:id="1086"/>
    <w:bookmarkStart w:id="1087" w:name="roles-responsibilities-6"/>
    <w:p>
      <w:pPr>
        <w:pStyle w:val="Heading2"/>
      </w:pPr>
      <w:r>
        <w:t xml:space="preserve">2. Roles &amp; Responsibilities</w:t>
      </w:r>
    </w:p>
    <w:tbl>
      <w:tblPr>
        <w:tblStyle w:val="Table"/>
        <w:tblW w:type="pct" w:w="5000"/>
        <w:tblLayout w:type="fixed"/>
        <w:tblLook w:firstRow="1" w:lastRow="0" w:firstColumn="0" w:lastColumn="0" w:noHBand="0" w:noVBand="0" w:val="0020"/>
      </w:tblPr>
      <w:tblGrid>
        <w:gridCol w:w="1357"/>
        <w:gridCol w:w="6562"/>
      </w:tblGrid>
      <w:tr>
        <w:trPr>
          <w:tblHeader w:val="on"/>
        </w:trPr>
        <w:tc>
          <w:tcPr/>
          <w:p>
            <w:pPr>
              <w:pStyle w:val="Compact"/>
            </w:pPr>
            <w:r>
              <w:t xml:space="preserve">Role</w:t>
            </w:r>
          </w:p>
        </w:tc>
        <w:tc>
          <w:tcPr/>
          <w:p>
            <w:pPr>
              <w:pStyle w:val="Compact"/>
            </w:pPr>
            <w:r>
              <w:t xml:space="preserve">Vendor-risk responsibility</w:t>
            </w:r>
          </w:p>
        </w:tc>
      </w:tr>
      <w:tr>
        <w:tc>
          <w:tcPr/>
          <w:p>
            <w:pPr>
              <w:pStyle w:val="Compact"/>
            </w:pPr>
            <w:r>
              <w:rPr>
                <w:b/>
                <w:bCs/>
              </w:rPr>
              <w:t xml:space="preserve">Business Owner</w:t>
            </w:r>
          </w:p>
        </w:tc>
        <w:tc>
          <w:tcPr/>
          <w:p>
            <w:pPr>
              <w:pStyle w:val="Compact"/>
            </w:pPr>
            <w:r>
              <w:t xml:space="preserve">Business need, service scope/SLA, day-to-day relationship</w:t>
            </w:r>
          </w:p>
        </w:tc>
      </w:tr>
      <w:tr>
        <w:tc>
          <w:tcPr/>
          <w:p>
            <w:pPr>
              <w:pStyle w:val="Compact"/>
            </w:pPr>
            <w:r>
              <w:rPr>
                <w:b/>
                <w:bCs/>
              </w:rPr>
              <w:t xml:space="preserve">Vendor Risk / TPRM Manager</w:t>
            </w:r>
          </w:p>
        </w:tc>
        <w:tc>
          <w:tcPr/>
          <w:p>
            <w:pPr>
              <w:pStyle w:val="Compact"/>
            </w:pPr>
            <w:r>
              <w:t xml:space="preserve">Owns vendor register, runs due diligence, risk scoring, review cadence</w:t>
            </w:r>
          </w:p>
        </w:tc>
      </w:tr>
      <w:tr>
        <w:tc>
          <w:tcPr/>
          <w:p>
            <w:pPr>
              <w:pStyle w:val="Compact"/>
            </w:pPr>
            <w:r>
              <w:rPr>
                <w:b/>
                <w:bCs/>
              </w:rPr>
              <w:t xml:space="preserve">CISO / DevSecOps</w:t>
            </w:r>
          </w:p>
        </w:tc>
        <w:tc>
          <w:tcPr/>
          <w:p>
            <w:pPr>
              <w:pStyle w:val="Compact"/>
            </w:pPr>
            <w:r>
              <w:t xml:space="preserve">Security/CDE risk, reviews provider PCI AoC, approves technical connectivity</w:t>
            </w:r>
          </w:p>
        </w:tc>
      </w:tr>
      <w:tr>
        <w:tc>
          <w:tcPr/>
          <w:p>
            <w:pPr>
              <w:pStyle w:val="Compact"/>
            </w:pPr>
            <w:r>
              <w:rPr>
                <w:b/>
                <w:bCs/>
              </w:rPr>
              <w:t xml:space="preserve">DPO</w:t>
            </w:r>
          </w:p>
        </w:tc>
        <w:tc>
          <w:tcPr/>
          <w:p>
            <w:pPr>
              <w:pStyle w:val="Compact"/>
            </w:pPr>
            <w:r>
              <w:t xml:space="preserve">Determines processor status, drafts/reviews DPA, assesses cross-border transfers</w:t>
            </w:r>
          </w:p>
        </w:tc>
      </w:tr>
      <w:tr>
        <w:tc>
          <w:tcPr/>
          <w:p>
            <w:pPr>
              <w:pStyle w:val="Compact"/>
            </w:pPr>
            <w:r>
              <w:rPr>
                <w:b/>
                <w:bCs/>
              </w:rPr>
              <w:t xml:space="preserve">Compliance / AML Officer</w:t>
            </w:r>
          </w:p>
        </w:tc>
        <w:tc>
          <w:tcPr/>
          <w:p>
            <w:pPr>
              <w:pStyle w:val="Compact"/>
            </w:pPr>
            <w:r>
              <w:t xml:space="preserve">Reviews AML/KYC/screening providers, sanction-screens the provider itself</w:t>
            </w:r>
          </w:p>
        </w:tc>
      </w:tr>
      <w:tr>
        <w:tc>
          <w:tcPr/>
          <w:p>
            <w:pPr>
              <w:pStyle w:val="Compact"/>
            </w:pPr>
            <w:r>
              <w:rPr>
                <w:b/>
                <w:bCs/>
              </w:rPr>
              <w:t xml:space="preserve">Legal</w:t>
            </w:r>
          </w:p>
        </w:tc>
        <w:tc>
          <w:tcPr/>
          <w:p>
            <w:pPr>
              <w:pStyle w:val="Compact"/>
            </w:pPr>
            <w:r>
              <w:t xml:space="preserve">Drafts/reviews contracts; embeds audit-right / exit / sub-outsourcing / liability clauses</w:t>
            </w:r>
          </w:p>
        </w:tc>
      </w:tr>
      <w:tr>
        <w:tc>
          <w:tcPr/>
          <w:p>
            <w:pPr>
              <w:pStyle w:val="Compact"/>
            </w:pPr>
            <w:r>
              <w:rPr>
                <w:b/>
                <w:bCs/>
              </w:rPr>
              <w:t xml:space="preserve">Procurement</w:t>
            </w:r>
          </w:p>
        </w:tc>
        <w:tc>
          <w:tcPr/>
          <w:p>
            <w:pPr>
              <w:pStyle w:val="Compact"/>
            </w:pPr>
            <w:r>
              <w:t xml:space="preserve">Purchasing, financial vetting, PO/contract admin</w:t>
            </w:r>
          </w:p>
        </w:tc>
      </w:tr>
      <w:tr>
        <w:tc>
          <w:tcPr/>
          <w:p>
            <w:pPr>
              <w:pStyle w:val="Compact"/>
            </w:pPr>
            <w:r>
              <w:rPr>
                <w:b/>
                <w:bCs/>
              </w:rPr>
              <w:t xml:space="preserve">Outsourcing Risk Committee (ORC)</w:t>
            </w:r>
          </w:p>
        </w:tc>
        <w:tc>
          <w:tcPr/>
          <w:p>
            <w:pPr>
              <w:pStyle w:val="Compact"/>
            </w:pPr>
            <w:r>
              <w:t xml:space="preserve">Approves Critical/Material providers; reviews concentration risk</w:t>
            </w:r>
          </w:p>
        </w:tc>
      </w:tr>
      <w:tr>
        <w:tc>
          <w:tcPr/>
          <w:p>
            <w:pPr>
              <w:pStyle w:val="Compact"/>
            </w:pPr>
            <w:r>
              <w:rPr>
                <w:b/>
                <w:bCs/>
              </w:rPr>
              <w:t xml:space="preserve">Internal Audit</w:t>
            </w:r>
          </w:p>
        </w:tc>
        <w:tc>
          <w:tcPr/>
          <w:p>
            <w:pPr>
              <w:pStyle w:val="Compact"/>
            </w:pPr>
            <w:r>
              <w:t xml:space="preserve">Independently tests that the process is followed; samples contracts/assessments</w:t>
            </w:r>
          </w:p>
        </w:tc>
      </w:tr>
      <w:tr>
        <w:tc>
          <w:tcPr/>
          <w:p>
            <w:pPr>
              <w:pStyle w:val="Compact"/>
            </w:pPr>
            <w:r>
              <w:rPr>
                <w:b/>
                <w:bCs/>
              </w:rPr>
              <w:t xml:space="preserve">Board</w:t>
            </w:r>
          </w:p>
        </w:tc>
        <w:tc>
          <w:tcPr/>
          <w:p>
            <w:pPr>
              <w:pStyle w:val="Compact"/>
            </w:pPr>
            <w:r>
              <w:t xml:space="preserve">Approves outsourcing policy; annual review of critical outsourcing risk</w:t>
            </w:r>
          </w:p>
        </w:tc>
      </w:tr>
    </w:tbl>
    <w:p>
      <w:pPr>
        <w:pStyle w:val="BlockText"/>
      </w:pPr>
      <w:r>
        <w:rPr>
          <w:b/>
          <w:bCs/>
        </w:rPr>
        <w:t xml:space="preserve">Separation of Duties:</w:t>
      </w:r>
      <w:r>
        <w:t xml:space="preserve"> </w:t>
      </w:r>
      <w:r>
        <w:t xml:space="preserve">whoever selects/negotiates (Business Owner/Procurement) must</w:t>
      </w:r>
      <w:r>
        <w:t xml:space="preserve"> </w:t>
      </w:r>
      <w:r>
        <w:rPr>
          <w:b/>
          <w:bCs/>
        </w:rPr>
        <w:t xml:space="preserve">not</w:t>
      </w:r>
      <w:r>
        <w:t xml:space="preserve"> </w:t>
      </w:r>
      <w:r>
        <w:t xml:space="preserve">be the final risk</w:t>
      </w:r>
      <w:r>
        <w:t xml:space="preserve"> </w:t>
      </w:r>
      <w:r>
        <w:t xml:space="preserve">approver (ORC). Critical outsourcing requires joint sign-off by CISO + DPO + Compliance.</w:t>
      </w:r>
    </w:p>
    <w:p>
      <w:r>
        <w:pict>
          <v:rect style="width:0;height:1.5pt" o:hralign="center" o:hrstd="t" o:hr="t"/>
        </w:pict>
      </w:r>
    </w:p>
    <w:bookmarkEnd w:id="1087"/>
    <w:bookmarkStart w:id="1088" w:name="vendor-criticality-tiering"/>
    <w:p>
      <w:pPr>
        <w:pStyle w:val="Heading2"/>
      </w:pPr>
      <w:r>
        <w:t xml:space="preserve">3. Vendor Criticality Tiering</w:t>
      </w:r>
    </w:p>
    <w:tbl>
      <w:tblPr>
        <w:tblStyle w:val="Table"/>
        <w:tblW w:type="pct" w:w="5000"/>
        <w:tblLayout w:type="fixed"/>
        <w:tblLook w:firstRow="1" w:lastRow="0" w:firstColumn="0" w:lastColumn="0" w:noHBand="0" w:noVBand="0" w:val="0020"/>
      </w:tblPr>
      <w:tblGrid>
        <w:gridCol w:w="1250"/>
        <w:gridCol w:w="2292"/>
        <w:gridCol w:w="2084"/>
        <w:gridCol w:w="2292"/>
      </w:tblGrid>
      <w:tr>
        <w:trPr>
          <w:tblHeader w:val="on"/>
        </w:trPr>
        <w:tc>
          <w:tcPr/>
          <w:p>
            <w:pPr>
              <w:pStyle w:val="Compact"/>
            </w:pPr>
            <w:r>
              <w:t xml:space="preserve">Tier</w:t>
            </w:r>
          </w:p>
        </w:tc>
        <w:tc>
          <w:tcPr/>
          <w:p>
            <w:pPr>
              <w:pStyle w:val="Compact"/>
            </w:pPr>
            <w:r>
              <w:t xml:space="preserve">Definition</w:t>
            </w:r>
          </w:p>
        </w:tc>
        <w:tc>
          <w:tcPr/>
          <w:p>
            <w:pPr>
              <w:pStyle w:val="Compact"/>
            </w:pPr>
            <w:r>
              <w:t xml:space="preserve">Examples</w:t>
            </w:r>
          </w:p>
        </w:tc>
        <w:tc>
          <w:tcPr/>
          <w:p>
            <w:pPr>
              <w:pStyle w:val="Compact"/>
            </w:pPr>
            <w:r>
              <w:t xml:space="preserve">Governance</w:t>
            </w:r>
          </w:p>
        </w:tc>
      </w:tr>
      <w:tr>
        <w:tc>
          <w:tcPr/>
          <w:p>
            <w:pPr>
              <w:pStyle w:val="Compact"/>
            </w:pPr>
            <w:r>
              <w:rPr>
                <w:b/>
                <w:bCs/>
              </w:rPr>
              <w:t xml:space="preserve">Tier 1 — Critical / Material</w:t>
            </w:r>
          </w:p>
        </w:tc>
        <w:tc>
          <w:tcPr/>
          <w:p>
            <w:pPr>
              <w:pStyle w:val="Compact"/>
            </w:pPr>
            <w:r>
              <w:t xml:space="preserve">Failure/breach materially impacts payment service or CHD, or accesses the CDE</w:t>
            </w:r>
          </w:p>
        </w:tc>
        <w:tc>
          <w:tcPr/>
          <w:p>
            <w:pPr>
              <w:pStyle w:val="Compact"/>
            </w:pPr>
            <w:r>
              <w:t xml:space="preserve">Sponsor bank/acquirer, cloud IaaS, HSM/KMS, tokenization vault, 3DS (ACS/DS), KYC/screening</w:t>
            </w:r>
          </w:p>
        </w:tc>
        <w:tc>
          <w:tcPr/>
          <w:p>
            <w:pPr>
              <w:pStyle w:val="Compact"/>
            </w:pPr>
            <w:r>
              <w:t xml:space="preserve">Full due diligence + ORC approval + audit-right + exit plan + on-site right + 12-month review</w:t>
            </w:r>
          </w:p>
        </w:tc>
      </w:tr>
      <w:tr>
        <w:tc>
          <w:tcPr/>
          <w:p>
            <w:pPr>
              <w:pStyle w:val="Compact"/>
            </w:pPr>
            <w:r>
              <w:rPr>
                <w:b/>
                <w:bCs/>
              </w:rPr>
              <w:t xml:space="preserve">Tier 2 — Important</w:t>
            </w:r>
          </w:p>
        </w:tc>
        <w:tc>
          <w:tcPr/>
          <w:p>
            <w:pPr>
              <w:pStyle w:val="Compact"/>
            </w:pPr>
            <w:r>
              <w:t xml:space="preserve">Operationally impactful but with fallback, or limited PII</w:t>
            </w:r>
          </w:p>
        </w:tc>
        <w:tc>
          <w:tcPr/>
          <w:p>
            <w:pPr>
              <w:pStyle w:val="Compact"/>
            </w:pPr>
            <w:r>
              <w:t xml:space="preserve">Email/SMS/LINE, SIEM SaaS, log storage, ASV vendor</w:t>
            </w:r>
          </w:p>
        </w:tc>
        <w:tc>
          <w:tcPr/>
          <w:p>
            <w:pPr>
              <w:pStyle w:val="Compact"/>
            </w:pPr>
            <w:r>
              <w:t xml:space="preserve">Standard due diligence + CISO/DPO approval + DPA + 12–24-month review</w:t>
            </w:r>
          </w:p>
        </w:tc>
      </w:tr>
      <w:tr>
        <w:tc>
          <w:tcPr/>
          <w:p>
            <w:pPr>
              <w:pStyle w:val="Compact"/>
            </w:pPr>
            <w:r>
              <w:rPr>
                <w:b/>
                <w:bCs/>
              </w:rPr>
              <w:t xml:space="preserve">Tier 3 — Low</w:t>
            </w:r>
          </w:p>
        </w:tc>
        <w:tc>
          <w:tcPr/>
          <w:p>
            <w:pPr>
              <w:pStyle w:val="Compact"/>
            </w:pPr>
            <w:r>
              <w:t xml:space="preserve">No sensitive CHD/PII, low impact</w:t>
            </w:r>
          </w:p>
        </w:tc>
        <w:tc>
          <w:tcPr/>
          <w:p>
            <w:pPr>
              <w:pStyle w:val="Compact"/>
            </w:pPr>
            <w:r>
              <w:t xml:space="preserve">Productivity tools, advisors with no customer data</w:t>
            </w:r>
          </w:p>
        </w:tc>
        <w:tc>
          <w:tcPr/>
          <w:p>
            <w:pPr>
              <w:pStyle w:val="Compact"/>
            </w:pPr>
            <w:r>
              <w:t xml:space="preserve">Light due diligence + contractual review</w:t>
            </w:r>
          </w:p>
        </w:tc>
      </w:tr>
    </w:tbl>
    <w:p>
      <w:pPr>
        <w:pStyle w:val="BodyText"/>
      </w:pPr>
      <w:r>
        <w:rPr>
          <w:b/>
          <w:bCs/>
        </w:rPr>
        <w:t xml:space="preserve">Tier 1 thresholds (any one triggers Critical):</w:t>
      </w:r>
      <w:r>
        <w:t xml:space="preserve"> </w:t>
      </w:r>
      <w:r>
        <w:t xml:space="preserve">- Accesses/stores/transmits</w:t>
      </w:r>
      <w:r>
        <w:t xml:space="preserve"> </w:t>
      </w:r>
      <w:r>
        <w:rPr>
          <w:b/>
          <w:bCs/>
        </w:rPr>
        <w:t xml:space="preserve">CHD or authentication data</w:t>
      </w:r>
      <w:r>
        <w:t xml:space="preserve">, or is in/connected to the</w:t>
      </w:r>
      <w:r>
        <w:t xml:space="preserve"> </w:t>
      </w:r>
      <w:r>
        <w:rPr>
          <w:b/>
          <w:bCs/>
        </w:rPr>
        <w:t xml:space="preserve">CDE</w:t>
      </w:r>
      <w:r>
        <w:t xml:space="preserve"> </w:t>
      </w:r>
      <w:r>
        <w:t xml:space="preserve">- Supports a function where downtime &gt;</w:t>
      </w:r>
      <w:r>
        <w:t xml:space="preserve"> </w:t>
      </w:r>
      <w:r>
        <w:rPr>
          <w:b/>
          <w:bCs/>
        </w:rPr>
        <w:t xml:space="preserve">30 min</w:t>
      </w:r>
      <w:r>
        <w:t xml:space="preserve"> </w:t>
      </w:r>
      <w:r>
        <w:t xml:space="preserve">impacts authorization/settlement (aligns with RTO in</w:t>
      </w:r>
      <w:r>
        <w:t xml:space="preserve"> </w:t>
      </w:r>
      <w:r>
        <w:rPr>
          <w:rStyle w:val="VerbatimChar"/>
        </w:rPr>
        <w:t xml:space="preserve">ARCHITECTURE.md</w:t>
      </w:r>
      <w:r>
        <w:t xml:space="preserve">)</w:t>
      </w:r>
      <w:r>
        <w:t xml:space="preserve"> </w:t>
      </w:r>
      <w:r>
        <w:t xml:space="preserve">- Processes personal data of &gt;</w:t>
      </w:r>
      <w:r>
        <w:t xml:space="preserve"> </w:t>
      </w:r>
      <w:r>
        <w:rPr>
          <w:b/>
          <w:bCs/>
        </w:rPr>
        <w:t xml:space="preserve">10,000</w:t>
      </w:r>
      <w:r>
        <w:t xml:space="preserve"> </w:t>
      </w:r>
      <w:r>
        <w:t xml:space="preserve">cardholders or transfers data cross-border</w:t>
      </w:r>
      <w:r>
        <w:t xml:space="preserve"> </w:t>
      </w:r>
      <w:r>
        <w:t xml:space="preserve">- Performs a statutory function on our behalf (KYC/CDD, sanction screening, reporting)</w:t>
      </w:r>
    </w:p>
    <w:p>
      <w:r>
        <w:pict>
          <v:rect style="width:0;height:1.5pt" o:hralign="center" o:hrstd="t" o:hr="t"/>
        </w:pict>
      </w:r>
    </w:p>
    <w:bookmarkEnd w:id="1088"/>
    <w:bookmarkStart w:id="1089" w:name="X320f0f036e801e6ef36cffc44d1761e3dc8e394"/>
    <w:p>
      <w:pPr>
        <w:pStyle w:val="Heading2"/>
      </w:pPr>
      <w:r>
        <w:t xml:space="preserve">4. Critical Service Provider List (TPSP Inventory — PCI Req 12.8.1)</w:t>
      </w:r>
    </w:p>
    <w:p>
      <w:pPr>
        <w:pStyle w:val="BlockText"/>
      </w:pPr>
      <w:r>
        <w:t xml:space="preserve">Living document; updated on add/change and reviewed at least annually.</w:t>
      </w:r>
      <w:r>
        <w:t xml:space="preserve"> </w:t>
      </w:r>
      <w:r>
        <w:t xml:space="preserve">“PCI responsibility”</w:t>
      </w:r>
      <w:r>
        <w:t xml:space="preserve"> </w:t>
      </w:r>
      <w:r>
        <w:t xml:space="preserve">ties to the matrix (§8).</w:t>
      </w:r>
    </w:p>
    <w:tbl>
      <w:tblPr>
        <w:tblStyle w:val="Table"/>
        <w:tblW w:type="pct" w:w="5000"/>
        <w:tblLayout w:type="fixed"/>
        <w:tblLook w:firstRow="1" w:lastRow="0" w:firstColumn="0" w:lastColumn="0" w:noHBand="0" w:noVBand="0" w:val="0020"/>
      </w:tblPr>
      <w:tblGrid>
        <w:gridCol w:w="182"/>
        <w:gridCol w:w="548"/>
        <w:gridCol w:w="1766"/>
        <w:gridCol w:w="365"/>
        <w:gridCol w:w="792"/>
        <w:gridCol w:w="1462"/>
        <w:gridCol w:w="1401"/>
        <w:gridCol w:w="913"/>
        <w:gridCol w:w="487"/>
      </w:tblGrid>
      <w:tr>
        <w:trPr>
          <w:tblHeader w:val="on"/>
        </w:trPr>
        <w:tc>
          <w:tcPr/>
          <w:p>
            <w:pPr>
              <w:pStyle w:val="Compact"/>
            </w:pPr>
            <w:r>
              <w:t xml:space="preserve">#</w:t>
            </w:r>
          </w:p>
        </w:tc>
        <w:tc>
          <w:tcPr/>
          <w:p>
            <w:pPr>
              <w:pStyle w:val="Compact"/>
            </w:pPr>
            <w:r>
              <w:t xml:space="preserve">Service</w:t>
            </w:r>
          </w:p>
        </w:tc>
        <w:tc>
          <w:tcPr/>
          <w:p>
            <w:pPr>
              <w:pStyle w:val="Compact"/>
            </w:pPr>
            <w:r>
              <w:t xml:space="preserve">Provider (example/planned)</w:t>
            </w:r>
          </w:p>
        </w:tc>
        <w:tc>
          <w:tcPr/>
          <w:p>
            <w:pPr>
              <w:pStyle w:val="Compact"/>
            </w:pPr>
            <w:r>
              <w:t xml:space="preserve">Tier</w:t>
            </w:r>
          </w:p>
        </w:tc>
        <w:tc>
          <w:tcPr/>
          <w:p>
            <w:pPr>
              <w:pStyle w:val="Compact"/>
            </w:pPr>
            <w:r>
              <w:t xml:space="preserve">CHD access?</w:t>
            </w:r>
          </w:p>
        </w:tc>
        <w:tc>
          <w:tcPr/>
          <w:p>
            <w:pPr>
              <w:pStyle w:val="Compact"/>
            </w:pPr>
            <w:r>
              <w:t xml:space="preserve">Data Processor (PDPA)?</w:t>
            </w:r>
          </w:p>
        </w:tc>
        <w:tc>
          <w:tcPr/>
          <w:p>
            <w:pPr>
              <w:pStyle w:val="Compact"/>
            </w:pPr>
            <w:r>
              <w:t xml:space="preserve">Domestic/Cross-border</w:t>
            </w:r>
          </w:p>
        </w:tc>
        <w:tc>
          <w:tcPr/>
          <w:p>
            <w:pPr>
              <w:pStyle w:val="Compact"/>
            </w:pPr>
            <w:r>
              <w:t xml:space="preserve">Evidence held</w:t>
            </w:r>
          </w:p>
        </w:tc>
        <w:tc>
          <w:tcPr/>
          <w:p>
            <w:pPr>
              <w:pStyle w:val="Compact"/>
            </w:pPr>
            <w:r>
              <w:t xml:space="preserve">Review</w:t>
            </w:r>
          </w:p>
        </w:tc>
      </w:tr>
      <w:tr>
        <w:tc>
          <w:tcPr/>
          <w:p>
            <w:pPr>
              <w:pStyle w:val="Compact"/>
            </w:pPr>
            <w:r>
              <w:t xml:space="preserve">1</w:t>
            </w:r>
          </w:p>
        </w:tc>
        <w:tc>
          <w:tcPr/>
          <w:p>
            <w:pPr>
              <w:pStyle w:val="Compact"/>
            </w:pPr>
            <w:r>
              <w:t xml:space="preserve">Sponsor bank / Acquirer / Card switch</w:t>
            </w:r>
          </w:p>
        </w:tc>
        <w:tc>
          <w:tcPr/>
          <w:p>
            <w:pPr>
              <w:pStyle w:val="Compact"/>
            </w:pPr>
            <w:r>
              <w:rPr>
                <w:b/>
                <w:bCs/>
              </w:rPr>
              <w:t xml:space="preserve">TODO — not finalized (see callout §12)</w:t>
            </w:r>
          </w:p>
        </w:tc>
        <w:tc>
          <w:tcPr/>
          <w:p>
            <w:pPr>
              <w:pStyle w:val="Compact"/>
            </w:pPr>
            <w:r>
              <w:t xml:space="preserve">1</w:t>
            </w:r>
          </w:p>
        </w:tc>
        <w:tc>
          <w:tcPr/>
          <w:p>
            <w:pPr>
              <w:pStyle w:val="Compact"/>
            </w:pPr>
            <w:r>
              <w:t xml:space="preserve">Indirect (routing)</w:t>
            </w:r>
          </w:p>
        </w:tc>
        <w:tc>
          <w:tcPr/>
          <w:p>
            <w:pPr>
              <w:pStyle w:val="Compact"/>
            </w:pPr>
            <w:r>
              <w:t xml:space="preserve">No (controller-to-controller)</w:t>
            </w:r>
          </w:p>
        </w:tc>
        <w:tc>
          <w:tcPr/>
          <w:p>
            <w:pPr>
              <w:pStyle w:val="Compact"/>
            </w:pPr>
            <w:r>
              <w:t xml:space="preserve">Domestic</w:t>
            </w:r>
          </w:p>
        </w:tc>
        <w:tc>
          <w:tcPr/>
          <w:p>
            <w:pPr>
              <w:pStyle w:val="Compact"/>
            </w:pPr>
            <w:r>
              <w:t xml:space="preserve">Acquiring contract, scheme cert</w:t>
            </w:r>
          </w:p>
        </w:tc>
        <w:tc>
          <w:tcPr/>
          <w:p>
            <w:pPr>
              <w:pStyle w:val="Compact"/>
            </w:pPr>
            <w:r>
              <w:t xml:space="preserve">12 mo</w:t>
            </w:r>
          </w:p>
        </w:tc>
      </w:tr>
      <w:tr>
        <w:tc>
          <w:tcPr/>
          <w:p>
            <w:pPr>
              <w:pStyle w:val="Compact"/>
            </w:pPr>
            <w:r>
              <w:t xml:space="preserve">2</w:t>
            </w:r>
          </w:p>
        </w:tc>
        <w:tc>
          <w:tcPr/>
          <w:p>
            <w:pPr>
              <w:pStyle w:val="Compact"/>
            </w:pPr>
            <w:r>
              <w:t xml:space="preserve">Cloud / IaaS</w:t>
            </w:r>
          </w:p>
        </w:tc>
        <w:tc>
          <w:tcPr/>
          <w:p>
            <w:pPr>
              <w:pStyle w:val="Compact"/>
            </w:pPr>
            <w:r>
              <w:t xml:space="preserve">e.g. AWS/GCP ap-southeast (TH region when available) —</w:t>
            </w:r>
            <w:r>
              <w:t xml:space="preserve"> </w:t>
            </w:r>
            <w:r>
              <w:rPr>
                <w:b/>
                <w:bCs/>
              </w:rPr>
              <w:t xml:space="preserve">TODO confirm data residency</w:t>
            </w:r>
          </w:p>
        </w:tc>
        <w:tc>
          <w:tcPr/>
          <w:p>
            <w:pPr>
              <w:pStyle w:val="Compact"/>
            </w:pPr>
            <w:r>
              <w:t xml:space="preserve">1</w:t>
            </w:r>
          </w:p>
        </w:tc>
        <w:tc>
          <w:tcPr/>
          <w:p>
            <w:pPr>
              <w:pStyle w:val="Compact"/>
            </w:pPr>
            <w:r>
              <w:t xml:space="preserve">Yes (hosts CDE)</w:t>
            </w:r>
          </w:p>
        </w:tc>
        <w:tc>
          <w:tcPr/>
          <w:p>
            <w:pPr>
              <w:pStyle w:val="Compact"/>
            </w:pPr>
            <w:r>
              <w:t xml:space="preserve">Yes (sub-processor)</w:t>
            </w:r>
          </w:p>
        </w:tc>
        <w:tc>
          <w:tcPr/>
          <w:p>
            <w:pPr>
              <w:pStyle w:val="Compact"/>
            </w:pPr>
            <w:r>
              <w:rPr>
                <w:b/>
                <w:bCs/>
              </w:rPr>
              <w:t xml:space="preserve">Must confirm TH residency</w:t>
            </w:r>
            <w:r>
              <w:t xml:space="preserve"> </w:t>
            </w:r>
            <w:r>
              <w:t xml:space="preserve">(ARCH §8)</w:t>
            </w:r>
          </w:p>
        </w:tc>
        <w:tc>
          <w:tcPr/>
          <w:p>
            <w:pPr>
              <w:pStyle w:val="Compact"/>
            </w:pPr>
            <w:r>
              <w:t xml:space="preserve">PCI AoC, SOC 2 Type II, ISO 27001, DPA</w:t>
            </w:r>
          </w:p>
        </w:tc>
        <w:tc>
          <w:tcPr/>
          <w:p>
            <w:pPr>
              <w:pStyle w:val="Compact"/>
            </w:pPr>
            <w:r>
              <w:t xml:space="preserve">12 mo</w:t>
            </w:r>
          </w:p>
        </w:tc>
      </w:tr>
      <w:tr>
        <w:tc>
          <w:tcPr/>
          <w:p>
            <w:pPr>
              <w:pStyle w:val="Compact"/>
            </w:pPr>
            <w:r>
              <w:t xml:space="preserve">3</w:t>
            </w:r>
          </w:p>
        </w:tc>
        <w:tc>
          <w:tcPr/>
          <w:p>
            <w:pPr>
              <w:pStyle w:val="Compact"/>
            </w:pPr>
            <w:r>
              <w:t xml:space="preserve">HSM / KMS</w:t>
            </w:r>
          </w:p>
        </w:tc>
        <w:tc>
          <w:tcPr/>
          <w:p>
            <w:pPr>
              <w:pStyle w:val="Compact"/>
            </w:pPr>
            <w:r>
              <w:t xml:space="preserve">Cloud HSM or on-prem PCI-PTS HSM —</w:t>
            </w:r>
            <w:r>
              <w:t xml:space="preserve"> </w:t>
            </w:r>
            <w:r>
              <w:rPr>
                <w:b/>
                <w:bCs/>
              </w:rPr>
              <w:t xml:space="preserve">TODO</w:t>
            </w:r>
          </w:p>
        </w:tc>
        <w:tc>
          <w:tcPr/>
          <w:p>
            <w:pPr>
              <w:pStyle w:val="Compact"/>
            </w:pPr>
            <w:r>
              <w:t xml:space="preserve">1</w:t>
            </w:r>
          </w:p>
        </w:tc>
        <w:tc>
          <w:tcPr/>
          <w:p>
            <w:pPr>
              <w:pStyle w:val="Compact"/>
            </w:pPr>
            <w:r>
              <w:t xml:space="preserve">Yes (PAN keys)</w:t>
            </w:r>
          </w:p>
        </w:tc>
        <w:tc>
          <w:tcPr/>
          <w:p>
            <w:pPr>
              <w:pStyle w:val="Compact"/>
            </w:pPr>
            <w:r>
              <w:t xml:space="preserve">No (holds keys, not PII)</w:t>
            </w:r>
          </w:p>
        </w:tc>
        <w:tc>
          <w:tcPr/>
          <w:p>
            <w:pPr>
              <w:pStyle w:val="Compact"/>
            </w:pPr>
            <w:r>
              <w:t xml:space="preserve">Domestic</w:t>
            </w:r>
          </w:p>
        </w:tc>
        <w:tc>
          <w:tcPr/>
          <w:p>
            <w:pPr>
              <w:pStyle w:val="Compact"/>
            </w:pPr>
            <w:r>
              <w:t xml:space="preserve">FIPS 140-2/3 L3+, PCI AoC</w:t>
            </w:r>
          </w:p>
        </w:tc>
        <w:tc>
          <w:tcPr/>
          <w:p>
            <w:pPr>
              <w:pStyle w:val="Compact"/>
            </w:pPr>
            <w:r>
              <w:t xml:space="preserve">12 mo</w:t>
            </w:r>
          </w:p>
        </w:tc>
      </w:tr>
      <w:tr>
        <w:tc>
          <w:tcPr/>
          <w:p>
            <w:pPr>
              <w:pStyle w:val="Compact"/>
            </w:pPr>
            <w:r>
              <w:t xml:space="preserve">4</w:t>
            </w:r>
          </w:p>
        </w:tc>
        <w:tc>
          <w:tcPr/>
          <w:p>
            <w:pPr>
              <w:pStyle w:val="Compact"/>
            </w:pPr>
            <w:r>
              <w:t xml:space="preserve">Tokenization Vault (if external)</w:t>
            </w:r>
          </w:p>
        </w:tc>
        <w:tc>
          <w:tcPr/>
          <w:p>
            <w:pPr>
              <w:pStyle w:val="Compact"/>
            </w:pPr>
            <w:r>
              <w:rPr>
                <w:b/>
                <w:bCs/>
              </w:rPr>
              <w:t xml:space="preserve">TODO — build vs buy</w:t>
            </w:r>
            <w:r>
              <w:t xml:space="preserve"> </w:t>
            </w:r>
            <w:r>
              <w:t xml:space="preserve">(ARCH §4)</w:t>
            </w:r>
          </w:p>
        </w:tc>
        <w:tc>
          <w:tcPr/>
          <w:p>
            <w:pPr>
              <w:pStyle w:val="Compact"/>
            </w:pPr>
            <w:r>
              <w:t xml:space="preserve">1</w:t>
            </w:r>
          </w:p>
        </w:tc>
        <w:tc>
          <w:tcPr/>
          <w:p>
            <w:pPr>
              <w:pStyle w:val="Compact"/>
            </w:pPr>
            <w:r>
              <w:t xml:space="preserve">Yes (PAN)</w:t>
            </w:r>
          </w:p>
        </w:tc>
        <w:tc>
          <w:tcPr/>
          <w:p>
            <w:pPr>
              <w:pStyle w:val="Compact"/>
            </w:pPr>
            <w:r>
              <w:t xml:space="preserve">Yes</w:t>
            </w:r>
          </w:p>
        </w:tc>
        <w:tc>
          <w:tcPr/>
          <w:p>
            <w:pPr>
              <w:pStyle w:val="Compact"/>
            </w:pPr>
            <w:r>
              <w:t xml:space="preserve">Must be TH</w:t>
            </w:r>
          </w:p>
        </w:tc>
        <w:tc>
          <w:tcPr/>
          <w:p>
            <w:pPr>
              <w:pStyle w:val="Compact"/>
            </w:pPr>
            <w:r>
              <w:t xml:space="preserve">PCI AoC, token scheme</w:t>
            </w:r>
          </w:p>
        </w:tc>
        <w:tc>
          <w:tcPr/>
          <w:p>
            <w:pPr>
              <w:pStyle w:val="Compact"/>
            </w:pPr>
            <w:r>
              <w:t xml:space="preserve">12 mo</w:t>
            </w:r>
          </w:p>
        </w:tc>
      </w:tr>
      <w:tr>
        <w:tc>
          <w:tcPr/>
          <w:p>
            <w:pPr>
              <w:pStyle w:val="Compact"/>
            </w:pPr>
            <w:r>
              <w:t xml:space="preserve">5</w:t>
            </w:r>
          </w:p>
        </w:tc>
        <w:tc>
          <w:tcPr/>
          <w:p>
            <w:pPr>
              <w:pStyle w:val="Compact"/>
            </w:pPr>
            <w:r>
              <w:t xml:space="preserve">3-D Secure (ACS/DS/3DS Server)</w:t>
            </w:r>
          </w:p>
        </w:tc>
        <w:tc>
          <w:tcPr/>
          <w:p>
            <w:pPr>
              <w:pStyle w:val="Compact"/>
            </w:pPr>
            <w:r>
              <w:t xml:space="preserve">EMV 3DS v2.x provider —</w:t>
            </w:r>
            <w:r>
              <w:t xml:space="preserve"> </w:t>
            </w:r>
            <w:r>
              <w:rPr>
                <w:b/>
                <w:bCs/>
              </w:rPr>
              <w:t xml:space="preserve">TODO</w:t>
            </w:r>
          </w:p>
        </w:tc>
        <w:tc>
          <w:tcPr/>
          <w:p>
            <w:pPr>
              <w:pStyle w:val="Compact"/>
            </w:pPr>
            <w:r>
              <w:t xml:space="preserve">1</w:t>
            </w:r>
          </w:p>
        </w:tc>
        <w:tc>
          <w:tcPr/>
          <w:p>
            <w:pPr>
              <w:pStyle w:val="Compact"/>
            </w:pPr>
            <w:r>
              <w:t xml:space="preserve">Auth data</w:t>
            </w:r>
          </w:p>
        </w:tc>
        <w:tc>
          <w:tcPr/>
          <w:p>
            <w:pPr>
              <w:pStyle w:val="Compact"/>
            </w:pPr>
            <w:r>
              <w:t xml:space="preserve">Yes</w:t>
            </w:r>
          </w:p>
        </w:tc>
        <w:tc>
          <w:tcPr/>
          <w:p>
            <w:pPr>
              <w:pStyle w:val="Compact"/>
            </w:pPr>
            <w:r>
              <w:t xml:space="preserve">Must confirm</w:t>
            </w:r>
          </w:p>
        </w:tc>
        <w:tc>
          <w:tcPr/>
          <w:p>
            <w:pPr>
              <w:pStyle w:val="Compact"/>
            </w:pPr>
            <w:r>
              <w:t xml:space="preserve">EMVCo approval, PCI 3DS AoC</w:t>
            </w:r>
          </w:p>
        </w:tc>
        <w:tc>
          <w:tcPr/>
          <w:p>
            <w:pPr>
              <w:pStyle w:val="Compact"/>
            </w:pPr>
            <w:r>
              <w:t xml:space="preserve">12 mo</w:t>
            </w:r>
          </w:p>
        </w:tc>
      </w:tr>
      <w:tr>
        <w:tc>
          <w:tcPr/>
          <w:p>
            <w:pPr>
              <w:pStyle w:val="Compact"/>
            </w:pPr>
            <w:r>
              <w:t xml:space="preserve">6</w:t>
            </w:r>
          </w:p>
        </w:tc>
        <w:tc>
          <w:tcPr/>
          <w:p>
            <w:pPr>
              <w:pStyle w:val="Compact"/>
            </w:pPr>
            <w:r>
              <w:t xml:space="preserve">KYC/CDD/e-KYC + Sanction screening</w:t>
            </w:r>
          </w:p>
        </w:tc>
        <w:tc>
          <w:tcPr/>
          <w:p>
            <w:pPr>
              <w:pStyle w:val="Compact"/>
            </w:pPr>
            <w:r>
              <w:t xml:space="preserve">Screening provider (UN/OFAC/AMLO lists) —</w:t>
            </w:r>
            <w:r>
              <w:t xml:space="preserve"> </w:t>
            </w:r>
            <w:r>
              <w:rPr>
                <w:b/>
                <w:bCs/>
              </w:rPr>
              <w:t xml:space="preserve">TODO</w:t>
            </w:r>
          </w:p>
        </w:tc>
        <w:tc>
          <w:tcPr/>
          <w:p>
            <w:pPr>
              <w:pStyle w:val="Compact"/>
            </w:pPr>
            <w:r>
              <w:t xml:space="preserve">1</w:t>
            </w:r>
          </w:p>
        </w:tc>
        <w:tc>
          <w:tcPr/>
          <w:p>
            <w:pPr>
              <w:pStyle w:val="Compact"/>
            </w:pPr>
            <w:r>
              <w:t xml:space="preserve">PII (identity)</w:t>
            </w:r>
          </w:p>
        </w:tc>
        <w:tc>
          <w:tcPr/>
          <w:p>
            <w:pPr>
              <w:pStyle w:val="Compact"/>
            </w:pPr>
            <w:r>
              <w:t xml:space="preserve">Yes</w:t>
            </w:r>
          </w:p>
        </w:tc>
        <w:tc>
          <w:tcPr/>
          <w:p>
            <w:pPr>
              <w:pStyle w:val="Compact"/>
            </w:pPr>
            <w:r>
              <w:t xml:space="preserve">Must confirm</w:t>
            </w:r>
          </w:p>
        </w:tc>
        <w:tc>
          <w:tcPr/>
          <w:p>
            <w:pPr>
              <w:pStyle w:val="Compact"/>
            </w:pPr>
            <w:r>
              <w:t xml:space="preserve">DPA, ISO 27001, list coverage</w:t>
            </w:r>
          </w:p>
        </w:tc>
        <w:tc>
          <w:tcPr/>
          <w:p>
            <w:pPr>
              <w:pStyle w:val="Compact"/>
            </w:pPr>
            <w:r>
              <w:t xml:space="preserve">12 mo</w:t>
            </w:r>
          </w:p>
        </w:tc>
      </w:tr>
      <w:tr>
        <w:tc>
          <w:tcPr/>
          <w:p>
            <w:pPr>
              <w:pStyle w:val="Compact"/>
            </w:pPr>
            <w:r>
              <w:t xml:space="preserve">7</w:t>
            </w:r>
          </w:p>
        </w:tc>
        <w:tc>
          <w:tcPr/>
          <w:p>
            <w:pPr>
              <w:pStyle w:val="Compact"/>
            </w:pPr>
            <w:r>
              <w:t xml:space="preserve">QSA + ASV + Pentest</w:t>
            </w:r>
          </w:p>
        </w:tc>
        <w:tc>
          <w:tcPr/>
          <w:p>
            <w:pPr>
              <w:pStyle w:val="Compact"/>
            </w:pPr>
            <w:r>
              <w:rPr>
                <w:b/>
                <w:bCs/>
              </w:rPr>
              <w:t xml:space="preserve">TODO — not engaged (see</w:t>
            </w:r>
            <w:r>
              <w:rPr>
                <w:b/>
                <w:bCs/>
              </w:rPr>
              <w:t xml:space="preserve"> </w:t>
            </w:r>
            <w:r>
              <w:rPr>
                <w:rStyle w:val="VerbatimChar"/>
                <w:b/>
                <w:bCs/>
              </w:rPr>
              <w:t xml:space="preserve">23-qsa-asv-pentest-plan.md</w:t>
            </w:r>
            <w:r>
              <w:rPr>
                <w:b/>
                <w:bCs/>
              </w:rPr>
              <w:t xml:space="preserve">)</w:t>
            </w:r>
          </w:p>
        </w:tc>
        <w:tc>
          <w:tcPr/>
          <w:p>
            <w:pPr>
              <w:pStyle w:val="Compact"/>
            </w:pPr>
            <w:r>
              <w:t xml:space="preserve">1/2</w:t>
            </w:r>
          </w:p>
        </w:tc>
        <w:tc>
          <w:tcPr/>
          <w:p>
            <w:pPr>
              <w:pStyle w:val="Compact"/>
            </w:pPr>
            <w:r>
              <w:t xml:space="preserve">May view scope</w:t>
            </w:r>
          </w:p>
        </w:tc>
        <w:tc>
          <w:tcPr/>
          <w:p>
            <w:pPr>
              <w:pStyle w:val="Compact"/>
            </w:pPr>
            <w:r>
              <w:t xml:space="preserve">Limited (under NDA)</w:t>
            </w:r>
          </w:p>
        </w:tc>
        <w:tc>
          <w:tcPr/>
          <w:p>
            <w:pPr>
              <w:pStyle w:val="Compact"/>
            </w:pPr>
            <w:r>
              <w:t xml:space="preserve">—</w:t>
            </w:r>
          </w:p>
        </w:tc>
        <w:tc>
          <w:tcPr/>
          <w:p>
            <w:pPr>
              <w:pStyle w:val="Compact"/>
            </w:pPr>
            <w:r>
              <w:t xml:space="preserve">PCI SSC listing</w:t>
            </w:r>
          </w:p>
        </w:tc>
        <w:tc>
          <w:tcPr/>
          <w:p>
            <w:pPr>
              <w:pStyle w:val="Compact"/>
            </w:pPr>
            <w:r>
              <w:t xml:space="preserve">per engagement</w:t>
            </w:r>
          </w:p>
        </w:tc>
      </w:tr>
      <w:tr>
        <w:tc>
          <w:tcPr/>
          <w:p>
            <w:pPr>
              <w:pStyle w:val="Compact"/>
            </w:pPr>
            <w:r>
              <w:t xml:space="preserve">8</w:t>
            </w:r>
          </w:p>
        </w:tc>
        <w:tc>
          <w:tcPr/>
          <w:p>
            <w:pPr>
              <w:pStyle w:val="Compact"/>
            </w:pPr>
            <w:r>
              <w:t xml:space="preserve">SIEM / Log / Monitoring</w:t>
            </w:r>
          </w:p>
        </w:tc>
        <w:tc>
          <w:tcPr/>
          <w:p>
            <w:pPr>
              <w:pStyle w:val="Compact"/>
            </w:pPr>
            <w:r>
              <w:t xml:space="preserve">SaaS observability</w:t>
            </w:r>
          </w:p>
        </w:tc>
        <w:tc>
          <w:tcPr/>
          <w:p>
            <w:pPr>
              <w:pStyle w:val="Compact"/>
            </w:pPr>
            <w:r>
              <w:t xml:space="preserve">2</w:t>
            </w:r>
          </w:p>
        </w:tc>
        <w:tc>
          <w:tcPr/>
          <w:p>
            <w:pPr>
              <w:pStyle w:val="Compact"/>
            </w:pPr>
            <w:r>
              <w:t xml:space="preserve">Should hold no CHD (masking)</w:t>
            </w:r>
          </w:p>
        </w:tc>
        <w:tc>
          <w:tcPr/>
          <w:p>
            <w:pPr>
              <w:pStyle w:val="Compact"/>
            </w:pPr>
            <w:r>
              <w:t xml:space="preserve">Yes (logs may hold PII)</w:t>
            </w:r>
          </w:p>
        </w:tc>
        <w:tc>
          <w:tcPr/>
          <w:p>
            <w:pPr>
              <w:pStyle w:val="Compact"/>
            </w:pPr>
            <w:r>
              <w:t xml:space="preserve">Must confirm</w:t>
            </w:r>
          </w:p>
        </w:tc>
        <w:tc>
          <w:tcPr/>
          <w:p>
            <w:pPr>
              <w:pStyle w:val="Compact"/>
            </w:pPr>
            <w:r>
              <w:t xml:space="preserve">SOC 2, DPA, masking config</w:t>
            </w:r>
          </w:p>
        </w:tc>
        <w:tc>
          <w:tcPr/>
          <w:p>
            <w:pPr>
              <w:pStyle w:val="Compact"/>
            </w:pPr>
            <w:r>
              <w:t xml:space="preserve">12–24 mo</w:t>
            </w:r>
          </w:p>
        </w:tc>
      </w:tr>
      <w:tr>
        <w:tc>
          <w:tcPr/>
          <w:p>
            <w:pPr>
              <w:pStyle w:val="Compact"/>
            </w:pPr>
            <w:r>
              <w:t xml:space="preserve">9</w:t>
            </w:r>
          </w:p>
        </w:tc>
        <w:tc>
          <w:tcPr/>
          <w:p>
            <w:pPr>
              <w:pStyle w:val="Compact"/>
            </w:pPr>
            <w:r>
              <w:t xml:space="preserve">Notification (email/SMS/LINE)</w:t>
            </w:r>
          </w:p>
        </w:tc>
        <w:tc>
          <w:tcPr/>
          <w:p>
            <w:pPr>
              <w:pStyle w:val="Compact"/>
            </w:pPr>
            <w:r>
              <w:t xml:space="preserve">Messaging provider</w:t>
            </w:r>
          </w:p>
        </w:tc>
        <w:tc>
          <w:tcPr/>
          <w:p>
            <w:pPr>
              <w:pStyle w:val="Compact"/>
            </w:pPr>
            <w:r>
              <w:t xml:space="preserve">2</w:t>
            </w:r>
          </w:p>
        </w:tc>
        <w:tc>
          <w:tcPr/>
          <w:p>
            <w:pPr>
              <w:pStyle w:val="Compact"/>
            </w:pPr>
            <w:r>
              <w:t xml:space="preserve">No</w:t>
            </w:r>
          </w:p>
        </w:tc>
        <w:tc>
          <w:tcPr/>
          <w:p>
            <w:pPr>
              <w:pStyle w:val="Compact"/>
            </w:pPr>
            <w:r>
              <w:t xml:space="preserve">Yes</w:t>
            </w:r>
          </w:p>
        </w:tc>
        <w:tc>
          <w:tcPr/>
          <w:p>
            <w:pPr>
              <w:pStyle w:val="Compact"/>
            </w:pPr>
            <w:r>
              <w:t xml:space="preserve">Must confirm</w:t>
            </w:r>
          </w:p>
        </w:tc>
        <w:tc>
          <w:tcPr/>
          <w:p>
            <w:pPr>
              <w:pStyle w:val="Compact"/>
            </w:pPr>
            <w:r>
              <w:t xml:space="preserve">DPA</w:t>
            </w:r>
          </w:p>
        </w:tc>
        <w:tc>
          <w:tcPr/>
          <w:p>
            <w:pPr>
              <w:pStyle w:val="Compact"/>
            </w:pPr>
            <w:r>
              <w:t xml:space="preserve">24 mo</w:t>
            </w:r>
          </w:p>
        </w:tc>
      </w:tr>
      <w:tr>
        <w:tc>
          <w:tcPr/>
          <w:p>
            <w:pPr>
              <w:pStyle w:val="Compact"/>
            </w:pPr>
            <w:r>
              <w:t xml:space="preserve">10</w:t>
            </w:r>
          </w:p>
        </w:tc>
        <w:tc>
          <w:tcPr/>
          <w:p>
            <w:pPr>
              <w:pStyle w:val="Compact"/>
            </w:pPr>
            <w:r>
              <w:t xml:space="preserve">WAF / DDoS / CDN</w:t>
            </w:r>
          </w:p>
        </w:tc>
        <w:tc>
          <w:tcPr/>
          <w:p>
            <w:pPr>
              <w:pStyle w:val="Compact"/>
            </w:pPr>
            <w:r>
              <w:t xml:space="preserve">Edge security provider</w:t>
            </w:r>
          </w:p>
        </w:tc>
        <w:tc>
          <w:tcPr/>
          <w:p>
            <w:pPr>
              <w:pStyle w:val="Compact"/>
            </w:pPr>
            <w:r>
              <w:t xml:space="preserve">2</w:t>
            </w:r>
          </w:p>
        </w:tc>
        <w:tc>
          <w:tcPr/>
          <w:p>
            <w:pPr>
              <w:pStyle w:val="Compact"/>
            </w:pPr>
            <w:r>
              <w:t xml:space="preserve">TLS termination? (avoid)</w:t>
            </w:r>
          </w:p>
        </w:tc>
        <w:tc>
          <w:tcPr/>
          <w:p>
            <w:pPr>
              <w:pStyle w:val="Compact"/>
            </w:pPr>
            <w:r>
              <w:t xml:space="preserve">Limited</w:t>
            </w:r>
          </w:p>
        </w:tc>
        <w:tc>
          <w:tcPr/>
          <w:p>
            <w:pPr>
              <w:pStyle w:val="Compact"/>
            </w:pPr>
            <w:r>
              <w:t xml:space="preserve">Must confirm</w:t>
            </w:r>
          </w:p>
        </w:tc>
        <w:tc>
          <w:tcPr/>
          <w:p>
            <w:pPr>
              <w:pStyle w:val="Compact"/>
            </w:pPr>
            <w:r>
              <w:t xml:space="preserve">SOC 2, PCI AoC if TLS-terminating</w:t>
            </w:r>
          </w:p>
        </w:tc>
        <w:tc>
          <w:tcPr/>
          <w:p>
            <w:pPr>
              <w:pStyle w:val="Compact"/>
            </w:pPr>
            <w:r>
              <w:t xml:space="preserve">12 mo</w:t>
            </w:r>
          </w:p>
        </w:tc>
      </w:tr>
    </w:tbl>
    <w:p>
      <w:pPr>
        <w:pStyle w:val="BlockText"/>
      </w:pPr>
      <w:r>
        <w:rPr>
          <w:b/>
          <w:bCs/>
        </w:rPr>
        <w:t xml:space="preserve">TODO before submission:</w:t>
      </w:r>
      <w:r>
        <w:t xml:space="preserve"> </w:t>
      </w:r>
      <w:r>
        <w:t xml:space="preserve">populate real provider names, contract numbers, PCI AoC expiry, provider DPO contact,</w:t>
      </w:r>
      <w:r>
        <w:t xml:space="preserve"> </w:t>
      </w:r>
      <w:r>
        <w:t xml:space="preserve">and concentration flags (one provider covering multiple functions) — see §12.</w:t>
      </w:r>
    </w:p>
    <w:p>
      <w:r>
        <w:pict>
          <v:rect style="width:0;height:1.5pt" o:hralign="center" o:hrstd="t" o:hr="t"/>
        </w:pict>
      </w:r>
    </w:p>
    <w:bookmarkEnd w:id="1089"/>
    <w:bookmarkStart w:id="1090" w:name="pre-engagement-due-diligence"/>
    <w:p>
      <w:pPr>
        <w:pStyle w:val="Heading2"/>
      </w:pPr>
      <w:r>
        <w:t xml:space="preserve">5. Pre-engagement Due Diligence</w:t>
      </w:r>
    </w:p>
    <w:p>
      <w:pPr>
        <w:pStyle w:val="FirstParagraph"/>
      </w:pPr>
      <w:r>
        <w:t xml:space="preserve">All</w:t>
      </w:r>
      <w:r>
        <w:t xml:space="preserve"> </w:t>
      </w:r>
      <w:r>
        <w:rPr>
          <w:b/>
          <w:bCs/>
        </w:rPr>
        <w:t xml:space="preserve">Tier 1/Tier 2</w:t>
      </w:r>
      <w:r>
        <w:t xml:space="preserve"> </w:t>
      </w:r>
      <w:r>
        <w:t xml:space="preserve">providers pass due diligence before signing, assessing:</w:t>
      </w:r>
    </w:p>
    <w:tbl>
      <w:tblPr>
        <w:tblStyle w:val="Table"/>
        <w:tblW w:type="pct" w:w="5000"/>
        <w:tblLayout w:type="fixed"/>
        <w:tblLook w:firstRow="1" w:lastRow="0" w:firstColumn="0" w:lastColumn="0" w:noHBand="0" w:noVBand="0" w:val="0020"/>
      </w:tblPr>
      <w:tblGrid>
        <w:gridCol w:w="2066"/>
        <w:gridCol w:w="2410"/>
        <w:gridCol w:w="3443"/>
      </w:tblGrid>
      <w:tr>
        <w:trPr>
          <w:tblHeader w:val="on"/>
        </w:trPr>
        <w:tc>
          <w:tcPr/>
          <w:p>
            <w:pPr>
              <w:pStyle w:val="Compact"/>
            </w:pPr>
            <w:r>
              <w:t xml:space="preserve">Area</w:t>
            </w:r>
          </w:p>
        </w:tc>
        <w:tc>
          <w:tcPr/>
          <w:p>
            <w:pPr>
              <w:pStyle w:val="Compact"/>
            </w:pPr>
            <w:r>
              <w:t xml:space="preserve">Check</w:t>
            </w:r>
          </w:p>
        </w:tc>
        <w:tc>
          <w:tcPr/>
          <w:p>
            <w:pPr>
              <w:pStyle w:val="Compact"/>
            </w:pPr>
            <w:r>
              <w:t xml:space="preserve">Evidence</w:t>
            </w:r>
          </w:p>
        </w:tc>
      </w:tr>
      <w:tr>
        <w:tc>
          <w:tcPr/>
          <w:p>
            <w:pPr>
              <w:pStyle w:val="Compact"/>
            </w:pPr>
            <w:r>
              <w:t xml:space="preserve">Financial</w:t>
            </w:r>
          </w:p>
        </w:tc>
        <w:tc>
          <w:tcPr/>
          <w:p>
            <w:pPr>
              <w:pStyle w:val="Compact"/>
            </w:pPr>
            <w:r>
              <w:t xml:space="preserve">Stability, ability to sustain service</w:t>
            </w:r>
          </w:p>
        </w:tc>
        <w:tc>
          <w:tcPr/>
          <w:p>
            <w:pPr>
              <w:pStyle w:val="Compact"/>
            </w:pPr>
            <w:r>
              <w:t xml:space="preserve">Financials, credit check</w:t>
            </w:r>
          </w:p>
        </w:tc>
      </w:tr>
      <w:tr>
        <w:tc>
          <w:tcPr/>
          <w:p>
            <w:pPr>
              <w:pStyle w:val="Compact"/>
            </w:pPr>
            <w:r>
              <w:t xml:space="preserve">Security/PCI</w:t>
            </w:r>
          </w:p>
        </w:tc>
        <w:tc>
          <w:tcPr/>
          <w:p>
            <w:pPr>
              <w:pStyle w:val="Compact"/>
            </w:pPr>
            <w:r>
              <w:t xml:space="preserve">Current PCI status, scope, exceptions</w:t>
            </w:r>
          </w:p>
        </w:tc>
        <w:tc>
          <w:tcPr/>
          <w:p>
            <w:pPr>
              <w:pStyle w:val="Compact"/>
            </w:pPr>
            <w:r>
              <w:rPr>
                <w:b/>
                <w:bCs/>
              </w:rPr>
              <w:t xml:space="preserve">PCI AoC/RoC</w:t>
            </w:r>
            <w:r>
              <w:t xml:space="preserve">, SOC 2 Type II, ISO 27001</w:t>
            </w:r>
          </w:p>
        </w:tc>
      </w:tr>
      <w:tr>
        <w:tc>
          <w:tcPr/>
          <w:p>
            <w:pPr>
              <w:pStyle w:val="Compact"/>
            </w:pPr>
            <w:r>
              <w:t xml:space="preserve">PDPA</w:t>
            </w:r>
          </w:p>
        </w:tc>
        <w:tc>
          <w:tcPr/>
          <w:p>
            <w:pPr>
              <w:pStyle w:val="Compact"/>
            </w:pPr>
            <w:r>
              <w:t xml:space="preserve">Processor status, safeguards, cross-border</w:t>
            </w:r>
          </w:p>
        </w:tc>
        <w:tc>
          <w:tcPr/>
          <w:p>
            <w:pPr>
              <w:pStyle w:val="Compact"/>
            </w:pPr>
            <w:r>
              <w:t xml:space="preserve">DPA readiness, RoPA</w:t>
            </w:r>
          </w:p>
        </w:tc>
      </w:tr>
      <w:tr>
        <w:tc>
          <w:tcPr/>
          <w:p>
            <w:pPr>
              <w:pStyle w:val="Compact"/>
            </w:pPr>
            <w:r>
              <w:t xml:space="preserve">BCP/DR</w:t>
            </w:r>
          </w:p>
        </w:tc>
        <w:tc>
          <w:tcPr/>
          <w:p>
            <w:pPr>
              <w:pStyle w:val="Compact"/>
            </w:pPr>
            <w:r>
              <w:t xml:space="preserve">Provider RTO/RPO vs ours, DR test results</w:t>
            </w:r>
          </w:p>
        </w:tc>
        <w:tc>
          <w:tcPr/>
          <w:p>
            <w:pPr>
              <w:pStyle w:val="Compact"/>
            </w:pPr>
            <w:r>
              <w:t xml:space="preserve">BCP/DR summary, latest DR test</w:t>
            </w:r>
          </w:p>
        </w:tc>
      </w:tr>
      <w:tr>
        <w:tc>
          <w:tcPr/>
          <w:p>
            <w:pPr>
              <w:pStyle w:val="Compact"/>
            </w:pPr>
            <w:r>
              <w:t xml:space="preserve">AML/reputation</w:t>
            </w:r>
          </w:p>
        </w:tc>
        <w:tc>
          <w:tcPr/>
          <w:p>
            <w:pPr>
              <w:pStyle w:val="Compact"/>
            </w:pPr>
            <w:r>
              <w:t xml:space="preserve">Sanction-screen provider/UBO, adverse media</w:t>
            </w:r>
          </w:p>
        </w:tc>
        <w:tc>
          <w:tcPr/>
          <w:p>
            <w:pPr>
              <w:pStyle w:val="Compact"/>
            </w:pPr>
            <w:r>
              <w:t xml:space="preserve">Screening results</w:t>
            </w:r>
          </w:p>
        </w:tc>
      </w:tr>
      <w:tr>
        <w:tc>
          <w:tcPr/>
          <w:p>
            <w:pPr>
              <w:pStyle w:val="Compact"/>
            </w:pPr>
            <w:r>
              <w:t xml:space="preserve">Sub-outsourcing</w:t>
            </w:r>
          </w:p>
        </w:tc>
        <w:tc>
          <w:tcPr/>
          <w:p>
            <w:pPr>
              <w:pStyle w:val="Compact"/>
            </w:pPr>
            <w:r>
              <w:t xml:space="preserve">4th parties and controls</w:t>
            </w:r>
          </w:p>
        </w:tc>
        <w:tc>
          <w:tcPr/>
          <w:p>
            <w:pPr>
              <w:pStyle w:val="Compact"/>
            </w:pPr>
            <w:r>
              <w:t xml:space="preserve">Sub-processor list</w:t>
            </w:r>
          </w:p>
        </w:tc>
      </w:tr>
      <w:tr>
        <w:tc>
          <w:tcPr/>
          <w:p>
            <w:pPr>
              <w:pStyle w:val="Compact"/>
            </w:pPr>
            <w:r>
              <w:t xml:space="preserve">Concentration</w:t>
            </w:r>
          </w:p>
        </w:tc>
        <w:tc>
          <w:tcPr/>
          <w:p>
            <w:pPr>
              <w:pStyle w:val="Compact"/>
            </w:pPr>
            <w:r>
              <w:t xml:space="preserve">Overlap with existing providers (SPOF)</w:t>
            </w:r>
          </w:p>
        </w:tc>
        <w:tc>
          <w:tcPr/>
          <w:p>
            <w:pPr>
              <w:pStyle w:val="Compact"/>
            </w:pPr>
            <w:r>
              <w:t xml:space="preserve">Internal mapping</w:t>
            </w:r>
          </w:p>
        </w:tc>
      </w:tr>
    </w:tbl>
    <w:p>
      <w:pPr>
        <w:pStyle w:val="BodyText"/>
      </w:pPr>
      <w:r>
        <w:t xml:space="preserve">Output: a</w:t>
      </w:r>
      <w:r>
        <w:t xml:space="preserve"> </w:t>
      </w:r>
      <w:r>
        <w:rPr>
          <w:b/>
          <w:bCs/>
        </w:rPr>
        <w:t xml:space="preserve">Vendor Risk Assessment Report</w:t>
      </w:r>
      <w:r>
        <w:t xml:space="preserve"> </w:t>
      </w:r>
      <w:r>
        <w:t xml:space="preserve">with a risk score (§6). Tier 1 requires</w:t>
      </w:r>
      <w:r>
        <w:t xml:space="preserve"> </w:t>
      </w:r>
      <w:r>
        <w:rPr>
          <w:b/>
          <w:bCs/>
        </w:rPr>
        <w:t xml:space="preserve">ORC</w:t>
      </w:r>
      <w:r>
        <w:t xml:space="preserve"> </w:t>
      </w:r>
      <w:r>
        <w:t xml:space="preserve">approval before signing.</w:t>
      </w:r>
    </w:p>
    <w:p>
      <w:r>
        <w:pict>
          <v:rect style="width:0;height:1.5pt" o:hralign="center" o:hrstd="t" o:hr="t"/>
        </w:pict>
      </w:r>
    </w:p>
    <w:bookmarkEnd w:id="1090"/>
    <w:bookmarkStart w:id="1091" w:name="vendor-risk-scoring"/>
    <w:p>
      <w:pPr>
        <w:pStyle w:val="Heading2"/>
      </w:pPr>
      <w:r>
        <w:t xml:space="preserve">6. Vendor Risk Scoring</w:t>
      </w:r>
    </w:p>
    <w:p>
      <w:pPr>
        <w:pStyle w:val="FirstParagraph"/>
      </w:pPr>
      <w:r>
        <w:t xml:space="preserve">Score six dimensions 1 (low)–5 (high), weighted: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Weight</w:t>
            </w:r>
          </w:p>
        </w:tc>
      </w:tr>
      <w:tr>
        <w:tc>
          <w:tcPr/>
          <w:p>
            <w:pPr>
              <w:pStyle w:val="Compact"/>
            </w:pPr>
            <w:r>
              <w:t xml:space="preserve">Data sensitivity (CHD/PII touched)</w:t>
            </w:r>
          </w:p>
        </w:tc>
        <w:tc>
          <w:tcPr/>
          <w:p>
            <w:pPr>
              <w:pStyle w:val="Compact"/>
            </w:pPr>
            <w:r>
              <w:t xml:space="preserve">30%</w:t>
            </w:r>
          </w:p>
        </w:tc>
      </w:tr>
      <w:tr>
        <w:tc>
          <w:tcPr/>
          <w:p>
            <w:pPr>
              <w:pStyle w:val="Compact"/>
            </w:pPr>
            <w:r>
              <w:t xml:space="preserve">Security posture (PCI/SOC2/gaps)</w:t>
            </w:r>
          </w:p>
        </w:tc>
        <w:tc>
          <w:tcPr/>
          <w:p>
            <w:pPr>
              <w:pStyle w:val="Compact"/>
            </w:pPr>
            <w:r>
              <w:t xml:space="preserve">25%</w:t>
            </w:r>
          </w:p>
        </w:tc>
      </w:tr>
      <w:tr>
        <w:tc>
          <w:tcPr/>
          <w:p>
            <w:pPr>
              <w:pStyle w:val="Compact"/>
            </w:pPr>
            <w:r>
              <w:t xml:space="preserve">Operational criticality</w:t>
            </w:r>
          </w:p>
        </w:tc>
        <w:tc>
          <w:tcPr/>
          <w:p>
            <w:pPr>
              <w:pStyle w:val="Compact"/>
            </w:pPr>
            <w:r>
              <w:t xml:space="preserve">20%</w:t>
            </w:r>
          </w:p>
        </w:tc>
      </w:tr>
      <w:tr>
        <w:tc>
          <w:tcPr/>
          <w:p>
            <w:pPr>
              <w:pStyle w:val="Compact"/>
            </w:pPr>
            <w:r>
              <w:t xml:space="preserve">Compliance/PDPA/AML</w:t>
            </w:r>
          </w:p>
        </w:tc>
        <w:tc>
          <w:tcPr/>
          <w:p>
            <w:pPr>
              <w:pStyle w:val="Compact"/>
            </w:pPr>
            <w:r>
              <w:t xml:space="preserve">10%</w:t>
            </w:r>
          </w:p>
        </w:tc>
      </w:tr>
      <w:tr>
        <w:tc>
          <w:tcPr/>
          <w:p>
            <w:pPr>
              <w:pStyle w:val="Compact"/>
            </w:pPr>
            <w:r>
              <w:t xml:space="preserve">Financial stability</w:t>
            </w:r>
          </w:p>
        </w:tc>
        <w:tc>
          <w:tcPr/>
          <w:p>
            <w:pPr>
              <w:pStyle w:val="Compact"/>
            </w:pPr>
            <w:r>
              <w:t xml:space="preserve">10%</w:t>
            </w:r>
          </w:p>
        </w:tc>
      </w:tr>
      <w:tr>
        <w:tc>
          <w:tcPr/>
          <w:p>
            <w:pPr>
              <w:pStyle w:val="Compact"/>
            </w:pPr>
            <w:r>
              <w:t xml:space="preserve">Concentration / sub-outsourcing</w:t>
            </w:r>
          </w:p>
        </w:tc>
        <w:tc>
          <w:tcPr/>
          <w:p>
            <w:pPr>
              <w:pStyle w:val="Compact"/>
            </w:pPr>
            <w:r>
              <w:t xml:space="preserve">5%</w:t>
            </w:r>
          </w:p>
        </w:tc>
      </w:tr>
    </w:tbl>
    <w:p>
      <w:pPr>
        <w:pStyle w:val="BodyText"/>
      </w:pPr>
      <w:r>
        <w:rPr>
          <w:b/>
          <w:bCs/>
        </w:rPr>
        <w:t xml:space="preserve">Rating:</w:t>
      </w:r>
      <w:r>
        <w:t xml:space="preserve"> </w:t>
      </w:r>
      <w:r>
        <w:t xml:space="preserve">1.0–2.0 Low · 2.1–3.5 Medium · 3.6–5.0 High. High providers require a mitigation plan + ORC approval +</w:t>
      </w:r>
      <w:r>
        <w:t xml:space="preserve"> </w:t>
      </w:r>
      <w:r>
        <w:t xml:space="preserve">6-month review cadence.</w:t>
      </w:r>
    </w:p>
    <w:p>
      <w:r>
        <w:pict>
          <v:rect style="width:0;height:1.5pt" o:hralign="center" o:hrstd="t" o:hr="t"/>
        </w:pict>
      </w:r>
    </w:p>
    <w:bookmarkEnd w:id="1091"/>
    <w:bookmarkStart w:id="1094" w:name="X3d2bcee18d0e35344b77b3b76cea5059103c14d"/>
    <w:p>
      <w:pPr>
        <w:pStyle w:val="Heading2"/>
      </w:pPr>
      <w:r>
        <w:t xml:space="preserve">7. Mandatory Contract Clauses (SLA / Audit-Rights / Exit)</w:t>
      </w:r>
    </w:p>
    <w:p>
      <w:pPr>
        <w:pStyle w:val="FirstParagraph"/>
      </w:pPr>
      <w:r>
        <w:t xml:space="preserve">Every</w:t>
      </w:r>
      <w:r>
        <w:t xml:space="preserve"> </w:t>
      </w:r>
      <w:r>
        <w:rPr>
          <w:b/>
          <w:bCs/>
        </w:rPr>
        <w:t xml:space="preserve">Tier 1</w:t>
      </w:r>
      <w:r>
        <w:t xml:space="preserve"> </w:t>
      </w:r>
      <w:r>
        <w:t xml:space="preserve">contract must include (Tier 2 as appropriate):</w:t>
      </w:r>
    </w:p>
    <w:p>
      <w:pPr>
        <w:pStyle w:val="Compact"/>
        <w:numPr>
          <w:ilvl w:val="0"/>
          <w:numId w:val="1395"/>
        </w:numPr>
      </w:pPr>
      <w:r>
        <w:rPr>
          <w:b/>
          <w:bCs/>
        </w:rPr>
        <w:t xml:space="preserve">Service scope &amp; SLA</w:t>
      </w:r>
      <w:r>
        <w:t xml:space="preserve"> </w:t>
      </w:r>
      <w:r>
        <w:t xml:space="preserve">— availability, response/resolution, capacity, measurable metrics (§7.1)</w:t>
      </w:r>
    </w:p>
    <w:p>
      <w:pPr>
        <w:pStyle w:val="Compact"/>
        <w:numPr>
          <w:ilvl w:val="0"/>
          <w:numId w:val="1395"/>
        </w:numPr>
      </w:pPr>
      <w:r>
        <w:rPr>
          <w:b/>
          <w:bCs/>
        </w:rPr>
        <w:t xml:space="preserve">Audit Rights</w:t>
      </w:r>
      <w:r>
        <w:t xml:space="preserve"> </w:t>
      </w:r>
      <w:r>
        <w:t xml:space="preserve">— [บริษัท / Company]</w:t>
      </w:r>
      <w:r>
        <w:t xml:space="preserve"> </w:t>
      </w:r>
      <w:r>
        <w:rPr>
          <w:b/>
          <w:bCs/>
        </w:rPr>
        <w:t xml:space="preserve">and the BOT (or BOT-appointed examiners)</w:t>
      </w:r>
      <w:r>
        <w:t xml:space="preserve"> </w:t>
      </w:r>
      <w:r>
        <w:t xml:space="preserve">may audit (on-site and documents),</w:t>
      </w:r>
      <w:r>
        <w:t xml:space="preserve"> </w:t>
      </w:r>
      <w:r>
        <w:t xml:space="preserve">including independent-assurance reports (SOC 2/PCI AoC); this right is not to be restricted</w:t>
      </w:r>
    </w:p>
    <w:p>
      <w:pPr>
        <w:pStyle w:val="Compact"/>
        <w:numPr>
          <w:ilvl w:val="0"/>
          <w:numId w:val="1395"/>
        </w:numPr>
      </w:pPr>
      <w:r>
        <w:rPr>
          <w:b/>
          <w:bCs/>
        </w:rPr>
        <w:t xml:space="preserve">Data protection (PDPA/DPA)</w:t>
      </w:r>
      <w:r>
        <w:t xml:space="preserve"> </w:t>
      </w:r>
      <w:r>
        <w:t xml:space="preserve">— DPA annex per s.40 (see</w:t>
      </w:r>
      <w:r>
        <w:t xml:space="preserve"> </w:t>
      </w:r>
      <w:r>
        <w:rPr>
          <w:rStyle w:val="VerbatimChar"/>
        </w:rPr>
        <w:t xml:space="preserve">10-dpa-templates.md</w:t>
      </w:r>
      <w:r>
        <w:t xml:space="preserve">): purpose limitation, breach</w:t>
      </w:r>
      <w:r>
        <w:t xml:space="preserve"> </w:t>
      </w:r>
      <w:r>
        <w:t xml:space="preserve">notification within set timelines (§7.2), return/destruction on termination</w:t>
      </w:r>
    </w:p>
    <w:p>
      <w:pPr>
        <w:pStyle w:val="Compact"/>
        <w:numPr>
          <w:ilvl w:val="0"/>
          <w:numId w:val="1395"/>
        </w:numPr>
      </w:pPr>
      <w:r>
        <w:rPr>
          <w:b/>
          <w:bCs/>
        </w:rPr>
        <w:t xml:space="preserve">Security &amp; PCI</w:t>
      </w:r>
      <w:r>
        <w:t xml:space="preserve"> </w:t>
      </w:r>
      <w:r>
        <w:t xml:space="preserve">— maintain PCI DSS throughout the term, deliver AoC annually, accept responsibility for CHD held</w:t>
      </w:r>
      <w:r>
        <w:t xml:space="preserve"> </w:t>
      </w:r>
      <w:r>
        <w:t xml:space="preserve">(PCI 12.9), notify on scope/status change</w:t>
      </w:r>
    </w:p>
    <w:p>
      <w:pPr>
        <w:pStyle w:val="Compact"/>
        <w:numPr>
          <w:ilvl w:val="0"/>
          <w:numId w:val="1395"/>
        </w:numPr>
      </w:pPr>
      <w:r>
        <w:rPr>
          <w:b/>
          <w:bCs/>
        </w:rPr>
        <w:t xml:space="preserve">Incident/Breach Notification</w:t>
      </w:r>
      <w:r>
        <w:t xml:space="preserve"> </w:t>
      </w:r>
      <w:r>
        <w:t xml:space="preserve">— notify within defined timelines (§7.2)</w:t>
      </w:r>
    </w:p>
    <w:p>
      <w:pPr>
        <w:pStyle w:val="Compact"/>
        <w:numPr>
          <w:ilvl w:val="0"/>
          <w:numId w:val="1395"/>
        </w:numPr>
      </w:pPr>
      <w:r>
        <w:rPr>
          <w:b/>
          <w:bCs/>
        </w:rPr>
        <w:t xml:space="preserve">Sub-outsourcing (4th party)</w:t>
      </w:r>
      <w:r>
        <w:t xml:space="preserve"> </w:t>
      </w:r>
      <w:r>
        <w:t xml:space="preserve">— no material sub-outsourcing without prior notice/approval; flow-down of the same</w:t>
      </w:r>
      <w:r>
        <w:t xml:space="preserve"> </w:t>
      </w:r>
      <w:r>
        <w:t xml:space="preserve">obligations</w:t>
      </w:r>
    </w:p>
    <w:p>
      <w:pPr>
        <w:pStyle w:val="Compact"/>
        <w:numPr>
          <w:ilvl w:val="0"/>
          <w:numId w:val="1395"/>
        </w:numPr>
      </w:pPr>
      <w:r>
        <w:rPr>
          <w:b/>
          <w:bCs/>
        </w:rPr>
        <w:t xml:space="preserve">BCP/DR</w:t>
      </w:r>
      <w:r>
        <w:t xml:space="preserve"> </w:t>
      </w:r>
      <w:r>
        <w:t xml:space="preserve">— provider maintains and annually tests BCP/DR and participates in our DR drills</w:t>
      </w:r>
    </w:p>
    <w:p>
      <w:pPr>
        <w:pStyle w:val="Compact"/>
        <w:numPr>
          <w:ilvl w:val="0"/>
          <w:numId w:val="1395"/>
        </w:numPr>
      </w:pPr>
      <w:r>
        <w:rPr>
          <w:b/>
          <w:bCs/>
        </w:rPr>
        <w:t xml:space="preserve">Exit / Termination &amp; Transition</w:t>
      </w:r>
      <w:r>
        <w:t xml:space="preserve"> </w:t>
      </w:r>
      <w:r>
        <w:t xml:space="preserve">— right to terminate on breach/failed audit/BOT direction; transition period,</w:t>
      </w:r>
      <w:r>
        <w:t xml:space="preserve"> </w:t>
      </w:r>
      <w:r>
        <w:t xml:space="preserve">data handover and destruction, and an</w:t>
      </w:r>
      <w:r>
        <w:t xml:space="preserve"> </w:t>
      </w:r>
      <w:r>
        <w:rPr>
          <w:b/>
          <w:bCs/>
        </w:rPr>
        <w:t xml:space="preserve">Exit Plan</w:t>
      </w:r>
      <w:r>
        <w:t xml:space="preserve"> </w:t>
      </w:r>
      <w:r>
        <w:t xml:space="preserve">(§9)</w:t>
      </w:r>
    </w:p>
    <w:p>
      <w:pPr>
        <w:pStyle w:val="Compact"/>
        <w:numPr>
          <w:ilvl w:val="0"/>
          <w:numId w:val="1395"/>
        </w:numPr>
      </w:pPr>
      <w:r>
        <w:rPr>
          <w:b/>
          <w:bCs/>
        </w:rPr>
        <w:t xml:space="preserve">Liability / Indemnity</w:t>
      </w:r>
      <w:r>
        <w:t xml:space="preserve"> </w:t>
      </w:r>
      <w:r>
        <w:t xml:space="preserve">— liability for breach/SLA failure; cyber insurance where applicable</w:t>
      </w:r>
    </w:p>
    <w:p>
      <w:pPr>
        <w:pStyle w:val="Compact"/>
        <w:numPr>
          <w:ilvl w:val="0"/>
          <w:numId w:val="1395"/>
        </w:numPr>
      </w:pPr>
      <w:r>
        <w:rPr>
          <w:b/>
          <w:bCs/>
        </w:rPr>
        <w:t xml:space="preserve">Data residency / Cross-border</w:t>
      </w:r>
      <w:r>
        <w:t xml:space="preserve"> </w:t>
      </w:r>
      <w:r>
        <w:t xml:space="preserve">— data location per BOT/PDPA; lawful basis for any cross-border transfer</w:t>
      </w:r>
    </w:p>
    <w:p>
      <w:pPr>
        <w:pStyle w:val="Compact"/>
        <w:numPr>
          <w:ilvl w:val="0"/>
          <w:numId w:val="1395"/>
        </w:numPr>
      </w:pPr>
      <w:r>
        <w:rPr>
          <w:b/>
          <w:bCs/>
        </w:rPr>
        <w:t xml:space="preserve">BOT rights</w:t>
      </w:r>
      <w:r>
        <w:t xml:space="preserve"> </w:t>
      </w:r>
      <w:r>
        <w:t xml:space="preserve">— provider accepts BOT access to relevant data/premises/systems</w:t>
      </w:r>
    </w:p>
    <w:p>
      <w:pPr>
        <w:pStyle w:val="Compact"/>
        <w:numPr>
          <w:ilvl w:val="0"/>
          <w:numId w:val="1395"/>
        </w:numPr>
      </w:pPr>
      <w:r>
        <w:rPr>
          <w:b/>
          <w:bCs/>
        </w:rPr>
        <w:t xml:space="preserve">Reporting</w:t>
      </w:r>
      <w:r>
        <w:t xml:space="preserve"> </w:t>
      </w:r>
      <w:r>
        <w:t xml:space="preserve">— SLA/security reports per cadence (§7.1)</w:t>
      </w:r>
    </w:p>
    <w:bookmarkStart w:id="1092" w:name="example-sla-service-credits-tier-1"/>
    <w:p>
      <w:pPr>
        <w:pStyle w:val="Heading3"/>
      </w:pPr>
      <w:r>
        <w:t xml:space="preserve">7.1 Example SLA &amp; Service Credits (Tier 1)</w:t>
      </w:r>
    </w:p>
    <w:tbl>
      <w:tblPr>
        <w:tblStyle w:val="Table"/>
        <w:tblW w:type="pct" w:w="5000"/>
        <w:tblLayout w:type="fixed"/>
        <w:tblLook w:firstRow="1" w:lastRow="0" w:firstColumn="0" w:lastColumn="0" w:noHBand="0" w:noVBand="0" w:val="0020"/>
      </w:tblPr>
      <w:tblGrid>
        <w:gridCol w:w="1152"/>
        <w:gridCol w:w="1152"/>
        <w:gridCol w:w="1872"/>
        <w:gridCol w:w="3744"/>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c>
          <w:tcPr/>
          <w:p>
            <w:pPr>
              <w:pStyle w:val="Compact"/>
            </w:pPr>
            <w:r>
              <w:t xml:space="preserve">Service credit if missed</w:t>
            </w:r>
          </w:p>
        </w:tc>
      </w:tr>
      <w:tr>
        <w:tc>
          <w:tcPr/>
          <w:p>
            <w:pPr>
              <w:pStyle w:val="Compact"/>
            </w:pPr>
            <w:r>
              <w:t xml:space="preserve">Availability (core)</w:t>
            </w:r>
          </w:p>
        </w:tc>
        <w:tc>
          <w:tcPr/>
          <w:p>
            <w:pPr>
              <w:pStyle w:val="Compact"/>
            </w:pPr>
            <w:r>
              <w:t xml:space="preserve">≥ 99.95%/mo</w:t>
            </w:r>
          </w:p>
        </w:tc>
        <w:tc>
          <w:tcPr/>
          <w:p>
            <w:pPr>
              <w:pStyle w:val="Compact"/>
            </w:pPr>
            <w:r>
              <w:t xml:space="preserve">uptime monitoring</w:t>
            </w:r>
          </w:p>
        </w:tc>
        <w:tc>
          <w:tcPr/>
          <w:p>
            <w:pPr>
              <w:pStyle w:val="Compact"/>
            </w:pPr>
            <w:r>
              <w:t xml:space="preserve">tiered credit by hours lost</w:t>
            </w:r>
          </w:p>
        </w:tc>
      </w:tr>
      <w:tr>
        <w:tc>
          <w:tcPr/>
          <w:p>
            <w:pPr>
              <w:pStyle w:val="Compact"/>
            </w:pPr>
            <w:r>
              <w:t xml:space="preserve">P1 acknowledgement</w:t>
            </w:r>
          </w:p>
        </w:tc>
        <w:tc>
          <w:tcPr/>
          <w:p>
            <w:pPr>
              <w:pStyle w:val="Compact"/>
            </w:pPr>
            <w:r>
              <w:t xml:space="preserve">≤ 15 min</w:t>
            </w:r>
          </w:p>
        </w:tc>
        <w:tc>
          <w:tcPr/>
          <w:p>
            <w:pPr>
              <w:pStyle w:val="Compact"/>
            </w:pPr>
            <w:r>
              <w:t xml:space="preserve">ticketing</w:t>
            </w:r>
          </w:p>
        </w:tc>
        <w:tc>
          <w:tcPr/>
          <w:p>
            <w:pPr>
              <w:pStyle w:val="Compact"/>
            </w:pPr>
            <w:r>
              <w:t xml:space="preserve">credit + escalation</w:t>
            </w:r>
          </w:p>
        </w:tc>
      </w:tr>
      <w:tr>
        <w:tc>
          <w:tcPr/>
          <w:p>
            <w:pPr>
              <w:pStyle w:val="Compact"/>
            </w:pPr>
            <w:r>
              <w:t xml:space="preserve">P1 resolution/workaround</w:t>
            </w:r>
          </w:p>
        </w:tc>
        <w:tc>
          <w:tcPr/>
          <w:p>
            <w:pPr>
              <w:pStyle w:val="Compact"/>
            </w:pPr>
            <w:r>
              <w:t xml:space="preserve">≤ 4 hours</w:t>
            </w:r>
          </w:p>
        </w:tc>
        <w:tc>
          <w:tcPr/>
          <w:p>
            <w:pPr>
              <w:pStyle w:val="Compact"/>
            </w:pPr>
            <w:r>
              <w:t xml:space="preserve">ticketing</w:t>
            </w:r>
          </w:p>
        </w:tc>
        <w:tc>
          <w:tcPr/>
          <w:p>
            <w:pPr>
              <w:pStyle w:val="Compact"/>
            </w:pPr>
            <w:r>
              <w:t xml:space="preserve">credit + RCA within 5 business days</w:t>
            </w:r>
          </w:p>
        </w:tc>
      </w:tr>
      <w:tr>
        <w:tc>
          <w:tcPr/>
          <w:p>
            <w:pPr>
              <w:pStyle w:val="Compact"/>
            </w:pPr>
            <w:r>
              <w:t xml:space="preserve">Breach notification</w:t>
            </w:r>
          </w:p>
        </w:tc>
        <w:tc>
          <w:tcPr/>
          <w:p>
            <w:pPr>
              <w:pStyle w:val="Compact"/>
            </w:pPr>
            <w:r>
              <w:t xml:space="preserve">≤ 24 hours (§7.2)</w:t>
            </w:r>
          </w:p>
        </w:tc>
        <w:tc>
          <w:tcPr/>
          <w:p>
            <w:pPr>
              <w:pStyle w:val="Compact"/>
            </w:pPr>
            <w:r>
              <w:t xml:space="preserve">log/email</w:t>
            </w:r>
          </w:p>
        </w:tc>
        <w:tc>
          <w:tcPr/>
          <w:p>
            <w:pPr>
              <w:pStyle w:val="Compact"/>
            </w:pPr>
            <w:r>
              <w:t xml:space="preserve">material breach of contract</w:t>
            </w:r>
          </w:p>
        </w:tc>
      </w:tr>
      <w:tr>
        <w:tc>
          <w:tcPr/>
          <w:p>
            <w:pPr>
              <w:pStyle w:val="Compact"/>
            </w:pPr>
            <w:r>
              <w:t xml:space="preserve">Annual PCI AoC</w:t>
            </w:r>
          </w:p>
        </w:tc>
        <w:tc>
          <w:tcPr/>
          <w:p>
            <w:pPr>
              <w:pStyle w:val="Compact"/>
            </w:pPr>
            <w:r>
              <w:t xml:space="preserve">before expiry</w:t>
            </w:r>
          </w:p>
        </w:tc>
        <w:tc>
          <w:tcPr/>
          <w:p>
            <w:pPr>
              <w:pStyle w:val="Compact"/>
            </w:pPr>
            <w:r>
              <w:t xml:space="preserve">tracker</w:t>
            </w:r>
          </w:p>
        </w:tc>
        <w:tc>
          <w:tcPr/>
          <w:p>
            <w:pPr>
              <w:pStyle w:val="Compact"/>
            </w:pPr>
            <w:r>
              <w:t xml:space="preserve">suspend/terminate</w:t>
            </w:r>
          </w:p>
        </w:tc>
      </w:tr>
      <w:tr>
        <w:tc>
          <w:tcPr/>
          <w:p>
            <w:pPr>
              <w:pStyle w:val="Compact"/>
            </w:pPr>
            <w:r>
              <w:t xml:space="preserve">SLA report</w:t>
            </w:r>
          </w:p>
        </w:tc>
        <w:tc>
          <w:tcPr/>
          <w:p>
            <w:pPr>
              <w:pStyle w:val="Compact"/>
            </w:pPr>
            <w:r>
              <w:t xml:space="preserve">monthly</w:t>
            </w:r>
          </w:p>
        </w:tc>
        <w:tc>
          <w:tcPr/>
          <w:p>
            <w:pPr>
              <w:pStyle w:val="Compact"/>
            </w:pPr>
            <w:r>
              <w:t xml:space="preserve">report</w:t>
            </w:r>
          </w:p>
        </w:tc>
        <w:tc>
          <w:tcPr/>
          <w:p>
            <w:pPr>
              <w:pStyle w:val="Compact"/>
            </w:pPr>
            <w:r>
              <w:t xml:space="preserve">escalation</w:t>
            </w:r>
          </w:p>
        </w:tc>
      </w:tr>
    </w:tbl>
    <w:bookmarkEnd w:id="1092"/>
    <w:bookmarkStart w:id="1093" w:name="notification-timelines"/>
    <w:p>
      <w:pPr>
        <w:pStyle w:val="Heading3"/>
      </w:pPr>
      <w:r>
        <w:t xml:space="preserve">7.2 Notification Timelines</w:t>
      </w:r>
    </w:p>
    <w:p>
      <w:pPr>
        <w:pStyle w:val="Compact"/>
        <w:numPr>
          <w:ilvl w:val="0"/>
          <w:numId w:val="1396"/>
        </w:numPr>
      </w:pPr>
      <w:r>
        <w:rPr>
          <w:b/>
          <w:bCs/>
        </w:rPr>
        <w:t xml:space="preserve">Personal-data breach (PDPA):</w:t>
      </w:r>
      <w:r>
        <w:t xml:space="preserve"> </w:t>
      </w:r>
      <w:r>
        <w:t xml:space="preserve">provider notifies [บริษัท / Company]</w:t>
      </w:r>
      <w:r>
        <w:t xml:space="preserve"> </w:t>
      </w:r>
      <w:r>
        <w:rPr>
          <w:b/>
          <w:bCs/>
        </w:rPr>
        <w:t xml:space="preserve">without delay (≤ 24 h)</w:t>
      </w:r>
      <w:r>
        <w:t xml:space="preserve"> </w:t>
      </w:r>
      <w:r>
        <w:t xml:space="preserve">so we can notify</w:t>
      </w:r>
      <w:r>
        <w:t xml:space="preserve"> </w:t>
      </w:r>
      <w:r>
        <w:rPr>
          <w:b/>
          <w:bCs/>
        </w:rPr>
        <w:t xml:space="preserve">the PDPC within 72 hours</w:t>
      </w:r>
      <w:r>
        <w:t xml:space="preserve"> </w:t>
      </w:r>
      <w:r>
        <w:t xml:space="preserve">per s.37(4) (see</w:t>
      </w:r>
      <w:r>
        <w:t xml:space="preserve"> </w:t>
      </w:r>
      <w:r>
        <w:rPr>
          <w:rStyle w:val="VerbatimChar"/>
        </w:rPr>
        <w:t xml:space="preserve">16-incident-response-breach.md</w:t>
      </w:r>
      <w:r>
        <w:t xml:space="preserve">)</w:t>
      </w:r>
    </w:p>
    <w:p>
      <w:pPr>
        <w:pStyle w:val="Compact"/>
        <w:numPr>
          <w:ilvl w:val="0"/>
          <w:numId w:val="1396"/>
        </w:numPr>
      </w:pPr>
      <w:r>
        <w:rPr>
          <w:b/>
          <w:bCs/>
        </w:rPr>
        <w:t xml:space="preserve">Security/CDE incident (PCI):</w:t>
      </w:r>
      <w:r>
        <w:t xml:space="preserve"> </w:t>
      </w:r>
      <w:r>
        <w:t xml:space="preserve">notify ≤ 24 h; cooperate with forensics</w:t>
      </w:r>
    </w:p>
    <w:p>
      <w:pPr>
        <w:pStyle w:val="Compact"/>
        <w:numPr>
          <w:ilvl w:val="0"/>
          <w:numId w:val="1396"/>
        </w:numPr>
      </w:pPr>
      <w:r>
        <w:rPr>
          <w:b/>
          <w:bCs/>
        </w:rPr>
        <w:t xml:space="preserve">Payment-impacting incident:</w:t>
      </w:r>
      <w:r>
        <w:t xml:space="preserve"> </w:t>
      </w:r>
      <w:r>
        <w:t xml:space="preserve">per our incident response and BOT reporting thresholds</w:t>
      </w:r>
    </w:p>
    <w:p>
      <w:r>
        <w:pict>
          <v:rect style="width:0;height:1.5pt" o:hralign="center" o:hrstd="t" o:hr="t"/>
        </w:pict>
      </w:r>
    </w:p>
    <w:bookmarkEnd w:id="1093"/>
    <w:bookmarkEnd w:id="1094"/>
    <w:bookmarkStart w:id="1095" w:name="responsibility-matrix-pci-req-12.8.5-1"/>
    <w:p>
      <w:pPr>
        <w:pStyle w:val="Heading2"/>
      </w:pPr>
      <w:r>
        <w:t xml:space="preserve">8. Responsibility Matrix (PCI Req 12.8.5)</w:t>
      </w:r>
    </w:p>
    <w:p>
      <w:pPr>
        <w:pStyle w:val="FirstParagraph"/>
      </w:pPr>
      <w:r>
        <w:t xml:space="preserve">A matrix records which party owns each PCI requirement — [บริษัท / Company], provider, or shared. Summary example:</w:t>
      </w:r>
    </w:p>
    <w:tbl>
      <w:tblPr>
        <w:tblStyle w:val="Table"/>
        <w:tblW w:type="pct" w:w="5000"/>
        <w:tblLayout w:type="fixed"/>
        <w:tblLook w:firstRow="1" w:lastRow="0" w:firstColumn="0" w:lastColumn="0" w:noHBand="0" w:noVBand="0" w:val="0020"/>
      </w:tblPr>
      <w:tblGrid>
        <w:gridCol w:w="3638"/>
        <w:gridCol w:w="1070"/>
        <w:gridCol w:w="1070"/>
        <w:gridCol w:w="1070"/>
        <w:gridCol w:w="1070"/>
      </w:tblGrid>
      <w:tr>
        <w:trPr>
          <w:tblHeader w:val="on"/>
        </w:trPr>
        <w:tc>
          <w:tcPr/>
          <w:p>
            <w:pPr>
              <w:pStyle w:val="Compact"/>
            </w:pPr>
            <w:r>
              <w:t xml:space="preserve">PCI Req (short)</w:t>
            </w:r>
          </w:p>
        </w:tc>
        <w:tc>
          <w:tcPr/>
          <w:p>
            <w:pPr>
              <w:pStyle w:val="Compact"/>
              <w:jc w:val="center"/>
            </w:pPr>
            <w:r>
              <w:t xml:space="preserve">[บริษัท / Company]</w:t>
            </w:r>
          </w:p>
        </w:tc>
        <w:tc>
          <w:tcPr/>
          <w:p>
            <w:pPr>
              <w:pStyle w:val="Compact"/>
              <w:jc w:val="center"/>
            </w:pPr>
            <w:r>
              <w:t xml:space="preserve">Cloud/IaaS</w:t>
            </w:r>
          </w:p>
        </w:tc>
        <w:tc>
          <w:tcPr/>
          <w:p>
            <w:pPr>
              <w:pStyle w:val="Compact"/>
              <w:jc w:val="center"/>
            </w:pPr>
            <w:r>
              <w:t xml:space="preserve">Tokenization/Vault</w:t>
            </w:r>
          </w:p>
        </w:tc>
        <w:tc>
          <w:tcPr/>
          <w:p>
            <w:pPr>
              <w:pStyle w:val="Compact"/>
              <w:jc w:val="center"/>
            </w:pPr>
            <w:r>
              <w:t xml:space="preserve">3DS</w:t>
            </w:r>
          </w:p>
        </w:tc>
      </w:tr>
      <w:tr>
        <w:tc>
          <w:tcPr/>
          <w:p>
            <w:pPr>
              <w:pStyle w:val="Compact"/>
            </w:pPr>
            <w:r>
              <w:t xml:space="preserve">Req 1 Network security controls</w:t>
            </w:r>
          </w:p>
        </w:tc>
        <w:tc>
          <w:tcPr/>
          <w:p>
            <w:pPr>
              <w:pStyle w:val="Compact"/>
              <w:jc w:val="center"/>
            </w:pPr>
            <w:r>
              <w:t xml:space="preserve">Shared</w:t>
            </w:r>
          </w:p>
        </w:tc>
        <w:tc>
          <w:tcPr/>
          <w:p>
            <w:pPr>
              <w:pStyle w:val="Compact"/>
              <w:jc w:val="center"/>
            </w:pPr>
            <w:r>
              <w:t xml:space="preserve">✔ (infra)</w:t>
            </w:r>
          </w:p>
        </w:tc>
        <w:tc>
          <w:tcPr/>
          <w:p>
            <w:pPr>
              <w:pStyle w:val="Compact"/>
              <w:jc w:val="center"/>
            </w:pPr>
            <w:r>
              <w:t xml:space="preserve">—</w:t>
            </w:r>
          </w:p>
        </w:tc>
        <w:tc>
          <w:tcPr/>
          <w:p>
            <w:pPr>
              <w:pStyle w:val="Compact"/>
              <w:jc w:val="center"/>
            </w:pPr>
            <w:r>
              <w:t xml:space="preserve">—</w:t>
            </w:r>
          </w:p>
        </w:tc>
      </w:tr>
      <w:tr>
        <w:tc>
          <w:tcPr/>
          <w:p>
            <w:pPr>
              <w:pStyle w:val="Compact"/>
            </w:pPr>
            <w:r>
              <w:t xml:space="preserve">Req 3 Protect stored account data</w:t>
            </w:r>
          </w:p>
        </w:tc>
        <w:tc>
          <w:tcPr/>
          <w:p>
            <w:pPr>
              <w:pStyle w:val="Compact"/>
              <w:jc w:val="center"/>
            </w:pPr>
            <w:r>
              <w:t xml:space="preserve">Shared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 6 Secure software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Shared</w:t>
            </w:r>
          </w:p>
        </w:tc>
        <w:tc>
          <w:tcPr/>
          <w:p>
            <w:pPr>
              <w:pStyle w:val="Compact"/>
              <w:jc w:val="center"/>
            </w:pPr>
            <w:r>
              <w:t xml:space="preserve">Shared</w:t>
            </w:r>
          </w:p>
        </w:tc>
      </w:tr>
      <w:tr>
        <w:tc>
          <w:tcPr/>
          <w:p>
            <w:pPr>
              <w:pStyle w:val="Compact"/>
            </w:pPr>
            <w:r>
              <w:t xml:space="preserve">Req 10 Logging &amp; monitoring</w:t>
            </w:r>
          </w:p>
        </w:tc>
        <w:tc>
          <w:tcPr/>
          <w:p>
            <w:pPr>
              <w:pStyle w:val="Compact"/>
              <w:jc w:val="center"/>
            </w:pPr>
            <w:r>
              <w:t xml:space="preserve">✔</w:t>
            </w:r>
          </w:p>
        </w:tc>
        <w:tc>
          <w:tcPr/>
          <w:p>
            <w:pPr>
              <w:pStyle w:val="Compact"/>
              <w:jc w:val="center"/>
            </w:pPr>
            <w:r>
              <w:t xml:space="preserve">Shared</w:t>
            </w:r>
          </w:p>
        </w:tc>
        <w:tc>
          <w:tcPr/>
          <w:p>
            <w:pPr>
              <w:pStyle w:val="Compact"/>
              <w:jc w:val="center"/>
            </w:pPr>
            <w:r>
              <w:t xml:space="preserve">Shared</w:t>
            </w:r>
          </w:p>
        </w:tc>
        <w:tc>
          <w:tcPr/>
          <w:p>
            <w:pPr>
              <w:pStyle w:val="Compact"/>
              <w:jc w:val="center"/>
            </w:pPr>
            <w:r>
              <w:t xml:space="preserve">Shared</w:t>
            </w:r>
          </w:p>
        </w:tc>
      </w:tr>
      <w:tr>
        <w:tc>
          <w:tcPr/>
          <w:p>
            <w:pPr>
              <w:pStyle w:val="Compact"/>
            </w:pPr>
            <w:r>
              <w:t xml:space="preserve">Req 11 Testing (ASV/pentest)</w:t>
            </w:r>
          </w:p>
        </w:tc>
        <w:tc>
          <w:tcPr/>
          <w:p>
            <w:pPr>
              <w:pStyle w:val="Compact"/>
              <w:jc w:val="center"/>
            </w:pPr>
            <w:r>
              <w:t xml:space="preserve">✔ (engaged)</w:t>
            </w:r>
          </w:p>
        </w:tc>
        <w:tc>
          <w:tcPr/>
          <w:p>
            <w:pPr>
              <w:pStyle w:val="Compact"/>
              <w:jc w:val="center"/>
            </w:pPr>
            <w:r>
              <w:t xml:space="preserve">Shared</w:t>
            </w:r>
          </w:p>
        </w:tc>
        <w:tc>
          <w:tcPr/>
          <w:p>
            <w:pPr>
              <w:pStyle w:val="Compact"/>
              <w:jc w:val="center"/>
            </w:pPr>
            <w:r>
              <w:t xml:space="preserve">Shared</w:t>
            </w:r>
          </w:p>
        </w:tc>
        <w:tc>
          <w:tcPr/>
          <w:p>
            <w:pPr>
              <w:pStyle w:val="Compact"/>
              <w:jc w:val="center"/>
            </w:pPr>
            <w:r>
              <w:t xml:space="preserve">Shared</w:t>
            </w:r>
          </w:p>
        </w:tc>
      </w:tr>
      <w:tr>
        <w:tc>
          <w:tcPr/>
          <w:p>
            <w:pPr>
              <w:pStyle w:val="Compact"/>
            </w:pPr>
            <w:r>
              <w:t xml:space="preserve">Req 12 Policy &amp; TPSP mgmt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lockText"/>
      </w:pPr>
      <w:r>
        <w:t xml:space="preserve">The full matrix is maintained separately and reviewed alongside each provider’s annual AoC.</w:t>
      </w:r>
    </w:p>
    <w:p>
      <w:r>
        <w:pict>
          <v:rect style="width:0;height:1.5pt" o:hralign="center" o:hrstd="t" o:hr="t"/>
        </w:pict>
      </w:r>
    </w:p>
    <w:bookmarkEnd w:id="1095"/>
    <w:bookmarkStart w:id="1096" w:name="ongoing-monitoring-exit-plan"/>
    <w:p>
      <w:pPr>
        <w:pStyle w:val="Heading2"/>
      </w:pPr>
      <w:r>
        <w:t xml:space="preserve">9. Ongoing Monitoring &amp; Exit Plan</w:t>
      </w:r>
    </w:p>
    <w:p>
      <w:pPr>
        <w:pStyle w:val="FirstParagraph"/>
      </w:pPr>
      <w:r>
        <w:rPr>
          <w:b/>
          <w:bCs/>
        </w:rPr>
        <w:t xml:space="preserve">Ongoing monitoring:</w:t>
      </w:r>
      <w:r>
        <w:t xml:space="preserve"> </w:t>
      </w:r>
      <w:r>
        <w:t xml:space="preserve">- Review SLA reports monthly (Tier 1), quarterly (Tier 2)</w:t>
      </w:r>
      <w:r>
        <w:t xml:space="preserve"> </w:t>
      </w:r>
      <w:r>
        <w:t xml:space="preserve">- Collect/verify</w:t>
      </w:r>
      <w:r>
        <w:t xml:space="preserve"> </w:t>
      </w:r>
      <w:r>
        <w:rPr>
          <w:b/>
          <w:bCs/>
        </w:rPr>
        <w:t xml:space="preserve">PCI AoC and SOC 2 annually</w:t>
      </w:r>
      <w:r>
        <w:t xml:space="preserve"> </w:t>
      </w:r>
      <w:r>
        <w:t xml:space="preserve">(PCI 12.8.4); track expiry in a tracker</w:t>
      </w:r>
      <w:r>
        <w:t xml:space="preserve"> </w:t>
      </w:r>
      <w:r>
        <w:t xml:space="preserve">- Re-assess on cadence (§3) or on triggers: incident, sub-processor change, M&amp;A, failed audit</w:t>
      </w:r>
      <w:r>
        <w:t xml:space="preserve"> </w:t>
      </w:r>
      <w:r>
        <w:t xml:space="preserve">- Annual concentration-risk review by ORC</w:t>
      </w:r>
    </w:p>
    <w:p>
      <w:pPr>
        <w:pStyle w:val="BodyText"/>
      </w:pPr>
      <w:r>
        <w:rPr>
          <w:b/>
          <w:bCs/>
        </w:rPr>
        <w:t xml:space="preserve">Exit Plan (mandatory for Tier 1):</w:t>
      </w:r>
      <w:r>
        <w:t xml:space="preserve"> </w:t>
      </w:r>
      <w:r>
        <w:t xml:space="preserve">in place before signing — (a) alternate/backup providers, (b) data/system</w:t>
      </w:r>
      <w:r>
        <w:t xml:space="preserve"> </w:t>
      </w:r>
      <w:r>
        <w:t xml:space="preserve">migration steps and timeline, (c) data return/destruction with evidence, (d) exit triggers (BOT direction, material</w:t>
      </w:r>
      <w:r>
        <w:t xml:space="preserve"> </w:t>
      </w:r>
      <w:r>
        <w:t xml:space="preserve">breach, provider insolvency) — to avoid vendor lock-in that threatens payment continuity.</w:t>
      </w:r>
    </w:p>
    <w:p>
      <w:r>
        <w:pict>
          <v:rect style="width:0;height:1.5pt" o:hralign="center" o:hrstd="t" o:hr="t"/>
        </w:pict>
      </w:r>
    </w:p>
    <w:bookmarkEnd w:id="1096"/>
    <w:bookmarkStart w:id="1097" w:name="end-to-end-process"/>
    <w:p>
      <w:pPr>
        <w:pStyle w:val="Heading2"/>
      </w:pPr>
      <w:r>
        <w:t xml:space="preserve">10. End-to-End Process</w:t>
      </w:r>
    </w:p>
    <w:p>
      <w:pPr>
        <w:pStyle w:val="SourceCode"/>
      </w:pPr>
      <w:r>
        <w:rPr>
          <w:rStyle w:val="VerbatimChar"/>
        </w:rPr>
        <w:t xml:space="preserve">Identify need ─▶ Assign Tier ─▶ Due Diligence ─▶ Risk Scoring ─▶ Approve (ORC/CISO/DPO)</w:t>
      </w:r>
      <w:r>
        <w:br/>
      </w:r>
      <w:r>
        <w:rPr>
          <w:rStyle w:val="VerbatimChar"/>
        </w:rPr>
        <w:t xml:space="preserve">      │                                                                 │</w:t>
      </w:r>
      <w:r>
        <w:br/>
      </w:r>
      <w:r>
        <w:rPr>
          <w:rStyle w:val="VerbatimChar"/>
        </w:rPr>
        <w:t xml:space="preserve">      │                                                                 ▼</w:t>
      </w:r>
      <w:r>
        <w:br/>
      </w:r>
      <w:r>
        <w:rPr>
          <w:rStyle w:val="VerbatimChar"/>
        </w:rPr>
        <w:t xml:space="preserve">      └──────────────  Review/Exit ◀── Ongoing Monitoring ◀── Sign contract (§7) + onboarding</w:t>
      </w:r>
    </w:p>
    <w:p>
      <w:r>
        <w:pict>
          <v:rect style="width:0;height:1.5pt" o:hralign="center" o:hrstd="t" o:hr="t"/>
        </w:pict>
      </w:r>
    </w:p>
    <w:bookmarkEnd w:id="1097"/>
    <w:bookmarkStart w:id="1098" w:name="evidence-held-for-bot-qsa"/>
    <w:p>
      <w:pPr>
        <w:pStyle w:val="Heading2"/>
      </w:pPr>
      <w:r>
        <w:t xml:space="preserve">11. Evidence Held (for BOT / QSA)</w:t>
      </w:r>
    </w:p>
    <w:p>
      <w:pPr>
        <w:pStyle w:val="Compact"/>
        <w:numPr>
          <w:ilvl w:val="0"/>
          <w:numId w:val="1397"/>
        </w:numPr>
      </w:pPr>
      <w:r>
        <w:t xml:space="preserve">TPSP inventory + criticality tier</w:t>
      </w:r>
    </w:p>
    <w:p>
      <w:pPr>
        <w:pStyle w:val="Compact"/>
        <w:numPr>
          <w:ilvl w:val="0"/>
          <w:numId w:val="1397"/>
        </w:numPr>
      </w:pPr>
      <w:r>
        <w:t xml:space="preserve">Per-provider Vendor Risk Assessment Report + score</w:t>
      </w:r>
    </w:p>
    <w:p>
      <w:pPr>
        <w:pStyle w:val="Compact"/>
        <w:numPr>
          <w:ilvl w:val="0"/>
          <w:numId w:val="1397"/>
        </w:numPr>
      </w:pPr>
      <w:r>
        <w:t xml:space="preserve">Contracts + DPA annex + SLA + audit-right clause</w:t>
      </w:r>
    </w:p>
    <w:p>
      <w:pPr>
        <w:pStyle w:val="Compact"/>
        <w:numPr>
          <w:ilvl w:val="0"/>
          <w:numId w:val="1397"/>
        </w:numPr>
      </w:pPr>
      <w:r>
        <w:t xml:space="preserve">Provider PCI AoC / SOC 2 / ISO 27001 (latest)</w:t>
      </w:r>
    </w:p>
    <w:p>
      <w:pPr>
        <w:pStyle w:val="Compact"/>
        <w:numPr>
          <w:ilvl w:val="0"/>
          <w:numId w:val="1397"/>
        </w:numPr>
      </w:pPr>
      <w:r>
        <w:t xml:space="preserve">Responsibility matrix (PCI 12.8.5)</w:t>
      </w:r>
    </w:p>
    <w:p>
      <w:pPr>
        <w:pStyle w:val="Compact"/>
        <w:numPr>
          <w:ilvl w:val="0"/>
          <w:numId w:val="1397"/>
        </w:numPr>
      </w:pPr>
      <w:r>
        <w:t xml:space="preserve">ORC approval records + concentration review minutes</w:t>
      </w:r>
    </w:p>
    <w:p>
      <w:pPr>
        <w:pStyle w:val="Compact"/>
        <w:numPr>
          <w:ilvl w:val="0"/>
          <w:numId w:val="1397"/>
        </w:numPr>
      </w:pPr>
      <w:r>
        <w:t xml:space="preserve">Exit plans for Tier 1</w:t>
      </w:r>
    </w:p>
    <w:p>
      <w:r>
        <w:pict>
          <v:rect style="width:0;height:1.5pt" o:hralign="center" o:hrstd="t" o:hr="t"/>
        </w:pict>
      </w:r>
    </w:p>
    <w:bookmarkEnd w:id="1098"/>
    <w:bookmarkStart w:id="1099" w:name="assumptions-todo-9"/>
    <w:p>
      <w:pPr>
        <w:pStyle w:val="Heading2"/>
      </w:pPr>
      <w:r>
        <w:t xml:space="preserve">12. Assumptions &amp; TODO</w:t>
      </w:r>
    </w:p>
    <w:p>
      <w:pPr>
        <w:pStyle w:val="BlockText"/>
      </w:pPr>
      <w:r>
        <w:rPr>
          <w:b/>
          <w:bCs/>
        </w:rPr>
        <w:t xml:space="preserve">CALLOUT — close before actual submission:</w:t>
      </w:r>
      <w:r>
        <w:t xml:space="preserve"> </w:t>
      </w:r>
      <w:r>
        <w:t xml:space="preserve">-</w:t>
      </w:r>
      <w:r>
        <w:t xml:space="preserve"> </w:t>
      </w:r>
      <w:r>
        <w:rPr>
          <w:b/>
          <w:bCs/>
        </w:rPr>
        <w:t xml:space="preserve">Sponsor bank / acquirer:</w:t>
      </w:r>
      <w:r>
        <w:t xml:space="preserve"> </w:t>
      </w:r>
      <w:r>
        <w:t xml:space="preserve">counterparty not finalized (per</w:t>
      </w:r>
      <w:r>
        <w:t xml:space="preserve"> </w:t>
      </w:r>
      <w:r>
        <w:rPr>
          <w:rStyle w:val="VerbatimChar"/>
        </w:rPr>
        <w:t xml:space="preserve">ROADMAP.md</w:t>
      </w:r>
      <w:r>
        <w:t xml:space="preserve"> </w:t>
      </w:r>
      <w:r>
        <w:t xml:space="preserve">§5 critical path) — add name, contract,</w:t>
      </w:r>
      <w:r>
        <w:t xml:space="preserve"> </w:t>
      </w:r>
      <w:r>
        <w:t xml:space="preserve">scheme-certification timeline</w:t>
      </w:r>
      <w:r>
        <w:t xml:space="preserve"> </w:t>
      </w:r>
      <w:r>
        <w:t xml:space="preserve">-</w:t>
      </w:r>
      <w:r>
        <w:t xml:space="preserve"> </w:t>
      </w:r>
      <w:r>
        <w:rPr>
          <w:b/>
          <w:bCs/>
        </w:rPr>
        <w:t xml:space="preserve">Cloud data residency:</w:t>
      </w:r>
      <w:r>
        <w:t xml:space="preserve"> </w:t>
      </w:r>
      <w:r>
        <w:t xml:space="preserve">confirm region/data resides in Thailand per BOT/PDPA (</w:t>
      </w:r>
      <w:r>
        <w:rPr>
          <w:rStyle w:val="VerbatimChar"/>
        </w:rPr>
        <w:t xml:space="preserve">ARCHITECTURE.md</w:t>
      </w:r>
      <w:r>
        <w:t xml:space="preserve"> </w:t>
      </w:r>
      <w:r>
        <w:t xml:space="preserve">§8) before signing</w:t>
      </w:r>
      <w:r>
        <w:t xml:space="preserve"> </w:t>
      </w:r>
      <w:r>
        <w:t xml:space="preserve">-</w:t>
      </w:r>
      <w:r>
        <w:t xml:space="preserve"> </w:t>
      </w:r>
      <w:r>
        <w:rPr>
          <w:b/>
          <w:bCs/>
        </w:rPr>
        <w:t xml:space="preserve">Tokenization vault:</w:t>
      </w:r>
      <w:r>
        <w:t xml:space="preserve"> </w:t>
      </w:r>
      <w:r>
        <w:t xml:space="preserve">build vs buy undecided — if external, requires PCI AoC + DPA</w:t>
      </w:r>
      <w:r>
        <w:t xml:space="preserve"> </w:t>
      </w:r>
      <w:r>
        <w:t xml:space="preserve">-</w:t>
      </w:r>
      <w:r>
        <w:t xml:space="preserve"> </w:t>
      </w:r>
      <w:r>
        <w:rPr>
          <w:b/>
          <w:bCs/>
        </w:rPr>
        <w:t xml:space="preserve">QSA / ASV / Pentest vendor:</w:t>
      </w:r>
      <w:r>
        <w:t xml:space="preserve"> </w:t>
      </w:r>
      <w:r>
        <w:t xml:space="preserve">not yet engaged (see</w:t>
      </w:r>
      <w:r>
        <w:t xml:space="preserve"> </w:t>
      </w:r>
      <w:r>
        <w:rPr>
          <w:rStyle w:val="VerbatimChar"/>
        </w:rPr>
        <w:t xml:space="preserve">23-qsa-asv-pentest-plan.md</w:t>
      </w:r>
      <w:r>
        <w:t xml:space="preserve">) — lock queue early per critical path</w:t>
      </w:r>
      <w:r>
        <w:t xml:space="preserve"> </w:t>
      </w:r>
      <w:r>
        <w:t xml:space="preserve">-</w:t>
      </w:r>
      <w:r>
        <w:t xml:space="preserve"> </w:t>
      </w:r>
      <w:r>
        <w:rPr>
          <w:b/>
          <w:bCs/>
        </w:rPr>
        <w:t xml:space="preserve">Actual paid-up capital THB 50M:</w:t>
      </w:r>
      <w:r>
        <w:t xml:space="preserve"> </w:t>
      </w:r>
      <w:r>
        <w:t xml:space="preserve">per plan; confirm against corporate documents (</w:t>
      </w:r>
      <w:r>
        <w:rPr>
          <w:rStyle w:val="VerbatimChar"/>
        </w:rPr>
        <w:t xml:space="preserve">02-financial-projections-capital.md</w:t>
      </w:r>
      <w:r>
        <w:t xml:space="preserve">)</w:t>
      </w:r>
      <w:r>
        <w:t xml:space="preserve"> </w:t>
      </w:r>
      <w:r>
        <w:t xml:space="preserve">- All provider names in §4 are examples/planned and non-binding until they pass due diligence + ORC</w:t>
      </w:r>
    </w:p>
    <w:p>
      <w:r>
        <w:br w:type="page"/>
      </w:r>
    </w:p>
    <w:bookmarkEnd w:id="1099"/>
    <w:bookmarkEnd w:id="1100"/>
    <w:bookmarkStart w:id="1118" w:name="กฎบตรและแผนการตรวจสอบภายใน-ไทย"/>
    <w:p>
      <w:pPr>
        <w:pStyle w:val="Heading1"/>
      </w:pPr>
      <w:r>
        <w:t xml:space="preserve">กฎบัตรและแผนการตรวจสอบภายใน (ไทย)</w:t>
      </w:r>
    </w:p>
    <w:p>
      <w:pPr>
        <w:pStyle w:val="BlockText"/>
      </w:pPr>
      <w:r>
        <w:t xml:space="preserve">เอกสาร:</w:t>
      </w:r>
      <w:r>
        <w:t xml:space="preserve"> </w:t>
      </w:r>
      <w:r>
        <w:rPr>
          <w:rStyle w:val="VerbatimChar"/>
        </w:rPr>
        <w:t xml:space="preserve">31-internal-audit-charter.md</w:t>
      </w:r>
      <w:r>
        <w:t xml:space="preserve"> </w:t>
      </w:r>
      <w:r>
        <w:t xml:space="preserve">· เวอร์ชัน 0.1 · เจ้าของเอกสาร: คณะกรรมการตรวจสอบ (Audit Committee)</w:t>
      </w:r>
      <w:r>
        <w:t xml:space="preserve"> </w:t>
      </w:r>
      <w:r>
        <w:t xml:space="preserve">ประเภทกิจการ:</w:t>
      </w:r>
      <w:r>
        <w:t xml:space="preserve"> </w:t>
      </w:r>
      <w:r>
        <w:rPr>
          <w:b/>
          <w:bCs/>
        </w:rPr>
        <w:t xml:space="preserve">Full Acquiring Payment Gateway</w:t>
      </w:r>
      <w:r>
        <w:t xml:space="preserve"> </w:t>
      </w:r>
      <w:r>
        <w:t xml:space="preserve">· ทุนจดทะเบียนชำระแล้ว</w:t>
      </w:r>
      <w:r>
        <w:t xml:space="preserve"> </w:t>
      </w:r>
      <w:r>
        <w:rPr>
          <w:b/>
          <w:bCs/>
        </w:rPr>
        <w:t xml:space="preserve">50 ล้านบาท</w:t>
      </w:r>
      <w:r>
        <w:t xml:space="preserve"> </w:t>
      </w:r>
      <w:r>
        <w:t xml:space="preserve">อ้างอิงกรอบกฎหมาย: พ.ร.บ. ระบบการชำระเงิน พ.ศ. 2560 (กำกับโดย</w:t>
      </w:r>
      <w:r>
        <w:t xml:space="preserve"> </w:t>
      </w:r>
      <w:r>
        <w:rPr>
          <w:b/>
          <w:bCs/>
        </w:rPr>
        <w:t xml:space="preserve">ธปท.</w:t>
      </w:r>
      <w:r>
        <w:t xml:space="preserve">), พ.ร.บ. ป้องกันและปราบปรามการฟอกเงิน (</w:t>
      </w:r>
      <w:r>
        <w:rPr>
          <w:b/>
          <w:bCs/>
        </w:rPr>
        <w:t xml:space="preserve">ปปง./AMLO</w:t>
      </w:r>
      <w:r>
        <w:t xml:space="preserve">), พ.ร.บ. คุ้มครองข้อมูลส่วนบุคคล พ.ศ. 2562 (</w:t>
      </w:r>
      <w:r>
        <w:rPr>
          <w:b/>
          <w:bCs/>
        </w:rPr>
        <w:t xml:space="preserve">PDPC/PDPA</w:t>
      </w:r>
      <w:r>
        <w:t xml:space="preserve">), มาตรฐาน</w:t>
      </w:r>
      <w:r>
        <w:t xml:space="preserve"> </w:t>
      </w:r>
      <w:r>
        <w:rPr>
          <w:b/>
          <w:bCs/>
        </w:rPr>
        <w:t xml:space="preserve">PCI-DSS v4.0</w:t>
      </w:r>
      <w:r>
        <w:t xml:space="preserve">,</w:t>
      </w:r>
      <w:r>
        <w:t xml:space="preserve"> </w:t>
      </w:r>
      <w:r>
        <w:rPr>
          <w:b/>
          <w:bCs/>
        </w:rPr>
        <w:t xml:space="preserve">EMV 3-D Secure (3DS)</w:t>
      </w:r>
      <w:r>
        <w:t xml:space="preserve"> </w:t>
      </w:r>
      <w:r>
        <w:t xml:space="preserve">เอกสารประกอบการยื่นขอใบอนุญาตต่อ ธปท. (ดู</w:t>
      </w:r>
      <w:r>
        <w:t xml:space="preserve"> </w:t>
      </w:r>
      <w:r>
        <w:rPr>
          <w:rStyle w:val="VerbatimChar"/>
        </w:rPr>
        <w:t xml:space="preserve">../COMPLIANCE-TH.md</w:t>
      </w:r>
      <w:r>
        <w:t xml:space="preserve"> </w:t>
      </w:r>
      <w:r>
        <w:t xml:space="preserve">ข้อ 5 — นโยบายบริหารความเสี่ยง/การกำกับดูแล)</w:t>
      </w:r>
    </w:p>
    <w:p>
      <w:pPr>
        <w:pStyle w:val="BlockText"/>
      </w:pPr>
      <w:r>
        <w:rPr>
          <w:b/>
          <w:bCs/>
        </w:rPr>
        <w:t xml:space="preserve">ข้อสงวน:</w:t>
      </w:r>
      <w:r>
        <w:t xml:space="preserve"> </w:t>
      </w:r>
      <w:r>
        <w:t xml:space="preserve">เอกสารนี้เป็นแม่แบบเชิงเทคนิค/การกำกับ ไม่ใช่คำแนะนำทางกฎหมาย ควรให้ที่ปรึกษากฎหมายและ QSA ตรวจทานก่อนยื่นจริง</w:t>
      </w:r>
    </w:p>
    <w:p>
      <w:r>
        <w:pict>
          <v:rect style="width:0;height:1.5pt" o:hralign="center" o:hrstd="t" o:hr="t"/>
        </w:pict>
      </w:r>
    </w:p>
    <w:bookmarkStart w:id="1101" w:name="Xb8aaaaa42f5568e82441e691132c79f2cd764e9"/>
    <w:p>
      <w:pPr>
        <w:pStyle w:val="Heading2"/>
      </w:pPr>
      <w:r>
        <w:t xml:space="preserve">⚠️ สมมติฐานและรายการที่ยังไม่ยืนยัน (Assumptions / TODO)</w:t>
      </w:r>
    </w:p>
    <w:p>
      <w:pPr>
        <w:pStyle w:val="BlockText"/>
      </w:pPr>
      <w:r>
        <w:t xml:space="preserve">รายการต่อไปนี้ยังขึ้นกับ external dependency ที่ยังไม่ปิด —</w:t>
      </w:r>
      <w:r>
        <w:t xml:space="preserve"> </w:t>
      </w:r>
      <w:r>
        <w:rPr>
          <w:b/>
          <w:bCs/>
        </w:rPr>
        <w:t xml:space="preserve">ห้ามถือเป็นข้อเท็จจริง</w:t>
      </w:r>
      <w:r>
        <w:t xml:space="preserve"> </w:t>
      </w:r>
      <w:r>
        <w:t xml:space="preserve">จนกว่าจะยืนยัน</w:t>
      </w:r>
    </w:p>
    <w:tbl>
      <w:tblPr>
        <w:tblStyle w:val="Table"/>
        <w:tblW w:type="pct" w:w="5000"/>
        <w:tblLayout w:type="fixed"/>
        <w:tblLook w:firstRow="1" w:lastRow="0" w:firstColumn="0" w:lastColumn="0" w:noHBand="0" w:noVBand="0" w:val="0020"/>
      </w:tblPr>
      <w:tblGrid>
        <w:gridCol w:w="565"/>
        <w:gridCol w:w="1508"/>
        <w:gridCol w:w="1320"/>
        <w:gridCol w:w="4525"/>
      </w:tblGrid>
      <w:tr>
        <w:trPr>
          <w:tblHeader w:val="on"/>
        </w:trPr>
        <w:tc>
          <w:tcPr/>
          <w:p>
            <w:pPr>
              <w:pStyle w:val="Compact"/>
            </w:pPr>
            <w:r>
              <w:t xml:space="preserve">#</w:t>
            </w:r>
          </w:p>
        </w:tc>
        <w:tc>
          <w:tcPr/>
          <w:p>
            <w:pPr>
              <w:pStyle w:val="Compact"/>
            </w:pPr>
            <w:r>
              <w:t xml:space="preserve">รายการ</w:t>
            </w:r>
          </w:p>
        </w:tc>
        <w:tc>
          <w:tcPr/>
          <w:p>
            <w:pPr>
              <w:pStyle w:val="Compact"/>
            </w:pPr>
            <w:r>
              <w:t xml:space="preserve">สถานะ</w:t>
            </w:r>
          </w:p>
        </w:tc>
        <w:tc>
          <w:tcPr/>
          <w:p>
            <w:pPr>
              <w:pStyle w:val="Compact"/>
            </w:pPr>
            <w:r>
              <w:t xml:space="preserve">ผู้รับผิดชอบปิดประเด็น</w:t>
            </w:r>
          </w:p>
        </w:tc>
      </w:tr>
      <w:tr>
        <w:tc>
          <w:tcPr/>
          <w:p>
            <w:pPr>
              <w:pStyle w:val="Compact"/>
            </w:pPr>
            <w:r>
              <w:t xml:space="preserve">A1</w:t>
            </w:r>
          </w:p>
        </w:tc>
        <w:tc>
          <w:tcPr/>
          <w:p>
            <w:pPr>
              <w:pStyle w:val="Compact"/>
            </w:pPr>
            <w:r>
              <w:rPr>
                <w:b/>
                <w:bCs/>
              </w:rPr>
              <w:t xml:space="preserve">ชื่อบริษัทและเลขทะเบียนนิติบุคคล</w:t>
            </w:r>
            <w:r>
              <w:t xml:space="preserve"> </w:t>
            </w:r>
            <w:r>
              <w:t xml:space="preserve">— ใช้ placeholder</w:t>
            </w:r>
            <w:r>
              <w:t xml:space="preserve"> </w:t>
            </w:r>
            <w:r>
              <w:t xml:space="preserve">“[บริษัท / Company]”</w:t>
            </w:r>
          </w:p>
        </w:tc>
        <w:tc>
          <w:tcPr/>
          <w:p>
            <w:pPr>
              <w:pStyle w:val="Compact"/>
            </w:pPr>
            <w:r>
              <w:t xml:space="preserve">TODO</w:t>
            </w:r>
          </w:p>
        </w:tc>
        <w:tc>
          <w:tcPr/>
          <w:p>
            <w:pPr>
              <w:pStyle w:val="Compact"/>
            </w:pPr>
            <w:r>
              <w:t xml:space="preserve">เลขานุการบริษัท</w:t>
            </w:r>
          </w:p>
        </w:tc>
      </w:tr>
      <w:tr>
        <w:tc>
          <w:tcPr/>
          <w:p>
            <w:pPr>
              <w:pStyle w:val="Compact"/>
            </w:pPr>
            <w:r>
              <w:t xml:space="preserve">A2</w:t>
            </w:r>
          </w:p>
        </w:tc>
        <w:tc>
          <w:tcPr/>
          <w:p>
            <w:pPr>
              <w:pStyle w:val="Compact"/>
            </w:pPr>
            <w:r>
              <w:rPr>
                <w:b/>
                <w:bCs/>
              </w:rPr>
              <w:t xml:space="preserve">Sponsor bank / acquiring partner</w:t>
            </w:r>
            <w:r>
              <w:t xml:space="preserve"> </w:t>
            </w:r>
            <w:r>
              <w:t xml:space="preserve">— ยังไม่ลงนามสัญญา ขอบเขตงาน settlement/chargeback ที่ต้องตรวจจึงยังไม่ล็อก</w:t>
            </w:r>
          </w:p>
        </w:tc>
        <w:tc>
          <w:tcPr/>
          <w:p>
            <w:pPr>
              <w:pStyle w:val="Compact"/>
            </w:pPr>
            <w:r>
              <w:t xml:space="preserve">TODO</w:t>
            </w:r>
          </w:p>
        </w:tc>
        <w:tc>
          <w:tcPr/>
          <w:p>
            <w:pPr>
              <w:pStyle w:val="Compact"/>
            </w:pPr>
            <w:r>
              <w:t xml:space="preserve">ประธานเจ้าหน้าที่บริหาร (CEO)</w:t>
            </w:r>
          </w:p>
        </w:tc>
      </w:tr>
      <w:tr>
        <w:tc>
          <w:tcPr/>
          <w:p>
            <w:pPr>
              <w:pStyle w:val="Compact"/>
            </w:pPr>
            <w:r>
              <w:t xml:space="preserve">A3</w:t>
            </w:r>
          </w:p>
        </w:tc>
        <w:tc>
          <w:tcPr/>
          <w:p>
            <w:pPr>
              <w:pStyle w:val="Compact"/>
            </w:pPr>
            <w:r>
              <w:rPr>
                <w:b/>
                <w:bCs/>
              </w:rPr>
              <w:t xml:space="preserve">QSA vendor (PCI-DSS v4.0)</w:t>
            </w:r>
            <w:r>
              <w:t xml:space="preserve"> </w:t>
            </w:r>
            <w:r>
              <w:t xml:space="preserve">— ยังไม่เลือกผู้ประเมิน RoC/ASV; วันประเมินจริงยังไม่ยืนยัน</w:t>
            </w:r>
          </w:p>
        </w:tc>
        <w:tc>
          <w:tcPr/>
          <w:p>
            <w:pPr>
              <w:pStyle w:val="Compact"/>
            </w:pPr>
            <w:r>
              <w:t xml:space="preserve">TODO</w:t>
            </w:r>
          </w:p>
        </w:tc>
        <w:tc>
          <w:tcPr/>
          <w:p>
            <w:pPr>
              <w:pStyle w:val="Compact"/>
            </w:pPr>
            <w:r>
              <w:t xml:space="preserve">CISO / Compliance</w:t>
            </w:r>
          </w:p>
        </w:tc>
      </w:tr>
      <w:tr>
        <w:tc>
          <w:tcPr/>
          <w:p>
            <w:pPr>
              <w:pStyle w:val="Compact"/>
            </w:pPr>
            <w:r>
              <w:t xml:space="preserve">A4</w:t>
            </w:r>
          </w:p>
        </w:tc>
        <w:tc>
          <w:tcPr/>
          <w:p>
            <w:pPr>
              <w:pStyle w:val="Compact"/>
            </w:pPr>
            <w:r>
              <w:rPr>
                <w:b/>
                <w:bCs/>
              </w:rPr>
              <w:t xml:space="preserve">ทุนจดทะเบียนชำระแล้วที่แท้จริง</w:t>
            </w:r>
            <w:r>
              <w:t xml:space="preserve"> </w:t>
            </w:r>
            <w:r>
              <w:t xml:space="preserve">— เอกสารสมมติ 50 ล้านบาทตามเกณฑ์ acquiring; ต้องแนบหลักฐานชำระจริงและคง ≥ 75%</w:t>
            </w:r>
          </w:p>
        </w:tc>
        <w:tc>
          <w:tcPr/>
          <w:p>
            <w:pPr>
              <w:pStyle w:val="Compact"/>
            </w:pPr>
            <w:r>
              <w:t xml:space="preserve">TODO</w:t>
            </w:r>
          </w:p>
        </w:tc>
        <w:tc>
          <w:tcPr/>
          <w:p>
            <w:pPr>
              <w:pStyle w:val="Compact"/>
            </w:pPr>
            <w:r>
              <w:t xml:space="preserve">CFO</w:t>
            </w:r>
          </w:p>
        </w:tc>
      </w:tr>
      <w:tr>
        <w:tc>
          <w:tcPr/>
          <w:p>
            <w:pPr>
              <w:pStyle w:val="Compact"/>
            </w:pPr>
            <w:r>
              <w:t xml:space="preserve">A5</w:t>
            </w:r>
          </w:p>
        </w:tc>
        <w:tc>
          <w:tcPr/>
          <w:p>
            <w:pPr>
              <w:pStyle w:val="Compact"/>
            </w:pPr>
            <w:r>
              <w:rPr>
                <w:b/>
                <w:bCs/>
              </w:rPr>
              <w:t xml:space="preserve">ผู้ตรวจสอบภายในอิสระ (co-source firm)</w:t>
            </w:r>
            <w:r>
              <w:t xml:space="preserve"> </w:t>
            </w:r>
            <w:r>
              <w:t xml:space="preserve">— ปีแรกคาดจ้าง co-source เพราะทีมในยังไม่พร้อม; ยังไม่เลือกสำนักงาน</w:t>
            </w:r>
          </w:p>
        </w:tc>
        <w:tc>
          <w:tcPr/>
          <w:p>
            <w:pPr>
              <w:pStyle w:val="Compact"/>
            </w:pPr>
            <w:r>
              <w:t xml:space="preserve">TODO</w:t>
            </w:r>
          </w:p>
        </w:tc>
        <w:tc>
          <w:tcPr/>
          <w:p>
            <w:pPr>
              <w:pStyle w:val="Compact"/>
            </w:pPr>
            <w:r>
              <w:t xml:space="preserve">Audit Committee</w:t>
            </w:r>
          </w:p>
        </w:tc>
      </w:tr>
      <w:tr>
        <w:tc>
          <w:tcPr/>
          <w:p>
            <w:pPr>
              <w:pStyle w:val="Compact"/>
            </w:pPr>
            <w:r>
              <w:t xml:space="preserve">A6</w:t>
            </w:r>
          </w:p>
        </w:tc>
        <w:tc>
          <w:tcPr/>
          <w:p>
            <w:pPr>
              <w:pStyle w:val="Compact"/>
            </w:pPr>
            <w:r>
              <w:rPr>
                <w:b/>
                <w:bCs/>
              </w:rPr>
              <w:t xml:space="preserve">DPO (Data Protection Officer)</w:t>
            </w:r>
            <w:r>
              <w:t xml:space="preserve"> </w:t>
            </w:r>
            <w:r>
              <w:t xml:space="preserve">ตาม PDPA — ยังไม่แต่งตั้งอย่างเป็นทางการ</w:t>
            </w:r>
          </w:p>
        </w:tc>
        <w:tc>
          <w:tcPr/>
          <w:p>
            <w:pPr>
              <w:pStyle w:val="Compact"/>
            </w:pPr>
            <w:r>
              <w:t xml:space="preserve">TODO</w:t>
            </w:r>
          </w:p>
        </w:tc>
        <w:tc>
          <w:tcPr/>
          <w:p>
            <w:pPr>
              <w:pStyle w:val="Compact"/>
            </w:pPr>
            <w:r>
              <w:t xml:space="preserve">CEO / Legal</w:t>
            </w:r>
          </w:p>
        </w:tc>
      </w:tr>
    </w:tbl>
    <w:p>
      <w:r>
        <w:pict>
          <v:rect style="width:0;height:1.5pt" o:hralign="center" o:hrstd="t" o:hr="t"/>
        </w:pict>
      </w:r>
    </w:p>
    <w:bookmarkEnd w:id="1101"/>
    <w:bookmarkStart w:id="1102" w:name="บทนำและวตถประสงค"/>
    <w:p>
      <w:pPr>
        <w:pStyle w:val="Heading2"/>
      </w:pPr>
      <w:r>
        <w:t xml:space="preserve">1. บทนำและวัตถุประสงค์</w:t>
      </w:r>
    </w:p>
    <w:p>
      <w:pPr>
        <w:pStyle w:val="FirstParagraph"/>
      </w:pPr>
      <w:r>
        <w:t xml:space="preserve">กฎบัตรฉบับนี้กำหนดพันธกิจ อำนาจหน้าที่ ความรับผิดชอบ และความเป็นอิสระของ</w:t>
      </w:r>
      <w:r>
        <w:t xml:space="preserve"> </w:t>
      </w:r>
      <w:r>
        <w:rPr>
          <w:b/>
          <w:bCs/>
        </w:rPr>
        <w:t xml:space="preserve">ฝ่ายตรวจสอบภายใน (Internal Audit — IA)</w:t>
      </w:r>
      <w:r>
        <w:t xml:space="preserve"> </w:t>
      </w:r>
      <w:r>
        <w:t xml:space="preserve">ของ</w:t>
      </w:r>
      <w:r>
        <w:t xml:space="preserve"> </w:t>
      </w:r>
      <w:r>
        <w:rPr>
          <w:b/>
          <w:bCs/>
        </w:rPr>
        <w:t xml:space="preserve">[บริษัท / Company]</w:t>
      </w:r>
      <w:r>
        <w:t xml:space="preserve"> </w:t>
      </w:r>
      <w:r>
        <w:t xml:space="preserve">ซึ่งประกอบธุรกิจให้บริการรับชำระเงินด้วยวิธีทางอิเล็กทรอนิกส์ (Acquiring) ภายใต้ พ.ร.บ. ระบบการชำระเงิน พ.ศ. 2560</w:t>
      </w:r>
    </w:p>
    <w:p>
      <w:pPr>
        <w:pStyle w:val="BodyText"/>
      </w:pPr>
      <w:r>
        <w:t xml:space="preserve">วัตถุประสงค์:</w:t>
      </w:r>
      <w:r>
        <w:t xml:space="preserve"> </w:t>
      </w:r>
      <w:r>
        <w:t xml:space="preserve">- ให้ความเชื่อมั่นอย่างเป็นอิสระ (independent assurance) ต่อคณะกรรมการบริษัทและคณะกรรมการตรวจสอบเกี่ยวกับความเพียงพอและประสิทธิผลของระบบควบคุมภายใน การบริหารความเสี่ยง และการกำกับดูแล</w:t>
      </w:r>
      <w:r>
        <w:t xml:space="preserve"> </w:t>
      </w:r>
      <w:r>
        <w:t xml:space="preserve">- สนับสนุนการปฏิบัติตามข้อกำหนดของ ธปท. ด้าน IT risk, cyber resilience, business continuity และ outsourcing</w:t>
      </w:r>
      <w:r>
        <w:t xml:space="preserve"> </w:t>
      </w:r>
      <w:r>
        <w:t xml:space="preserve">- ตรวจสอบการปฏิบัติตาม PCI-DSS v4.0, กฎหมาย AML/CFT ของ ปปง., และ PDPA</w:t>
      </w:r>
    </w:p>
    <w:p>
      <w:pPr>
        <w:pStyle w:val="BodyText"/>
      </w:pPr>
      <w:r>
        <w:t xml:space="preserve">IA ยึดกรอบมาตรฐานสากล</w:t>
      </w:r>
      <w:r>
        <w:t xml:space="preserve"> </w:t>
      </w:r>
      <w:r>
        <w:rPr>
          <w:b/>
          <w:bCs/>
        </w:rPr>
        <w:t xml:space="preserve">IIA Global Internal Audit Standards (2024)</w:t>
      </w:r>
      <w:r>
        <w:t xml:space="preserve"> </w:t>
      </w:r>
      <w:r>
        <w:t xml:space="preserve">และแนวปฏิบัติของ ธปท. ว่าด้วยการควบคุมภายในและการตรวจสอบภายในของสถาบันภายใต้การกำกับ</w:t>
      </w:r>
    </w:p>
    <w:p>
      <w:r>
        <w:pict>
          <v:rect style="width:0;height:1.5pt" o:hralign="center" o:hrstd="t" o:hr="t"/>
        </w:pict>
      </w:r>
    </w:p>
    <w:bookmarkEnd w:id="1102"/>
    <w:bookmarkStart w:id="1103" w:name="โครงสรางการกำกบ-three-lines-model"/>
    <w:p>
      <w:pPr>
        <w:pStyle w:val="Heading2"/>
      </w:pPr>
      <w:r>
        <w:t xml:space="preserve">2. โครงสร้างการกำกับ — Three Lines Model</w:t>
      </w:r>
    </w:p>
    <w:tbl>
      <w:tblPr>
        <w:tblStyle w:val="Table"/>
        <w:tblW w:type="pct" w:w="5000"/>
        <w:tblLayout w:type="fixed"/>
        <w:tblLook w:firstRow="1" w:lastRow="0" w:firstColumn="0" w:lastColumn="0" w:noHBand="0" w:noVBand="0" w:val="0020"/>
      </w:tblPr>
      <w:tblGrid>
        <w:gridCol w:w="2810"/>
        <w:gridCol w:w="3321"/>
        <w:gridCol w:w="1788"/>
      </w:tblGrid>
      <w:tr>
        <w:trPr>
          <w:tblHeader w:val="on"/>
        </w:trPr>
        <w:tc>
          <w:tcPr/>
          <w:p>
            <w:pPr>
              <w:pStyle w:val="Compact"/>
            </w:pPr>
            <w:r>
              <w:t xml:space="preserve">แนวป้องกัน</w:t>
            </w:r>
          </w:p>
        </w:tc>
        <w:tc>
          <w:tcPr/>
          <w:p>
            <w:pPr>
              <w:pStyle w:val="Compact"/>
            </w:pPr>
            <w:r>
              <w:t xml:space="preserve">ผู้รับผิดชอบ</w:t>
            </w:r>
          </w:p>
        </w:tc>
        <w:tc>
          <w:tcPr/>
          <w:p>
            <w:pPr>
              <w:pStyle w:val="Compact"/>
            </w:pPr>
            <w:r>
              <w:t xml:space="preserve">บทบาท</w:t>
            </w:r>
          </w:p>
        </w:tc>
      </w:tr>
      <w:tr>
        <w:tc>
          <w:tcPr/>
          <w:p>
            <w:pPr>
              <w:pStyle w:val="Compact"/>
            </w:pPr>
            <w:r>
              <w:rPr>
                <w:b/>
                <w:bCs/>
              </w:rPr>
              <w:t xml:space="preserve">แนวที่ 1</w:t>
            </w:r>
          </w:p>
        </w:tc>
        <w:tc>
          <w:tcPr/>
          <w:p>
            <w:pPr>
              <w:pStyle w:val="Compact"/>
            </w:pPr>
            <w:r>
              <w:t xml:space="preserve">หน่วยปฏิบัติการ (Payment Ops, Engineering, Merchant Onboarding)</w:t>
            </w:r>
          </w:p>
        </w:tc>
        <w:tc>
          <w:tcPr/>
          <w:p>
            <w:pPr>
              <w:pStyle w:val="Compact"/>
            </w:pPr>
            <w:r>
              <w:t xml:space="preserve">เป็นเจ้าของความเสี่ยงและควบคุมในกระบวนการ</w:t>
            </w:r>
          </w:p>
        </w:tc>
      </w:tr>
      <w:tr>
        <w:tc>
          <w:tcPr/>
          <w:p>
            <w:pPr>
              <w:pStyle w:val="Compact"/>
            </w:pPr>
            <w:r>
              <w:rPr>
                <w:b/>
                <w:bCs/>
              </w:rPr>
              <w:t xml:space="preserve">แนวที่ 2</w:t>
            </w:r>
          </w:p>
        </w:tc>
        <w:tc>
          <w:tcPr/>
          <w:p>
            <w:pPr>
              <w:pStyle w:val="Compact"/>
            </w:pPr>
            <w:r>
              <w:t xml:space="preserve">Compliance, Risk Management, CISO/Security, AML Officer, DPO</w:t>
            </w:r>
          </w:p>
        </w:tc>
        <w:tc>
          <w:tcPr/>
          <w:p>
            <w:pPr>
              <w:pStyle w:val="Compact"/>
            </w:pPr>
            <w:r>
              <w:t xml:space="preserve">กำหนดนโยบาย ติดตาม และท้าทายแนวที่ 1</w:t>
            </w:r>
          </w:p>
        </w:tc>
      </w:tr>
      <w:tr>
        <w:tc>
          <w:tcPr/>
          <w:p>
            <w:pPr>
              <w:pStyle w:val="Compact"/>
            </w:pPr>
            <w:r>
              <w:rPr>
                <w:b/>
                <w:bCs/>
              </w:rPr>
              <w:t xml:space="preserve">แนวที่ 3</w:t>
            </w:r>
          </w:p>
        </w:tc>
        <w:tc>
          <w:tcPr/>
          <w:p>
            <w:pPr>
              <w:pStyle w:val="Compact"/>
            </w:pPr>
            <w:r>
              <w:rPr>
                <w:b/>
                <w:bCs/>
              </w:rPr>
              <w:t xml:space="preserve">ฝ่ายตรวจสอบภายใน (IA)</w:t>
            </w:r>
          </w:p>
        </w:tc>
        <w:tc>
          <w:tcPr/>
          <w:p>
            <w:pPr>
              <w:pStyle w:val="Compact"/>
            </w:pPr>
            <w:r>
              <w:t xml:space="preserve">ให้ความเชื่อมั่นอิสระต่อแนวที่ 1 และ 2 รายงานตรงต่อคณะกรรมการตรวจสอบ</w:t>
            </w:r>
          </w:p>
        </w:tc>
      </w:tr>
    </w:tbl>
    <w:p>
      <w:pPr>
        <w:pStyle w:val="BodyText"/>
      </w:pPr>
      <w:r>
        <w:rPr>
          <w:b/>
          <w:bCs/>
        </w:rPr>
        <w:t xml:space="preserve">สายรายงาน (Reporting Lines):</w:t>
      </w:r>
      <w:r>
        <w:t xml:space="preserve"> </w:t>
      </w:r>
      <w:r>
        <w:t xml:space="preserve">-</w:t>
      </w:r>
      <w:r>
        <w:t xml:space="preserve"> </w:t>
      </w:r>
      <w:r>
        <w:rPr>
          <w:b/>
          <w:bCs/>
        </w:rPr>
        <w:t xml:space="preserve">สายงาน (functional):</w:t>
      </w:r>
      <w:r>
        <w:t xml:space="preserve"> </w:t>
      </w:r>
      <w:r>
        <w:t xml:space="preserve">หัวหน้าฝ่ายตรวจสอบภายใน (Chief Audit Executive — CAE) รายงานตรงต่อ</w:t>
      </w:r>
      <w:r>
        <w:t xml:space="preserve"> </w:t>
      </w:r>
      <w:r>
        <w:rPr>
          <w:b/>
          <w:bCs/>
        </w:rPr>
        <w:t xml:space="preserve">คณะกรรมการตรวจสอบ (Audit Committee)</w:t>
      </w:r>
      <w:r>
        <w:t xml:space="preserve"> </w:t>
      </w:r>
      <w:r>
        <w:t xml:space="preserve">-</w:t>
      </w:r>
      <w:r>
        <w:t xml:space="preserve"> </w:t>
      </w:r>
      <w:r>
        <w:rPr>
          <w:b/>
          <w:bCs/>
        </w:rPr>
        <w:t xml:space="preserve">สายบริหาร (administrative):</w:t>
      </w:r>
      <w:r>
        <w:t xml:space="preserve"> </w:t>
      </w:r>
      <w:r>
        <w:t xml:space="preserve">รายงานต่อ CEO เฉพาะเรื่องธุรการ (งบประมาณ ทรัพยากร) เท่านั้น เพื่อรักษาความเป็นอิสระ</w:t>
      </w:r>
      <w:r>
        <w:t xml:space="preserve"> </w:t>
      </w:r>
      <w:r>
        <w:t xml:space="preserve">- คณะกรรมการตรวจสอบเป็นผู้อนุมัติการแต่งตั้ง/ถอดถอน ประเมินผลงาน และกำหนดค่าตอบแทนของ CAE</w:t>
      </w:r>
    </w:p>
    <w:p>
      <w:r>
        <w:pict>
          <v:rect style="width:0;height:1.5pt" o:hralign="center" o:hrstd="t" o:hr="t"/>
        </w:pict>
      </w:r>
    </w:p>
    <w:bookmarkEnd w:id="1103"/>
    <w:bookmarkStart w:id="1104" w:name="Xc64ad3aaeef061d9daaff4409c94d372a217631"/>
    <w:p>
      <w:pPr>
        <w:pStyle w:val="Heading2"/>
      </w:pPr>
      <w:r>
        <w:t xml:space="preserve">3. ความเป็นอิสระและความเที่ยงธรรม (Independence &amp; Objectivity)</w:t>
      </w:r>
    </w:p>
    <w:p>
      <w:pPr>
        <w:pStyle w:val="Compact"/>
        <w:numPr>
          <w:ilvl w:val="0"/>
          <w:numId w:val="1398"/>
        </w:numPr>
      </w:pPr>
      <w:r>
        <w:t xml:space="preserve">IA ไม่มีอำนาจหรือความรับผิดชอบในการปฏิบัติงานที่ตนตรวจสอบ (no operational responsibility)</w:t>
      </w:r>
    </w:p>
    <w:p>
      <w:pPr>
        <w:pStyle w:val="Compact"/>
        <w:numPr>
          <w:ilvl w:val="0"/>
          <w:numId w:val="1398"/>
        </w:numPr>
      </w:pPr>
      <w:r>
        <w:t xml:space="preserve">ผู้ตรวจสอบต้องไม่ตรวจงานที่ตนเคยรับผิดชอบภายใน</w:t>
      </w:r>
      <w:r>
        <w:t xml:space="preserve"> </w:t>
      </w:r>
      <w:r>
        <w:rPr>
          <w:b/>
          <w:bCs/>
        </w:rPr>
        <w:t xml:space="preserve">12 เดือน</w:t>
      </w:r>
      <w:r>
        <w:t xml:space="preserve"> </w:t>
      </w:r>
      <w:r>
        <w:t xml:space="preserve">ที่ผ่านมา</w:t>
      </w:r>
    </w:p>
    <w:p>
      <w:pPr>
        <w:pStyle w:val="Compact"/>
        <w:numPr>
          <w:ilvl w:val="0"/>
          <w:numId w:val="1398"/>
        </w:numPr>
      </w:pPr>
      <w:r>
        <w:t xml:space="preserve">CAE ต้องยืนยันความเป็นอิสระขององค์กรต่อคณะกรรมการตรวจสอบเป็นลายลักษณ์อักษร</w:t>
      </w:r>
      <w:r>
        <w:t xml:space="preserve"> </w:t>
      </w:r>
      <w:r>
        <w:rPr>
          <w:b/>
          <w:bCs/>
        </w:rPr>
        <w:t xml:space="preserve">อย่างน้อยปีละ 1 ครั้ง</w:t>
      </w:r>
    </w:p>
    <w:p>
      <w:pPr>
        <w:pStyle w:val="Compact"/>
        <w:numPr>
          <w:ilvl w:val="0"/>
          <w:numId w:val="1398"/>
        </w:numPr>
      </w:pPr>
      <w:r>
        <w:t xml:space="preserve">หากเกิดความขัดแย้งทางผลประโยชน์ (conflict of interest) ต้องเปิดเผยต่อคณะกรรมการตรวจสอบทันที และมอบหมายผู้ตรวจสอบรายอื่นหรือใช้ co-source (ดู TODO A5)</w:t>
      </w:r>
    </w:p>
    <w:p>
      <w:r>
        <w:pict>
          <v:rect style="width:0;height:1.5pt" o:hralign="center" o:hrstd="t" o:hr="t"/>
        </w:pict>
      </w:r>
    </w:p>
    <w:bookmarkEnd w:id="1104"/>
    <w:bookmarkStart w:id="1105" w:name="อำนาจหนาท-authority"/>
    <w:p>
      <w:pPr>
        <w:pStyle w:val="Heading2"/>
      </w:pPr>
      <w:r>
        <w:t xml:space="preserve">4. อำนาจหน้าที่ (Authority)</w:t>
      </w:r>
    </w:p>
    <w:p>
      <w:pPr>
        <w:pStyle w:val="FirstParagraph"/>
      </w:pPr>
      <w:r>
        <w:t xml:space="preserve">IA ได้รับอนุมัติจากคณะกรรมการให้มีอำนาจ:</w:t>
      </w:r>
      <w:r>
        <w:t xml:space="preserve"> </w:t>
      </w:r>
      <w:r>
        <w:t xml:space="preserve">1. เข้าถึงข้อมูล ระบบ บันทึก ทรัพย์สิน และบุคลากรทุกส่วนที่จำเป็นต่อการตรวจสอบ</w:t>
      </w:r>
      <w:r>
        <w:t xml:space="preserve"> </w:t>
      </w:r>
      <w:r>
        <w:rPr>
          <w:b/>
          <w:bCs/>
        </w:rPr>
        <w:t xml:space="preserve">โดยไม่มีข้อจำกัด</w:t>
      </w:r>
      <w:r>
        <w:t xml:space="preserve"> </w:t>
      </w:r>
      <w:r>
        <w:t xml:space="preserve">รวมถึงระบบใน PCI scope (vault/tokenization),</w:t>
      </w:r>
      <w:r>
        <w:t xml:space="preserve"> </w:t>
      </w:r>
      <w:r>
        <w:rPr>
          <w:rStyle w:val="VerbatimChar"/>
        </w:rPr>
        <w:t xml:space="preserve">ledger_entries</w:t>
      </w:r>
      <w:r>
        <w:t xml:space="preserve">,</w:t>
      </w:r>
      <w:r>
        <w:t xml:space="preserve"> </w:t>
      </w:r>
      <w:r>
        <w:rPr>
          <w:rStyle w:val="VerbatimChar"/>
        </w:rPr>
        <w:t xml:space="preserve">audit_log</w:t>
      </w:r>
      <w:r>
        <w:t xml:space="preserve">, และ SIEM</w:t>
      </w:r>
      <w:r>
        <w:t xml:space="preserve"> </w:t>
      </w:r>
      <w:r>
        <w:t xml:space="preserve">2. เข้าถึงเอกสารการประชุมคณะกรรมการและคณะกรรมการชุดย่อย</w:t>
      </w:r>
      <w:r>
        <w:t xml:space="preserve"> </w:t>
      </w:r>
      <w:r>
        <w:t xml:space="preserve">3. ขอคำชี้แจงและความร่วมมือจากพนักงานทุกระดับ</w:t>
      </w:r>
      <w:r>
        <w:t xml:space="preserve"> </w:t>
      </w:r>
      <w:r>
        <w:t xml:space="preserve">4. จัดหาผู้เชี่ยวชาญภายนอก (เช่น pentester, forensic) เมื่อจำเป็น</w:t>
      </w:r>
    </w:p>
    <w:p>
      <w:pPr>
        <w:pStyle w:val="BodyText"/>
      </w:pPr>
      <w:r>
        <w:rPr>
          <w:b/>
          <w:bCs/>
        </w:rPr>
        <w:t xml:space="preserve">ขอบเขต:</w:t>
      </w:r>
      <w:r>
        <w:t xml:space="preserve"> </w:t>
      </w:r>
      <w:r>
        <w:t xml:space="preserve">IA ครอบคลุมทุกหน่วยงาน กระบวนการ และผู้ให้บริการภายนอก (outsourcing/critical vendor รวมถึง QSA, sponsor bank interface, cloud, HSM/KMS) ตามสิทธิ์ audit-right ในสัญญา</w:t>
      </w:r>
    </w:p>
    <w:p>
      <w:r>
        <w:pict>
          <v:rect style="width:0;height:1.5pt" o:hralign="center" o:hrstd="t" o:hr="t"/>
        </w:pict>
      </w:r>
    </w:p>
    <w:bookmarkEnd w:id="1105"/>
    <w:bookmarkStart w:id="1106" w:name="ความรบผดชอบ-responsibilities"/>
    <w:p>
      <w:pPr>
        <w:pStyle w:val="Heading2"/>
      </w:pPr>
      <w:r>
        <w:t xml:space="preserve">5. ความรับผิดชอบ (Responsibilities)</w:t>
      </w:r>
    </w:p>
    <w:p>
      <w:pPr>
        <w:pStyle w:val="Compact"/>
        <w:numPr>
          <w:ilvl w:val="0"/>
          <w:numId w:val="1399"/>
        </w:numPr>
      </w:pPr>
      <w:r>
        <w:t xml:space="preserve">จัดทำ</w:t>
      </w:r>
      <w:r>
        <w:t xml:space="preserve"> </w:t>
      </w:r>
      <w:r>
        <w:rPr>
          <w:b/>
          <w:bCs/>
        </w:rPr>
        <w:t xml:space="preserve">แผนตรวจสอบประจำปีแบบ risk-based</w:t>
      </w:r>
      <w:r>
        <w:t xml:space="preserve"> </w:t>
      </w:r>
      <w:r>
        <w:t xml:space="preserve">และแผนหมุนเวียน 3 ปี เสนอคณะกรรมการตรวจสอบอนุมัติ</w:t>
      </w:r>
    </w:p>
    <w:p>
      <w:pPr>
        <w:pStyle w:val="Compact"/>
        <w:numPr>
          <w:ilvl w:val="0"/>
          <w:numId w:val="1399"/>
        </w:numPr>
      </w:pPr>
      <w:r>
        <w:t xml:space="preserve">ดำเนินการตรวจสอบตามแผน ประเมินความเพียงพอของการควบคุมด้าน payment ops, security, AML, PCI, PDPA</w:t>
      </w:r>
    </w:p>
    <w:p>
      <w:pPr>
        <w:pStyle w:val="Compact"/>
        <w:numPr>
          <w:ilvl w:val="0"/>
          <w:numId w:val="1399"/>
        </w:numPr>
      </w:pPr>
      <w:r>
        <w:t xml:space="preserve">ติดตามการแก้ไขข้อสังเกต (finding tracking) จนปิดประเด็น</w:t>
      </w:r>
    </w:p>
    <w:p>
      <w:pPr>
        <w:pStyle w:val="Compact"/>
        <w:numPr>
          <w:ilvl w:val="0"/>
          <w:numId w:val="1399"/>
        </w:numPr>
      </w:pPr>
      <w:r>
        <w:t xml:space="preserve">รายงานผลต่อคณะกรรมการตรวจสอบทุกไตรมาส</w:t>
      </w:r>
    </w:p>
    <w:p>
      <w:pPr>
        <w:pStyle w:val="Compact"/>
        <w:numPr>
          <w:ilvl w:val="0"/>
          <w:numId w:val="1399"/>
        </w:numPr>
      </w:pPr>
      <w:r>
        <w:t xml:space="preserve">ประสานงานกับผู้สอบบัญชีภายนอกและ QSA เพื่อลดความซ้ำซ้อน (combined assurance)</w:t>
      </w:r>
    </w:p>
    <w:p>
      <w:pPr>
        <w:pStyle w:val="Compact"/>
        <w:numPr>
          <w:ilvl w:val="0"/>
          <w:numId w:val="1399"/>
        </w:numPr>
      </w:pPr>
      <w:r>
        <w:t xml:space="preserve">แจ้งเบาะแสการทุจริต/เหตุการณ์สำคัญ (fraud, data breach, AML STR) ต่อคณะกรรมการตรวจสอบทันที</w:t>
      </w:r>
    </w:p>
    <w:p>
      <w:r>
        <w:pict>
          <v:rect style="width:0;height:1.5pt" o:hralign="center" o:hrstd="t" o:hr="t"/>
        </w:pict>
      </w:r>
    </w:p>
    <w:bookmarkEnd w:id="1106"/>
    <w:bookmarkStart w:id="1110" w:name="Xb5ff9431db9337d11f9e89f9aa11fb6a09ea223"/>
    <w:p>
      <w:pPr>
        <w:pStyle w:val="Heading2"/>
      </w:pPr>
      <w:r>
        <w:t xml:space="preserve">6. แผนตรวจสอบประจำปีแบบอิงความเสี่ยง (Risk-Based Annual Audit Plan)</w:t>
      </w:r>
    </w:p>
    <w:bookmarkStart w:id="1107" w:name="วธจดทำแผน"/>
    <w:p>
      <w:pPr>
        <w:pStyle w:val="Heading3"/>
      </w:pPr>
      <w:r>
        <w:t xml:space="preserve">6.1 วิธีจัดทำแผน</w:t>
      </w:r>
    </w:p>
    <w:p>
      <w:pPr>
        <w:pStyle w:val="FirstParagraph"/>
      </w:pPr>
      <w:r>
        <w:t xml:space="preserve">คะแนนความเสี่ยง =</w:t>
      </w:r>
      <w:r>
        <w:t xml:space="preserve"> </w:t>
      </w:r>
      <w:r>
        <w:rPr>
          <w:b/>
          <w:bCs/>
        </w:rPr>
        <w:t xml:space="preserve">ผลกระทบ (Impact) × โอกาสเกิด (Likelihood)</w:t>
      </w:r>
      <w:r>
        <w:t xml:space="preserve"> </w:t>
      </w:r>
      <w:r>
        <w:t xml:space="preserve">ปรับด้วย regulatory sensitivity โดยพิจารณา: มูลค่าธุรกรรม, การสัมผัสข้อมูลบัตร (CHD), ผลกระทบต่อ ธปท./ปปง./PDPC, ประวัติข้อสังเกต, และการเปลี่ยนแปลงระบบ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ระดับความเสี่ยง</w:t>
            </w:r>
          </w:p>
        </w:tc>
        <w:tc>
          <w:tcPr/>
          <w:p>
            <w:pPr>
              <w:pStyle w:val="Compact"/>
            </w:pPr>
            <w:r>
              <w:t xml:space="preserve">คะแนน</w:t>
            </w:r>
          </w:p>
        </w:tc>
        <w:tc>
          <w:tcPr/>
          <w:p>
            <w:pPr>
              <w:pStyle w:val="Compact"/>
            </w:pPr>
            <w:r>
              <w:t xml:space="preserve">ความถี่ตรวจขั้นต่ำ</w:t>
            </w:r>
          </w:p>
        </w:tc>
      </w:tr>
      <w:tr>
        <w:tc>
          <w:tcPr/>
          <w:p>
            <w:pPr>
              <w:pStyle w:val="Compact"/>
            </w:pPr>
            <w:r>
              <w:t xml:space="preserve">สูงมาก (Critical)</w:t>
            </w:r>
          </w:p>
        </w:tc>
        <w:tc>
          <w:tcPr/>
          <w:p>
            <w:pPr>
              <w:pStyle w:val="Compact"/>
            </w:pPr>
            <w:r>
              <w:t xml:space="preserve">20–25</w:t>
            </w:r>
          </w:p>
        </w:tc>
        <w:tc>
          <w:tcPr/>
          <w:p>
            <w:pPr>
              <w:pStyle w:val="Compact"/>
            </w:pPr>
            <w:r>
              <w:t xml:space="preserve">ทุก 6–12 เดือน</w:t>
            </w:r>
          </w:p>
        </w:tc>
      </w:tr>
      <w:tr>
        <w:tc>
          <w:tcPr/>
          <w:p>
            <w:pPr>
              <w:pStyle w:val="Compact"/>
            </w:pPr>
            <w:r>
              <w:t xml:space="preserve">สูง (High)</w:t>
            </w:r>
          </w:p>
        </w:tc>
        <w:tc>
          <w:tcPr/>
          <w:p>
            <w:pPr>
              <w:pStyle w:val="Compact"/>
            </w:pPr>
            <w:r>
              <w:t xml:space="preserve">12–19</w:t>
            </w:r>
          </w:p>
        </w:tc>
        <w:tc>
          <w:tcPr/>
          <w:p>
            <w:pPr>
              <w:pStyle w:val="Compact"/>
            </w:pPr>
            <w:r>
              <w:t xml:space="preserve">ปีละ 1 ครั้ง</w:t>
            </w:r>
          </w:p>
        </w:tc>
      </w:tr>
      <w:tr>
        <w:tc>
          <w:tcPr/>
          <w:p>
            <w:pPr>
              <w:pStyle w:val="Compact"/>
            </w:pPr>
            <w:r>
              <w:t xml:space="preserve">ปานกลาง (Medium)</w:t>
            </w:r>
          </w:p>
        </w:tc>
        <w:tc>
          <w:tcPr/>
          <w:p>
            <w:pPr>
              <w:pStyle w:val="Compact"/>
            </w:pPr>
            <w:r>
              <w:t xml:space="preserve">6–11</w:t>
            </w:r>
          </w:p>
        </w:tc>
        <w:tc>
          <w:tcPr/>
          <w:p>
            <w:pPr>
              <w:pStyle w:val="Compact"/>
            </w:pPr>
            <w:r>
              <w:t xml:space="preserve">ทุก 18–24 เดือน</w:t>
            </w:r>
          </w:p>
        </w:tc>
      </w:tr>
      <w:tr>
        <w:tc>
          <w:tcPr/>
          <w:p>
            <w:pPr>
              <w:pStyle w:val="Compact"/>
            </w:pPr>
            <w:r>
              <w:t xml:space="preserve">ต่ำ (Low)</w:t>
            </w:r>
          </w:p>
        </w:tc>
        <w:tc>
          <w:tcPr/>
          <w:p>
            <w:pPr>
              <w:pStyle w:val="Compact"/>
            </w:pPr>
            <w:r>
              <w:t xml:space="preserve">1–5</w:t>
            </w:r>
          </w:p>
        </w:tc>
        <w:tc>
          <w:tcPr/>
          <w:p>
            <w:pPr>
              <w:pStyle w:val="Compact"/>
            </w:pPr>
            <w:r>
              <w:t xml:space="preserve">ทุก 36 เดือน</w:t>
            </w:r>
          </w:p>
        </w:tc>
      </w:tr>
    </w:tbl>
    <w:bookmarkEnd w:id="1107"/>
    <w:bookmarkStart w:id="1108" w:name="จกรวาลการตรวจสอบและแผนป-2570-2027"/>
    <w:p>
      <w:pPr>
        <w:pStyle w:val="Heading3"/>
      </w:pPr>
      <w:r>
        <w:t xml:space="preserve">6.2 จักรวาลการตรวจสอบและแผนปี 2570 (2027)</w:t>
      </w:r>
    </w:p>
    <w:tbl>
      <w:tblPr>
        <w:tblStyle w:val="Table"/>
        <w:tblW w:type="pct" w:w="5000"/>
        <w:tblLayout w:type="fixed"/>
        <w:tblLook w:firstRow="1" w:lastRow="0" w:firstColumn="0" w:lastColumn="0" w:noHBand="0" w:noVBand="0" w:val="0020"/>
      </w:tblPr>
      <w:tblGrid>
        <w:gridCol w:w="232"/>
        <w:gridCol w:w="2407"/>
        <w:gridCol w:w="543"/>
        <w:gridCol w:w="1320"/>
        <w:gridCol w:w="1397"/>
        <w:gridCol w:w="2018"/>
      </w:tblGrid>
      <w:tr>
        <w:trPr>
          <w:tblHeader w:val="on"/>
        </w:trPr>
        <w:tc>
          <w:tcPr/>
          <w:p>
            <w:pPr>
              <w:pStyle w:val="Compact"/>
            </w:pPr>
            <w:r>
              <w:t xml:space="preserve">#</w:t>
            </w:r>
          </w:p>
        </w:tc>
        <w:tc>
          <w:tcPr/>
          <w:p>
            <w:pPr>
              <w:pStyle w:val="Compact"/>
            </w:pPr>
            <w:r>
              <w:t xml:space="preserve">หน่วยตรวจสอบ (Audit Universe)</w:t>
            </w:r>
          </w:p>
        </w:tc>
        <w:tc>
          <w:tcPr/>
          <w:p>
            <w:pPr>
              <w:pStyle w:val="Compact"/>
            </w:pPr>
            <w:r>
              <w:t xml:space="preserve">โดเมน</w:t>
            </w:r>
          </w:p>
        </w:tc>
        <w:tc>
          <w:tcPr/>
          <w:p>
            <w:pPr>
              <w:pStyle w:val="Compact"/>
            </w:pPr>
            <w:r>
              <w:t xml:space="preserve">ระดับความเสี่ยง</w:t>
            </w:r>
          </w:p>
        </w:tc>
        <w:tc>
          <w:tcPr/>
          <w:p>
            <w:pPr>
              <w:pStyle w:val="Compact"/>
            </w:pPr>
            <w:r>
              <w:t xml:space="preserve">ไตรมาสที่วางแผน</w:t>
            </w:r>
          </w:p>
        </w:tc>
        <w:tc>
          <w:tcPr/>
          <w:p>
            <w:pPr>
              <w:pStyle w:val="Compact"/>
            </w:pPr>
            <w:r>
              <w:t xml:space="preserve">มาตรฐาน/ข้อกำหนดอ้างอิง</w:t>
            </w:r>
          </w:p>
        </w:tc>
      </w:tr>
      <w:tr>
        <w:tc>
          <w:tcPr/>
          <w:p>
            <w:pPr>
              <w:pStyle w:val="Compact"/>
            </w:pPr>
            <w:r>
              <w:t xml:space="preserve">1</w:t>
            </w:r>
          </w:p>
        </w:tc>
        <w:tc>
          <w:tcPr/>
          <w:p>
            <w:pPr>
              <w:pStyle w:val="Compact"/>
            </w:pPr>
            <w:r>
              <w:t xml:space="preserve">Authorization / Capture / Refund / Void &amp; idempotency</w:t>
            </w:r>
          </w:p>
        </w:tc>
        <w:tc>
          <w:tcPr/>
          <w:p>
            <w:pPr>
              <w:pStyle w:val="Compact"/>
            </w:pPr>
            <w:r>
              <w:t xml:space="preserve">Payment Ops</w:t>
            </w:r>
          </w:p>
        </w:tc>
        <w:tc>
          <w:tcPr/>
          <w:p>
            <w:pPr>
              <w:pStyle w:val="Compact"/>
            </w:pPr>
            <w:r>
              <w:t xml:space="preserve">Critical</w:t>
            </w:r>
          </w:p>
        </w:tc>
        <w:tc>
          <w:tcPr/>
          <w:p>
            <w:pPr>
              <w:pStyle w:val="Compact"/>
            </w:pPr>
            <w:r>
              <w:t xml:space="preserve">Q1</w:t>
            </w:r>
          </w:p>
        </w:tc>
        <w:tc>
          <w:tcPr/>
          <w:p>
            <w:pPr>
              <w:pStyle w:val="Compact"/>
            </w:pPr>
            <w:r>
              <w:t xml:space="preserve">Architecture §5, ธปท. IT risk</w:t>
            </w:r>
          </w:p>
        </w:tc>
      </w:tr>
      <w:tr>
        <w:tc>
          <w:tcPr/>
          <w:p>
            <w:pPr>
              <w:pStyle w:val="Compact"/>
            </w:pPr>
            <w:r>
              <w:t xml:space="preserve">2</w:t>
            </w:r>
          </w:p>
        </w:tc>
        <w:tc>
          <w:tcPr/>
          <w:p>
            <w:pPr>
              <w:pStyle w:val="Compact"/>
            </w:pPr>
            <w:r>
              <w:t xml:space="preserve">Ledger integrity &amp; reconciliation (append-only, double-entry)</w:t>
            </w:r>
          </w:p>
        </w:tc>
        <w:tc>
          <w:tcPr/>
          <w:p>
            <w:pPr>
              <w:pStyle w:val="Compact"/>
            </w:pPr>
            <w:r>
              <w:t xml:space="preserve">Payment Ops</w:t>
            </w:r>
          </w:p>
        </w:tc>
        <w:tc>
          <w:tcPr/>
          <w:p>
            <w:pPr>
              <w:pStyle w:val="Compact"/>
            </w:pPr>
            <w:r>
              <w:t xml:space="preserve">Critical</w:t>
            </w:r>
          </w:p>
        </w:tc>
        <w:tc>
          <w:tcPr/>
          <w:p>
            <w:pPr>
              <w:pStyle w:val="Compact"/>
            </w:pPr>
            <w:r>
              <w:t xml:space="preserve">Q2</w:t>
            </w:r>
          </w:p>
        </w:tc>
        <w:tc>
          <w:tcPr/>
          <w:p>
            <w:pPr>
              <w:pStyle w:val="Compact"/>
            </w:pPr>
            <w:r>
              <w:t xml:space="preserve">Architecture §6</w:t>
            </w:r>
          </w:p>
        </w:tc>
      </w:tr>
      <w:tr>
        <w:tc>
          <w:tcPr/>
          <w:p>
            <w:pPr>
              <w:pStyle w:val="Compact"/>
            </w:pPr>
            <w:r>
              <w:t xml:space="preserve">3</w:t>
            </w:r>
          </w:p>
        </w:tc>
        <w:tc>
          <w:tcPr/>
          <w:p>
            <w:pPr>
              <w:pStyle w:val="Compact"/>
            </w:pPr>
            <w:r>
              <w:t xml:space="preserve">Settlement &amp; merchant payout กับ sponsor bank</w:t>
            </w:r>
          </w:p>
        </w:tc>
        <w:tc>
          <w:tcPr/>
          <w:p>
            <w:pPr>
              <w:pStyle w:val="Compact"/>
            </w:pPr>
            <w:r>
              <w:t xml:space="preserve">Payment Ops</w:t>
            </w:r>
          </w:p>
        </w:tc>
        <w:tc>
          <w:tcPr/>
          <w:p>
            <w:pPr>
              <w:pStyle w:val="Compact"/>
            </w:pPr>
            <w:r>
              <w:t xml:space="preserve">High</w:t>
            </w:r>
          </w:p>
        </w:tc>
        <w:tc>
          <w:tcPr/>
          <w:p>
            <w:pPr>
              <w:pStyle w:val="Compact"/>
            </w:pPr>
            <w:r>
              <w:t xml:space="preserve">Q3</w:t>
            </w:r>
          </w:p>
        </w:tc>
        <w:tc>
          <w:tcPr/>
          <w:p>
            <w:pPr>
              <w:pStyle w:val="Compact"/>
            </w:pPr>
            <w:r>
              <w:t xml:space="preserve">TODO A2</w:t>
            </w:r>
          </w:p>
        </w:tc>
      </w:tr>
      <w:tr>
        <w:tc>
          <w:tcPr/>
          <w:p>
            <w:pPr>
              <w:pStyle w:val="Compact"/>
            </w:pPr>
            <w:r>
              <w:t xml:space="preserve">4</w:t>
            </w:r>
          </w:p>
        </w:tc>
        <w:tc>
          <w:tcPr/>
          <w:p>
            <w:pPr>
              <w:pStyle w:val="Compact"/>
            </w:pPr>
            <w:r>
              <w:t xml:space="preserve">Chargeback / dispute workflow</w:t>
            </w:r>
          </w:p>
        </w:tc>
        <w:tc>
          <w:tcPr/>
          <w:p>
            <w:pPr>
              <w:pStyle w:val="Compact"/>
            </w:pPr>
            <w:r>
              <w:t xml:space="preserve">Payment Ops</w:t>
            </w:r>
          </w:p>
        </w:tc>
        <w:tc>
          <w:tcPr/>
          <w:p>
            <w:pPr>
              <w:pStyle w:val="Compact"/>
            </w:pPr>
            <w:r>
              <w:t xml:space="preserve">High</w:t>
            </w:r>
          </w:p>
        </w:tc>
        <w:tc>
          <w:tcPr/>
          <w:p>
            <w:pPr>
              <w:pStyle w:val="Compact"/>
            </w:pPr>
            <w:r>
              <w:t xml:space="preserve">Q3</w:t>
            </w:r>
          </w:p>
        </w:tc>
        <w:tc>
          <w:tcPr/>
          <w:p>
            <w:pPr>
              <w:pStyle w:val="Compact"/>
            </w:pPr>
            <w:r>
              <w:t xml:space="preserve">EMV 3DS, scheme rules</w:t>
            </w:r>
          </w:p>
        </w:tc>
      </w:tr>
      <w:tr>
        <w:tc>
          <w:tcPr/>
          <w:p>
            <w:pPr>
              <w:pStyle w:val="Compact"/>
            </w:pPr>
            <w:r>
              <w:t xml:space="preserve">5</w:t>
            </w:r>
          </w:p>
        </w:tc>
        <w:tc>
          <w:tcPr/>
          <w:p>
            <w:pPr>
              <w:pStyle w:val="Compact"/>
            </w:pPr>
            <w:r>
              <w:t xml:space="preserve">Tokenization vault &amp; key management (HSM/KMS, dual control)</w:t>
            </w:r>
          </w:p>
        </w:tc>
        <w:tc>
          <w:tcPr/>
          <w:p>
            <w:pPr>
              <w:pStyle w:val="Compact"/>
            </w:pPr>
            <w:r>
              <w:t xml:space="preserve">Security/PCI</w:t>
            </w:r>
          </w:p>
        </w:tc>
        <w:tc>
          <w:tcPr/>
          <w:p>
            <w:pPr>
              <w:pStyle w:val="Compact"/>
            </w:pPr>
            <w:r>
              <w:t xml:space="preserve">Critical</w:t>
            </w:r>
          </w:p>
        </w:tc>
        <w:tc>
          <w:tcPr/>
          <w:p>
            <w:pPr>
              <w:pStyle w:val="Compact"/>
            </w:pPr>
            <w:r>
              <w:t xml:space="preserve">Q1</w:t>
            </w:r>
          </w:p>
        </w:tc>
        <w:tc>
          <w:tcPr/>
          <w:p>
            <w:pPr>
              <w:pStyle w:val="Compact"/>
            </w:pPr>
            <w:r>
              <w:t xml:space="preserve">PCI-DSS v4.0 Req 3, 4</w:t>
            </w:r>
          </w:p>
        </w:tc>
      </w:tr>
      <w:tr>
        <w:tc>
          <w:tcPr/>
          <w:p>
            <w:pPr>
              <w:pStyle w:val="Compact"/>
            </w:pPr>
            <w:r>
              <w:t xml:space="preserve">6</w:t>
            </w:r>
          </w:p>
        </w:tc>
        <w:tc>
          <w:tcPr/>
          <w:p>
            <w:pPr>
              <w:pStyle w:val="Compact"/>
            </w:pPr>
            <w:r>
              <w:t xml:space="preserve">Access control, RBAC, MFA, privileged access</w:t>
            </w:r>
          </w:p>
        </w:tc>
        <w:tc>
          <w:tcPr/>
          <w:p>
            <w:pPr>
              <w:pStyle w:val="Compact"/>
            </w:pPr>
            <w:r>
              <w:t xml:space="preserve">Security/PCI</w:t>
            </w:r>
          </w:p>
        </w:tc>
        <w:tc>
          <w:tcPr/>
          <w:p>
            <w:pPr>
              <w:pStyle w:val="Compact"/>
            </w:pPr>
            <w:r>
              <w:t xml:space="preserve">Critical</w:t>
            </w:r>
          </w:p>
        </w:tc>
        <w:tc>
          <w:tcPr/>
          <w:p>
            <w:pPr>
              <w:pStyle w:val="Compact"/>
            </w:pPr>
            <w:r>
              <w:t xml:space="preserve">Q2</w:t>
            </w:r>
          </w:p>
        </w:tc>
        <w:tc>
          <w:tcPr/>
          <w:p>
            <w:pPr>
              <w:pStyle w:val="Compact"/>
            </w:pPr>
            <w:r>
              <w:t xml:space="preserve">PCI-DSS v4.0 Req 7, 8</w:t>
            </w:r>
          </w:p>
        </w:tc>
      </w:tr>
      <w:tr>
        <w:tc>
          <w:tcPr/>
          <w:p>
            <w:pPr>
              <w:pStyle w:val="Compact"/>
            </w:pPr>
            <w:r>
              <w:t xml:space="preserve">7</w:t>
            </w:r>
          </w:p>
        </w:tc>
        <w:tc>
          <w:tcPr/>
          <w:p>
            <w:pPr>
              <w:pStyle w:val="Compact"/>
            </w:pPr>
            <w:r>
              <w:t xml:space="preserve">Logging, monitoring, SIEM, no-CHD-in-logs</w:t>
            </w:r>
          </w:p>
        </w:tc>
        <w:tc>
          <w:tcPr/>
          <w:p>
            <w:pPr>
              <w:pStyle w:val="Compact"/>
            </w:pPr>
            <w:r>
              <w:t xml:space="preserve">Security/PCI</w:t>
            </w:r>
          </w:p>
        </w:tc>
        <w:tc>
          <w:tcPr/>
          <w:p>
            <w:pPr>
              <w:pStyle w:val="Compact"/>
            </w:pPr>
            <w:r>
              <w:t xml:space="preserve">High</w:t>
            </w:r>
          </w:p>
        </w:tc>
        <w:tc>
          <w:tcPr/>
          <w:p>
            <w:pPr>
              <w:pStyle w:val="Compact"/>
            </w:pPr>
            <w:r>
              <w:t xml:space="preserve">Q2</w:t>
            </w:r>
          </w:p>
        </w:tc>
        <w:tc>
          <w:tcPr/>
          <w:p>
            <w:pPr>
              <w:pStyle w:val="Compact"/>
            </w:pPr>
            <w:r>
              <w:t xml:space="preserve">PCI-DSS v4.0 Req 10</w:t>
            </w:r>
          </w:p>
        </w:tc>
      </w:tr>
      <w:tr>
        <w:tc>
          <w:tcPr/>
          <w:p>
            <w:pPr>
              <w:pStyle w:val="Compact"/>
            </w:pPr>
            <w:r>
              <w:t xml:space="preserve">8</w:t>
            </w:r>
          </w:p>
        </w:tc>
        <w:tc>
          <w:tcPr/>
          <w:p>
            <w:pPr>
              <w:pStyle w:val="Compact"/>
            </w:pPr>
            <w:r>
              <w:t xml:space="preserve">Network segmentation, WAF, IDS/IPS, ASV scan review</w:t>
            </w:r>
          </w:p>
        </w:tc>
        <w:tc>
          <w:tcPr/>
          <w:p>
            <w:pPr>
              <w:pStyle w:val="Compact"/>
            </w:pPr>
            <w:r>
              <w:t xml:space="preserve">Security/PCI</w:t>
            </w:r>
          </w:p>
        </w:tc>
        <w:tc>
          <w:tcPr/>
          <w:p>
            <w:pPr>
              <w:pStyle w:val="Compact"/>
            </w:pPr>
            <w:r>
              <w:t xml:space="preserve">High</w:t>
            </w:r>
          </w:p>
        </w:tc>
        <w:tc>
          <w:tcPr/>
          <w:p>
            <w:pPr>
              <w:pStyle w:val="Compact"/>
            </w:pPr>
            <w:r>
              <w:t xml:space="preserve">Q3</w:t>
            </w:r>
          </w:p>
        </w:tc>
        <w:tc>
          <w:tcPr/>
          <w:p>
            <w:pPr>
              <w:pStyle w:val="Compact"/>
            </w:pPr>
            <w:r>
              <w:t xml:space="preserve">PCI-DSS v4.0 Req 1, 11</w:t>
            </w:r>
          </w:p>
        </w:tc>
      </w:tr>
      <w:tr>
        <w:tc>
          <w:tcPr/>
          <w:p>
            <w:pPr>
              <w:pStyle w:val="Compact"/>
            </w:pPr>
            <w:r>
              <w:t xml:space="preserve">9</w:t>
            </w:r>
          </w:p>
        </w:tc>
        <w:tc>
          <w:tcPr/>
          <w:p>
            <w:pPr>
              <w:pStyle w:val="Compact"/>
            </w:pPr>
            <w:r>
              <w:t xml:space="preserve">Vulnerability &amp; patch mgmt, SAST/DAST, pentest closure</w:t>
            </w:r>
          </w:p>
        </w:tc>
        <w:tc>
          <w:tcPr/>
          <w:p>
            <w:pPr>
              <w:pStyle w:val="Compact"/>
            </w:pPr>
            <w:r>
              <w:t xml:space="preserve">Security/PCI</w:t>
            </w:r>
          </w:p>
        </w:tc>
        <w:tc>
          <w:tcPr/>
          <w:p>
            <w:pPr>
              <w:pStyle w:val="Compact"/>
            </w:pPr>
            <w:r>
              <w:t xml:space="preserve">High</w:t>
            </w:r>
          </w:p>
        </w:tc>
        <w:tc>
          <w:tcPr/>
          <w:p>
            <w:pPr>
              <w:pStyle w:val="Compact"/>
            </w:pPr>
            <w:r>
              <w:t xml:space="preserve">Q4</w:t>
            </w:r>
          </w:p>
        </w:tc>
        <w:tc>
          <w:tcPr/>
          <w:p>
            <w:pPr>
              <w:pStyle w:val="Compact"/>
            </w:pPr>
            <w:r>
              <w:t xml:space="preserve">PCI-DSS v4.0 Req 6, 11</w:t>
            </w:r>
          </w:p>
        </w:tc>
      </w:tr>
      <w:tr>
        <w:tc>
          <w:tcPr/>
          <w:p>
            <w:pPr>
              <w:pStyle w:val="Compact"/>
            </w:pPr>
            <w:r>
              <w:t xml:space="preserve">10</w:t>
            </w:r>
          </w:p>
        </w:tc>
        <w:tc>
          <w:tcPr/>
          <w:p>
            <w:pPr>
              <w:pStyle w:val="Compact"/>
            </w:pPr>
            <w:r>
              <w:t xml:space="preserve">3-D Secure (EMV 3DS 2.x) authentication flow &amp; fraud rules</w:t>
            </w:r>
          </w:p>
        </w:tc>
        <w:tc>
          <w:tcPr/>
          <w:p>
            <w:pPr>
              <w:pStyle w:val="Compact"/>
            </w:pPr>
            <w:r>
              <w:t xml:space="preserve">Security/Ops</w:t>
            </w:r>
          </w:p>
        </w:tc>
        <w:tc>
          <w:tcPr/>
          <w:p>
            <w:pPr>
              <w:pStyle w:val="Compact"/>
            </w:pPr>
            <w:r>
              <w:t xml:space="preserve">High</w:t>
            </w:r>
          </w:p>
        </w:tc>
        <w:tc>
          <w:tcPr/>
          <w:p>
            <w:pPr>
              <w:pStyle w:val="Compact"/>
            </w:pPr>
            <w:r>
              <w:t xml:space="preserve">Q4</w:t>
            </w:r>
          </w:p>
        </w:tc>
        <w:tc>
          <w:tcPr/>
          <w:p>
            <w:pPr>
              <w:pStyle w:val="Compact"/>
            </w:pPr>
            <w:r>
              <w:t xml:space="preserve">EMV 3DS</w:t>
            </w:r>
          </w:p>
        </w:tc>
      </w:tr>
      <w:tr>
        <w:tc>
          <w:tcPr/>
          <w:p>
            <w:pPr>
              <w:pStyle w:val="Compact"/>
            </w:pPr>
            <w:r>
              <w:t xml:space="preserve">11</w:t>
            </w:r>
          </w:p>
        </w:tc>
        <w:tc>
          <w:tcPr/>
          <w:p>
            <w:pPr>
              <w:pStyle w:val="Compact"/>
            </w:pPr>
            <w:r>
              <w:t xml:space="preserve">KYC/CDD, merchant onboarding, beneficial ownership</w:t>
            </w:r>
          </w:p>
        </w:tc>
        <w:tc>
          <w:tcPr/>
          <w:p>
            <w:pPr>
              <w:pStyle w:val="Compact"/>
            </w:pPr>
            <w:r>
              <w:t xml:space="preserve">AML</w:t>
            </w:r>
          </w:p>
        </w:tc>
        <w:tc>
          <w:tcPr/>
          <w:p>
            <w:pPr>
              <w:pStyle w:val="Compact"/>
            </w:pPr>
            <w:r>
              <w:t xml:space="preserve">Critical</w:t>
            </w:r>
          </w:p>
        </w:tc>
        <w:tc>
          <w:tcPr/>
          <w:p>
            <w:pPr>
              <w:pStyle w:val="Compact"/>
            </w:pPr>
            <w:r>
              <w:t xml:space="preserve">Q1</w:t>
            </w:r>
          </w:p>
        </w:tc>
        <w:tc>
          <w:tcPr/>
          <w:p>
            <w:pPr>
              <w:pStyle w:val="Compact"/>
            </w:pPr>
            <w:r>
              <w:t xml:space="preserve">พ.ร.บ. ปปง.</w:t>
            </w:r>
          </w:p>
        </w:tc>
      </w:tr>
      <w:tr>
        <w:tc>
          <w:tcPr/>
          <w:p>
            <w:pPr>
              <w:pStyle w:val="Compact"/>
            </w:pPr>
            <w:r>
              <w:t xml:space="preserve">12</w:t>
            </w:r>
          </w:p>
        </w:tc>
        <w:tc>
          <w:tcPr/>
          <w:p>
            <w:pPr>
              <w:pStyle w:val="Compact"/>
            </w:pPr>
            <w:r>
              <w:t xml:space="preserve">Sanction/PEP screening &amp; name-matching</w:t>
            </w:r>
          </w:p>
        </w:tc>
        <w:tc>
          <w:tcPr/>
          <w:p>
            <w:pPr>
              <w:pStyle w:val="Compact"/>
            </w:pPr>
            <w:r>
              <w:t xml:space="preserve">AML</w:t>
            </w:r>
          </w:p>
        </w:tc>
        <w:tc>
          <w:tcPr/>
          <w:p>
            <w:pPr>
              <w:pStyle w:val="Compact"/>
            </w:pPr>
            <w:r>
              <w:t xml:space="preserve">Critical</w:t>
            </w:r>
          </w:p>
        </w:tc>
        <w:tc>
          <w:tcPr/>
          <w:p>
            <w:pPr>
              <w:pStyle w:val="Compact"/>
            </w:pPr>
            <w:r>
              <w:t xml:space="preserve">Q2</w:t>
            </w:r>
          </w:p>
        </w:tc>
        <w:tc>
          <w:tcPr/>
          <w:p>
            <w:pPr>
              <w:pStyle w:val="Compact"/>
            </w:pPr>
            <w:r>
              <w:t xml:space="preserve">ปปง./AMLO, UN/OFAC lists</w:t>
            </w:r>
          </w:p>
        </w:tc>
      </w:tr>
      <w:tr>
        <w:tc>
          <w:tcPr/>
          <w:p>
            <w:pPr>
              <w:pStyle w:val="Compact"/>
            </w:pPr>
            <w:r>
              <w:t xml:space="preserve">13</w:t>
            </w:r>
          </w:p>
        </w:tc>
        <w:tc>
          <w:tcPr/>
          <w:p>
            <w:pPr>
              <w:pStyle w:val="Compact"/>
            </w:pPr>
            <w:r>
              <w:t xml:space="preserve">Transaction monitoring &amp; STR/CTR reporting</w:t>
            </w:r>
          </w:p>
        </w:tc>
        <w:tc>
          <w:tcPr/>
          <w:p>
            <w:pPr>
              <w:pStyle w:val="Compact"/>
            </w:pPr>
            <w:r>
              <w:t xml:space="preserve">AML</w:t>
            </w:r>
          </w:p>
        </w:tc>
        <w:tc>
          <w:tcPr/>
          <w:p>
            <w:pPr>
              <w:pStyle w:val="Compact"/>
            </w:pPr>
            <w:r>
              <w:t xml:space="preserve">High</w:t>
            </w:r>
          </w:p>
        </w:tc>
        <w:tc>
          <w:tcPr/>
          <w:p>
            <w:pPr>
              <w:pStyle w:val="Compact"/>
            </w:pPr>
            <w:r>
              <w:t xml:space="preserve">Q3</w:t>
            </w:r>
          </w:p>
        </w:tc>
        <w:tc>
          <w:tcPr/>
          <w:p>
            <w:pPr>
              <w:pStyle w:val="Compact"/>
            </w:pPr>
            <w:r>
              <w:t xml:space="preserve">ปปง. (รายงานภายใน 7 วัน)</w:t>
            </w:r>
          </w:p>
        </w:tc>
      </w:tr>
      <w:tr>
        <w:tc>
          <w:tcPr/>
          <w:p>
            <w:pPr>
              <w:pStyle w:val="Compact"/>
            </w:pPr>
            <w:r>
              <w:t xml:space="preserve">14</w:t>
            </w:r>
          </w:p>
        </w:tc>
        <w:tc>
          <w:tcPr/>
          <w:p>
            <w:pPr>
              <w:pStyle w:val="Compact"/>
            </w:pPr>
            <w:r>
              <w:t xml:space="preserve">PDPA — data subject rights, consent, retention, cross-border</w:t>
            </w:r>
          </w:p>
        </w:tc>
        <w:tc>
          <w:tcPr/>
          <w:p>
            <w:pPr>
              <w:pStyle w:val="Compact"/>
            </w:pPr>
            <w:r>
              <w:t xml:space="preserve">Privacy</w:t>
            </w:r>
          </w:p>
        </w:tc>
        <w:tc>
          <w:tcPr/>
          <w:p>
            <w:pPr>
              <w:pStyle w:val="Compact"/>
            </w:pPr>
            <w:r>
              <w:t xml:space="preserve">High</w:t>
            </w:r>
          </w:p>
        </w:tc>
        <w:tc>
          <w:tcPr/>
          <w:p>
            <w:pPr>
              <w:pStyle w:val="Compact"/>
            </w:pPr>
            <w:r>
              <w:t xml:space="preserve">Q4</w:t>
            </w:r>
          </w:p>
        </w:tc>
        <w:tc>
          <w:tcPr/>
          <w:p>
            <w:pPr>
              <w:pStyle w:val="Compact"/>
            </w:pPr>
            <w:r>
              <w:t xml:space="preserve">PDPA / PDPC</w:t>
            </w:r>
          </w:p>
        </w:tc>
      </w:tr>
      <w:tr>
        <w:tc>
          <w:tcPr/>
          <w:p>
            <w:pPr>
              <w:pStyle w:val="Compact"/>
            </w:pPr>
            <w:r>
              <w:t xml:space="preserve">15</w:t>
            </w:r>
          </w:p>
        </w:tc>
        <w:tc>
          <w:tcPr/>
          <w:p>
            <w:pPr>
              <w:pStyle w:val="Compact"/>
            </w:pPr>
            <w:r>
              <w:t xml:space="preserve">Business continuity (BCP) &amp; DR drill (RPO ≤ 5m, RTO ≤ 30m)</w:t>
            </w:r>
          </w:p>
        </w:tc>
        <w:tc>
          <w:tcPr/>
          <w:p>
            <w:pPr>
              <w:pStyle w:val="Compact"/>
            </w:pPr>
            <w:r>
              <w:t xml:space="preserve">Resilience</w:t>
            </w:r>
          </w:p>
        </w:tc>
        <w:tc>
          <w:tcPr/>
          <w:p>
            <w:pPr>
              <w:pStyle w:val="Compact"/>
            </w:pPr>
            <w:r>
              <w:t xml:space="preserve">High</w:t>
            </w:r>
          </w:p>
        </w:tc>
        <w:tc>
          <w:tcPr/>
          <w:p>
            <w:pPr>
              <w:pStyle w:val="Compact"/>
            </w:pPr>
            <w:r>
              <w:t xml:space="preserve">Q4</w:t>
            </w:r>
          </w:p>
        </w:tc>
        <w:tc>
          <w:tcPr/>
          <w:p>
            <w:pPr>
              <w:pStyle w:val="Compact"/>
            </w:pPr>
            <w:r>
              <w:t xml:space="preserve">ธปท. BCP, Architecture §8</w:t>
            </w:r>
          </w:p>
        </w:tc>
      </w:tr>
      <w:tr>
        <w:tc>
          <w:tcPr/>
          <w:p>
            <w:pPr>
              <w:pStyle w:val="Compact"/>
            </w:pPr>
            <w:r>
              <w:t xml:space="preserve">16</w:t>
            </w:r>
          </w:p>
        </w:tc>
        <w:tc>
          <w:tcPr/>
          <w:p>
            <w:pPr>
              <w:pStyle w:val="Compact"/>
            </w:pPr>
            <w:r>
              <w:t xml:space="preserve">Outsourcing / critical vendor governance (cloud, QSA, HSM)</w:t>
            </w:r>
          </w:p>
        </w:tc>
        <w:tc>
          <w:tcPr/>
          <w:p>
            <w:pPr>
              <w:pStyle w:val="Compact"/>
            </w:pPr>
            <w:r>
              <w:t xml:space="preserve">Governance</w:t>
            </w:r>
          </w:p>
        </w:tc>
        <w:tc>
          <w:tcPr/>
          <w:p>
            <w:pPr>
              <w:pStyle w:val="Compact"/>
            </w:pPr>
            <w:r>
              <w:t xml:space="preserve">Medium</w:t>
            </w:r>
          </w:p>
        </w:tc>
        <w:tc>
          <w:tcPr/>
          <w:p>
            <w:pPr>
              <w:pStyle w:val="Compact"/>
            </w:pPr>
            <w:r>
              <w:t xml:space="preserve">Q3</w:t>
            </w:r>
          </w:p>
        </w:tc>
        <w:tc>
          <w:tcPr/>
          <w:p>
            <w:pPr>
              <w:pStyle w:val="Compact"/>
            </w:pPr>
            <w:r>
              <w:t xml:space="preserve">ธปท. outsourcing</w:t>
            </w:r>
          </w:p>
        </w:tc>
      </w:tr>
      <w:tr>
        <w:tc>
          <w:tcPr/>
          <w:p>
            <w:pPr>
              <w:pStyle w:val="Compact"/>
            </w:pPr>
            <w:r>
              <w:t xml:space="preserve">17</w:t>
            </w:r>
          </w:p>
        </w:tc>
        <w:tc>
          <w:tcPr/>
          <w:p>
            <w:pPr>
              <w:pStyle w:val="Compact"/>
            </w:pPr>
            <w:r>
              <w:t xml:space="preserve">Follow-up ข้อสังเกตค้าง (finding remediation)</w:t>
            </w:r>
          </w:p>
        </w:tc>
        <w:tc>
          <w:tcPr/>
          <w:p>
            <w:pPr>
              <w:pStyle w:val="Compact"/>
            </w:pPr>
            <w:r>
              <w:t xml:space="preserve">ทุกโดเมน</w:t>
            </w:r>
          </w:p>
        </w:tc>
        <w:tc>
          <w:tcPr/>
          <w:p>
            <w:pPr>
              <w:pStyle w:val="Compact"/>
            </w:pPr>
            <w:r>
              <w:t xml:space="preserve">High</w:t>
            </w:r>
          </w:p>
        </w:tc>
        <w:tc>
          <w:tcPr/>
          <w:p>
            <w:pPr>
              <w:pStyle w:val="Compact"/>
            </w:pPr>
            <w:r>
              <w:t xml:space="preserve">ทุกไตรมาส</w:t>
            </w:r>
          </w:p>
        </w:tc>
        <w:tc>
          <w:tcPr/>
          <w:p>
            <w:pPr>
              <w:pStyle w:val="Compact"/>
            </w:pPr>
            <w:r>
              <w:t xml:space="preserve">§8</w:t>
            </w:r>
          </w:p>
        </w:tc>
      </w:tr>
    </w:tbl>
    <w:p>
      <w:pPr>
        <w:pStyle w:val="BlockText"/>
      </w:pPr>
      <w:r>
        <w:rPr>
          <w:b/>
          <w:bCs/>
        </w:rPr>
        <w:t xml:space="preserve">หมายเหตุ:</w:t>
      </w:r>
      <w:r>
        <w:t xml:space="preserve"> </w:t>
      </w:r>
      <w:r>
        <w:t xml:space="preserve">จำนวนวันตรวจ (audit days) และการจัดสรรทรัพยากรจะยืนยันเมื่อปิด TODO A5 (co-source firm) และ A3 (วันประเมิน QSA) เพื่อ align กับรอบ RoC ประจำปี</w:t>
      </w:r>
    </w:p>
    <w:bookmarkEnd w:id="1108"/>
    <w:bookmarkStart w:id="1109" w:name="การปรบแผนระหวางป"/>
    <w:p>
      <w:pPr>
        <w:pStyle w:val="Heading3"/>
      </w:pPr>
      <w:r>
        <w:t xml:space="preserve">6.3 การปรับแผนระหว่างปี</w:t>
      </w:r>
    </w:p>
    <w:p>
      <w:pPr>
        <w:pStyle w:val="FirstParagraph"/>
      </w:pPr>
      <w:r>
        <w:t xml:space="preserve">CAE อาจเสนอปรับแผน (dynamic/agile audit plan) เมื่อมีเหตุ เช่น go-live ระบบใหม่, incident สำคัญ, การเปลี่ยน sponsor bank, หรือคำสั่ง ธปท. — โดยขออนุมัติจากคณะกรรมการตรวจสอบ</w:t>
      </w:r>
    </w:p>
    <w:p>
      <w:r>
        <w:pict>
          <v:rect style="width:0;height:1.5pt" o:hralign="center" o:hrstd="t" o:hr="t"/>
        </w:pict>
      </w:r>
    </w:p>
    <w:bookmarkEnd w:id="1109"/>
    <w:bookmarkEnd w:id="1110"/>
    <w:bookmarkStart w:id="1111" w:name="กระบวนการตรวจสอบ-audit-lifecycle"/>
    <w:p>
      <w:pPr>
        <w:pStyle w:val="Heading2"/>
      </w:pPr>
      <w:r>
        <w:t xml:space="preserve">7. กระบวนการตรวจสอบ (Audit Lifecycle)</w:t>
      </w:r>
    </w:p>
    <w:tbl>
      <w:tblPr>
        <w:tblStyle w:val="Table"/>
        <w:tblW w:type="pct" w:w="5000"/>
        <w:tblLayout w:type="fixed"/>
        <w:tblLook w:firstRow="1" w:lastRow="0" w:firstColumn="0" w:lastColumn="0" w:noHBand="0" w:noVBand="0" w:val="0020"/>
      </w:tblPr>
      <w:tblGrid>
        <w:gridCol w:w="1164"/>
        <w:gridCol w:w="2096"/>
        <w:gridCol w:w="4658"/>
      </w:tblGrid>
      <w:tr>
        <w:trPr>
          <w:tblHeader w:val="on"/>
        </w:trPr>
        <w:tc>
          <w:tcPr/>
          <w:p>
            <w:pPr>
              <w:pStyle w:val="Compact"/>
            </w:pPr>
            <w:r>
              <w:t xml:space="preserve">ขั้น</w:t>
            </w:r>
          </w:p>
        </w:tc>
        <w:tc>
          <w:tcPr/>
          <w:p>
            <w:pPr>
              <w:pStyle w:val="Compact"/>
            </w:pPr>
            <w:r>
              <w:t xml:space="preserve">กิจกรรม</w:t>
            </w:r>
          </w:p>
        </w:tc>
        <w:tc>
          <w:tcPr/>
          <w:p>
            <w:pPr>
              <w:pStyle w:val="Compact"/>
            </w:pPr>
            <w:r>
              <w:t xml:space="preserve">มาตรฐานเวลา (SLA)</w:t>
            </w:r>
          </w:p>
        </w:tc>
      </w:tr>
      <w:tr>
        <w:tc>
          <w:tcPr/>
          <w:p>
            <w:pPr>
              <w:pStyle w:val="Compact"/>
            </w:pPr>
            <w:r>
              <w:t xml:space="preserve">1. Planning</w:t>
            </w:r>
          </w:p>
        </w:tc>
        <w:tc>
          <w:tcPr/>
          <w:p>
            <w:pPr>
              <w:pStyle w:val="Compact"/>
            </w:pPr>
            <w:r>
              <w:t xml:space="preserve">ประกาศเริ่มตรวจ (engagement notice), กำหนด scope &amp; objective, risk &amp; control matrix</w:t>
            </w:r>
          </w:p>
        </w:tc>
        <w:tc>
          <w:tcPr/>
          <w:p>
            <w:pPr>
              <w:pStyle w:val="Compact"/>
            </w:pPr>
            <w:r>
              <w:t xml:space="preserve">ล่วงหน้า ≥ 10 วันทำการ</w:t>
            </w:r>
          </w:p>
        </w:tc>
      </w:tr>
      <w:tr>
        <w:tc>
          <w:tcPr/>
          <w:p>
            <w:pPr>
              <w:pStyle w:val="Compact"/>
            </w:pPr>
            <w:r>
              <w:t xml:space="preserve">2. Fieldwork</w:t>
            </w:r>
          </w:p>
        </w:tc>
        <w:tc>
          <w:tcPr/>
          <w:p>
            <w:pPr>
              <w:pStyle w:val="Compact"/>
            </w:pPr>
            <w:r>
              <w:t xml:space="preserve">ทดสอบการควบคุม, walkthrough, sampling, สัมภาษณ์, เก็บหลักฐาน (workpaper)</w:t>
            </w:r>
          </w:p>
        </w:tc>
        <w:tc>
          <w:tcPr/>
          <w:p>
            <w:pPr>
              <w:pStyle w:val="Compact"/>
            </w:pPr>
            <w:r>
              <w:t xml:space="preserve">ตามแผน engagement</w:t>
            </w:r>
          </w:p>
        </w:tc>
      </w:tr>
      <w:tr>
        <w:tc>
          <w:tcPr/>
          <w:p>
            <w:pPr>
              <w:pStyle w:val="Compact"/>
            </w:pPr>
            <w:r>
              <w:t xml:space="preserve">3. Reporting</w:t>
            </w:r>
          </w:p>
        </w:tc>
        <w:tc>
          <w:tcPr/>
          <w:p>
            <w:pPr>
              <w:pStyle w:val="Compact"/>
            </w:pPr>
            <w:r>
              <w:t xml:space="preserve">ร่างรายงาน → ตอบข้อสังเกต (management response) → รายงานฉบับสมบูรณ์</w:t>
            </w:r>
          </w:p>
        </w:tc>
        <w:tc>
          <w:tcPr/>
          <w:p>
            <w:pPr>
              <w:pStyle w:val="Compact"/>
            </w:pPr>
            <w:r>
              <w:t xml:space="preserve">ร่างภายใน 10 วันทำการหลังจบ fieldwork</w:t>
            </w:r>
          </w:p>
        </w:tc>
      </w:tr>
      <w:tr>
        <w:tc>
          <w:tcPr/>
          <w:p>
            <w:pPr>
              <w:pStyle w:val="Compact"/>
            </w:pPr>
            <w:r>
              <w:t xml:space="preserve">4. Follow-up</w:t>
            </w:r>
          </w:p>
        </w:tc>
        <w:tc>
          <w:tcPr/>
          <w:p>
            <w:pPr>
              <w:pStyle w:val="Compact"/>
            </w:pPr>
            <w:r>
              <w:t xml:space="preserve">ติดตามผลการแก้ไขจนปิดประเด็น</w:t>
            </w:r>
          </w:p>
        </w:tc>
        <w:tc>
          <w:tcPr/>
          <w:p>
            <w:pPr>
              <w:pStyle w:val="Compact"/>
            </w:pPr>
            <w:r>
              <w:t xml:space="preserve">ตามวันครบกำหนดของแต่ละ finding</w:t>
            </w:r>
          </w:p>
        </w:tc>
      </w:tr>
    </w:tbl>
    <w:p>
      <w:pPr>
        <w:pStyle w:val="BodyText"/>
      </w:pPr>
      <w:r>
        <w:t xml:space="preserve">การเก็บ workpaper และรายงานต้องรักษาความลับ และเก็บรักษาไว้</w:t>
      </w:r>
      <w:r>
        <w:t xml:space="preserve"> </w:t>
      </w:r>
      <w:r>
        <w:rPr>
          <w:b/>
          <w:bCs/>
        </w:rPr>
        <w:t xml:space="preserve">อย่างน้อย 5 ปี</w:t>
      </w:r>
      <w:r>
        <w:t xml:space="preserve"> </w:t>
      </w:r>
      <w:r>
        <w:t xml:space="preserve">(สอดคล้องแนวเก็บเอกสารของ ธปท./ปปง.)</w:t>
      </w:r>
    </w:p>
    <w:p>
      <w:r>
        <w:pict>
          <v:rect style="width:0;height:1.5pt" o:hralign="center" o:hrstd="t" o:hr="t"/>
        </w:pict>
      </w:r>
    </w:p>
    <w:bookmarkEnd w:id="1111"/>
    <w:bookmarkStart w:id="1114" w:name="Xa4507e0e050ee20f1e3cbd48f1aef3eabbfcd2c"/>
    <w:p>
      <w:pPr>
        <w:pStyle w:val="Heading2"/>
      </w:pPr>
      <w:r>
        <w:t xml:space="preserve">8. การจัดระดับและการติดตามข้อสังเกต (Finding Rating &amp; Tracking)</w:t>
      </w:r>
    </w:p>
    <w:bookmarkStart w:id="1112" w:name="เกณฑการจดระดบ"/>
    <w:p>
      <w:pPr>
        <w:pStyle w:val="Heading3"/>
      </w:pPr>
      <w:r>
        <w:t xml:space="preserve">8.1 เกณฑ์การจัดระดับ</w:t>
      </w:r>
    </w:p>
    <w:tbl>
      <w:tblPr>
        <w:tblStyle w:val="Table"/>
        <w:tblW w:type="pct" w:w="5000"/>
        <w:tblLayout w:type="fixed"/>
        <w:tblLook w:firstRow="1" w:lastRow="0" w:firstColumn="0" w:lastColumn="0" w:noHBand="0" w:noVBand="0" w:val="0020"/>
      </w:tblPr>
      <w:tblGrid>
        <w:gridCol w:w="1131"/>
        <w:gridCol w:w="1131"/>
        <w:gridCol w:w="3394"/>
        <w:gridCol w:w="2262"/>
      </w:tblGrid>
      <w:tr>
        <w:trPr>
          <w:tblHeader w:val="on"/>
        </w:trPr>
        <w:tc>
          <w:tcPr/>
          <w:p>
            <w:pPr>
              <w:pStyle w:val="Compact"/>
            </w:pPr>
            <w:r>
              <w:t xml:space="preserve">ระดับ</w:t>
            </w:r>
          </w:p>
        </w:tc>
        <w:tc>
          <w:tcPr/>
          <w:p>
            <w:pPr>
              <w:pStyle w:val="Compact"/>
            </w:pPr>
            <w:r>
              <w:t xml:space="preserve">นิยาม</w:t>
            </w:r>
          </w:p>
        </w:tc>
        <w:tc>
          <w:tcPr/>
          <w:p>
            <w:pPr>
              <w:pStyle w:val="Compact"/>
            </w:pPr>
            <w:r>
              <w:t xml:space="preserve">กำหนดแก้ไข (Target)</w:t>
            </w:r>
          </w:p>
        </w:tc>
        <w:tc>
          <w:tcPr/>
          <w:p>
            <w:pPr>
              <w:pStyle w:val="Compact"/>
            </w:pPr>
            <w:r>
              <w:t xml:space="preserve">ผู้อนุมัติปิด</w:t>
            </w:r>
          </w:p>
        </w:tc>
      </w:tr>
      <w:tr>
        <w:tc>
          <w:tcPr/>
          <w:p>
            <w:pPr>
              <w:pStyle w:val="Compact"/>
            </w:pPr>
            <w:r>
              <w:rPr>
                <w:b/>
                <w:bCs/>
              </w:rPr>
              <w:t xml:space="preserve">Critical</w:t>
            </w:r>
          </w:p>
        </w:tc>
        <w:tc>
          <w:tcPr/>
          <w:p>
            <w:pPr>
              <w:pStyle w:val="Compact"/>
            </w:pPr>
            <w:r>
              <w:t xml:space="preserve">เสี่ยงต่อการสูญเสียเงิน/ข้อมูลบัตรรั่วไหล/ผิดกฎ ธปท.-ปปง. อย่างมีนัยสำคัญ</w:t>
            </w:r>
          </w:p>
        </w:tc>
        <w:tc>
          <w:tcPr/>
          <w:p>
            <w:pPr>
              <w:pStyle w:val="Compact"/>
            </w:pPr>
            <w:r>
              <w:t xml:space="preserve">≤ 30 วัน</w:t>
            </w:r>
          </w:p>
        </w:tc>
        <w:tc>
          <w:tcPr/>
          <w:p>
            <w:pPr>
              <w:pStyle w:val="Compact"/>
            </w:pPr>
            <w:r>
              <w:t xml:space="preserve">คณะกรรมการตรวจสอบ</w:t>
            </w:r>
          </w:p>
        </w:tc>
      </w:tr>
      <w:tr>
        <w:tc>
          <w:tcPr/>
          <w:p>
            <w:pPr>
              <w:pStyle w:val="Compact"/>
            </w:pPr>
            <w:r>
              <w:rPr>
                <w:b/>
                <w:bCs/>
              </w:rPr>
              <w:t xml:space="preserve">High</w:t>
            </w:r>
          </w:p>
        </w:tc>
        <w:tc>
          <w:tcPr/>
          <w:p>
            <w:pPr>
              <w:pStyle w:val="Compact"/>
            </w:pPr>
            <w:r>
              <w:t xml:space="preserve">ควบคุมล้มเหลวที่อาจนำสู่ผลกระทบรุนแรง</w:t>
            </w:r>
          </w:p>
        </w:tc>
        <w:tc>
          <w:tcPr/>
          <w:p>
            <w:pPr>
              <w:pStyle w:val="Compact"/>
            </w:pPr>
            <w:r>
              <w:t xml:space="preserve">≤ 60 วัน</w:t>
            </w:r>
          </w:p>
        </w:tc>
        <w:tc>
          <w:tcPr/>
          <w:p>
            <w:pPr>
              <w:pStyle w:val="Compact"/>
            </w:pPr>
            <w:r>
              <w:t xml:space="preserve">CAE</w:t>
            </w:r>
          </w:p>
        </w:tc>
      </w:tr>
      <w:tr>
        <w:tc>
          <w:tcPr/>
          <w:p>
            <w:pPr>
              <w:pStyle w:val="Compact"/>
            </w:pPr>
            <w:r>
              <w:rPr>
                <w:b/>
                <w:bCs/>
              </w:rPr>
              <w:t xml:space="preserve">Medium</w:t>
            </w:r>
          </w:p>
        </w:tc>
        <w:tc>
          <w:tcPr/>
          <w:p>
            <w:pPr>
              <w:pStyle w:val="Compact"/>
            </w:pPr>
            <w:r>
              <w:t xml:space="preserve">จุดอ่อนควบคุมที่ควรแก้ไข</w:t>
            </w:r>
          </w:p>
        </w:tc>
        <w:tc>
          <w:tcPr/>
          <w:p>
            <w:pPr>
              <w:pStyle w:val="Compact"/>
            </w:pPr>
            <w:r>
              <w:t xml:space="preserve">≤ 90 วัน</w:t>
            </w:r>
          </w:p>
        </w:tc>
        <w:tc>
          <w:tcPr/>
          <w:p>
            <w:pPr>
              <w:pStyle w:val="Compact"/>
            </w:pPr>
            <w:r>
              <w:t xml:space="preserve">CAE</w:t>
            </w:r>
          </w:p>
        </w:tc>
      </w:tr>
      <w:tr>
        <w:tc>
          <w:tcPr/>
          <w:p>
            <w:pPr>
              <w:pStyle w:val="Compact"/>
            </w:pPr>
            <w:r>
              <w:rPr>
                <w:b/>
                <w:bCs/>
              </w:rPr>
              <w:t xml:space="preserve">Low</w:t>
            </w:r>
          </w:p>
        </w:tc>
        <w:tc>
          <w:tcPr/>
          <w:p>
            <w:pPr>
              <w:pStyle w:val="Compact"/>
            </w:pPr>
            <w:r>
              <w:t xml:space="preserve">โอกาสปรับปรุงประสิทธิภาพ</w:t>
            </w:r>
          </w:p>
        </w:tc>
        <w:tc>
          <w:tcPr/>
          <w:p>
            <w:pPr>
              <w:pStyle w:val="Compact"/>
            </w:pPr>
            <w:r>
              <w:t xml:space="preserve">≤ 180 วัน</w:t>
            </w:r>
          </w:p>
        </w:tc>
        <w:tc>
          <w:tcPr/>
          <w:p>
            <w:pPr>
              <w:pStyle w:val="Compact"/>
            </w:pPr>
            <w:r>
              <w:t xml:space="preserve">หัวหน้าฝ่ายตรวจสอบอาวุโส</w:t>
            </w:r>
          </w:p>
        </w:tc>
      </w:tr>
    </w:tbl>
    <w:bookmarkEnd w:id="1112"/>
    <w:bookmarkStart w:id="1113" w:name="ทะเบยนตดตามขอสงเกต-finding-register"/>
    <w:p>
      <w:pPr>
        <w:pStyle w:val="Heading3"/>
      </w:pPr>
      <w:r>
        <w:t xml:space="preserve">8.2 ทะเบียนติดตามข้อสังเกต (Finding Register)</w:t>
      </w:r>
    </w:p>
    <w:p>
      <w:pPr>
        <w:pStyle w:val="FirstParagraph"/>
      </w:pPr>
      <w:r>
        <w:t xml:space="preserve">ทุกข้อสังเกตบันทึกในทะเบียนกลาง (issue-tracking) พร้อมฟิลด์:</w:t>
      </w:r>
      <w:r>
        <w:t xml:space="preserve"> </w:t>
      </w:r>
      <w:r>
        <w:rPr>
          <w:rStyle w:val="VerbatimChar"/>
        </w:rPr>
        <w:t xml:space="preserve">finding_id</w:t>
      </w:r>
      <w:r>
        <w:t xml:space="preserve">, โดเมน, ระดับความรุนแรง, รายละเอียด, root cause, action plan, เจ้าของ (owner), วันครบกำหนด, สถานะ (Open / In-Progress / Overdue / Closed-Verified), หลักฐานการปิด</w:t>
      </w:r>
    </w:p>
    <w:p>
      <w:pPr>
        <w:pStyle w:val="Compact"/>
        <w:numPr>
          <w:ilvl w:val="0"/>
          <w:numId w:val="1400"/>
        </w:numPr>
      </w:pPr>
      <w:r>
        <w:t xml:space="preserve">IA เป็นผู้</w:t>
      </w:r>
      <w:r>
        <w:t xml:space="preserve"> </w:t>
      </w:r>
      <w:r>
        <w:rPr>
          <w:b/>
          <w:bCs/>
        </w:rPr>
        <w:t xml:space="preserve">ยืนยันการปิด (validate)</w:t>
      </w:r>
      <w:r>
        <w:t xml:space="preserve"> </w:t>
      </w:r>
      <w:r>
        <w:t xml:space="preserve">ด้วยหลักฐาน — เจ้าของงานปิดเองไม่ได้</w:t>
      </w:r>
    </w:p>
    <w:p>
      <w:pPr>
        <w:pStyle w:val="Compact"/>
        <w:numPr>
          <w:ilvl w:val="0"/>
          <w:numId w:val="1400"/>
        </w:numPr>
      </w:pPr>
      <w:r>
        <w:t xml:space="preserve">ข้อสังเกตที่</w:t>
      </w:r>
      <w:r>
        <w:t xml:space="preserve"> </w:t>
      </w:r>
      <w:r>
        <w:rPr>
          <w:b/>
          <w:bCs/>
        </w:rPr>
        <w:t xml:space="preserve">เกินกำหนด (Overdue)</w:t>
      </w:r>
      <w:r>
        <w:t xml:space="preserve"> </w:t>
      </w:r>
      <w:r>
        <w:t xml:space="preserve">และ Critical/High ทั้งหมด ต้องรายงานต่อคณะกรรมการตรวจสอบทุกไตรมาส</w:t>
      </w:r>
    </w:p>
    <w:p>
      <w:pPr>
        <w:pStyle w:val="Compact"/>
        <w:numPr>
          <w:ilvl w:val="0"/>
          <w:numId w:val="1400"/>
        </w:numPr>
      </w:pPr>
      <w:r>
        <w:t xml:space="preserve">Critical ที่เกินกำหนด &gt; 30 วัน ต้อง escalate ถึงคณะกรรมการบริษัท</w:t>
      </w:r>
    </w:p>
    <w:p>
      <w:r>
        <w:pict>
          <v:rect style="width:0;height:1.5pt" o:hralign="center" o:hrstd="t" o:hr="t"/>
        </w:pict>
      </w:r>
    </w:p>
    <w:bookmarkEnd w:id="1113"/>
    <w:bookmarkEnd w:id="1114"/>
    <w:bookmarkStart w:id="1115" w:name="การรายงาน-reporting"/>
    <w:p>
      <w:pPr>
        <w:pStyle w:val="Heading2"/>
      </w:pPr>
      <w:r>
        <w:t xml:space="preserve">9. การรายงาน (Reporting)</w:t>
      </w:r>
    </w:p>
    <w:p>
      <w:pPr>
        <w:pStyle w:val="Compact"/>
        <w:numPr>
          <w:ilvl w:val="0"/>
          <w:numId w:val="1401"/>
        </w:numPr>
      </w:pPr>
      <w:r>
        <w:rPr>
          <w:b/>
          <w:bCs/>
        </w:rPr>
        <w:t xml:space="preserve">รายไตรมาส:</w:t>
      </w:r>
      <w:r>
        <w:t xml:space="preserve"> </w:t>
      </w:r>
      <w:r>
        <w:t xml:space="preserve">สรุปผลตรวจสอบ, สถานะแผน, ข้อสังเกตค้าง/เกินกำหนด, KPI → คณะกรรมการตรวจสอบ</w:t>
      </w:r>
    </w:p>
    <w:p>
      <w:pPr>
        <w:pStyle w:val="Compact"/>
        <w:numPr>
          <w:ilvl w:val="0"/>
          <w:numId w:val="1401"/>
        </w:numPr>
      </w:pPr>
      <w:r>
        <w:rPr>
          <w:b/>
          <w:bCs/>
        </w:rPr>
        <w:t xml:space="preserve">รายปี:</w:t>
      </w:r>
      <w:r>
        <w:t xml:space="preserve"> </w:t>
      </w:r>
      <w:r>
        <w:t xml:space="preserve">ความเห็นภาพรวม (overall opinion) ต่อความเพียงพอของระบบควบคุมภายใน + ยืนยันความเป็นอิสระ</w:t>
      </w:r>
    </w:p>
    <w:p>
      <w:pPr>
        <w:pStyle w:val="Compact"/>
        <w:numPr>
          <w:ilvl w:val="0"/>
          <w:numId w:val="1401"/>
        </w:numPr>
      </w:pPr>
      <w:r>
        <w:rPr>
          <w:b/>
          <w:bCs/>
        </w:rPr>
        <w:t xml:space="preserve">ทันที (ad-hoc):</w:t>
      </w:r>
      <w:r>
        <w:t xml:space="preserve"> </w:t>
      </w:r>
      <w:r>
        <w:t xml:space="preserve">เหตุการณ์สำคัญ — data breach, สงสัยฟอกเงิน (STR), การทุจริต, PCI non-compliance ร้ายแรง</w:t>
      </w:r>
    </w:p>
    <w:p>
      <w:r>
        <w:pict>
          <v:rect style="width:0;height:1.5pt" o:hralign="center" o:hrstd="t" o:hr="t"/>
        </w:pict>
      </w:r>
    </w:p>
    <w:bookmarkEnd w:id="1115"/>
    <w:bookmarkStart w:id="1116" w:name="ตวชวดผลงาน-kpi-qaip"/>
    <w:p>
      <w:pPr>
        <w:pStyle w:val="Heading2"/>
      </w:pPr>
      <w:r>
        <w:t xml:space="preserve">10. ตัวชี้วัดผลงาน (KPI / QAIP)</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ตัวชี้วัด</w:t>
            </w:r>
          </w:p>
        </w:tc>
        <w:tc>
          <w:tcPr/>
          <w:p>
            <w:pPr>
              <w:pStyle w:val="Compact"/>
            </w:pPr>
            <w:r>
              <w:t xml:space="preserve">เป้าหมาย</w:t>
            </w:r>
          </w:p>
        </w:tc>
      </w:tr>
      <w:tr>
        <w:tc>
          <w:tcPr/>
          <w:p>
            <w:pPr>
              <w:pStyle w:val="Compact"/>
            </w:pPr>
            <w:r>
              <w:t xml:space="preserve">การตรวจสอบตามแผนสำเร็จ</w:t>
            </w:r>
          </w:p>
        </w:tc>
        <w:tc>
          <w:tcPr/>
          <w:p>
            <w:pPr>
              <w:pStyle w:val="Compact"/>
            </w:pPr>
            <w:r>
              <w:t xml:space="preserve">≥ 90% ของแผนอนุมัติ</w:t>
            </w:r>
          </w:p>
        </w:tc>
      </w:tr>
      <w:tr>
        <w:tc>
          <w:tcPr/>
          <w:p>
            <w:pPr>
              <w:pStyle w:val="Compact"/>
            </w:pPr>
            <w:r>
              <w:t xml:space="preserve">ข้อสังเกต Critical/High ปิดตรงเวลา</w:t>
            </w:r>
          </w:p>
        </w:tc>
        <w:tc>
          <w:tcPr/>
          <w:p>
            <w:pPr>
              <w:pStyle w:val="Compact"/>
            </w:pPr>
            <w:r>
              <w:t xml:space="preserve">≥ 95%</w:t>
            </w:r>
          </w:p>
        </w:tc>
      </w:tr>
      <w:tr>
        <w:tc>
          <w:tcPr/>
          <w:p>
            <w:pPr>
              <w:pStyle w:val="Compact"/>
            </w:pPr>
            <w:r>
              <w:t xml:space="preserve">ข้อสังเกตเกินกำหนด (Overdue)</w:t>
            </w:r>
          </w:p>
        </w:tc>
        <w:tc>
          <w:tcPr/>
          <w:p>
            <w:pPr>
              <w:pStyle w:val="Compact"/>
            </w:pPr>
            <w:r>
              <w:t xml:space="preserve">≤ 5% ของทั้งหมด</w:t>
            </w:r>
          </w:p>
        </w:tc>
      </w:tr>
      <w:tr>
        <w:tc>
          <w:tcPr/>
          <w:p>
            <w:pPr>
              <w:pStyle w:val="Compact"/>
            </w:pPr>
            <w:r>
              <w:t xml:space="preserve">ประเมินคุณภาพภายนอก (External Quality Assessment)</w:t>
            </w:r>
          </w:p>
        </w:tc>
        <w:tc>
          <w:tcPr/>
          <w:p>
            <w:pPr>
              <w:pStyle w:val="Compact"/>
            </w:pPr>
            <w:r>
              <w:t xml:space="preserve">อย่างน้อยทุก 5 ปี ตาม IIA</w:t>
            </w:r>
          </w:p>
        </w:tc>
      </w:tr>
    </w:tbl>
    <w:p>
      <w:pPr>
        <w:pStyle w:val="BodyText"/>
      </w:pPr>
      <w:r>
        <w:t xml:space="preserve">CAE จัดทำ</w:t>
      </w:r>
      <w:r>
        <w:t xml:space="preserve"> </w:t>
      </w:r>
      <w:r>
        <w:rPr>
          <w:b/>
          <w:bCs/>
        </w:rPr>
        <w:t xml:space="preserve">Quality Assurance &amp; Improvement Program (QAIP)</w:t>
      </w:r>
      <w:r>
        <w:t xml:space="preserve"> </w:t>
      </w:r>
      <w:r>
        <w:t xml:space="preserve">ประเมินตนเองประจำปี และให้ประเมินภายนอกทุก 5 ปี</w:t>
      </w:r>
    </w:p>
    <w:p>
      <w:r>
        <w:pict>
          <v:rect style="width:0;height:1.5pt" o:hralign="center" o:hrstd="t" o:hr="t"/>
        </w:pict>
      </w:r>
    </w:p>
    <w:bookmarkEnd w:id="1116"/>
    <w:bookmarkStart w:id="1117" w:name="การทบทวนกฎบตร"/>
    <w:p>
      <w:pPr>
        <w:pStyle w:val="Heading2"/>
      </w:pPr>
      <w:r>
        <w:t xml:space="preserve">11. การทบทวนกฎบัตร</w:t>
      </w:r>
    </w:p>
    <w:p>
      <w:pPr>
        <w:pStyle w:val="FirstParagraph"/>
      </w:pPr>
      <w:r>
        <w:t xml:space="preserve">คณะกรรมการตรวจสอบทบทวนและอนุมัติกฎบัตรฉบับนี้</w:t>
      </w:r>
      <w:r>
        <w:t xml:space="preserve"> </w:t>
      </w:r>
      <w:r>
        <w:rPr>
          <w:b/>
          <w:bCs/>
        </w:rPr>
        <w:t xml:space="preserve">อย่างน้อยปีละ 1 ครั้ง</w:t>
      </w:r>
      <w:r>
        <w:t xml:space="preserve"> </w:t>
      </w:r>
      <w:r>
        <w:t xml:space="preserve">หรือเมื่อมีการเปลี่ยนแปลงกฎเกณฑ์ ธปท./ปปง./PDPC หรือโครงสร้างธุรกิจอย่างมีนัยสำคัญ</w:t>
      </w:r>
    </w:p>
    <w:bookmarkEnd w:id="1117"/>
    <w:bookmarkEnd w:id="1118"/>
    <w:bookmarkStart w:id="1136" w:name="X2fd114a721370268a367cdfd861ee923d190fb2"/>
    <w:p>
      <w:pPr>
        <w:pStyle w:val="Heading1"/>
      </w:pPr>
      <w:r>
        <w:t xml:space="preserve">Internal audit charter + annual audit plan covering payment ops, security, AML, PCI, finding tracking (English)</w:t>
      </w:r>
    </w:p>
    <w:p>
      <w:pPr>
        <w:pStyle w:val="BlockText"/>
      </w:pPr>
      <w:r>
        <w:t xml:space="preserve">Document:</w:t>
      </w:r>
      <w:r>
        <w:t xml:space="preserve"> </w:t>
      </w:r>
      <w:r>
        <w:rPr>
          <w:rStyle w:val="VerbatimChar"/>
        </w:rPr>
        <w:t xml:space="preserve">31-internal-audit-charter.md</w:t>
      </w:r>
      <w:r>
        <w:t xml:space="preserve"> </w:t>
      </w:r>
      <w:r>
        <w:t xml:space="preserve">· Version 0.1 · Owner: Audit Committee</w:t>
      </w:r>
      <w:r>
        <w:t xml:space="preserve"> </w:t>
      </w:r>
      <w:r>
        <w:t xml:space="preserve">Business:</w:t>
      </w:r>
      <w:r>
        <w:t xml:space="preserve"> </w:t>
      </w:r>
      <w:r>
        <w:rPr>
          <w:b/>
          <w:bCs/>
        </w:rPr>
        <w:t xml:space="preserve">Full Acquiring Payment Gateway</w:t>
      </w:r>
      <w:r>
        <w:t xml:space="preserve"> </w:t>
      </w:r>
      <w:r>
        <w:t xml:space="preserve">· Paid-up capital</w:t>
      </w:r>
      <w:r>
        <w:t xml:space="preserve"> </w:t>
      </w:r>
      <w:r>
        <w:rPr>
          <w:b/>
          <w:bCs/>
        </w:rPr>
        <w:t xml:space="preserve">THB 50M</w:t>
      </w:r>
      <w:r>
        <w:t xml:space="preserve"> </w:t>
      </w:r>
      <w:r>
        <w:t xml:space="preserve">Regulatory frame: Payment Systems Act B.E. 2560 (supervised by</w:t>
      </w:r>
      <w:r>
        <w:t xml:space="preserve"> </w:t>
      </w:r>
      <w:r>
        <w:rPr>
          <w:b/>
          <w:bCs/>
        </w:rPr>
        <w:t xml:space="preserve">BOT/ธปท.</w:t>
      </w:r>
      <w:r>
        <w:t xml:space="preserve">), Anti-Money Laundering Act (</w:t>
      </w:r>
      <w:r>
        <w:rPr>
          <w:b/>
          <w:bCs/>
        </w:rPr>
        <w:t xml:space="preserve">AMLO/ปปง.</w:t>
      </w:r>
      <w:r>
        <w:t xml:space="preserve">), Personal Data Protection Act B.E. 2562 (</w:t>
      </w:r>
      <w:r>
        <w:rPr>
          <w:b/>
          <w:bCs/>
        </w:rPr>
        <w:t xml:space="preserve">PDPC/PDPA</w:t>
      </w:r>
      <w:r>
        <w:t xml:space="preserve">),</w:t>
      </w:r>
      <w:r>
        <w:t xml:space="preserve"> </w:t>
      </w:r>
      <w:r>
        <w:rPr>
          <w:b/>
          <w:bCs/>
        </w:rPr>
        <w:t xml:space="preserve">PCI-DSS v4.0</w:t>
      </w:r>
      <w:r>
        <w:t xml:space="preserve">,</w:t>
      </w:r>
      <w:r>
        <w:t xml:space="preserve"> </w:t>
      </w:r>
      <w:r>
        <w:rPr>
          <w:b/>
          <w:bCs/>
        </w:rPr>
        <w:t xml:space="preserve">EMV 3-D Secure (3DS)</w:t>
      </w:r>
      <w:r>
        <w:t xml:space="preserve"> </w:t>
      </w:r>
      <w:r>
        <w:t xml:space="preserve">Supporting document for the BOT license application (see</w:t>
      </w:r>
      <w:r>
        <w:t xml:space="preserve"> </w:t>
      </w:r>
      <w:r>
        <w:rPr>
          <w:rStyle w:val="VerbatimChar"/>
        </w:rPr>
        <w:t xml:space="preserve">../COMPLIANCE-TH.md</w:t>
      </w:r>
      <w:r>
        <w:t xml:space="preserve"> </w:t>
      </w:r>
      <w:r>
        <w:t xml:space="preserve">§5 — risk-management / governance policy)</w:t>
      </w:r>
    </w:p>
    <w:p>
      <w:pPr>
        <w:pStyle w:val="BlockText"/>
      </w:pPr>
      <w:r>
        <w:rPr>
          <w:b/>
          <w:bCs/>
        </w:rPr>
        <w:t xml:space="preserve">Disclaimer:</w:t>
      </w:r>
      <w:r>
        <w:t xml:space="preserve"> </w:t>
      </w:r>
      <w:r>
        <w:t xml:space="preserve">This is a technical/governance template, not legal advice. Legal counsel and the QSA must review before submission.</w:t>
      </w:r>
    </w:p>
    <w:p>
      <w:r>
        <w:pict>
          <v:rect style="width:0;height:1.5pt" o:hralign="center" o:hrstd="t" o:hr="t"/>
        </w:pict>
      </w:r>
    </w:p>
    <w:bookmarkStart w:id="1119" w:name="X250112e374312c557b852e46a1039509f542196"/>
    <w:p>
      <w:pPr>
        <w:pStyle w:val="Heading2"/>
      </w:pPr>
      <w:r>
        <w:t xml:space="preserve">⚠️ Assumptions / Open TODOs (unresolved external dependencies)</w:t>
      </w:r>
    </w:p>
    <w:p>
      <w:pPr>
        <w:pStyle w:val="BlockText"/>
      </w:pPr>
      <w:r>
        <w:t xml:space="preserve">The items below depend on external dependencies that are not yet closed —</w:t>
      </w:r>
      <w:r>
        <w:t xml:space="preserve"> </w:t>
      </w:r>
      <w:r>
        <w:rPr>
          <w:b/>
          <w:bCs/>
        </w:rPr>
        <w:t xml:space="preserve">do NOT treat as fact</w:t>
      </w:r>
      <w:r>
        <w:t xml:space="preserve"> </w:t>
      </w:r>
      <w:r>
        <w:t xml:space="preserve">until confirmed.</w:t>
      </w:r>
    </w:p>
    <w:tbl>
      <w:tblPr>
        <w:tblStyle w:val="Table"/>
        <w:tblW w:type="pct" w:w="5000"/>
        <w:tblLayout w:type="fixed"/>
        <w:tblLook w:firstRow="1" w:lastRow="0" w:firstColumn="0" w:lastColumn="0" w:noHBand="0" w:noVBand="0" w:val="0020"/>
      </w:tblPr>
      <w:tblGrid>
        <w:gridCol w:w="990"/>
        <w:gridCol w:w="1980"/>
        <w:gridCol w:w="2640"/>
        <w:gridCol w:w="2310"/>
      </w:tblGrid>
      <w:tr>
        <w:trPr>
          <w:tblHeader w:val="on"/>
        </w:trPr>
        <w:tc>
          <w:tcPr/>
          <w:p>
            <w:pPr>
              <w:pStyle w:val="Compact"/>
            </w:pPr>
            <w:r>
              <w:t xml:space="preserve">#</w:t>
            </w:r>
          </w:p>
        </w:tc>
        <w:tc>
          <w:tcPr/>
          <w:p>
            <w:pPr>
              <w:pStyle w:val="Compact"/>
            </w:pPr>
            <w:r>
              <w:t xml:space="preserve">Item</w:t>
            </w:r>
          </w:p>
        </w:tc>
        <w:tc>
          <w:tcPr/>
          <w:p>
            <w:pPr>
              <w:pStyle w:val="Compact"/>
            </w:pPr>
            <w:r>
              <w:t xml:space="preserve">Status</w:t>
            </w:r>
          </w:p>
        </w:tc>
        <w:tc>
          <w:tcPr/>
          <w:p>
            <w:pPr>
              <w:pStyle w:val="Compact"/>
            </w:pPr>
            <w:r>
              <w:t xml:space="preserve">Owner</w:t>
            </w:r>
          </w:p>
        </w:tc>
      </w:tr>
      <w:tr>
        <w:tc>
          <w:tcPr/>
          <w:p>
            <w:pPr>
              <w:pStyle w:val="Compact"/>
            </w:pPr>
            <w:r>
              <w:t xml:space="preserve">A1</w:t>
            </w:r>
          </w:p>
        </w:tc>
        <w:tc>
          <w:tcPr/>
          <w:p>
            <w:pPr>
              <w:pStyle w:val="Compact"/>
            </w:pPr>
            <w:r>
              <w:rPr>
                <w:b/>
                <w:bCs/>
              </w:rPr>
              <w:t xml:space="preserve">Legal entity name &amp; registration no.</w:t>
            </w:r>
            <w:r>
              <w:t xml:space="preserve"> </w:t>
            </w:r>
            <w:r>
              <w:t xml:space="preserve">— placeholder</w:t>
            </w:r>
            <w:r>
              <w:t xml:space="preserve"> </w:t>
            </w:r>
            <w:r>
              <w:t xml:space="preserve">“[บริษัท / Company]”</w:t>
            </w:r>
            <w:r>
              <w:t xml:space="preserve"> </w:t>
            </w:r>
            <w:r>
              <w:t xml:space="preserve">used</w:t>
            </w:r>
          </w:p>
        </w:tc>
        <w:tc>
          <w:tcPr/>
          <w:p>
            <w:pPr>
              <w:pStyle w:val="Compact"/>
            </w:pPr>
            <w:r>
              <w:t xml:space="preserve">TODO</w:t>
            </w:r>
          </w:p>
        </w:tc>
        <w:tc>
          <w:tcPr/>
          <w:p>
            <w:pPr>
              <w:pStyle w:val="Compact"/>
            </w:pPr>
            <w:r>
              <w:t xml:space="preserve">Company Secretary</w:t>
            </w:r>
          </w:p>
        </w:tc>
      </w:tr>
      <w:tr>
        <w:tc>
          <w:tcPr/>
          <w:p>
            <w:pPr>
              <w:pStyle w:val="Compact"/>
            </w:pPr>
            <w:r>
              <w:t xml:space="preserve">A2</w:t>
            </w:r>
          </w:p>
        </w:tc>
        <w:tc>
          <w:tcPr/>
          <w:p>
            <w:pPr>
              <w:pStyle w:val="Compact"/>
            </w:pPr>
            <w:r>
              <w:rPr>
                <w:b/>
                <w:bCs/>
              </w:rPr>
              <w:t xml:space="preserve">Sponsor bank / acquiring partner</w:t>
            </w:r>
            <w:r>
              <w:t xml:space="preserve"> </w:t>
            </w:r>
            <w:r>
              <w:t xml:space="preserve">— not yet contracted; settlement/chargeback audit scope not locked</w:t>
            </w:r>
          </w:p>
        </w:tc>
        <w:tc>
          <w:tcPr/>
          <w:p>
            <w:pPr>
              <w:pStyle w:val="Compact"/>
            </w:pPr>
            <w:r>
              <w:t xml:space="preserve">TODO</w:t>
            </w:r>
          </w:p>
        </w:tc>
        <w:tc>
          <w:tcPr/>
          <w:p>
            <w:pPr>
              <w:pStyle w:val="Compact"/>
            </w:pPr>
            <w:r>
              <w:t xml:space="preserve">CEO</w:t>
            </w:r>
          </w:p>
        </w:tc>
      </w:tr>
      <w:tr>
        <w:tc>
          <w:tcPr/>
          <w:p>
            <w:pPr>
              <w:pStyle w:val="Compact"/>
            </w:pPr>
            <w:r>
              <w:t xml:space="preserve">A3</w:t>
            </w:r>
          </w:p>
        </w:tc>
        <w:tc>
          <w:tcPr/>
          <w:p>
            <w:pPr>
              <w:pStyle w:val="Compact"/>
            </w:pPr>
            <w:r>
              <w:rPr>
                <w:b/>
                <w:bCs/>
              </w:rPr>
              <w:t xml:space="preserve">QSA vendor (PCI-DSS v4.0)</w:t>
            </w:r>
            <w:r>
              <w:t xml:space="preserve"> </w:t>
            </w:r>
            <w:r>
              <w:t xml:space="preserve">— RoC/ASV assessor not selected; actual assessment dates unconfirmed</w:t>
            </w:r>
          </w:p>
        </w:tc>
        <w:tc>
          <w:tcPr/>
          <w:p>
            <w:pPr>
              <w:pStyle w:val="Compact"/>
            </w:pPr>
            <w:r>
              <w:t xml:space="preserve">TODO</w:t>
            </w:r>
          </w:p>
        </w:tc>
        <w:tc>
          <w:tcPr/>
          <w:p>
            <w:pPr>
              <w:pStyle w:val="Compact"/>
            </w:pPr>
            <w:r>
              <w:t xml:space="preserve">CISO / Compliance</w:t>
            </w:r>
          </w:p>
        </w:tc>
      </w:tr>
      <w:tr>
        <w:tc>
          <w:tcPr/>
          <w:p>
            <w:pPr>
              <w:pStyle w:val="Compact"/>
            </w:pPr>
            <w:r>
              <w:t xml:space="preserve">A4</w:t>
            </w:r>
          </w:p>
        </w:tc>
        <w:tc>
          <w:tcPr/>
          <w:p>
            <w:pPr>
              <w:pStyle w:val="Compact"/>
            </w:pPr>
            <w:r>
              <w:rPr>
                <w:b/>
                <w:bCs/>
              </w:rPr>
              <w:t xml:space="preserve">Actual paid-up capital</w:t>
            </w:r>
            <w:r>
              <w:t xml:space="preserve"> </w:t>
            </w:r>
            <w:r>
              <w:t xml:space="preserve">— THB 50M assumed per acquiring threshold; proof of payment and ≥ 75% maintenance evidence required</w:t>
            </w:r>
          </w:p>
        </w:tc>
        <w:tc>
          <w:tcPr/>
          <w:p>
            <w:pPr>
              <w:pStyle w:val="Compact"/>
            </w:pPr>
            <w:r>
              <w:t xml:space="preserve">TODO</w:t>
            </w:r>
          </w:p>
        </w:tc>
        <w:tc>
          <w:tcPr/>
          <w:p>
            <w:pPr>
              <w:pStyle w:val="Compact"/>
            </w:pPr>
            <w:r>
              <w:t xml:space="preserve">CFO</w:t>
            </w:r>
          </w:p>
        </w:tc>
      </w:tr>
      <w:tr>
        <w:tc>
          <w:tcPr/>
          <w:p>
            <w:pPr>
              <w:pStyle w:val="Compact"/>
            </w:pPr>
            <w:r>
              <w:t xml:space="preserve">A5</w:t>
            </w:r>
          </w:p>
        </w:tc>
        <w:tc>
          <w:tcPr/>
          <w:p>
            <w:pPr>
              <w:pStyle w:val="Compact"/>
            </w:pPr>
            <w:r>
              <w:rPr>
                <w:b/>
                <w:bCs/>
              </w:rPr>
              <w:t xml:space="preserve">Independent internal auditor (co-source firm)</w:t>
            </w:r>
            <w:r>
              <w:t xml:space="preserve"> </w:t>
            </w:r>
            <w:r>
              <w:t xml:space="preserve">— first-year co-source likely (in-house team not yet staffed); firm not selected</w:t>
            </w:r>
          </w:p>
        </w:tc>
        <w:tc>
          <w:tcPr/>
          <w:p>
            <w:pPr>
              <w:pStyle w:val="Compact"/>
            </w:pPr>
            <w:r>
              <w:t xml:space="preserve">TODO</w:t>
            </w:r>
          </w:p>
        </w:tc>
        <w:tc>
          <w:tcPr/>
          <w:p>
            <w:pPr>
              <w:pStyle w:val="Compact"/>
            </w:pPr>
            <w:r>
              <w:t xml:space="preserve">Audit Committee</w:t>
            </w:r>
          </w:p>
        </w:tc>
      </w:tr>
      <w:tr>
        <w:tc>
          <w:tcPr/>
          <w:p>
            <w:pPr>
              <w:pStyle w:val="Compact"/>
            </w:pPr>
            <w:r>
              <w:t xml:space="preserve">A6</w:t>
            </w:r>
          </w:p>
        </w:tc>
        <w:tc>
          <w:tcPr/>
          <w:p>
            <w:pPr>
              <w:pStyle w:val="Compact"/>
            </w:pPr>
            <w:r>
              <w:rPr>
                <w:b/>
                <w:bCs/>
              </w:rPr>
              <w:t xml:space="preserve">Data Protection Officer (DPO)</w:t>
            </w:r>
            <w:r>
              <w:t xml:space="preserve"> </w:t>
            </w:r>
            <w:r>
              <w:t xml:space="preserve">under PDPA — not yet formally appointed</w:t>
            </w:r>
          </w:p>
        </w:tc>
        <w:tc>
          <w:tcPr/>
          <w:p>
            <w:pPr>
              <w:pStyle w:val="Compact"/>
            </w:pPr>
            <w:r>
              <w:t xml:space="preserve">TODO</w:t>
            </w:r>
          </w:p>
        </w:tc>
        <w:tc>
          <w:tcPr/>
          <w:p>
            <w:pPr>
              <w:pStyle w:val="Compact"/>
            </w:pPr>
            <w:r>
              <w:t xml:space="preserve">CEO / Legal</w:t>
            </w:r>
          </w:p>
        </w:tc>
      </w:tr>
    </w:tbl>
    <w:p>
      <w:r>
        <w:pict>
          <v:rect style="width:0;height:1.5pt" o:hralign="center" o:hrstd="t" o:hr="t"/>
        </w:pict>
      </w:r>
    </w:p>
    <w:bookmarkEnd w:id="1119"/>
    <w:bookmarkStart w:id="1120" w:name="purpose"/>
    <w:p>
      <w:pPr>
        <w:pStyle w:val="Heading2"/>
      </w:pPr>
      <w:r>
        <w:t xml:space="preserve">1. Purpose</w:t>
      </w:r>
    </w:p>
    <w:p>
      <w:pPr>
        <w:pStyle w:val="FirstParagraph"/>
      </w:pPr>
      <w:r>
        <w:t xml:space="preserve">This charter defines the mission, authority, responsibilities and independence of the</w:t>
      </w:r>
      <w:r>
        <w:t xml:space="preserve"> </w:t>
      </w:r>
      <w:r>
        <w:rPr>
          <w:b/>
          <w:bCs/>
        </w:rPr>
        <w:t xml:space="preserve">Internal Audit (IA)</w:t>
      </w:r>
      <w:r>
        <w:t xml:space="preserve"> </w:t>
      </w:r>
      <w:r>
        <w:t xml:space="preserve">function of</w:t>
      </w:r>
      <w:r>
        <w:t xml:space="preserve"> </w:t>
      </w:r>
      <w:r>
        <w:rPr>
          <w:b/>
          <w:bCs/>
        </w:rPr>
        <w:t xml:space="preserve">[บริษัท / Company]</w:t>
      </w:r>
      <w:r>
        <w:t xml:space="preserve">, which operates an electronic acquiring service under the Payment Systems Act B.E. 2560.</w:t>
      </w:r>
    </w:p>
    <w:p>
      <w:pPr>
        <w:pStyle w:val="BodyText"/>
      </w:pPr>
      <w:r>
        <w:t xml:space="preserve">Objectives:</w:t>
      </w:r>
      <w:r>
        <w:t xml:space="preserve"> </w:t>
      </w:r>
      <w:r>
        <w:t xml:space="preserve">- Provide independent assurance to the Board and Audit Committee on the adequacy and effectiveness of internal controls, risk management and governance.</w:t>
      </w:r>
      <w:r>
        <w:t xml:space="preserve"> </w:t>
      </w:r>
      <w:r>
        <w:t xml:space="preserve">- Support compliance with BOT requirements on IT risk, cyber resilience, business continuity and outsourcing.</w:t>
      </w:r>
      <w:r>
        <w:t xml:space="preserve"> </w:t>
      </w:r>
      <w:r>
        <w:t xml:space="preserve">- Assess compliance with PCI-DSS v4.0, AMLO’s AML/CFT law, and PDPA.</w:t>
      </w:r>
    </w:p>
    <w:p>
      <w:pPr>
        <w:pStyle w:val="BodyText"/>
      </w:pPr>
      <w:r>
        <w:t xml:space="preserve">IA adheres to the</w:t>
      </w:r>
      <w:r>
        <w:t xml:space="preserve"> </w:t>
      </w:r>
      <w:r>
        <w:rPr>
          <w:b/>
          <w:bCs/>
        </w:rPr>
        <w:t xml:space="preserve">IIA Global Internal Audit Standards (2024)</w:t>
      </w:r>
      <w:r>
        <w:t xml:space="preserve"> </w:t>
      </w:r>
      <w:r>
        <w:t xml:space="preserve">and BOT guidance on internal control and internal audit for supervised institutions.</w:t>
      </w:r>
    </w:p>
    <w:p>
      <w:r>
        <w:pict>
          <v:rect style="width:0;height:1.5pt" o:hralign="center" o:hrstd="t" o:hr="t"/>
        </w:pict>
      </w:r>
    </w:p>
    <w:bookmarkEnd w:id="1120"/>
    <w:bookmarkStart w:id="1121" w:name="governance-three-lines-model"/>
    <w:p>
      <w:pPr>
        <w:pStyle w:val="Heading2"/>
      </w:pPr>
      <w:r>
        <w:t xml:space="preserve">2. Governance — Three Lines Model</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pPr>
            <w:r>
              <w:t xml:space="preserve">Line</w:t>
            </w:r>
          </w:p>
        </w:tc>
        <w:tc>
          <w:tcPr/>
          <w:p>
            <w:pPr>
              <w:pStyle w:val="Compact"/>
            </w:pPr>
            <w:r>
              <w:t xml:space="preserve">Owner</w:t>
            </w:r>
          </w:p>
        </w:tc>
        <w:tc>
          <w:tcPr/>
          <w:p>
            <w:pPr>
              <w:pStyle w:val="Compact"/>
            </w:pPr>
            <w:r>
              <w:t xml:space="preserve">Role</w:t>
            </w:r>
          </w:p>
        </w:tc>
      </w:tr>
      <w:tr>
        <w:tc>
          <w:tcPr/>
          <w:p>
            <w:pPr>
              <w:pStyle w:val="Compact"/>
            </w:pPr>
            <w:r>
              <w:rPr>
                <w:b/>
                <w:bCs/>
              </w:rPr>
              <w:t xml:space="preserve">1st</w:t>
            </w:r>
          </w:p>
        </w:tc>
        <w:tc>
          <w:tcPr/>
          <w:p>
            <w:pPr>
              <w:pStyle w:val="Compact"/>
            </w:pPr>
            <w:r>
              <w:t xml:space="preserve">Operating units (Payment Ops, Engineering, Merchant Onboarding)</w:t>
            </w:r>
          </w:p>
        </w:tc>
        <w:tc>
          <w:tcPr/>
          <w:p>
            <w:pPr>
              <w:pStyle w:val="Compact"/>
            </w:pPr>
            <w:r>
              <w:t xml:space="preserve">Own the risks and controls in the process</w:t>
            </w:r>
          </w:p>
        </w:tc>
      </w:tr>
      <w:tr>
        <w:tc>
          <w:tcPr/>
          <w:p>
            <w:pPr>
              <w:pStyle w:val="Compact"/>
            </w:pPr>
            <w:r>
              <w:rPr>
                <w:b/>
                <w:bCs/>
              </w:rPr>
              <w:t xml:space="preserve">2nd</w:t>
            </w:r>
          </w:p>
        </w:tc>
        <w:tc>
          <w:tcPr/>
          <w:p>
            <w:pPr>
              <w:pStyle w:val="Compact"/>
            </w:pPr>
            <w:r>
              <w:t xml:space="preserve">Compliance, Risk, CISO/Security, AML Officer, DPO</w:t>
            </w:r>
          </w:p>
        </w:tc>
        <w:tc>
          <w:tcPr/>
          <w:p>
            <w:pPr>
              <w:pStyle w:val="Compact"/>
            </w:pPr>
            <w:r>
              <w:t xml:space="preserve">Set policy, monitor and challenge the 1st line</w:t>
            </w:r>
          </w:p>
        </w:tc>
      </w:tr>
      <w:tr>
        <w:tc>
          <w:tcPr/>
          <w:p>
            <w:pPr>
              <w:pStyle w:val="Compact"/>
            </w:pPr>
            <w:r>
              <w:rPr>
                <w:b/>
                <w:bCs/>
              </w:rPr>
              <w:t xml:space="preserve">3rd</w:t>
            </w:r>
          </w:p>
        </w:tc>
        <w:tc>
          <w:tcPr/>
          <w:p>
            <w:pPr>
              <w:pStyle w:val="Compact"/>
            </w:pPr>
            <w:r>
              <w:rPr>
                <w:b/>
                <w:bCs/>
              </w:rPr>
              <w:t xml:space="preserve">Internal Audit (IA)</w:t>
            </w:r>
          </w:p>
        </w:tc>
        <w:tc>
          <w:tcPr/>
          <w:p>
            <w:pPr>
              <w:pStyle w:val="Compact"/>
            </w:pPr>
            <w:r>
              <w:t xml:space="preserve">Independent assurance over the 1st and 2nd lines; reports to the Audit Committee</w:t>
            </w:r>
          </w:p>
        </w:tc>
      </w:tr>
    </w:tbl>
    <w:p>
      <w:pPr>
        <w:pStyle w:val="BodyText"/>
      </w:pPr>
      <w:r>
        <w:rPr>
          <w:b/>
          <w:bCs/>
        </w:rPr>
        <w:t xml:space="preserve">Reporting lines:</w:t>
      </w:r>
      <w:r>
        <w:t xml:space="preserve"> </w:t>
      </w:r>
      <w:r>
        <w:t xml:space="preserve">-</w:t>
      </w:r>
      <w:r>
        <w:t xml:space="preserve"> </w:t>
      </w:r>
      <w:r>
        <w:rPr>
          <w:b/>
          <w:bCs/>
        </w:rPr>
        <w:t xml:space="preserve">Functional:</w:t>
      </w:r>
      <w:r>
        <w:t xml:space="preserve"> </w:t>
      </w:r>
      <w:r>
        <w:t xml:space="preserve">the Chief Audit Executive (CAE) reports directly to the</w:t>
      </w:r>
      <w:r>
        <w:t xml:space="preserve"> </w:t>
      </w:r>
      <w:r>
        <w:rPr>
          <w:b/>
          <w:bCs/>
        </w:rPr>
        <w:t xml:space="preserve">Audit Committee</w:t>
      </w:r>
      <w:r>
        <w:t xml:space="preserve">.</w:t>
      </w:r>
      <w:r>
        <w:t xml:space="preserve"> </w:t>
      </w:r>
      <w:r>
        <w:t xml:space="preserve">-</w:t>
      </w:r>
      <w:r>
        <w:t xml:space="preserve"> </w:t>
      </w:r>
      <w:r>
        <w:rPr>
          <w:b/>
          <w:bCs/>
        </w:rPr>
        <w:t xml:space="preserve">Administrative:</w:t>
      </w:r>
      <w:r>
        <w:t xml:space="preserve"> </w:t>
      </w:r>
      <w:r>
        <w:t xml:space="preserve">reports to the CEO for administrative matters only (budget, resources) to preserve independence.</w:t>
      </w:r>
      <w:r>
        <w:t xml:space="preserve"> </w:t>
      </w:r>
      <w:r>
        <w:t xml:space="preserve">- The Audit Committee approves the appointment/removal, evaluates and sets the remuneration of the CAE.</w:t>
      </w:r>
    </w:p>
    <w:p>
      <w:r>
        <w:pict>
          <v:rect style="width:0;height:1.5pt" o:hralign="center" o:hrstd="t" o:hr="t"/>
        </w:pict>
      </w:r>
    </w:p>
    <w:bookmarkEnd w:id="1121"/>
    <w:bookmarkStart w:id="1122" w:name="independence-objectivity"/>
    <w:p>
      <w:pPr>
        <w:pStyle w:val="Heading2"/>
      </w:pPr>
      <w:r>
        <w:t xml:space="preserve">3. Independence &amp; Objectivity</w:t>
      </w:r>
    </w:p>
    <w:p>
      <w:pPr>
        <w:pStyle w:val="Compact"/>
        <w:numPr>
          <w:ilvl w:val="0"/>
          <w:numId w:val="1402"/>
        </w:numPr>
      </w:pPr>
      <w:r>
        <w:t xml:space="preserve">IA holds no authority or responsibility over the operations it audits (no operational responsibility).</w:t>
      </w:r>
    </w:p>
    <w:p>
      <w:pPr>
        <w:pStyle w:val="Compact"/>
        <w:numPr>
          <w:ilvl w:val="0"/>
          <w:numId w:val="1402"/>
        </w:numPr>
      </w:pPr>
      <w:r>
        <w:t xml:space="preserve">Auditors must not audit work they were responsible for within the previous</w:t>
      </w:r>
      <w:r>
        <w:t xml:space="preserve"> </w:t>
      </w:r>
      <w:r>
        <w:rPr>
          <w:b/>
          <w:bCs/>
        </w:rPr>
        <w:t xml:space="preserve">12 months</w:t>
      </w:r>
      <w:r>
        <w:t xml:space="preserve">.</w:t>
      </w:r>
    </w:p>
    <w:p>
      <w:pPr>
        <w:pStyle w:val="Compact"/>
        <w:numPr>
          <w:ilvl w:val="0"/>
          <w:numId w:val="1402"/>
        </w:numPr>
      </w:pPr>
      <w:r>
        <w:t xml:space="preserve">The CAE confirms organizational independence to the Audit Committee in writing</w:t>
      </w:r>
      <w:r>
        <w:t xml:space="preserve"> </w:t>
      </w:r>
      <w:r>
        <w:rPr>
          <w:b/>
          <w:bCs/>
        </w:rPr>
        <w:t xml:space="preserve">at least annually</w:t>
      </w:r>
      <w:r>
        <w:t xml:space="preserve">.</w:t>
      </w:r>
    </w:p>
    <w:p>
      <w:pPr>
        <w:pStyle w:val="Compact"/>
        <w:numPr>
          <w:ilvl w:val="0"/>
          <w:numId w:val="1402"/>
        </w:numPr>
      </w:pPr>
      <w:r>
        <w:t xml:space="preserve">Any conflict of interest must be disclosed to the Audit Committee immediately; the engagement is reassigned or co-sourced (see TODO A5).</w:t>
      </w:r>
    </w:p>
    <w:p>
      <w:r>
        <w:pict>
          <v:rect style="width:0;height:1.5pt" o:hralign="center" o:hrstd="t" o:hr="t"/>
        </w:pict>
      </w:r>
    </w:p>
    <w:bookmarkEnd w:id="1122"/>
    <w:bookmarkStart w:id="1123" w:name="authority"/>
    <w:p>
      <w:pPr>
        <w:pStyle w:val="Heading2"/>
      </w:pPr>
      <w:r>
        <w:t xml:space="preserve">4. Authority</w:t>
      </w:r>
    </w:p>
    <w:p>
      <w:pPr>
        <w:pStyle w:val="FirstParagraph"/>
      </w:pPr>
      <w:r>
        <w:t xml:space="preserve">IA is authorized by the Board to:</w:t>
      </w:r>
      <w:r>
        <w:t xml:space="preserve"> </w:t>
      </w:r>
      <w:r>
        <w:t xml:space="preserve">1. Access,</w:t>
      </w:r>
      <w:r>
        <w:t xml:space="preserve"> </w:t>
      </w:r>
      <w:r>
        <w:rPr>
          <w:b/>
          <w:bCs/>
        </w:rPr>
        <w:t xml:space="preserve">without restriction</w:t>
      </w:r>
      <w:r>
        <w:t xml:space="preserve">, all data, systems, records, assets and personnel needed — including PCI-scope systems (vault/tokenization),</w:t>
      </w:r>
      <w:r>
        <w:t xml:space="preserve"> </w:t>
      </w:r>
      <w:r>
        <w:rPr>
          <w:rStyle w:val="VerbatimChar"/>
        </w:rPr>
        <w:t xml:space="preserve">ledger_entries</w:t>
      </w:r>
      <w:r>
        <w:t xml:space="preserve">,</w:t>
      </w:r>
      <w:r>
        <w:t xml:space="preserve"> </w:t>
      </w:r>
      <w:r>
        <w:rPr>
          <w:rStyle w:val="VerbatimChar"/>
        </w:rPr>
        <w:t xml:space="preserve">audit_log</w:t>
      </w:r>
      <w:r>
        <w:t xml:space="preserve">, and the SIEM.</w:t>
      </w:r>
      <w:r>
        <w:t xml:space="preserve"> </w:t>
      </w:r>
      <w:r>
        <w:t xml:space="preserve">2. Access Board and committee meeting records.</w:t>
      </w:r>
      <w:r>
        <w:t xml:space="preserve"> </w:t>
      </w:r>
      <w:r>
        <w:t xml:space="preserve">3. Require explanations and cooperation from staff at all levels.</w:t>
      </w:r>
      <w:r>
        <w:t xml:space="preserve"> </w:t>
      </w:r>
      <w:r>
        <w:t xml:space="preserve">4. Engage external specialists (e.g., penetration testers, forensics) as needed.</w:t>
      </w:r>
    </w:p>
    <w:p>
      <w:pPr>
        <w:pStyle w:val="BodyText"/>
      </w:pPr>
      <w:r>
        <w:rPr>
          <w:b/>
          <w:bCs/>
        </w:rPr>
        <w:t xml:space="preserve">Scope:</w:t>
      </w:r>
      <w:r>
        <w:t xml:space="preserve"> </w:t>
      </w:r>
      <w:r>
        <w:t xml:space="preserve">IA covers all units, processes and outsourced/critical vendors (including the QSA, sponsor-bank interface, cloud, HSM/KMS), subject to contractual audit rights.</w:t>
      </w:r>
    </w:p>
    <w:p>
      <w:r>
        <w:pict>
          <v:rect style="width:0;height:1.5pt" o:hralign="center" o:hrstd="t" o:hr="t"/>
        </w:pict>
      </w:r>
    </w:p>
    <w:bookmarkEnd w:id="1123"/>
    <w:bookmarkStart w:id="1124" w:name="responsibilities"/>
    <w:p>
      <w:pPr>
        <w:pStyle w:val="Heading2"/>
      </w:pPr>
      <w:r>
        <w:t xml:space="preserve">5. Responsibilities</w:t>
      </w:r>
    </w:p>
    <w:p>
      <w:pPr>
        <w:pStyle w:val="Compact"/>
        <w:numPr>
          <w:ilvl w:val="0"/>
          <w:numId w:val="1403"/>
        </w:numPr>
      </w:pPr>
      <w:r>
        <w:t xml:space="preserve">Prepare a</w:t>
      </w:r>
      <w:r>
        <w:t xml:space="preserve"> </w:t>
      </w:r>
      <w:r>
        <w:rPr>
          <w:b/>
          <w:bCs/>
        </w:rPr>
        <w:t xml:space="preserve">risk-based annual audit plan</w:t>
      </w:r>
      <w:r>
        <w:t xml:space="preserve"> </w:t>
      </w:r>
      <w:r>
        <w:t xml:space="preserve">and a 3-year rotational plan for Audit Committee approval.</w:t>
      </w:r>
    </w:p>
    <w:p>
      <w:pPr>
        <w:pStyle w:val="Compact"/>
        <w:numPr>
          <w:ilvl w:val="0"/>
          <w:numId w:val="1403"/>
        </w:numPr>
      </w:pPr>
      <w:r>
        <w:t xml:space="preserve">Execute audits per plan; assess control adequacy across payment ops, security, AML, PCI and PDPA.</w:t>
      </w:r>
    </w:p>
    <w:p>
      <w:pPr>
        <w:pStyle w:val="Compact"/>
        <w:numPr>
          <w:ilvl w:val="0"/>
          <w:numId w:val="1403"/>
        </w:numPr>
      </w:pPr>
      <w:r>
        <w:t xml:space="preserve">Track remediation of findings through to closure (finding tracking).</w:t>
      </w:r>
    </w:p>
    <w:p>
      <w:pPr>
        <w:pStyle w:val="Compact"/>
        <w:numPr>
          <w:ilvl w:val="0"/>
          <w:numId w:val="1403"/>
        </w:numPr>
      </w:pPr>
      <w:r>
        <w:t xml:space="preserve">Report quarterly to the Audit Committee.</w:t>
      </w:r>
    </w:p>
    <w:p>
      <w:pPr>
        <w:pStyle w:val="Compact"/>
        <w:numPr>
          <w:ilvl w:val="0"/>
          <w:numId w:val="1403"/>
        </w:numPr>
      </w:pPr>
      <w:r>
        <w:t xml:space="preserve">Coordinate with external auditors and the QSA to reduce duplication (combined assurance).</w:t>
      </w:r>
    </w:p>
    <w:p>
      <w:pPr>
        <w:pStyle w:val="Compact"/>
        <w:numPr>
          <w:ilvl w:val="0"/>
          <w:numId w:val="1403"/>
        </w:numPr>
      </w:pPr>
      <w:r>
        <w:t xml:space="preserve">Immediately escalate significant events (fraud, data breach, AML STR) to the Audit Committee.</w:t>
      </w:r>
    </w:p>
    <w:p>
      <w:r>
        <w:pict>
          <v:rect style="width:0;height:1.5pt" o:hralign="center" o:hrstd="t" o:hr="t"/>
        </w:pict>
      </w:r>
    </w:p>
    <w:bookmarkEnd w:id="1124"/>
    <w:bookmarkStart w:id="1128" w:name="risk-based-annual-audit-plan"/>
    <w:p>
      <w:pPr>
        <w:pStyle w:val="Heading2"/>
      </w:pPr>
      <w:r>
        <w:t xml:space="preserve">6. Risk-Based Annual Audit Plan</w:t>
      </w:r>
    </w:p>
    <w:bookmarkStart w:id="1125" w:name="planning-method"/>
    <w:p>
      <w:pPr>
        <w:pStyle w:val="Heading3"/>
      </w:pPr>
      <w:r>
        <w:t xml:space="preserve">6.1 Planning method</w:t>
      </w:r>
    </w:p>
    <w:p>
      <w:pPr>
        <w:pStyle w:val="FirstParagraph"/>
      </w:pPr>
      <w:r>
        <w:t xml:space="preserve">Risk score =</w:t>
      </w:r>
      <w:r>
        <w:t xml:space="preserve"> </w:t>
      </w:r>
      <w:r>
        <w:rPr>
          <w:b/>
          <w:bCs/>
        </w:rPr>
        <w:t xml:space="preserve">Impact × Likelihood</w:t>
      </w:r>
      <w:r>
        <w:t xml:space="preserve">, adjusted for regulatory sensitivity, considering: transaction value, cardholder-data (CHD) exposure, BOT/AMLO/PDPC impact, prior findings, and system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Score</w:t>
            </w:r>
          </w:p>
        </w:tc>
        <w:tc>
          <w:tcPr/>
          <w:p>
            <w:pPr>
              <w:pStyle w:val="Compact"/>
            </w:pPr>
            <w:r>
              <w:t xml:space="preserve">Minimum frequency</w:t>
            </w:r>
          </w:p>
        </w:tc>
      </w:tr>
      <w:tr>
        <w:tc>
          <w:tcPr/>
          <w:p>
            <w:pPr>
              <w:pStyle w:val="Compact"/>
            </w:pPr>
            <w:r>
              <w:t xml:space="preserve">Critical</w:t>
            </w:r>
          </w:p>
        </w:tc>
        <w:tc>
          <w:tcPr/>
          <w:p>
            <w:pPr>
              <w:pStyle w:val="Compact"/>
            </w:pPr>
            <w:r>
              <w:t xml:space="preserve">20–25</w:t>
            </w:r>
          </w:p>
        </w:tc>
        <w:tc>
          <w:tcPr/>
          <w:p>
            <w:pPr>
              <w:pStyle w:val="Compact"/>
            </w:pPr>
            <w:r>
              <w:t xml:space="preserve">Every 6–12 months</w:t>
            </w:r>
          </w:p>
        </w:tc>
      </w:tr>
      <w:tr>
        <w:tc>
          <w:tcPr/>
          <w:p>
            <w:pPr>
              <w:pStyle w:val="Compact"/>
            </w:pPr>
            <w:r>
              <w:t xml:space="preserve">High</w:t>
            </w:r>
          </w:p>
        </w:tc>
        <w:tc>
          <w:tcPr/>
          <w:p>
            <w:pPr>
              <w:pStyle w:val="Compact"/>
            </w:pPr>
            <w:r>
              <w:t xml:space="preserve">12–19</w:t>
            </w:r>
          </w:p>
        </w:tc>
        <w:tc>
          <w:tcPr/>
          <w:p>
            <w:pPr>
              <w:pStyle w:val="Compact"/>
            </w:pPr>
            <w:r>
              <w:t xml:space="preserve">Annually</w:t>
            </w:r>
          </w:p>
        </w:tc>
      </w:tr>
      <w:tr>
        <w:tc>
          <w:tcPr/>
          <w:p>
            <w:pPr>
              <w:pStyle w:val="Compact"/>
            </w:pPr>
            <w:r>
              <w:t xml:space="preserve">Medium</w:t>
            </w:r>
          </w:p>
        </w:tc>
        <w:tc>
          <w:tcPr/>
          <w:p>
            <w:pPr>
              <w:pStyle w:val="Compact"/>
            </w:pPr>
            <w:r>
              <w:t xml:space="preserve">6–11</w:t>
            </w:r>
          </w:p>
        </w:tc>
        <w:tc>
          <w:tcPr/>
          <w:p>
            <w:pPr>
              <w:pStyle w:val="Compact"/>
            </w:pPr>
            <w:r>
              <w:t xml:space="preserve">Every 18–24 months</w:t>
            </w:r>
          </w:p>
        </w:tc>
      </w:tr>
      <w:tr>
        <w:tc>
          <w:tcPr/>
          <w:p>
            <w:pPr>
              <w:pStyle w:val="Compact"/>
            </w:pPr>
            <w:r>
              <w:t xml:space="preserve">Low</w:t>
            </w:r>
          </w:p>
        </w:tc>
        <w:tc>
          <w:tcPr/>
          <w:p>
            <w:pPr>
              <w:pStyle w:val="Compact"/>
            </w:pPr>
            <w:r>
              <w:t xml:space="preserve">1–5</w:t>
            </w:r>
          </w:p>
        </w:tc>
        <w:tc>
          <w:tcPr/>
          <w:p>
            <w:pPr>
              <w:pStyle w:val="Compact"/>
            </w:pPr>
            <w:r>
              <w:t xml:space="preserve">Every 36 months</w:t>
            </w:r>
          </w:p>
        </w:tc>
      </w:tr>
    </w:tbl>
    <w:bookmarkEnd w:id="1125"/>
    <w:bookmarkStart w:id="1126" w:name="audit-universe-fy2027-plan"/>
    <w:p>
      <w:pPr>
        <w:pStyle w:val="Heading3"/>
      </w:pPr>
      <w:r>
        <w:t xml:space="preserve">6.2 Audit universe &amp; FY2027 plan</w:t>
      </w:r>
    </w:p>
    <w:tbl>
      <w:tblPr>
        <w:tblStyle w:val="Table"/>
        <w:tblW w:type="pct" w:w="5000"/>
        <w:tblLayout w:type="fixed"/>
        <w:tblLook w:firstRow="1" w:lastRow="0" w:firstColumn="0" w:lastColumn="0" w:noHBand="0" w:noVBand="0" w:val="0020"/>
      </w:tblPr>
      <w:tblGrid>
        <w:gridCol w:w="308"/>
        <w:gridCol w:w="1851"/>
        <w:gridCol w:w="822"/>
        <w:gridCol w:w="617"/>
        <w:gridCol w:w="1851"/>
        <w:gridCol w:w="2468"/>
      </w:tblGrid>
      <w:tr>
        <w:trPr>
          <w:tblHeader w:val="on"/>
        </w:trPr>
        <w:tc>
          <w:tcPr/>
          <w:p>
            <w:pPr>
              <w:pStyle w:val="Compact"/>
            </w:pPr>
            <w:r>
              <w:t xml:space="preserve">#</w:t>
            </w:r>
          </w:p>
        </w:tc>
        <w:tc>
          <w:tcPr/>
          <w:p>
            <w:pPr>
              <w:pStyle w:val="Compact"/>
            </w:pPr>
            <w:r>
              <w:t xml:space="preserve">Auditable entity</w:t>
            </w:r>
          </w:p>
        </w:tc>
        <w:tc>
          <w:tcPr/>
          <w:p>
            <w:pPr>
              <w:pStyle w:val="Compact"/>
            </w:pPr>
            <w:r>
              <w:t xml:space="preserve">Domain</w:t>
            </w:r>
          </w:p>
        </w:tc>
        <w:tc>
          <w:tcPr/>
          <w:p>
            <w:pPr>
              <w:pStyle w:val="Compact"/>
            </w:pPr>
            <w:r>
              <w:t xml:space="preserve">Risk</w:t>
            </w:r>
          </w:p>
        </w:tc>
        <w:tc>
          <w:tcPr/>
          <w:p>
            <w:pPr>
              <w:pStyle w:val="Compact"/>
            </w:pPr>
            <w:r>
              <w:t xml:space="preserve">Planned quarter</w:t>
            </w:r>
          </w:p>
        </w:tc>
        <w:tc>
          <w:tcPr/>
          <w:p>
            <w:pPr>
              <w:pStyle w:val="Compact"/>
            </w:pPr>
            <w:r>
              <w:t xml:space="preserve">Standard / requirement</w:t>
            </w:r>
          </w:p>
        </w:tc>
      </w:tr>
      <w:tr>
        <w:tc>
          <w:tcPr/>
          <w:p>
            <w:pPr>
              <w:pStyle w:val="Compact"/>
            </w:pPr>
            <w:r>
              <w:t xml:space="preserve">1</w:t>
            </w:r>
          </w:p>
        </w:tc>
        <w:tc>
          <w:tcPr/>
          <w:p>
            <w:pPr>
              <w:pStyle w:val="Compact"/>
            </w:pPr>
            <w:r>
              <w:t xml:space="preserve">Authorization / Capture / Refund / Void &amp; idempotency</w:t>
            </w:r>
          </w:p>
        </w:tc>
        <w:tc>
          <w:tcPr/>
          <w:p>
            <w:pPr>
              <w:pStyle w:val="Compact"/>
            </w:pPr>
            <w:r>
              <w:t xml:space="preserve">Payment Ops</w:t>
            </w:r>
          </w:p>
        </w:tc>
        <w:tc>
          <w:tcPr/>
          <w:p>
            <w:pPr>
              <w:pStyle w:val="Compact"/>
            </w:pPr>
            <w:r>
              <w:t xml:space="preserve">Critical</w:t>
            </w:r>
          </w:p>
        </w:tc>
        <w:tc>
          <w:tcPr/>
          <w:p>
            <w:pPr>
              <w:pStyle w:val="Compact"/>
            </w:pPr>
            <w:r>
              <w:t xml:space="preserve">Q1</w:t>
            </w:r>
          </w:p>
        </w:tc>
        <w:tc>
          <w:tcPr/>
          <w:p>
            <w:pPr>
              <w:pStyle w:val="Compact"/>
            </w:pPr>
            <w:r>
              <w:t xml:space="preserve">Architecture §5, BOT IT risk</w:t>
            </w:r>
          </w:p>
        </w:tc>
      </w:tr>
      <w:tr>
        <w:tc>
          <w:tcPr/>
          <w:p>
            <w:pPr>
              <w:pStyle w:val="Compact"/>
            </w:pPr>
            <w:r>
              <w:t xml:space="preserve">2</w:t>
            </w:r>
          </w:p>
        </w:tc>
        <w:tc>
          <w:tcPr/>
          <w:p>
            <w:pPr>
              <w:pStyle w:val="Compact"/>
            </w:pPr>
            <w:r>
              <w:t xml:space="preserve">Ledger integrity &amp; reconciliation (append-only, double-entry)</w:t>
            </w:r>
          </w:p>
        </w:tc>
        <w:tc>
          <w:tcPr/>
          <w:p>
            <w:pPr>
              <w:pStyle w:val="Compact"/>
            </w:pPr>
            <w:r>
              <w:t xml:space="preserve">Payment Ops</w:t>
            </w:r>
          </w:p>
        </w:tc>
        <w:tc>
          <w:tcPr/>
          <w:p>
            <w:pPr>
              <w:pStyle w:val="Compact"/>
            </w:pPr>
            <w:r>
              <w:t xml:space="preserve">Critical</w:t>
            </w:r>
          </w:p>
        </w:tc>
        <w:tc>
          <w:tcPr/>
          <w:p>
            <w:pPr>
              <w:pStyle w:val="Compact"/>
            </w:pPr>
            <w:r>
              <w:t xml:space="preserve">Q2</w:t>
            </w:r>
          </w:p>
        </w:tc>
        <w:tc>
          <w:tcPr/>
          <w:p>
            <w:pPr>
              <w:pStyle w:val="Compact"/>
            </w:pPr>
            <w:r>
              <w:t xml:space="preserve">Architecture §6</w:t>
            </w:r>
          </w:p>
        </w:tc>
      </w:tr>
      <w:tr>
        <w:tc>
          <w:tcPr/>
          <w:p>
            <w:pPr>
              <w:pStyle w:val="Compact"/>
            </w:pPr>
            <w:r>
              <w:t xml:space="preserve">3</w:t>
            </w:r>
          </w:p>
        </w:tc>
        <w:tc>
          <w:tcPr/>
          <w:p>
            <w:pPr>
              <w:pStyle w:val="Compact"/>
            </w:pPr>
            <w:r>
              <w:t xml:space="preserve">Settlement &amp; merchant payout with sponsor bank</w:t>
            </w:r>
          </w:p>
        </w:tc>
        <w:tc>
          <w:tcPr/>
          <w:p>
            <w:pPr>
              <w:pStyle w:val="Compact"/>
            </w:pPr>
            <w:r>
              <w:t xml:space="preserve">Payment Ops</w:t>
            </w:r>
          </w:p>
        </w:tc>
        <w:tc>
          <w:tcPr/>
          <w:p>
            <w:pPr>
              <w:pStyle w:val="Compact"/>
            </w:pPr>
            <w:r>
              <w:t xml:space="preserve">High</w:t>
            </w:r>
          </w:p>
        </w:tc>
        <w:tc>
          <w:tcPr/>
          <w:p>
            <w:pPr>
              <w:pStyle w:val="Compact"/>
            </w:pPr>
            <w:r>
              <w:t xml:space="preserve">Q3</w:t>
            </w:r>
          </w:p>
        </w:tc>
        <w:tc>
          <w:tcPr/>
          <w:p>
            <w:pPr>
              <w:pStyle w:val="Compact"/>
            </w:pPr>
            <w:r>
              <w:t xml:space="preserve">TODO A2</w:t>
            </w:r>
          </w:p>
        </w:tc>
      </w:tr>
      <w:tr>
        <w:tc>
          <w:tcPr/>
          <w:p>
            <w:pPr>
              <w:pStyle w:val="Compact"/>
            </w:pPr>
            <w:r>
              <w:t xml:space="preserve">4</w:t>
            </w:r>
          </w:p>
        </w:tc>
        <w:tc>
          <w:tcPr/>
          <w:p>
            <w:pPr>
              <w:pStyle w:val="Compact"/>
            </w:pPr>
            <w:r>
              <w:t xml:space="preserve">Chargeback / dispute workflow</w:t>
            </w:r>
          </w:p>
        </w:tc>
        <w:tc>
          <w:tcPr/>
          <w:p>
            <w:pPr>
              <w:pStyle w:val="Compact"/>
            </w:pPr>
            <w:r>
              <w:t xml:space="preserve">Payment Ops</w:t>
            </w:r>
          </w:p>
        </w:tc>
        <w:tc>
          <w:tcPr/>
          <w:p>
            <w:pPr>
              <w:pStyle w:val="Compact"/>
            </w:pPr>
            <w:r>
              <w:t xml:space="preserve">High</w:t>
            </w:r>
          </w:p>
        </w:tc>
        <w:tc>
          <w:tcPr/>
          <w:p>
            <w:pPr>
              <w:pStyle w:val="Compact"/>
            </w:pPr>
            <w:r>
              <w:t xml:space="preserve">Q3</w:t>
            </w:r>
          </w:p>
        </w:tc>
        <w:tc>
          <w:tcPr/>
          <w:p>
            <w:pPr>
              <w:pStyle w:val="Compact"/>
            </w:pPr>
            <w:r>
              <w:t xml:space="preserve">EMV 3DS, scheme rules</w:t>
            </w:r>
          </w:p>
        </w:tc>
      </w:tr>
      <w:tr>
        <w:tc>
          <w:tcPr/>
          <w:p>
            <w:pPr>
              <w:pStyle w:val="Compact"/>
            </w:pPr>
            <w:r>
              <w:t xml:space="preserve">5</w:t>
            </w:r>
          </w:p>
        </w:tc>
        <w:tc>
          <w:tcPr/>
          <w:p>
            <w:pPr>
              <w:pStyle w:val="Compact"/>
            </w:pPr>
            <w:r>
              <w:t xml:space="preserve">Tokenization vault &amp; key management (HSM/KMS, dual control)</w:t>
            </w:r>
          </w:p>
        </w:tc>
        <w:tc>
          <w:tcPr/>
          <w:p>
            <w:pPr>
              <w:pStyle w:val="Compact"/>
            </w:pPr>
            <w:r>
              <w:t xml:space="preserve">Security/PCI</w:t>
            </w:r>
          </w:p>
        </w:tc>
        <w:tc>
          <w:tcPr/>
          <w:p>
            <w:pPr>
              <w:pStyle w:val="Compact"/>
            </w:pPr>
            <w:r>
              <w:t xml:space="preserve">Critical</w:t>
            </w:r>
          </w:p>
        </w:tc>
        <w:tc>
          <w:tcPr/>
          <w:p>
            <w:pPr>
              <w:pStyle w:val="Compact"/>
            </w:pPr>
            <w:r>
              <w:t xml:space="preserve">Q1</w:t>
            </w:r>
          </w:p>
        </w:tc>
        <w:tc>
          <w:tcPr/>
          <w:p>
            <w:pPr>
              <w:pStyle w:val="Compact"/>
            </w:pPr>
            <w:r>
              <w:t xml:space="preserve">PCI-DSS v4.0 Req 3, 4</w:t>
            </w:r>
          </w:p>
        </w:tc>
      </w:tr>
      <w:tr>
        <w:tc>
          <w:tcPr/>
          <w:p>
            <w:pPr>
              <w:pStyle w:val="Compact"/>
            </w:pPr>
            <w:r>
              <w:t xml:space="preserve">6</w:t>
            </w:r>
          </w:p>
        </w:tc>
        <w:tc>
          <w:tcPr/>
          <w:p>
            <w:pPr>
              <w:pStyle w:val="Compact"/>
            </w:pPr>
            <w:r>
              <w:t xml:space="preserve">Access control, RBAC, MFA, privileged access</w:t>
            </w:r>
          </w:p>
        </w:tc>
        <w:tc>
          <w:tcPr/>
          <w:p>
            <w:pPr>
              <w:pStyle w:val="Compact"/>
            </w:pPr>
            <w:r>
              <w:t xml:space="preserve">Security/PCI</w:t>
            </w:r>
          </w:p>
        </w:tc>
        <w:tc>
          <w:tcPr/>
          <w:p>
            <w:pPr>
              <w:pStyle w:val="Compact"/>
            </w:pPr>
            <w:r>
              <w:t xml:space="preserve">Critical</w:t>
            </w:r>
          </w:p>
        </w:tc>
        <w:tc>
          <w:tcPr/>
          <w:p>
            <w:pPr>
              <w:pStyle w:val="Compact"/>
            </w:pPr>
            <w:r>
              <w:t xml:space="preserve">Q2</w:t>
            </w:r>
          </w:p>
        </w:tc>
        <w:tc>
          <w:tcPr/>
          <w:p>
            <w:pPr>
              <w:pStyle w:val="Compact"/>
            </w:pPr>
            <w:r>
              <w:t xml:space="preserve">PCI-DSS v4.0 Req 7, 8</w:t>
            </w:r>
          </w:p>
        </w:tc>
      </w:tr>
      <w:tr>
        <w:tc>
          <w:tcPr/>
          <w:p>
            <w:pPr>
              <w:pStyle w:val="Compact"/>
            </w:pPr>
            <w:r>
              <w:t xml:space="preserve">7</w:t>
            </w:r>
          </w:p>
        </w:tc>
        <w:tc>
          <w:tcPr/>
          <w:p>
            <w:pPr>
              <w:pStyle w:val="Compact"/>
            </w:pPr>
            <w:r>
              <w:t xml:space="preserve">Logging, monitoring, SIEM, no-CHD-in-logs</w:t>
            </w:r>
          </w:p>
        </w:tc>
        <w:tc>
          <w:tcPr/>
          <w:p>
            <w:pPr>
              <w:pStyle w:val="Compact"/>
            </w:pPr>
            <w:r>
              <w:t xml:space="preserve">Security/PCI</w:t>
            </w:r>
          </w:p>
        </w:tc>
        <w:tc>
          <w:tcPr/>
          <w:p>
            <w:pPr>
              <w:pStyle w:val="Compact"/>
            </w:pPr>
            <w:r>
              <w:t xml:space="preserve">High</w:t>
            </w:r>
          </w:p>
        </w:tc>
        <w:tc>
          <w:tcPr/>
          <w:p>
            <w:pPr>
              <w:pStyle w:val="Compact"/>
            </w:pPr>
            <w:r>
              <w:t xml:space="preserve">Q2</w:t>
            </w:r>
          </w:p>
        </w:tc>
        <w:tc>
          <w:tcPr/>
          <w:p>
            <w:pPr>
              <w:pStyle w:val="Compact"/>
            </w:pPr>
            <w:r>
              <w:t xml:space="preserve">PCI-DSS v4.0 Req 10</w:t>
            </w:r>
          </w:p>
        </w:tc>
      </w:tr>
      <w:tr>
        <w:tc>
          <w:tcPr/>
          <w:p>
            <w:pPr>
              <w:pStyle w:val="Compact"/>
            </w:pPr>
            <w:r>
              <w:t xml:space="preserve">8</w:t>
            </w:r>
          </w:p>
        </w:tc>
        <w:tc>
          <w:tcPr/>
          <w:p>
            <w:pPr>
              <w:pStyle w:val="Compact"/>
            </w:pPr>
            <w:r>
              <w:t xml:space="preserve">Network segmentation, WAF, IDS/IPS, ASV scan review</w:t>
            </w:r>
          </w:p>
        </w:tc>
        <w:tc>
          <w:tcPr/>
          <w:p>
            <w:pPr>
              <w:pStyle w:val="Compact"/>
            </w:pPr>
            <w:r>
              <w:t xml:space="preserve">Security/PCI</w:t>
            </w:r>
          </w:p>
        </w:tc>
        <w:tc>
          <w:tcPr/>
          <w:p>
            <w:pPr>
              <w:pStyle w:val="Compact"/>
            </w:pPr>
            <w:r>
              <w:t xml:space="preserve">High</w:t>
            </w:r>
          </w:p>
        </w:tc>
        <w:tc>
          <w:tcPr/>
          <w:p>
            <w:pPr>
              <w:pStyle w:val="Compact"/>
            </w:pPr>
            <w:r>
              <w:t xml:space="preserve">Q3</w:t>
            </w:r>
          </w:p>
        </w:tc>
        <w:tc>
          <w:tcPr/>
          <w:p>
            <w:pPr>
              <w:pStyle w:val="Compact"/>
            </w:pPr>
            <w:r>
              <w:t xml:space="preserve">PCI-DSS v4.0 Req 1, 11</w:t>
            </w:r>
          </w:p>
        </w:tc>
      </w:tr>
      <w:tr>
        <w:tc>
          <w:tcPr/>
          <w:p>
            <w:pPr>
              <w:pStyle w:val="Compact"/>
            </w:pPr>
            <w:r>
              <w:t xml:space="preserve">9</w:t>
            </w:r>
          </w:p>
        </w:tc>
        <w:tc>
          <w:tcPr/>
          <w:p>
            <w:pPr>
              <w:pStyle w:val="Compact"/>
            </w:pPr>
            <w:r>
              <w:t xml:space="preserve">Vulnerability &amp; patch mgmt, SAST/DAST, pentest closure</w:t>
            </w:r>
          </w:p>
        </w:tc>
        <w:tc>
          <w:tcPr/>
          <w:p>
            <w:pPr>
              <w:pStyle w:val="Compact"/>
            </w:pPr>
            <w:r>
              <w:t xml:space="preserve">Security/PCI</w:t>
            </w:r>
          </w:p>
        </w:tc>
        <w:tc>
          <w:tcPr/>
          <w:p>
            <w:pPr>
              <w:pStyle w:val="Compact"/>
            </w:pPr>
            <w:r>
              <w:t xml:space="preserve">High</w:t>
            </w:r>
          </w:p>
        </w:tc>
        <w:tc>
          <w:tcPr/>
          <w:p>
            <w:pPr>
              <w:pStyle w:val="Compact"/>
            </w:pPr>
            <w:r>
              <w:t xml:space="preserve">Q4</w:t>
            </w:r>
          </w:p>
        </w:tc>
        <w:tc>
          <w:tcPr/>
          <w:p>
            <w:pPr>
              <w:pStyle w:val="Compact"/>
            </w:pPr>
            <w:r>
              <w:t xml:space="preserve">PCI-DSS v4.0 Req 6, 11</w:t>
            </w:r>
          </w:p>
        </w:tc>
      </w:tr>
      <w:tr>
        <w:tc>
          <w:tcPr/>
          <w:p>
            <w:pPr>
              <w:pStyle w:val="Compact"/>
            </w:pPr>
            <w:r>
              <w:t xml:space="preserve">10</w:t>
            </w:r>
          </w:p>
        </w:tc>
        <w:tc>
          <w:tcPr/>
          <w:p>
            <w:pPr>
              <w:pStyle w:val="Compact"/>
            </w:pPr>
            <w:r>
              <w:t xml:space="preserve">3-D Secure (EMV 3DS 2.x) authentication &amp; fraud rules</w:t>
            </w:r>
          </w:p>
        </w:tc>
        <w:tc>
          <w:tcPr/>
          <w:p>
            <w:pPr>
              <w:pStyle w:val="Compact"/>
            </w:pPr>
            <w:r>
              <w:t xml:space="preserve">Security/Ops</w:t>
            </w:r>
          </w:p>
        </w:tc>
        <w:tc>
          <w:tcPr/>
          <w:p>
            <w:pPr>
              <w:pStyle w:val="Compact"/>
            </w:pPr>
            <w:r>
              <w:t xml:space="preserve">High</w:t>
            </w:r>
          </w:p>
        </w:tc>
        <w:tc>
          <w:tcPr/>
          <w:p>
            <w:pPr>
              <w:pStyle w:val="Compact"/>
            </w:pPr>
            <w:r>
              <w:t xml:space="preserve">Q4</w:t>
            </w:r>
          </w:p>
        </w:tc>
        <w:tc>
          <w:tcPr/>
          <w:p>
            <w:pPr>
              <w:pStyle w:val="Compact"/>
            </w:pPr>
            <w:r>
              <w:t xml:space="preserve">EMV 3DS</w:t>
            </w:r>
          </w:p>
        </w:tc>
      </w:tr>
      <w:tr>
        <w:tc>
          <w:tcPr/>
          <w:p>
            <w:pPr>
              <w:pStyle w:val="Compact"/>
            </w:pPr>
            <w:r>
              <w:t xml:space="preserve">11</w:t>
            </w:r>
          </w:p>
        </w:tc>
        <w:tc>
          <w:tcPr/>
          <w:p>
            <w:pPr>
              <w:pStyle w:val="Compact"/>
            </w:pPr>
            <w:r>
              <w:t xml:space="preserve">KYC/CDD, merchant onboarding, beneficial ownership</w:t>
            </w:r>
          </w:p>
        </w:tc>
        <w:tc>
          <w:tcPr/>
          <w:p>
            <w:pPr>
              <w:pStyle w:val="Compact"/>
            </w:pPr>
            <w:r>
              <w:t xml:space="preserve">AML</w:t>
            </w:r>
          </w:p>
        </w:tc>
        <w:tc>
          <w:tcPr/>
          <w:p>
            <w:pPr>
              <w:pStyle w:val="Compact"/>
            </w:pPr>
            <w:r>
              <w:t xml:space="preserve">Critical</w:t>
            </w:r>
          </w:p>
        </w:tc>
        <w:tc>
          <w:tcPr/>
          <w:p>
            <w:pPr>
              <w:pStyle w:val="Compact"/>
            </w:pPr>
            <w:r>
              <w:t xml:space="preserve">Q1</w:t>
            </w:r>
          </w:p>
        </w:tc>
        <w:tc>
          <w:tcPr/>
          <w:p>
            <w:pPr>
              <w:pStyle w:val="Compact"/>
            </w:pPr>
            <w:r>
              <w:t xml:space="preserve">AMLO Act</w:t>
            </w:r>
          </w:p>
        </w:tc>
      </w:tr>
      <w:tr>
        <w:tc>
          <w:tcPr/>
          <w:p>
            <w:pPr>
              <w:pStyle w:val="Compact"/>
            </w:pPr>
            <w:r>
              <w:t xml:space="preserve">12</w:t>
            </w:r>
          </w:p>
        </w:tc>
        <w:tc>
          <w:tcPr/>
          <w:p>
            <w:pPr>
              <w:pStyle w:val="Compact"/>
            </w:pPr>
            <w:r>
              <w:t xml:space="preserve">Sanction/PEP screening &amp; name-matching</w:t>
            </w:r>
          </w:p>
        </w:tc>
        <w:tc>
          <w:tcPr/>
          <w:p>
            <w:pPr>
              <w:pStyle w:val="Compact"/>
            </w:pPr>
            <w:r>
              <w:t xml:space="preserve">AML</w:t>
            </w:r>
          </w:p>
        </w:tc>
        <w:tc>
          <w:tcPr/>
          <w:p>
            <w:pPr>
              <w:pStyle w:val="Compact"/>
            </w:pPr>
            <w:r>
              <w:t xml:space="preserve">Critical</w:t>
            </w:r>
          </w:p>
        </w:tc>
        <w:tc>
          <w:tcPr/>
          <w:p>
            <w:pPr>
              <w:pStyle w:val="Compact"/>
            </w:pPr>
            <w:r>
              <w:t xml:space="preserve">Q2</w:t>
            </w:r>
          </w:p>
        </w:tc>
        <w:tc>
          <w:tcPr/>
          <w:p>
            <w:pPr>
              <w:pStyle w:val="Compact"/>
            </w:pPr>
            <w:r>
              <w:t xml:space="preserve">AMLO, UN/OFAC lists</w:t>
            </w:r>
          </w:p>
        </w:tc>
      </w:tr>
      <w:tr>
        <w:tc>
          <w:tcPr/>
          <w:p>
            <w:pPr>
              <w:pStyle w:val="Compact"/>
            </w:pPr>
            <w:r>
              <w:t xml:space="preserve">13</w:t>
            </w:r>
          </w:p>
        </w:tc>
        <w:tc>
          <w:tcPr/>
          <w:p>
            <w:pPr>
              <w:pStyle w:val="Compact"/>
            </w:pPr>
            <w:r>
              <w:t xml:space="preserve">Transaction monitoring &amp; STR/CTR reporting</w:t>
            </w:r>
          </w:p>
        </w:tc>
        <w:tc>
          <w:tcPr/>
          <w:p>
            <w:pPr>
              <w:pStyle w:val="Compact"/>
            </w:pPr>
            <w:r>
              <w:t xml:space="preserve">AML</w:t>
            </w:r>
          </w:p>
        </w:tc>
        <w:tc>
          <w:tcPr/>
          <w:p>
            <w:pPr>
              <w:pStyle w:val="Compact"/>
            </w:pPr>
            <w:r>
              <w:t xml:space="preserve">High</w:t>
            </w:r>
          </w:p>
        </w:tc>
        <w:tc>
          <w:tcPr/>
          <w:p>
            <w:pPr>
              <w:pStyle w:val="Compact"/>
            </w:pPr>
            <w:r>
              <w:t xml:space="preserve">Q3</w:t>
            </w:r>
          </w:p>
        </w:tc>
        <w:tc>
          <w:tcPr/>
          <w:p>
            <w:pPr>
              <w:pStyle w:val="Compact"/>
            </w:pPr>
            <w:r>
              <w:t xml:space="preserve">AMLO (report within 7 days)</w:t>
            </w:r>
          </w:p>
        </w:tc>
      </w:tr>
      <w:tr>
        <w:tc>
          <w:tcPr/>
          <w:p>
            <w:pPr>
              <w:pStyle w:val="Compact"/>
            </w:pPr>
            <w:r>
              <w:t xml:space="preserve">14</w:t>
            </w:r>
          </w:p>
        </w:tc>
        <w:tc>
          <w:tcPr/>
          <w:p>
            <w:pPr>
              <w:pStyle w:val="Compact"/>
            </w:pPr>
            <w:r>
              <w:t xml:space="preserve">PDPA — data-subject rights, consent, retention, cross-border</w:t>
            </w:r>
          </w:p>
        </w:tc>
        <w:tc>
          <w:tcPr/>
          <w:p>
            <w:pPr>
              <w:pStyle w:val="Compact"/>
            </w:pPr>
            <w:r>
              <w:t xml:space="preserve">Privacy</w:t>
            </w:r>
          </w:p>
        </w:tc>
        <w:tc>
          <w:tcPr/>
          <w:p>
            <w:pPr>
              <w:pStyle w:val="Compact"/>
            </w:pPr>
            <w:r>
              <w:t xml:space="preserve">High</w:t>
            </w:r>
          </w:p>
        </w:tc>
        <w:tc>
          <w:tcPr/>
          <w:p>
            <w:pPr>
              <w:pStyle w:val="Compact"/>
            </w:pPr>
            <w:r>
              <w:t xml:space="preserve">Q4</w:t>
            </w:r>
          </w:p>
        </w:tc>
        <w:tc>
          <w:tcPr/>
          <w:p>
            <w:pPr>
              <w:pStyle w:val="Compact"/>
            </w:pPr>
            <w:r>
              <w:t xml:space="preserve">PDPA / PDPC</w:t>
            </w:r>
          </w:p>
        </w:tc>
      </w:tr>
      <w:tr>
        <w:tc>
          <w:tcPr/>
          <w:p>
            <w:pPr>
              <w:pStyle w:val="Compact"/>
            </w:pPr>
            <w:r>
              <w:t xml:space="preserve">15</w:t>
            </w:r>
          </w:p>
        </w:tc>
        <w:tc>
          <w:tcPr/>
          <w:p>
            <w:pPr>
              <w:pStyle w:val="Compact"/>
            </w:pPr>
            <w:r>
              <w:t xml:space="preserve">Business continuity (BCP) &amp; DR drill (RPO ≤ 5m, RTO ≤ 30m)</w:t>
            </w:r>
          </w:p>
        </w:tc>
        <w:tc>
          <w:tcPr/>
          <w:p>
            <w:pPr>
              <w:pStyle w:val="Compact"/>
            </w:pPr>
            <w:r>
              <w:t xml:space="preserve">Resilience</w:t>
            </w:r>
          </w:p>
        </w:tc>
        <w:tc>
          <w:tcPr/>
          <w:p>
            <w:pPr>
              <w:pStyle w:val="Compact"/>
            </w:pPr>
            <w:r>
              <w:t xml:space="preserve">High</w:t>
            </w:r>
          </w:p>
        </w:tc>
        <w:tc>
          <w:tcPr/>
          <w:p>
            <w:pPr>
              <w:pStyle w:val="Compact"/>
            </w:pPr>
            <w:r>
              <w:t xml:space="preserve">Q4</w:t>
            </w:r>
          </w:p>
        </w:tc>
        <w:tc>
          <w:tcPr/>
          <w:p>
            <w:pPr>
              <w:pStyle w:val="Compact"/>
            </w:pPr>
            <w:r>
              <w:t xml:space="preserve">BOT BCP, Architecture §8</w:t>
            </w:r>
          </w:p>
        </w:tc>
      </w:tr>
      <w:tr>
        <w:tc>
          <w:tcPr/>
          <w:p>
            <w:pPr>
              <w:pStyle w:val="Compact"/>
            </w:pPr>
            <w:r>
              <w:t xml:space="preserve">16</w:t>
            </w:r>
          </w:p>
        </w:tc>
        <w:tc>
          <w:tcPr/>
          <w:p>
            <w:pPr>
              <w:pStyle w:val="Compact"/>
            </w:pPr>
            <w:r>
              <w:t xml:space="preserve">Outsourcing / critical-vendor governance (cloud, QSA, HSM)</w:t>
            </w:r>
          </w:p>
        </w:tc>
        <w:tc>
          <w:tcPr/>
          <w:p>
            <w:pPr>
              <w:pStyle w:val="Compact"/>
            </w:pPr>
            <w:r>
              <w:t xml:space="preserve">Governance</w:t>
            </w:r>
          </w:p>
        </w:tc>
        <w:tc>
          <w:tcPr/>
          <w:p>
            <w:pPr>
              <w:pStyle w:val="Compact"/>
            </w:pPr>
            <w:r>
              <w:t xml:space="preserve">Medium</w:t>
            </w:r>
          </w:p>
        </w:tc>
        <w:tc>
          <w:tcPr/>
          <w:p>
            <w:pPr>
              <w:pStyle w:val="Compact"/>
            </w:pPr>
            <w:r>
              <w:t xml:space="preserve">Q3</w:t>
            </w:r>
          </w:p>
        </w:tc>
        <w:tc>
          <w:tcPr/>
          <w:p>
            <w:pPr>
              <w:pStyle w:val="Compact"/>
            </w:pPr>
            <w:r>
              <w:t xml:space="preserve">BOT outsourcing</w:t>
            </w:r>
          </w:p>
        </w:tc>
      </w:tr>
      <w:tr>
        <w:tc>
          <w:tcPr/>
          <w:p>
            <w:pPr>
              <w:pStyle w:val="Compact"/>
            </w:pPr>
            <w:r>
              <w:t xml:space="preserve">17</w:t>
            </w:r>
          </w:p>
        </w:tc>
        <w:tc>
          <w:tcPr/>
          <w:p>
            <w:pPr>
              <w:pStyle w:val="Compact"/>
            </w:pPr>
            <w:r>
              <w:t xml:space="preserve">Follow-up on open findings (remediation)</w:t>
            </w:r>
          </w:p>
        </w:tc>
        <w:tc>
          <w:tcPr/>
          <w:p>
            <w:pPr>
              <w:pStyle w:val="Compact"/>
            </w:pPr>
            <w:r>
              <w:t xml:space="preserve">All domains</w:t>
            </w:r>
          </w:p>
        </w:tc>
        <w:tc>
          <w:tcPr/>
          <w:p>
            <w:pPr>
              <w:pStyle w:val="Compact"/>
            </w:pPr>
            <w:r>
              <w:t xml:space="preserve">High</w:t>
            </w:r>
          </w:p>
        </w:tc>
        <w:tc>
          <w:tcPr/>
          <w:p>
            <w:pPr>
              <w:pStyle w:val="Compact"/>
            </w:pPr>
            <w:r>
              <w:t xml:space="preserve">Every quarter</w:t>
            </w:r>
          </w:p>
        </w:tc>
        <w:tc>
          <w:tcPr/>
          <w:p>
            <w:pPr>
              <w:pStyle w:val="Compact"/>
            </w:pPr>
            <w:r>
              <w:t xml:space="preserve">§8</w:t>
            </w:r>
          </w:p>
        </w:tc>
      </w:tr>
    </w:tbl>
    <w:p>
      <w:pPr>
        <w:pStyle w:val="BlockText"/>
      </w:pPr>
      <w:r>
        <w:rPr>
          <w:b/>
          <w:bCs/>
        </w:rPr>
        <w:t xml:space="preserve">Note:</w:t>
      </w:r>
      <w:r>
        <w:t xml:space="preserve"> </w:t>
      </w:r>
      <w:r>
        <w:t xml:space="preserve">Audit-day budgets and resource allocation will be confirmed once TODO A5 (co-source firm) and A3 (QSA assessment dates) are closed, to align with the annual RoC cycle.</w:t>
      </w:r>
    </w:p>
    <w:bookmarkEnd w:id="1126"/>
    <w:bookmarkStart w:id="1127" w:name="in-year-plan-changes"/>
    <w:p>
      <w:pPr>
        <w:pStyle w:val="Heading3"/>
      </w:pPr>
      <w:r>
        <w:t xml:space="preserve">6.3 In-year plan changes</w:t>
      </w:r>
    </w:p>
    <w:p>
      <w:pPr>
        <w:pStyle w:val="FirstParagraph"/>
      </w:pPr>
      <w:r>
        <w:t xml:space="preserve">The CAE may propose dynamic/agile plan changes for events such as a major system go-live, a significant incident, a change of sponsor bank, or a BOT directive — subject to Audit Committee approval.</w:t>
      </w:r>
    </w:p>
    <w:p>
      <w:r>
        <w:pict>
          <v:rect style="width:0;height:1.5pt" o:hralign="center" o:hrstd="t" o:hr="t"/>
        </w:pict>
      </w:r>
    </w:p>
    <w:bookmarkEnd w:id="1127"/>
    <w:bookmarkEnd w:id="1128"/>
    <w:bookmarkStart w:id="1129" w:name="audit-lifecycle"/>
    <w:p>
      <w:pPr>
        <w:pStyle w:val="Heading2"/>
      </w:pPr>
      <w:r>
        <w:t xml:space="preserve">7. Audit Lifecycle</w:t>
      </w:r>
    </w:p>
    <w:tbl>
      <w:tblPr>
        <w:tblStyle w:val="Table"/>
        <w:tblW w:type="pct" w:w="5000"/>
        <w:tblLayout w:type="fixed"/>
        <w:tblLook w:firstRow="1" w:lastRow="0" w:firstColumn="0" w:lastColumn="0" w:noHBand="0" w:noVBand="0" w:val="0020"/>
      </w:tblPr>
      <w:tblGrid>
        <w:gridCol w:w="2520"/>
        <w:gridCol w:w="3600"/>
        <w:gridCol w:w="1800"/>
      </w:tblGrid>
      <w:tr>
        <w:trPr>
          <w:tblHeader w:val="on"/>
        </w:trPr>
        <w:tc>
          <w:tcPr/>
          <w:p>
            <w:pPr>
              <w:pStyle w:val="Compact"/>
            </w:pPr>
            <w:r>
              <w:t xml:space="preserve">Stage</w:t>
            </w:r>
          </w:p>
        </w:tc>
        <w:tc>
          <w:tcPr/>
          <w:p>
            <w:pPr>
              <w:pStyle w:val="Compact"/>
            </w:pPr>
            <w:r>
              <w:t xml:space="preserve">Activity</w:t>
            </w:r>
          </w:p>
        </w:tc>
        <w:tc>
          <w:tcPr/>
          <w:p>
            <w:pPr>
              <w:pStyle w:val="Compact"/>
            </w:pPr>
            <w:r>
              <w:t xml:space="preserve">SLA</w:t>
            </w:r>
          </w:p>
        </w:tc>
      </w:tr>
      <w:tr>
        <w:tc>
          <w:tcPr/>
          <w:p>
            <w:pPr>
              <w:pStyle w:val="Compact"/>
            </w:pPr>
            <w:r>
              <w:t xml:space="preserve">1. Planning</w:t>
            </w:r>
          </w:p>
        </w:tc>
        <w:tc>
          <w:tcPr/>
          <w:p>
            <w:pPr>
              <w:pStyle w:val="Compact"/>
            </w:pPr>
            <w:r>
              <w:t xml:space="preserve">Engagement notice, scope &amp; objectives, risk &amp; control matrix</w:t>
            </w:r>
          </w:p>
        </w:tc>
        <w:tc>
          <w:tcPr/>
          <w:p>
            <w:pPr>
              <w:pStyle w:val="Compact"/>
            </w:pPr>
            <w:r>
              <w:t xml:space="preserve">≥ 10 business days ahead</w:t>
            </w:r>
          </w:p>
        </w:tc>
      </w:tr>
      <w:tr>
        <w:tc>
          <w:tcPr/>
          <w:p>
            <w:pPr>
              <w:pStyle w:val="Compact"/>
            </w:pPr>
            <w:r>
              <w:t xml:space="preserve">2. Fieldwork</w:t>
            </w:r>
          </w:p>
        </w:tc>
        <w:tc>
          <w:tcPr/>
          <w:p>
            <w:pPr>
              <w:pStyle w:val="Compact"/>
            </w:pPr>
            <w:r>
              <w:t xml:space="preserve">Control testing, walkthroughs, sampling, interviews, workpapers</w:t>
            </w:r>
          </w:p>
        </w:tc>
        <w:tc>
          <w:tcPr/>
          <w:p>
            <w:pPr>
              <w:pStyle w:val="Compact"/>
            </w:pPr>
            <w:r>
              <w:t xml:space="preserve">Per engagement plan</w:t>
            </w:r>
          </w:p>
        </w:tc>
      </w:tr>
      <w:tr>
        <w:tc>
          <w:tcPr/>
          <w:p>
            <w:pPr>
              <w:pStyle w:val="Compact"/>
            </w:pPr>
            <w:r>
              <w:t xml:space="preserve">3. Reporting</w:t>
            </w:r>
          </w:p>
        </w:tc>
        <w:tc>
          <w:tcPr/>
          <w:p>
            <w:pPr>
              <w:pStyle w:val="Compact"/>
            </w:pPr>
            <w:r>
              <w:t xml:space="preserve">Draft report → management response → final report</w:t>
            </w:r>
          </w:p>
        </w:tc>
        <w:tc>
          <w:tcPr/>
          <w:p>
            <w:pPr>
              <w:pStyle w:val="Compact"/>
            </w:pPr>
            <w:r>
              <w:t xml:space="preserve">Draft within 10 business days of fieldwork close</w:t>
            </w:r>
          </w:p>
        </w:tc>
      </w:tr>
      <w:tr>
        <w:tc>
          <w:tcPr/>
          <w:p>
            <w:pPr>
              <w:pStyle w:val="Compact"/>
            </w:pPr>
            <w:r>
              <w:t xml:space="preserve">4. Follow-up</w:t>
            </w:r>
          </w:p>
        </w:tc>
        <w:tc>
          <w:tcPr/>
          <w:p>
            <w:pPr>
              <w:pStyle w:val="Compact"/>
            </w:pPr>
            <w:r>
              <w:t xml:space="preserve">Track remediation to closure</w:t>
            </w:r>
          </w:p>
        </w:tc>
        <w:tc>
          <w:tcPr/>
          <w:p>
            <w:pPr>
              <w:pStyle w:val="Compact"/>
            </w:pPr>
            <w:r>
              <w:t xml:space="preserve">Per each finding’s due date</w:t>
            </w:r>
          </w:p>
        </w:tc>
      </w:tr>
    </w:tbl>
    <w:p>
      <w:pPr>
        <w:pStyle w:val="BodyText"/>
      </w:pPr>
      <w:r>
        <w:t xml:space="preserve">Workpapers and reports are confidential and retained for</w:t>
      </w:r>
      <w:r>
        <w:t xml:space="preserve"> </w:t>
      </w:r>
      <w:r>
        <w:rPr>
          <w:b/>
          <w:bCs/>
        </w:rPr>
        <w:t xml:space="preserve">at least 5 years</w:t>
      </w:r>
      <w:r>
        <w:t xml:space="preserve"> </w:t>
      </w:r>
      <w:r>
        <w:t xml:space="preserve">(consistent with BOT/AMLO record-keeping expectations).</w:t>
      </w:r>
    </w:p>
    <w:p>
      <w:r>
        <w:pict>
          <v:rect style="width:0;height:1.5pt" o:hralign="center" o:hrstd="t" o:hr="t"/>
        </w:pict>
      </w:r>
    </w:p>
    <w:bookmarkEnd w:id="1129"/>
    <w:bookmarkStart w:id="1132" w:name="finding-rating-tracking"/>
    <w:p>
      <w:pPr>
        <w:pStyle w:val="Heading2"/>
      </w:pPr>
      <w:r>
        <w:t xml:space="preserve">8. Finding Rating &amp; Tracking</w:t>
      </w:r>
    </w:p>
    <w:bookmarkStart w:id="1130" w:name="rating-criteria"/>
    <w:p>
      <w:pPr>
        <w:pStyle w:val="Heading3"/>
      </w:pPr>
      <w:r>
        <w:t xml:space="preserve">8.1 Rating criteria</w:t>
      </w:r>
    </w:p>
    <w:tbl>
      <w:tblPr>
        <w:tblStyle w:val="Table"/>
        <w:tblW w:type="pct" w:w="5000"/>
        <w:tblLayout w:type="fixed"/>
        <w:tblLook w:firstRow="1" w:lastRow="0" w:firstColumn="0" w:lastColumn="0" w:noHBand="0" w:noVBand="0" w:val="0020"/>
      </w:tblPr>
      <w:tblGrid>
        <w:gridCol w:w="1111"/>
        <w:gridCol w:w="1528"/>
        <w:gridCol w:w="2778"/>
        <w:gridCol w:w="2501"/>
      </w:tblGrid>
      <w:tr>
        <w:trPr>
          <w:tblHeader w:val="on"/>
        </w:trPr>
        <w:tc>
          <w:tcPr/>
          <w:p>
            <w:pPr>
              <w:pStyle w:val="Compact"/>
            </w:pPr>
            <w:r>
              <w:t xml:space="preserve">Rating</w:t>
            </w:r>
          </w:p>
        </w:tc>
        <w:tc>
          <w:tcPr/>
          <w:p>
            <w:pPr>
              <w:pStyle w:val="Compact"/>
            </w:pPr>
            <w:r>
              <w:t xml:space="preserve">Definition</w:t>
            </w:r>
          </w:p>
        </w:tc>
        <w:tc>
          <w:tcPr/>
          <w:p>
            <w:pPr>
              <w:pStyle w:val="Compact"/>
            </w:pPr>
            <w:r>
              <w:t xml:space="preserve">Target remediation</w:t>
            </w:r>
          </w:p>
        </w:tc>
        <w:tc>
          <w:tcPr/>
          <w:p>
            <w:pPr>
              <w:pStyle w:val="Compact"/>
            </w:pPr>
            <w:r>
              <w:t xml:space="preserve">Closure approver</w:t>
            </w:r>
          </w:p>
        </w:tc>
      </w:tr>
      <w:tr>
        <w:tc>
          <w:tcPr/>
          <w:p>
            <w:pPr>
              <w:pStyle w:val="Compact"/>
            </w:pPr>
            <w:r>
              <w:rPr>
                <w:b/>
                <w:bCs/>
              </w:rPr>
              <w:t xml:space="preserve">Critical</w:t>
            </w:r>
          </w:p>
        </w:tc>
        <w:tc>
          <w:tcPr/>
          <w:p>
            <w:pPr>
              <w:pStyle w:val="Compact"/>
            </w:pPr>
            <w:r>
              <w:t xml:space="preserve">Significant risk of financial loss / CHD breach / BOT-AMLO breach</w:t>
            </w:r>
          </w:p>
        </w:tc>
        <w:tc>
          <w:tcPr/>
          <w:p>
            <w:pPr>
              <w:pStyle w:val="Compact"/>
            </w:pPr>
            <w:r>
              <w:t xml:space="preserve">≤ 30 days</w:t>
            </w:r>
          </w:p>
        </w:tc>
        <w:tc>
          <w:tcPr/>
          <w:p>
            <w:pPr>
              <w:pStyle w:val="Compact"/>
            </w:pPr>
            <w:r>
              <w:t xml:space="preserve">Audit Committee</w:t>
            </w:r>
          </w:p>
        </w:tc>
      </w:tr>
      <w:tr>
        <w:tc>
          <w:tcPr/>
          <w:p>
            <w:pPr>
              <w:pStyle w:val="Compact"/>
            </w:pPr>
            <w:r>
              <w:rPr>
                <w:b/>
                <w:bCs/>
              </w:rPr>
              <w:t xml:space="preserve">High</w:t>
            </w:r>
          </w:p>
        </w:tc>
        <w:tc>
          <w:tcPr/>
          <w:p>
            <w:pPr>
              <w:pStyle w:val="Compact"/>
            </w:pPr>
            <w:r>
              <w:t xml:space="preserve">Control failure that could cause severe impact</w:t>
            </w:r>
          </w:p>
        </w:tc>
        <w:tc>
          <w:tcPr/>
          <w:p>
            <w:pPr>
              <w:pStyle w:val="Compact"/>
            </w:pPr>
            <w:r>
              <w:t xml:space="preserve">≤ 60 days</w:t>
            </w:r>
          </w:p>
        </w:tc>
        <w:tc>
          <w:tcPr/>
          <w:p>
            <w:pPr>
              <w:pStyle w:val="Compact"/>
            </w:pPr>
            <w:r>
              <w:t xml:space="preserve">CAE</w:t>
            </w:r>
          </w:p>
        </w:tc>
      </w:tr>
      <w:tr>
        <w:tc>
          <w:tcPr/>
          <w:p>
            <w:pPr>
              <w:pStyle w:val="Compact"/>
            </w:pPr>
            <w:r>
              <w:rPr>
                <w:b/>
                <w:bCs/>
              </w:rPr>
              <w:t xml:space="preserve">Medium</w:t>
            </w:r>
          </w:p>
        </w:tc>
        <w:tc>
          <w:tcPr/>
          <w:p>
            <w:pPr>
              <w:pStyle w:val="Compact"/>
            </w:pPr>
            <w:r>
              <w:t xml:space="preserve">Control weakness that should be remediated</w:t>
            </w:r>
          </w:p>
        </w:tc>
        <w:tc>
          <w:tcPr/>
          <w:p>
            <w:pPr>
              <w:pStyle w:val="Compact"/>
            </w:pPr>
            <w:r>
              <w:t xml:space="preserve">≤ 90 days</w:t>
            </w:r>
          </w:p>
        </w:tc>
        <w:tc>
          <w:tcPr/>
          <w:p>
            <w:pPr>
              <w:pStyle w:val="Compact"/>
            </w:pPr>
            <w:r>
              <w:t xml:space="preserve">CAE</w:t>
            </w:r>
          </w:p>
        </w:tc>
      </w:tr>
      <w:tr>
        <w:tc>
          <w:tcPr/>
          <w:p>
            <w:pPr>
              <w:pStyle w:val="Compact"/>
            </w:pPr>
            <w:r>
              <w:rPr>
                <w:b/>
                <w:bCs/>
              </w:rPr>
              <w:t xml:space="preserve">Low</w:t>
            </w:r>
          </w:p>
        </w:tc>
        <w:tc>
          <w:tcPr/>
          <w:p>
            <w:pPr>
              <w:pStyle w:val="Compact"/>
            </w:pPr>
            <w:r>
              <w:t xml:space="preserve">Efficiency-improvement opportunity</w:t>
            </w:r>
          </w:p>
        </w:tc>
        <w:tc>
          <w:tcPr/>
          <w:p>
            <w:pPr>
              <w:pStyle w:val="Compact"/>
            </w:pPr>
            <w:r>
              <w:t xml:space="preserve">≤ 180 days</w:t>
            </w:r>
          </w:p>
        </w:tc>
        <w:tc>
          <w:tcPr/>
          <w:p>
            <w:pPr>
              <w:pStyle w:val="Compact"/>
            </w:pPr>
            <w:r>
              <w:t xml:space="preserve">Senior IA lead</w:t>
            </w:r>
          </w:p>
        </w:tc>
      </w:tr>
    </w:tbl>
    <w:bookmarkEnd w:id="1130"/>
    <w:bookmarkStart w:id="1131" w:name="finding-register"/>
    <w:p>
      <w:pPr>
        <w:pStyle w:val="Heading3"/>
      </w:pPr>
      <w:r>
        <w:t xml:space="preserve">8.2 Finding register</w:t>
      </w:r>
    </w:p>
    <w:p>
      <w:pPr>
        <w:pStyle w:val="FirstParagraph"/>
      </w:pPr>
      <w:r>
        <w:t xml:space="preserve">Every finding is logged in a central issue-tracking register with:</w:t>
      </w:r>
      <w:r>
        <w:t xml:space="preserve"> </w:t>
      </w:r>
      <w:r>
        <w:rPr>
          <w:rStyle w:val="VerbatimChar"/>
        </w:rPr>
        <w:t xml:space="preserve">finding_id</w:t>
      </w:r>
      <w:r>
        <w:t xml:space="preserve">, domain, severity, description, root cause, action plan, owner, due date, status (Open / In-Progress / Overdue / Closed-Verified), and closure evidence.</w:t>
      </w:r>
    </w:p>
    <w:p>
      <w:pPr>
        <w:pStyle w:val="Compact"/>
        <w:numPr>
          <w:ilvl w:val="0"/>
          <w:numId w:val="1404"/>
        </w:numPr>
      </w:pPr>
      <w:r>
        <w:t xml:space="preserve">IA</w:t>
      </w:r>
      <w:r>
        <w:t xml:space="preserve"> </w:t>
      </w:r>
      <w:r>
        <w:rPr>
          <w:b/>
          <w:bCs/>
        </w:rPr>
        <w:t xml:space="preserve">validates</w:t>
      </w:r>
      <w:r>
        <w:t xml:space="preserve"> </w:t>
      </w:r>
      <w:r>
        <w:t xml:space="preserve">closure with evidence — owners cannot self-close.</w:t>
      </w:r>
    </w:p>
    <w:p>
      <w:pPr>
        <w:pStyle w:val="Compact"/>
        <w:numPr>
          <w:ilvl w:val="0"/>
          <w:numId w:val="1404"/>
        </w:numPr>
      </w:pPr>
      <w:r>
        <w:t xml:space="preserve">All</w:t>
      </w:r>
      <w:r>
        <w:t xml:space="preserve"> </w:t>
      </w:r>
      <w:r>
        <w:rPr>
          <w:b/>
          <w:bCs/>
        </w:rPr>
        <w:t xml:space="preserve">Overdue</w:t>
      </w:r>
      <w:r>
        <w:t xml:space="preserve"> </w:t>
      </w:r>
      <w:r>
        <w:t xml:space="preserve">items and all Critical/High findings are reported to the Audit Committee quarterly.</w:t>
      </w:r>
    </w:p>
    <w:p>
      <w:pPr>
        <w:pStyle w:val="Compact"/>
        <w:numPr>
          <w:ilvl w:val="0"/>
          <w:numId w:val="1404"/>
        </w:numPr>
      </w:pPr>
      <w:r>
        <w:t xml:space="preserve">Critical findings overdue &gt; 30 days escalate to the Board.</w:t>
      </w:r>
    </w:p>
    <w:p>
      <w:r>
        <w:pict>
          <v:rect style="width:0;height:1.5pt" o:hralign="center" o:hrstd="t" o:hr="t"/>
        </w:pict>
      </w:r>
    </w:p>
    <w:bookmarkEnd w:id="1131"/>
    <w:bookmarkEnd w:id="1132"/>
    <w:bookmarkStart w:id="1133" w:name="reporting"/>
    <w:p>
      <w:pPr>
        <w:pStyle w:val="Heading2"/>
      </w:pPr>
      <w:r>
        <w:t xml:space="preserve">9. Reporting</w:t>
      </w:r>
    </w:p>
    <w:p>
      <w:pPr>
        <w:pStyle w:val="Compact"/>
        <w:numPr>
          <w:ilvl w:val="0"/>
          <w:numId w:val="1405"/>
        </w:numPr>
      </w:pPr>
      <w:r>
        <w:rPr>
          <w:b/>
          <w:bCs/>
        </w:rPr>
        <w:t xml:space="preserve">Quarterly:</w:t>
      </w:r>
      <w:r>
        <w:t xml:space="preserve"> </w:t>
      </w:r>
      <w:r>
        <w:t xml:space="preserve">audit results, plan status, open/overdue findings, KPIs → Audit Committee.</w:t>
      </w:r>
    </w:p>
    <w:p>
      <w:pPr>
        <w:pStyle w:val="Compact"/>
        <w:numPr>
          <w:ilvl w:val="0"/>
          <w:numId w:val="1405"/>
        </w:numPr>
      </w:pPr>
      <w:r>
        <w:rPr>
          <w:b/>
          <w:bCs/>
        </w:rPr>
        <w:t xml:space="preserve">Annual:</w:t>
      </w:r>
      <w:r>
        <w:t xml:space="preserve"> </w:t>
      </w:r>
      <w:r>
        <w:t xml:space="preserve">overall opinion on internal-control adequacy + independence confirmation.</w:t>
      </w:r>
    </w:p>
    <w:p>
      <w:pPr>
        <w:pStyle w:val="Compact"/>
        <w:numPr>
          <w:ilvl w:val="0"/>
          <w:numId w:val="1405"/>
        </w:numPr>
      </w:pPr>
      <w:r>
        <w:rPr>
          <w:b/>
          <w:bCs/>
        </w:rPr>
        <w:t xml:space="preserve">Ad-hoc / immediate:</w:t>
      </w:r>
      <w:r>
        <w:t xml:space="preserve"> </w:t>
      </w:r>
      <w:r>
        <w:t xml:space="preserve">significant events — data breach, suspected money laundering (STR), fraud, serious PCI non-compliance.</w:t>
      </w:r>
    </w:p>
    <w:p>
      <w:r>
        <w:pict>
          <v:rect style="width:0;height:1.5pt" o:hralign="center" o:hrstd="t" o:hr="t"/>
        </w:pict>
      </w:r>
    </w:p>
    <w:bookmarkEnd w:id="1133"/>
    <w:bookmarkStart w:id="1134" w:name="kpis-qaip"/>
    <w:p>
      <w:pPr>
        <w:pStyle w:val="Heading2"/>
      </w:pPr>
      <w:r>
        <w:t xml:space="preserve">10. KPIs / QAIP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Plan completion</w:t>
            </w:r>
          </w:p>
        </w:tc>
        <w:tc>
          <w:tcPr/>
          <w:p>
            <w:pPr>
              <w:pStyle w:val="Compact"/>
            </w:pPr>
            <w:r>
              <w:t xml:space="preserve">≥ 90% of approved plan</w:t>
            </w:r>
          </w:p>
        </w:tc>
      </w:tr>
      <w:tr>
        <w:tc>
          <w:tcPr/>
          <w:p>
            <w:pPr>
              <w:pStyle w:val="Compact"/>
            </w:pPr>
            <w:r>
              <w:t xml:space="preserve">Critical/High findings closed on time</w:t>
            </w:r>
          </w:p>
        </w:tc>
        <w:tc>
          <w:tcPr/>
          <w:p>
            <w:pPr>
              <w:pStyle w:val="Compact"/>
            </w:pPr>
            <w:r>
              <w:t xml:space="preserve">≥ 95%</w:t>
            </w:r>
          </w:p>
        </w:tc>
      </w:tr>
      <w:tr>
        <w:tc>
          <w:tcPr/>
          <w:p>
            <w:pPr>
              <w:pStyle w:val="Compact"/>
            </w:pPr>
            <w:r>
              <w:t xml:space="preserve">Overdue findings</w:t>
            </w:r>
          </w:p>
        </w:tc>
        <w:tc>
          <w:tcPr/>
          <w:p>
            <w:pPr>
              <w:pStyle w:val="Compact"/>
            </w:pPr>
            <w:r>
              <w:t xml:space="preserve">≤ 5% of total</w:t>
            </w:r>
          </w:p>
        </w:tc>
      </w:tr>
      <w:tr>
        <w:tc>
          <w:tcPr/>
          <w:p>
            <w:pPr>
              <w:pStyle w:val="Compact"/>
            </w:pPr>
            <w:r>
              <w:t xml:space="preserve">External Quality Assessment</w:t>
            </w:r>
          </w:p>
        </w:tc>
        <w:tc>
          <w:tcPr/>
          <w:p>
            <w:pPr>
              <w:pStyle w:val="Compact"/>
            </w:pPr>
            <w:r>
              <w:t xml:space="preserve">At least every 5 years (IIA)</w:t>
            </w:r>
          </w:p>
        </w:tc>
      </w:tr>
    </w:tbl>
    <w:p>
      <w:pPr>
        <w:pStyle w:val="BodyText"/>
      </w:pPr>
      <w:r>
        <w:t xml:space="preserve">The CAE maintains a</w:t>
      </w:r>
      <w:r>
        <w:t xml:space="preserve"> </w:t>
      </w:r>
      <w:r>
        <w:rPr>
          <w:b/>
          <w:bCs/>
        </w:rPr>
        <w:t xml:space="preserve">Quality Assurance &amp; Improvement Program (QAIP)</w:t>
      </w:r>
      <w:r>
        <w:t xml:space="preserve"> </w:t>
      </w:r>
      <w:r>
        <w:t xml:space="preserve">with annual self-assessment and an external assessment every 5 years.</w:t>
      </w:r>
    </w:p>
    <w:p>
      <w:r>
        <w:pict>
          <v:rect style="width:0;height:1.5pt" o:hralign="center" o:hrstd="t" o:hr="t"/>
        </w:pict>
      </w:r>
    </w:p>
    <w:bookmarkEnd w:id="1134"/>
    <w:bookmarkStart w:id="1135" w:name="charter-review"/>
    <w:p>
      <w:pPr>
        <w:pStyle w:val="Heading2"/>
      </w:pPr>
      <w:r>
        <w:t xml:space="preserve">11. Charter Review</w:t>
      </w:r>
    </w:p>
    <w:p>
      <w:pPr>
        <w:pStyle w:val="FirstParagraph"/>
      </w:pPr>
      <w:r>
        <w:t xml:space="preserve">The Audit Committee reviews and approves this charter</w:t>
      </w:r>
      <w:r>
        <w:t xml:space="preserve"> </w:t>
      </w:r>
      <w:r>
        <w:rPr>
          <w:b/>
          <w:bCs/>
        </w:rPr>
        <w:t xml:space="preserve">at least annually</w:t>
      </w:r>
      <w:r>
        <w:t xml:space="preserve">, or upon significant changes in BOT/AMLO/PDPC regulation or business structure.</w:t>
      </w:r>
    </w:p>
    <w:p>
      <w:r>
        <w:br w:type="page"/>
      </w:r>
    </w:p>
    <w:bookmarkEnd w:id="1135"/>
    <w:bookmarkEnd w:id="1136"/>
    <w:bookmarkStart w:id="1153" w:name="ขอกำหนด-dashboard-ตวชวดความเสยง-kri-ไทย"/>
    <w:p>
      <w:pPr>
        <w:pStyle w:val="Heading1"/>
      </w:pPr>
      <w:r>
        <w:t xml:space="preserve">ข้อกำหนด Dashboard ตัวชี้วัดความเสี่ยง (KRI) (ไทย)</w:t>
      </w:r>
    </w:p>
    <w:p>
      <w:pPr>
        <w:pStyle w:val="BlockText"/>
      </w:pPr>
      <w:r>
        <w:t xml:space="preserve">เอกสารเลขที่</w:t>
      </w:r>
      <w:r>
        <w:t xml:space="preserve"> </w:t>
      </w:r>
      <w:r>
        <w:rPr>
          <w:b/>
          <w:bCs/>
        </w:rPr>
        <w:t xml:space="preserve">32</w:t>
      </w:r>
      <w:r>
        <w:t xml:space="preserve"> </w:t>
      </w:r>
      <w:r>
        <w:t xml:space="preserve">ในชุดเอกสาร Compliance สำหรับการยื่นขอใบอนุญาต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และคู่ขนานกับ</w:t>
      </w:r>
      <w:r>
        <w:t xml:space="preserve"> </w:t>
      </w:r>
      <w:r>
        <w:rPr>
          <w:b/>
          <w:bCs/>
        </w:rPr>
        <w:t xml:space="preserve">PCI-DSS Level 1</w:t>
      </w:r>
    </w:p>
    <w:p>
      <w:pPr>
        <w:pStyle w:val="BlockText"/>
      </w:pPr>
      <w:r>
        <w:rPr>
          <w:b/>
          <w:bCs/>
        </w:rPr>
        <w:t xml:space="preserve">สถานะเอกสาร:</w:t>
      </w:r>
      <w:r>
        <w:t xml:space="preserve"> </w:t>
      </w:r>
      <w:r>
        <w:t xml:space="preserve">ฉบับร่างเพื่อยื่นขออนุมัติ (submission draft) · เวอร์ชัน 0.1 · วันที่ปรับปรุง 2026-07-22</w:t>
      </w:r>
      <w:r>
        <w:t xml:space="preserve"> </w:t>
      </w:r>
      <w:r>
        <w:rPr>
          <w:b/>
          <w:bCs/>
        </w:rPr>
        <w:t xml:space="preserve">เจ้าของเอกสาร:</w:t>
      </w:r>
      <w:r>
        <w:t xml:space="preserve"> </w:t>
      </w:r>
      <w:r>
        <w:t xml:space="preserve">ประธานเจ้าหน้าที่บริหารความเสี่ยง (CRO) ร่วมกับ CISO และ Head of Payment Operations ของ</w:t>
      </w:r>
      <w:r>
        <w:t xml:space="preserve"> </w:t>
      </w:r>
      <w:r>
        <w:rPr>
          <w:b/>
          <w:bCs/>
        </w:rPr>
        <w:t xml:space="preserve">[บริษัท / Company]</w:t>
      </w:r>
      <w:r>
        <w:t xml:space="preserve"> </w:t>
      </w:r>
      <w:r>
        <w:rPr>
          <w:b/>
          <w:bCs/>
        </w:rPr>
        <w:t xml:space="preserve">ผู้ใช้เอกสาร:</w:t>
      </w:r>
      <w:r>
        <w:t xml:space="preserve"> </w:t>
      </w:r>
      <w:r>
        <w:t xml:space="preserve">คณะกรรมการบริหารความเสี่ยง (Risk Committee), คณะทำงาน IT Risk &amp; Security, ทีม Fraud &amp; Risk Operations, MLRO/AMLCO, Internal Audit</w:t>
      </w:r>
    </w:p>
    <w:p>
      <w:pPr>
        <w:pStyle w:val="BlockText"/>
      </w:pPr>
      <w:r>
        <w:t xml:space="preserve">เอกสารนี้เป็นข้อกำหนดเชิงระบบ (specification) และเอกสารประกอบคำขอใบอนุญาต</w:t>
      </w:r>
      <w:r>
        <w:t xml:space="preserve"> </w:t>
      </w:r>
      <w:r>
        <w:rPr>
          <w:b/>
          <w:bCs/>
        </w:rPr>
        <w:t xml:space="preserve">มิใช่คำแนะนำทางกฎหมาย</w:t>
      </w:r>
      <w:r>
        <w:t xml:space="preserve"> </w:t>
      </w:r>
      <w:r>
        <w:t xml:space="preserve">— ต้องผ่านการตรวจทานโดยที่ปรึกษากฎหมาย, CRO, CISO, MLRO และ QSA ก่อนบังคับใช้จริง เนื่องจากประกาศ/หลักเกณฑ์ด้าน IT risk, cyber resilience และการกำกับ acquirer ของ ธปท. อาจปรับปรุงได้</w:t>
      </w:r>
    </w:p>
    <w:p>
      <w:r>
        <w:pict>
          <v:rect style="width:0;height:1.5pt" o:hralign="center" o:hrstd="t" o:hr="t"/>
        </w:pict>
      </w:r>
    </w:p>
    <w:bookmarkStart w:id="1137" w:name="บทสรปสำหรบผบรหาร-executive-summary-4"/>
    <w:p>
      <w:pPr>
        <w:pStyle w:val="Heading2"/>
      </w:pPr>
      <w:r>
        <w:t xml:space="preserve">บทสรุปสำหรับผู้บริหาร (Executive Summary)</w:t>
      </w:r>
    </w:p>
    <w:p>
      <w:pPr>
        <w:pStyle w:val="FirstParagraph"/>
      </w:pPr>
      <w:r>
        <w:rPr>
          <w:b/>
          <w:bCs/>
        </w:rPr>
        <w:t xml:space="preserve">[บริษัท / Company]</w:t>
      </w:r>
      <w:r>
        <w:t xml:space="preserve"> </w:t>
      </w:r>
      <w:r>
        <w:t xml:space="preserve">ในฐานะผู้ให้บริการรับชำระเงินด้วยบัตร (acquiring payment gateway) จำเป็นต้องเฝ้าระวังความเสี่ยงด้านการดำเนินงาน (operational), การฉ้อโกง (fraud), การฟอกเงิน (AML) และเสถียรภาพของระบบ (availability) แบบใกล้เวลาจริง (near-real-time) เอกสารนี้กำหนด</w:t>
      </w:r>
      <w:r>
        <w:t xml:space="preserve"> </w:t>
      </w:r>
      <w:r>
        <w:rPr>
          <w:b/>
          <w:bCs/>
        </w:rPr>
        <w:t xml:space="preserve">ข้อกำหนดของ Dashboard ตัวชี้วัดความเสี่ยงหลัก (Key Risk Indicator — KRI Dashboard)</w:t>
      </w:r>
      <w:r>
        <w:t xml:space="preserve"> </w:t>
      </w:r>
      <w:r>
        <w:t xml:space="preserve">ที่รวบรวมตัวชี้วัด 4 กลุ่มหลักและตัวชี้วัดสนับสนุน เพื่อให้ผู้บริหารและคณะกรรมการมองเห็นสถานะความเสี่ยงต่อ</w:t>
      </w:r>
      <w:r>
        <w:t xml:space="preserve"> </w:t>
      </w:r>
      <w:r>
        <w:rPr>
          <w:b/>
          <w:bCs/>
        </w:rPr>
        <w:t xml:space="preserve">Risk Appetite</w:t>
      </w:r>
      <w:r>
        <w:t xml:space="preserve"> </w:t>
      </w:r>
      <w:r>
        <w:t xml:space="preserve">ที่คณะกรรมการอนุมัติ</w:t>
      </w:r>
    </w:p>
    <w:p>
      <w:pPr>
        <w:pStyle w:val="BodyText"/>
      </w:pPr>
      <w:r>
        <w:t xml:space="preserve">ตัวชี้วัดหลัก 4 กลุ่มตามขอบเขตเอกสารนี้:</w:t>
      </w:r>
    </w:p>
    <w:p>
      <w:pPr>
        <w:pStyle w:val="Compact"/>
        <w:numPr>
          <w:ilvl w:val="0"/>
          <w:numId w:val="1406"/>
        </w:numPr>
      </w:pPr>
      <w:r>
        <w:rPr>
          <w:b/>
          <w:bCs/>
        </w:rPr>
        <w:t xml:space="preserve">ปริมาณธุรกรรม (Transaction Volume)</w:t>
      </w:r>
      <w:r>
        <w:t xml:space="preserve"> </w:t>
      </w:r>
      <w:r>
        <w:t xml:space="preserve">— จำนวนรายการและมูลค่า (บาท) เพื่อตรวจจับความผิดปกติเชิงปริมาณและ capacity risk</w:t>
      </w:r>
    </w:p>
    <w:p>
      <w:pPr>
        <w:pStyle w:val="Compact"/>
        <w:numPr>
          <w:ilvl w:val="0"/>
          <w:numId w:val="1406"/>
        </w:numPr>
      </w:pPr>
      <w:r>
        <w:rPr>
          <w:b/>
          <w:bCs/>
        </w:rPr>
        <w:t xml:space="preserve">อัตรา authorization ล้มเหลว (Failed-Authorization Rate)</w:t>
      </w:r>
      <w:r>
        <w:t xml:space="preserve"> </w:t>
      </w:r>
      <w:r>
        <w:t xml:space="preserve">— สัดส่วนการปฏิเสธ/ล้มเหลว บ่งชี้ปัญหาเทคนิค, การโจมตี (card testing/enumeration) และคุณภาพ routing</w:t>
      </w:r>
    </w:p>
    <w:p>
      <w:pPr>
        <w:pStyle w:val="Compact"/>
        <w:numPr>
          <w:ilvl w:val="0"/>
          <w:numId w:val="1406"/>
        </w:numPr>
      </w:pPr>
      <w:r>
        <w:rPr>
          <w:b/>
          <w:bCs/>
        </w:rPr>
        <w:t xml:space="preserve">อัตราการคืนเงิน/ข้อโต้แย้ง (Refund / Chargeback Ratio)</w:t>
      </w:r>
      <w:r>
        <w:t xml:space="preserve"> </w:t>
      </w:r>
      <w:r>
        <w:t xml:space="preserve">— สัดส่วน refund และ chargeback ต่อยอดขาย ตัวชี้วัดความเสี่ยง merchant, การฉ้อโกง และการเข้าโครงการเฝ้าระวังของแบรนด์บัตร</w:t>
      </w:r>
    </w:p>
    <w:p>
      <w:pPr>
        <w:pStyle w:val="Compact"/>
        <w:numPr>
          <w:ilvl w:val="0"/>
          <w:numId w:val="1406"/>
        </w:numPr>
      </w:pPr>
      <w:r>
        <w:rPr>
          <w:b/>
          <w:bCs/>
        </w:rPr>
        <w:t xml:space="preserve">ผลขาดทุนจากการฉ้อโกง (Fraud Loss)</w:t>
      </w:r>
      <w:r>
        <w:t xml:space="preserve"> </w:t>
      </w:r>
      <w:r>
        <w:t xml:space="preserve">— มูลค่าและอัตราส่วน (bps) ของความสูญเสียจากการฉ้อโกงที่ยืนยันแล้ว</w:t>
      </w:r>
    </w:p>
    <w:p>
      <w:pPr>
        <w:pStyle w:val="FirstParagraph"/>
      </w:pPr>
      <w:r>
        <w:t xml:space="preserve">Dashboard นี้เป็น</w:t>
      </w:r>
      <w:r>
        <w:t xml:space="preserve"> </w:t>
      </w:r>
      <w:r>
        <w:rPr>
          <w:b/>
          <w:bCs/>
        </w:rPr>
        <w:t xml:space="preserve">ชั้นการเฝ้าระวัง (monitoring layer)</w:t>
      </w:r>
      <w:r>
        <w:t xml:space="preserve"> </w:t>
      </w:r>
      <w:r>
        <w:t xml:space="preserve">ที่ดึงข้อมูลจากตารางในสถาปัตยกรรม (</w:t>
      </w:r>
      <w:r>
        <w:rPr>
          <w:rStyle w:val="VerbatimChar"/>
        </w:rPr>
        <w:t xml:space="preserve">payments</w:t>
      </w:r>
      <w:r>
        <w:t xml:space="preserve">,</w:t>
      </w:r>
      <w:r>
        <w:t xml:space="preserve"> </w:t>
      </w:r>
      <w:r>
        <w:rPr>
          <w:rStyle w:val="VerbatimChar"/>
        </w:rPr>
        <w:t xml:space="preserve">ledger_entries</w:t>
      </w:r>
      <w:r>
        <w:t xml:space="preserve">,</w:t>
      </w:r>
      <w:r>
        <w:t xml:space="preserve"> </w:t>
      </w:r>
      <w:r>
        <w:rPr>
          <w:rStyle w:val="VerbatimChar"/>
        </w:rPr>
        <w:t xml:space="preserve">refunds</w:t>
      </w:r>
      <w:r>
        <w:t xml:space="preserve">,</w:t>
      </w:r>
      <w:r>
        <w:t xml:space="preserve"> </w:t>
      </w:r>
      <w:r>
        <w:rPr>
          <w:rStyle w:val="VerbatimChar"/>
        </w:rPr>
        <w:t xml:space="preserve">webhook_events</w:t>
      </w:r>
      <w:r>
        <w:t xml:space="preserve">,</w:t>
      </w:r>
      <w:r>
        <w:t xml:space="preserve"> </w:t>
      </w:r>
      <w:r>
        <w:rPr>
          <w:rStyle w:val="VerbatimChar"/>
        </w:rPr>
        <w:t xml:space="preserve">audit_log</w:t>
      </w:r>
      <w:r>
        <w:t xml:space="preserve">) และผูกกับกลไก</w:t>
      </w:r>
      <w:r>
        <w:t xml:space="preserve"> </w:t>
      </w:r>
      <w:r>
        <w:rPr>
          <w:b/>
          <w:bCs/>
        </w:rPr>
        <w:t xml:space="preserve">สัญญาณเตือน (alerting)</w:t>
      </w:r>
      <w:r>
        <w:t xml:space="preserve"> </w:t>
      </w:r>
      <w:r>
        <w:t xml:space="preserve">และ</w:t>
      </w:r>
      <w:r>
        <w:t xml:space="preserve"> </w:t>
      </w:r>
      <w:r>
        <w:rPr>
          <w:b/>
          <w:bCs/>
        </w:rPr>
        <w:t xml:space="preserve">การยกระดับ (escalation)</w:t>
      </w:r>
      <w:r>
        <w:t xml:space="preserve"> </w:t>
      </w:r>
      <w:r>
        <w:t xml:space="preserve">ที่ระบุไว้ด้านล่าง สอดคล้องกับกรอบ Three Lines of Defense และการรายงานความเสี่ยงต่อคณะกรรมการในเอกสาร 13 (IT Risk Management) และ 05/07 (AML/SAR)</w:t>
      </w:r>
    </w:p>
    <w:p>
      <w:r>
        <w:pict>
          <v:rect style="width:0;height:1.5pt" o:hralign="center" o:hrstd="t" o:hr="t"/>
        </w:pict>
      </w:r>
    </w:p>
    <w:bookmarkEnd w:id="1137"/>
    <w:bookmarkStart w:id="1138" w:name="ฐานกฎหมายและมาตรฐานอางอง-4"/>
    <w:p>
      <w:pPr>
        <w:pStyle w:val="Heading2"/>
      </w:pPr>
      <w:r>
        <w:t xml:space="preserve">1. ฐานกฎหมายและมาตรฐานอ้างอิง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กฎหมาย / มาตรฐาน</w:t>
            </w:r>
          </w:p>
        </w:tc>
        <w:tc>
          <w:tcPr/>
          <w:p>
            <w:pPr>
              <w:pStyle w:val="Compact"/>
            </w:pPr>
            <w:r>
              <w:t xml:space="preserve">สาระสำคัญที่เกี่ยวข้องกับ KRI Dashboard</w:t>
            </w:r>
          </w:p>
        </w:tc>
      </w:tr>
      <w:tr>
        <w:tc>
          <w:tcPr/>
          <w:p>
            <w:pPr>
              <w:pStyle w:val="Compact"/>
            </w:pPr>
            <w:r>
              <w:rPr>
                <w:b/>
                <w:bCs/>
              </w:rPr>
              <w:t xml:space="preserve">พ.ร.บ. ระบบการชำระเงิน พ.ศ. 2560</w:t>
            </w:r>
          </w:p>
        </w:tc>
        <w:tc>
          <w:tcPr/>
          <w:p>
            <w:pPr>
              <w:pStyle w:val="Compact"/>
            </w:pPr>
            <w:r>
              <w:t xml:space="preserve">เงื่อนไขใบอนุญาตกำหนดให้ผู้ให้บริการต้องมีระบบบริหารความเสี่ยง การควบคุมภายใน และการรายงานที่ได้มาตรฐาน กำกับโดย</w:t>
            </w:r>
            <w:r>
              <w:t xml:space="preserve"> </w:t>
            </w:r>
            <w:r>
              <w:rPr>
                <w:b/>
                <w:bCs/>
              </w:rPr>
              <w:t xml:space="preserve">ธปท.</w:t>
            </w:r>
            <w:r>
              <w:t xml:space="preserve"> </w:t>
            </w:r>
            <w:r>
              <w:t xml:space="preserve">— KRI Dashboard เป็นหลักฐานการติดตามความเสี่ยงเชิงปริมาณ</w:t>
            </w:r>
          </w:p>
        </w:tc>
      </w:tr>
      <w:tr>
        <w:tc>
          <w:tcPr/>
          <w:p>
            <w:pPr>
              <w:pStyle w:val="Compact"/>
            </w:pPr>
            <w:r>
              <w:rPr>
                <w:b/>
                <w:bCs/>
              </w:rPr>
              <w:t xml:space="preserve">แนวนโยบาย/ประกาศ ธปท. ด้าน IT Risk &amp; Cyber Resilience</w:t>
            </w:r>
          </w:p>
        </w:tc>
        <w:tc>
          <w:tcPr/>
          <w:p>
            <w:pPr>
              <w:pStyle w:val="Compact"/>
            </w:pPr>
            <w:r>
              <w:t xml:space="preserve">กำหนดให้มีการเฝ้าระวัง ตัวชี้วัด และการรายงานต่อคณะกรรมการ รวมถึงการบริหารความจุ (capacity) และเหตุการณ์ผิดปกติ</w:t>
            </w:r>
          </w:p>
        </w:tc>
      </w:tr>
      <w:tr>
        <w:tc>
          <w:tcPr/>
          <w:p>
            <w:pPr>
              <w:pStyle w:val="Compact"/>
            </w:pPr>
            <w:r>
              <w:rPr>
                <w:b/>
                <w:bCs/>
              </w:rPr>
              <w:t xml:space="preserve">พ.ร.บ. ป้องกันและปราบปรามการฟอกเงิน (ปปง./AMLO)</w:t>
            </w:r>
          </w:p>
        </w:tc>
        <w:tc>
          <w:tcPr/>
          <w:p>
            <w:pPr>
              <w:pStyle w:val="Compact"/>
            </w:pPr>
            <w:r>
              <w:t xml:space="preserve">KRI ด้าน velocity, structuring, และธุรกรรมผิดปกติ ป้อนเข้าสู่กระบวนการ SAR/STR (เชื่อมกับเอกสาร 05, 07)</w:t>
            </w:r>
          </w:p>
        </w:tc>
      </w:tr>
      <w:tr>
        <w:tc>
          <w:tcPr/>
          <w:p>
            <w:pPr>
              <w:pStyle w:val="Compact"/>
            </w:pPr>
            <w:r>
              <w:rPr>
                <w:b/>
                <w:bCs/>
              </w:rPr>
              <w:t xml:space="preserve">PCI-DSS v4.0</w:t>
            </w:r>
            <w:r>
              <w:t xml:space="preserve"> </w:t>
            </w:r>
            <w:r>
              <w:t xml:space="preserve">— Req 10 &amp; 12.10</w:t>
            </w:r>
          </w:p>
        </w:tc>
        <w:tc>
          <w:tcPr/>
          <w:p>
            <w:pPr>
              <w:pStyle w:val="Compact"/>
            </w:pPr>
            <w:r>
              <w:t xml:space="preserve">Logging, การเฝ้าระวัง และการตรวจจับความผิดปกติ; ข้อมูลบน dashboard ห้ามมี PAN/CHD; รายงานเหตุจากตัวชี้วัดต้องเชื่อมกับ incident response</w:t>
            </w:r>
          </w:p>
        </w:tc>
      </w:tr>
      <w:tr>
        <w:tc>
          <w:tcPr/>
          <w:p>
            <w:pPr>
              <w:pStyle w:val="Compact"/>
            </w:pPr>
            <w:r>
              <w:rPr>
                <w:b/>
                <w:bCs/>
              </w:rPr>
              <w:t xml:space="preserve">พ.ร.บ. คุ้มครองข้อมูลส่วนบุคคล พ.ศ. 2562 (PDPA)</w:t>
            </w:r>
            <w:r>
              <w:t xml:space="preserve"> </w:t>
            </w:r>
            <w:r>
              <w:t xml:space="preserve">—</w:t>
            </w:r>
            <w:r>
              <w:t xml:space="preserve"> </w:t>
            </w:r>
            <w:r>
              <w:rPr>
                <w:b/>
                <w:bCs/>
              </w:rPr>
              <w:t xml:space="preserve">PDPC</w:t>
            </w:r>
          </w:p>
        </w:tc>
        <w:tc>
          <w:tcPr/>
          <w:p>
            <w:pPr>
              <w:pStyle w:val="Compact"/>
            </w:pPr>
            <w:r>
              <w:t xml:space="preserve">ข้อมูลรวม (aggregate) บน dashboard ต้องผ่านการลดทอนข้อมูลส่วนบุคคล (data minimization) และควบคุมการเข้าถึงตามหลักการ least privilege</w:t>
            </w:r>
          </w:p>
        </w:tc>
      </w:tr>
      <w:tr>
        <w:tc>
          <w:tcPr/>
          <w:p>
            <w:pPr>
              <w:pStyle w:val="Compact"/>
            </w:pPr>
            <w:r>
              <w:rPr>
                <w:b/>
                <w:bCs/>
              </w:rPr>
              <w:t xml:space="preserve">EMV 3-D Secure (3DS) 2.x</w:t>
            </w:r>
          </w:p>
        </w:tc>
        <w:tc>
          <w:tcPr/>
          <w:p>
            <w:pPr>
              <w:pStyle w:val="Compact"/>
            </w:pPr>
            <w:r>
              <w:t xml:space="preserve">อัตรา authentication, challenge rate และผล frictionless เป็นอินพุตของ KRI ด้าน fraud และ failed-auth</w:t>
            </w:r>
          </w:p>
        </w:tc>
      </w:tr>
      <w:tr>
        <w:tc>
          <w:tcPr/>
          <w:p>
            <w:pPr>
              <w:pStyle w:val="Compact"/>
            </w:pPr>
            <w:r>
              <w:rPr>
                <w:b/>
                <w:bCs/>
              </w:rPr>
              <w:t xml:space="preserve">Visa VAMP / Mastercard Excessive Chargeback Program (ECP/ECM)</w:t>
            </w:r>
          </w:p>
        </w:tc>
        <w:tc>
          <w:tcPr/>
          <w:p>
            <w:pPr>
              <w:pStyle w:val="Compact"/>
            </w:pPr>
            <w:r>
              <w:t xml:space="preserve">เกณฑ์ (threshold) ของ chargeback/fraud ที่แบรนด์บัตรใช้จัดโปรแกรมเฝ้าระวัง — เป็นฐานในการตั้งค่า threshold ของ KRI</w:t>
            </w:r>
          </w:p>
        </w:tc>
      </w:tr>
      <w:tr>
        <w:tc>
          <w:tcPr/>
          <w:p>
            <w:pPr>
              <w:pStyle w:val="Compact"/>
            </w:pPr>
            <w:r>
              <w:rPr>
                <w:b/>
                <w:bCs/>
              </w:rPr>
              <w:t xml:space="preserve">ISO/IEC 27001:2022, NIST CSF 2.0</w:t>
            </w:r>
          </w:p>
        </w:tc>
        <w:tc>
          <w:tcPr/>
          <w:p>
            <w:pPr>
              <w:pStyle w:val="Compact"/>
            </w:pPr>
            <w:r>
              <w:t xml:space="preserve">กรอบการตรวจจับ (Detect) และการวัดประสิทธิผลการควบคุม</w:t>
            </w:r>
          </w:p>
        </w:tc>
      </w:tr>
    </w:tbl>
    <w:p>
      <w:pPr>
        <w:pStyle w:val="BlockText"/>
      </w:pPr>
      <w:r>
        <w:rPr>
          <w:b/>
          <w:bCs/>
        </w:rPr>
        <w:t xml:space="preserve">[TODO/ข้อสมมติ]</w:t>
      </w:r>
      <w:r>
        <w:t xml:space="preserve"> </w:t>
      </w:r>
      <w:r>
        <w:t xml:space="preserve">ต้องยืนยันกับที่ปรึกษากฎหมายและ ธปท. ว่าประกาศ/แนวปฏิบัติด้าน IT risk และการรายงานฉบับล่าสุด ณ วันยื่นคำขอ มีเลขที่/ปีใด และปรับอ้างอิงให้ตรง</w:t>
      </w:r>
    </w:p>
    <w:p>
      <w:pPr>
        <w:pStyle w:val="BlockText"/>
      </w:pPr>
      <w:r>
        <w:rPr>
          <w:b/>
          <w:bCs/>
        </w:rPr>
        <w:t xml:space="preserve">[TODO/ข้อสมมติ]</w:t>
      </w:r>
      <w:r>
        <w:t xml:space="preserve"> </w:t>
      </w:r>
      <w:r>
        <w:t xml:space="preserve">เกณฑ์ (threshold) ของ</w:t>
      </w:r>
      <w:r>
        <w:t xml:space="preserve"> </w:t>
      </w:r>
      <w:r>
        <w:rPr>
          <w:b/>
          <w:bCs/>
        </w:rPr>
        <w:t xml:space="preserve">Visa VAMP</w:t>
      </w:r>
      <w:r>
        <w:t xml:space="preserve"> </w:t>
      </w:r>
      <w:r>
        <w:t xml:space="preserve">และ</w:t>
      </w:r>
      <w:r>
        <w:t xml:space="preserve"> </w:t>
      </w:r>
      <w:r>
        <w:rPr>
          <w:b/>
          <w:bCs/>
        </w:rPr>
        <w:t xml:space="preserve">Mastercard ECP/ECM</w:t>
      </w:r>
      <w:r>
        <w:t xml:space="preserve"> </w:t>
      </w:r>
      <w:r>
        <w:t xml:space="preserve">อ้างอิงตามเอกสารสาธารณะของแบรนด์บัตร ณ ปัจจุบัน — ต้องยืนยันตัวเลขที่บังคับใช้จริงกับ</w:t>
      </w:r>
      <w:r>
        <w:t xml:space="preserve"> </w:t>
      </w:r>
      <w:r>
        <w:rPr>
          <w:b/>
          <w:bCs/>
        </w:rPr>
        <w:t xml:space="preserve">sponsor bank / scheme</w:t>
      </w:r>
      <w:r>
        <w:t xml:space="preserve"> </w:t>
      </w:r>
      <w:r>
        <w:t xml:space="preserve">เมื่อทำสัญญา (ดูเอกสาร 24 Scheme Certification)</w:t>
      </w:r>
    </w:p>
    <w:p>
      <w:r>
        <w:pict>
          <v:rect style="width:0;height:1.5pt" o:hralign="center" o:hrstd="t" o:hr="t"/>
        </w:pict>
      </w:r>
    </w:p>
    <w:bookmarkEnd w:id="1138"/>
    <w:bookmarkStart w:id="1140" w:name="ขอบเขต-วตถประสงค-และหลกการออกแบบ"/>
    <w:p>
      <w:pPr>
        <w:pStyle w:val="Heading2"/>
      </w:pPr>
      <w:r>
        <w:t xml:space="preserve">2. ขอบเขต วัตถุประสงค์ และหลักการออกแบบ</w:t>
      </w:r>
    </w:p>
    <w:p>
      <w:pPr>
        <w:pStyle w:val="FirstParagraph"/>
      </w:pPr>
      <w:r>
        <w:rPr>
          <w:b/>
          <w:bCs/>
        </w:rPr>
        <w:t xml:space="preserve">วัตถุประสงค์:</w:t>
      </w:r>
      <w:r>
        <w:t xml:space="preserve"> </w:t>
      </w:r>
      <w:r>
        <w:t xml:space="preserve">ให้มุมมองเดียว (single pane of glass) ต่อความเสี่ยงเชิงปริมาณ เพื่อ (1) ตรวจจับสัญญาณเตือนล่วงหน้า (early warning) ก่อนความเสี่ยงกลายเป็นเหตุการณ์, (2) เปรียบเทียบสถานะกับ Risk Appetite, (3) สนับสนุนการรายงานต่อ ธปท. และคณะกรรมการ, (4) ป้อนหลักฐานให้กระบวนการ AML/SAR และ chargeback management</w:t>
      </w:r>
    </w:p>
    <w:p>
      <w:pPr>
        <w:pStyle w:val="BodyText"/>
      </w:pPr>
      <w:r>
        <w:rPr>
          <w:b/>
          <w:bCs/>
        </w:rPr>
        <w:t xml:space="preserve">ขอบเขต:</w:t>
      </w:r>
      <w:r>
        <w:t xml:space="preserve"> </w:t>
      </w:r>
      <w:r>
        <w:t xml:space="preserve">ครอบคลุมตัวชี้วัด 4 กลุ่มหลัก (txn volume, failed-auth rate, refund/chargeback ratio, fraud loss) และตัวชี้วัดสนับสนุน (3DS authentication rate, decline reason breakdown, velocity, system availability/latency) ทั้งในระดับ</w:t>
      </w:r>
      <w:r>
        <w:t xml:space="preserve"> </w:t>
      </w:r>
      <w:r>
        <w:rPr>
          <w:b/>
          <w:bCs/>
        </w:rPr>
        <w:t xml:space="preserve">portfolio รวม</w:t>
      </w:r>
      <w:r>
        <w:t xml:space="preserve">, ระดับ</w:t>
      </w:r>
      <w:r>
        <w:t xml:space="preserve"> </w:t>
      </w:r>
      <w:r>
        <w:rPr>
          <w:b/>
          <w:bCs/>
        </w:rPr>
        <w:t xml:space="preserve">merchant</w:t>
      </w:r>
      <w:r>
        <w:t xml:space="preserve">, และระดับ</w:t>
      </w:r>
      <w:r>
        <w:t xml:space="preserve"> </w:t>
      </w:r>
      <w:r>
        <w:rPr>
          <w:b/>
          <w:bCs/>
        </w:rPr>
        <w:t xml:space="preserve">BIN/ประเทศ/MCC/ช่องทาง</w:t>
      </w:r>
    </w:p>
    <w:bookmarkStart w:id="1139" w:name="หลกการออกแบบ-design-principles"/>
    <w:p>
      <w:pPr>
        <w:pStyle w:val="Heading3"/>
      </w:pPr>
      <w:r>
        <w:t xml:space="preserve">หลักการออกแบบ (Design Principles)</w:t>
      </w:r>
    </w:p>
    <w:p>
      <w:pPr>
        <w:pStyle w:val="Compact"/>
        <w:numPr>
          <w:ilvl w:val="0"/>
          <w:numId w:val="1407"/>
        </w:numPr>
      </w:pPr>
      <w:r>
        <w:rPr>
          <w:b/>
          <w:bCs/>
        </w:rPr>
        <w:t xml:space="preserve">ไม่มี CHD บน dashboard</w:t>
      </w:r>
      <w:r>
        <w:t xml:space="preserve"> </w:t>
      </w:r>
      <w:r>
        <w:t xml:space="preserve">— แสดงได้เพียง</w:t>
      </w:r>
      <w:r>
        <w:t xml:space="preserve"> </w:t>
      </w:r>
      <w:r>
        <w:rPr>
          <w:rStyle w:val="VerbatimChar"/>
        </w:rPr>
        <w:t xml:space="preserve">card_brand</w:t>
      </w:r>
      <w:r>
        <w:t xml:space="preserve">,</w:t>
      </w:r>
      <w:r>
        <w:t xml:space="preserve"> </w:t>
      </w:r>
      <w:r>
        <w:rPr>
          <w:rStyle w:val="VerbatimChar"/>
        </w:rPr>
        <w:t xml:space="preserve">card_last4</w:t>
      </w:r>
      <w:r>
        <w:t xml:space="preserve">,</w:t>
      </w:r>
      <w:r>
        <w:t xml:space="preserve"> </w:t>
      </w:r>
      <w:r>
        <w:rPr>
          <w:rStyle w:val="VerbatimChar"/>
        </w:rPr>
        <w:t xml:space="preserve">bin (6-8 หลักแรก)</w:t>
      </w:r>
      <w:r>
        <w:t xml:space="preserve">, MCC, ประเทศ; ห้ามแสดง PAN/CVV/PIN เด็ดขาด (สอดคล้อง ARCHITECTURE.md ข้อ 6)</w:t>
      </w:r>
    </w:p>
    <w:p>
      <w:pPr>
        <w:pStyle w:val="Compact"/>
        <w:numPr>
          <w:ilvl w:val="0"/>
          <w:numId w:val="1407"/>
        </w:numPr>
      </w:pPr>
      <w:r>
        <w:rPr>
          <w:b/>
          <w:bCs/>
        </w:rPr>
        <w:t xml:space="preserve">แหล่งข้อมูลเดียวที่เชื่อถือได้ (single source of truth)</w:t>
      </w:r>
      <w:r>
        <w:t xml:space="preserve"> </w:t>
      </w:r>
      <w:r>
        <w:t xml:space="preserve">— คำนวณจาก</w:t>
      </w:r>
      <w:r>
        <w:t xml:space="preserve"> </w:t>
      </w:r>
      <w:r>
        <w:rPr>
          <w:rStyle w:val="VerbatimChar"/>
        </w:rPr>
        <w:t xml:space="preserve">ledger_entries</w:t>
      </w:r>
      <w:r>
        <w:t xml:space="preserve"> </w:t>
      </w:r>
      <w:r>
        <w:t xml:space="preserve">(append-only) และ</w:t>
      </w:r>
      <w:r>
        <w:t xml:space="preserve"> </w:t>
      </w:r>
      <w:r>
        <w:rPr>
          <w:rStyle w:val="VerbatimChar"/>
        </w:rPr>
        <w:t xml:space="preserve">payments</w:t>
      </w:r>
      <w:r>
        <w:t xml:space="preserve"> </w:t>
      </w:r>
      <w:r>
        <w:t xml:space="preserve">เป็นหลัก เพื่อให้กระทบยอดกับ reconciliation ได้</w:t>
      </w:r>
    </w:p>
    <w:p>
      <w:pPr>
        <w:pStyle w:val="Compact"/>
        <w:numPr>
          <w:ilvl w:val="0"/>
          <w:numId w:val="1407"/>
        </w:numPr>
      </w:pPr>
      <w:r>
        <w:rPr>
          <w:b/>
          <w:bCs/>
        </w:rPr>
        <w:t xml:space="preserve">เงินเป็น integer minor units (สตางค์)</w:t>
      </w:r>
      <w:r>
        <w:t xml:space="preserve"> </w:t>
      </w:r>
      <w:r>
        <w:t xml:space="preserve">— คำนวณอัตราส่วนด้วย decimal ไม่ใช้ float</w:t>
      </w:r>
    </w:p>
    <w:p>
      <w:pPr>
        <w:pStyle w:val="Compact"/>
        <w:numPr>
          <w:ilvl w:val="0"/>
          <w:numId w:val="1407"/>
        </w:numPr>
      </w:pPr>
      <w:r>
        <w:rPr>
          <w:b/>
          <w:bCs/>
        </w:rPr>
        <w:t xml:space="preserve">แยกชั้นข้อมูล (read replica)</w:t>
      </w:r>
      <w:r>
        <w:t xml:space="preserve"> </w:t>
      </w:r>
      <w:r>
        <w:t xml:space="preserve">— dashboard/analytics อ่านจาก replica แยกจาก payment core เพื่อไม่กระทบ latency ของ authorization</w:t>
      </w:r>
    </w:p>
    <w:p>
      <w:pPr>
        <w:pStyle w:val="Compact"/>
        <w:numPr>
          <w:ilvl w:val="0"/>
          <w:numId w:val="1407"/>
        </w:numPr>
      </w:pPr>
      <w:r>
        <w:rPr>
          <w:b/>
          <w:bCs/>
        </w:rPr>
        <w:t xml:space="preserve">Traffic-light + threshold</w:t>
      </w:r>
      <w:r>
        <w:t xml:space="preserve"> </w:t>
      </w:r>
      <w:r>
        <w:t xml:space="preserve">— ทุก KRI มีสถานะ เขียว/เหลือง/แดง (Green/Amber/Red) เทียบกับเกณฑ์ที่คณะกรรมการอนุมัติ</w:t>
      </w:r>
    </w:p>
    <w:p>
      <w:pPr>
        <w:pStyle w:val="Compact"/>
        <w:numPr>
          <w:ilvl w:val="0"/>
          <w:numId w:val="1407"/>
        </w:numPr>
      </w:pPr>
      <w:r>
        <w:rPr>
          <w:b/>
          <w:bCs/>
        </w:rPr>
        <w:t xml:space="preserve">Auditability</w:t>
      </w:r>
      <w:r>
        <w:t xml:space="preserve"> </w:t>
      </w:r>
      <w:r>
        <w:t xml:space="preserve">— การเปลี่ยน threshold, การรับทราบ alert (acknowledge) และการยกเว้น (risk acceptance) ทุกครั้งลง</w:t>
      </w:r>
      <w:r>
        <w:t xml:space="preserve"> </w:t>
      </w:r>
      <w:r>
        <w:rPr>
          <w:rStyle w:val="VerbatimChar"/>
        </w:rPr>
        <w:t xml:space="preserve">audit_log</w:t>
      </w:r>
    </w:p>
    <w:p>
      <w:pPr>
        <w:pStyle w:val="Compact"/>
        <w:numPr>
          <w:ilvl w:val="0"/>
          <w:numId w:val="1407"/>
        </w:numPr>
      </w:pPr>
      <w:r>
        <w:rPr>
          <w:b/>
          <w:bCs/>
        </w:rPr>
        <w:t xml:space="preserve">Near-real-time + batch</w:t>
      </w:r>
      <w:r>
        <w:t xml:space="preserve"> </w:t>
      </w:r>
      <w:r>
        <w:t xml:space="preserve">— ตัวชี้วัดเชิงปฏิบัติการ (volume, failed-auth, velocity) รีเฟรชแบบ streaming/นาที; ตัวชี้วัดที่ต้องรอ settlement (chargeback, fraud loss ยืนยัน) รีเฟรชแบบ batch รายวัน</w:t>
      </w:r>
    </w:p>
    <w:p>
      <w:r>
        <w:pict>
          <v:rect style="width:0;height:1.5pt" o:hralign="center" o:hrstd="t" o:hr="t"/>
        </w:pict>
      </w:r>
    </w:p>
    <w:bookmarkEnd w:id="1139"/>
    <w:bookmarkEnd w:id="1140"/>
    <w:bookmarkStart w:id="1142" w:name="Xbfd001f02a14f20aa4d777c640340c056a0bc1a"/>
    <w:p>
      <w:pPr>
        <w:pStyle w:val="Heading2"/>
      </w:pPr>
      <w:r>
        <w:t xml:space="preserve">3. โครงสร้างการกำกับดูแลและบทบาท (Governance &amp; RACI)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บทบาท</w:t>
            </w:r>
          </w:p>
        </w:tc>
        <w:tc>
          <w:tcPr/>
          <w:p>
            <w:pPr>
              <w:pStyle w:val="Compact"/>
            </w:pPr>
            <w:r>
              <w:t xml:space="preserve">ความรับผิดชอบต่อ KRI Dashboard</w:t>
            </w:r>
          </w:p>
        </w:tc>
      </w:tr>
      <w:tr>
        <w:tc>
          <w:tcPr/>
          <w:p>
            <w:pPr>
              <w:pStyle w:val="Compact"/>
            </w:pPr>
            <w:r>
              <w:rPr>
                <w:b/>
                <w:bCs/>
              </w:rPr>
              <w:t xml:space="preserve">คณะกรรมการบริษัท (Board)</w:t>
            </w:r>
          </w:p>
        </w:tc>
        <w:tc>
          <w:tcPr/>
          <w:p>
            <w:pPr>
              <w:pStyle w:val="Compact"/>
            </w:pPr>
            <w:r>
              <w:t xml:space="preserve">อนุมัติ Risk Appetite และเกณฑ์ KRI ระดับ Red; รับรายงานสรุปรายไตรมาส</w:t>
            </w:r>
          </w:p>
        </w:tc>
      </w:tr>
      <w:tr>
        <w:tc>
          <w:tcPr/>
          <w:p>
            <w:pPr>
              <w:pStyle w:val="Compact"/>
            </w:pPr>
            <w:r>
              <w:rPr>
                <w:b/>
                <w:bCs/>
              </w:rPr>
              <w:t xml:space="preserve">คณะกรรมการบริหารความเสี่ยง (Risk Committee)</w:t>
            </w:r>
          </w:p>
        </w:tc>
        <w:tc>
          <w:tcPr/>
          <w:p>
            <w:pPr>
              <w:pStyle w:val="Compact"/>
            </w:pPr>
            <w:r>
              <w:t xml:space="preserve">ทบทวน KRI รายไตรมาส, อนุมัติการเปลี่ยน threshold, กำกับแผนแก้ไข (remediation)</w:t>
            </w:r>
          </w:p>
        </w:tc>
      </w:tr>
      <w:tr>
        <w:tc>
          <w:tcPr/>
          <w:p>
            <w:pPr>
              <w:pStyle w:val="Compact"/>
            </w:pPr>
            <w:r>
              <w:rPr>
                <w:b/>
                <w:bCs/>
              </w:rPr>
              <w:t xml:space="preserve">CRO (เจ้าของเอกสาร)</w:t>
            </w:r>
          </w:p>
        </w:tc>
        <w:tc>
          <w:tcPr/>
          <w:p>
            <w:pPr>
              <w:pStyle w:val="Compact"/>
            </w:pPr>
            <w:r>
              <w:rPr>
                <w:b/>
                <w:bCs/>
              </w:rPr>
              <w:t xml:space="preserve">Accountable</w:t>
            </w:r>
            <w:r>
              <w:t xml:space="preserve"> </w:t>
            </w:r>
            <w:r>
              <w:t xml:space="preserve">ต่อกรอบ KRI ทั้งหมด; รายงานต่อ Risk Committee</w:t>
            </w:r>
          </w:p>
        </w:tc>
      </w:tr>
      <w:tr>
        <w:tc>
          <w:tcPr/>
          <w:p>
            <w:pPr>
              <w:pStyle w:val="Compact"/>
            </w:pPr>
            <w:r>
              <w:rPr>
                <w:b/>
                <w:bCs/>
              </w:rPr>
              <w:t xml:space="preserve">CISO</w:t>
            </w:r>
          </w:p>
        </w:tc>
        <w:tc>
          <w:tcPr/>
          <w:p>
            <w:pPr>
              <w:pStyle w:val="Compact"/>
            </w:pPr>
            <w:r>
              <w:rPr>
                <w:b/>
                <w:bCs/>
              </w:rPr>
              <w:t xml:space="preserve">Responsible</w:t>
            </w:r>
            <w:r>
              <w:t xml:space="preserve"> </w:t>
            </w:r>
            <w:r>
              <w:t xml:space="preserve">ต่อ KRI ด้าน availability/latency/security และความถูกต้องของ log</w:t>
            </w:r>
          </w:p>
        </w:tc>
      </w:tr>
      <w:tr>
        <w:tc>
          <w:tcPr/>
          <w:p>
            <w:pPr>
              <w:pStyle w:val="Compact"/>
            </w:pPr>
            <w:r>
              <w:rPr>
                <w:b/>
                <w:bCs/>
              </w:rPr>
              <w:t xml:space="preserve">Head of Payment Operations</w:t>
            </w:r>
          </w:p>
        </w:tc>
        <w:tc>
          <w:tcPr/>
          <w:p>
            <w:pPr>
              <w:pStyle w:val="Compact"/>
            </w:pPr>
            <w:r>
              <w:rPr>
                <w:b/>
                <w:bCs/>
              </w:rPr>
              <w:t xml:space="preserve">Responsible</w:t>
            </w:r>
            <w:r>
              <w:t xml:space="preserve"> </w:t>
            </w:r>
            <w:r>
              <w:t xml:space="preserve">ต่อ KRI ด้าน volume, failed-auth, refund/chargeback</w:t>
            </w:r>
          </w:p>
        </w:tc>
      </w:tr>
      <w:tr>
        <w:tc>
          <w:tcPr/>
          <w:p>
            <w:pPr>
              <w:pStyle w:val="Compact"/>
            </w:pPr>
            <w:r>
              <w:rPr>
                <w:b/>
                <w:bCs/>
              </w:rPr>
              <w:t xml:space="preserve">Fraud &amp; Risk Operations (analyst)</w:t>
            </w:r>
          </w:p>
        </w:tc>
        <w:tc>
          <w:tcPr/>
          <w:p>
            <w:pPr>
              <w:pStyle w:val="Compact"/>
            </w:pPr>
            <w:r>
              <w:t xml:space="preserve">เฝ้าระวังรายวัน, triage alert, ดำเนินการชั้นแรก, บันทึกผล</w:t>
            </w:r>
          </w:p>
        </w:tc>
      </w:tr>
      <w:tr>
        <w:tc>
          <w:tcPr/>
          <w:p>
            <w:pPr>
              <w:pStyle w:val="Compact"/>
            </w:pPr>
            <w:r>
              <w:rPr>
                <w:b/>
                <w:bCs/>
              </w:rPr>
              <w:t xml:space="preserve">MLRO / AMLCO</w:t>
            </w:r>
          </w:p>
        </w:tc>
        <w:tc>
          <w:tcPr/>
          <w:p>
            <w:pPr>
              <w:pStyle w:val="Compact"/>
            </w:pPr>
            <w:r>
              <w:t xml:space="preserve">รับสัญญาณจาก KRI ด้าน velocity/structuring ป้อนเข้ากระบวนการ SAR/STR (เอกสาร 07)</w:t>
            </w:r>
          </w:p>
        </w:tc>
      </w:tr>
      <w:tr>
        <w:tc>
          <w:tcPr/>
          <w:p>
            <w:pPr>
              <w:pStyle w:val="Compact"/>
            </w:pPr>
            <w:r>
              <w:rPr>
                <w:b/>
                <w:bCs/>
              </w:rPr>
              <w:t xml:space="preserve">Internal Audit</w:t>
            </w:r>
          </w:p>
        </w:tc>
        <w:tc>
          <w:tcPr/>
          <w:p>
            <w:pPr>
              <w:pStyle w:val="Compact"/>
            </w:pPr>
            <w:r>
              <w:t xml:space="preserve">ตรวจสอบอิสระต่อความถูกต้องของสูตร, การตั้ง threshold และการตอบสนอง alert</w:t>
            </w:r>
          </w:p>
        </w:tc>
      </w:tr>
      <w:tr>
        <w:tc>
          <w:tcPr/>
          <w:p>
            <w:pPr>
              <w:pStyle w:val="Compact"/>
            </w:pPr>
            <w:r>
              <w:rPr>
                <w:b/>
                <w:bCs/>
              </w:rPr>
              <w:t xml:space="preserve">Data/Platform Engineering</w:t>
            </w:r>
          </w:p>
        </w:tc>
        <w:tc>
          <w:tcPr/>
          <w:p>
            <w:pPr>
              <w:pStyle w:val="Compact"/>
            </w:pPr>
            <w:r>
              <w:rPr>
                <w:b/>
                <w:bCs/>
              </w:rPr>
              <w:t xml:space="preserve">Responsible</w:t>
            </w:r>
            <w:r>
              <w:t xml:space="preserve"> </w:t>
            </w:r>
            <w:r>
              <w:t xml:space="preserve">ต่อ pipeline, ความถูกต้องของข้อมูล, uptime ของ dashboard</w:t>
            </w:r>
          </w:p>
        </w:tc>
      </w:tr>
    </w:tbl>
    <w:bookmarkStart w:id="1141" w:name="รอบการทบทวน-review-cadence"/>
    <w:p>
      <w:pPr>
        <w:pStyle w:val="Heading3"/>
      </w:pPr>
      <w:r>
        <w:t xml:space="preserve">3.1 รอบการทบทวน (Review Cadence)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กิจกรรม</w:t>
            </w:r>
          </w:p>
        </w:tc>
        <w:tc>
          <w:tcPr/>
          <w:p>
            <w:pPr>
              <w:pStyle w:val="Compact"/>
            </w:pPr>
            <w:r>
              <w:t xml:space="preserve">ความถี่</w:t>
            </w:r>
          </w:p>
        </w:tc>
        <w:tc>
          <w:tcPr/>
          <w:p>
            <w:pPr>
              <w:pStyle w:val="Compact"/>
            </w:pPr>
            <w:r>
              <w:t xml:space="preserve">ผู้รับผิดชอบ</w:t>
            </w:r>
          </w:p>
        </w:tc>
      </w:tr>
      <w:tr>
        <w:tc>
          <w:tcPr/>
          <w:p>
            <w:pPr>
              <w:pStyle w:val="Compact"/>
            </w:pPr>
            <w:r>
              <w:t xml:space="preserve">เฝ้าระวัง real-time + triage alert</w:t>
            </w:r>
          </w:p>
        </w:tc>
        <w:tc>
          <w:tcPr/>
          <w:p>
            <w:pPr>
              <w:pStyle w:val="Compact"/>
            </w:pPr>
            <w:r>
              <w:t xml:space="preserve">ต่อเนื่อง (24/7 on-call)</w:t>
            </w:r>
          </w:p>
        </w:tc>
        <w:tc>
          <w:tcPr/>
          <w:p>
            <w:pPr>
              <w:pStyle w:val="Compact"/>
            </w:pPr>
            <w:r>
              <w:t xml:space="preserve">Fraud &amp; Risk Ops</w:t>
            </w:r>
          </w:p>
        </w:tc>
      </w:tr>
      <w:tr>
        <w:tc>
          <w:tcPr/>
          <w:p>
            <w:pPr>
              <w:pStyle w:val="Compact"/>
            </w:pPr>
            <w:r>
              <w:t xml:space="preserve">สรุปสถานะ KRI ประจำวัน (daily stand-up)</w:t>
            </w:r>
          </w:p>
        </w:tc>
        <w:tc>
          <w:tcPr/>
          <w:p>
            <w:pPr>
              <w:pStyle w:val="Compact"/>
            </w:pPr>
            <w:r>
              <w:t xml:space="preserve">รายวัน</w:t>
            </w:r>
          </w:p>
        </w:tc>
        <w:tc>
          <w:tcPr/>
          <w:p>
            <w:pPr>
              <w:pStyle w:val="Compact"/>
            </w:pPr>
            <w:r>
              <w:t xml:space="preserve">Payment Ops + Fraud Ops</w:t>
            </w:r>
          </w:p>
        </w:tc>
      </w:tr>
      <w:tr>
        <w:tc>
          <w:tcPr/>
          <w:p>
            <w:pPr>
              <w:pStyle w:val="Compact"/>
            </w:pPr>
            <w:r>
              <w:t xml:space="preserve">ทบทวน KRI + เหตุการณ์</w:t>
            </w:r>
          </w:p>
        </w:tc>
        <w:tc>
          <w:tcPr/>
          <w:p>
            <w:pPr>
              <w:pStyle w:val="Compact"/>
            </w:pPr>
            <w:r>
              <w:t xml:space="preserve">รายเดือน (IT Risk &amp; Security Committee)</w:t>
            </w:r>
          </w:p>
        </w:tc>
        <w:tc>
          <w:tcPr/>
          <w:p>
            <w:pPr>
              <w:pStyle w:val="Compact"/>
            </w:pPr>
            <w:r>
              <w:t xml:space="preserve">CISO/CRO</w:t>
            </w:r>
          </w:p>
        </w:tc>
      </w:tr>
      <w:tr>
        <w:tc>
          <w:tcPr/>
          <w:p>
            <w:pPr>
              <w:pStyle w:val="Compact"/>
            </w:pPr>
            <w:r>
              <w:t xml:space="preserve">รายงานความเสี่ยงต่อ Risk Committee</w:t>
            </w:r>
          </w:p>
        </w:tc>
        <w:tc>
          <w:tcPr/>
          <w:p>
            <w:pPr>
              <w:pStyle w:val="Compact"/>
            </w:pPr>
            <w:r>
              <w:t xml:space="preserve">รายไตรมาส</w:t>
            </w:r>
          </w:p>
        </w:tc>
        <w:tc>
          <w:tcPr/>
          <w:p>
            <w:pPr>
              <w:pStyle w:val="Compact"/>
            </w:pPr>
            <w:r>
              <w:t xml:space="preserve">CRO</w:t>
            </w:r>
          </w:p>
        </w:tc>
      </w:tr>
      <w:tr>
        <w:tc>
          <w:tcPr/>
          <w:p>
            <w:pPr>
              <w:pStyle w:val="Compact"/>
            </w:pPr>
            <w:r>
              <w:t xml:space="preserve">ทบทวน/ปรับ threshold + backtest</w:t>
            </w:r>
          </w:p>
        </w:tc>
        <w:tc>
          <w:tcPr/>
          <w:p>
            <w:pPr>
              <w:pStyle w:val="Compact"/>
            </w:pPr>
            <w:r>
              <w:t xml:space="preserve">รายไตรมาส (หรือเมื่อมีเหตุ)</w:t>
            </w:r>
          </w:p>
        </w:tc>
        <w:tc>
          <w:tcPr/>
          <w:p>
            <w:pPr>
              <w:pStyle w:val="Compact"/>
            </w:pPr>
            <w:r>
              <w:t xml:space="preserve">CRO + Fraud Ops + Audit</w:t>
            </w:r>
          </w:p>
        </w:tc>
      </w:tr>
    </w:tbl>
    <w:p>
      <w:r>
        <w:pict>
          <v:rect style="width:0;height:1.5pt" o:hralign="center" o:hrstd="t" o:hr="t"/>
        </w:pict>
      </w:r>
    </w:p>
    <w:bookmarkEnd w:id="1141"/>
    <w:bookmarkEnd w:id="1142"/>
    <w:bookmarkStart w:id="1148" w:name="ขอกำหนด-kri-หลก-core-kri-definitions"/>
    <w:p>
      <w:pPr>
        <w:pStyle w:val="Heading2"/>
      </w:pPr>
      <w:r>
        <w:t xml:space="preserve">4. ข้อกำหนด KRI หลัก (Core KRI Definitions)</w:t>
      </w:r>
    </w:p>
    <w:p>
      <w:pPr>
        <w:pStyle w:val="FirstParagraph"/>
      </w:pPr>
      <w:r>
        <w:t xml:space="preserve">ทุก KRI ระบุ: นิยาม, สูตร, แหล่งข้อมูล, มิติการซอย (dimensions), ความถี่รีเฟรช, และเกณฑ์ Green/Amber/Red</w:t>
      </w:r>
    </w:p>
    <w:bookmarkStart w:id="1143" w:name="kri-01-ปรมาณธรกรรม-transaction-volume"/>
    <w:p>
      <w:pPr>
        <w:pStyle w:val="Heading3"/>
      </w:pPr>
      <w:r>
        <w:t xml:space="preserve">4.1 KRI-01 — ปริมาณธุรกรรม (Transaction Volume)</w:t>
      </w:r>
    </w:p>
    <w:p>
      <w:pPr>
        <w:pStyle w:val="Compact"/>
        <w:numPr>
          <w:ilvl w:val="0"/>
          <w:numId w:val="1408"/>
        </w:numPr>
      </w:pPr>
      <w:r>
        <w:rPr>
          <w:b/>
          <w:bCs/>
        </w:rPr>
        <w:t xml:space="preserve">นิยาม:</w:t>
      </w:r>
      <w:r>
        <w:t xml:space="preserve"> </w:t>
      </w:r>
      <w:r>
        <w:t xml:space="preserve">จำนวนรายการ authorization (count) และมูลค่ารวม (บาท) ในช่วงเวลา พร้อมการเปรียบเทียบกับค่าคาดการณ์ (baseline)</w:t>
      </w:r>
    </w:p>
    <w:p>
      <w:pPr>
        <w:pStyle w:val="Compact"/>
        <w:numPr>
          <w:ilvl w:val="0"/>
          <w:numId w:val="1408"/>
        </w:numPr>
      </w:pPr>
      <w:r>
        <w:rPr>
          <w:b/>
          <w:bCs/>
        </w:rPr>
        <w:t xml:space="preserve">สูตร:</w:t>
      </w:r>
    </w:p>
    <w:p>
      <w:pPr>
        <w:pStyle w:val="Compact"/>
        <w:numPr>
          <w:ilvl w:val="1"/>
          <w:numId w:val="1409"/>
        </w:numPr>
      </w:pPr>
      <w:r>
        <w:rPr>
          <w:rStyle w:val="VerbatimChar"/>
        </w:rPr>
        <w:t xml:space="preserve">txn_count = COUNT(payments WHERE created_at ∈ window)</w:t>
      </w:r>
    </w:p>
    <w:p>
      <w:pPr>
        <w:pStyle w:val="Compact"/>
        <w:numPr>
          <w:ilvl w:val="1"/>
          <w:numId w:val="1409"/>
        </w:numPr>
      </w:pPr>
      <w:r>
        <w:rPr>
          <w:rStyle w:val="VerbatimChar"/>
        </w:rPr>
        <w:t xml:space="preserve">txn_value_thb = SUM(amount_minor)/100 WHERE ...</w:t>
      </w:r>
    </w:p>
    <w:p>
      <w:pPr>
        <w:pStyle w:val="Compact"/>
        <w:numPr>
          <w:ilvl w:val="1"/>
          <w:numId w:val="1409"/>
        </w:numPr>
      </w:pPr>
      <w:r>
        <w:rPr>
          <w:rStyle w:val="VerbatimChar"/>
        </w:rPr>
        <w:t xml:space="preserve">volume_deviation = (actual − forecast_baseline) / forecast_baseline</w:t>
      </w:r>
    </w:p>
    <w:p>
      <w:pPr>
        <w:pStyle w:val="Compact"/>
        <w:numPr>
          <w:ilvl w:val="0"/>
          <w:numId w:val="1408"/>
        </w:numPr>
      </w:pPr>
      <w:r>
        <w:rPr>
          <w:b/>
          <w:bCs/>
        </w:rPr>
        <w:t xml:space="preserve">แหล่งข้อมูล:</w:t>
      </w:r>
      <w:r>
        <w:t xml:space="preserve"> </w:t>
      </w:r>
      <w:r>
        <w:rPr>
          <w:rStyle w:val="VerbatimChar"/>
        </w:rPr>
        <w:t xml:space="preserve">payments</w:t>
      </w:r>
      <w:r>
        <w:t xml:space="preserve">,</w:t>
      </w:r>
      <w:r>
        <w:t xml:space="preserve"> </w:t>
      </w:r>
      <w:r>
        <w:rPr>
          <w:rStyle w:val="VerbatimChar"/>
        </w:rPr>
        <w:t xml:space="preserve">ledger_entries(authorize)</w:t>
      </w:r>
    </w:p>
    <w:p>
      <w:pPr>
        <w:pStyle w:val="Compact"/>
        <w:numPr>
          <w:ilvl w:val="0"/>
          <w:numId w:val="1408"/>
        </w:numPr>
      </w:pPr>
      <w:r>
        <w:rPr>
          <w:b/>
          <w:bCs/>
        </w:rPr>
        <w:t xml:space="preserve">มิติ:</w:t>
      </w:r>
      <w:r>
        <w:t xml:space="preserve"> </w:t>
      </w:r>
      <w:r>
        <w:t xml:space="preserve">merchant, MCC, ช่องทาง (card-present/CNP), ประเทศ BIN, เวลา (นาที/ชม./วัน)</w:t>
      </w:r>
    </w:p>
    <w:p>
      <w:pPr>
        <w:pStyle w:val="Compact"/>
        <w:numPr>
          <w:ilvl w:val="0"/>
          <w:numId w:val="1408"/>
        </w:numPr>
      </w:pPr>
      <w:r>
        <w:rPr>
          <w:b/>
          <w:bCs/>
        </w:rPr>
        <w:t xml:space="preserve">ความถี่:</w:t>
      </w:r>
      <w:r>
        <w:t xml:space="preserve"> </w:t>
      </w:r>
      <w:r>
        <w:t xml:space="preserve">streaming (รีเฟรช ≤ 1 นาที)</w:t>
      </w:r>
    </w:p>
    <w:p>
      <w:pPr>
        <w:pStyle w:val="Compact"/>
        <w:numPr>
          <w:ilvl w:val="0"/>
          <w:numId w:val="1408"/>
        </w:numPr>
      </w:pPr>
      <w:r>
        <w:rPr>
          <w:b/>
          <w:bCs/>
        </w:rPr>
        <w:t xml:space="preserve">เกณฑ์:</w:t>
      </w:r>
      <w:r>
        <w:t xml:space="preserve"> </w:t>
      </w:r>
      <w:r>
        <w:t xml:space="preserve">ดูตารางข้อ 5</w:t>
      </w:r>
    </w:p>
    <w:p>
      <w:pPr>
        <w:pStyle w:val="BlockText"/>
      </w:pPr>
      <w:r>
        <w:t xml:space="preserve">ความผิดปกติเชิงปริมาณ (spike/drop) อาจบ่งชี้: การโจมตี card-testing, merchant ผิดปกติ, ระบบล่ม, หรือ capacity risk ต่อ SLA (p99 &lt; 800 ms ตาม ARCHITECTURE.md ข้อ 8)</w:t>
      </w:r>
    </w:p>
    <w:bookmarkEnd w:id="1143"/>
    <w:bookmarkStart w:id="1144" w:name="Xd95d18b9893658a147a8968cf7e216516738a62"/>
    <w:p>
      <w:pPr>
        <w:pStyle w:val="Heading3"/>
      </w:pPr>
      <w:r>
        <w:t xml:space="preserve">4.2 KRI-02 — อัตรา authorization ล้มเหลว (Failed-Authorization Rate)</w:t>
      </w:r>
    </w:p>
    <w:p>
      <w:pPr>
        <w:pStyle w:val="Compact"/>
        <w:numPr>
          <w:ilvl w:val="0"/>
          <w:numId w:val="1410"/>
        </w:numPr>
      </w:pPr>
      <w:r>
        <w:rPr>
          <w:b/>
          <w:bCs/>
        </w:rPr>
        <w:t xml:space="preserve">นิยาม:</w:t>
      </w:r>
      <w:r>
        <w:t xml:space="preserve"> </w:t>
      </w:r>
      <w:r>
        <w:t xml:space="preserve">สัดส่วนของ authorization ที่ถูกปฏิเสธหรือล้มเหลว (decline/error/timeout) ต่อจำนวนที่พยายามทั้งหมด</w:t>
      </w:r>
    </w:p>
    <w:p>
      <w:pPr>
        <w:pStyle w:val="Compact"/>
        <w:numPr>
          <w:ilvl w:val="0"/>
          <w:numId w:val="1410"/>
        </w:numPr>
      </w:pPr>
      <w:r>
        <w:rPr>
          <w:b/>
          <w:bCs/>
        </w:rPr>
        <w:t xml:space="preserve">สูตร:</w:t>
      </w:r>
      <w:r>
        <w:t xml:space="preserve"> </w:t>
      </w:r>
      <w:r>
        <w:rPr>
          <w:rStyle w:val="VerbatimChar"/>
        </w:rPr>
        <w:t xml:space="preserve">failed_auth_rate = (declined + errored + timed_out) / total_auth_attempts</w:t>
      </w:r>
    </w:p>
    <w:p>
      <w:pPr>
        <w:pStyle w:val="Compact"/>
        <w:numPr>
          <w:ilvl w:val="0"/>
          <w:numId w:val="1410"/>
        </w:numPr>
      </w:pPr>
      <w:r>
        <w:rPr>
          <w:b/>
          <w:bCs/>
        </w:rPr>
        <w:t xml:space="preserve">แยกย่อยตามเหตุ (decline reason):</w:t>
      </w:r>
      <w:r>
        <w:t xml:space="preserve"> </w:t>
      </w:r>
      <w:r>
        <w:t xml:space="preserve">insufficient funds, do-not-honor, invalid card, suspected fraud, 3DS failed, technical/timeout</w:t>
      </w:r>
    </w:p>
    <w:p>
      <w:pPr>
        <w:pStyle w:val="Compact"/>
        <w:numPr>
          <w:ilvl w:val="0"/>
          <w:numId w:val="1410"/>
        </w:numPr>
      </w:pPr>
      <w:r>
        <w:rPr>
          <w:b/>
          <w:bCs/>
        </w:rPr>
        <w:t xml:space="preserve">แหล่งข้อมูล:</w:t>
      </w:r>
      <w:r>
        <w:t xml:space="preserve"> </w:t>
      </w:r>
      <w:r>
        <w:rPr>
          <w:rStyle w:val="VerbatimChar"/>
        </w:rPr>
        <w:t xml:space="preserve">payments(status=failed)</w:t>
      </w:r>
      <w:r>
        <w:t xml:space="preserve">, response code จาก acquirer/3DS</w:t>
      </w:r>
    </w:p>
    <w:p>
      <w:pPr>
        <w:pStyle w:val="Compact"/>
        <w:numPr>
          <w:ilvl w:val="0"/>
          <w:numId w:val="1410"/>
        </w:numPr>
      </w:pPr>
      <w:r>
        <w:rPr>
          <w:b/>
          <w:bCs/>
        </w:rPr>
        <w:t xml:space="preserve">มิติ:</w:t>
      </w:r>
      <w:r>
        <w:t xml:space="preserve"> </w:t>
      </w:r>
      <w:r>
        <w:t xml:space="preserve">merchant, BIN, issuer country, decline reason, ช่องทาง</w:t>
      </w:r>
    </w:p>
    <w:p>
      <w:pPr>
        <w:pStyle w:val="Compact"/>
        <w:numPr>
          <w:ilvl w:val="0"/>
          <w:numId w:val="1410"/>
        </w:numPr>
      </w:pPr>
      <w:r>
        <w:rPr>
          <w:b/>
          <w:bCs/>
        </w:rPr>
        <w:t xml:space="preserve">ความถี่:</w:t>
      </w:r>
      <w:r>
        <w:t xml:space="preserve"> </w:t>
      </w:r>
      <w:r>
        <w:t xml:space="preserve">streaming (≤ 1 นาที) + ค่าเฉลี่ยเคลื่อนที่ 15 นาที</w:t>
      </w:r>
    </w:p>
    <w:p>
      <w:pPr>
        <w:pStyle w:val="Compact"/>
        <w:numPr>
          <w:ilvl w:val="0"/>
          <w:numId w:val="1410"/>
        </w:numPr>
      </w:pPr>
      <w:r>
        <w:rPr>
          <w:b/>
          <w:bCs/>
        </w:rPr>
        <w:t xml:space="preserve">สัญญาณเฉพาะ:</w:t>
      </w:r>
      <w:r>
        <w:t xml:space="preserve"> </w:t>
      </w:r>
      <w:r>
        <w:t xml:space="preserve">อัตราสูงผิดปกติเฉพาะ</w:t>
      </w:r>
      <w:r>
        <w:t xml:space="preserve"> </w:t>
      </w:r>
      <w:r>
        <w:rPr>
          <w:rStyle w:val="VerbatimChar"/>
        </w:rPr>
        <w:t xml:space="preserve">invalid card</w:t>
      </w:r>
      <w:r>
        <w:t xml:space="preserve"> </w:t>
      </w:r>
      <w:r>
        <w:t xml:space="preserve">+ volume พุ่ง = สัญญาณ</w:t>
      </w:r>
      <w:r>
        <w:t xml:space="preserve"> </w:t>
      </w:r>
      <w:r>
        <w:rPr>
          <w:b/>
          <w:bCs/>
        </w:rPr>
        <w:t xml:space="preserve">card enumeration/BIN attack</w:t>
      </w:r>
      <w:r>
        <w:t xml:space="preserve"> </w:t>
      </w:r>
      <w:r>
        <w:t xml:space="preserve">→ ยกระดับทันที</w:t>
      </w:r>
    </w:p>
    <w:bookmarkEnd w:id="1144"/>
    <w:bookmarkStart w:id="1145" w:name="X0b404397f6e429361116b3e14dbc748305e8960"/>
    <w:p>
      <w:pPr>
        <w:pStyle w:val="Heading3"/>
      </w:pPr>
      <w:r>
        <w:t xml:space="preserve">4.3 KRI-03 — อัตราการคืนเงิน/ข้อโต้แย้ง (Refund / Chargeback Ratio)</w:t>
      </w:r>
    </w:p>
    <w:p>
      <w:pPr>
        <w:pStyle w:val="Compact"/>
        <w:numPr>
          <w:ilvl w:val="0"/>
          <w:numId w:val="1411"/>
        </w:numPr>
      </w:pPr>
      <w:r>
        <w:rPr>
          <w:b/>
          <w:bCs/>
        </w:rPr>
        <w:t xml:space="preserve">นิยาม:</w:t>
      </w:r>
    </w:p>
    <w:p>
      <w:pPr>
        <w:pStyle w:val="Compact"/>
        <w:numPr>
          <w:ilvl w:val="1"/>
          <w:numId w:val="1412"/>
        </w:numPr>
      </w:pPr>
      <w:r>
        <w:rPr>
          <w:rStyle w:val="VerbatimChar"/>
        </w:rPr>
        <w:t xml:space="preserve">refund_ratio</w:t>
      </w:r>
      <w:r>
        <w:t xml:space="preserve"> </w:t>
      </w:r>
      <w:r>
        <w:t xml:space="preserve">= มูลค่า refund ต่อมูลค่าที่ capture</w:t>
      </w:r>
    </w:p>
    <w:p>
      <w:pPr>
        <w:pStyle w:val="Compact"/>
        <w:numPr>
          <w:ilvl w:val="1"/>
          <w:numId w:val="1412"/>
        </w:numPr>
      </w:pPr>
      <w:r>
        <w:rPr>
          <w:rStyle w:val="VerbatimChar"/>
        </w:rPr>
        <w:t xml:space="preserve">chargeback_ratio (count)</w:t>
      </w:r>
      <w:r>
        <w:t xml:space="preserve"> </w:t>
      </w:r>
      <w:r>
        <w:t xml:space="preserve">= จำนวน chargeback ต่อจำนวนธุรกรรมที่ settle</w:t>
      </w:r>
    </w:p>
    <w:p>
      <w:pPr>
        <w:pStyle w:val="Compact"/>
        <w:numPr>
          <w:ilvl w:val="1"/>
          <w:numId w:val="1412"/>
        </w:numPr>
      </w:pPr>
      <w:r>
        <w:rPr>
          <w:rStyle w:val="VerbatimChar"/>
        </w:rPr>
        <w:t xml:space="preserve">chargeback_ratio (value)</w:t>
      </w:r>
      <w:r>
        <w:t xml:space="preserve"> </w:t>
      </w:r>
      <w:r>
        <w:t xml:space="preserve">= มูลค่า chargeback ต่อมูลค่าที่ settle</w:t>
      </w:r>
    </w:p>
    <w:p>
      <w:pPr>
        <w:pStyle w:val="Compact"/>
        <w:numPr>
          <w:ilvl w:val="0"/>
          <w:numId w:val="1411"/>
        </w:numPr>
      </w:pPr>
      <w:r>
        <w:rPr>
          <w:b/>
          <w:bCs/>
        </w:rPr>
        <w:t xml:space="preserve">สูตร:</w:t>
      </w:r>
    </w:p>
    <w:p>
      <w:pPr>
        <w:pStyle w:val="Compact"/>
        <w:numPr>
          <w:ilvl w:val="1"/>
          <w:numId w:val="1413"/>
        </w:numPr>
      </w:pPr>
      <w:r>
        <w:rPr>
          <w:rStyle w:val="VerbatimChar"/>
        </w:rPr>
        <w:t xml:space="preserve">refund_ratio = SUM(refund_amount)/SUM(captured_amount)</w:t>
      </w:r>
    </w:p>
    <w:p>
      <w:pPr>
        <w:pStyle w:val="Compact"/>
        <w:numPr>
          <w:ilvl w:val="1"/>
          <w:numId w:val="1413"/>
        </w:numPr>
      </w:pPr>
      <w:r>
        <w:rPr>
          <w:rStyle w:val="VerbatimChar"/>
        </w:rPr>
        <w:t xml:space="preserve">cb_ratio_count = COUNT(chargebacks)/COUNT(settled_txns)</w:t>
      </w:r>
    </w:p>
    <w:p>
      <w:pPr>
        <w:pStyle w:val="Compact"/>
        <w:numPr>
          <w:ilvl w:val="1"/>
          <w:numId w:val="1413"/>
        </w:numPr>
      </w:pPr>
      <w:r>
        <w:rPr>
          <w:rStyle w:val="VerbatimChar"/>
        </w:rPr>
        <w:t xml:space="preserve">cb_ratio_value = SUM(chargeback_amount)/SUM(settled_amount)</w:t>
      </w:r>
    </w:p>
    <w:p>
      <w:pPr>
        <w:pStyle w:val="Compact"/>
        <w:numPr>
          <w:ilvl w:val="0"/>
          <w:numId w:val="1411"/>
        </w:numPr>
      </w:pPr>
      <w:r>
        <w:rPr>
          <w:b/>
          <w:bCs/>
        </w:rPr>
        <w:t xml:space="preserve">แหล่งข้อมูล:</w:t>
      </w:r>
      <w:r>
        <w:t xml:space="preserve"> </w:t>
      </w:r>
      <w:r>
        <w:rPr>
          <w:rStyle w:val="VerbatimChar"/>
        </w:rPr>
        <w:t xml:space="preserve">refunds</w:t>
      </w:r>
      <w:r>
        <w:t xml:space="preserve">,</w:t>
      </w:r>
      <w:r>
        <w:t xml:space="preserve"> </w:t>
      </w:r>
      <w:r>
        <w:rPr>
          <w:rStyle w:val="VerbatimChar"/>
        </w:rPr>
        <w:t xml:space="preserve">ledger_entries(refund/capture/settlement)</w:t>
      </w:r>
      <w:r>
        <w:t xml:space="preserve">, chargeback feed จาก acquirer/scheme</w:t>
      </w:r>
    </w:p>
    <w:p>
      <w:pPr>
        <w:pStyle w:val="Compact"/>
        <w:numPr>
          <w:ilvl w:val="0"/>
          <w:numId w:val="1411"/>
        </w:numPr>
      </w:pPr>
      <w:r>
        <w:rPr>
          <w:b/>
          <w:bCs/>
        </w:rPr>
        <w:t xml:space="preserve">มิติ:</w:t>
      </w:r>
      <w:r>
        <w:t xml:space="preserve"> </w:t>
      </w:r>
      <w:r>
        <w:t xml:space="preserve">merchant (สำคัญที่สุด), MCC, BIN, reason code (fraud/dispute/processing error)</w:t>
      </w:r>
    </w:p>
    <w:p>
      <w:pPr>
        <w:pStyle w:val="Compact"/>
        <w:numPr>
          <w:ilvl w:val="0"/>
          <w:numId w:val="1411"/>
        </w:numPr>
      </w:pPr>
      <w:r>
        <w:rPr>
          <w:b/>
          <w:bCs/>
        </w:rPr>
        <w:t xml:space="preserve">ความถี่:</w:t>
      </w:r>
      <w:r>
        <w:t xml:space="preserve"> </w:t>
      </w:r>
      <w:r>
        <w:t xml:space="preserve">batch รายวัน (chargeback ตามรอบ settlement) + rolling 30/60/120 วันเพื่อเทียบเกณฑ์แบรนด์</w:t>
      </w:r>
    </w:p>
    <w:p>
      <w:pPr>
        <w:pStyle w:val="Compact"/>
        <w:numPr>
          <w:ilvl w:val="0"/>
          <w:numId w:val="1411"/>
        </w:numPr>
      </w:pPr>
      <w:r>
        <w:rPr>
          <w:b/>
          <w:bCs/>
        </w:rPr>
        <w:t xml:space="preserve">ผูกกับโปรแกรมแบรนด์บัตร:</w:t>
      </w:r>
      <w:r>
        <w:t xml:space="preserve"> </w:t>
      </w:r>
      <w:r>
        <w:t xml:space="preserve">เทียบกับเกณฑ์</w:t>
      </w:r>
      <w:r>
        <w:t xml:space="preserve"> </w:t>
      </w:r>
      <w:r>
        <w:rPr>
          <w:b/>
          <w:bCs/>
        </w:rPr>
        <w:t xml:space="preserve">Visa VAMP</w:t>
      </w:r>
      <w:r>
        <w:t xml:space="preserve"> </w:t>
      </w:r>
      <w:r>
        <w:t xml:space="preserve">และ</w:t>
      </w:r>
      <w:r>
        <w:t xml:space="preserve"> </w:t>
      </w:r>
      <w:r>
        <w:rPr>
          <w:b/>
          <w:bCs/>
        </w:rPr>
        <w:t xml:space="preserve">Mastercard ECP/ECM</w:t>
      </w:r>
      <w:r>
        <w:t xml:space="preserve"> </w:t>
      </w:r>
      <w:r>
        <w:t xml:space="preserve">เพื่อเตือนก่อนถึงระดับที่แบรนด์เข้าเฝ้าระวัง (ค่าปรับ/บทลงโทษ)</w:t>
      </w:r>
    </w:p>
    <w:bookmarkEnd w:id="1145"/>
    <w:bookmarkStart w:id="1146" w:name="kri-04-ผลขาดทนจากการฉอโกง-fraud-loss"/>
    <w:p>
      <w:pPr>
        <w:pStyle w:val="Heading3"/>
      </w:pPr>
      <w:r>
        <w:t xml:space="preserve">4.4 KRI-04 — ผลขาดทุนจากการฉ้อโกง (Fraud Loss)</w:t>
      </w:r>
    </w:p>
    <w:p>
      <w:pPr>
        <w:pStyle w:val="Compact"/>
        <w:numPr>
          <w:ilvl w:val="0"/>
          <w:numId w:val="1414"/>
        </w:numPr>
      </w:pPr>
      <w:r>
        <w:rPr>
          <w:b/>
          <w:bCs/>
        </w:rPr>
        <w:t xml:space="preserve">นิยาม:</w:t>
      </w:r>
      <w:r>
        <w:t xml:space="preserve"> </w:t>
      </w:r>
      <w:r>
        <w:t xml:space="preserve">มูลค่าความสูญเสียสุทธิจากการฉ้อโกงที่ยืนยันแล้ว และอัตราส่วนต่อยอดขาย (แสดงเป็น bps = จุดเบสิส)</w:t>
      </w:r>
    </w:p>
    <w:p>
      <w:pPr>
        <w:pStyle w:val="Compact"/>
        <w:numPr>
          <w:ilvl w:val="0"/>
          <w:numId w:val="1414"/>
        </w:numPr>
      </w:pPr>
      <w:r>
        <w:rPr>
          <w:b/>
          <w:bCs/>
        </w:rPr>
        <w:t xml:space="preserve">สูตร:</w:t>
      </w:r>
    </w:p>
    <w:p>
      <w:pPr>
        <w:pStyle w:val="Compact"/>
        <w:numPr>
          <w:ilvl w:val="1"/>
          <w:numId w:val="1415"/>
        </w:numPr>
      </w:pPr>
      <w:r>
        <w:rPr>
          <w:rStyle w:val="VerbatimChar"/>
        </w:rPr>
        <w:t xml:space="preserve">fraud_loss_thb = SUM(confirmed_fraud_amount − recovered)</w:t>
      </w:r>
    </w:p>
    <w:p>
      <w:pPr>
        <w:pStyle w:val="Compact"/>
        <w:numPr>
          <w:ilvl w:val="1"/>
          <w:numId w:val="1415"/>
        </w:numPr>
      </w:pPr>
      <w:r>
        <w:rPr>
          <w:rStyle w:val="VerbatimChar"/>
        </w:rPr>
        <w:t xml:space="preserve">fraud_bps = (fraud_loss_thb / total_sales_thb) × 10,000</w:t>
      </w:r>
    </w:p>
    <w:p>
      <w:pPr>
        <w:pStyle w:val="Compact"/>
        <w:numPr>
          <w:ilvl w:val="1"/>
          <w:numId w:val="1415"/>
        </w:numPr>
      </w:pPr>
      <w:r>
        <w:rPr>
          <w:rStyle w:val="VerbatimChar"/>
        </w:rPr>
        <w:t xml:space="preserve">fraud_rate_count = COUNT(confirmed_fraud_txns)/COUNT(total_txns)</w:t>
      </w:r>
    </w:p>
    <w:p>
      <w:pPr>
        <w:pStyle w:val="Compact"/>
        <w:numPr>
          <w:ilvl w:val="0"/>
          <w:numId w:val="1414"/>
        </w:numPr>
      </w:pPr>
      <w:r>
        <w:rPr>
          <w:b/>
          <w:bCs/>
        </w:rPr>
        <w:t xml:space="preserve">แหล่งข้อมูล:</w:t>
      </w:r>
      <w:r>
        <w:t xml:space="preserve"> </w:t>
      </w:r>
      <w:r>
        <w:t xml:space="preserve">case management (fraud confirmed), chargeback reason=fraud, ผล 3DS liability shift</w:t>
      </w:r>
    </w:p>
    <w:p>
      <w:pPr>
        <w:pStyle w:val="Compact"/>
        <w:numPr>
          <w:ilvl w:val="0"/>
          <w:numId w:val="1414"/>
        </w:numPr>
      </w:pPr>
      <w:r>
        <w:rPr>
          <w:b/>
          <w:bCs/>
        </w:rPr>
        <w:t xml:space="preserve">มิติ:</w:t>
      </w:r>
      <w:r>
        <w:t xml:space="preserve"> </w:t>
      </w:r>
      <w:r>
        <w:t xml:space="preserve">merchant, MCC, BIN, ช่องทาง, ประเภทฉ้อโกง (CNP, account takeover, friendly fraud)</w:t>
      </w:r>
    </w:p>
    <w:p>
      <w:pPr>
        <w:pStyle w:val="Compact"/>
        <w:numPr>
          <w:ilvl w:val="0"/>
          <w:numId w:val="1414"/>
        </w:numPr>
      </w:pPr>
      <w:r>
        <w:rPr>
          <w:b/>
          <w:bCs/>
        </w:rPr>
        <w:t xml:space="preserve">ความถี่:</w:t>
      </w:r>
      <w:r>
        <w:t xml:space="preserve"> </w:t>
      </w:r>
      <w:r>
        <w:t xml:space="preserve">batch รายวัน + rolling 30/90 วัน</w:t>
      </w:r>
    </w:p>
    <w:p>
      <w:pPr>
        <w:pStyle w:val="Compact"/>
        <w:numPr>
          <w:ilvl w:val="0"/>
          <w:numId w:val="1414"/>
        </w:numPr>
      </w:pPr>
      <w:r>
        <w:rPr>
          <w:b/>
          <w:bCs/>
        </w:rPr>
        <w:t xml:space="preserve">เชื่อมโยง:</w:t>
      </w:r>
      <w:r>
        <w:t xml:space="preserve"> </w:t>
      </w:r>
      <w:r>
        <w:t xml:space="preserve">liability shift จาก 3DS 2.x (เอกสาร 22) ลดผลขาดทุนที่ตกกับ [บริษัท / Company]</w:t>
      </w:r>
    </w:p>
    <w:bookmarkEnd w:id="1146"/>
    <w:bookmarkStart w:id="1147" w:name="kri-สนบสนน-supporting-kris"/>
    <w:p>
      <w:pPr>
        <w:pStyle w:val="Heading3"/>
      </w:pPr>
      <w:r>
        <w:t xml:space="preserve">4.5 KRI สนับสนุน (Supporting KRIs)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รหัส</w:t>
            </w:r>
          </w:p>
        </w:tc>
        <w:tc>
          <w:tcPr/>
          <w:p>
            <w:pPr>
              <w:pStyle w:val="Compact"/>
            </w:pPr>
            <w:r>
              <w:t xml:space="preserve">ตัวชี้วัด</w:t>
            </w:r>
          </w:p>
        </w:tc>
        <w:tc>
          <w:tcPr/>
          <w:p>
            <w:pPr>
              <w:pStyle w:val="Compact"/>
            </w:pPr>
            <w:r>
              <w:t xml:space="preserve">สูตรย่อ</w:t>
            </w:r>
          </w:p>
        </w:tc>
        <w:tc>
          <w:tcPr/>
          <w:p>
            <w:pPr>
              <w:pStyle w:val="Compact"/>
            </w:pPr>
            <w:r>
              <w:t xml:space="preserve">เหตุผล</w:t>
            </w:r>
          </w:p>
        </w:tc>
      </w:tr>
      <w:tr>
        <w:tc>
          <w:tcPr/>
          <w:p>
            <w:pPr>
              <w:pStyle w:val="Compact"/>
            </w:pPr>
            <w:r>
              <w:t xml:space="preserve">KRI-05</w:t>
            </w:r>
          </w:p>
        </w:tc>
        <w:tc>
          <w:tcPr/>
          <w:p>
            <w:pPr>
              <w:pStyle w:val="Compact"/>
            </w:pPr>
            <w:r>
              <w:t xml:space="preserve">3DS authentication success rate</w:t>
            </w:r>
          </w:p>
        </w:tc>
        <w:tc>
          <w:tcPr/>
          <w:p>
            <w:pPr>
              <w:pStyle w:val="Compact"/>
            </w:pPr>
            <w:r>
              <w:rPr>
                <w:rStyle w:val="VerbatimChar"/>
              </w:rPr>
              <w:t xml:space="preserve">authenticated / 3ds_initiated</w:t>
            </w:r>
          </w:p>
        </w:tc>
        <w:tc>
          <w:tcPr/>
          <w:p>
            <w:pPr>
              <w:pStyle w:val="Compact"/>
            </w:pPr>
            <w:r>
              <w:t xml:space="preserve">คุณภาพ 3DS, friction, liability</w:t>
            </w:r>
          </w:p>
        </w:tc>
      </w:tr>
      <w:tr>
        <w:tc>
          <w:tcPr/>
          <w:p>
            <w:pPr>
              <w:pStyle w:val="Compact"/>
            </w:pPr>
            <w:r>
              <w:t xml:space="preserve">KRI-06</w:t>
            </w:r>
          </w:p>
        </w:tc>
        <w:tc>
          <w:tcPr/>
          <w:p>
            <w:pPr>
              <w:pStyle w:val="Compact"/>
            </w:pPr>
            <w:r>
              <w:t xml:space="preserve">Velocity (per card/BIN/IP/device)</w:t>
            </w:r>
          </w:p>
        </w:tc>
        <w:tc>
          <w:tcPr/>
          <w:p>
            <w:pPr>
              <w:pStyle w:val="Compact"/>
            </w:pPr>
            <w:r>
              <w:t xml:space="preserve">จำนวนธุรกรรมต่อหน่วยเวลา</w:t>
            </w:r>
          </w:p>
        </w:tc>
        <w:tc>
          <w:tcPr/>
          <w:p>
            <w:pPr>
              <w:pStyle w:val="Compact"/>
            </w:pPr>
            <w:r>
              <w:t xml:space="preserve">AML structuring, card testing</w:t>
            </w:r>
          </w:p>
        </w:tc>
      </w:tr>
      <w:tr>
        <w:tc>
          <w:tcPr/>
          <w:p>
            <w:pPr>
              <w:pStyle w:val="Compact"/>
            </w:pPr>
            <w:r>
              <w:t xml:space="preserve">KRI-07</w:t>
            </w:r>
          </w:p>
        </w:tc>
        <w:tc>
          <w:tcPr/>
          <w:p>
            <w:pPr>
              <w:pStyle w:val="Compact"/>
            </w:pPr>
            <w:r>
              <w:t xml:space="preserve">System availability</w:t>
            </w:r>
          </w:p>
        </w:tc>
        <w:tc>
          <w:tcPr/>
          <w:p>
            <w:pPr>
              <w:pStyle w:val="Compact"/>
            </w:pPr>
            <w:r>
              <w:rPr>
                <w:rStyle w:val="VerbatimChar"/>
              </w:rPr>
              <w:t xml:space="preserve">uptime / total_time</w:t>
            </w:r>
          </w:p>
        </w:tc>
        <w:tc>
          <w:tcPr/>
          <w:p>
            <w:pPr>
              <w:pStyle w:val="Compact"/>
            </w:pPr>
            <w:r>
              <w:t xml:space="preserve">SLA ≥ 99.95% (ARCHITECTURE.md)</w:t>
            </w:r>
          </w:p>
        </w:tc>
      </w:tr>
      <w:tr>
        <w:tc>
          <w:tcPr/>
          <w:p>
            <w:pPr>
              <w:pStyle w:val="Compact"/>
            </w:pPr>
            <w:r>
              <w:t xml:space="preserve">KRI-08</w:t>
            </w:r>
          </w:p>
        </w:tc>
        <w:tc>
          <w:tcPr/>
          <w:p>
            <w:pPr>
              <w:pStyle w:val="Compact"/>
            </w:pPr>
            <w:r>
              <w:t xml:space="preserve">Auth latency p99</w:t>
            </w:r>
          </w:p>
        </w:tc>
        <w:tc>
          <w:tcPr/>
          <w:p>
            <w:pPr>
              <w:pStyle w:val="Compact"/>
            </w:pPr>
            <w:r>
              <w:t xml:space="preserve">percentile ของ response time</w:t>
            </w:r>
          </w:p>
        </w:tc>
        <w:tc>
          <w:tcPr/>
          <w:p>
            <w:pPr>
              <w:pStyle w:val="Compact"/>
            </w:pPr>
            <w:r>
              <w:t xml:space="preserve">เป้าหมาย &lt; 800 ms</w:t>
            </w:r>
          </w:p>
        </w:tc>
      </w:tr>
      <w:tr>
        <w:tc>
          <w:tcPr/>
          <w:p>
            <w:pPr>
              <w:pStyle w:val="Compact"/>
            </w:pPr>
            <w:r>
              <w:t xml:space="preserve">KRI-09</w:t>
            </w:r>
          </w:p>
        </w:tc>
        <w:tc>
          <w:tcPr/>
          <w:p>
            <w:pPr>
              <w:pStyle w:val="Compact"/>
            </w:pPr>
            <w:r>
              <w:t xml:space="preserve">Reconciliation break rate</w:t>
            </w:r>
          </w:p>
        </w:tc>
        <w:tc>
          <w:tcPr/>
          <w:p>
            <w:pPr>
              <w:pStyle w:val="Compact"/>
            </w:pPr>
            <w:r>
              <w:t xml:space="preserve">รายการ mismatch / รายการทั้งหมด</w:t>
            </w:r>
          </w:p>
        </w:tc>
        <w:tc>
          <w:tcPr/>
          <w:p>
            <w:pPr>
              <w:pStyle w:val="Compact"/>
            </w:pPr>
            <w:r>
              <w:t xml:space="preserve">ความถูกต้องของ ledger/settlement</w:t>
            </w:r>
          </w:p>
        </w:tc>
      </w:tr>
    </w:tbl>
    <w:p>
      <w:r>
        <w:pict>
          <v:rect style="width:0;height:1.5pt" o:hralign="center" o:hrstd="t" o:hr="t"/>
        </w:pict>
      </w:r>
    </w:p>
    <w:bookmarkEnd w:id="1147"/>
    <w:bookmarkEnd w:id="1148"/>
    <w:bookmarkStart w:id="1149" w:name="เกณฑ-thresholds-และสถานะ-traffic-light"/>
    <w:p>
      <w:pPr>
        <w:pStyle w:val="Heading2"/>
      </w:pPr>
      <w:r>
        <w:t xml:space="preserve">5. เกณฑ์ (Thresholds) และสถานะ Traffic-Light</w:t>
      </w:r>
    </w:p>
    <w:p>
      <w:pPr>
        <w:pStyle w:val="BlockText"/>
      </w:pPr>
      <w:r>
        <w:t xml:space="preserve">เกณฑ์เริ่มต้น (initial baseline) — ต้องปรับเทียบ (calibrate) ด้วยข้อมูลจริงในช่วง pilot และอนุมัติโดย Risk Committee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KRI</w:t>
            </w:r>
          </w:p>
        </w:tc>
        <w:tc>
          <w:tcPr/>
          <w:p>
            <w:pPr>
              <w:pStyle w:val="Compact"/>
            </w:pPr>
            <w:r>
              <w:t xml:space="preserve">หน่วย</w:t>
            </w:r>
          </w:p>
        </w:tc>
        <w:tc>
          <w:tcPr/>
          <w:p>
            <w:pPr>
              <w:pStyle w:val="Compact"/>
            </w:pPr>
            <w:r>
              <w:t xml:space="preserve">🟢 Green (ปกติ)</w:t>
            </w:r>
          </w:p>
        </w:tc>
        <w:tc>
          <w:tcPr/>
          <w:p>
            <w:pPr>
              <w:pStyle w:val="Compact"/>
            </w:pPr>
            <w:r>
              <w:t xml:space="preserve">🟡 Amber (เฝ้าระวัง)</w:t>
            </w:r>
          </w:p>
        </w:tc>
        <w:tc>
          <w:tcPr/>
          <w:p>
            <w:pPr>
              <w:pStyle w:val="Compact"/>
            </w:pPr>
            <w:r>
              <w:t xml:space="preserve">🔴 Red (ยกระดับ)</w:t>
            </w:r>
          </w:p>
        </w:tc>
        <w:tc>
          <w:tcPr/>
          <w:p>
            <w:pPr>
              <w:pStyle w:val="Compact"/>
            </w:pPr>
            <w:r>
              <w:t xml:space="preserve">ระดับ</w:t>
            </w:r>
          </w:p>
        </w:tc>
      </w:tr>
      <w:tr>
        <w:tc>
          <w:tcPr/>
          <w:p>
            <w:pPr>
              <w:pStyle w:val="Compact"/>
            </w:pPr>
            <w:r>
              <w:t xml:space="preserve">KRI-01 Volume deviation</w:t>
            </w:r>
          </w:p>
        </w:tc>
        <w:tc>
          <w:tcPr/>
          <w:p>
            <w:pPr>
              <w:pStyle w:val="Compact"/>
            </w:pPr>
            <w:r>
              <w:t xml:space="preserve">% จาก baseline</w:t>
            </w:r>
          </w:p>
        </w:tc>
        <w:tc>
          <w:tcPr/>
          <w:p>
            <w:pPr>
              <w:pStyle w:val="Compact"/>
            </w:pPr>
            <w:r>
              <w:t xml:space="preserve">±25%</w:t>
            </w:r>
          </w:p>
        </w:tc>
        <w:tc>
          <w:tcPr/>
          <w:p>
            <w:pPr>
              <w:pStyle w:val="Compact"/>
            </w:pPr>
            <w:r>
              <w:t xml:space="preserve">±25–50%</w:t>
            </w:r>
          </w:p>
        </w:tc>
        <w:tc>
          <w:tcPr/>
          <w:p>
            <w:pPr>
              <w:pStyle w:val="Compact"/>
            </w:pPr>
            <w:r>
              <w:t xml:space="preserve">&gt; ±50%</w:t>
            </w:r>
          </w:p>
        </w:tc>
        <w:tc>
          <w:tcPr/>
          <w:p>
            <w:pPr>
              <w:pStyle w:val="Compact"/>
            </w:pPr>
            <w:r>
              <w:t xml:space="preserve">portfolio + merchant</w:t>
            </w:r>
          </w:p>
        </w:tc>
      </w:tr>
      <w:tr>
        <w:tc>
          <w:tcPr/>
          <w:p>
            <w:pPr>
              <w:pStyle w:val="Compact"/>
            </w:pPr>
            <w:r>
              <w:t xml:space="preserve">KRI-02 Failed-auth rate</w:t>
            </w:r>
          </w:p>
        </w:tc>
        <w:tc>
          <w:tcPr/>
          <w:p>
            <w:pPr>
              <w:pStyle w:val="Compact"/>
            </w:pPr>
            <w:r>
              <w:t xml:space="preserve">%</w:t>
            </w:r>
          </w:p>
        </w:tc>
        <w:tc>
          <w:tcPr/>
          <w:p>
            <w:pPr>
              <w:pStyle w:val="Compact"/>
            </w:pPr>
            <w:r>
              <w:t xml:space="preserve">&lt; 8%</w:t>
            </w:r>
          </w:p>
        </w:tc>
        <w:tc>
          <w:tcPr/>
          <w:p>
            <w:pPr>
              <w:pStyle w:val="Compact"/>
            </w:pPr>
            <w:r>
              <w:t xml:space="preserve">8–15%</w:t>
            </w:r>
          </w:p>
        </w:tc>
        <w:tc>
          <w:tcPr/>
          <w:p>
            <w:pPr>
              <w:pStyle w:val="Compact"/>
            </w:pPr>
            <w:r>
              <w:t xml:space="preserve">&gt; 15%</w:t>
            </w:r>
          </w:p>
        </w:tc>
        <w:tc>
          <w:tcPr/>
          <w:p>
            <w:pPr>
              <w:pStyle w:val="Compact"/>
            </w:pPr>
            <w:r>
              <w:t xml:space="preserve">portfolio + merchant + BIN</w:t>
            </w:r>
          </w:p>
        </w:tc>
      </w:tr>
      <w:tr>
        <w:tc>
          <w:tcPr/>
          <w:p>
            <w:pPr>
              <w:pStyle w:val="Compact"/>
            </w:pPr>
            <w:r>
              <w:t xml:space="preserve">KRI-02b Card-testing signal (invalid-card spike)</w:t>
            </w:r>
          </w:p>
        </w:tc>
        <w:tc>
          <w:tcPr/>
          <w:p>
            <w:pPr>
              <w:pStyle w:val="Compact"/>
            </w:pPr>
            <w:r>
              <w:t xml:space="preserve">เท่าของ baseline</w:t>
            </w:r>
          </w:p>
        </w:tc>
        <w:tc>
          <w:tcPr/>
          <w:p>
            <w:pPr>
              <w:pStyle w:val="Compact"/>
            </w:pPr>
            <w:r>
              <w:t xml:space="preserve">&lt; 3×</w:t>
            </w:r>
          </w:p>
        </w:tc>
        <w:tc>
          <w:tcPr/>
          <w:p>
            <w:pPr>
              <w:pStyle w:val="Compact"/>
            </w:pPr>
            <w:r>
              <w:t xml:space="preserve">3–5×</w:t>
            </w:r>
          </w:p>
        </w:tc>
        <w:tc>
          <w:tcPr/>
          <w:p>
            <w:pPr>
              <w:pStyle w:val="Compact"/>
            </w:pPr>
            <w:r>
              <w:t xml:space="preserve">&gt; 5×</w:t>
            </w:r>
          </w:p>
        </w:tc>
        <w:tc>
          <w:tcPr/>
          <w:p>
            <w:pPr>
              <w:pStyle w:val="Compact"/>
            </w:pPr>
            <w:r>
              <w:t xml:space="preserve">BIN/IP</w:t>
            </w:r>
          </w:p>
        </w:tc>
      </w:tr>
      <w:tr>
        <w:tc>
          <w:tcPr/>
          <w:p>
            <w:pPr>
              <w:pStyle w:val="Compact"/>
            </w:pPr>
            <w:r>
              <w:t xml:space="preserve">KRI-03 Refund ratio</w:t>
            </w:r>
          </w:p>
        </w:tc>
        <w:tc>
          <w:tcPr/>
          <w:p>
            <w:pPr>
              <w:pStyle w:val="Compact"/>
            </w:pPr>
            <w:r>
              <w:t xml:space="preserve">% ของ captured</w:t>
            </w:r>
          </w:p>
        </w:tc>
        <w:tc>
          <w:tcPr/>
          <w:p>
            <w:pPr>
              <w:pStyle w:val="Compact"/>
            </w:pPr>
            <w:r>
              <w:t xml:space="preserve">&lt; 5%</w:t>
            </w:r>
          </w:p>
        </w:tc>
        <w:tc>
          <w:tcPr/>
          <w:p>
            <w:pPr>
              <w:pStyle w:val="Compact"/>
            </w:pPr>
            <w:r>
              <w:t xml:space="preserve">5–10%</w:t>
            </w:r>
          </w:p>
        </w:tc>
        <w:tc>
          <w:tcPr/>
          <w:p>
            <w:pPr>
              <w:pStyle w:val="Compact"/>
            </w:pPr>
            <w:r>
              <w:t xml:space="preserve">&gt; 10%</w:t>
            </w:r>
          </w:p>
        </w:tc>
        <w:tc>
          <w:tcPr/>
          <w:p>
            <w:pPr>
              <w:pStyle w:val="Compact"/>
            </w:pPr>
            <w:r>
              <w:t xml:space="preserve">merchant</w:t>
            </w:r>
          </w:p>
        </w:tc>
      </w:tr>
      <w:tr>
        <w:tc>
          <w:tcPr/>
          <w:p>
            <w:pPr>
              <w:pStyle w:val="Compact"/>
            </w:pPr>
            <w:r>
              <w:t xml:space="preserve">KRI-03 Chargeback ratio (count)</w:t>
            </w:r>
          </w:p>
        </w:tc>
        <w:tc>
          <w:tcPr/>
          <w:p>
            <w:pPr>
              <w:pStyle w:val="Compact"/>
            </w:pPr>
            <w:r>
              <w:t xml:space="preserve">% ของ settled</w:t>
            </w:r>
          </w:p>
        </w:tc>
        <w:tc>
          <w:tcPr/>
          <w:p>
            <w:pPr>
              <w:pStyle w:val="Compact"/>
            </w:pPr>
            <w:r>
              <w:t xml:space="preserve">&lt; 0.65%</w:t>
            </w:r>
          </w:p>
        </w:tc>
        <w:tc>
          <w:tcPr/>
          <w:p>
            <w:pPr>
              <w:pStyle w:val="Compact"/>
            </w:pPr>
            <w:r>
              <w:t xml:space="preserve">0.65–0.9%</w:t>
            </w:r>
          </w:p>
        </w:tc>
        <w:tc>
          <w:tcPr/>
          <w:p>
            <w:pPr>
              <w:pStyle w:val="Compact"/>
            </w:pPr>
            <w:r>
              <w:t xml:space="preserve">&gt; 0.9%</w:t>
            </w:r>
          </w:p>
        </w:tc>
        <w:tc>
          <w:tcPr/>
          <w:p>
            <w:pPr>
              <w:pStyle w:val="Compact"/>
            </w:pPr>
            <w:r>
              <w:t xml:space="preserve">merchant</w:t>
            </w:r>
          </w:p>
        </w:tc>
      </w:tr>
      <w:tr>
        <w:tc>
          <w:tcPr/>
          <w:p>
            <w:pPr>
              <w:pStyle w:val="Compact"/>
            </w:pPr>
            <w:r>
              <w:t xml:space="preserve">KRI-04 Fraud loss (value)</w:t>
            </w:r>
          </w:p>
        </w:tc>
        <w:tc>
          <w:tcPr/>
          <w:p>
            <w:pPr>
              <w:pStyle w:val="Compact"/>
            </w:pPr>
            <w:r>
              <w:t xml:space="preserve">bps ของยอดขาย</w:t>
            </w:r>
          </w:p>
        </w:tc>
        <w:tc>
          <w:tcPr/>
          <w:p>
            <w:pPr>
              <w:pStyle w:val="Compact"/>
            </w:pPr>
            <w:r>
              <w:t xml:space="preserve">&lt; 10 bps</w:t>
            </w:r>
          </w:p>
        </w:tc>
        <w:tc>
          <w:tcPr/>
          <w:p>
            <w:pPr>
              <w:pStyle w:val="Compact"/>
            </w:pPr>
            <w:r>
              <w:t xml:space="preserve">10–20 bps</w:t>
            </w:r>
          </w:p>
        </w:tc>
        <w:tc>
          <w:tcPr/>
          <w:p>
            <w:pPr>
              <w:pStyle w:val="Compact"/>
            </w:pPr>
            <w:r>
              <w:t xml:space="preserve">&gt; 20 bps</w:t>
            </w:r>
          </w:p>
        </w:tc>
        <w:tc>
          <w:tcPr/>
          <w:p>
            <w:pPr>
              <w:pStyle w:val="Compact"/>
            </w:pPr>
            <w:r>
              <w:t xml:space="preserve">portfolio + merchant</w:t>
            </w:r>
          </w:p>
        </w:tc>
      </w:tr>
      <w:tr>
        <w:tc>
          <w:tcPr/>
          <w:p>
            <w:pPr>
              <w:pStyle w:val="Compact"/>
            </w:pPr>
            <w:r>
              <w:t xml:space="preserve">KRI-05 3DS auth success</w:t>
            </w:r>
          </w:p>
        </w:tc>
        <w:tc>
          <w:tcPr/>
          <w:p>
            <w:pPr>
              <w:pStyle w:val="Compact"/>
            </w:pPr>
            <w:r>
              <w:t xml:space="preserve">%</w:t>
            </w:r>
          </w:p>
        </w:tc>
        <w:tc>
          <w:tcPr/>
          <w:p>
            <w:pPr>
              <w:pStyle w:val="Compact"/>
            </w:pPr>
            <w:r>
              <w:t xml:space="preserve">&gt; 90%</w:t>
            </w:r>
          </w:p>
        </w:tc>
        <w:tc>
          <w:tcPr/>
          <w:p>
            <w:pPr>
              <w:pStyle w:val="Compact"/>
            </w:pPr>
            <w:r>
              <w:t xml:space="preserve">80–90%</w:t>
            </w:r>
          </w:p>
        </w:tc>
        <w:tc>
          <w:tcPr/>
          <w:p>
            <w:pPr>
              <w:pStyle w:val="Compact"/>
            </w:pPr>
            <w:r>
              <w:t xml:space="preserve">&lt; 80%</w:t>
            </w:r>
          </w:p>
        </w:tc>
        <w:tc>
          <w:tcPr/>
          <w:p>
            <w:pPr>
              <w:pStyle w:val="Compact"/>
            </w:pPr>
            <w:r>
              <w:t xml:space="preserve">portfolio</w:t>
            </w:r>
          </w:p>
        </w:tc>
      </w:tr>
      <w:tr>
        <w:tc>
          <w:tcPr/>
          <w:p>
            <w:pPr>
              <w:pStyle w:val="Compact"/>
            </w:pPr>
            <w:r>
              <w:t xml:space="preserve">KRI-07 Availability</w:t>
            </w:r>
          </w:p>
        </w:tc>
        <w:tc>
          <w:tcPr/>
          <w:p>
            <w:pPr>
              <w:pStyle w:val="Compact"/>
            </w:pPr>
            <w:r>
              <w:t xml:space="preserve">% (rolling 30d)</w:t>
            </w:r>
          </w:p>
        </w:tc>
        <w:tc>
          <w:tcPr/>
          <w:p>
            <w:pPr>
              <w:pStyle w:val="Compact"/>
            </w:pPr>
            <w:r>
              <w:t xml:space="preserve">≥ 99.95%</w:t>
            </w:r>
          </w:p>
        </w:tc>
        <w:tc>
          <w:tcPr/>
          <w:p>
            <w:pPr>
              <w:pStyle w:val="Compact"/>
            </w:pPr>
            <w:r>
              <w:t xml:space="preserve">99.9–99.95%</w:t>
            </w:r>
          </w:p>
        </w:tc>
        <w:tc>
          <w:tcPr/>
          <w:p>
            <w:pPr>
              <w:pStyle w:val="Compact"/>
            </w:pPr>
            <w:r>
              <w:t xml:space="preserve">&lt; 99.9%</w:t>
            </w:r>
          </w:p>
        </w:tc>
        <w:tc>
          <w:tcPr/>
          <w:p>
            <w:pPr>
              <w:pStyle w:val="Compact"/>
            </w:pPr>
            <w:r>
              <w:t xml:space="preserve">ระบบ</w:t>
            </w:r>
          </w:p>
        </w:tc>
      </w:tr>
      <w:tr>
        <w:tc>
          <w:tcPr/>
          <w:p>
            <w:pPr>
              <w:pStyle w:val="Compact"/>
            </w:pPr>
            <w:r>
              <w:t xml:space="preserve">KRI-08 Auth latency p99</w:t>
            </w:r>
          </w:p>
        </w:tc>
        <w:tc>
          <w:tcPr/>
          <w:p>
            <w:pPr>
              <w:pStyle w:val="Compact"/>
            </w:pPr>
            <w:r>
              <w:t xml:space="preserve">ms</w:t>
            </w:r>
          </w:p>
        </w:tc>
        <w:tc>
          <w:tcPr/>
          <w:p>
            <w:pPr>
              <w:pStyle w:val="Compact"/>
            </w:pPr>
            <w:r>
              <w:t xml:space="preserve">&lt; 800</w:t>
            </w:r>
          </w:p>
        </w:tc>
        <w:tc>
          <w:tcPr/>
          <w:p>
            <w:pPr>
              <w:pStyle w:val="Compact"/>
            </w:pPr>
            <w:r>
              <w:t xml:space="preserve">800–1200</w:t>
            </w:r>
          </w:p>
        </w:tc>
        <w:tc>
          <w:tcPr/>
          <w:p>
            <w:pPr>
              <w:pStyle w:val="Compact"/>
            </w:pPr>
            <w:r>
              <w:t xml:space="preserve">&gt; 1200</w:t>
            </w:r>
          </w:p>
        </w:tc>
        <w:tc>
          <w:tcPr/>
          <w:p>
            <w:pPr>
              <w:pStyle w:val="Compact"/>
            </w:pPr>
            <w:r>
              <w:t xml:space="preserve">ระบบ</w:t>
            </w:r>
          </w:p>
        </w:tc>
      </w:tr>
    </w:tbl>
    <w:p>
      <w:pPr>
        <w:pStyle w:val="BlockText"/>
      </w:pPr>
      <w:r>
        <w:rPr>
          <w:b/>
          <w:bCs/>
        </w:rPr>
        <w:t xml:space="preserve">[TODO/ข้อสมมติ]</w:t>
      </w:r>
      <w:r>
        <w:t xml:space="preserve"> </w:t>
      </w:r>
      <w:r>
        <w:t xml:space="preserve">เกณฑ์ chargeback 0.9% และ fraud bps อ้างอิงแนวเกณฑ์ทั่วไปของ Visa/Mastercard ต้องยืนยันตัวเลขที่บังคับใช้จริงกับ</w:t>
      </w:r>
      <w:r>
        <w:t xml:space="preserve"> </w:t>
      </w:r>
      <w:r>
        <w:rPr>
          <w:b/>
          <w:bCs/>
        </w:rPr>
        <w:t xml:space="preserve">sponsor bank/scheme</w:t>
      </w:r>
      <w:r>
        <w:t xml:space="preserve"> </w:t>
      </w:r>
      <w:r>
        <w:t xml:space="preserve">— ตั้ง Amber ต่ำกว่าเกณฑ์แบรนด์เพื่อเตือนล่วงหน้าเสมอ</w:t>
      </w:r>
    </w:p>
    <w:p>
      <w:r>
        <w:pict>
          <v:rect style="width:0;height:1.5pt" o:hralign="center" o:hrstd="t" o:hr="t"/>
        </w:pict>
      </w:r>
    </w:p>
    <w:bookmarkEnd w:id="1149"/>
    <w:bookmarkStart w:id="1150" w:name="X2e34ba5d6c57fb2147be6e44b8f09f18a1c73a8"/>
    <w:p>
      <w:pPr>
        <w:pStyle w:val="Heading2"/>
      </w:pPr>
      <w:r>
        <w:t xml:space="preserve">6. สัญญาณเตือนและการยกระดับ (Alerting &amp; Escalation)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สถานะ</w:t>
            </w:r>
          </w:p>
        </w:tc>
        <w:tc>
          <w:tcPr/>
          <w:p>
            <w:pPr>
              <w:pStyle w:val="Compact"/>
            </w:pPr>
            <w:r>
              <w:t xml:space="preserve">ช่องทางแจ้ง</w:t>
            </w:r>
          </w:p>
        </w:tc>
        <w:tc>
          <w:tcPr/>
          <w:p>
            <w:pPr>
              <w:pStyle w:val="Compact"/>
            </w:pPr>
            <w:r>
              <w:t xml:space="preserve">ผู้รับ</w:t>
            </w:r>
          </w:p>
        </w:tc>
        <w:tc>
          <w:tcPr/>
          <w:p>
            <w:pPr>
              <w:pStyle w:val="Compact"/>
            </w:pPr>
            <w:r>
              <w:t xml:space="preserve">SLA ตอบสนอง (triage)</w:t>
            </w:r>
          </w:p>
        </w:tc>
        <w:tc>
          <w:tcPr/>
          <w:p>
            <w:pPr>
              <w:pStyle w:val="Compact"/>
            </w:pPr>
            <w:r>
              <w:t xml:space="preserve">การยกระดับ</w:t>
            </w:r>
          </w:p>
        </w:tc>
      </w:tr>
      <w:tr>
        <w:tc>
          <w:tcPr/>
          <w:p>
            <w:pPr>
              <w:pStyle w:val="Compact"/>
            </w:pPr>
            <w:r>
              <w:t xml:space="preserve">🟡 Amber</w:t>
            </w:r>
          </w:p>
        </w:tc>
        <w:tc>
          <w:tcPr/>
          <w:p>
            <w:pPr>
              <w:pStyle w:val="Compact"/>
            </w:pPr>
            <w:r>
              <w:t xml:space="preserve">Dashboard + อีเมล/Slack</w:t>
            </w:r>
          </w:p>
        </w:tc>
        <w:tc>
          <w:tcPr/>
          <w:p>
            <w:pPr>
              <w:pStyle w:val="Compact"/>
            </w:pPr>
            <w:r>
              <w:t xml:space="preserve">Fraud &amp; Risk Ops</w:t>
            </w:r>
          </w:p>
        </w:tc>
        <w:tc>
          <w:tcPr/>
          <w:p>
            <w:pPr>
              <w:pStyle w:val="Compact"/>
            </w:pPr>
            <w:r>
              <w:t xml:space="preserve">ภายใน 4 ชม. (เวลาทำการ)</w:t>
            </w:r>
          </w:p>
        </w:tc>
        <w:tc>
          <w:tcPr/>
          <w:p>
            <w:pPr>
              <w:pStyle w:val="Compact"/>
            </w:pPr>
            <w:r>
              <w:t xml:space="preserve">บันทึก + เฝ้าระวังถี่ขึ้น</w:t>
            </w:r>
          </w:p>
        </w:tc>
      </w:tr>
      <w:tr>
        <w:tc>
          <w:tcPr/>
          <w:p>
            <w:pPr>
              <w:pStyle w:val="Compact"/>
            </w:pPr>
            <w:r>
              <w:t xml:space="preserve">🔴 Red</w:t>
            </w:r>
          </w:p>
        </w:tc>
        <w:tc>
          <w:tcPr/>
          <w:p>
            <w:pPr>
              <w:pStyle w:val="Compact"/>
            </w:pPr>
            <w:r>
              <w:t xml:space="preserve">Dashboard + PagerDuty/โทร + Slack</w:t>
            </w:r>
          </w:p>
        </w:tc>
        <w:tc>
          <w:tcPr/>
          <w:p>
            <w:pPr>
              <w:pStyle w:val="Compact"/>
            </w:pPr>
            <w:r>
              <w:t xml:space="preserve">Fraud Ops on-call + Head of Payment Ops</w:t>
            </w:r>
          </w:p>
        </w:tc>
        <w:tc>
          <w:tcPr/>
          <w:p>
            <w:pPr>
              <w:pStyle w:val="Compact"/>
            </w:pPr>
            <w:r>
              <w:t xml:space="preserve">ภายใน 30 นาที (24/7)</w:t>
            </w:r>
          </w:p>
        </w:tc>
        <w:tc>
          <w:tcPr/>
          <w:p>
            <w:pPr>
              <w:pStyle w:val="Compact"/>
            </w:pPr>
            <w:r>
              <w:t xml:space="preserve">เปิด incident, แจ้ง CRO/CISO</w:t>
            </w:r>
          </w:p>
        </w:tc>
      </w:tr>
      <w:tr>
        <w:tc>
          <w:tcPr/>
          <w:p>
            <w:pPr>
              <w:pStyle w:val="Compact"/>
            </w:pPr>
            <w:r>
              <w:t xml:space="preserve">🔴 Red (card-testing/BIN attack)</w:t>
            </w:r>
          </w:p>
        </w:tc>
        <w:tc>
          <w:tcPr/>
          <w:p>
            <w:pPr>
              <w:pStyle w:val="Compact"/>
            </w:pPr>
            <w:r>
              <w:t xml:space="preserve">อัตโนมัติ</w:t>
            </w:r>
          </w:p>
        </w:tc>
        <w:tc>
          <w:tcPr/>
          <w:p>
            <w:pPr>
              <w:pStyle w:val="Compact"/>
            </w:pPr>
            <w:r>
              <w:t xml:space="preserve">Fraud Ops + SecOps</w:t>
            </w:r>
          </w:p>
        </w:tc>
        <w:tc>
          <w:tcPr/>
          <w:p>
            <w:pPr>
              <w:pStyle w:val="Compact"/>
            </w:pPr>
            <w:r>
              <w:t xml:space="preserve">ทันที (auto)</w:t>
            </w:r>
          </w:p>
        </w:tc>
        <w:tc>
          <w:tcPr/>
          <w:p>
            <w:pPr>
              <w:pStyle w:val="Compact"/>
            </w:pPr>
            <w:r>
              <w:t xml:space="preserve">เปิด rate-limit/velocity block ตาม runbook</w:t>
            </w:r>
          </w:p>
        </w:tc>
      </w:tr>
      <w:tr>
        <w:tc>
          <w:tcPr/>
          <w:p>
            <w:pPr>
              <w:pStyle w:val="Compact"/>
            </w:pPr>
            <w:r>
              <w:t xml:space="preserve">🔴 Red (fraud/AML pattern)</w:t>
            </w:r>
          </w:p>
        </w:tc>
        <w:tc>
          <w:tcPr/>
          <w:p>
            <w:pPr>
              <w:pStyle w:val="Compact"/>
            </w:pPr>
            <w:r>
              <w:t xml:space="preserve">อัตโนมัติ</w:t>
            </w:r>
          </w:p>
        </w:tc>
        <w:tc>
          <w:tcPr/>
          <w:p>
            <w:pPr>
              <w:pStyle w:val="Compact"/>
            </w:pPr>
            <w:r>
              <w:t xml:space="preserve">MLRO/AMLCO</w:t>
            </w:r>
          </w:p>
        </w:tc>
        <w:tc>
          <w:tcPr/>
          <w:p>
            <w:pPr>
              <w:pStyle w:val="Compact"/>
            </w:pPr>
            <w:r>
              <w:t xml:space="preserve">ภายใน 24 ชม.</w:t>
            </w:r>
          </w:p>
        </w:tc>
        <w:tc>
          <w:tcPr/>
          <w:p>
            <w:pPr>
              <w:pStyle w:val="Compact"/>
            </w:pPr>
            <w:r>
              <w:t xml:space="preserve">ประเมิน SAR/STR (เอกสาร 07)</w:t>
            </w:r>
          </w:p>
        </w:tc>
      </w:tr>
    </w:tbl>
    <w:p>
      <w:pPr>
        <w:pStyle w:val="BodyText"/>
      </w:pPr>
      <w:r>
        <w:rPr>
          <w:b/>
          <w:bCs/>
        </w:rPr>
        <w:t xml:space="preserve">การตอบสนองอัตโนมัติ (automated controls):</w:t>
      </w:r>
      <w:r>
        <w:t xml:space="preserve"> </w:t>
      </w:r>
      <w:r>
        <w:t xml:space="preserve">เมื่อ KRI-02b (card-testing) เข้า Red ระบบสามารถทริกเกอร์ velocity block, step-up 3DS challenge หรือ temporary merchant hold ตาม runbook โดยบันทึกทุกการกระทำลง</w:t>
      </w:r>
      <w:r>
        <w:t xml:space="preserve"> </w:t>
      </w:r>
      <w:r>
        <w:rPr>
          <w:rStyle w:val="VerbatimChar"/>
        </w:rPr>
        <w:t xml:space="preserve">audit_log</w:t>
      </w:r>
    </w:p>
    <w:p>
      <w:pPr>
        <w:pStyle w:val="BodyText"/>
      </w:pPr>
      <w:r>
        <w:rPr>
          <w:b/>
          <w:bCs/>
        </w:rPr>
        <w:t xml:space="preserve">การเชื่อมกับ Incident Response (เอกสาร 16):</w:t>
      </w:r>
      <w:r>
        <w:t xml:space="preserve"> </w:t>
      </w:r>
      <w:r>
        <w:t xml:space="preserve">ทุก Red ที่เข้าข่ายเหตุการณ์ความมั่นคงปลอดภัยหรือ availability ต้องเปิด incident ticket และเข้าสู่กระบวนการ IR รวมถึงการแจ้ง ธปท./PDPC ตามกำหนดเวลาหากเข้าเงื่อนไข</w:t>
      </w:r>
    </w:p>
    <w:p>
      <w:r>
        <w:pict>
          <v:rect style="width:0;height:1.5pt" o:hralign="center" o:hrstd="t" o:hr="t"/>
        </w:pict>
      </w:r>
    </w:p>
    <w:bookmarkEnd w:id="1150"/>
    <w:bookmarkStart w:id="1151" w:name="Xbf1c195b6b017d0d0a5db194b62edaf0ad9b54d"/>
    <w:p>
      <w:pPr>
        <w:pStyle w:val="Heading2"/>
      </w:pPr>
      <w:r>
        <w:t xml:space="preserve">7. สถาปัตยกรรมข้อมูลและการนำไปปฏิบัติ (Data &amp; Implementation)</w:t>
      </w:r>
    </w:p>
    <w:p>
      <w:pPr>
        <w:pStyle w:val="SourceCode"/>
      </w:pPr>
      <w:r>
        <w:rPr>
          <w:rStyle w:val="VerbatimChar"/>
        </w:rPr>
        <w:t xml:space="preserve">payment core (Go/Fiber) ──write──▶ Postgres (payments, ledger_entries, refunds, audit_log)</w:t>
      </w:r>
      <w:r>
        <w:br/>
      </w:r>
      <w:r>
        <w:rPr>
          <w:rStyle w:val="VerbatimChar"/>
        </w:rPr>
        <w:t xml:space="preserve">                                          │  logical replication / CDC</w:t>
      </w:r>
      <w:r>
        <w:br/>
      </w:r>
      <w:r>
        <w:rPr>
          <w:rStyle w:val="VerbatimChar"/>
        </w:rPr>
        <w:t xml:space="preserve">                                          ▼</w:t>
      </w:r>
      <w:r>
        <w:br/>
      </w:r>
      <w:r>
        <w:rPr>
          <w:rStyle w:val="VerbatimChar"/>
        </w:rPr>
        <w:t xml:space="preserve">                              Read Replica / Analytics store</w:t>
      </w:r>
      <w:r>
        <w:br/>
      </w:r>
      <w:r>
        <w:rPr>
          <w:rStyle w:val="VerbatimChar"/>
        </w:rPr>
        <w:t xml:space="preserve">                                          │</w:t>
      </w:r>
      <w:r>
        <w:br/>
      </w:r>
      <w:r>
        <w:rPr>
          <w:rStyle w:val="VerbatimChar"/>
        </w:rPr>
        <w:t xml:space="preserve">                          ┌───────────────┴───────────────┐</w:t>
      </w:r>
      <w:r>
        <w:br/>
      </w:r>
      <w:r>
        <w:rPr>
          <w:rStyle w:val="VerbatimChar"/>
        </w:rPr>
        <w:t xml:space="preserve">                     streaming (นาที)                batch (รายวัน)</w:t>
      </w:r>
      <w:r>
        <w:br/>
      </w:r>
      <w:r>
        <w:rPr>
          <w:rStyle w:val="VerbatimChar"/>
        </w:rPr>
        <w:t xml:space="preserve">                     volume, failed-auth,           chargeback, fraud loss,</w:t>
      </w:r>
      <w:r>
        <w:br/>
      </w:r>
      <w:r>
        <w:rPr>
          <w:rStyle w:val="VerbatimChar"/>
        </w:rPr>
        <w:t xml:space="preserve">                     velocity, latency              reconciliation break</w:t>
      </w:r>
      <w:r>
        <w:br/>
      </w:r>
      <w:r>
        <w:rPr>
          <w:rStyle w:val="VerbatimChar"/>
        </w:rPr>
        <w:t xml:space="preserve">                                          │</w:t>
      </w:r>
      <w:r>
        <w:br/>
      </w:r>
      <w:r>
        <w:rPr>
          <w:rStyle w:val="VerbatimChar"/>
        </w:rPr>
        <w:t xml:space="preserve">                                          ▼</w:t>
      </w:r>
      <w:r>
        <w:br/>
      </w:r>
      <w:r>
        <w:rPr>
          <w:rStyle w:val="VerbatimChar"/>
        </w:rPr>
        <w:t xml:space="preserve">                              KRI compute service ──▶ threshold engine ──▶ alerting</w:t>
      </w:r>
      <w:r>
        <w:br/>
      </w:r>
      <w:r>
        <w:rPr>
          <w:rStyle w:val="VerbatimChar"/>
        </w:rPr>
        <w:t xml:space="preserve">                                          │</w:t>
      </w:r>
      <w:r>
        <w:br/>
      </w:r>
      <w:r>
        <w:rPr>
          <w:rStyle w:val="VerbatimChar"/>
        </w:rPr>
        <w:t xml:space="preserve">                                          ▼</w:t>
      </w:r>
      <w:r>
        <w:br/>
      </w:r>
      <w:r>
        <w:rPr>
          <w:rStyle w:val="VerbatimChar"/>
        </w:rPr>
        <w:t xml:space="preserve">                                   KRI Dashboard (RBAC + MFA)</w:t>
      </w:r>
    </w:p>
    <w:p>
      <w:pPr>
        <w:pStyle w:val="Compact"/>
        <w:numPr>
          <w:ilvl w:val="0"/>
          <w:numId w:val="1416"/>
        </w:numPr>
      </w:pPr>
      <w:r>
        <w:rPr>
          <w:b/>
          <w:bCs/>
        </w:rPr>
        <w:t xml:space="preserve">การเข้าถึง:</w:t>
      </w:r>
      <w:r>
        <w:t xml:space="preserve"> </w:t>
      </w:r>
      <w:r>
        <w:t xml:space="preserve">RBAC + MFA (PCI Req 7-8); merchant เห็นเฉพาะข้อมูลตนเอง; ผู้บริหารเห็น portfolio</w:t>
      </w:r>
    </w:p>
    <w:p>
      <w:pPr>
        <w:pStyle w:val="Compact"/>
        <w:numPr>
          <w:ilvl w:val="0"/>
          <w:numId w:val="1416"/>
        </w:numPr>
      </w:pPr>
      <w:r>
        <w:rPr>
          <w:b/>
          <w:bCs/>
        </w:rPr>
        <w:t xml:space="preserve">การเก็บรักษา:</w:t>
      </w:r>
      <w:r>
        <w:t xml:space="preserve"> </w:t>
      </w:r>
      <w:r>
        <w:t xml:space="preserve">ข้อมูล KRI aggregate เก็บ ≥ 5 ปี (สอดคล้องเอกสาร 11 data retention และข้อกำหนด ธปท./AML)</w:t>
      </w:r>
    </w:p>
    <w:p>
      <w:pPr>
        <w:pStyle w:val="Compact"/>
        <w:numPr>
          <w:ilvl w:val="0"/>
          <w:numId w:val="1416"/>
        </w:numPr>
      </w:pPr>
      <w:r>
        <w:rPr>
          <w:b/>
          <w:bCs/>
        </w:rPr>
        <w:t xml:space="preserve">ความเป็นส่วนตัว (PDPA):</w:t>
      </w:r>
      <w:r>
        <w:t xml:space="preserve"> </w:t>
      </w:r>
      <w:r>
        <w:t xml:space="preserve">ข้อมูลบน dashboard เป็น aggregate/pseudonymized; การเข้าถึง raw ต้องมีสิทธิ์และลง log</w:t>
      </w:r>
    </w:p>
    <w:p>
      <w:pPr>
        <w:pStyle w:val="Compact"/>
        <w:numPr>
          <w:ilvl w:val="0"/>
          <w:numId w:val="1416"/>
        </w:numPr>
      </w:pPr>
      <w:r>
        <w:rPr>
          <w:b/>
          <w:bCs/>
        </w:rPr>
        <w:t xml:space="preserve">Data quality:</w:t>
      </w:r>
      <w:r>
        <w:t xml:space="preserve"> </w:t>
      </w:r>
      <w:r>
        <w:t xml:space="preserve">KRI-09 (reconciliation break) และการตรวจ completeness ของ pipeline เป็นตัวควบคุมความถูกต้องของ dashboard เอง</w:t>
      </w:r>
    </w:p>
    <w:p>
      <w:pPr>
        <w:pStyle w:val="BlockText"/>
      </w:pPr>
      <w:r>
        <w:rPr>
          <w:b/>
          <w:bCs/>
        </w:rPr>
        <w:t xml:space="preserve">[TODO/ข้อสมมติ]</w:t>
      </w:r>
      <w:r>
        <w:t xml:space="preserve"> </w:t>
      </w:r>
      <w:r>
        <w:t xml:space="preserve">การเลือก stack เฉพาะ (เช่น ClickHouse/Grafana/Metabase/managed BI) ยังไม่ผูกขาด — ต้องยืนยันในสถาปัตยกรรม data platform และให้อยู่ในไทยตามข้อกำหนด data residency ของ ธปท./PDPA</w:t>
      </w:r>
    </w:p>
    <w:p>
      <w:r>
        <w:pict>
          <v:rect style="width:0;height:1.5pt" o:hralign="center" o:hrstd="t" o:hr="t"/>
        </w:pict>
      </w:r>
    </w:p>
    <w:bookmarkEnd w:id="1151"/>
    <w:bookmarkStart w:id="1152" w:name="X8d2f339f097d131c695de2527f6e75563494672"/>
    <w:p>
      <w:pPr>
        <w:pStyle w:val="Heading2"/>
      </w:pPr>
      <w:r>
        <w:t xml:space="preserve">8. การทบทวน ปรับเทียบ และหลักฐานการตรวจสอบ (Review &amp; Audit)</w:t>
      </w:r>
    </w:p>
    <w:p>
      <w:pPr>
        <w:pStyle w:val="Compact"/>
        <w:numPr>
          <w:ilvl w:val="0"/>
          <w:numId w:val="1417"/>
        </w:numPr>
      </w:pPr>
      <w:r>
        <w:rPr>
          <w:b/>
          <w:bCs/>
        </w:rPr>
        <w:t xml:space="preserve">Calibration:</w:t>
      </w:r>
      <w:r>
        <w:t xml:space="preserve"> </w:t>
      </w:r>
      <w:r>
        <w:t xml:space="preserve">ทบทวน threshold ทุกไตรมาส ด้วย backtest ต่อข้อมูลจริง; บันทึกเหตุผลการเปลี่ยนทุกครั้งลง</w:t>
      </w:r>
      <w:r>
        <w:t xml:space="preserve"> </w:t>
      </w:r>
      <w:r>
        <w:rPr>
          <w:rStyle w:val="VerbatimChar"/>
        </w:rPr>
        <w:t xml:space="preserve">audit_log</w:t>
      </w:r>
    </w:p>
    <w:p>
      <w:pPr>
        <w:pStyle w:val="Compact"/>
        <w:numPr>
          <w:ilvl w:val="0"/>
          <w:numId w:val="1417"/>
        </w:numPr>
      </w:pPr>
      <w:r>
        <w:rPr>
          <w:b/>
          <w:bCs/>
        </w:rPr>
        <w:t xml:space="preserve">Backtesting:</w:t>
      </w:r>
      <w:r>
        <w:t xml:space="preserve"> </w:t>
      </w:r>
      <w:r>
        <w:t xml:space="preserve">ทดสอบว่าเกณฑ์จับเหตุการณ์จริง (true positive) และลด noise (false positive) ได้เพียงพอ</w:t>
      </w:r>
    </w:p>
    <w:p>
      <w:pPr>
        <w:pStyle w:val="Compact"/>
        <w:numPr>
          <w:ilvl w:val="0"/>
          <w:numId w:val="1417"/>
        </w:numPr>
      </w:pPr>
      <w:r>
        <w:rPr>
          <w:b/>
          <w:bCs/>
        </w:rPr>
        <w:t xml:space="preserve">หลักฐานสำหรับ ธปท./QSA:</w:t>
      </w:r>
      <w:r>
        <w:t xml:space="preserve"> </w:t>
      </w:r>
      <w:r>
        <w:t xml:space="preserve">เก็บสแนปช็อต dashboard รายเดือน, log การ acknowledge alert, บันทึก risk acceptance และรายงานต่อคณะกรรมการ</w:t>
      </w:r>
    </w:p>
    <w:p>
      <w:pPr>
        <w:pStyle w:val="Compact"/>
        <w:numPr>
          <w:ilvl w:val="0"/>
          <w:numId w:val="1417"/>
        </w:numPr>
      </w:pPr>
      <w:r>
        <w:rPr>
          <w:b/>
          <w:bCs/>
        </w:rPr>
        <w:t xml:space="preserve">การเชื่อมโยงเอกสาร:</w:t>
      </w:r>
      <w:r>
        <w:t xml:space="preserve"> </w:t>
      </w:r>
      <w:r>
        <w:t xml:space="preserve">เอกสาร 05/07 (AML/SAR), 13 (IT Risk), 16 (Incident Response), 22 (3DS), 24 (Scheme Certification)</w:t>
      </w:r>
    </w:p>
    <w:p>
      <w:r>
        <w:pict>
          <v:rect style="width:0;height:1.5pt" o:hralign="center" o:hrstd="t" o:hr="t"/>
        </w:pict>
      </w:r>
    </w:p>
    <w:bookmarkEnd w:id="1152"/>
    <w:bookmarkEnd w:id="1153"/>
    <w:bookmarkStart w:id="1170" w:name="X9be325b3d92250cf5493ecfdc65ce503752111c"/>
    <w:p>
      <w:pPr>
        <w:pStyle w:val="Heading1"/>
      </w:pPr>
      <w:r>
        <w:t xml:space="preserve">Key Risk Indicator dashboard spec: txn volume, failed-auth rate, refund/chargeback ratio, fraud loss (English)</w:t>
      </w:r>
    </w:p>
    <w:p>
      <w:pPr>
        <w:pStyle w:val="BlockText"/>
      </w:pPr>
      <w:r>
        <w:t xml:space="preserve">Document</w:t>
      </w:r>
      <w:r>
        <w:t xml:space="preserve"> </w:t>
      </w:r>
      <w:r>
        <w:rPr>
          <w:b/>
          <w:bCs/>
        </w:rPr>
        <w:t xml:space="preserve">No. 32</w:t>
      </w:r>
      <w:r>
        <w:t xml:space="preserve"> </w:t>
      </w:r>
      <w:r>
        <w:t xml:space="preserve">in the Compliance document set for the</w:t>
      </w:r>
      <w:r>
        <w:t xml:space="preserve"> </w:t>
      </w:r>
      <w:r>
        <w:rPr>
          <w:b/>
          <w:bCs/>
        </w:rPr>
        <w:t xml:space="preserve">Full Acquiring payment-service license application</w:t>
      </w:r>
      <w:r>
        <w:t xml:space="preserve"> </w:t>
      </w:r>
      <w:r>
        <w:t xml:space="preserve">under the</w:t>
      </w:r>
      <w:r>
        <w:t xml:space="preserve"> </w:t>
      </w:r>
      <w:r>
        <w:rPr>
          <w:b/>
          <w:bCs/>
        </w:rPr>
        <w:t xml:space="preserve">Payment Systems Act B.E. 2560 (2017)</w:t>
      </w:r>
      <w:r>
        <w:t xml:space="preserve">, regulated by the</w:t>
      </w:r>
      <w:r>
        <w:t xml:space="preserve"> </w:t>
      </w:r>
      <w:r>
        <w:rPr>
          <w:b/>
          <w:bCs/>
        </w:rPr>
        <w:t xml:space="preserve">Bank of Thailand (BOT)</w:t>
      </w:r>
      <w:r>
        <w:t xml:space="preserve">, in parallel with</w:t>
      </w:r>
      <w:r>
        <w:t xml:space="preserve"> </w:t>
      </w:r>
      <w:r>
        <w:rPr>
          <w:b/>
          <w:bCs/>
        </w:rPr>
        <w:t xml:space="preserve">PCI-DSS Level 1</w:t>
      </w:r>
      <w:r>
        <w:t xml:space="preserve">.</w:t>
      </w:r>
    </w:p>
    <w:p>
      <w:pPr>
        <w:pStyle w:val="BlockText"/>
      </w:pPr>
      <w:r>
        <w:rPr>
          <w:b/>
          <w:bCs/>
        </w:rPr>
        <w:t xml:space="preserve">Status:</w:t>
      </w:r>
      <w:r>
        <w:t xml:space="preserve"> </w:t>
      </w:r>
      <w:r>
        <w:t xml:space="preserve">Submission draft · Version 0.1 · Last updated 2026-07-22</w:t>
      </w:r>
      <w:r>
        <w:t xml:space="preserve"> </w:t>
      </w:r>
      <w:r>
        <w:rPr>
          <w:b/>
          <w:bCs/>
        </w:rPr>
        <w:t xml:space="preserve">Owner:</w:t>
      </w:r>
      <w:r>
        <w:t xml:space="preserve"> </w:t>
      </w:r>
      <w:r>
        <w:t xml:space="preserve">Chief Risk Officer (CRO), jointly with the CISO and Head of Payment Operations of</w:t>
      </w:r>
      <w:r>
        <w:t xml:space="preserve"> </w:t>
      </w:r>
      <w:r>
        <w:rPr>
          <w:b/>
          <w:bCs/>
        </w:rPr>
        <w:t xml:space="preserve">[บริษัท / Company]</w:t>
      </w:r>
      <w:r>
        <w:t xml:space="preserve"> </w:t>
      </w:r>
      <w:r>
        <w:rPr>
          <w:b/>
          <w:bCs/>
        </w:rPr>
        <w:t xml:space="preserve">Audience:</w:t>
      </w:r>
      <w:r>
        <w:t xml:space="preserve"> </w:t>
      </w:r>
      <w:r>
        <w:t xml:space="preserve">Risk Committee, IT Risk &amp; Security Working Group, Fraud &amp; Risk Operations, MLRO/AMLCO, Internal Audit</w:t>
      </w:r>
    </w:p>
    <w:p>
      <w:pPr>
        <w:pStyle w:val="BlockText"/>
      </w:pPr>
      <w:r>
        <w:t xml:space="preserve">This is a system specification and license-application artefact —</w:t>
      </w:r>
      <w:r>
        <w:t xml:space="preserve"> </w:t>
      </w:r>
      <w:r>
        <w:rPr>
          <w:b/>
          <w:bCs/>
        </w:rPr>
        <w:t xml:space="preserve">not legal advice</w:t>
      </w:r>
      <w:r>
        <w:t xml:space="preserve">. It must be reviewed by legal counsel, the CRO, CISO, MLRO and the QSA before it takes effect, as BOT rules on IT risk, cyber resilience and acquirer supervision may change.</w:t>
      </w:r>
    </w:p>
    <w:p>
      <w:r>
        <w:pict>
          <v:rect style="width:0;height:1.5pt" o:hralign="center" o:hrstd="t" o:hr="t"/>
        </w:pict>
      </w:r>
    </w:p>
    <w:bookmarkStart w:id="1154" w:name="executive-summary-7"/>
    <w:p>
      <w:pPr>
        <w:pStyle w:val="Heading2"/>
      </w:pPr>
      <w:r>
        <w:t xml:space="preserve">Executive Summary</w:t>
      </w:r>
    </w:p>
    <w:p>
      <w:pPr>
        <w:pStyle w:val="FirstParagraph"/>
      </w:pPr>
      <w:r>
        <w:t xml:space="preserve">As a card</w:t>
      </w:r>
      <w:r>
        <w:t xml:space="preserve"> </w:t>
      </w:r>
      <w:r>
        <w:rPr>
          <w:b/>
          <w:bCs/>
        </w:rPr>
        <w:t xml:space="preserve">acquiring payment gateway</w:t>
      </w:r>
      <w:r>
        <w:t xml:space="preserve">,</w:t>
      </w:r>
      <w:r>
        <w:t xml:space="preserve"> </w:t>
      </w:r>
      <w:r>
        <w:rPr>
          <w:b/>
          <w:bCs/>
        </w:rPr>
        <w:t xml:space="preserve">[บริษัท / Company]</w:t>
      </w:r>
      <w:r>
        <w:t xml:space="preserve"> </w:t>
      </w:r>
      <w:r>
        <w:t xml:space="preserve">must monitor operational, fraud, AML and availability risks in near-real-time. This document specifies the requirements for a</w:t>
      </w:r>
      <w:r>
        <w:t xml:space="preserve"> </w:t>
      </w:r>
      <w:r>
        <w:rPr>
          <w:b/>
          <w:bCs/>
        </w:rPr>
        <w:t xml:space="preserve">Key Risk Indicator (KRI) Dashboard</w:t>
      </w:r>
      <w:r>
        <w:t xml:space="preserve"> </w:t>
      </w:r>
      <w:r>
        <w:t xml:space="preserve">that consolidates four core indicator families plus supporting indicators, giving management and the Board visibility of risk posture against the Board-approved</w:t>
      </w:r>
      <w:r>
        <w:t xml:space="preserve"> </w:t>
      </w:r>
      <w:r>
        <w:rPr>
          <w:b/>
          <w:bCs/>
        </w:rPr>
        <w:t xml:space="preserve">Risk Appetite</w:t>
      </w:r>
      <w:r>
        <w:t xml:space="preserve">.</w:t>
      </w:r>
    </w:p>
    <w:p>
      <w:pPr>
        <w:pStyle w:val="BodyText"/>
      </w:pPr>
      <w:r>
        <w:t xml:space="preserve">The four core indicators in scope:</w:t>
      </w:r>
    </w:p>
    <w:p>
      <w:pPr>
        <w:pStyle w:val="Compact"/>
        <w:numPr>
          <w:ilvl w:val="0"/>
          <w:numId w:val="1418"/>
        </w:numPr>
      </w:pPr>
      <w:r>
        <w:rPr>
          <w:b/>
          <w:bCs/>
        </w:rPr>
        <w:t xml:space="preserve">Transaction Volume</w:t>
      </w:r>
      <w:r>
        <w:t xml:space="preserve"> </w:t>
      </w:r>
      <w:r>
        <w:t xml:space="preserve">— count and value (THB) to detect volumetric anomalies and capacity risk.</w:t>
      </w:r>
    </w:p>
    <w:p>
      <w:pPr>
        <w:pStyle w:val="Compact"/>
        <w:numPr>
          <w:ilvl w:val="0"/>
          <w:numId w:val="1418"/>
        </w:numPr>
      </w:pPr>
      <w:r>
        <w:rPr>
          <w:b/>
          <w:bCs/>
        </w:rPr>
        <w:t xml:space="preserve">Failed-Authorization Rate</w:t>
      </w:r>
      <w:r>
        <w:t xml:space="preserve"> </w:t>
      </w:r>
      <w:r>
        <w:t xml:space="preserve">— share of declines/failures, signalling technical faults, attacks (card testing / enumeration) and routing quality.</w:t>
      </w:r>
    </w:p>
    <w:p>
      <w:pPr>
        <w:pStyle w:val="Compact"/>
        <w:numPr>
          <w:ilvl w:val="0"/>
          <w:numId w:val="1418"/>
        </w:numPr>
      </w:pPr>
      <w:r>
        <w:rPr>
          <w:b/>
          <w:bCs/>
        </w:rPr>
        <w:t xml:space="preserve">Refund / Chargeback Ratio</w:t>
      </w:r>
      <w:r>
        <w:t xml:space="preserve"> </w:t>
      </w:r>
      <w:r>
        <w:t xml:space="preserve">— refund and chargeback ratios versus sales; an indicator of merchant risk, fraud and exposure to card-scheme monitoring programs.</w:t>
      </w:r>
    </w:p>
    <w:p>
      <w:pPr>
        <w:pStyle w:val="Compact"/>
        <w:numPr>
          <w:ilvl w:val="0"/>
          <w:numId w:val="1418"/>
        </w:numPr>
      </w:pPr>
      <w:r>
        <w:rPr>
          <w:b/>
          <w:bCs/>
        </w:rPr>
        <w:t xml:space="preserve">Fraud Loss</w:t>
      </w:r>
      <w:r>
        <w:t xml:space="preserve"> </w:t>
      </w:r>
      <w:r>
        <w:t xml:space="preserve">— value and ratio (bps) of confirmed fraud losses.</w:t>
      </w:r>
    </w:p>
    <w:p>
      <w:pPr>
        <w:pStyle w:val="FirstParagraph"/>
      </w:pPr>
      <w:r>
        <w:t xml:space="preserve">The dashboard is a</w:t>
      </w:r>
      <w:r>
        <w:t xml:space="preserve"> </w:t>
      </w:r>
      <w:r>
        <w:rPr>
          <w:b/>
          <w:bCs/>
        </w:rPr>
        <w:t xml:space="preserve">monitoring layer</w:t>
      </w:r>
      <w:r>
        <w:t xml:space="preserve"> </w:t>
      </w:r>
      <w:r>
        <w:t xml:space="preserve">sourced from architecture tables (</w:t>
      </w:r>
      <w:r>
        <w:rPr>
          <w:rStyle w:val="VerbatimChar"/>
        </w:rPr>
        <w:t xml:space="preserve">payments</w:t>
      </w:r>
      <w:r>
        <w:t xml:space="preserve">,</w:t>
      </w:r>
      <w:r>
        <w:t xml:space="preserve"> </w:t>
      </w:r>
      <w:r>
        <w:rPr>
          <w:rStyle w:val="VerbatimChar"/>
        </w:rPr>
        <w:t xml:space="preserve">ledger_entries</w:t>
      </w:r>
      <w:r>
        <w:t xml:space="preserve">,</w:t>
      </w:r>
      <w:r>
        <w:t xml:space="preserve"> </w:t>
      </w:r>
      <w:r>
        <w:rPr>
          <w:rStyle w:val="VerbatimChar"/>
        </w:rPr>
        <w:t xml:space="preserve">refunds</w:t>
      </w:r>
      <w:r>
        <w:t xml:space="preserve">,</w:t>
      </w:r>
      <w:r>
        <w:t xml:space="preserve"> </w:t>
      </w:r>
      <w:r>
        <w:rPr>
          <w:rStyle w:val="VerbatimChar"/>
        </w:rPr>
        <w:t xml:space="preserve">webhook_events</w:t>
      </w:r>
      <w:r>
        <w:t xml:space="preserve">,</w:t>
      </w:r>
      <w:r>
        <w:t xml:space="preserve"> </w:t>
      </w:r>
      <w:r>
        <w:rPr>
          <w:rStyle w:val="VerbatimChar"/>
        </w:rPr>
        <w:t xml:space="preserve">audit_log</w:t>
      </w:r>
      <w:r>
        <w:t xml:space="preserve">) and wired to the</w:t>
      </w:r>
      <w:r>
        <w:t xml:space="preserve"> </w:t>
      </w:r>
      <w:r>
        <w:rPr>
          <w:b/>
          <w:bCs/>
        </w:rPr>
        <w:t xml:space="preserve">alerting</w:t>
      </w:r>
      <w:r>
        <w:t xml:space="preserve"> </w:t>
      </w:r>
      <w:r>
        <w:t xml:space="preserve">and</w:t>
      </w:r>
      <w:r>
        <w:t xml:space="preserve"> </w:t>
      </w:r>
      <w:r>
        <w:rPr>
          <w:b/>
          <w:bCs/>
        </w:rPr>
        <w:t xml:space="preserve">escalation</w:t>
      </w:r>
      <w:r>
        <w:t xml:space="preserve"> </w:t>
      </w:r>
      <w:r>
        <w:t xml:space="preserve">mechanisms below, consistent with the Three Lines of Defense and Board risk reporting described in Docs 13 (IT Risk) and 05/07 (AML/SAR).</w:t>
      </w:r>
    </w:p>
    <w:p>
      <w:r>
        <w:pict>
          <v:rect style="width:0;height:1.5pt" o:hralign="center" o:hrstd="t" o:hr="t"/>
        </w:pict>
      </w:r>
    </w:p>
    <w:bookmarkEnd w:id="1154"/>
    <w:bookmarkStart w:id="1155" w:name="legal-standards-basis-1"/>
    <w:p>
      <w:pPr>
        <w:pStyle w:val="Heading2"/>
      </w:pPr>
      <w:r>
        <w:t xml:space="preserve">1. Legal &amp; Standards Basis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Law / Standard</w:t>
            </w:r>
          </w:p>
        </w:tc>
        <w:tc>
          <w:tcPr/>
          <w:p>
            <w:pPr>
              <w:pStyle w:val="Compact"/>
            </w:pPr>
            <w:r>
              <w:t xml:space="preserve">Relevance to the KRI Dashboard</w:t>
            </w:r>
          </w:p>
        </w:tc>
      </w:tr>
      <w:tr>
        <w:tc>
          <w:tcPr/>
          <w:p>
            <w:pPr>
              <w:pStyle w:val="Compact"/>
            </w:pPr>
            <w:r>
              <w:rPr>
                <w:b/>
                <w:bCs/>
              </w:rPr>
              <w:t xml:space="preserve">Payment Systems Act B.E. 2560</w:t>
            </w:r>
          </w:p>
        </w:tc>
        <w:tc>
          <w:tcPr/>
          <w:p>
            <w:pPr>
              <w:pStyle w:val="Compact"/>
            </w:pPr>
            <w:r>
              <w:t xml:space="preserve">License conditions require a sound risk-management, internal-control and reporting system, supervised by</w:t>
            </w:r>
            <w:r>
              <w:t xml:space="preserve"> </w:t>
            </w:r>
            <w:r>
              <w:rPr>
                <w:b/>
                <w:bCs/>
              </w:rPr>
              <w:t xml:space="preserve">BOT</w:t>
            </w:r>
            <w:r>
              <w:t xml:space="preserve"> </w:t>
            </w:r>
            <w:r>
              <w:t xml:space="preserve">— the KRI Dashboard evidences quantitative risk monitoring.</w:t>
            </w:r>
          </w:p>
        </w:tc>
      </w:tr>
      <w:tr>
        <w:tc>
          <w:tcPr/>
          <w:p>
            <w:pPr>
              <w:pStyle w:val="Compact"/>
            </w:pPr>
            <w:r>
              <w:rPr>
                <w:b/>
                <w:bCs/>
              </w:rPr>
              <w:t xml:space="preserve">BOT IT Risk &amp; Cyber Resilience guidelines</w:t>
            </w:r>
          </w:p>
        </w:tc>
        <w:tc>
          <w:tcPr/>
          <w:p>
            <w:pPr>
              <w:pStyle w:val="Compact"/>
            </w:pPr>
            <w:r>
              <w:t xml:space="preserve">Require monitoring, indicators and Board reporting, including capacity management and anomaly handling.</w:t>
            </w:r>
          </w:p>
        </w:tc>
      </w:tr>
      <w:tr>
        <w:tc>
          <w:tcPr/>
          <w:p>
            <w:pPr>
              <w:pStyle w:val="Compact"/>
            </w:pPr>
            <w:r>
              <w:rPr>
                <w:b/>
                <w:bCs/>
              </w:rPr>
              <w:t xml:space="preserve">Anti-Money Laundering Act (AMLO)</w:t>
            </w:r>
          </w:p>
        </w:tc>
        <w:tc>
          <w:tcPr/>
          <w:p>
            <w:pPr>
              <w:pStyle w:val="Compact"/>
            </w:pPr>
            <w:r>
              <w:t xml:space="preserve">Velocity, structuring and anomalous-transaction KRIs feed the SAR/STR process (see Docs 05, 07).</w:t>
            </w:r>
          </w:p>
        </w:tc>
      </w:tr>
      <w:tr>
        <w:tc>
          <w:tcPr/>
          <w:p>
            <w:pPr>
              <w:pStyle w:val="Compact"/>
            </w:pPr>
            <w:r>
              <w:rPr>
                <w:b/>
                <w:bCs/>
              </w:rPr>
              <w:t xml:space="preserve">PCI-DSS v4.0</w:t>
            </w:r>
            <w:r>
              <w:t xml:space="preserve"> </w:t>
            </w:r>
            <w:r>
              <w:t xml:space="preserve">— Req 10 &amp; 12.10</w:t>
            </w:r>
          </w:p>
        </w:tc>
        <w:tc>
          <w:tcPr/>
          <w:p>
            <w:pPr>
              <w:pStyle w:val="Compact"/>
            </w:pPr>
            <w:r>
              <w:t xml:space="preserve">Logging, monitoring and anomaly detection; the dashboard must contain no PAN/CHD; indicator-driven events link to incident response.</w:t>
            </w:r>
          </w:p>
        </w:tc>
      </w:tr>
      <w:tr>
        <w:tc>
          <w:tcPr/>
          <w:p>
            <w:pPr>
              <w:pStyle w:val="Compact"/>
            </w:pPr>
            <w:r>
              <w:rPr>
                <w:b/>
                <w:bCs/>
              </w:rPr>
              <w:t xml:space="preserve">PDPA B.E. 2562</w:t>
            </w:r>
            <w:r>
              <w:t xml:space="preserve"> </w:t>
            </w:r>
            <w:r>
              <w:t xml:space="preserve">—</w:t>
            </w:r>
            <w:r>
              <w:t xml:space="preserve"> </w:t>
            </w:r>
            <w:r>
              <w:rPr>
                <w:b/>
                <w:bCs/>
              </w:rPr>
              <w:t xml:space="preserve">PDPC</w:t>
            </w:r>
          </w:p>
        </w:tc>
        <w:tc>
          <w:tcPr/>
          <w:p>
            <w:pPr>
              <w:pStyle w:val="Compact"/>
            </w:pPr>
            <w:r>
              <w:t xml:space="preserve">Aggregated dashboard data must apply data minimization; access controlled on least-privilege basis.</w:t>
            </w:r>
          </w:p>
        </w:tc>
      </w:tr>
      <w:tr>
        <w:tc>
          <w:tcPr/>
          <w:p>
            <w:pPr>
              <w:pStyle w:val="Compact"/>
            </w:pPr>
            <w:r>
              <w:rPr>
                <w:b/>
                <w:bCs/>
              </w:rPr>
              <w:t xml:space="preserve">EMV 3-D Secure (3DS) 2.x</w:t>
            </w:r>
          </w:p>
        </w:tc>
        <w:tc>
          <w:tcPr/>
          <w:p>
            <w:pPr>
              <w:pStyle w:val="Compact"/>
            </w:pPr>
            <w:r>
              <w:t xml:space="preserve">Authentication rate, challenge rate and frictionless outcomes feed fraud and failed-auth KRIs.</w:t>
            </w:r>
          </w:p>
        </w:tc>
      </w:tr>
      <w:tr>
        <w:tc>
          <w:tcPr/>
          <w:p>
            <w:pPr>
              <w:pStyle w:val="Compact"/>
            </w:pPr>
            <w:r>
              <w:rPr>
                <w:b/>
                <w:bCs/>
              </w:rPr>
              <w:t xml:space="preserve">Visa VAMP / Mastercard ECP/ECM</w:t>
            </w:r>
          </w:p>
        </w:tc>
        <w:tc>
          <w:tcPr/>
          <w:p>
            <w:pPr>
              <w:pStyle w:val="Compact"/>
            </w:pPr>
            <w:r>
              <w:t xml:space="preserve">Scheme chargeback/fraud thresholds used to set KRI thresholds.</w:t>
            </w:r>
          </w:p>
        </w:tc>
      </w:tr>
      <w:tr>
        <w:tc>
          <w:tcPr/>
          <w:p>
            <w:pPr>
              <w:pStyle w:val="Compact"/>
            </w:pPr>
            <w:r>
              <w:rPr>
                <w:b/>
                <w:bCs/>
              </w:rPr>
              <w:t xml:space="preserve">ISO/IEC 27001:2022, NIST CSF 2.0</w:t>
            </w:r>
          </w:p>
        </w:tc>
        <w:tc>
          <w:tcPr/>
          <w:p>
            <w:pPr>
              <w:pStyle w:val="Compact"/>
            </w:pPr>
            <w:r>
              <w:t xml:space="preserve">Detect function and control-effectiveness measurement.</w:t>
            </w:r>
          </w:p>
        </w:tc>
      </w:tr>
    </w:tbl>
    <w:p>
      <w:pPr>
        <w:pStyle w:val="BlockText"/>
      </w:pPr>
      <w:r>
        <w:rPr>
          <w:b/>
          <w:bCs/>
        </w:rPr>
        <w:t xml:space="preserve">[TODO/ASSUMPTION]</w:t>
      </w:r>
      <w:r>
        <w:t xml:space="preserve"> </w:t>
      </w:r>
      <w:r>
        <w:t xml:space="preserve">Confirm with counsel and BOT the exact number/year of the latest applicable IT-risk and reporting notices at filing time and align references.</w:t>
      </w:r>
    </w:p>
    <w:p>
      <w:pPr>
        <w:pStyle w:val="BlockText"/>
      </w:pPr>
      <w:r>
        <w:rPr>
          <w:b/>
          <w:bCs/>
        </w:rPr>
        <w:t xml:space="preserve">[TODO/ASSUMPTION]</w:t>
      </w:r>
      <w:r>
        <w:t xml:space="preserve"> </w:t>
      </w:r>
      <w:r>
        <w:rPr>
          <w:b/>
          <w:bCs/>
        </w:rPr>
        <w:t xml:space="preserve">Visa VAMP</w:t>
      </w:r>
      <w:r>
        <w:t xml:space="preserve"> </w:t>
      </w:r>
      <w:r>
        <w:t xml:space="preserve">and</w:t>
      </w:r>
      <w:r>
        <w:t xml:space="preserve"> </w:t>
      </w:r>
      <w:r>
        <w:rPr>
          <w:b/>
          <w:bCs/>
        </w:rPr>
        <w:t xml:space="preserve">Mastercard ECP/ECM</w:t>
      </w:r>
      <w:r>
        <w:t xml:space="preserve"> </w:t>
      </w:r>
      <w:r>
        <w:t xml:space="preserve">thresholds reference current public scheme documentation — confirm the actually-binding figures with the</w:t>
      </w:r>
      <w:r>
        <w:t xml:space="preserve"> </w:t>
      </w:r>
      <w:r>
        <w:rPr>
          <w:b/>
          <w:bCs/>
        </w:rPr>
        <w:t xml:space="preserve">sponsor bank / scheme</w:t>
      </w:r>
      <w:r>
        <w:t xml:space="preserve"> </w:t>
      </w:r>
      <w:r>
        <w:t xml:space="preserve">at contracting (see Doc 24, Scheme Certification).</w:t>
      </w:r>
    </w:p>
    <w:p>
      <w:r>
        <w:pict>
          <v:rect style="width:0;height:1.5pt" o:hralign="center" o:hrstd="t" o:hr="t"/>
        </w:pict>
      </w:r>
    </w:p>
    <w:bookmarkEnd w:id="1155"/>
    <w:bookmarkStart w:id="1157" w:name="scope-objectives-design-principles"/>
    <w:p>
      <w:pPr>
        <w:pStyle w:val="Heading2"/>
      </w:pPr>
      <w:r>
        <w:t xml:space="preserve">2. Scope, Objectives &amp; Design Principles</w:t>
      </w:r>
    </w:p>
    <w:p>
      <w:pPr>
        <w:pStyle w:val="FirstParagraph"/>
      </w:pPr>
      <w:r>
        <w:rPr>
          <w:b/>
          <w:bCs/>
        </w:rPr>
        <w:t xml:space="preserve">Objective:</w:t>
      </w:r>
      <w:r>
        <w:t xml:space="preserve"> </w:t>
      </w:r>
      <w:r>
        <w:t xml:space="preserve">Provide a single pane of glass over quantitative risk to (1) detect early-warning signals before risks become incidents, (2) benchmark against Risk Appetite, (3) support BOT and Board reporting, and (4) feed evidence into AML/SAR and chargeback management.</w:t>
      </w:r>
    </w:p>
    <w:p>
      <w:pPr>
        <w:pStyle w:val="BodyText"/>
      </w:pPr>
      <w:r>
        <w:rPr>
          <w:b/>
          <w:bCs/>
        </w:rPr>
        <w:t xml:space="preserve">Scope:</w:t>
      </w:r>
      <w:r>
        <w:t xml:space="preserve"> </w:t>
      </w:r>
      <w:r>
        <w:t xml:space="preserve">The four core indicators (txn volume, failed-auth rate, refund/chargeback ratio, fraud loss) plus supporting indicators (3DS authentication rate, decline-reason breakdown, velocity, system availability/latency), at</w:t>
      </w:r>
      <w:r>
        <w:t xml:space="preserve"> </w:t>
      </w:r>
      <w:r>
        <w:rPr>
          <w:b/>
          <w:bCs/>
        </w:rPr>
        <w:t xml:space="preserve">portfolio</w:t>
      </w:r>
      <w:r>
        <w:t xml:space="preserve">,</w:t>
      </w:r>
      <w:r>
        <w:t xml:space="preserve"> </w:t>
      </w:r>
      <w:r>
        <w:rPr>
          <w:b/>
          <w:bCs/>
        </w:rPr>
        <w:t xml:space="preserve">merchant</w:t>
      </w:r>
      <w:r>
        <w:t xml:space="preserve">, and</w:t>
      </w:r>
      <w:r>
        <w:t xml:space="preserve"> </w:t>
      </w:r>
      <w:r>
        <w:rPr>
          <w:b/>
          <w:bCs/>
        </w:rPr>
        <w:t xml:space="preserve">BIN/country/MCC/channel</w:t>
      </w:r>
      <w:r>
        <w:t xml:space="preserve"> </w:t>
      </w:r>
      <w:r>
        <w:t xml:space="preserve">levels.</w:t>
      </w:r>
    </w:p>
    <w:bookmarkStart w:id="1156" w:name="design-principles"/>
    <w:p>
      <w:pPr>
        <w:pStyle w:val="Heading3"/>
      </w:pPr>
      <w:r>
        <w:t xml:space="preserve">Design Principles</w:t>
      </w:r>
    </w:p>
    <w:p>
      <w:pPr>
        <w:pStyle w:val="Compact"/>
        <w:numPr>
          <w:ilvl w:val="0"/>
          <w:numId w:val="1419"/>
        </w:numPr>
      </w:pPr>
      <w:r>
        <w:rPr>
          <w:b/>
          <w:bCs/>
        </w:rPr>
        <w:t xml:space="preserve">No CHD on the dashboard</w:t>
      </w:r>
      <w:r>
        <w:t xml:space="preserve"> </w:t>
      </w:r>
      <w:r>
        <w:t xml:space="preserve">— only</w:t>
      </w:r>
      <w:r>
        <w:t xml:space="preserve"> </w:t>
      </w:r>
      <w:r>
        <w:rPr>
          <w:rStyle w:val="VerbatimChar"/>
        </w:rPr>
        <w:t xml:space="preserve">card_brand</w:t>
      </w:r>
      <w:r>
        <w:t xml:space="preserve">,</w:t>
      </w:r>
      <w:r>
        <w:t xml:space="preserve"> </w:t>
      </w:r>
      <w:r>
        <w:rPr>
          <w:rStyle w:val="VerbatimChar"/>
        </w:rPr>
        <w:t xml:space="preserve">card_last4</w:t>
      </w:r>
      <w:r>
        <w:t xml:space="preserve">,</w:t>
      </w:r>
      <w:r>
        <w:t xml:space="preserve"> </w:t>
      </w:r>
      <w:r>
        <w:rPr>
          <w:rStyle w:val="VerbatimChar"/>
        </w:rPr>
        <w:t xml:space="preserve">bin (first 6-8)</w:t>
      </w:r>
      <w:r>
        <w:t xml:space="preserve">, MCC, country may be shown; never PAN/CVV/PIN (per ARCHITECTURE.md §6).</w:t>
      </w:r>
    </w:p>
    <w:p>
      <w:pPr>
        <w:pStyle w:val="Compact"/>
        <w:numPr>
          <w:ilvl w:val="0"/>
          <w:numId w:val="1419"/>
        </w:numPr>
      </w:pPr>
      <w:r>
        <w:rPr>
          <w:b/>
          <w:bCs/>
        </w:rPr>
        <w:t xml:space="preserve">Single source of truth</w:t>
      </w:r>
      <w:r>
        <w:t xml:space="preserve"> </w:t>
      </w:r>
      <w:r>
        <w:t xml:space="preserve">— computed primarily from</w:t>
      </w:r>
      <w:r>
        <w:t xml:space="preserve"> </w:t>
      </w:r>
      <w:r>
        <w:rPr>
          <w:rStyle w:val="VerbatimChar"/>
        </w:rPr>
        <w:t xml:space="preserve">ledger_entries</w:t>
      </w:r>
      <w:r>
        <w:t xml:space="preserve"> </w:t>
      </w:r>
      <w:r>
        <w:t xml:space="preserve">(append-only) and</w:t>
      </w:r>
      <w:r>
        <w:t xml:space="preserve"> </w:t>
      </w:r>
      <w:r>
        <w:rPr>
          <w:rStyle w:val="VerbatimChar"/>
        </w:rPr>
        <w:t xml:space="preserve">payments</w:t>
      </w:r>
      <w:r>
        <w:t xml:space="preserve"> </w:t>
      </w:r>
      <w:r>
        <w:t xml:space="preserve">so figures reconcile with settlement.</w:t>
      </w:r>
    </w:p>
    <w:p>
      <w:pPr>
        <w:pStyle w:val="Compact"/>
        <w:numPr>
          <w:ilvl w:val="0"/>
          <w:numId w:val="1419"/>
        </w:numPr>
      </w:pPr>
      <w:r>
        <w:rPr>
          <w:b/>
          <w:bCs/>
        </w:rPr>
        <w:t xml:space="preserve">Money as integer minor units (satang)</w:t>
      </w:r>
      <w:r>
        <w:t xml:space="preserve"> </w:t>
      </w:r>
      <w:r>
        <w:t xml:space="preserve">— ratios computed with decimal, never float.</w:t>
      </w:r>
    </w:p>
    <w:p>
      <w:pPr>
        <w:pStyle w:val="Compact"/>
        <w:numPr>
          <w:ilvl w:val="0"/>
          <w:numId w:val="1419"/>
        </w:numPr>
      </w:pPr>
      <w:r>
        <w:rPr>
          <w:b/>
          <w:bCs/>
        </w:rPr>
        <w:t xml:space="preserve">Separate read layer (replica)</w:t>
      </w:r>
      <w:r>
        <w:t xml:space="preserve"> </w:t>
      </w:r>
      <w:r>
        <w:t xml:space="preserve">— analytics reads from a replica isolated from the payment core to avoid impacting authorization latency.</w:t>
      </w:r>
    </w:p>
    <w:p>
      <w:pPr>
        <w:pStyle w:val="Compact"/>
        <w:numPr>
          <w:ilvl w:val="0"/>
          <w:numId w:val="1419"/>
        </w:numPr>
      </w:pPr>
      <w:r>
        <w:rPr>
          <w:b/>
          <w:bCs/>
        </w:rPr>
        <w:t xml:space="preserve">Traffic-light + thresholds</w:t>
      </w:r>
      <w:r>
        <w:t xml:space="preserve"> </w:t>
      </w:r>
      <w:r>
        <w:t xml:space="preserve">— every KRI carries Green/Amber/Red status against Board-approved thresholds.</w:t>
      </w:r>
    </w:p>
    <w:p>
      <w:pPr>
        <w:pStyle w:val="Compact"/>
        <w:numPr>
          <w:ilvl w:val="0"/>
          <w:numId w:val="1419"/>
        </w:numPr>
      </w:pPr>
      <w:r>
        <w:rPr>
          <w:b/>
          <w:bCs/>
        </w:rPr>
        <w:t xml:space="preserve">Auditability</w:t>
      </w:r>
      <w:r>
        <w:t xml:space="preserve"> </w:t>
      </w:r>
      <w:r>
        <w:t xml:space="preserve">— every threshold change, alert acknowledgement and risk acceptance is written to</w:t>
      </w:r>
      <w:r>
        <w:t xml:space="preserve"> </w:t>
      </w:r>
      <w:r>
        <w:rPr>
          <w:rStyle w:val="VerbatimChar"/>
        </w:rPr>
        <w:t xml:space="preserve">audit_log</w:t>
      </w:r>
      <w:r>
        <w:t xml:space="preserve">.</w:t>
      </w:r>
    </w:p>
    <w:p>
      <w:pPr>
        <w:pStyle w:val="Compact"/>
        <w:numPr>
          <w:ilvl w:val="0"/>
          <w:numId w:val="1419"/>
        </w:numPr>
      </w:pPr>
      <w:r>
        <w:rPr>
          <w:b/>
          <w:bCs/>
        </w:rPr>
        <w:t xml:space="preserve">Near-real-time + batch</w:t>
      </w:r>
      <w:r>
        <w:t xml:space="preserve"> </w:t>
      </w:r>
      <w:r>
        <w:t xml:space="preserve">— operational KRIs (volume, failed-auth, velocity) refresh via streaming/minute; settlement-dependent KRIs (chargeback, confirmed fraud loss) refresh via daily batch.</w:t>
      </w:r>
    </w:p>
    <w:p>
      <w:r>
        <w:pict>
          <v:rect style="width:0;height:1.5pt" o:hralign="center" o:hrstd="t" o:hr="t"/>
        </w:pict>
      </w:r>
    </w:p>
    <w:bookmarkEnd w:id="1156"/>
    <w:bookmarkEnd w:id="1157"/>
    <w:bookmarkStart w:id="1159" w:name="governance-raci"/>
    <w:p>
      <w:pPr>
        <w:pStyle w:val="Heading2"/>
      </w:pPr>
      <w:r>
        <w:t xml:space="preserve">3. Governance &amp; RACI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 for the KRI Dashboard</w:t>
            </w:r>
          </w:p>
        </w:tc>
      </w:tr>
      <w:tr>
        <w:tc>
          <w:tcPr/>
          <w:p>
            <w:pPr>
              <w:pStyle w:val="Compact"/>
            </w:pPr>
            <w:r>
              <w:rPr>
                <w:b/>
                <w:bCs/>
              </w:rPr>
              <w:t xml:space="preserve">Board</w:t>
            </w:r>
          </w:p>
        </w:tc>
        <w:tc>
          <w:tcPr/>
          <w:p>
            <w:pPr>
              <w:pStyle w:val="Compact"/>
            </w:pPr>
            <w:r>
              <w:t xml:space="preserve">Approves Risk Appetite and Red-level KRI thresholds; receives quarterly summary.</w:t>
            </w:r>
          </w:p>
        </w:tc>
      </w:tr>
      <w:tr>
        <w:tc>
          <w:tcPr/>
          <w:p>
            <w:pPr>
              <w:pStyle w:val="Compact"/>
            </w:pPr>
            <w:r>
              <w:rPr>
                <w:b/>
                <w:bCs/>
              </w:rPr>
              <w:t xml:space="preserve">Risk Committee</w:t>
            </w:r>
          </w:p>
        </w:tc>
        <w:tc>
          <w:tcPr/>
          <w:p>
            <w:pPr>
              <w:pStyle w:val="Compact"/>
            </w:pPr>
            <w:r>
              <w:t xml:space="preserve">Reviews KRIs quarterly, approves threshold changes, oversees remediation.</w:t>
            </w:r>
          </w:p>
        </w:tc>
      </w:tr>
      <w:tr>
        <w:tc>
          <w:tcPr/>
          <w:p>
            <w:pPr>
              <w:pStyle w:val="Compact"/>
            </w:pPr>
            <w:r>
              <w:rPr>
                <w:b/>
                <w:bCs/>
              </w:rPr>
              <w:t xml:space="preserve">CRO (owner)</w:t>
            </w:r>
          </w:p>
        </w:tc>
        <w:tc>
          <w:tcPr/>
          <w:p>
            <w:pPr>
              <w:pStyle w:val="Compact"/>
            </w:pPr>
            <w:r>
              <w:rPr>
                <w:b/>
                <w:bCs/>
              </w:rPr>
              <w:t xml:space="preserve">Accountable</w:t>
            </w:r>
            <w:r>
              <w:t xml:space="preserve"> </w:t>
            </w:r>
            <w:r>
              <w:t xml:space="preserve">for the whole KRI framework; reports to Risk Committee.</w:t>
            </w:r>
          </w:p>
        </w:tc>
      </w:tr>
      <w:tr>
        <w:tc>
          <w:tcPr/>
          <w:p>
            <w:pPr>
              <w:pStyle w:val="Compact"/>
            </w:pPr>
            <w:r>
              <w:rPr>
                <w:b/>
                <w:bCs/>
              </w:rPr>
              <w:t xml:space="preserve">CISO</w:t>
            </w:r>
          </w:p>
        </w:tc>
        <w:tc>
          <w:tcPr/>
          <w:p>
            <w:pPr>
              <w:pStyle w:val="Compact"/>
            </w:pPr>
            <w:r>
              <w:rPr>
                <w:b/>
                <w:bCs/>
              </w:rPr>
              <w:t xml:space="preserve">Responsible</w:t>
            </w:r>
            <w:r>
              <w:t xml:space="preserve"> </w:t>
            </w:r>
            <w:r>
              <w:t xml:space="preserve">for availability/latency/security KRIs and log integrity.</w:t>
            </w:r>
          </w:p>
        </w:tc>
      </w:tr>
      <w:tr>
        <w:tc>
          <w:tcPr/>
          <w:p>
            <w:pPr>
              <w:pStyle w:val="Compact"/>
            </w:pPr>
            <w:r>
              <w:rPr>
                <w:b/>
                <w:bCs/>
              </w:rPr>
              <w:t xml:space="preserve">Head of Payment Operations</w:t>
            </w:r>
          </w:p>
        </w:tc>
        <w:tc>
          <w:tcPr/>
          <w:p>
            <w:pPr>
              <w:pStyle w:val="Compact"/>
            </w:pPr>
            <w:r>
              <w:rPr>
                <w:b/>
                <w:bCs/>
              </w:rPr>
              <w:t xml:space="preserve">Responsible</w:t>
            </w:r>
            <w:r>
              <w:t xml:space="preserve"> </w:t>
            </w:r>
            <w:r>
              <w:t xml:space="preserve">for volume, failed-auth, refund/chargeback KRIs.</w:t>
            </w:r>
          </w:p>
        </w:tc>
      </w:tr>
      <w:tr>
        <w:tc>
          <w:tcPr/>
          <w:p>
            <w:pPr>
              <w:pStyle w:val="Compact"/>
            </w:pPr>
            <w:r>
              <w:rPr>
                <w:b/>
                <w:bCs/>
              </w:rPr>
              <w:t xml:space="preserve">Fraud &amp; Risk Operations (analyst)</w:t>
            </w:r>
          </w:p>
        </w:tc>
        <w:tc>
          <w:tcPr/>
          <w:p>
            <w:pPr>
              <w:pStyle w:val="Compact"/>
            </w:pPr>
            <w:r>
              <w:t xml:space="preserve">Daily monitoring, alert triage, first-line action, logging.</w:t>
            </w:r>
          </w:p>
        </w:tc>
      </w:tr>
      <w:tr>
        <w:tc>
          <w:tcPr/>
          <w:p>
            <w:pPr>
              <w:pStyle w:val="Compact"/>
            </w:pPr>
            <w:r>
              <w:rPr>
                <w:b/>
                <w:bCs/>
              </w:rPr>
              <w:t xml:space="preserve">MLRO / AMLCO</w:t>
            </w:r>
          </w:p>
        </w:tc>
        <w:tc>
          <w:tcPr/>
          <w:p>
            <w:pPr>
              <w:pStyle w:val="Compact"/>
            </w:pPr>
            <w:r>
              <w:t xml:space="preserve">Receives velocity/structuring signals, feeds the SAR/STR process (Doc 07).</w:t>
            </w:r>
          </w:p>
        </w:tc>
      </w:tr>
      <w:tr>
        <w:tc>
          <w:tcPr/>
          <w:p>
            <w:pPr>
              <w:pStyle w:val="Compact"/>
            </w:pPr>
            <w:r>
              <w:rPr>
                <w:b/>
                <w:bCs/>
              </w:rPr>
              <w:t xml:space="preserve">Internal Audit</w:t>
            </w:r>
          </w:p>
        </w:tc>
        <w:tc>
          <w:tcPr/>
          <w:p>
            <w:pPr>
              <w:pStyle w:val="Compact"/>
            </w:pPr>
            <w:r>
              <w:t xml:space="preserve">Independent assurance over formula correctness, threshold setting and alert response.</w:t>
            </w:r>
          </w:p>
        </w:tc>
      </w:tr>
      <w:tr>
        <w:tc>
          <w:tcPr/>
          <w:p>
            <w:pPr>
              <w:pStyle w:val="Compact"/>
            </w:pPr>
            <w:r>
              <w:rPr>
                <w:b/>
                <w:bCs/>
              </w:rPr>
              <w:t xml:space="preserve">Data/Platform Engineering</w:t>
            </w:r>
          </w:p>
        </w:tc>
        <w:tc>
          <w:tcPr/>
          <w:p>
            <w:pPr>
              <w:pStyle w:val="Compact"/>
            </w:pPr>
            <w:r>
              <w:rPr>
                <w:b/>
                <w:bCs/>
              </w:rPr>
              <w:t xml:space="preserve">Responsible</w:t>
            </w:r>
            <w:r>
              <w:t xml:space="preserve"> </w:t>
            </w:r>
            <w:r>
              <w:t xml:space="preserve">for pipeline, data accuracy and dashboard uptime.</w:t>
            </w:r>
          </w:p>
        </w:tc>
      </w:tr>
    </w:tbl>
    <w:bookmarkStart w:id="1158" w:name="review-cadence"/>
    <w:p>
      <w:pPr>
        <w:pStyle w:val="Heading3"/>
      </w:pPr>
      <w:r>
        <w:t xml:space="preserve">3.1 Review Cadence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Owner</w:t>
            </w:r>
          </w:p>
        </w:tc>
      </w:tr>
      <w:tr>
        <w:tc>
          <w:tcPr/>
          <w:p>
            <w:pPr>
              <w:pStyle w:val="Compact"/>
            </w:pPr>
            <w:r>
              <w:t xml:space="preserve">Real-time monitoring + alert triage</w:t>
            </w:r>
          </w:p>
        </w:tc>
        <w:tc>
          <w:tcPr/>
          <w:p>
            <w:pPr>
              <w:pStyle w:val="Compact"/>
            </w:pPr>
            <w:r>
              <w:t xml:space="preserve">Continuous (24/7 on-call)</w:t>
            </w:r>
          </w:p>
        </w:tc>
        <w:tc>
          <w:tcPr/>
          <w:p>
            <w:pPr>
              <w:pStyle w:val="Compact"/>
            </w:pPr>
            <w:r>
              <w:t xml:space="preserve">Fraud &amp; Risk Ops</w:t>
            </w:r>
          </w:p>
        </w:tc>
      </w:tr>
      <w:tr>
        <w:tc>
          <w:tcPr/>
          <w:p>
            <w:pPr>
              <w:pStyle w:val="Compact"/>
            </w:pPr>
            <w:r>
              <w:t xml:space="preserve">Daily KRI stand-up</w:t>
            </w:r>
          </w:p>
        </w:tc>
        <w:tc>
          <w:tcPr/>
          <w:p>
            <w:pPr>
              <w:pStyle w:val="Compact"/>
            </w:pPr>
            <w:r>
              <w:t xml:space="preserve">Daily</w:t>
            </w:r>
          </w:p>
        </w:tc>
        <w:tc>
          <w:tcPr/>
          <w:p>
            <w:pPr>
              <w:pStyle w:val="Compact"/>
            </w:pPr>
            <w:r>
              <w:t xml:space="preserve">Payment Ops + Fraud Ops</w:t>
            </w:r>
          </w:p>
        </w:tc>
      </w:tr>
      <w:tr>
        <w:tc>
          <w:tcPr/>
          <w:p>
            <w:pPr>
              <w:pStyle w:val="Compact"/>
            </w:pPr>
            <w:r>
              <w:t xml:space="preserve">KRI + incident review</w:t>
            </w:r>
          </w:p>
        </w:tc>
        <w:tc>
          <w:tcPr/>
          <w:p>
            <w:pPr>
              <w:pStyle w:val="Compact"/>
            </w:pPr>
            <w:r>
              <w:t xml:space="preserve">Monthly (IT Risk &amp; Security Committee)</w:t>
            </w:r>
          </w:p>
        </w:tc>
        <w:tc>
          <w:tcPr/>
          <w:p>
            <w:pPr>
              <w:pStyle w:val="Compact"/>
            </w:pPr>
            <w:r>
              <w:t xml:space="preserve">CISO/CRO</w:t>
            </w:r>
          </w:p>
        </w:tc>
      </w:tr>
      <w:tr>
        <w:tc>
          <w:tcPr/>
          <w:p>
            <w:pPr>
              <w:pStyle w:val="Compact"/>
            </w:pPr>
            <w:r>
              <w:t xml:space="preserve">Risk report to Risk Committee</w:t>
            </w:r>
          </w:p>
        </w:tc>
        <w:tc>
          <w:tcPr/>
          <w:p>
            <w:pPr>
              <w:pStyle w:val="Compact"/>
            </w:pPr>
            <w:r>
              <w:t xml:space="preserve">Quarterly</w:t>
            </w:r>
          </w:p>
        </w:tc>
        <w:tc>
          <w:tcPr/>
          <w:p>
            <w:pPr>
              <w:pStyle w:val="Compact"/>
            </w:pPr>
            <w:r>
              <w:t xml:space="preserve">CRO</w:t>
            </w:r>
          </w:p>
        </w:tc>
      </w:tr>
      <w:tr>
        <w:tc>
          <w:tcPr/>
          <w:p>
            <w:pPr>
              <w:pStyle w:val="Compact"/>
            </w:pPr>
            <w:r>
              <w:t xml:space="preserve">Threshold review + backtest</w:t>
            </w:r>
          </w:p>
        </w:tc>
        <w:tc>
          <w:tcPr/>
          <w:p>
            <w:pPr>
              <w:pStyle w:val="Compact"/>
            </w:pPr>
            <w:r>
              <w:t xml:space="preserve">Quarterly (or event-driven)</w:t>
            </w:r>
          </w:p>
        </w:tc>
        <w:tc>
          <w:tcPr/>
          <w:p>
            <w:pPr>
              <w:pStyle w:val="Compact"/>
            </w:pPr>
            <w:r>
              <w:t xml:space="preserve">CRO + Fraud Ops + Audit</w:t>
            </w:r>
          </w:p>
        </w:tc>
      </w:tr>
    </w:tbl>
    <w:p>
      <w:r>
        <w:pict>
          <v:rect style="width:0;height:1.5pt" o:hralign="center" o:hrstd="t" o:hr="t"/>
        </w:pict>
      </w:r>
    </w:p>
    <w:bookmarkEnd w:id="1158"/>
    <w:bookmarkEnd w:id="1159"/>
    <w:bookmarkStart w:id="1165" w:name="core-kri-definitions"/>
    <w:p>
      <w:pPr>
        <w:pStyle w:val="Heading2"/>
      </w:pPr>
      <w:r>
        <w:t xml:space="preserve">4. Core KRI Definitions</w:t>
      </w:r>
    </w:p>
    <w:p>
      <w:pPr>
        <w:pStyle w:val="FirstParagraph"/>
      </w:pPr>
      <w:r>
        <w:t xml:space="preserve">Each KRI states definition, formula, data source, dimensions, refresh cadence and Green/Amber/Red thresholds.</w:t>
      </w:r>
    </w:p>
    <w:bookmarkStart w:id="1160" w:name="kri-01-transaction-volume"/>
    <w:p>
      <w:pPr>
        <w:pStyle w:val="Heading3"/>
      </w:pPr>
      <w:r>
        <w:t xml:space="preserve">4.1 KRI-01 — Transaction Volume</w:t>
      </w:r>
    </w:p>
    <w:p>
      <w:pPr>
        <w:pStyle w:val="Compact"/>
        <w:numPr>
          <w:ilvl w:val="0"/>
          <w:numId w:val="1420"/>
        </w:numPr>
      </w:pPr>
      <w:r>
        <w:rPr>
          <w:b/>
          <w:bCs/>
        </w:rPr>
        <w:t xml:space="preserve">Definition:</w:t>
      </w:r>
      <w:r>
        <w:t xml:space="preserve"> </w:t>
      </w:r>
      <w:r>
        <w:t xml:space="preserve">Authorization count and total value (THB) per window, compared against a forecast baseline.</w:t>
      </w:r>
    </w:p>
    <w:p>
      <w:pPr>
        <w:pStyle w:val="Compact"/>
        <w:numPr>
          <w:ilvl w:val="0"/>
          <w:numId w:val="1420"/>
        </w:numPr>
      </w:pPr>
      <w:r>
        <w:rPr>
          <w:b/>
          <w:bCs/>
        </w:rPr>
        <w:t xml:space="preserve">Formula:</w:t>
      </w:r>
    </w:p>
    <w:p>
      <w:pPr>
        <w:pStyle w:val="Compact"/>
        <w:numPr>
          <w:ilvl w:val="1"/>
          <w:numId w:val="1421"/>
        </w:numPr>
      </w:pPr>
      <w:r>
        <w:rPr>
          <w:rStyle w:val="VerbatimChar"/>
        </w:rPr>
        <w:t xml:space="preserve">txn_count = COUNT(payments WHERE created_at ∈ window)</w:t>
      </w:r>
    </w:p>
    <w:p>
      <w:pPr>
        <w:pStyle w:val="Compact"/>
        <w:numPr>
          <w:ilvl w:val="1"/>
          <w:numId w:val="1421"/>
        </w:numPr>
      </w:pPr>
      <w:r>
        <w:rPr>
          <w:rStyle w:val="VerbatimChar"/>
        </w:rPr>
        <w:t xml:space="preserve">txn_value_thb = SUM(amount_minor)/100 WHERE ...</w:t>
      </w:r>
    </w:p>
    <w:p>
      <w:pPr>
        <w:pStyle w:val="Compact"/>
        <w:numPr>
          <w:ilvl w:val="1"/>
          <w:numId w:val="1421"/>
        </w:numPr>
      </w:pPr>
      <w:r>
        <w:rPr>
          <w:rStyle w:val="VerbatimChar"/>
        </w:rPr>
        <w:t xml:space="preserve">volume_deviation = (actual − forecast_baseline) / forecast_baseline</w:t>
      </w:r>
    </w:p>
    <w:p>
      <w:pPr>
        <w:pStyle w:val="Compact"/>
        <w:numPr>
          <w:ilvl w:val="0"/>
          <w:numId w:val="1420"/>
        </w:numPr>
      </w:pPr>
      <w:r>
        <w:rPr>
          <w:b/>
          <w:bCs/>
        </w:rPr>
        <w:t xml:space="preserve">Source:</w:t>
      </w:r>
      <w:r>
        <w:t xml:space="preserve"> </w:t>
      </w:r>
      <w:r>
        <w:rPr>
          <w:rStyle w:val="VerbatimChar"/>
        </w:rPr>
        <w:t xml:space="preserve">payments</w:t>
      </w:r>
      <w:r>
        <w:t xml:space="preserve">,</w:t>
      </w:r>
      <w:r>
        <w:t xml:space="preserve"> </w:t>
      </w:r>
      <w:r>
        <w:rPr>
          <w:rStyle w:val="VerbatimChar"/>
        </w:rPr>
        <w:t xml:space="preserve">ledger_entries(authorize)</w:t>
      </w:r>
    </w:p>
    <w:p>
      <w:pPr>
        <w:pStyle w:val="Compact"/>
        <w:numPr>
          <w:ilvl w:val="0"/>
          <w:numId w:val="1420"/>
        </w:numPr>
      </w:pPr>
      <w:r>
        <w:rPr>
          <w:b/>
          <w:bCs/>
        </w:rPr>
        <w:t xml:space="preserve">Dimensions:</w:t>
      </w:r>
      <w:r>
        <w:t xml:space="preserve"> </w:t>
      </w:r>
      <w:r>
        <w:t xml:space="preserve">merchant, MCC, channel (card-present/CNP), BIN country, time (min/hour/day)</w:t>
      </w:r>
    </w:p>
    <w:p>
      <w:pPr>
        <w:pStyle w:val="Compact"/>
        <w:numPr>
          <w:ilvl w:val="0"/>
          <w:numId w:val="1420"/>
        </w:numPr>
      </w:pPr>
      <w:r>
        <w:rPr>
          <w:b/>
          <w:bCs/>
        </w:rPr>
        <w:t xml:space="preserve">Cadence:</w:t>
      </w:r>
      <w:r>
        <w:t xml:space="preserve"> </w:t>
      </w:r>
      <w:r>
        <w:t xml:space="preserve">streaming (refresh ≤ 1 min)</w:t>
      </w:r>
    </w:p>
    <w:p>
      <w:pPr>
        <w:pStyle w:val="Compact"/>
        <w:numPr>
          <w:ilvl w:val="0"/>
          <w:numId w:val="1420"/>
        </w:numPr>
      </w:pPr>
      <w:r>
        <w:rPr>
          <w:b/>
          <w:bCs/>
        </w:rPr>
        <w:t xml:space="preserve">Thresholds:</w:t>
      </w:r>
      <w:r>
        <w:t xml:space="preserve"> </w:t>
      </w:r>
      <w:r>
        <w:t xml:space="preserve">see §5</w:t>
      </w:r>
    </w:p>
    <w:p>
      <w:pPr>
        <w:pStyle w:val="BlockText"/>
      </w:pPr>
      <w:r>
        <w:t xml:space="preserve">Volume spikes/drops may indicate card-testing attacks, anomalous merchants, outages, or capacity risk to SLA (p99 &lt; 800 ms per ARCHITECTURE.md §8).</w:t>
      </w:r>
    </w:p>
    <w:bookmarkEnd w:id="1160"/>
    <w:bookmarkStart w:id="1161" w:name="kri-02-failed-authorization-rate"/>
    <w:p>
      <w:pPr>
        <w:pStyle w:val="Heading3"/>
      </w:pPr>
      <w:r>
        <w:t xml:space="preserve">4.2 KRI-02 — Failed-Authorization Rate</w:t>
      </w:r>
    </w:p>
    <w:p>
      <w:pPr>
        <w:pStyle w:val="Compact"/>
        <w:numPr>
          <w:ilvl w:val="0"/>
          <w:numId w:val="1422"/>
        </w:numPr>
      </w:pPr>
      <w:r>
        <w:rPr>
          <w:b/>
          <w:bCs/>
        </w:rPr>
        <w:t xml:space="preserve">Definition:</w:t>
      </w:r>
      <w:r>
        <w:t xml:space="preserve"> </w:t>
      </w:r>
      <w:r>
        <w:t xml:space="preserve">Share of declined/failed authorizations (decline/error/timeout) over total attempts.</w:t>
      </w:r>
    </w:p>
    <w:p>
      <w:pPr>
        <w:pStyle w:val="Compact"/>
        <w:numPr>
          <w:ilvl w:val="0"/>
          <w:numId w:val="1422"/>
        </w:numPr>
      </w:pPr>
      <w:r>
        <w:rPr>
          <w:b/>
          <w:bCs/>
        </w:rPr>
        <w:t xml:space="preserve">Formula:</w:t>
      </w:r>
      <w:r>
        <w:t xml:space="preserve"> </w:t>
      </w:r>
      <w:r>
        <w:rPr>
          <w:rStyle w:val="VerbatimChar"/>
        </w:rPr>
        <w:t xml:space="preserve">failed_auth_rate = (declined + errored + timed_out) / total_auth_attempts</w:t>
      </w:r>
    </w:p>
    <w:p>
      <w:pPr>
        <w:pStyle w:val="Compact"/>
        <w:numPr>
          <w:ilvl w:val="0"/>
          <w:numId w:val="1422"/>
        </w:numPr>
      </w:pPr>
      <w:r>
        <w:rPr>
          <w:b/>
          <w:bCs/>
        </w:rPr>
        <w:t xml:space="preserve">By decline reason:</w:t>
      </w:r>
      <w:r>
        <w:t xml:space="preserve"> </w:t>
      </w:r>
      <w:r>
        <w:t xml:space="preserve">insufficient funds, do-not-honor, invalid card, suspected fraud, 3DS failed, technical/timeout.</w:t>
      </w:r>
    </w:p>
    <w:p>
      <w:pPr>
        <w:pStyle w:val="Compact"/>
        <w:numPr>
          <w:ilvl w:val="0"/>
          <w:numId w:val="1422"/>
        </w:numPr>
      </w:pPr>
      <w:r>
        <w:rPr>
          <w:b/>
          <w:bCs/>
        </w:rPr>
        <w:t xml:space="preserve">Source:</w:t>
      </w:r>
      <w:r>
        <w:t xml:space="preserve"> </w:t>
      </w:r>
      <w:r>
        <w:rPr>
          <w:rStyle w:val="VerbatimChar"/>
        </w:rPr>
        <w:t xml:space="preserve">payments(status=failed)</w:t>
      </w:r>
      <w:r>
        <w:t xml:space="preserve">, acquirer/3DS response codes.</w:t>
      </w:r>
    </w:p>
    <w:p>
      <w:pPr>
        <w:pStyle w:val="Compact"/>
        <w:numPr>
          <w:ilvl w:val="0"/>
          <w:numId w:val="1422"/>
        </w:numPr>
      </w:pPr>
      <w:r>
        <w:rPr>
          <w:b/>
          <w:bCs/>
        </w:rPr>
        <w:t xml:space="preserve">Dimensions:</w:t>
      </w:r>
      <w:r>
        <w:t xml:space="preserve"> </w:t>
      </w:r>
      <w:r>
        <w:t xml:space="preserve">merchant, BIN, issuer country, decline reason, channel.</w:t>
      </w:r>
    </w:p>
    <w:p>
      <w:pPr>
        <w:pStyle w:val="Compact"/>
        <w:numPr>
          <w:ilvl w:val="0"/>
          <w:numId w:val="1422"/>
        </w:numPr>
      </w:pPr>
      <w:r>
        <w:rPr>
          <w:b/>
          <w:bCs/>
        </w:rPr>
        <w:t xml:space="preserve">Cadence:</w:t>
      </w:r>
      <w:r>
        <w:t xml:space="preserve"> </w:t>
      </w:r>
      <w:r>
        <w:t xml:space="preserve">streaming (≤ 1 min) + 15-min moving average.</w:t>
      </w:r>
    </w:p>
    <w:p>
      <w:pPr>
        <w:pStyle w:val="Compact"/>
        <w:numPr>
          <w:ilvl w:val="0"/>
          <w:numId w:val="1422"/>
        </w:numPr>
      </w:pPr>
      <w:r>
        <w:rPr>
          <w:b/>
          <w:bCs/>
        </w:rPr>
        <w:t xml:space="preserve">Special signal:</w:t>
      </w:r>
      <w:r>
        <w:t xml:space="preserve"> </w:t>
      </w:r>
      <w:r>
        <w:t xml:space="preserve">abnormally high</w:t>
      </w:r>
      <w:r>
        <w:t xml:space="preserve"> </w:t>
      </w:r>
      <w:r>
        <w:rPr>
          <w:rStyle w:val="VerbatimChar"/>
        </w:rPr>
        <w:t xml:space="preserve">invalid card</w:t>
      </w:r>
      <w:r>
        <w:t xml:space="preserve"> </w:t>
      </w:r>
      <w:r>
        <w:t xml:space="preserve">+ volume surge =</w:t>
      </w:r>
      <w:r>
        <w:t xml:space="preserve"> </w:t>
      </w:r>
      <w:r>
        <w:rPr>
          <w:b/>
          <w:bCs/>
        </w:rPr>
        <w:t xml:space="preserve">card enumeration / BIN attack</w:t>
      </w:r>
      <w:r>
        <w:t xml:space="preserve"> </w:t>
      </w:r>
      <w:r>
        <w:t xml:space="preserve">signal → escalate immediately.</w:t>
      </w:r>
    </w:p>
    <w:bookmarkEnd w:id="1161"/>
    <w:bookmarkStart w:id="1162" w:name="kri-03-refund-chargeback-ratio"/>
    <w:p>
      <w:pPr>
        <w:pStyle w:val="Heading3"/>
      </w:pPr>
      <w:r>
        <w:t xml:space="preserve">4.3 KRI-03 — Refund / Chargeback Ratio</w:t>
      </w:r>
    </w:p>
    <w:p>
      <w:pPr>
        <w:pStyle w:val="Compact"/>
        <w:numPr>
          <w:ilvl w:val="0"/>
          <w:numId w:val="1423"/>
        </w:numPr>
      </w:pPr>
      <w:r>
        <w:rPr>
          <w:b/>
          <w:bCs/>
        </w:rPr>
        <w:t xml:space="preserve">Definition:</w:t>
      </w:r>
    </w:p>
    <w:p>
      <w:pPr>
        <w:pStyle w:val="Compact"/>
        <w:numPr>
          <w:ilvl w:val="1"/>
          <w:numId w:val="1424"/>
        </w:numPr>
      </w:pPr>
      <w:r>
        <w:rPr>
          <w:rStyle w:val="VerbatimChar"/>
        </w:rPr>
        <w:t xml:space="preserve">refund_ratio</w:t>
      </w:r>
      <w:r>
        <w:t xml:space="preserve"> </w:t>
      </w:r>
      <w:r>
        <w:t xml:space="preserve">= refund value over captured value.</w:t>
      </w:r>
    </w:p>
    <w:p>
      <w:pPr>
        <w:pStyle w:val="Compact"/>
        <w:numPr>
          <w:ilvl w:val="1"/>
          <w:numId w:val="1424"/>
        </w:numPr>
      </w:pPr>
      <w:r>
        <w:rPr>
          <w:rStyle w:val="VerbatimChar"/>
        </w:rPr>
        <w:t xml:space="preserve">chargeback_ratio (count)</w:t>
      </w:r>
      <w:r>
        <w:t xml:space="preserve"> </w:t>
      </w:r>
      <w:r>
        <w:t xml:space="preserve">= chargeback count over settled count.</w:t>
      </w:r>
    </w:p>
    <w:p>
      <w:pPr>
        <w:pStyle w:val="Compact"/>
        <w:numPr>
          <w:ilvl w:val="1"/>
          <w:numId w:val="1424"/>
        </w:numPr>
      </w:pPr>
      <w:r>
        <w:rPr>
          <w:rStyle w:val="VerbatimChar"/>
        </w:rPr>
        <w:t xml:space="preserve">chargeback_ratio (value)</w:t>
      </w:r>
      <w:r>
        <w:t xml:space="preserve"> </w:t>
      </w:r>
      <w:r>
        <w:t xml:space="preserve">= chargeback value over settled value.</w:t>
      </w:r>
    </w:p>
    <w:p>
      <w:pPr>
        <w:pStyle w:val="Compact"/>
        <w:numPr>
          <w:ilvl w:val="0"/>
          <w:numId w:val="1423"/>
        </w:numPr>
      </w:pPr>
      <w:r>
        <w:rPr>
          <w:b/>
          <w:bCs/>
        </w:rPr>
        <w:t xml:space="preserve">Formula:</w:t>
      </w:r>
    </w:p>
    <w:p>
      <w:pPr>
        <w:pStyle w:val="Compact"/>
        <w:numPr>
          <w:ilvl w:val="1"/>
          <w:numId w:val="1425"/>
        </w:numPr>
      </w:pPr>
      <w:r>
        <w:rPr>
          <w:rStyle w:val="VerbatimChar"/>
        </w:rPr>
        <w:t xml:space="preserve">refund_ratio = SUM(refund_amount)/SUM(captured_amount)</w:t>
      </w:r>
    </w:p>
    <w:p>
      <w:pPr>
        <w:pStyle w:val="Compact"/>
        <w:numPr>
          <w:ilvl w:val="1"/>
          <w:numId w:val="1425"/>
        </w:numPr>
      </w:pPr>
      <w:r>
        <w:rPr>
          <w:rStyle w:val="VerbatimChar"/>
        </w:rPr>
        <w:t xml:space="preserve">cb_ratio_count = COUNT(chargebacks)/COUNT(settled_txns)</w:t>
      </w:r>
    </w:p>
    <w:p>
      <w:pPr>
        <w:pStyle w:val="Compact"/>
        <w:numPr>
          <w:ilvl w:val="1"/>
          <w:numId w:val="1425"/>
        </w:numPr>
      </w:pPr>
      <w:r>
        <w:rPr>
          <w:rStyle w:val="VerbatimChar"/>
        </w:rPr>
        <w:t xml:space="preserve">cb_ratio_value = SUM(chargeback_amount)/SUM(settled_amount)</w:t>
      </w:r>
    </w:p>
    <w:p>
      <w:pPr>
        <w:pStyle w:val="Compact"/>
        <w:numPr>
          <w:ilvl w:val="0"/>
          <w:numId w:val="1423"/>
        </w:numPr>
      </w:pPr>
      <w:r>
        <w:rPr>
          <w:b/>
          <w:bCs/>
        </w:rPr>
        <w:t xml:space="preserve">Source:</w:t>
      </w:r>
      <w:r>
        <w:t xml:space="preserve"> </w:t>
      </w:r>
      <w:r>
        <w:rPr>
          <w:rStyle w:val="VerbatimChar"/>
        </w:rPr>
        <w:t xml:space="preserve">refunds</w:t>
      </w:r>
      <w:r>
        <w:t xml:space="preserve">,</w:t>
      </w:r>
      <w:r>
        <w:t xml:space="preserve"> </w:t>
      </w:r>
      <w:r>
        <w:rPr>
          <w:rStyle w:val="VerbatimChar"/>
        </w:rPr>
        <w:t xml:space="preserve">ledger_entries(refund/capture/settlement)</w:t>
      </w:r>
      <w:r>
        <w:t xml:space="preserve">, chargeback feed from acquirer/scheme.</w:t>
      </w:r>
    </w:p>
    <w:p>
      <w:pPr>
        <w:pStyle w:val="Compact"/>
        <w:numPr>
          <w:ilvl w:val="0"/>
          <w:numId w:val="1423"/>
        </w:numPr>
      </w:pPr>
      <w:r>
        <w:rPr>
          <w:b/>
          <w:bCs/>
        </w:rPr>
        <w:t xml:space="preserve">Dimensions:</w:t>
      </w:r>
      <w:r>
        <w:t xml:space="preserve"> </w:t>
      </w:r>
      <w:r>
        <w:t xml:space="preserve">merchant (most important), MCC, BIN, reason code (fraud/dispute/processing error).</w:t>
      </w:r>
    </w:p>
    <w:p>
      <w:pPr>
        <w:pStyle w:val="Compact"/>
        <w:numPr>
          <w:ilvl w:val="0"/>
          <w:numId w:val="1423"/>
        </w:numPr>
      </w:pPr>
      <w:r>
        <w:rPr>
          <w:b/>
          <w:bCs/>
        </w:rPr>
        <w:t xml:space="preserve">Cadence:</w:t>
      </w:r>
      <w:r>
        <w:t xml:space="preserve"> </w:t>
      </w:r>
      <w:r>
        <w:t xml:space="preserve">daily batch (chargebacks follow settlement) + rolling 30/60/120 days for scheme benchmarking.</w:t>
      </w:r>
    </w:p>
    <w:p>
      <w:pPr>
        <w:pStyle w:val="Compact"/>
        <w:numPr>
          <w:ilvl w:val="0"/>
          <w:numId w:val="1423"/>
        </w:numPr>
      </w:pPr>
      <w:r>
        <w:rPr>
          <w:b/>
          <w:bCs/>
        </w:rPr>
        <w:t xml:space="preserve">Scheme linkage:</w:t>
      </w:r>
      <w:r>
        <w:t xml:space="preserve"> </w:t>
      </w:r>
      <w:r>
        <w:t xml:space="preserve">compared to</w:t>
      </w:r>
      <w:r>
        <w:t xml:space="preserve"> </w:t>
      </w:r>
      <w:r>
        <w:rPr>
          <w:b/>
          <w:bCs/>
        </w:rPr>
        <w:t xml:space="preserve">Visa VAMP</w:t>
      </w:r>
      <w:r>
        <w:t xml:space="preserve"> </w:t>
      </w:r>
      <w:r>
        <w:t xml:space="preserve">and</w:t>
      </w:r>
      <w:r>
        <w:t xml:space="preserve"> </w:t>
      </w:r>
      <w:r>
        <w:rPr>
          <w:b/>
          <w:bCs/>
        </w:rPr>
        <w:t xml:space="preserve">Mastercard ECP/ECM</w:t>
      </w:r>
      <w:r>
        <w:t xml:space="preserve"> </w:t>
      </w:r>
      <w:r>
        <w:t xml:space="preserve">thresholds to warn before scheme monitoring (fines/penalties) triggers.</w:t>
      </w:r>
    </w:p>
    <w:bookmarkEnd w:id="1162"/>
    <w:bookmarkStart w:id="1163" w:name="kri-04-fraud-loss"/>
    <w:p>
      <w:pPr>
        <w:pStyle w:val="Heading3"/>
      </w:pPr>
      <w:r>
        <w:t xml:space="preserve">4.4 KRI-04 — Fraud Loss</w:t>
      </w:r>
    </w:p>
    <w:p>
      <w:pPr>
        <w:pStyle w:val="Compact"/>
        <w:numPr>
          <w:ilvl w:val="0"/>
          <w:numId w:val="1426"/>
        </w:numPr>
      </w:pPr>
      <w:r>
        <w:rPr>
          <w:b/>
          <w:bCs/>
        </w:rPr>
        <w:t xml:space="preserve">Definition:</w:t>
      </w:r>
      <w:r>
        <w:t xml:space="preserve"> </w:t>
      </w:r>
      <w:r>
        <w:t xml:space="preserve">Net loss from confirmed fraud and its ratio to sales (shown in bps = basis points).</w:t>
      </w:r>
    </w:p>
    <w:p>
      <w:pPr>
        <w:pStyle w:val="Compact"/>
        <w:numPr>
          <w:ilvl w:val="0"/>
          <w:numId w:val="1426"/>
        </w:numPr>
      </w:pPr>
      <w:r>
        <w:rPr>
          <w:b/>
          <w:bCs/>
        </w:rPr>
        <w:t xml:space="preserve">Formula:</w:t>
      </w:r>
    </w:p>
    <w:p>
      <w:pPr>
        <w:pStyle w:val="Compact"/>
        <w:numPr>
          <w:ilvl w:val="1"/>
          <w:numId w:val="1427"/>
        </w:numPr>
      </w:pPr>
      <w:r>
        <w:rPr>
          <w:rStyle w:val="VerbatimChar"/>
        </w:rPr>
        <w:t xml:space="preserve">fraud_loss_thb = SUM(confirmed_fraud_amount − recovered)</w:t>
      </w:r>
    </w:p>
    <w:p>
      <w:pPr>
        <w:pStyle w:val="Compact"/>
        <w:numPr>
          <w:ilvl w:val="1"/>
          <w:numId w:val="1427"/>
        </w:numPr>
      </w:pPr>
      <w:r>
        <w:rPr>
          <w:rStyle w:val="VerbatimChar"/>
        </w:rPr>
        <w:t xml:space="preserve">fraud_bps = (fraud_loss_thb / total_sales_thb) × 10,000</w:t>
      </w:r>
    </w:p>
    <w:p>
      <w:pPr>
        <w:pStyle w:val="Compact"/>
        <w:numPr>
          <w:ilvl w:val="1"/>
          <w:numId w:val="1427"/>
        </w:numPr>
      </w:pPr>
      <w:r>
        <w:rPr>
          <w:rStyle w:val="VerbatimChar"/>
        </w:rPr>
        <w:t xml:space="preserve">fraud_rate_count = COUNT(confirmed_fraud_txns)/COUNT(total_txns)</w:t>
      </w:r>
    </w:p>
    <w:p>
      <w:pPr>
        <w:pStyle w:val="Compact"/>
        <w:numPr>
          <w:ilvl w:val="0"/>
          <w:numId w:val="1426"/>
        </w:numPr>
      </w:pPr>
      <w:r>
        <w:rPr>
          <w:b/>
          <w:bCs/>
        </w:rPr>
        <w:t xml:space="preserve">Source:</w:t>
      </w:r>
      <w:r>
        <w:t xml:space="preserve"> </w:t>
      </w:r>
      <w:r>
        <w:t xml:space="preserve">case management (fraud confirmed), chargeback reason=fraud, 3DS liability-shift outcomes.</w:t>
      </w:r>
    </w:p>
    <w:p>
      <w:pPr>
        <w:pStyle w:val="Compact"/>
        <w:numPr>
          <w:ilvl w:val="0"/>
          <w:numId w:val="1426"/>
        </w:numPr>
      </w:pPr>
      <w:r>
        <w:rPr>
          <w:b/>
          <w:bCs/>
        </w:rPr>
        <w:t xml:space="preserve">Dimensions:</w:t>
      </w:r>
      <w:r>
        <w:t xml:space="preserve"> </w:t>
      </w:r>
      <w:r>
        <w:t xml:space="preserve">merchant, MCC, BIN, channel, fraud type (CNP, account takeover, friendly fraud).</w:t>
      </w:r>
    </w:p>
    <w:p>
      <w:pPr>
        <w:pStyle w:val="Compact"/>
        <w:numPr>
          <w:ilvl w:val="0"/>
          <w:numId w:val="1426"/>
        </w:numPr>
      </w:pPr>
      <w:r>
        <w:rPr>
          <w:b/>
          <w:bCs/>
        </w:rPr>
        <w:t xml:space="preserve">Cadence:</w:t>
      </w:r>
      <w:r>
        <w:t xml:space="preserve"> </w:t>
      </w:r>
      <w:r>
        <w:t xml:space="preserve">daily batch + rolling 30/90 days.</w:t>
      </w:r>
    </w:p>
    <w:p>
      <w:pPr>
        <w:pStyle w:val="Compact"/>
        <w:numPr>
          <w:ilvl w:val="0"/>
          <w:numId w:val="1426"/>
        </w:numPr>
      </w:pPr>
      <w:r>
        <w:rPr>
          <w:b/>
          <w:bCs/>
        </w:rPr>
        <w:t xml:space="preserve">Linkage:</w:t>
      </w:r>
      <w:r>
        <w:t xml:space="preserve"> </w:t>
      </w:r>
      <w:r>
        <w:t xml:space="preserve">3DS 2.x liability shift (Doc 22) reduces loss borne by</w:t>
      </w:r>
      <w:r>
        <w:t xml:space="preserve"> </w:t>
      </w:r>
      <w:r>
        <w:rPr>
          <w:b/>
          <w:bCs/>
        </w:rPr>
        <w:t xml:space="preserve">[บริษัท / Company]</w:t>
      </w:r>
      <w:r>
        <w:t xml:space="preserve">.</w:t>
      </w:r>
    </w:p>
    <w:bookmarkEnd w:id="1163"/>
    <w:bookmarkStart w:id="1164" w:name="supporting-kris"/>
    <w:p>
      <w:pPr>
        <w:pStyle w:val="Heading3"/>
      </w:pPr>
      <w:r>
        <w:t xml:space="preserve">4.5 Supporting KRIs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Indicator</w:t>
            </w:r>
          </w:p>
        </w:tc>
        <w:tc>
          <w:tcPr/>
          <w:p>
            <w:pPr>
              <w:pStyle w:val="Compact"/>
            </w:pPr>
            <w:r>
              <w:t xml:space="preserve">Formula (short)</w:t>
            </w:r>
          </w:p>
        </w:tc>
        <w:tc>
          <w:tcPr/>
          <w:p>
            <w:pPr>
              <w:pStyle w:val="Compact"/>
            </w:pPr>
            <w:r>
              <w:t xml:space="preserve">Rationale</w:t>
            </w:r>
          </w:p>
        </w:tc>
      </w:tr>
      <w:tr>
        <w:tc>
          <w:tcPr/>
          <w:p>
            <w:pPr>
              <w:pStyle w:val="Compact"/>
            </w:pPr>
            <w:r>
              <w:t xml:space="preserve">KRI-05</w:t>
            </w:r>
          </w:p>
        </w:tc>
        <w:tc>
          <w:tcPr/>
          <w:p>
            <w:pPr>
              <w:pStyle w:val="Compact"/>
            </w:pPr>
            <w:r>
              <w:t xml:space="preserve">3DS authentication success rate</w:t>
            </w:r>
          </w:p>
        </w:tc>
        <w:tc>
          <w:tcPr/>
          <w:p>
            <w:pPr>
              <w:pStyle w:val="Compact"/>
            </w:pPr>
            <w:r>
              <w:rPr>
                <w:rStyle w:val="VerbatimChar"/>
              </w:rPr>
              <w:t xml:space="preserve">authenticated / 3ds_initiated</w:t>
            </w:r>
          </w:p>
        </w:tc>
        <w:tc>
          <w:tcPr/>
          <w:p>
            <w:pPr>
              <w:pStyle w:val="Compact"/>
            </w:pPr>
            <w:r>
              <w:t xml:space="preserve">3DS quality, friction, liability</w:t>
            </w:r>
          </w:p>
        </w:tc>
      </w:tr>
      <w:tr>
        <w:tc>
          <w:tcPr/>
          <w:p>
            <w:pPr>
              <w:pStyle w:val="Compact"/>
            </w:pPr>
            <w:r>
              <w:t xml:space="preserve">KRI-06</w:t>
            </w:r>
          </w:p>
        </w:tc>
        <w:tc>
          <w:tcPr/>
          <w:p>
            <w:pPr>
              <w:pStyle w:val="Compact"/>
            </w:pPr>
            <w:r>
              <w:t xml:space="preserve">Velocity (per card/BIN/IP/device)</w:t>
            </w:r>
          </w:p>
        </w:tc>
        <w:tc>
          <w:tcPr/>
          <w:p>
            <w:pPr>
              <w:pStyle w:val="Compact"/>
            </w:pPr>
            <w:r>
              <w:t xml:space="preserve">txns per unit time</w:t>
            </w:r>
          </w:p>
        </w:tc>
        <w:tc>
          <w:tcPr/>
          <w:p>
            <w:pPr>
              <w:pStyle w:val="Compact"/>
            </w:pPr>
            <w:r>
              <w:t xml:space="preserve">AML structuring, card testing</w:t>
            </w:r>
          </w:p>
        </w:tc>
      </w:tr>
      <w:tr>
        <w:tc>
          <w:tcPr/>
          <w:p>
            <w:pPr>
              <w:pStyle w:val="Compact"/>
            </w:pPr>
            <w:r>
              <w:t xml:space="preserve">KRI-07</w:t>
            </w:r>
          </w:p>
        </w:tc>
        <w:tc>
          <w:tcPr/>
          <w:p>
            <w:pPr>
              <w:pStyle w:val="Compact"/>
            </w:pPr>
            <w:r>
              <w:t xml:space="preserve">System availability</w:t>
            </w:r>
          </w:p>
        </w:tc>
        <w:tc>
          <w:tcPr/>
          <w:p>
            <w:pPr>
              <w:pStyle w:val="Compact"/>
            </w:pPr>
            <w:r>
              <w:rPr>
                <w:rStyle w:val="VerbatimChar"/>
              </w:rPr>
              <w:t xml:space="preserve">uptime / total_time</w:t>
            </w:r>
          </w:p>
        </w:tc>
        <w:tc>
          <w:tcPr/>
          <w:p>
            <w:pPr>
              <w:pStyle w:val="Compact"/>
            </w:pPr>
            <w:r>
              <w:t xml:space="preserve">SLA ≥ 99.95% (ARCHITECTURE.md)</w:t>
            </w:r>
          </w:p>
        </w:tc>
      </w:tr>
      <w:tr>
        <w:tc>
          <w:tcPr/>
          <w:p>
            <w:pPr>
              <w:pStyle w:val="Compact"/>
            </w:pPr>
            <w:r>
              <w:t xml:space="preserve">KRI-08</w:t>
            </w:r>
          </w:p>
        </w:tc>
        <w:tc>
          <w:tcPr/>
          <w:p>
            <w:pPr>
              <w:pStyle w:val="Compact"/>
            </w:pPr>
            <w:r>
              <w:t xml:space="preserve">Auth latency p99</w:t>
            </w:r>
          </w:p>
        </w:tc>
        <w:tc>
          <w:tcPr/>
          <w:p>
            <w:pPr>
              <w:pStyle w:val="Compact"/>
            </w:pPr>
            <w:r>
              <w:t xml:space="preserve">percentile of response time</w:t>
            </w:r>
          </w:p>
        </w:tc>
        <w:tc>
          <w:tcPr/>
          <w:p>
            <w:pPr>
              <w:pStyle w:val="Compact"/>
            </w:pPr>
            <w:r>
              <w:t xml:space="preserve">Target &lt; 800 ms</w:t>
            </w:r>
          </w:p>
        </w:tc>
      </w:tr>
      <w:tr>
        <w:tc>
          <w:tcPr/>
          <w:p>
            <w:pPr>
              <w:pStyle w:val="Compact"/>
            </w:pPr>
            <w:r>
              <w:t xml:space="preserve">KRI-09</w:t>
            </w:r>
          </w:p>
        </w:tc>
        <w:tc>
          <w:tcPr/>
          <w:p>
            <w:pPr>
              <w:pStyle w:val="Compact"/>
            </w:pPr>
            <w:r>
              <w:t xml:space="preserve">Reconciliation break rate</w:t>
            </w:r>
          </w:p>
        </w:tc>
        <w:tc>
          <w:tcPr/>
          <w:p>
            <w:pPr>
              <w:pStyle w:val="Compact"/>
            </w:pPr>
            <w:r>
              <w:t xml:space="preserve">mismatched / total entries</w:t>
            </w:r>
          </w:p>
        </w:tc>
        <w:tc>
          <w:tcPr/>
          <w:p>
            <w:pPr>
              <w:pStyle w:val="Compact"/>
            </w:pPr>
            <w:r>
              <w:t xml:space="preserve">Ledger/settlement accuracy</w:t>
            </w:r>
          </w:p>
        </w:tc>
      </w:tr>
    </w:tbl>
    <w:p>
      <w:r>
        <w:pict>
          <v:rect style="width:0;height:1.5pt" o:hralign="center" o:hrstd="t" o:hr="t"/>
        </w:pict>
      </w:r>
    </w:p>
    <w:bookmarkEnd w:id="1164"/>
    <w:bookmarkEnd w:id="1165"/>
    <w:bookmarkStart w:id="1166" w:name="thresholds-traffic-light-status"/>
    <w:p>
      <w:pPr>
        <w:pStyle w:val="Heading2"/>
      </w:pPr>
      <w:r>
        <w:t xml:space="preserve">5. Thresholds &amp; Traffic-Light Status</w:t>
      </w:r>
    </w:p>
    <w:p>
      <w:pPr>
        <w:pStyle w:val="BlockText"/>
      </w:pPr>
      <w:r>
        <w:t xml:space="preserve">Initial baseline — must be calibrated with live pilot data and approved by the Risk Committee.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KRI</w:t>
            </w:r>
          </w:p>
        </w:tc>
        <w:tc>
          <w:tcPr/>
          <w:p>
            <w:pPr>
              <w:pStyle w:val="Compact"/>
            </w:pPr>
            <w:r>
              <w:t xml:space="preserve">Unit</w:t>
            </w:r>
          </w:p>
        </w:tc>
        <w:tc>
          <w:tcPr/>
          <w:p>
            <w:pPr>
              <w:pStyle w:val="Compact"/>
            </w:pPr>
            <w:r>
              <w:t xml:space="preserve">🟢 Green</w:t>
            </w:r>
          </w:p>
        </w:tc>
        <w:tc>
          <w:tcPr/>
          <w:p>
            <w:pPr>
              <w:pStyle w:val="Compact"/>
            </w:pPr>
            <w:r>
              <w:t xml:space="preserve">🟡 Amber</w:t>
            </w:r>
          </w:p>
        </w:tc>
        <w:tc>
          <w:tcPr/>
          <w:p>
            <w:pPr>
              <w:pStyle w:val="Compact"/>
            </w:pPr>
            <w:r>
              <w:t xml:space="preserve">🔴 Red</w:t>
            </w:r>
          </w:p>
        </w:tc>
        <w:tc>
          <w:tcPr/>
          <w:p>
            <w:pPr>
              <w:pStyle w:val="Compact"/>
            </w:pPr>
            <w:r>
              <w:t xml:space="preserve">Level</w:t>
            </w:r>
          </w:p>
        </w:tc>
      </w:tr>
      <w:tr>
        <w:tc>
          <w:tcPr/>
          <w:p>
            <w:pPr>
              <w:pStyle w:val="Compact"/>
            </w:pPr>
            <w:r>
              <w:t xml:space="preserve">KRI-01 Volume deviation</w:t>
            </w:r>
          </w:p>
        </w:tc>
        <w:tc>
          <w:tcPr/>
          <w:p>
            <w:pPr>
              <w:pStyle w:val="Compact"/>
            </w:pPr>
            <w:r>
              <w:t xml:space="preserve">% from baseline</w:t>
            </w:r>
          </w:p>
        </w:tc>
        <w:tc>
          <w:tcPr/>
          <w:p>
            <w:pPr>
              <w:pStyle w:val="Compact"/>
            </w:pPr>
            <w:r>
              <w:t xml:space="preserve">±25%</w:t>
            </w:r>
          </w:p>
        </w:tc>
        <w:tc>
          <w:tcPr/>
          <w:p>
            <w:pPr>
              <w:pStyle w:val="Compact"/>
            </w:pPr>
            <w:r>
              <w:t xml:space="preserve">±25–50%</w:t>
            </w:r>
          </w:p>
        </w:tc>
        <w:tc>
          <w:tcPr/>
          <w:p>
            <w:pPr>
              <w:pStyle w:val="Compact"/>
            </w:pPr>
            <w:r>
              <w:t xml:space="preserve">&gt; ±50%</w:t>
            </w:r>
          </w:p>
        </w:tc>
        <w:tc>
          <w:tcPr/>
          <w:p>
            <w:pPr>
              <w:pStyle w:val="Compact"/>
            </w:pPr>
            <w:r>
              <w:t xml:space="preserve">portfolio + merchant</w:t>
            </w:r>
          </w:p>
        </w:tc>
      </w:tr>
      <w:tr>
        <w:tc>
          <w:tcPr/>
          <w:p>
            <w:pPr>
              <w:pStyle w:val="Compact"/>
            </w:pPr>
            <w:r>
              <w:t xml:space="preserve">KRI-02 Failed-auth rate</w:t>
            </w:r>
          </w:p>
        </w:tc>
        <w:tc>
          <w:tcPr/>
          <w:p>
            <w:pPr>
              <w:pStyle w:val="Compact"/>
            </w:pPr>
            <w:r>
              <w:t xml:space="preserve">%</w:t>
            </w:r>
          </w:p>
        </w:tc>
        <w:tc>
          <w:tcPr/>
          <w:p>
            <w:pPr>
              <w:pStyle w:val="Compact"/>
            </w:pPr>
            <w:r>
              <w:t xml:space="preserve">&lt; 8%</w:t>
            </w:r>
          </w:p>
        </w:tc>
        <w:tc>
          <w:tcPr/>
          <w:p>
            <w:pPr>
              <w:pStyle w:val="Compact"/>
            </w:pPr>
            <w:r>
              <w:t xml:space="preserve">8–15%</w:t>
            </w:r>
          </w:p>
        </w:tc>
        <w:tc>
          <w:tcPr/>
          <w:p>
            <w:pPr>
              <w:pStyle w:val="Compact"/>
            </w:pPr>
            <w:r>
              <w:t xml:space="preserve">&gt; 15%</w:t>
            </w:r>
          </w:p>
        </w:tc>
        <w:tc>
          <w:tcPr/>
          <w:p>
            <w:pPr>
              <w:pStyle w:val="Compact"/>
            </w:pPr>
            <w:r>
              <w:t xml:space="preserve">portfolio + merchant + BIN</w:t>
            </w:r>
          </w:p>
        </w:tc>
      </w:tr>
      <w:tr>
        <w:tc>
          <w:tcPr/>
          <w:p>
            <w:pPr>
              <w:pStyle w:val="Compact"/>
            </w:pPr>
            <w:r>
              <w:t xml:space="preserve">KRI-02b Card-testing signal (invalid-card spike)</w:t>
            </w:r>
          </w:p>
        </w:tc>
        <w:tc>
          <w:tcPr/>
          <w:p>
            <w:pPr>
              <w:pStyle w:val="Compact"/>
            </w:pPr>
            <w:r>
              <w:t xml:space="preserve">× baseline</w:t>
            </w:r>
          </w:p>
        </w:tc>
        <w:tc>
          <w:tcPr/>
          <w:p>
            <w:pPr>
              <w:pStyle w:val="Compact"/>
            </w:pPr>
            <w:r>
              <w:t xml:space="preserve">&lt; 3×</w:t>
            </w:r>
          </w:p>
        </w:tc>
        <w:tc>
          <w:tcPr/>
          <w:p>
            <w:pPr>
              <w:pStyle w:val="Compact"/>
            </w:pPr>
            <w:r>
              <w:t xml:space="preserve">3–5×</w:t>
            </w:r>
          </w:p>
        </w:tc>
        <w:tc>
          <w:tcPr/>
          <w:p>
            <w:pPr>
              <w:pStyle w:val="Compact"/>
            </w:pPr>
            <w:r>
              <w:t xml:space="preserve">&gt; 5×</w:t>
            </w:r>
          </w:p>
        </w:tc>
        <w:tc>
          <w:tcPr/>
          <w:p>
            <w:pPr>
              <w:pStyle w:val="Compact"/>
            </w:pPr>
            <w:r>
              <w:t xml:space="preserve">BIN/IP</w:t>
            </w:r>
          </w:p>
        </w:tc>
      </w:tr>
      <w:tr>
        <w:tc>
          <w:tcPr/>
          <w:p>
            <w:pPr>
              <w:pStyle w:val="Compact"/>
            </w:pPr>
            <w:r>
              <w:t xml:space="preserve">KRI-03 Refund ratio</w:t>
            </w:r>
          </w:p>
        </w:tc>
        <w:tc>
          <w:tcPr/>
          <w:p>
            <w:pPr>
              <w:pStyle w:val="Compact"/>
            </w:pPr>
            <w:r>
              <w:t xml:space="preserve">% of captured</w:t>
            </w:r>
          </w:p>
        </w:tc>
        <w:tc>
          <w:tcPr/>
          <w:p>
            <w:pPr>
              <w:pStyle w:val="Compact"/>
            </w:pPr>
            <w:r>
              <w:t xml:space="preserve">&lt; 5%</w:t>
            </w:r>
          </w:p>
        </w:tc>
        <w:tc>
          <w:tcPr/>
          <w:p>
            <w:pPr>
              <w:pStyle w:val="Compact"/>
            </w:pPr>
            <w:r>
              <w:t xml:space="preserve">5–10%</w:t>
            </w:r>
          </w:p>
        </w:tc>
        <w:tc>
          <w:tcPr/>
          <w:p>
            <w:pPr>
              <w:pStyle w:val="Compact"/>
            </w:pPr>
            <w:r>
              <w:t xml:space="preserve">&gt; 10%</w:t>
            </w:r>
          </w:p>
        </w:tc>
        <w:tc>
          <w:tcPr/>
          <w:p>
            <w:pPr>
              <w:pStyle w:val="Compact"/>
            </w:pPr>
            <w:r>
              <w:t xml:space="preserve">merchant</w:t>
            </w:r>
          </w:p>
        </w:tc>
      </w:tr>
      <w:tr>
        <w:tc>
          <w:tcPr/>
          <w:p>
            <w:pPr>
              <w:pStyle w:val="Compact"/>
            </w:pPr>
            <w:r>
              <w:t xml:space="preserve">KRI-03 Chargeback ratio (count)</w:t>
            </w:r>
          </w:p>
        </w:tc>
        <w:tc>
          <w:tcPr/>
          <w:p>
            <w:pPr>
              <w:pStyle w:val="Compact"/>
            </w:pPr>
            <w:r>
              <w:t xml:space="preserve">% of settled</w:t>
            </w:r>
          </w:p>
        </w:tc>
        <w:tc>
          <w:tcPr/>
          <w:p>
            <w:pPr>
              <w:pStyle w:val="Compact"/>
            </w:pPr>
            <w:r>
              <w:t xml:space="preserve">&lt; 0.65%</w:t>
            </w:r>
          </w:p>
        </w:tc>
        <w:tc>
          <w:tcPr/>
          <w:p>
            <w:pPr>
              <w:pStyle w:val="Compact"/>
            </w:pPr>
            <w:r>
              <w:t xml:space="preserve">0.65–0.9%</w:t>
            </w:r>
          </w:p>
        </w:tc>
        <w:tc>
          <w:tcPr/>
          <w:p>
            <w:pPr>
              <w:pStyle w:val="Compact"/>
            </w:pPr>
            <w:r>
              <w:t xml:space="preserve">&gt; 0.9%</w:t>
            </w:r>
          </w:p>
        </w:tc>
        <w:tc>
          <w:tcPr/>
          <w:p>
            <w:pPr>
              <w:pStyle w:val="Compact"/>
            </w:pPr>
            <w:r>
              <w:t xml:space="preserve">merchant</w:t>
            </w:r>
          </w:p>
        </w:tc>
      </w:tr>
      <w:tr>
        <w:tc>
          <w:tcPr/>
          <w:p>
            <w:pPr>
              <w:pStyle w:val="Compact"/>
            </w:pPr>
            <w:r>
              <w:t xml:space="preserve">KRI-04 Fraud loss (value)</w:t>
            </w:r>
          </w:p>
        </w:tc>
        <w:tc>
          <w:tcPr/>
          <w:p>
            <w:pPr>
              <w:pStyle w:val="Compact"/>
            </w:pPr>
            <w:r>
              <w:t xml:space="preserve">bps of sales</w:t>
            </w:r>
          </w:p>
        </w:tc>
        <w:tc>
          <w:tcPr/>
          <w:p>
            <w:pPr>
              <w:pStyle w:val="Compact"/>
            </w:pPr>
            <w:r>
              <w:t xml:space="preserve">&lt; 10 bps</w:t>
            </w:r>
          </w:p>
        </w:tc>
        <w:tc>
          <w:tcPr/>
          <w:p>
            <w:pPr>
              <w:pStyle w:val="Compact"/>
            </w:pPr>
            <w:r>
              <w:t xml:space="preserve">10–20 bps</w:t>
            </w:r>
          </w:p>
        </w:tc>
        <w:tc>
          <w:tcPr/>
          <w:p>
            <w:pPr>
              <w:pStyle w:val="Compact"/>
            </w:pPr>
            <w:r>
              <w:t xml:space="preserve">&gt; 20 bps</w:t>
            </w:r>
          </w:p>
        </w:tc>
        <w:tc>
          <w:tcPr/>
          <w:p>
            <w:pPr>
              <w:pStyle w:val="Compact"/>
            </w:pPr>
            <w:r>
              <w:t xml:space="preserve">portfolio + merchant</w:t>
            </w:r>
          </w:p>
        </w:tc>
      </w:tr>
      <w:tr>
        <w:tc>
          <w:tcPr/>
          <w:p>
            <w:pPr>
              <w:pStyle w:val="Compact"/>
            </w:pPr>
            <w:r>
              <w:t xml:space="preserve">KRI-05 3DS auth success</w:t>
            </w:r>
          </w:p>
        </w:tc>
        <w:tc>
          <w:tcPr/>
          <w:p>
            <w:pPr>
              <w:pStyle w:val="Compact"/>
            </w:pPr>
            <w:r>
              <w:t xml:space="preserve">%</w:t>
            </w:r>
          </w:p>
        </w:tc>
        <w:tc>
          <w:tcPr/>
          <w:p>
            <w:pPr>
              <w:pStyle w:val="Compact"/>
            </w:pPr>
            <w:r>
              <w:t xml:space="preserve">&gt; 90%</w:t>
            </w:r>
          </w:p>
        </w:tc>
        <w:tc>
          <w:tcPr/>
          <w:p>
            <w:pPr>
              <w:pStyle w:val="Compact"/>
            </w:pPr>
            <w:r>
              <w:t xml:space="preserve">80–90%</w:t>
            </w:r>
          </w:p>
        </w:tc>
        <w:tc>
          <w:tcPr/>
          <w:p>
            <w:pPr>
              <w:pStyle w:val="Compact"/>
            </w:pPr>
            <w:r>
              <w:t xml:space="preserve">&lt; 80%</w:t>
            </w:r>
          </w:p>
        </w:tc>
        <w:tc>
          <w:tcPr/>
          <w:p>
            <w:pPr>
              <w:pStyle w:val="Compact"/>
            </w:pPr>
            <w:r>
              <w:t xml:space="preserve">portfolio</w:t>
            </w:r>
          </w:p>
        </w:tc>
      </w:tr>
      <w:tr>
        <w:tc>
          <w:tcPr/>
          <w:p>
            <w:pPr>
              <w:pStyle w:val="Compact"/>
            </w:pPr>
            <w:r>
              <w:t xml:space="preserve">KRI-07 Availability</w:t>
            </w:r>
          </w:p>
        </w:tc>
        <w:tc>
          <w:tcPr/>
          <w:p>
            <w:pPr>
              <w:pStyle w:val="Compact"/>
            </w:pPr>
            <w:r>
              <w:t xml:space="preserve">% (rolling 30d)</w:t>
            </w:r>
          </w:p>
        </w:tc>
        <w:tc>
          <w:tcPr/>
          <w:p>
            <w:pPr>
              <w:pStyle w:val="Compact"/>
            </w:pPr>
            <w:r>
              <w:t xml:space="preserve">≥ 99.95%</w:t>
            </w:r>
          </w:p>
        </w:tc>
        <w:tc>
          <w:tcPr/>
          <w:p>
            <w:pPr>
              <w:pStyle w:val="Compact"/>
            </w:pPr>
            <w:r>
              <w:t xml:space="preserve">99.9–99.95%</w:t>
            </w:r>
          </w:p>
        </w:tc>
        <w:tc>
          <w:tcPr/>
          <w:p>
            <w:pPr>
              <w:pStyle w:val="Compact"/>
            </w:pPr>
            <w:r>
              <w:t xml:space="preserve">&lt; 99.9%</w:t>
            </w:r>
          </w:p>
        </w:tc>
        <w:tc>
          <w:tcPr/>
          <w:p>
            <w:pPr>
              <w:pStyle w:val="Compact"/>
            </w:pPr>
            <w:r>
              <w:t xml:space="preserve">system</w:t>
            </w:r>
          </w:p>
        </w:tc>
      </w:tr>
      <w:tr>
        <w:tc>
          <w:tcPr/>
          <w:p>
            <w:pPr>
              <w:pStyle w:val="Compact"/>
            </w:pPr>
            <w:r>
              <w:t xml:space="preserve">KRI-08 Auth latency p99</w:t>
            </w:r>
          </w:p>
        </w:tc>
        <w:tc>
          <w:tcPr/>
          <w:p>
            <w:pPr>
              <w:pStyle w:val="Compact"/>
            </w:pPr>
            <w:r>
              <w:t xml:space="preserve">ms</w:t>
            </w:r>
          </w:p>
        </w:tc>
        <w:tc>
          <w:tcPr/>
          <w:p>
            <w:pPr>
              <w:pStyle w:val="Compact"/>
            </w:pPr>
            <w:r>
              <w:t xml:space="preserve">&lt; 800</w:t>
            </w:r>
          </w:p>
        </w:tc>
        <w:tc>
          <w:tcPr/>
          <w:p>
            <w:pPr>
              <w:pStyle w:val="Compact"/>
            </w:pPr>
            <w:r>
              <w:t xml:space="preserve">800–1200</w:t>
            </w:r>
          </w:p>
        </w:tc>
        <w:tc>
          <w:tcPr/>
          <w:p>
            <w:pPr>
              <w:pStyle w:val="Compact"/>
            </w:pPr>
            <w:r>
              <w:t xml:space="preserve">&gt; 1200</w:t>
            </w:r>
          </w:p>
        </w:tc>
        <w:tc>
          <w:tcPr/>
          <w:p>
            <w:pPr>
              <w:pStyle w:val="Compact"/>
            </w:pPr>
            <w:r>
              <w:t xml:space="preserve">system</w:t>
            </w:r>
          </w:p>
        </w:tc>
      </w:tr>
    </w:tbl>
    <w:p>
      <w:pPr>
        <w:pStyle w:val="BlockText"/>
      </w:pPr>
      <w:r>
        <w:rPr>
          <w:b/>
          <w:bCs/>
        </w:rPr>
        <w:t xml:space="preserve">[TODO/ASSUMPTION]</w:t>
      </w:r>
      <w:r>
        <w:t xml:space="preserve"> </w:t>
      </w:r>
      <w:r>
        <w:t xml:space="preserve">The 0.9% chargeback and fraud-bps thresholds reflect general Visa/Mastercard guidance; confirm binding figures with the</w:t>
      </w:r>
      <w:r>
        <w:t xml:space="preserve"> </w:t>
      </w:r>
      <w:r>
        <w:rPr>
          <w:b/>
          <w:bCs/>
        </w:rPr>
        <w:t xml:space="preserve">sponsor bank/scheme</w:t>
      </w:r>
      <w:r>
        <w:t xml:space="preserve">. Always set Amber below the scheme threshold for early warning.</w:t>
      </w:r>
    </w:p>
    <w:p>
      <w:r>
        <w:pict>
          <v:rect style="width:0;height:1.5pt" o:hralign="center" o:hrstd="t" o:hr="t"/>
        </w:pict>
      </w:r>
    </w:p>
    <w:bookmarkEnd w:id="1166"/>
    <w:bookmarkStart w:id="1167" w:name="alerting-escalation"/>
    <w:p>
      <w:pPr>
        <w:pStyle w:val="Heading2"/>
      </w:pPr>
      <w:r>
        <w:t xml:space="preserve">6. Alerting &amp; Escalation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Status</w:t>
            </w:r>
          </w:p>
        </w:tc>
        <w:tc>
          <w:tcPr/>
          <w:p>
            <w:pPr>
              <w:pStyle w:val="Compact"/>
            </w:pPr>
            <w:r>
              <w:t xml:space="preserve">Channel</w:t>
            </w:r>
          </w:p>
        </w:tc>
        <w:tc>
          <w:tcPr/>
          <w:p>
            <w:pPr>
              <w:pStyle w:val="Compact"/>
            </w:pPr>
            <w:r>
              <w:t xml:space="preserve">Recipient</w:t>
            </w:r>
          </w:p>
        </w:tc>
        <w:tc>
          <w:tcPr/>
          <w:p>
            <w:pPr>
              <w:pStyle w:val="Compact"/>
            </w:pPr>
            <w:r>
              <w:t xml:space="preserve">Triage SLA</w:t>
            </w:r>
          </w:p>
        </w:tc>
        <w:tc>
          <w:tcPr/>
          <w:p>
            <w:pPr>
              <w:pStyle w:val="Compact"/>
            </w:pPr>
            <w:r>
              <w:t xml:space="preserve">Escalation</w:t>
            </w:r>
          </w:p>
        </w:tc>
      </w:tr>
      <w:tr>
        <w:tc>
          <w:tcPr/>
          <w:p>
            <w:pPr>
              <w:pStyle w:val="Compact"/>
            </w:pPr>
            <w:r>
              <w:t xml:space="preserve">🟡 Amber</w:t>
            </w:r>
          </w:p>
        </w:tc>
        <w:tc>
          <w:tcPr/>
          <w:p>
            <w:pPr>
              <w:pStyle w:val="Compact"/>
            </w:pPr>
            <w:r>
              <w:t xml:space="preserve">Dashboard + email/Slack</w:t>
            </w:r>
          </w:p>
        </w:tc>
        <w:tc>
          <w:tcPr/>
          <w:p>
            <w:pPr>
              <w:pStyle w:val="Compact"/>
            </w:pPr>
            <w:r>
              <w:t xml:space="preserve">Fraud &amp; Risk Ops</w:t>
            </w:r>
          </w:p>
        </w:tc>
        <w:tc>
          <w:tcPr/>
          <w:p>
            <w:pPr>
              <w:pStyle w:val="Compact"/>
            </w:pPr>
            <w:r>
              <w:t xml:space="preserve">Within 4h (business hours)</w:t>
            </w:r>
          </w:p>
        </w:tc>
        <w:tc>
          <w:tcPr/>
          <w:p>
            <w:pPr>
              <w:pStyle w:val="Compact"/>
            </w:pPr>
            <w:r>
              <w:t xml:space="preserve">Log + increased monitoring</w:t>
            </w:r>
          </w:p>
        </w:tc>
      </w:tr>
      <w:tr>
        <w:tc>
          <w:tcPr/>
          <w:p>
            <w:pPr>
              <w:pStyle w:val="Compact"/>
            </w:pPr>
            <w:r>
              <w:t xml:space="preserve">🔴 Red</w:t>
            </w:r>
          </w:p>
        </w:tc>
        <w:tc>
          <w:tcPr/>
          <w:p>
            <w:pPr>
              <w:pStyle w:val="Compact"/>
            </w:pPr>
            <w:r>
              <w:t xml:space="preserve">Dashboard + PagerDuty/call + Slack</w:t>
            </w:r>
          </w:p>
        </w:tc>
        <w:tc>
          <w:tcPr/>
          <w:p>
            <w:pPr>
              <w:pStyle w:val="Compact"/>
            </w:pPr>
            <w:r>
              <w:t xml:space="preserve">Fraud Ops on-call + Head of Payment Ops</w:t>
            </w:r>
          </w:p>
        </w:tc>
        <w:tc>
          <w:tcPr/>
          <w:p>
            <w:pPr>
              <w:pStyle w:val="Compact"/>
            </w:pPr>
            <w:r>
              <w:t xml:space="preserve">Within 30 min (24/7)</w:t>
            </w:r>
          </w:p>
        </w:tc>
        <w:tc>
          <w:tcPr/>
          <w:p>
            <w:pPr>
              <w:pStyle w:val="Compact"/>
            </w:pPr>
            <w:r>
              <w:t xml:space="preserve">Open incident, notify CRO/CISO</w:t>
            </w:r>
          </w:p>
        </w:tc>
      </w:tr>
      <w:tr>
        <w:tc>
          <w:tcPr/>
          <w:p>
            <w:pPr>
              <w:pStyle w:val="Compact"/>
            </w:pPr>
            <w:r>
              <w:t xml:space="preserve">🔴 Red (card-testing/BIN attack)</w:t>
            </w:r>
          </w:p>
        </w:tc>
        <w:tc>
          <w:tcPr/>
          <w:p>
            <w:pPr>
              <w:pStyle w:val="Compact"/>
            </w:pPr>
            <w:r>
              <w:t xml:space="preserve">Automated</w:t>
            </w:r>
          </w:p>
        </w:tc>
        <w:tc>
          <w:tcPr/>
          <w:p>
            <w:pPr>
              <w:pStyle w:val="Compact"/>
            </w:pPr>
            <w:r>
              <w:t xml:space="preserve">Fraud Ops + SecOps</w:t>
            </w:r>
          </w:p>
        </w:tc>
        <w:tc>
          <w:tcPr/>
          <w:p>
            <w:pPr>
              <w:pStyle w:val="Compact"/>
            </w:pPr>
            <w:r>
              <w:t xml:space="preserve">Immediate (auto)</w:t>
            </w:r>
          </w:p>
        </w:tc>
        <w:tc>
          <w:tcPr/>
          <w:p>
            <w:pPr>
              <w:pStyle w:val="Compact"/>
            </w:pPr>
            <w:r>
              <w:t xml:space="preserve">Trigger rate-limit/velocity block per runbook</w:t>
            </w:r>
          </w:p>
        </w:tc>
      </w:tr>
      <w:tr>
        <w:tc>
          <w:tcPr/>
          <w:p>
            <w:pPr>
              <w:pStyle w:val="Compact"/>
            </w:pPr>
            <w:r>
              <w:t xml:space="preserve">🔴 Red (fraud/AML pattern)</w:t>
            </w:r>
          </w:p>
        </w:tc>
        <w:tc>
          <w:tcPr/>
          <w:p>
            <w:pPr>
              <w:pStyle w:val="Compact"/>
            </w:pPr>
            <w:r>
              <w:t xml:space="preserve">Automated</w:t>
            </w:r>
          </w:p>
        </w:tc>
        <w:tc>
          <w:tcPr/>
          <w:p>
            <w:pPr>
              <w:pStyle w:val="Compact"/>
            </w:pPr>
            <w:r>
              <w:t xml:space="preserve">MLRO/AMLCO</w:t>
            </w:r>
          </w:p>
        </w:tc>
        <w:tc>
          <w:tcPr/>
          <w:p>
            <w:pPr>
              <w:pStyle w:val="Compact"/>
            </w:pPr>
            <w:r>
              <w:t xml:space="preserve">Within 24h</w:t>
            </w:r>
          </w:p>
        </w:tc>
        <w:tc>
          <w:tcPr/>
          <w:p>
            <w:pPr>
              <w:pStyle w:val="Compact"/>
            </w:pPr>
            <w:r>
              <w:t xml:space="preserve">Assess SAR/STR (Doc 07)</w:t>
            </w:r>
          </w:p>
        </w:tc>
      </w:tr>
    </w:tbl>
    <w:p>
      <w:pPr>
        <w:pStyle w:val="BodyText"/>
      </w:pPr>
      <w:r>
        <w:rPr>
          <w:b/>
          <w:bCs/>
        </w:rPr>
        <w:t xml:space="preserve">Automated controls:</w:t>
      </w:r>
      <w:r>
        <w:t xml:space="preserve"> </w:t>
      </w:r>
      <w:r>
        <w:t xml:space="preserve">when KRI-02b (card-testing) goes Red, the system can trigger velocity blocks, step-up 3DS challenges or a temporary merchant hold per runbook, logging every action to</w:t>
      </w:r>
      <w:r>
        <w:t xml:space="preserve"> </w:t>
      </w:r>
      <w:r>
        <w:rPr>
          <w:rStyle w:val="VerbatimChar"/>
        </w:rPr>
        <w:t xml:space="preserve">audit_log</w:t>
      </w:r>
      <w:r>
        <w:t xml:space="preserve">.</w:t>
      </w:r>
    </w:p>
    <w:p>
      <w:pPr>
        <w:pStyle w:val="BodyText"/>
      </w:pPr>
      <w:r>
        <w:rPr>
          <w:b/>
          <w:bCs/>
        </w:rPr>
        <w:t xml:space="preserve">Incident Response linkage (Doc 16):</w:t>
      </w:r>
      <w:r>
        <w:t xml:space="preserve"> </w:t>
      </w:r>
      <w:r>
        <w:t xml:space="preserve">every Red qualifying as a security or availability event opens an incident ticket and enters the IR process, including BOT/PDPC notification within required timelines where conditions are met.</w:t>
      </w:r>
    </w:p>
    <w:p>
      <w:r>
        <w:pict>
          <v:rect style="width:0;height:1.5pt" o:hralign="center" o:hrstd="t" o:hr="t"/>
        </w:pict>
      </w:r>
    </w:p>
    <w:bookmarkEnd w:id="1167"/>
    <w:bookmarkStart w:id="1168" w:name="data-architecture-implementation"/>
    <w:p>
      <w:pPr>
        <w:pStyle w:val="Heading2"/>
      </w:pPr>
      <w:r>
        <w:t xml:space="preserve">7. Data Architecture &amp; Implementation</w:t>
      </w:r>
    </w:p>
    <w:p>
      <w:pPr>
        <w:pStyle w:val="SourceCode"/>
      </w:pPr>
      <w:r>
        <w:rPr>
          <w:rStyle w:val="VerbatimChar"/>
        </w:rPr>
        <w:t xml:space="preserve">payment core (Go/Fiber) ──write──▶ Postgres (payments, ledger_entries, refunds, audit_log)</w:t>
      </w:r>
      <w:r>
        <w:br/>
      </w:r>
      <w:r>
        <w:rPr>
          <w:rStyle w:val="VerbatimChar"/>
        </w:rPr>
        <w:t xml:space="preserve">                                          │  logical replication / CDC</w:t>
      </w:r>
      <w:r>
        <w:br/>
      </w:r>
      <w:r>
        <w:rPr>
          <w:rStyle w:val="VerbatimChar"/>
        </w:rPr>
        <w:t xml:space="preserve">                                          ▼</w:t>
      </w:r>
      <w:r>
        <w:br/>
      </w:r>
      <w:r>
        <w:rPr>
          <w:rStyle w:val="VerbatimChar"/>
        </w:rPr>
        <w:t xml:space="preserve">                              Read Replica / Analytics store</w:t>
      </w:r>
      <w:r>
        <w:br/>
      </w:r>
      <w:r>
        <w:rPr>
          <w:rStyle w:val="VerbatimChar"/>
        </w:rPr>
        <w:t xml:space="preserve">                                          │</w:t>
      </w:r>
      <w:r>
        <w:br/>
      </w:r>
      <w:r>
        <w:rPr>
          <w:rStyle w:val="VerbatimChar"/>
        </w:rPr>
        <w:t xml:space="preserve">                          ┌───────────────┴───────────────┐</w:t>
      </w:r>
      <w:r>
        <w:br/>
      </w:r>
      <w:r>
        <w:rPr>
          <w:rStyle w:val="VerbatimChar"/>
        </w:rPr>
        <w:t xml:space="preserve">                     streaming (minute)              batch (daily)</w:t>
      </w:r>
      <w:r>
        <w:br/>
      </w:r>
      <w:r>
        <w:rPr>
          <w:rStyle w:val="VerbatimChar"/>
        </w:rPr>
        <w:t xml:space="preserve">                     volume, failed-auth,           chargeback, fraud loss,</w:t>
      </w:r>
      <w:r>
        <w:br/>
      </w:r>
      <w:r>
        <w:rPr>
          <w:rStyle w:val="VerbatimChar"/>
        </w:rPr>
        <w:t xml:space="preserve">                     velocity, latency              reconciliation break</w:t>
      </w:r>
      <w:r>
        <w:br/>
      </w:r>
      <w:r>
        <w:rPr>
          <w:rStyle w:val="VerbatimChar"/>
        </w:rPr>
        <w:t xml:space="preserve">                                          │</w:t>
      </w:r>
      <w:r>
        <w:br/>
      </w:r>
      <w:r>
        <w:rPr>
          <w:rStyle w:val="VerbatimChar"/>
        </w:rPr>
        <w:t xml:space="preserve">                                          ▼</w:t>
      </w:r>
      <w:r>
        <w:br/>
      </w:r>
      <w:r>
        <w:rPr>
          <w:rStyle w:val="VerbatimChar"/>
        </w:rPr>
        <w:t xml:space="preserve">                              KRI compute service ──▶ threshold engine ──▶ alerting</w:t>
      </w:r>
      <w:r>
        <w:br/>
      </w:r>
      <w:r>
        <w:rPr>
          <w:rStyle w:val="VerbatimChar"/>
        </w:rPr>
        <w:t xml:space="preserve">                                          │</w:t>
      </w:r>
      <w:r>
        <w:br/>
      </w:r>
      <w:r>
        <w:rPr>
          <w:rStyle w:val="VerbatimChar"/>
        </w:rPr>
        <w:t xml:space="preserve">                                          ▼</w:t>
      </w:r>
      <w:r>
        <w:br/>
      </w:r>
      <w:r>
        <w:rPr>
          <w:rStyle w:val="VerbatimChar"/>
        </w:rPr>
        <w:t xml:space="preserve">                                   KRI Dashboard (RBAC + MFA)</w:t>
      </w:r>
    </w:p>
    <w:p>
      <w:pPr>
        <w:pStyle w:val="Compact"/>
        <w:numPr>
          <w:ilvl w:val="0"/>
          <w:numId w:val="1428"/>
        </w:numPr>
      </w:pPr>
      <w:r>
        <w:rPr>
          <w:b/>
          <w:bCs/>
        </w:rPr>
        <w:t xml:space="preserve">Access:</w:t>
      </w:r>
      <w:r>
        <w:t xml:space="preserve"> </w:t>
      </w:r>
      <w:r>
        <w:t xml:space="preserve">RBAC + MFA (PCI Req 7-8); merchants see only their own data; executives see portfolio.</w:t>
      </w:r>
    </w:p>
    <w:p>
      <w:pPr>
        <w:pStyle w:val="Compact"/>
        <w:numPr>
          <w:ilvl w:val="0"/>
          <w:numId w:val="1428"/>
        </w:numPr>
      </w:pPr>
      <w:r>
        <w:rPr>
          <w:b/>
          <w:bCs/>
        </w:rPr>
        <w:t xml:space="preserve">Retention:</w:t>
      </w:r>
      <w:r>
        <w:t xml:space="preserve"> </w:t>
      </w:r>
      <w:r>
        <w:t xml:space="preserve">aggregate KRI data retained ≥ 5 years (per Doc 11 retention and BOT/AML requirements).</w:t>
      </w:r>
    </w:p>
    <w:p>
      <w:pPr>
        <w:pStyle w:val="Compact"/>
        <w:numPr>
          <w:ilvl w:val="0"/>
          <w:numId w:val="1428"/>
        </w:numPr>
      </w:pPr>
      <w:r>
        <w:rPr>
          <w:b/>
          <w:bCs/>
        </w:rPr>
        <w:t xml:space="preserve">Privacy (PDPA):</w:t>
      </w:r>
      <w:r>
        <w:t xml:space="preserve"> </w:t>
      </w:r>
      <w:r>
        <w:t xml:space="preserve">dashboard data is aggregate/pseudonymized; raw access is entitled and logged.</w:t>
      </w:r>
    </w:p>
    <w:p>
      <w:pPr>
        <w:pStyle w:val="Compact"/>
        <w:numPr>
          <w:ilvl w:val="0"/>
          <w:numId w:val="1428"/>
        </w:numPr>
      </w:pPr>
      <w:r>
        <w:rPr>
          <w:b/>
          <w:bCs/>
        </w:rPr>
        <w:t xml:space="preserve">Data quality:</w:t>
      </w:r>
      <w:r>
        <w:t xml:space="preserve"> </w:t>
      </w:r>
      <w:r>
        <w:t xml:space="preserve">KRI-09 (reconciliation break) and pipeline completeness checks control the dashboard’s own accuracy.</w:t>
      </w:r>
    </w:p>
    <w:p>
      <w:pPr>
        <w:pStyle w:val="BlockText"/>
      </w:pPr>
      <w:r>
        <w:rPr>
          <w:b/>
          <w:bCs/>
        </w:rPr>
        <w:t xml:space="preserve">[TODO/ASSUMPTION]</w:t>
      </w:r>
      <w:r>
        <w:t xml:space="preserve"> </w:t>
      </w:r>
      <w:r>
        <w:t xml:space="preserve">The specific stack (e.g. ClickHouse/Grafana/Metabase/managed BI) is not yet fixed — confirm in the data-platform architecture and keep it in Thailand per BOT/PDPA data-residency requirements.</w:t>
      </w:r>
    </w:p>
    <w:p>
      <w:r>
        <w:pict>
          <v:rect style="width:0;height:1.5pt" o:hralign="center" o:hrstd="t" o:hr="t"/>
        </w:pict>
      </w:r>
    </w:p>
    <w:bookmarkEnd w:id="1168"/>
    <w:bookmarkStart w:id="1169" w:name="review-calibration-audit-evidence"/>
    <w:p>
      <w:pPr>
        <w:pStyle w:val="Heading2"/>
      </w:pPr>
      <w:r>
        <w:t xml:space="preserve">8. Review, Calibration &amp; Audit Evidence</w:t>
      </w:r>
    </w:p>
    <w:p>
      <w:pPr>
        <w:pStyle w:val="Compact"/>
        <w:numPr>
          <w:ilvl w:val="0"/>
          <w:numId w:val="1429"/>
        </w:numPr>
      </w:pPr>
      <w:r>
        <w:rPr>
          <w:b/>
          <w:bCs/>
        </w:rPr>
        <w:t xml:space="preserve">Calibration:</w:t>
      </w:r>
      <w:r>
        <w:t xml:space="preserve"> </w:t>
      </w:r>
      <w:r>
        <w:t xml:space="preserve">review thresholds quarterly via backtesting against live data; log every change rationale to</w:t>
      </w:r>
      <w:r>
        <w:t xml:space="preserve"> </w:t>
      </w:r>
      <w:r>
        <w:rPr>
          <w:rStyle w:val="VerbatimChar"/>
        </w:rPr>
        <w:t xml:space="preserve">audit_log</w:t>
      </w:r>
      <w:r>
        <w:t xml:space="preserve">.</w:t>
      </w:r>
    </w:p>
    <w:p>
      <w:pPr>
        <w:pStyle w:val="Compact"/>
        <w:numPr>
          <w:ilvl w:val="0"/>
          <w:numId w:val="1429"/>
        </w:numPr>
      </w:pPr>
      <w:r>
        <w:rPr>
          <w:b/>
          <w:bCs/>
        </w:rPr>
        <w:t xml:space="preserve">Backtesting:</w:t>
      </w:r>
      <w:r>
        <w:t xml:space="preserve"> </w:t>
      </w:r>
      <w:r>
        <w:t xml:space="preserve">verify thresholds catch real events (true positives) while limiting noise (false positives).</w:t>
      </w:r>
    </w:p>
    <w:p>
      <w:pPr>
        <w:pStyle w:val="Compact"/>
        <w:numPr>
          <w:ilvl w:val="0"/>
          <w:numId w:val="1429"/>
        </w:numPr>
      </w:pPr>
      <w:r>
        <w:rPr>
          <w:b/>
          <w:bCs/>
        </w:rPr>
        <w:t xml:space="preserve">Evidence for BOT/QSA:</w:t>
      </w:r>
      <w:r>
        <w:t xml:space="preserve"> </w:t>
      </w:r>
      <w:r>
        <w:t xml:space="preserve">retain monthly dashboard snapshots, alert-acknowledgement logs, risk-acceptance records and Board reports.</w:t>
      </w:r>
    </w:p>
    <w:p>
      <w:pPr>
        <w:pStyle w:val="Compact"/>
        <w:numPr>
          <w:ilvl w:val="0"/>
          <w:numId w:val="1429"/>
        </w:numPr>
      </w:pPr>
      <w:r>
        <w:rPr>
          <w:b/>
          <w:bCs/>
        </w:rPr>
        <w:t xml:space="preserve">Cross-references:</w:t>
      </w:r>
      <w:r>
        <w:t xml:space="preserve"> </w:t>
      </w:r>
      <w:r>
        <w:t xml:space="preserve">Docs 05/07 (AML/SAR), 13 (IT Risk), 16 (Incident Response), 22 (3DS), 24 (Scheme Certification).</w:t>
      </w:r>
    </w:p>
    <w:p>
      <w:r>
        <w:br w:type="page"/>
      </w:r>
    </w:p>
    <w:bookmarkEnd w:id="1169"/>
    <w:bookmarkEnd w:id="1170"/>
    <w:bookmarkStart w:id="1192" w:name="X507608e2bec906eabc8ee64f5658281605e2fc7"/>
    <w:p>
      <w:pPr>
        <w:pStyle w:val="Heading1"/>
      </w:pPr>
      <w:r>
        <w:t xml:space="preserve">แบบฟอร์มและเอกสารประกอบการยื่นขอใบอนุญาตต่อ ธปท. (ไทย)</w:t>
      </w:r>
    </w:p>
    <w:p>
      <w:pPr>
        <w:pStyle w:val="BlockText"/>
      </w:pPr>
      <w:r>
        <w:t xml:space="preserve">เอกสารเลขที่</w:t>
      </w:r>
      <w:r>
        <w:t xml:space="preserve"> </w:t>
      </w:r>
      <w:r>
        <w:rPr>
          <w:rStyle w:val="VerbatimChar"/>
        </w:rPr>
        <w:t xml:space="preserve">docs/compliance/33-bot-license-application.md</w:t>
      </w:r>
      <w:r>
        <w:t xml:space="preserve"> </w:t>
      </w:r>
      <w:r>
        <w:t xml:space="preserve">· เวอร์ชัน 0.1 · วันที่จัดทำ 22 ก.ค. 2569</w:t>
      </w:r>
      <w:r>
        <w:t xml:space="preserve"> </w:t>
      </w:r>
      <w:r>
        <w:t xml:space="preserve">ประเภทคำขอ:</w:t>
      </w:r>
      <w:r>
        <w:t xml:space="preserve"> </w:t>
      </w:r>
      <w:r>
        <w:rPr>
          <w:b/>
          <w:bCs/>
        </w:rPr>
        <w:t xml:space="preserve">ใบอนุญาตให้บริการรับชำระเงินด้วยวิธีการทางอิเล็กทรอนิกส์ (Acquiring Service) แบบเต็มรูปแบบ</w:t>
      </w:r>
      <w:r>
        <w:t xml:space="preserve"> </w:t>
      </w:r>
      <w:r>
        <w:t xml:space="preserve">ภายใต้</w:t>
      </w:r>
      <w:r>
        <w:t xml:space="preserve"> </w:t>
      </w:r>
      <w:r>
        <w:rPr>
          <w:b/>
          <w:bCs/>
        </w:rPr>
        <w:t xml:space="preserve">พ.ร.บ. ระบบการชำระเงิน พ.ศ. 2560</w:t>
      </w:r>
      <w:r>
        <w:t xml:space="preserve"> </w:t>
      </w:r>
      <w:r>
        <w:t xml:space="preserve">กำกับโดย</w:t>
      </w:r>
      <w:r>
        <w:t xml:space="preserve"> </w:t>
      </w:r>
      <w:r>
        <w:rPr>
          <w:b/>
          <w:bCs/>
        </w:rPr>
        <w:t xml:space="preserve">ธนาคารแห่งประเทศไทย (ธปท.)</w:t>
      </w:r>
      <w:r>
        <w:t xml:space="preserve"> </w:t>
      </w:r>
      <w:r>
        <w:t xml:space="preserve">ออกใบอนุญาตโดย</w:t>
      </w:r>
      <w:r>
        <w:t xml:space="preserve"> </w:t>
      </w:r>
      <w:r>
        <w:rPr>
          <w:b/>
          <w:bCs/>
        </w:rPr>
        <w:t xml:space="preserve">รัฐมนตรีว่าการกระทรวงการคลัง ตามคำแนะนำของ ธปท.</w:t>
      </w:r>
      <w:r>
        <w:t xml:space="preserve"> </w:t>
      </w:r>
      <w:r>
        <w:t xml:space="preserve">ผู้ขอ:</w:t>
      </w:r>
      <w:r>
        <w:t xml:space="preserve"> </w:t>
      </w:r>
      <w:r>
        <w:rPr>
          <w:b/>
          <w:bCs/>
        </w:rPr>
        <w:t xml:space="preserve">[บริษัท / Company]</w:t>
      </w:r>
      <w:r>
        <w:t xml:space="preserve"> </w:t>
      </w:r>
      <w:r>
        <w:t xml:space="preserve">· ทุนจดทะเบียนชำระแล้ว:</w:t>
      </w:r>
      <w:r>
        <w:t xml:space="preserve"> </w:t>
      </w:r>
      <w:r>
        <w:rPr>
          <w:b/>
          <w:bCs/>
        </w:rPr>
        <w:t xml:space="preserve">50,000,000 บาท</w:t>
      </w:r>
      <w:r>
        <w:t xml:space="preserve"> </w:t>
      </w:r>
      <w:r>
        <w:t xml:space="preserve">· เป้าหมายมาตรฐาน:</w:t>
      </w:r>
      <w:r>
        <w:t xml:space="preserve"> </w:t>
      </w:r>
      <w:r>
        <w:rPr>
          <w:b/>
          <w:bCs/>
        </w:rPr>
        <w:t xml:space="preserve">PCI-DSS v4.0 Level 1</w:t>
      </w:r>
    </w:p>
    <w:p>
      <w:pPr>
        <w:pStyle w:val="BlockText"/>
      </w:pPr>
      <w:r>
        <w:rPr>
          <w:b/>
          <w:bCs/>
        </w:rPr>
        <w:t xml:space="preserve">สถานะเอกสาร:</w:t>
      </w:r>
      <w:r>
        <w:t xml:space="preserve"> </w:t>
      </w:r>
      <w:r>
        <w:t xml:space="preserve">ฉบับร่างเพื่อการภายใน (pre-submission draft) — ต้องผ่านการทานโดยที่ปรึกษากฎหมายด้านใบอนุญาต ธปท. ก่อนยื่นจริง เอกสารนี้เป็น</w:t>
      </w:r>
      <w:r>
        <w:t xml:space="preserve"> </w:t>
      </w:r>
      <w:r>
        <w:rPr>
          <w:b/>
          <w:bCs/>
        </w:rPr>
        <w:t xml:space="preserve">แพ็กเกจปะหน้า (cover package)</w:t>
      </w:r>
      <w:r>
        <w:t xml:space="preserve"> </w:t>
      </w:r>
      <w:r>
        <w:t xml:space="preserve">ที่รวบรวมและอ้างอิงเอกสารประกอบทั้งชุด (</w:t>
      </w:r>
      <w:r>
        <w:rPr>
          <w:rStyle w:val="VerbatimChar"/>
        </w:rPr>
        <w:t xml:space="preserve">00</w:t>
      </w:r>
      <w:r>
        <w:t xml:space="preserve">–</w:t>
      </w:r>
      <w:r>
        <w:rPr>
          <w:rStyle w:val="VerbatimChar"/>
        </w:rPr>
        <w:t xml:space="preserve">25</w:t>
      </w:r>
      <w:r>
        <w:t xml:space="preserve">) มิใช่คำแนะนำทางกฎหมาย</w:t>
      </w:r>
    </w:p>
    <w:p>
      <w:r>
        <w:pict>
          <v:rect style="width:0;height:1.5pt" o:hralign="center" o:hrstd="t" o:hr="t"/>
        </w:pict>
      </w:r>
    </w:p>
    <w:bookmarkStart w:id="1171" w:name="วตถประสงคของเอกสารน"/>
    <w:p>
      <w:pPr>
        <w:pStyle w:val="Heading2"/>
      </w:pPr>
      <w:r>
        <w:t xml:space="preserve">0. วัตถุประสงค์ของเอกสารนี้</w:t>
      </w:r>
    </w:p>
    <w:p>
      <w:pPr>
        <w:pStyle w:val="FirstParagraph"/>
      </w:pPr>
      <w:r>
        <w:t xml:space="preserve">เอกสารฉบับนี้เป็น</w:t>
      </w:r>
      <w:r>
        <w:t xml:space="preserve"> </w:t>
      </w:r>
      <w:r>
        <w:rPr>
          <w:b/>
          <w:bCs/>
        </w:rPr>
        <w:t xml:space="preserve">แพ็กเกจปะหน้าคำขอ (application package)</w:t>
      </w:r>
      <w:r>
        <w:t xml:space="preserve"> </w:t>
      </w:r>
      <w:r>
        <w:t xml:space="preserve">ที่ผู้ยื่นใช้ประกอบการยื่นต่อ ธปท. ประกอบด้วย 4 ส่วน:</w:t>
      </w:r>
    </w:p>
    <w:p>
      <w:pPr>
        <w:pStyle w:val="Compact"/>
        <w:numPr>
          <w:ilvl w:val="0"/>
          <w:numId w:val="1430"/>
        </w:numPr>
      </w:pPr>
      <w:r>
        <w:rPr>
          <w:b/>
          <w:bCs/>
        </w:rPr>
        <w:t xml:space="preserve">แบบฟอร์มปะหน้า (cover form)</w:t>
      </w:r>
      <w:r>
        <w:t xml:space="preserve"> </w:t>
      </w:r>
      <w:r>
        <w:t xml:space="preserve">— ข้อมูลผู้ขอ ประเภทบริการ และการรับรองความถูกต้อง</w:t>
      </w:r>
    </w:p>
    <w:p>
      <w:pPr>
        <w:pStyle w:val="Compact"/>
        <w:numPr>
          <w:ilvl w:val="0"/>
          <w:numId w:val="1430"/>
        </w:numPr>
      </w:pPr>
      <w:r>
        <w:rPr>
          <w:b/>
          <w:bCs/>
        </w:rPr>
        <w:t xml:space="preserve">สารบัญเอกสารแนบ (checklist of attachments)</w:t>
      </w:r>
      <w:r>
        <w:t xml:space="preserve"> </w:t>
      </w:r>
      <w:r>
        <w:t xml:space="preserve">— รายการเอกสารครบชุด พร้อมสถานะและผู้รับผิดชอบ</w:t>
      </w:r>
    </w:p>
    <w:p>
      <w:pPr>
        <w:pStyle w:val="Compact"/>
        <w:numPr>
          <w:ilvl w:val="0"/>
          <w:numId w:val="1430"/>
        </w:numPr>
      </w:pPr>
      <w:r>
        <w:rPr>
          <w:b/>
          <w:bCs/>
        </w:rPr>
        <w:t xml:space="preserve">บทสรุปผู้บริหาร (executive summary)</w:t>
      </w:r>
      <w:r>
        <w:t xml:space="preserve"> </w:t>
      </w:r>
      <w:r>
        <w:t xml:space="preserve">— สรุปย่อ อ้างอิงเอกสารเต็มที่</w:t>
      </w:r>
      <w:r>
        <w:t xml:space="preserve"> </w:t>
      </w:r>
      <w:r>
        <w:rPr>
          <w:rStyle w:val="VerbatimChar"/>
        </w:rPr>
        <w:t xml:space="preserve">00-executive-summary.md</w:t>
      </w:r>
    </w:p>
    <w:p>
      <w:pPr>
        <w:pStyle w:val="Compact"/>
        <w:numPr>
          <w:ilvl w:val="0"/>
          <w:numId w:val="1430"/>
        </w:numPr>
      </w:pPr>
      <w:r>
        <w:rPr>
          <w:b/>
          <w:bCs/>
        </w:rPr>
        <w:t xml:space="preserve">คู่มือการยื่น (submission guide)</w:t>
      </w:r>
      <w:r>
        <w:t xml:space="preserve"> </w:t>
      </w:r>
      <w:r>
        <w:t xml:space="preserve">— ช่องทาง ลำดับขั้น timeline และการตอบคำถามเพิ่มเติมของ ธปท.</w:t>
      </w:r>
    </w:p>
    <w:p>
      <w:pPr>
        <w:pStyle w:val="BlockText"/>
      </w:pPr>
      <w:r>
        <w:rPr>
          <w:b/>
          <w:bCs/>
        </w:rPr>
        <w:t xml:space="preserve">หมายเหตุ:</w:t>
      </w:r>
      <w:r>
        <w:t xml:space="preserve"> </w:t>
      </w:r>
      <w:r>
        <w:t xml:space="preserve">แบบฟอร์มทางการของ ธปท. อาจปรับปรุงเป็นครั้งคราว เอกสารนี้จัดโครงสร้างฟิลด์ให้ครอบคลุมข้อมูลที่ ธปท. ต้องการ แต่ต้องนำไปกรอกลงในแบบฟอร์มทางการฉบับล่าสุดที่ ธปท. เผยแพร่ ณ วันยื่น</w:t>
      </w:r>
    </w:p>
    <w:p>
      <w:r>
        <w:pict>
          <v:rect style="width:0;height:1.5pt" o:hralign="center" o:hrstd="t" o:hr="t"/>
        </w:pict>
      </w:r>
    </w:p>
    <w:bookmarkEnd w:id="1171"/>
    <w:bookmarkStart w:id="1175" w:name="แบบฟอรมปะหนาคำขอ-cover-form"/>
    <w:p>
      <w:pPr>
        <w:pStyle w:val="Heading2"/>
      </w:pPr>
      <w:r>
        <w:t xml:space="preserve">1. แบบฟอร์มปะหน้าคำขอ (Cover Form)</w:t>
      </w:r>
    </w:p>
    <w:bookmarkStart w:id="1172" w:name="ขอมลผขออนญาต"/>
    <w:p>
      <w:pPr>
        <w:pStyle w:val="Heading3"/>
      </w:pPr>
      <w:r>
        <w:t xml:space="preserve">1.1 ข้อมูลผู้ขออนุญาต</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ฟิลด์</w:t>
            </w:r>
          </w:p>
        </w:tc>
        <w:tc>
          <w:tcPr/>
          <w:p>
            <w:pPr>
              <w:pStyle w:val="Compact"/>
            </w:pPr>
            <w:r>
              <w:t xml:space="preserve">ข้อมูล</w:t>
            </w:r>
          </w:p>
        </w:tc>
      </w:tr>
      <w:tr>
        <w:tc>
          <w:tcPr/>
          <w:p>
            <w:pPr>
              <w:pStyle w:val="Compact"/>
            </w:pPr>
            <w:r>
              <w:t xml:space="preserve">ชื่อนิติบุคคล (ไทย/อังกฤษ)</w:t>
            </w:r>
          </w:p>
        </w:tc>
        <w:tc>
          <w:tcPr/>
          <w:p>
            <w:pPr>
              <w:pStyle w:val="Compact"/>
            </w:pPr>
            <w:r>
              <w:rPr>
                <w:b/>
                <w:bCs/>
              </w:rPr>
              <w:t xml:space="preserve">[บริษัท / Company]</w:t>
            </w:r>
          </w:p>
        </w:tc>
      </w:tr>
      <w:tr>
        <w:tc>
          <w:tcPr/>
          <w:p>
            <w:pPr>
              <w:pStyle w:val="Compact"/>
            </w:pPr>
            <w:r>
              <w:t xml:space="preserve">เลขทะเบียนนิติบุคคล</w:t>
            </w:r>
          </w:p>
        </w:tc>
        <w:tc>
          <w:tcPr/>
          <w:p>
            <w:pPr>
              <w:pStyle w:val="Compact"/>
            </w:pPr>
            <w:r>
              <w:rPr>
                <w:i/>
                <w:iCs/>
              </w:rPr>
              <w:t xml:space="preserve">[TODO — เลข 13 หลัก จากหนังสือรับรอง DBD]</w:t>
            </w:r>
          </w:p>
        </w:tc>
      </w:tr>
      <w:tr>
        <w:tc>
          <w:tcPr/>
          <w:p>
            <w:pPr>
              <w:pStyle w:val="Compact"/>
            </w:pPr>
            <w:r>
              <w:t xml:space="preserve">ประเภทนิติบุคคล</w:t>
            </w:r>
          </w:p>
        </w:tc>
        <w:tc>
          <w:tcPr/>
          <w:p>
            <w:pPr>
              <w:pStyle w:val="Compact"/>
            </w:pPr>
            <w:r>
              <w:t xml:space="preserve">บริษัทจำกัด / บริษัทมหาชนจำกัด (จดทะเบียนในไทย)</w:t>
            </w:r>
          </w:p>
        </w:tc>
      </w:tr>
      <w:tr>
        <w:tc>
          <w:tcPr/>
          <w:p>
            <w:pPr>
              <w:pStyle w:val="Compact"/>
            </w:pPr>
            <w:r>
              <w:t xml:space="preserve">ที่ตั้งสำนักงานใหญ่</w:t>
            </w:r>
          </w:p>
        </w:tc>
        <w:tc>
          <w:tcPr/>
          <w:p>
            <w:pPr>
              <w:pStyle w:val="Compact"/>
            </w:pPr>
            <w:r>
              <w:rPr>
                <w:i/>
                <w:iCs/>
              </w:rPr>
              <w:t xml:space="preserve">[TODO — ที่อยู่ตามหนังสือรับรอง]</w:t>
            </w:r>
          </w:p>
        </w:tc>
      </w:tr>
      <w:tr>
        <w:tc>
          <w:tcPr/>
          <w:p>
            <w:pPr>
              <w:pStyle w:val="Compact"/>
            </w:pPr>
            <w:r>
              <w:t xml:space="preserve">ทุนจดทะเบียน / ทุนชำระแล้ว</w:t>
            </w:r>
          </w:p>
        </w:tc>
        <w:tc>
          <w:tcPr/>
          <w:p>
            <w:pPr>
              <w:pStyle w:val="Compact"/>
            </w:pPr>
            <w:r>
              <w:t xml:space="preserve">50,000,000 บาท /</w:t>
            </w:r>
            <w:r>
              <w:t xml:space="preserve"> </w:t>
            </w:r>
            <w:r>
              <w:rPr>
                <w:b/>
                <w:bCs/>
              </w:rPr>
              <w:t xml:space="preserve">50,000,000 บาท (ชำระเต็ม)</w:t>
            </w:r>
          </w:p>
        </w:tc>
      </w:tr>
      <w:tr>
        <w:tc>
          <w:tcPr/>
          <w:p>
            <w:pPr>
              <w:pStyle w:val="Compact"/>
            </w:pPr>
            <w:r>
              <w:t xml:space="preserve">วันจดทะเบียนบริษัท</w:t>
            </w:r>
          </w:p>
        </w:tc>
        <w:tc>
          <w:tcPr/>
          <w:p>
            <w:pPr>
              <w:pStyle w:val="Compact"/>
            </w:pPr>
            <w:r>
              <w:rPr>
                <w:i/>
                <w:iCs/>
              </w:rPr>
              <w:t xml:space="preserve">[TODO]</w:t>
            </w:r>
          </w:p>
        </w:tc>
      </w:tr>
      <w:tr>
        <w:tc>
          <w:tcPr/>
          <w:p>
            <w:pPr>
              <w:pStyle w:val="Compact"/>
            </w:pPr>
            <w:r>
              <w:t xml:space="preserve">ผู้มีอำนาจลงนามผูกพัน</w:t>
            </w:r>
          </w:p>
        </w:tc>
        <w:tc>
          <w:tcPr/>
          <w:p>
            <w:pPr>
              <w:pStyle w:val="Compact"/>
            </w:pPr>
            <w:r>
              <w:rPr>
                <w:i/>
                <w:iCs/>
              </w:rPr>
              <w:t xml:space="preserve">[TODO — ตามหนังสือรับรอง]</w:t>
            </w:r>
          </w:p>
        </w:tc>
      </w:tr>
      <w:tr>
        <w:tc>
          <w:tcPr/>
          <w:p>
            <w:pPr>
              <w:pStyle w:val="Compact"/>
            </w:pPr>
            <w:r>
              <w:t xml:space="preserve">ผู้ประสานงาน (contact person)</w:t>
            </w:r>
          </w:p>
        </w:tc>
        <w:tc>
          <w:tcPr/>
          <w:p>
            <w:pPr>
              <w:pStyle w:val="Compact"/>
            </w:pPr>
            <w:r>
              <w:rPr>
                <w:i/>
                <w:iCs/>
              </w:rPr>
              <w:t xml:space="preserve">[TODO — ชื่อ / ตำแหน่ง / โทร / อีเมล]</w:t>
            </w:r>
          </w:p>
        </w:tc>
      </w:tr>
    </w:tbl>
    <w:bookmarkEnd w:id="1172"/>
    <w:bookmarkStart w:id="1173" w:name="ประเภทบรการทขออนญาต"/>
    <w:p>
      <w:pPr>
        <w:pStyle w:val="Heading3"/>
      </w:pPr>
      <w:r>
        <w:t xml:space="preserve">1.2 ประเภทบริการที่ขออนุญาต</w:t>
      </w:r>
    </w:p>
    <w:tbl>
      <w:tblPr>
        <w:tblStyle w:val="Table"/>
        <w:tblW w:type="pct" w:w="5000"/>
        <w:tblLayout w:type="fixed"/>
        <w:tblLook w:firstRow="1" w:lastRow="0" w:firstColumn="0" w:lastColumn="0" w:noHBand="0" w:noVBand="0" w:val="0020"/>
      </w:tblPr>
      <w:tblGrid>
        <w:gridCol w:w="4873"/>
        <w:gridCol w:w="3046"/>
      </w:tblGrid>
      <w:tr>
        <w:trPr>
          <w:tblHeader w:val="on"/>
        </w:trPr>
        <w:tc>
          <w:tcPr/>
          <w:p>
            <w:pPr>
              <w:pStyle w:val="Compact"/>
            </w:pPr>
            <w:r>
              <w:t xml:space="preserve">รายการ</w:t>
            </w:r>
          </w:p>
        </w:tc>
        <w:tc>
          <w:tcPr/>
          <w:p>
            <w:pPr>
              <w:pStyle w:val="Compact"/>
            </w:pPr>
            <w:r>
              <w:t xml:space="preserve">ค่า</w:t>
            </w:r>
          </w:p>
        </w:tc>
      </w:tr>
      <w:tr>
        <w:tc>
          <w:tcPr/>
          <w:p>
            <w:pPr>
              <w:pStyle w:val="Compact"/>
            </w:pPr>
            <w:r>
              <w:t xml:space="preserve">กลุ่มบริการ</w:t>
            </w:r>
          </w:p>
        </w:tc>
        <w:tc>
          <w:tcPr/>
          <w:p>
            <w:pPr>
              <w:pStyle w:val="Compact"/>
            </w:pPr>
            <w:r>
              <w:t xml:space="preserve">บริการการชำระเงินภายใต้การกำกับ (Designated Payment Services)</w:t>
            </w:r>
          </w:p>
        </w:tc>
      </w:tr>
      <w:tr>
        <w:tc>
          <w:tcPr/>
          <w:p>
            <w:pPr>
              <w:pStyle w:val="Compact"/>
            </w:pPr>
            <w:r>
              <w:t xml:space="preserve">บริการที่ขอ</w:t>
            </w:r>
          </w:p>
        </w:tc>
        <w:tc>
          <w:tcPr/>
          <w:p>
            <w:pPr>
              <w:pStyle w:val="Compact"/>
            </w:pPr>
            <w:r>
              <w:rPr>
                <w:b/>
                <w:bCs/>
              </w:rPr>
              <w:t xml:space="preserve">การให้บริการรับชำระเงินด้วยวิธีการทางอิเล็กทรอนิกส์ (Acquiring Service)</w:t>
            </w:r>
          </w:p>
        </w:tc>
      </w:tr>
      <w:tr>
        <w:tc>
          <w:tcPr/>
          <w:p>
            <w:pPr>
              <w:pStyle w:val="Compact"/>
            </w:pPr>
            <w:r>
              <w:t xml:space="preserve">ทุนขั้นต่ำตามเกณฑ์</w:t>
            </w:r>
          </w:p>
        </w:tc>
        <w:tc>
          <w:tcPr/>
          <w:p>
            <w:pPr>
              <w:pStyle w:val="Compact"/>
            </w:pPr>
            <w:r>
              <w:t xml:space="preserve">50 ล้านบาท (ยึดจำนวนสูงสุดหากขอหลายบริการ)</w:t>
            </w:r>
          </w:p>
        </w:tc>
      </w:tr>
      <w:tr>
        <w:tc>
          <w:tcPr/>
          <w:p>
            <w:pPr>
              <w:pStyle w:val="Compact"/>
            </w:pPr>
            <w:r>
              <w:t xml:space="preserve">ขอบเขต</w:t>
            </w:r>
          </w:p>
        </w:tc>
        <w:tc>
          <w:tcPr/>
          <w:p>
            <w:pPr>
              <w:pStyle w:val="Compact"/>
            </w:pPr>
            <w:r>
              <w:t xml:space="preserve">รับ-ประมวลผล authorization / clearing / settlement ของธุรกรรมบัตร (Visa, Mastercard) พร้อม EMV 3DS 2.x</w:t>
            </w:r>
          </w:p>
        </w:tc>
      </w:tr>
      <w:tr>
        <w:tc>
          <w:tcPr/>
          <w:p>
            <w:pPr>
              <w:pStyle w:val="Compact"/>
            </w:pPr>
            <w:r>
              <w:t xml:space="preserve">ช่องทางที่รองรับ</w:t>
            </w:r>
          </w:p>
        </w:tc>
        <w:tc>
          <w:tcPr/>
          <w:p>
            <w:pPr>
              <w:pStyle w:val="Compact"/>
            </w:pPr>
            <w:r>
              <w:t xml:space="preserve">e-commerce, in-app, POS</w:t>
            </w:r>
          </w:p>
        </w:tc>
      </w:tr>
      <w:tr>
        <w:tc>
          <w:tcPr/>
          <w:p>
            <w:pPr>
              <w:pStyle w:val="Compact"/>
            </w:pPr>
            <w:r>
              <w:t xml:space="preserve">แผนบริการเพิ่มเติมในอนาคต</w:t>
            </w:r>
          </w:p>
        </w:tc>
        <w:tc>
          <w:tcPr/>
          <w:p>
            <w:pPr>
              <w:pStyle w:val="Compact"/>
            </w:pPr>
            <w:r>
              <w:t xml:space="preserve">local schemes / QR payment (เฟสถัดไป — ดู</w:t>
            </w:r>
            <w:r>
              <w:t xml:space="preserve"> </w:t>
            </w:r>
            <w:r>
              <w:rPr>
                <w:rStyle w:val="VerbatimChar"/>
              </w:rPr>
              <w:t xml:space="preserve">../QR-PAYMENT.md</w:t>
            </w:r>
            <w:r>
              <w:t xml:space="preserve">)</w:t>
            </w:r>
          </w:p>
        </w:tc>
      </w:tr>
    </w:tbl>
    <w:bookmarkEnd w:id="1173"/>
    <w:bookmarkStart w:id="1174" w:name="คำรบรองของผขอ-declaration"/>
    <w:p>
      <w:pPr>
        <w:pStyle w:val="Heading3"/>
      </w:pPr>
      <w:r>
        <w:t xml:space="preserve">1.3 คำรับรองของผู้ขอ (Declaration)</w:t>
      </w:r>
    </w:p>
    <w:p>
      <w:pPr>
        <w:pStyle w:val="FirstParagraph"/>
      </w:pPr>
      <w:r>
        <w:t xml:space="preserve">ข้าพเจ้าในนาม</w:t>
      </w:r>
      <w:r>
        <w:t xml:space="preserve"> </w:t>
      </w:r>
      <w:r>
        <w:rPr>
          <w:b/>
          <w:bCs/>
        </w:rPr>
        <w:t xml:space="preserve">[บริษัท / Company]</w:t>
      </w:r>
      <w:r>
        <w:t xml:space="preserve"> </w:t>
      </w:r>
      <w:r>
        <w:t xml:space="preserve">ขอรับรองว่า:</w:t>
      </w:r>
    </w:p>
    <w:p>
      <w:pPr>
        <w:pStyle w:val="Compact"/>
        <w:numPr>
          <w:ilvl w:val="0"/>
          <w:numId w:val="1431"/>
        </w:numPr>
      </w:pPr>
      <w:r>
        <w:t xml:space="preserve">ข้อมูลและเอกสารประกอบทั้งหมดถูกต้อง ครบถ้วน และเป็นความจริง</w:t>
      </w:r>
    </w:p>
    <w:p>
      <w:pPr>
        <w:pStyle w:val="Compact"/>
        <w:numPr>
          <w:ilvl w:val="0"/>
          <w:numId w:val="1431"/>
        </w:numPr>
      </w:pPr>
      <w:r>
        <w:t xml:space="preserve">บริษัทมีทุนจดทะเบียนชำระแล้ว</w:t>
      </w:r>
      <w:r>
        <w:t xml:space="preserve"> </w:t>
      </w:r>
      <w:r>
        <w:rPr>
          <w:b/>
          <w:bCs/>
        </w:rPr>
        <w:t xml:space="preserve">ไม่น้อยกว่า 50 ล้านบาท</w:t>
      </w:r>
      <w:r>
        <w:t xml:space="preserve"> </w:t>
      </w:r>
      <w:r>
        <w:t xml:space="preserve">และจะดำรงทุนไว้</w:t>
      </w:r>
      <w:r>
        <w:t xml:space="preserve"> </w:t>
      </w:r>
      <w:r>
        <w:rPr>
          <w:b/>
          <w:bCs/>
        </w:rPr>
        <w:t xml:space="preserve">ไม่น้อยกว่า 75%</w:t>
      </w:r>
      <w:r>
        <w:t xml:space="preserve"> </w:t>
      </w:r>
      <w:r>
        <w:t xml:space="preserve">(≥ 37.5 ล้านบาท) ตลอดการดำเนินงาน</w:t>
      </w:r>
    </w:p>
    <w:p>
      <w:pPr>
        <w:pStyle w:val="Compact"/>
        <w:numPr>
          <w:ilvl w:val="0"/>
          <w:numId w:val="1431"/>
        </w:numPr>
      </w:pPr>
      <w:r>
        <w:t xml:space="preserve">กรรมการและผู้บริหารมีคุณสมบัติเหมาะสม (fit &amp; proper) และไม่มีลักษณะต้องห้ามตามกฎหมาย</w:t>
      </w:r>
    </w:p>
    <w:p>
      <w:pPr>
        <w:pStyle w:val="Compact"/>
        <w:numPr>
          <w:ilvl w:val="0"/>
          <w:numId w:val="1431"/>
        </w:numPr>
      </w:pPr>
      <w:r>
        <w:t xml:space="preserve">บริษัทจะปฏิบัติตาม พ.ร.บ. ระบบการชำระเงิน พ.ศ. 2560, ประกาศ ธปท. ที่เกี่ยวข้อง, พ.ร.บ. ปปง., และ PDPA</w:t>
      </w:r>
    </w:p>
    <w:p>
      <w:pPr>
        <w:pStyle w:val="Compact"/>
        <w:numPr>
          <w:ilvl w:val="0"/>
          <w:numId w:val="1431"/>
        </w:numPr>
      </w:pPr>
      <w:r>
        <w:t xml:space="preserve">บริษัทยินยอมให้ ธปท. ขอข้อมูลเพิ่มเติมและเข้าตรวจสอบ ณ สถานที่ประกอบการ (on-site inspection)</w:t>
      </w:r>
    </w:p>
    <w:p>
      <w:pPr>
        <w:pStyle w:val="FirstParagraph"/>
      </w:pPr>
      <w:r>
        <w:t xml:space="preserve">ลงนาม: __________________________ (กรรมการผู้มีอำนาจ) · วันที่: ____________ · ประทับตราบริษัท</w:t>
      </w:r>
    </w:p>
    <w:p>
      <w:r>
        <w:pict>
          <v:rect style="width:0;height:1.5pt" o:hralign="center" o:hrstd="t" o:hr="t"/>
        </w:pict>
      </w:r>
    </w:p>
    <w:bookmarkEnd w:id="1174"/>
    <w:bookmarkEnd w:id="1175"/>
    <w:bookmarkStart w:id="1184" w:name="สารบญเอกสารแนบ-checklist-of-attachments"/>
    <w:p>
      <w:pPr>
        <w:pStyle w:val="Heading2"/>
      </w:pPr>
      <w:r>
        <w:t xml:space="preserve">2. สารบัญเอกสารแนบ (Checklist of Attachments)</w:t>
      </w:r>
    </w:p>
    <w:p>
      <w:pPr>
        <w:pStyle w:val="BlockText"/>
      </w:pPr>
      <w:r>
        <w:t xml:space="preserve">คอลัมน์</w:t>
      </w:r>
      <w:r>
        <w:t xml:space="preserve"> </w:t>
      </w:r>
      <w:r>
        <w:t xml:space="preserve">“เอกสารอ้างอิง”</w:t>
      </w:r>
      <w:r>
        <w:t xml:space="preserve"> </w:t>
      </w:r>
      <w:r>
        <w:t xml:space="preserve">ชี้ไปยังไฟล์ในชุด</w:t>
      </w:r>
      <w:r>
        <w:t xml:space="preserve"> </w:t>
      </w:r>
      <w:r>
        <w:rPr>
          <w:rStyle w:val="VerbatimChar"/>
        </w:rPr>
        <w:t xml:space="preserve">docs/compliance/</w:t>
      </w:r>
      <w:r>
        <w:t xml:space="preserve"> </w:t>
      </w:r>
      <w:r>
        <w:t xml:space="preserve">ที่รองรับหัวข้อนั้น สถานะ: ✅ พร้อม · 🟡 ร่าง/ต้องทาน · 🔴 ยังไม่มี/รอ external</w:t>
      </w:r>
    </w:p>
    <w:bookmarkStart w:id="1176" w:name="หมวด-a-นตบคคลและทน"/>
    <w:p>
      <w:pPr>
        <w:pStyle w:val="Heading3"/>
      </w:pPr>
      <w:r>
        <w:t xml:space="preserve">หมวด A — นิติบุคคลและทุน</w:t>
      </w:r>
    </w:p>
    <w:tbl>
      <w:tblPr>
        <w:tblStyle w:val="Table"/>
        <w:tblW w:type="pct" w:w="5000"/>
        <w:tblLayout w:type="fixed"/>
        <w:tblLook w:firstRow="1" w:lastRow="0" w:firstColumn="0" w:lastColumn="0" w:noHBand="0" w:noVBand="0" w:val="0020"/>
      </w:tblPr>
      <w:tblGrid>
        <w:gridCol w:w="495"/>
        <w:gridCol w:w="1320"/>
        <w:gridCol w:w="2640"/>
        <w:gridCol w:w="2310"/>
        <w:gridCol w:w="1155"/>
      </w:tblGrid>
      <w:tr>
        <w:trPr>
          <w:tblHeader w:val="on"/>
        </w:trPr>
        <w:tc>
          <w:tcPr/>
          <w:p>
            <w:pPr>
              <w:pStyle w:val="Compact"/>
            </w:pPr>
            <w:r>
              <w:t xml:space="preserve">#</w:t>
            </w:r>
          </w:p>
        </w:tc>
        <w:tc>
          <w:tcPr/>
          <w:p>
            <w:pPr>
              <w:pStyle w:val="Compact"/>
            </w:pPr>
            <w:r>
              <w:t xml:space="preserve">เอกสาร</w:t>
            </w:r>
          </w:p>
        </w:tc>
        <w:tc>
          <w:tcPr/>
          <w:p>
            <w:pPr>
              <w:pStyle w:val="Compact"/>
            </w:pPr>
            <w:r>
              <w:t xml:space="preserve">เอกสารอ้างอิง</w:t>
            </w:r>
          </w:p>
        </w:tc>
        <w:tc>
          <w:tcPr/>
          <w:p>
            <w:pPr>
              <w:pStyle w:val="Compact"/>
            </w:pPr>
            <w:r>
              <w:t xml:space="preserve">ผู้รับผิดชอบ</w:t>
            </w:r>
          </w:p>
        </w:tc>
        <w:tc>
          <w:tcPr/>
          <w:p>
            <w:pPr>
              <w:pStyle w:val="Compact"/>
            </w:pPr>
            <w:r>
              <w:t xml:space="preserve">สถานะ</w:t>
            </w:r>
          </w:p>
        </w:tc>
      </w:tr>
      <w:tr>
        <w:tc>
          <w:tcPr/>
          <w:p>
            <w:pPr>
              <w:pStyle w:val="Compact"/>
            </w:pPr>
            <w:r>
              <w:t xml:space="preserve">A1</w:t>
            </w:r>
          </w:p>
        </w:tc>
        <w:tc>
          <w:tcPr/>
          <w:p>
            <w:pPr>
              <w:pStyle w:val="Compact"/>
            </w:pPr>
            <w:r>
              <w:t xml:space="preserve">หนังสือรับรองบริษัท + วัตถุประสงค์ (ครอบคลุมธุรกิจ payment)</w:t>
            </w:r>
          </w:p>
        </w:tc>
        <w:tc>
          <w:tcPr/>
          <w:p>
            <w:pPr>
              <w:pStyle w:val="Compact"/>
            </w:pPr>
            <w:r>
              <w:rPr>
                <w:i/>
                <w:iCs/>
              </w:rPr>
              <w:t xml:space="preserve">(นิติบุคคล)</w:t>
            </w:r>
          </w:p>
        </w:tc>
        <w:tc>
          <w:tcPr/>
          <w:p>
            <w:pPr>
              <w:pStyle w:val="Compact"/>
            </w:pPr>
            <w:r>
              <w:t xml:space="preserve">Legal</w:t>
            </w:r>
          </w:p>
        </w:tc>
        <w:tc>
          <w:tcPr/>
          <w:p>
            <w:pPr>
              <w:pStyle w:val="Compact"/>
            </w:pPr>
            <w:r>
              <w:t xml:space="preserve">🔴</w:t>
            </w:r>
          </w:p>
        </w:tc>
      </w:tr>
      <w:tr>
        <w:tc>
          <w:tcPr/>
          <w:p>
            <w:pPr>
              <w:pStyle w:val="Compact"/>
            </w:pPr>
            <w:r>
              <w:t xml:space="preserve">A2</w:t>
            </w:r>
          </w:p>
        </w:tc>
        <w:tc>
          <w:tcPr/>
          <w:p>
            <w:pPr>
              <w:pStyle w:val="Compact"/>
            </w:pPr>
            <w:r>
              <w:t xml:space="preserve">หนังสือบริคณห์สนธิ / ข้อบังคับบริษัท</w:t>
            </w:r>
          </w:p>
        </w:tc>
        <w:tc>
          <w:tcPr/>
          <w:p>
            <w:pPr>
              <w:pStyle w:val="Compact"/>
            </w:pPr>
            <w:r>
              <w:rPr>
                <w:i/>
                <w:iCs/>
              </w:rPr>
              <w:t xml:space="preserve">(นิติบุคคล)</w:t>
            </w:r>
          </w:p>
        </w:tc>
        <w:tc>
          <w:tcPr/>
          <w:p>
            <w:pPr>
              <w:pStyle w:val="Compact"/>
            </w:pPr>
            <w:r>
              <w:t xml:space="preserve">Legal</w:t>
            </w:r>
          </w:p>
        </w:tc>
        <w:tc>
          <w:tcPr/>
          <w:p>
            <w:pPr>
              <w:pStyle w:val="Compact"/>
            </w:pPr>
            <w:r>
              <w:t xml:space="preserve">🔴</w:t>
            </w:r>
          </w:p>
        </w:tc>
      </w:tr>
      <w:tr>
        <w:tc>
          <w:tcPr/>
          <w:p>
            <w:pPr>
              <w:pStyle w:val="Compact"/>
            </w:pPr>
            <w:r>
              <w:t xml:space="preserve">A3</w:t>
            </w:r>
          </w:p>
        </w:tc>
        <w:tc>
          <w:tcPr/>
          <w:p>
            <w:pPr>
              <w:pStyle w:val="Compact"/>
            </w:pPr>
            <w:r>
              <w:t xml:space="preserve">หลักฐานการชำระทุน 50 ล้านบาท (bank confirmation)</w:t>
            </w:r>
          </w:p>
        </w:tc>
        <w:tc>
          <w:tcPr/>
          <w:p>
            <w:pPr>
              <w:pStyle w:val="Compact"/>
            </w:pPr>
            <w:r>
              <w:rPr>
                <w:rStyle w:val="VerbatimChar"/>
              </w:rPr>
              <w:t xml:space="preserve">02-financial-projections-capital.md</w:t>
            </w:r>
          </w:p>
        </w:tc>
        <w:tc>
          <w:tcPr/>
          <w:p>
            <w:pPr>
              <w:pStyle w:val="Compact"/>
            </w:pPr>
            <w:r>
              <w:t xml:space="preserve">Finance</w:t>
            </w:r>
          </w:p>
        </w:tc>
        <w:tc>
          <w:tcPr/>
          <w:p>
            <w:pPr>
              <w:pStyle w:val="Compact"/>
            </w:pPr>
            <w:r>
              <w:t xml:space="preserve">🔴</w:t>
            </w:r>
          </w:p>
        </w:tc>
      </w:tr>
      <w:tr>
        <w:tc>
          <w:tcPr/>
          <w:p>
            <w:pPr>
              <w:pStyle w:val="Compact"/>
            </w:pPr>
            <w:r>
              <w:t xml:space="preserve">A4</w:t>
            </w:r>
          </w:p>
        </w:tc>
        <w:tc>
          <w:tcPr/>
          <w:p>
            <w:pPr>
              <w:pStyle w:val="Compact"/>
            </w:pPr>
            <w:r>
              <w:t xml:space="preserve">บัญชีรายชื่อผู้ถือหุ้น (บอจ.5) + โครงสร้างการถือหุ้น</w:t>
            </w:r>
          </w:p>
        </w:tc>
        <w:tc>
          <w:tcPr/>
          <w:p>
            <w:pPr>
              <w:pStyle w:val="Compact"/>
            </w:pPr>
            <w:r>
              <w:rPr>
                <w:rStyle w:val="VerbatimChar"/>
              </w:rPr>
              <w:t xml:space="preserve">03-shareholder-board-fit-proper.md</w:t>
            </w:r>
          </w:p>
        </w:tc>
        <w:tc>
          <w:tcPr/>
          <w:p>
            <w:pPr>
              <w:pStyle w:val="Compact"/>
            </w:pPr>
            <w:r>
              <w:t xml:space="preserve">Legal</w:t>
            </w:r>
          </w:p>
        </w:tc>
        <w:tc>
          <w:tcPr/>
          <w:p>
            <w:pPr>
              <w:pStyle w:val="Compact"/>
            </w:pPr>
            <w:r>
              <w:t xml:space="preserve">🟡</w:t>
            </w:r>
          </w:p>
        </w:tc>
      </w:tr>
      <w:tr>
        <w:tc>
          <w:tcPr/>
          <w:p>
            <w:pPr>
              <w:pStyle w:val="Compact"/>
            </w:pPr>
            <w:r>
              <w:t xml:space="preserve">A5</w:t>
            </w:r>
          </w:p>
        </w:tc>
        <w:tc>
          <w:tcPr/>
          <w:p>
            <w:pPr>
              <w:pStyle w:val="Compact"/>
            </w:pPr>
            <w:r>
              <w:t xml:space="preserve">Foreign Business License (หากผู้ถือหุ้นข้างมากต่างชาติ)</w:t>
            </w:r>
          </w:p>
        </w:tc>
        <w:tc>
          <w:tcPr/>
          <w:p>
            <w:pPr>
              <w:pStyle w:val="Compact"/>
            </w:pPr>
            <w:r>
              <w:rPr>
                <w:rStyle w:val="VerbatimChar"/>
              </w:rPr>
              <w:t xml:space="preserve">03-shareholder-board-fit-proper.md</w:t>
            </w:r>
          </w:p>
        </w:tc>
        <w:tc>
          <w:tcPr/>
          <w:p>
            <w:pPr>
              <w:pStyle w:val="Compact"/>
            </w:pPr>
            <w:r>
              <w:t xml:space="preserve">Legal</w:t>
            </w:r>
          </w:p>
        </w:tc>
        <w:tc>
          <w:tcPr/>
          <w:p>
            <w:pPr>
              <w:pStyle w:val="Compact"/>
            </w:pPr>
            <w:r>
              <w:t xml:space="preserve">🔴 (ตรวจสอบ)</w:t>
            </w:r>
          </w:p>
        </w:tc>
      </w:tr>
    </w:tbl>
    <w:bookmarkEnd w:id="1176"/>
    <w:bookmarkStart w:id="1177" w:name="หมวด-b-ธรรมาภบาลและบคลากร"/>
    <w:p>
      <w:pPr>
        <w:pStyle w:val="Heading3"/>
      </w:pPr>
      <w:r>
        <w:t xml:space="preserve">หมวด B — ธรรมาภิบาลและบุคลากร</w:t>
      </w:r>
    </w:p>
    <w:tbl>
      <w:tblPr>
        <w:tblStyle w:val="Table"/>
        <w:tblW w:type="pct" w:w="5000"/>
        <w:tblLayout w:type="fixed"/>
        <w:tblLook w:firstRow="1" w:lastRow="0" w:firstColumn="0" w:lastColumn="0" w:noHBand="0" w:noVBand="0" w:val="0020"/>
      </w:tblPr>
      <w:tblGrid>
        <w:gridCol w:w="495"/>
        <w:gridCol w:w="1320"/>
        <w:gridCol w:w="2640"/>
        <w:gridCol w:w="2310"/>
        <w:gridCol w:w="1155"/>
      </w:tblGrid>
      <w:tr>
        <w:trPr>
          <w:tblHeader w:val="on"/>
        </w:trPr>
        <w:tc>
          <w:tcPr/>
          <w:p>
            <w:pPr>
              <w:pStyle w:val="Compact"/>
            </w:pPr>
            <w:r>
              <w:t xml:space="preserve">#</w:t>
            </w:r>
          </w:p>
        </w:tc>
        <w:tc>
          <w:tcPr/>
          <w:p>
            <w:pPr>
              <w:pStyle w:val="Compact"/>
            </w:pPr>
            <w:r>
              <w:t xml:space="preserve">เอกสาร</w:t>
            </w:r>
          </w:p>
        </w:tc>
        <w:tc>
          <w:tcPr/>
          <w:p>
            <w:pPr>
              <w:pStyle w:val="Compact"/>
            </w:pPr>
            <w:r>
              <w:t xml:space="preserve">เอกสารอ้างอิง</w:t>
            </w:r>
          </w:p>
        </w:tc>
        <w:tc>
          <w:tcPr/>
          <w:p>
            <w:pPr>
              <w:pStyle w:val="Compact"/>
            </w:pPr>
            <w:r>
              <w:t xml:space="preserve">ผู้รับผิดชอบ</w:t>
            </w:r>
          </w:p>
        </w:tc>
        <w:tc>
          <w:tcPr/>
          <w:p>
            <w:pPr>
              <w:pStyle w:val="Compact"/>
            </w:pPr>
            <w:r>
              <w:t xml:space="preserve">สถานะ</w:t>
            </w:r>
          </w:p>
        </w:tc>
      </w:tr>
      <w:tr>
        <w:tc>
          <w:tcPr/>
          <w:p>
            <w:pPr>
              <w:pStyle w:val="Compact"/>
            </w:pPr>
            <w:r>
              <w:t xml:space="preserve">B1</w:t>
            </w:r>
          </w:p>
        </w:tc>
        <w:tc>
          <w:tcPr/>
          <w:p>
            <w:pPr>
              <w:pStyle w:val="Compact"/>
            </w:pPr>
            <w:r>
              <w:t xml:space="preserve">ผังโครงสร้างองค์กรและการกำกับดูแล</w:t>
            </w:r>
          </w:p>
        </w:tc>
        <w:tc>
          <w:tcPr/>
          <w:p>
            <w:pPr>
              <w:pStyle w:val="Compact"/>
            </w:pPr>
            <w:r>
              <w:rPr>
                <w:rStyle w:val="VerbatimChar"/>
              </w:rPr>
              <w:t xml:space="preserve">04-org-chart-governance.md</w:t>
            </w:r>
          </w:p>
        </w:tc>
        <w:tc>
          <w:tcPr/>
          <w:p>
            <w:pPr>
              <w:pStyle w:val="Compact"/>
            </w:pPr>
            <w:r>
              <w:t xml:space="preserve">Compliance</w:t>
            </w:r>
          </w:p>
        </w:tc>
        <w:tc>
          <w:tcPr/>
          <w:p>
            <w:pPr>
              <w:pStyle w:val="Compact"/>
            </w:pPr>
            <w:r>
              <w:t xml:space="preserve">🟡</w:t>
            </w:r>
          </w:p>
        </w:tc>
      </w:tr>
      <w:tr>
        <w:tc>
          <w:tcPr/>
          <w:p>
            <w:pPr>
              <w:pStyle w:val="Compact"/>
            </w:pPr>
            <w:r>
              <w:t xml:space="preserve">B2</w:t>
            </w:r>
          </w:p>
        </w:tc>
        <w:tc>
          <w:tcPr/>
          <w:p>
            <w:pPr>
              <w:pStyle w:val="Compact"/>
            </w:pPr>
            <w:r>
              <w:t xml:space="preserve">ประวัติ + เอกสาร fit &amp; proper กรรมการ/ผู้บริหาร</w:t>
            </w:r>
          </w:p>
        </w:tc>
        <w:tc>
          <w:tcPr/>
          <w:p>
            <w:pPr>
              <w:pStyle w:val="Compact"/>
            </w:pPr>
            <w:r>
              <w:rPr>
                <w:rStyle w:val="VerbatimChar"/>
              </w:rPr>
              <w:t xml:space="preserve">03-shareholder-board-fit-proper.md</w:t>
            </w:r>
          </w:p>
        </w:tc>
        <w:tc>
          <w:tcPr/>
          <w:p>
            <w:pPr>
              <w:pStyle w:val="Compact"/>
            </w:pPr>
            <w:r>
              <w:t xml:space="preserve">Legal</w:t>
            </w:r>
          </w:p>
        </w:tc>
        <w:tc>
          <w:tcPr/>
          <w:p>
            <w:pPr>
              <w:pStyle w:val="Compact"/>
            </w:pPr>
            <w:r>
              <w:t xml:space="preserve">🟡</w:t>
            </w:r>
          </w:p>
        </w:tc>
      </w:tr>
      <w:tr>
        <w:tc>
          <w:tcPr/>
          <w:p>
            <w:pPr>
              <w:pStyle w:val="Compact"/>
            </w:pPr>
            <w:r>
              <w:t xml:space="preserve">B3</w:t>
            </w:r>
          </w:p>
        </w:tc>
        <w:tc>
          <w:tcPr/>
          <w:p>
            <w:pPr>
              <w:pStyle w:val="Compact"/>
            </w:pPr>
            <w:r>
              <w:t xml:space="preserve">นโยบายแบ่งแยกหน้าที่ (segregation of duties)</w:t>
            </w:r>
          </w:p>
        </w:tc>
        <w:tc>
          <w:tcPr/>
          <w:p>
            <w:pPr>
              <w:pStyle w:val="Compact"/>
            </w:pPr>
            <w:r>
              <w:rPr>
                <w:rStyle w:val="VerbatimChar"/>
              </w:rPr>
              <w:t xml:space="preserve">18-segregation-of-duties.md</w:t>
            </w:r>
          </w:p>
        </w:tc>
        <w:tc>
          <w:tcPr/>
          <w:p>
            <w:pPr>
              <w:pStyle w:val="Compact"/>
            </w:pPr>
            <w:r>
              <w:t xml:space="preserve">Compliance</w:t>
            </w:r>
          </w:p>
        </w:tc>
        <w:tc>
          <w:tcPr/>
          <w:p>
            <w:pPr>
              <w:pStyle w:val="Compact"/>
            </w:pPr>
            <w:r>
              <w:t xml:space="preserve">🟡</w:t>
            </w:r>
          </w:p>
        </w:tc>
      </w:tr>
      <w:tr>
        <w:tc>
          <w:tcPr/>
          <w:p>
            <w:pPr>
              <w:pStyle w:val="Compact"/>
            </w:pPr>
            <w:r>
              <w:t xml:space="preserve">B4</w:t>
            </w:r>
          </w:p>
        </w:tc>
        <w:tc>
          <w:tcPr/>
          <w:p>
            <w:pPr>
              <w:pStyle w:val="Compact"/>
            </w:pPr>
            <w:r>
              <w:t xml:space="preserve">หนังสือแต่งตั้ง DPO และเจ้าหน้าที่กำกับ AML</w:t>
            </w:r>
          </w:p>
        </w:tc>
        <w:tc>
          <w:tcPr/>
          <w:p>
            <w:pPr>
              <w:pStyle w:val="Compact"/>
            </w:pPr>
            <w:r>
              <w:rPr>
                <w:rStyle w:val="VerbatimChar"/>
              </w:rPr>
              <w:t xml:space="preserve">09-pdpa-privacy-policy.md</w:t>
            </w:r>
            <w:r>
              <w:t xml:space="preserve">,</w:t>
            </w:r>
            <w:r>
              <w:t xml:space="preserve"> </w:t>
            </w:r>
            <w:r>
              <w:rPr>
                <w:rStyle w:val="VerbatimChar"/>
              </w:rPr>
              <w:t xml:space="preserve">05-aml-kyc-cdd-policy.md</w:t>
            </w:r>
          </w:p>
        </w:tc>
        <w:tc>
          <w:tcPr/>
          <w:p>
            <w:pPr>
              <w:pStyle w:val="Compact"/>
            </w:pPr>
            <w:r>
              <w:t xml:space="preserve">Compliance</w:t>
            </w:r>
          </w:p>
        </w:tc>
        <w:tc>
          <w:tcPr/>
          <w:p>
            <w:pPr>
              <w:pStyle w:val="Compact"/>
            </w:pPr>
            <w:r>
              <w:t xml:space="preserve">🔴 (แต่งตั้ง)</w:t>
            </w:r>
          </w:p>
        </w:tc>
      </w:tr>
    </w:tbl>
    <w:bookmarkEnd w:id="1177"/>
    <w:bookmarkStart w:id="1178" w:name="หมวด-c-แผนธรกจและการเงน"/>
    <w:p>
      <w:pPr>
        <w:pStyle w:val="Heading3"/>
      </w:pPr>
      <w:r>
        <w:t xml:space="preserve">หมวด C — แผนธุรกิจและการเงิน</w:t>
      </w:r>
    </w:p>
    <w:tbl>
      <w:tblPr>
        <w:tblStyle w:val="Table"/>
        <w:tblW w:type="pct" w:w="5000"/>
        <w:tblLayout w:type="fixed"/>
        <w:tblLook w:firstRow="1" w:lastRow="0" w:firstColumn="0" w:lastColumn="0" w:noHBand="0" w:noVBand="0" w:val="0020"/>
      </w:tblPr>
      <w:tblGrid>
        <w:gridCol w:w="495"/>
        <w:gridCol w:w="1320"/>
        <w:gridCol w:w="2640"/>
        <w:gridCol w:w="2310"/>
        <w:gridCol w:w="1155"/>
      </w:tblGrid>
      <w:tr>
        <w:trPr>
          <w:tblHeader w:val="on"/>
        </w:trPr>
        <w:tc>
          <w:tcPr/>
          <w:p>
            <w:pPr>
              <w:pStyle w:val="Compact"/>
            </w:pPr>
            <w:r>
              <w:t xml:space="preserve">#</w:t>
            </w:r>
          </w:p>
        </w:tc>
        <w:tc>
          <w:tcPr/>
          <w:p>
            <w:pPr>
              <w:pStyle w:val="Compact"/>
            </w:pPr>
            <w:r>
              <w:t xml:space="preserve">เอกสาร</w:t>
            </w:r>
          </w:p>
        </w:tc>
        <w:tc>
          <w:tcPr/>
          <w:p>
            <w:pPr>
              <w:pStyle w:val="Compact"/>
            </w:pPr>
            <w:r>
              <w:t xml:space="preserve">เอกสารอ้างอิง</w:t>
            </w:r>
          </w:p>
        </w:tc>
        <w:tc>
          <w:tcPr/>
          <w:p>
            <w:pPr>
              <w:pStyle w:val="Compact"/>
            </w:pPr>
            <w:r>
              <w:t xml:space="preserve">ผู้รับผิดชอบ</w:t>
            </w:r>
          </w:p>
        </w:tc>
        <w:tc>
          <w:tcPr/>
          <w:p>
            <w:pPr>
              <w:pStyle w:val="Compact"/>
            </w:pPr>
            <w:r>
              <w:t xml:space="preserve">สถานะ</w:t>
            </w:r>
          </w:p>
        </w:tc>
      </w:tr>
      <w:tr>
        <w:tc>
          <w:tcPr/>
          <w:p>
            <w:pPr>
              <w:pStyle w:val="Compact"/>
            </w:pPr>
            <w:r>
              <w:t xml:space="preserve">C1</w:t>
            </w:r>
          </w:p>
        </w:tc>
        <w:tc>
          <w:tcPr/>
          <w:p>
            <w:pPr>
              <w:pStyle w:val="Compact"/>
            </w:pPr>
            <w:r>
              <w:t xml:space="preserve">แผนธุรกิจ (business plan)</w:t>
            </w:r>
          </w:p>
        </w:tc>
        <w:tc>
          <w:tcPr/>
          <w:p>
            <w:pPr>
              <w:pStyle w:val="Compact"/>
            </w:pPr>
            <w:r>
              <w:rPr>
                <w:rStyle w:val="VerbatimChar"/>
              </w:rPr>
              <w:t xml:space="preserve">01-business-plan.md</w:t>
            </w:r>
          </w:p>
        </w:tc>
        <w:tc>
          <w:tcPr/>
          <w:p>
            <w:pPr>
              <w:pStyle w:val="Compact"/>
            </w:pPr>
            <w:r>
              <w:t xml:space="preserve">Product/Finance</w:t>
            </w:r>
          </w:p>
        </w:tc>
        <w:tc>
          <w:tcPr/>
          <w:p>
            <w:pPr>
              <w:pStyle w:val="Compact"/>
            </w:pPr>
            <w:r>
              <w:t xml:space="preserve">🟡</w:t>
            </w:r>
          </w:p>
        </w:tc>
      </w:tr>
      <w:tr>
        <w:tc>
          <w:tcPr/>
          <w:p>
            <w:pPr>
              <w:pStyle w:val="Compact"/>
            </w:pPr>
            <w:r>
              <w:t xml:space="preserve">C2</w:t>
            </w:r>
          </w:p>
        </w:tc>
        <w:tc>
          <w:tcPr/>
          <w:p>
            <w:pPr>
              <w:pStyle w:val="Compact"/>
            </w:pPr>
            <w:r>
              <w:t xml:space="preserve">ประมาณการการเงิน 3 ปี + สมมติฐาน</w:t>
            </w:r>
          </w:p>
        </w:tc>
        <w:tc>
          <w:tcPr/>
          <w:p>
            <w:pPr>
              <w:pStyle w:val="Compact"/>
            </w:pPr>
            <w:r>
              <w:rPr>
                <w:rStyle w:val="VerbatimChar"/>
              </w:rPr>
              <w:t xml:space="preserve">02-financial-projections-capital.md</w:t>
            </w:r>
          </w:p>
        </w:tc>
        <w:tc>
          <w:tcPr/>
          <w:p>
            <w:pPr>
              <w:pStyle w:val="Compact"/>
            </w:pPr>
            <w:r>
              <w:t xml:space="preserve">Finance</w:t>
            </w:r>
          </w:p>
        </w:tc>
        <w:tc>
          <w:tcPr/>
          <w:p>
            <w:pPr>
              <w:pStyle w:val="Compact"/>
            </w:pPr>
            <w:r>
              <w:t xml:space="preserve">🟡</w:t>
            </w:r>
          </w:p>
        </w:tc>
      </w:tr>
      <w:tr>
        <w:tc>
          <w:tcPr/>
          <w:p>
            <w:pPr>
              <w:pStyle w:val="Compact"/>
            </w:pPr>
            <w:r>
              <w:t xml:space="preserve">C3</w:t>
            </w:r>
          </w:p>
        </w:tc>
        <w:tc>
          <w:tcPr/>
          <w:p>
            <w:pPr>
              <w:pStyle w:val="Compact"/>
            </w:pPr>
            <w:r>
              <w:t xml:space="preserve">บทสรุปผู้บริหาร</w:t>
            </w:r>
          </w:p>
        </w:tc>
        <w:tc>
          <w:tcPr/>
          <w:p>
            <w:pPr>
              <w:pStyle w:val="Compact"/>
            </w:pPr>
            <w:r>
              <w:rPr>
                <w:rStyle w:val="VerbatimChar"/>
              </w:rPr>
              <w:t xml:space="preserve">00-executive-summary.md</w:t>
            </w:r>
          </w:p>
        </w:tc>
        <w:tc>
          <w:tcPr/>
          <w:p>
            <w:pPr>
              <w:pStyle w:val="Compact"/>
            </w:pPr>
            <w:r>
              <w:t xml:space="preserve">Compliance</w:t>
            </w:r>
          </w:p>
        </w:tc>
        <w:tc>
          <w:tcPr/>
          <w:p>
            <w:pPr>
              <w:pStyle w:val="Compact"/>
            </w:pPr>
            <w:r>
              <w:t xml:space="preserve">✅</w:t>
            </w:r>
          </w:p>
        </w:tc>
      </w:tr>
    </w:tbl>
    <w:bookmarkEnd w:id="1178"/>
    <w:bookmarkStart w:id="1179" w:name="หมวด-d-aml-kyc-cdd"/>
    <w:p>
      <w:pPr>
        <w:pStyle w:val="Heading3"/>
      </w:pPr>
      <w:r>
        <w:t xml:space="preserve">หมวด D — AML / KYC / CDD</w:t>
      </w:r>
    </w:p>
    <w:tbl>
      <w:tblPr>
        <w:tblStyle w:val="Table"/>
        <w:tblW w:type="pct" w:w="5000"/>
        <w:tblLayout w:type="fixed"/>
        <w:tblLook w:firstRow="1" w:lastRow="0" w:firstColumn="0" w:lastColumn="0" w:noHBand="0" w:noVBand="0" w:val="0020"/>
      </w:tblPr>
      <w:tblGrid>
        <w:gridCol w:w="495"/>
        <w:gridCol w:w="1320"/>
        <w:gridCol w:w="2640"/>
        <w:gridCol w:w="2310"/>
        <w:gridCol w:w="1155"/>
      </w:tblGrid>
      <w:tr>
        <w:trPr>
          <w:tblHeader w:val="on"/>
        </w:trPr>
        <w:tc>
          <w:tcPr/>
          <w:p>
            <w:pPr>
              <w:pStyle w:val="Compact"/>
            </w:pPr>
            <w:r>
              <w:t xml:space="preserve">#</w:t>
            </w:r>
          </w:p>
        </w:tc>
        <w:tc>
          <w:tcPr/>
          <w:p>
            <w:pPr>
              <w:pStyle w:val="Compact"/>
            </w:pPr>
            <w:r>
              <w:t xml:space="preserve">เอกสาร</w:t>
            </w:r>
          </w:p>
        </w:tc>
        <w:tc>
          <w:tcPr/>
          <w:p>
            <w:pPr>
              <w:pStyle w:val="Compact"/>
            </w:pPr>
            <w:r>
              <w:t xml:space="preserve">เอกสารอ้างอิง</w:t>
            </w:r>
          </w:p>
        </w:tc>
        <w:tc>
          <w:tcPr/>
          <w:p>
            <w:pPr>
              <w:pStyle w:val="Compact"/>
            </w:pPr>
            <w:r>
              <w:t xml:space="preserve">ผู้รับผิดชอบ</w:t>
            </w:r>
          </w:p>
        </w:tc>
        <w:tc>
          <w:tcPr/>
          <w:p>
            <w:pPr>
              <w:pStyle w:val="Compact"/>
            </w:pPr>
            <w:r>
              <w:t xml:space="preserve">สถานะ</w:t>
            </w:r>
          </w:p>
        </w:tc>
      </w:tr>
      <w:tr>
        <w:tc>
          <w:tcPr/>
          <w:p>
            <w:pPr>
              <w:pStyle w:val="Compact"/>
            </w:pPr>
            <w:r>
              <w:t xml:space="preserve">D1</w:t>
            </w:r>
          </w:p>
        </w:tc>
        <w:tc>
          <w:tcPr/>
          <w:p>
            <w:pPr>
              <w:pStyle w:val="Compact"/>
            </w:pPr>
            <w:r>
              <w:t xml:space="preserve">นโยบาย AML/KYC/CDD</w:t>
            </w:r>
          </w:p>
        </w:tc>
        <w:tc>
          <w:tcPr/>
          <w:p>
            <w:pPr>
              <w:pStyle w:val="Compact"/>
            </w:pPr>
            <w:r>
              <w:rPr>
                <w:rStyle w:val="VerbatimChar"/>
              </w:rPr>
              <w:t xml:space="preserve">05-aml-kyc-cdd-policy.md</w:t>
            </w:r>
          </w:p>
        </w:tc>
        <w:tc>
          <w:tcPr/>
          <w:p>
            <w:pPr>
              <w:pStyle w:val="Compact"/>
            </w:pPr>
            <w:r>
              <w:t xml:space="preserve">Compliance</w:t>
            </w:r>
          </w:p>
        </w:tc>
        <w:tc>
          <w:tcPr/>
          <w:p>
            <w:pPr>
              <w:pStyle w:val="Compact"/>
            </w:pPr>
            <w:r>
              <w:t xml:space="preserve">🟡</w:t>
            </w:r>
          </w:p>
        </w:tc>
      </w:tr>
      <w:tr>
        <w:tc>
          <w:tcPr/>
          <w:p>
            <w:pPr>
              <w:pStyle w:val="Compact"/>
            </w:pPr>
            <w:r>
              <w:t xml:space="preserve">D2</w:t>
            </w:r>
          </w:p>
        </w:tc>
        <w:tc>
          <w:tcPr/>
          <w:p>
            <w:pPr>
              <w:pStyle w:val="Compact"/>
            </w:pPr>
            <w:r>
              <w:t xml:space="preserve">กระบวนการ sanction/PEP screening</w:t>
            </w:r>
          </w:p>
        </w:tc>
        <w:tc>
          <w:tcPr/>
          <w:p>
            <w:pPr>
              <w:pStyle w:val="Compact"/>
            </w:pPr>
            <w:r>
              <w:rPr>
                <w:rStyle w:val="VerbatimChar"/>
              </w:rPr>
              <w:t xml:space="preserve">06-sanctions-screening.md</w:t>
            </w:r>
          </w:p>
        </w:tc>
        <w:tc>
          <w:tcPr/>
          <w:p>
            <w:pPr>
              <w:pStyle w:val="Compact"/>
            </w:pPr>
            <w:r>
              <w:t xml:space="preserve">Compliance</w:t>
            </w:r>
          </w:p>
        </w:tc>
        <w:tc>
          <w:tcPr/>
          <w:p>
            <w:pPr>
              <w:pStyle w:val="Compact"/>
            </w:pPr>
            <w:r>
              <w:t xml:space="preserve">🟡</w:t>
            </w:r>
          </w:p>
        </w:tc>
      </w:tr>
      <w:tr>
        <w:tc>
          <w:tcPr/>
          <w:p>
            <w:pPr>
              <w:pStyle w:val="Compact"/>
            </w:pPr>
            <w:r>
              <w:t xml:space="preserve">D3</w:t>
            </w:r>
          </w:p>
        </w:tc>
        <w:tc>
          <w:tcPr/>
          <w:p>
            <w:pPr>
              <w:pStyle w:val="Compact"/>
            </w:pPr>
            <w:r>
              <w:t xml:space="preserve">ขั้นตอนรายงานธุรกรรมน่าสงสัย (SAR/STR) ต่อ ปปง.</w:t>
            </w:r>
          </w:p>
        </w:tc>
        <w:tc>
          <w:tcPr/>
          <w:p>
            <w:pPr>
              <w:pStyle w:val="Compact"/>
            </w:pPr>
            <w:r>
              <w:rPr>
                <w:rStyle w:val="VerbatimChar"/>
              </w:rPr>
              <w:t xml:space="preserve">07-sar-str-procedure.md</w:t>
            </w:r>
          </w:p>
        </w:tc>
        <w:tc>
          <w:tcPr/>
          <w:p>
            <w:pPr>
              <w:pStyle w:val="Compact"/>
            </w:pPr>
            <w:r>
              <w:t xml:space="preserve">Compliance</w:t>
            </w:r>
          </w:p>
        </w:tc>
        <w:tc>
          <w:tcPr/>
          <w:p>
            <w:pPr>
              <w:pStyle w:val="Compact"/>
            </w:pPr>
            <w:r>
              <w:t xml:space="preserve">🟡</w:t>
            </w:r>
          </w:p>
        </w:tc>
      </w:tr>
      <w:tr>
        <w:tc>
          <w:tcPr/>
          <w:p>
            <w:pPr>
              <w:pStyle w:val="Compact"/>
            </w:pPr>
            <w:r>
              <w:t xml:space="preserve">D4</w:t>
            </w:r>
          </w:p>
        </w:tc>
        <w:tc>
          <w:tcPr/>
          <w:p>
            <w:pPr>
              <w:pStyle w:val="Compact"/>
            </w:pPr>
            <w:r>
              <w:t xml:space="preserve">การจัดระดับความเสี่ยงลูกค้า (risk categorization)</w:t>
            </w:r>
          </w:p>
        </w:tc>
        <w:tc>
          <w:tcPr/>
          <w:p>
            <w:pPr>
              <w:pStyle w:val="Compact"/>
            </w:pPr>
            <w:r>
              <w:rPr>
                <w:rStyle w:val="VerbatimChar"/>
              </w:rPr>
              <w:t xml:space="preserve">08-customer-risk-categorization.md</w:t>
            </w:r>
          </w:p>
        </w:tc>
        <w:tc>
          <w:tcPr/>
          <w:p>
            <w:pPr>
              <w:pStyle w:val="Compact"/>
            </w:pPr>
            <w:r>
              <w:t xml:space="preserve">Compliance</w:t>
            </w:r>
          </w:p>
        </w:tc>
        <w:tc>
          <w:tcPr/>
          <w:p>
            <w:pPr>
              <w:pStyle w:val="Compact"/>
            </w:pPr>
            <w:r>
              <w:t xml:space="preserve">🟡</w:t>
            </w:r>
          </w:p>
        </w:tc>
      </w:tr>
    </w:tbl>
    <w:bookmarkEnd w:id="1179"/>
    <w:bookmarkStart w:id="1180" w:name="หมวด-e-คมครองขอมลสวนบคคล-pdpa"/>
    <w:p>
      <w:pPr>
        <w:pStyle w:val="Heading3"/>
      </w:pPr>
      <w:r>
        <w:t xml:space="preserve">หมวด E — คุ้มครองข้อมูลส่วนบุคคล (PDPA)</w:t>
      </w:r>
    </w:p>
    <w:tbl>
      <w:tblPr>
        <w:tblStyle w:val="Table"/>
        <w:tblW w:type="pct" w:w="5000"/>
        <w:tblLayout w:type="fixed"/>
        <w:tblLook w:firstRow="1" w:lastRow="0" w:firstColumn="0" w:lastColumn="0" w:noHBand="0" w:noVBand="0" w:val="0020"/>
      </w:tblPr>
      <w:tblGrid>
        <w:gridCol w:w="495"/>
        <w:gridCol w:w="1320"/>
        <w:gridCol w:w="2640"/>
        <w:gridCol w:w="2310"/>
        <w:gridCol w:w="1155"/>
      </w:tblGrid>
      <w:tr>
        <w:trPr>
          <w:tblHeader w:val="on"/>
        </w:trPr>
        <w:tc>
          <w:tcPr/>
          <w:p>
            <w:pPr>
              <w:pStyle w:val="Compact"/>
            </w:pPr>
            <w:r>
              <w:t xml:space="preserve">#</w:t>
            </w:r>
          </w:p>
        </w:tc>
        <w:tc>
          <w:tcPr/>
          <w:p>
            <w:pPr>
              <w:pStyle w:val="Compact"/>
            </w:pPr>
            <w:r>
              <w:t xml:space="preserve">เอกสาร</w:t>
            </w:r>
          </w:p>
        </w:tc>
        <w:tc>
          <w:tcPr/>
          <w:p>
            <w:pPr>
              <w:pStyle w:val="Compact"/>
            </w:pPr>
            <w:r>
              <w:t xml:space="preserve">เอกสารอ้างอิง</w:t>
            </w:r>
          </w:p>
        </w:tc>
        <w:tc>
          <w:tcPr/>
          <w:p>
            <w:pPr>
              <w:pStyle w:val="Compact"/>
            </w:pPr>
            <w:r>
              <w:t xml:space="preserve">ผู้รับผิดชอบ</w:t>
            </w:r>
          </w:p>
        </w:tc>
        <w:tc>
          <w:tcPr/>
          <w:p>
            <w:pPr>
              <w:pStyle w:val="Compact"/>
            </w:pPr>
            <w:r>
              <w:t xml:space="preserve">สถานะ</w:t>
            </w:r>
          </w:p>
        </w:tc>
      </w:tr>
      <w:tr>
        <w:tc>
          <w:tcPr/>
          <w:p>
            <w:pPr>
              <w:pStyle w:val="Compact"/>
            </w:pPr>
            <w:r>
              <w:t xml:space="preserve">E1</w:t>
            </w:r>
          </w:p>
        </w:tc>
        <w:tc>
          <w:tcPr/>
          <w:p>
            <w:pPr>
              <w:pStyle w:val="Compact"/>
            </w:pPr>
            <w:r>
              <w:t xml:space="preserve">นโยบายความเป็นส่วนตัว (privacy policy)</w:t>
            </w:r>
          </w:p>
        </w:tc>
        <w:tc>
          <w:tcPr/>
          <w:p>
            <w:pPr>
              <w:pStyle w:val="Compact"/>
            </w:pPr>
            <w:r>
              <w:rPr>
                <w:rStyle w:val="VerbatimChar"/>
              </w:rPr>
              <w:t xml:space="preserve">09-pdpa-privacy-policy.md</w:t>
            </w:r>
          </w:p>
        </w:tc>
        <w:tc>
          <w:tcPr/>
          <w:p>
            <w:pPr>
              <w:pStyle w:val="Compact"/>
            </w:pPr>
            <w:r>
              <w:t xml:space="preserve">DPO</w:t>
            </w:r>
          </w:p>
        </w:tc>
        <w:tc>
          <w:tcPr/>
          <w:p>
            <w:pPr>
              <w:pStyle w:val="Compact"/>
            </w:pPr>
            <w:r>
              <w:t xml:space="preserve">🟡</w:t>
            </w:r>
          </w:p>
        </w:tc>
      </w:tr>
      <w:tr>
        <w:tc>
          <w:tcPr/>
          <w:p>
            <w:pPr>
              <w:pStyle w:val="Compact"/>
            </w:pPr>
            <w:r>
              <w:t xml:space="preserve">E2</w:t>
            </w:r>
          </w:p>
        </w:tc>
        <w:tc>
          <w:tcPr/>
          <w:p>
            <w:pPr>
              <w:pStyle w:val="Compact"/>
            </w:pPr>
            <w:r>
              <w:t xml:space="preserve">แม่แบบข้อตกลงประมวลผลข้อมูล (DPA)</w:t>
            </w:r>
          </w:p>
        </w:tc>
        <w:tc>
          <w:tcPr/>
          <w:p>
            <w:pPr>
              <w:pStyle w:val="Compact"/>
            </w:pPr>
            <w:r>
              <w:rPr>
                <w:rStyle w:val="VerbatimChar"/>
              </w:rPr>
              <w:t xml:space="preserve">10-dpa-templates.md</w:t>
            </w:r>
          </w:p>
        </w:tc>
        <w:tc>
          <w:tcPr/>
          <w:p>
            <w:pPr>
              <w:pStyle w:val="Compact"/>
            </w:pPr>
            <w:r>
              <w:t xml:space="preserve">Legal/DPO</w:t>
            </w:r>
          </w:p>
        </w:tc>
        <w:tc>
          <w:tcPr/>
          <w:p>
            <w:pPr>
              <w:pStyle w:val="Compact"/>
            </w:pPr>
            <w:r>
              <w:t xml:space="preserve">🟡</w:t>
            </w:r>
          </w:p>
        </w:tc>
      </w:tr>
      <w:tr>
        <w:tc>
          <w:tcPr/>
          <w:p>
            <w:pPr>
              <w:pStyle w:val="Compact"/>
            </w:pPr>
            <w:r>
              <w:t xml:space="preserve">E3</w:t>
            </w:r>
          </w:p>
        </w:tc>
        <w:tc>
          <w:tcPr/>
          <w:p>
            <w:pPr>
              <w:pStyle w:val="Compact"/>
            </w:pPr>
            <w:r>
              <w:t xml:space="preserve">นโยบายเก็บรักษาและลบข้อมูล (retention/deletion)</w:t>
            </w:r>
          </w:p>
        </w:tc>
        <w:tc>
          <w:tcPr/>
          <w:p>
            <w:pPr>
              <w:pStyle w:val="Compact"/>
            </w:pPr>
            <w:r>
              <w:rPr>
                <w:rStyle w:val="VerbatimChar"/>
              </w:rPr>
              <w:t xml:space="preserve">11-data-retention-deletion.md</w:t>
            </w:r>
          </w:p>
        </w:tc>
        <w:tc>
          <w:tcPr/>
          <w:p>
            <w:pPr>
              <w:pStyle w:val="Compact"/>
            </w:pPr>
            <w:r>
              <w:t xml:space="preserve">DPO</w:t>
            </w:r>
          </w:p>
        </w:tc>
        <w:tc>
          <w:tcPr/>
          <w:p>
            <w:pPr>
              <w:pStyle w:val="Compact"/>
            </w:pPr>
            <w:r>
              <w:t xml:space="preserve">🟡</w:t>
            </w:r>
          </w:p>
        </w:tc>
      </w:tr>
      <w:tr>
        <w:tc>
          <w:tcPr/>
          <w:p>
            <w:pPr>
              <w:pStyle w:val="Compact"/>
            </w:pPr>
            <w:r>
              <w:t xml:space="preserve">E4</w:t>
            </w:r>
          </w:p>
        </w:tc>
        <w:tc>
          <w:tcPr/>
          <w:p>
            <w:pPr>
              <w:pStyle w:val="Compact"/>
            </w:pPr>
            <w:r>
              <w:t xml:space="preserve">ขั้นตอนสิทธิเจ้าของข้อมูล (DSAR)</w:t>
            </w:r>
          </w:p>
        </w:tc>
        <w:tc>
          <w:tcPr/>
          <w:p>
            <w:pPr>
              <w:pStyle w:val="Compact"/>
            </w:pPr>
            <w:r>
              <w:rPr>
                <w:rStyle w:val="VerbatimChar"/>
              </w:rPr>
              <w:t xml:space="preserve">12-dsar-workflow.md</w:t>
            </w:r>
          </w:p>
        </w:tc>
        <w:tc>
          <w:tcPr/>
          <w:p>
            <w:pPr>
              <w:pStyle w:val="Compact"/>
            </w:pPr>
            <w:r>
              <w:t xml:space="preserve">DPO</w:t>
            </w:r>
          </w:p>
        </w:tc>
        <w:tc>
          <w:tcPr/>
          <w:p>
            <w:pPr>
              <w:pStyle w:val="Compact"/>
            </w:pPr>
            <w:r>
              <w:t xml:space="preserve">🟡</w:t>
            </w:r>
          </w:p>
        </w:tc>
      </w:tr>
    </w:tbl>
    <w:bookmarkEnd w:id="1180"/>
    <w:bookmarkStart w:id="1181" w:name="หมวด-f-บรหารความเสยง-it-cyber-ความตอเนอง"/>
    <w:p>
      <w:pPr>
        <w:pStyle w:val="Heading3"/>
      </w:pPr>
      <w:r>
        <w:t xml:space="preserve">หมวด F — บริหารความเสี่ยง IT / Cyber / ความต่อเนื่อง</w:t>
      </w:r>
    </w:p>
    <w:tbl>
      <w:tblPr>
        <w:tblStyle w:val="Table"/>
        <w:tblW w:type="pct" w:w="5000"/>
        <w:tblLayout w:type="fixed"/>
        <w:tblLook w:firstRow="1" w:lastRow="0" w:firstColumn="0" w:lastColumn="0" w:noHBand="0" w:noVBand="0" w:val="0020"/>
      </w:tblPr>
      <w:tblGrid>
        <w:gridCol w:w="495"/>
        <w:gridCol w:w="1320"/>
        <w:gridCol w:w="2640"/>
        <w:gridCol w:w="2310"/>
        <w:gridCol w:w="1155"/>
      </w:tblGrid>
      <w:tr>
        <w:trPr>
          <w:tblHeader w:val="on"/>
        </w:trPr>
        <w:tc>
          <w:tcPr/>
          <w:p>
            <w:pPr>
              <w:pStyle w:val="Compact"/>
            </w:pPr>
            <w:r>
              <w:t xml:space="preserve">#</w:t>
            </w:r>
          </w:p>
        </w:tc>
        <w:tc>
          <w:tcPr/>
          <w:p>
            <w:pPr>
              <w:pStyle w:val="Compact"/>
            </w:pPr>
            <w:r>
              <w:t xml:space="preserve">เอกสาร</w:t>
            </w:r>
          </w:p>
        </w:tc>
        <w:tc>
          <w:tcPr/>
          <w:p>
            <w:pPr>
              <w:pStyle w:val="Compact"/>
            </w:pPr>
            <w:r>
              <w:t xml:space="preserve">เอกสารอ้างอิง</w:t>
            </w:r>
          </w:p>
        </w:tc>
        <w:tc>
          <w:tcPr/>
          <w:p>
            <w:pPr>
              <w:pStyle w:val="Compact"/>
            </w:pPr>
            <w:r>
              <w:t xml:space="preserve">ผู้รับผิดชอบ</w:t>
            </w:r>
          </w:p>
        </w:tc>
        <w:tc>
          <w:tcPr/>
          <w:p>
            <w:pPr>
              <w:pStyle w:val="Compact"/>
            </w:pPr>
            <w:r>
              <w:t xml:space="preserve">สถานะ</w:t>
            </w:r>
          </w:p>
        </w:tc>
      </w:tr>
      <w:tr>
        <w:tc>
          <w:tcPr/>
          <w:p>
            <w:pPr>
              <w:pStyle w:val="Compact"/>
            </w:pPr>
            <w:r>
              <w:t xml:space="preserve">F1</w:t>
            </w:r>
          </w:p>
        </w:tc>
        <w:tc>
          <w:tcPr/>
          <w:p>
            <w:pPr>
              <w:pStyle w:val="Compact"/>
            </w:pPr>
            <w:r>
              <w:t xml:space="preserve">นโยบายบริหารความเสี่ยงด้าน IT</w:t>
            </w:r>
          </w:p>
        </w:tc>
        <w:tc>
          <w:tcPr/>
          <w:p>
            <w:pPr>
              <w:pStyle w:val="Compact"/>
            </w:pPr>
            <w:r>
              <w:rPr>
                <w:rStyle w:val="VerbatimChar"/>
              </w:rPr>
              <w:t xml:space="preserve">13-it-risk-management.md</w:t>
            </w:r>
          </w:p>
        </w:tc>
        <w:tc>
          <w:tcPr/>
          <w:p>
            <w:pPr>
              <w:pStyle w:val="Compact"/>
            </w:pPr>
            <w:r>
              <w:t xml:space="preserve">Security</w:t>
            </w:r>
          </w:p>
        </w:tc>
        <w:tc>
          <w:tcPr/>
          <w:p>
            <w:pPr>
              <w:pStyle w:val="Compact"/>
            </w:pPr>
            <w:r>
              <w:t xml:space="preserve">🟡</w:t>
            </w:r>
          </w:p>
        </w:tc>
      </w:tr>
      <w:tr>
        <w:tc>
          <w:tcPr/>
          <w:p>
            <w:pPr>
              <w:pStyle w:val="Compact"/>
            </w:pPr>
            <w:r>
              <w:t xml:space="preserve">F2</w:t>
            </w:r>
          </w:p>
        </w:tc>
        <w:tc>
          <w:tcPr/>
          <w:p>
            <w:pPr>
              <w:pStyle w:val="Compact"/>
            </w:pPr>
            <w:r>
              <w:t xml:space="preserve">แผน cyber resilience</w:t>
            </w:r>
          </w:p>
        </w:tc>
        <w:tc>
          <w:tcPr/>
          <w:p>
            <w:pPr>
              <w:pStyle w:val="Compact"/>
            </w:pPr>
            <w:r>
              <w:rPr>
                <w:rStyle w:val="VerbatimChar"/>
              </w:rPr>
              <w:t xml:space="preserve">14-cyber-resilience.md</w:t>
            </w:r>
          </w:p>
        </w:tc>
        <w:tc>
          <w:tcPr/>
          <w:p>
            <w:pPr>
              <w:pStyle w:val="Compact"/>
            </w:pPr>
            <w:r>
              <w:t xml:space="preserve">Security</w:t>
            </w:r>
          </w:p>
        </w:tc>
        <w:tc>
          <w:tcPr/>
          <w:p>
            <w:pPr>
              <w:pStyle w:val="Compact"/>
            </w:pPr>
            <w:r>
              <w:t xml:space="preserve">🟡</w:t>
            </w:r>
          </w:p>
        </w:tc>
      </w:tr>
      <w:tr>
        <w:tc>
          <w:tcPr/>
          <w:p>
            <w:pPr>
              <w:pStyle w:val="Compact"/>
            </w:pPr>
            <w:r>
              <w:t xml:space="preserve">F3</w:t>
            </w:r>
          </w:p>
        </w:tc>
        <w:tc>
          <w:tcPr/>
          <w:p>
            <w:pPr>
              <w:pStyle w:val="Compact"/>
            </w:pPr>
            <w:r>
              <w:t xml:space="preserve">แผนความต่อเนื่องทางธุรกิจ + DR (BCP/DR)</w:t>
            </w:r>
          </w:p>
        </w:tc>
        <w:tc>
          <w:tcPr/>
          <w:p>
            <w:pPr>
              <w:pStyle w:val="Compact"/>
            </w:pPr>
            <w:r>
              <w:rPr>
                <w:rStyle w:val="VerbatimChar"/>
              </w:rPr>
              <w:t xml:space="preserve">15-bcp-dr.md</w:t>
            </w:r>
          </w:p>
        </w:tc>
        <w:tc>
          <w:tcPr/>
          <w:p>
            <w:pPr>
              <w:pStyle w:val="Compact"/>
            </w:pPr>
            <w:r>
              <w:t xml:space="preserve">SRE</w:t>
            </w:r>
          </w:p>
        </w:tc>
        <w:tc>
          <w:tcPr/>
          <w:p>
            <w:pPr>
              <w:pStyle w:val="Compact"/>
            </w:pPr>
            <w:r>
              <w:t xml:space="preserve">🟡</w:t>
            </w:r>
          </w:p>
        </w:tc>
      </w:tr>
      <w:tr>
        <w:tc>
          <w:tcPr/>
          <w:p>
            <w:pPr>
              <w:pStyle w:val="Compact"/>
            </w:pPr>
            <w:r>
              <w:t xml:space="preserve">F4</w:t>
            </w:r>
          </w:p>
        </w:tc>
        <w:tc>
          <w:tcPr/>
          <w:p>
            <w:pPr>
              <w:pStyle w:val="Compact"/>
            </w:pPr>
            <w:r>
              <w:t xml:space="preserve">แผนตอบสนองเหตุการณ์ + การแจ้งเหตุข้อมูลรั่วไหล</w:t>
            </w:r>
          </w:p>
        </w:tc>
        <w:tc>
          <w:tcPr/>
          <w:p>
            <w:pPr>
              <w:pStyle w:val="Compact"/>
            </w:pPr>
            <w:r>
              <w:rPr>
                <w:rStyle w:val="VerbatimChar"/>
              </w:rPr>
              <w:t xml:space="preserve">16-incident-response-breach.md</w:t>
            </w:r>
          </w:p>
        </w:tc>
        <w:tc>
          <w:tcPr/>
          <w:p>
            <w:pPr>
              <w:pStyle w:val="Compact"/>
            </w:pPr>
            <w:r>
              <w:t xml:space="preserve">Security</w:t>
            </w:r>
          </w:p>
        </w:tc>
        <w:tc>
          <w:tcPr/>
          <w:p>
            <w:pPr>
              <w:pStyle w:val="Compact"/>
            </w:pPr>
            <w:r>
              <w:t xml:space="preserve">🟡</w:t>
            </w:r>
          </w:p>
        </w:tc>
      </w:tr>
      <w:tr>
        <w:tc>
          <w:tcPr/>
          <w:p>
            <w:pPr>
              <w:pStyle w:val="Compact"/>
            </w:pPr>
            <w:r>
              <w:t xml:space="preserve">F5</w:t>
            </w:r>
          </w:p>
        </w:tc>
        <w:tc>
          <w:tcPr/>
          <w:p>
            <w:pPr>
              <w:pStyle w:val="Compact"/>
            </w:pPr>
            <w:r>
              <w:t xml:space="preserve">นโยบายการบริหารการเปลี่ยนแปลง (change management)</w:t>
            </w:r>
          </w:p>
        </w:tc>
        <w:tc>
          <w:tcPr/>
          <w:p>
            <w:pPr>
              <w:pStyle w:val="Compact"/>
            </w:pPr>
            <w:r>
              <w:rPr>
                <w:rStyle w:val="VerbatimChar"/>
              </w:rPr>
              <w:t xml:space="preserve">17-change-management.md</w:t>
            </w:r>
          </w:p>
        </w:tc>
        <w:tc>
          <w:tcPr/>
          <w:p>
            <w:pPr>
              <w:pStyle w:val="Compact"/>
            </w:pPr>
            <w:r>
              <w:t xml:space="preserve">SRE</w:t>
            </w:r>
          </w:p>
        </w:tc>
        <w:tc>
          <w:tcPr/>
          <w:p>
            <w:pPr>
              <w:pStyle w:val="Compact"/>
            </w:pPr>
            <w:r>
              <w:t xml:space="preserve">🟡</w:t>
            </w:r>
          </w:p>
        </w:tc>
      </w:tr>
    </w:tbl>
    <w:bookmarkEnd w:id="1181"/>
    <w:bookmarkStart w:id="1182" w:name="หมวด-g-pci-dss-และความปลอดภยขอมลบตร"/>
    <w:p>
      <w:pPr>
        <w:pStyle w:val="Heading3"/>
      </w:pPr>
      <w:r>
        <w:t xml:space="preserve">หมวด G — PCI-DSS และความปลอดภัยข้อมูลบัตร</w:t>
      </w:r>
    </w:p>
    <w:tbl>
      <w:tblPr>
        <w:tblStyle w:val="Table"/>
        <w:tblW w:type="pct" w:w="5000"/>
        <w:tblLayout w:type="fixed"/>
        <w:tblLook w:firstRow="1" w:lastRow="0" w:firstColumn="0" w:lastColumn="0" w:noHBand="0" w:noVBand="0" w:val="0020"/>
      </w:tblPr>
      <w:tblGrid>
        <w:gridCol w:w="495"/>
        <w:gridCol w:w="1320"/>
        <w:gridCol w:w="2640"/>
        <w:gridCol w:w="2310"/>
        <w:gridCol w:w="1155"/>
      </w:tblGrid>
      <w:tr>
        <w:trPr>
          <w:tblHeader w:val="on"/>
        </w:trPr>
        <w:tc>
          <w:tcPr/>
          <w:p>
            <w:pPr>
              <w:pStyle w:val="Compact"/>
            </w:pPr>
            <w:r>
              <w:t xml:space="preserve">#</w:t>
            </w:r>
          </w:p>
        </w:tc>
        <w:tc>
          <w:tcPr/>
          <w:p>
            <w:pPr>
              <w:pStyle w:val="Compact"/>
            </w:pPr>
            <w:r>
              <w:t xml:space="preserve">เอกสาร</w:t>
            </w:r>
          </w:p>
        </w:tc>
        <w:tc>
          <w:tcPr/>
          <w:p>
            <w:pPr>
              <w:pStyle w:val="Compact"/>
            </w:pPr>
            <w:r>
              <w:t xml:space="preserve">เอกสารอ้างอิง</w:t>
            </w:r>
          </w:p>
        </w:tc>
        <w:tc>
          <w:tcPr/>
          <w:p>
            <w:pPr>
              <w:pStyle w:val="Compact"/>
            </w:pPr>
            <w:r>
              <w:t xml:space="preserve">ผู้รับผิดชอบ</w:t>
            </w:r>
          </w:p>
        </w:tc>
        <w:tc>
          <w:tcPr/>
          <w:p>
            <w:pPr>
              <w:pStyle w:val="Compact"/>
            </w:pPr>
            <w:r>
              <w:t xml:space="preserve">สถานะ</w:t>
            </w:r>
          </w:p>
        </w:tc>
      </w:tr>
      <w:tr>
        <w:tc>
          <w:tcPr/>
          <w:p>
            <w:pPr>
              <w:pStyle w:val="Compact"/>
            </w:pPr>
            <w:r>
              <w:t xml:space="preserve">G1</w:t>
            </w:r>
          </w:p>
        </w:tc>
        <w:tc>
          <w:tcPr/>
          <w:p>
            <w:pPr>
              <w:pStyle w:val="Compact"/>
            </w:pPr>
            <w:r>
              <w:t xml:space="preserve">แผนงาน PCI-DSS v4.0 Level 1</w:t>
            </w:r>
          </w:p>
        </w:tc>
        <w:tc>
          <w:tcPr/>
          <w:p>
            <w:pPr>
              <w:pStyle w:val="Compact"/>
            </w:pPr>
            <w:r>
              <w:rPr>
                <w:rStyle w:val="VerbatimChar"/>
              </w:rPr>
              <w:t xml:space="preserve">19-pci-dss-roadmap.md</w:t>
            </w:r>
          </w:p>
        </w:tc>
        <w:tc>
          <w:tcPr/>
          <w:p>
            <w:pPr>
              <w:pStyle w:val="Compact"/>
            </w:pPr>
            <w:r>
              <w:t xml:space="preserve">Security</w:t>
            </w:r>
          </w:p>
        </w:tc>
        <w:tc>
          <w:tcPr/>
          <w:p>
            <w:pPr>
              <w:pStyle w:val="Compact"/>
            </w:pPr>
            <w:r>
              <w:t xml:space="preserve">🟡</w:t>
            </w:r>
          </w:p>
        </w:tc>
      </w:tr>
      <w:tr>
        <w:tc>
          <w:tcPr/>
          <w:p>
            <w:pPr>
              <w:pStyle w:val="Compact"/>
            </w:pPr>
            <w:r>
              <w:t xml:space="preserve">G2</w:t>
            </w:r>
          </w:p>
        </w:tc>
        <w:tc>
          <w:tcPr/>
          <w:p>
            <w:pPr>
              <w:pStyle w:val="Compact"/>
            </w:pPr>
            <w:r>
              <w:t xml:space="preserve">ผัง network segmentation / CDE</w:t>
            </w:r>
          </w:p>
        </w:tc>
        <w:tc>
          <w:tcPr/>
          <w:p>
            <w:pPr>
              <w:pStyle w:val="Compact"/>
            </w:pPr>
            <w:r>
              <w:rPr>
                <w:rStyle w:val="VerbatimChar"/>
              </w:rPr>
              <w:t xml:space="preserve">20-network-segmentation-cde.md</w:t>
            </w:r>
          </w:p>
        </w:tc>
        <w:tc>
          <w:tcPr/>
          <w:p>
            <w:pPr>
              <w:pStyle w:val="Compact"/>
            </w:pPr>
            <w:r>
              <w:t xml:space="preserve">Security</w:t>
            </w:r>
          </w:p>
        </w:tc>
        <w:tc>
          <w:tcPr/>
          <w:p>
            <w:pPr>
              <w:pStyle w:val="Compact"/>
            </w:pPr>
            <w:r>
              <w:t xml:space="preserve">🟡</w:t>
            </w:r>
          </w:p>
        </w:tc>
      </w:tr>
      <w:tr>
        <w:tc>
          <w:tcPr/>
          <w:p>
            <w:pPr>
              <w:pStyle w:val="Compact"/>
            </w:pPr>
            <w:r>
              <w:t xml:space="preserve">G3</w:t>
            </w:r>
          </w:p>
        </w:tc>
        <w:tc>
          <w:tcPr/>
          <w:p>
            <w:pPr>
              <w:pStyle w:val="Compact"/>
            </w:pPr>
            <w:r>
              <w:t xml:space="preserve">Tokenization + HSM/KMS + key management</w:t>
            </w:r>
          </w:p>
        </w:tc>
        <w:tc>
          <w:tcPr/>
          <w:p>
            <w:pPr>
              <w:pStyle w:val="Compact"/>
            </w:pPr>
            <w:r>
              <w:rPr>
                <w:rStyle w:val="VerbatimChar"/>
              </w:rPr>
              <w:t xml:space="preserve">21-tokenization-hsm-keymgmt.md</w:t>
            </w:r>
          </w:p>
        </w:tc>
        <w:tc>
          <w:tcPr/>
          <w:p>
            <w:pPr>
              <w:pStyle w:val="Compact"/>
            </w:pPr>
            <w:r>
              <w:t xml:space="preserve">Security</w:t>
            </w:r>
          </w:p>
        </w:tc>
        <w:tc>
          <w:tcPr/>
          <w:p>
            <w:pPr>
              <w:pStyle w:val="Compact"/>
            </w:pPr>
            <w:r>
              <w:t xml:space="preserve">🟡</w:t>
            </w:r>
          </w:p>
        </w:tc>
      </w:tr>
      <w:tr>
        <w:tc>
          <w:tcPr/>
          <w:p>
            <w:pPr>
              <w:pStyle w:val="Compact"/>
            </w:pPr>
            <w:r>
              <w:t xml:space="preserve">G4</w:t>
            </w:r>
          </w:p>
        </w:tc>
        <w:tc>
          <w:tcPr/>
          <w:p>
            <w:pPr>
              <w:pStyle w:val="Compact"/>
            </w:pPr>
            <w:r>
              <w:t xml:space="preserve">กลยุทธ์ EMV 3DS 2.x</w:t>
            </w:r>
          </w:p>
        </w:tc>
        <w:tc>
          <w:tcPr/>
          <w:p>
            <w:pPr>
              <w:pStyle w:val="Compact"/>
            </w:pPr>
            <w:r>
              <w:rPr>
                <w:rStyle w:val="VerbatimChar"/>
              </w:rPr>
              <w:t xml:space="preserve">22-3ds-strategy.md</w:t>
            </w:r>
          </w:p>
        </w:tc>
        <w:tc>
          <w:tcPr/>
          <w:p>
            <w:pPr>
              <w:pStyle w:val="Compact"/>
            </w:pPr>
            <w:r>
              <w:t xml:space="preserve">Product/Security</w:t>
            </w:r>
          </w:p>
        </w:tc>
        <w:tc>
          <w:tcPr/>
          <w:p>
            <w:pPr>
              <w:pStyle w:val="Compact"/>
            </w:pPr>
            <w:r>
              <w:t xml:space="preserve">🟡</w:t>
            </w:r>
          </w:p>
        </w:tc>
      </w:tr>
      <w:tr>
        <w:tc>
          <w:tcPr/>
          <w:p>
            <w:pPr>
              <w:pStyle w:val="Compact"/>
            </w:pPr>
            <w:r>
              <w:t xml:space="preserve">G5</w:t>
            </w:r>
          </w:p>
        </w:tc>
        <w:tc>
          <w:tcPr/>
          <w:p>
            <w:pPr>
              <w:pStyle w:val="Compact"/>
            </w:pPr>
            <w:r>
              <w:t xml:space="preserve">แผน QSA / ASV / penetration test</w:t>
            </w:r>
          </w:p>
        </w:tc>
        <w:tc>
          <w:tcPr/>
          <w:p>
            <w:pPr>
              <w:pStyle w:val="Compact"/>
            </w:pPr>
            <w:r>
              <w:rPr>
                <w:rStyle w:val="VerbatimChar"/>
              </w:rPr>
              <w:t xml:space="preserve">23-qsa-asv-pentest-plan.md</w:t>
            </w:r>
          </w:p>
        </w:tc>
        <w:tc>
          <w:tcPr/>
          <w:p>
            <w:pPr>
              <w:pStyle w:val="Compact"/>
            </w:pPr>
            <w:r>
              <w:t xml:space="preserve">Security</w:t>
            </w:r>
          </w:p>
        </w:tc>
        <w:tc>
          <w:tcPr/>
          <w:p>
            <w:pPr>
              <w:pStyle w:val="Compact"/>
            </w:pPr>
            <w:r>
              <w:t xml:space="preserve">🟡</w:t>
            </w:r>
          </w:p>
        </w:tc>
      </w:tr>
      <w:tr>
        <w:tc>
          <w:tcPr/>
          <w:p>
            <w:pPr>
              <w:pStyle w:val="Compact"/>
            </w:pPr>
            <w:r>
              <w:t xml:space="preserve">G6</w:t>
            </w:r>
          </w:p>
        </w:tc>
        <w:tc>
          <w:tcPr/>
          <w:p>
            <w:pPr>
              <w:pStyle w:val="Compact"/>
            </w:pPr>
            <w:r>
              <w:t xml:space="preserve">แผน scheme certification (Visa/Mastercard)</w:t>
            </w:r>
          </w:p>
        </w:tc>
        <w:tc>
          <w:tcPr/>
          <w:p>
            <w:pPr>
              <w:pStyle w:val="Compact"/>
            </w:pPr>
            <w:r>
              <w:rPr>
                <w:rStyle w:val="VerbatimChar"/>
              </w:rPr>
              <w:t xml:space="preserve">24-scheme-certification-plan.md</w:t>
            </w:r>
          </w:p>
        </w:tc>
        <w:tc>
          <w:tcPr/>
          <w:p>
            <w:pPr>
              <w:pStyle w:val="Compact"/>
            </w:pPr>
            <w:r>
              <w:t xml:space="preserve">Product</w:t>
            </w:r>
          </w:p>
        </w:tc>
        <w:tc>
          <w:tcPr/>
          <w:p>
            <w:pPr>
              <w:pStyle w:val="Compact"/>
            </w:pPr>
            <w:r>
              <w:t xml:space="preserve">🔴 (รอ sponsor bank)</w:t>
            </w:r>
          </w:p>
        </w:tc>
      </w:tr>
    </w:tbl>
    <w:bookmarkEnd w:id="1182"/>
    <w:bookmarkStart w:id="1183" w:name="หมวด-h-สถาปตยกรรมและการปฏบตงาน"/>
    <w:p>
      <w:pPr>
        <w:pStyle w:val="Heading3"/>
      </w:pPr>
      <w:r>
        <w:t xml:space="preserve">หมวด H — สถาปัตยกรรมและการปฏิบัติงาน</w:t>
      </w:r>
    </w:p>
    <w:tbl>
      <w:tblPr>
        <w:tblStyle w:val="Table"/>
        <w:tblW w:type="pct" w:w="5000"/>
        <w:tblLayout w:type="fixed"/>
        <w:tblLook w:firstRow="1" w:lastRow="0" w:firstColumn="0" w:lastColumn="0" w:noHBand="0" w:noVBand="0" w:val="0020"/>
      </w:tblPr>
      <w:tblGrid>
        <w:gridCol w:w="495"/>
        <w:gridCol w:w="1320"/>
        <w:gridCol w:w="2640"/>
        <w:gridCol w:w="2310"/>
        <w:gridCol w:w="1155"/>
      </w:tblGrid>
      <w:tr>
        <w:trPr>
          <w:tblHeader w:val="on"/>
        </w:trPr>
        <w:tc>
          <w:tcPr/>
          <w:p>
            <w:pPr>
              <w:pStyle w:val="Compact"/>
            </w:pPr>
            <w:r>
              <w:t xml:space="preserve">#</w:t>
            </w:r>
          </w:p>
        </w:tc>
        <w:tc>
          <w:tcPr/>
          <w:p>
            <w:pPr>
              <w:pStyle w:val="Compact"/>
            </w:pPr>
            <w:r>
              <w:t xml:space="preserve">เอกสาร</w:t>
            </w:r>
          </w:p>
        </w:tc>
        <w:tc>
          <w:tcPr/>
          <w:p>
            <w:pPr>
              <w:pStyle w:val="Compact"/>
            </w:pPr>
            <w:r>
              <w:t xml:space="preserve">เอกสารอ้างอิง</w:t>
            </w:r>
          </w:p>
        </w:tc>
        <w:tc>
          <w:tcPr/>
          <w:p>
            <w:pPr>
              <w:pStyle w:val="Compact"/>
            </w:pPr>
            <w:r>
              <w:t xml:space="preserve">ผู้รับผิดชอบ</w:t>
            </w:r>
          </w:p>
        </w:tc>
        <w:tc>
          <w:tcPr/>
          <w:p>
            <w:pPr>
              <w:pStyle w:val="Compact"/>
            </w:pPr>
            <w:r>
              <w:t xml:space="preserve">สถานะ</w:t>
            </w:r>
          </w:p>
        </w:tc>
      </w:tr>
      <w:tr>
        <w:tc>
          <w:tcPr/>
          <w:p>
            <w:pPr>
              <w:pStyle w:val="Compact"/>
            </w:pPr>
            <w:r>
              <w:t xml:space="preserve">H1</w:t>
            </w:r>
          </w:p>
        </w:tc>
        <w:tc>
          <w:tcPr/>
          <w:p>
            <w:pPr>
              <w:pStyle w:val="Compact"/>
            </w:pPr>
            <w:r>
              <w:t xml:space="preserve">เอกสารสถาปัตยกรรมระบบ + การไหลของธุรกรรม/เงิน</w:t>
            </w:r>
          </w:p>
        </w:tc>
        <w:tc>
          <w:tcPr/>
          <w:p>
            <w:pPr>
              <w:pStyle w:val="Compact"/>
            </w:pPr>
            <w:r>
              <w:rPr>
                <w:rStyle w:val="VerbatimChar"/>
              </w:rPr>
              <w:t xml:space="preserve">../ARCHITECTURE.md</w:t>
            </w:r>
            <w:r>
              <w:t xml:space="preserve">,</w:t>
            </w:r>
            <w:r>
              <w:t xml:space="preserve"> </w:t>
            </w:r>
            <w:r>
              <w:rPr>
                <w:rStyle w:val="VerbatimChar"/>
              </w:rPr>
              <w:t xml:space="preserve">../DIAGRAMS.md</w:t>
            </w:r>
          </w:p>
        </w:tc>
        <w:tc>
          <w:tcPr/>
          <w:p>
            <w:pPr>
              <w:pStyle w:val="Compact"/>
            </w:pPr>
            <w:r>
              <w:t xml:space="preserve">Engineering</w:t>
            </w:r>
          </w:p>
        </w:tc>
        <w:tc>
          <w:tcPr/>
          <w:p>
            <w:pPr>
              <w:pStyle w:val="Compact"/>
            </w:pPr>
            <w:r>
              <w:t xml:space="preserve">✅</w:t>
            </w:r>
          </w:p>
        </w:tc>
      </w:tr>
      <w:tr>
        <w:tc>
          <w:tcPr/>
          <w:p>
            <w:pPr>
              <w:pStyle w:val="Compact"/>
            </w:pPr>
            <w:r>
              <w:t xml:space="preserve">H2</w:t>
            </w:r>
          </w:p>
        </w:tc>
        <w:tc>
          <w:tcPr/>
          <w:p>
            <w:pPr>
              <w:pStyle w:val="Compact"/>
            </w:pPr>
            <w:r>
              <w:t xml:space="preserve">สัญญาผู้ค้า / ข้อกำหนดการใช้บริการ (TOS)</w:t>
            </w:r>
          </w:p>
        </w:tc>
        <w:tc>
          <w:tcPr/>
          <w:p>
            <w:pPr>
              <w:pStyle w:val="Compact"/>
            </w:pPr>
            <w:r>
              <w:rPr>
                <w:rStyle w:val="VerbatimChar"/>
              </w:rPr>
              <w:t xml:space="preserve">25-merchant-agreement-tos.md</w:t>
            </w:r>
          </w:p>
        </w:tc>
        <w:tc>
          <w:tcPr/>
          <w:p>
            <w:pPr>
              <w:pStyle w:val="Compact"/>
            </w:pPr>
            <w:r>
              <w:t xml:space="preserve">Legal</w:t>
            </w:r>
          </w:p>
        </w:tc>
        <w:tc>
          <w:tcPr/>
          <w:p>
            <w:pPr>
              <w:pStyle w:val="Compact"/>
            </w:pPr>
            <w:r>
              <w:t xml:space="preserve">🟡</w:t>
            </w:r>
          </w:p>
        </w:tc>
      </w:tr>
      <w:tr>
        <w:tc>
          <w:tcPr/>
          <w:p>
            <w:pPr>
              <w:pStyle w:val="Compact"/>
            </w:pPr>
            <w:r>
              <w:t xml:space="preserve">H3</w:t>
            </w:r>
          </w:p>
        </w:tc>
        <w:tc>
          <w:tcPr/>
          <w:p>
            <w:pPr>
              <w:pStyle w:val="Compact"/>
            </w:pPr>
            <w:r>
              <w:t xml:space="preserve">Roadmap / timeline</w:t>
            </w:r>
          </w:p>
        </w:tc>
        <w:tc>
          <w:tcPr/>
          <w:p>
            <w:pPr>
              <w:pStyle w:val="Compact"/>
            </w:pPr>
            <w:r>
              <w:rPr>
                <w:rStyle w:val="VerbatimChar"/>
              </w:rPr>
              <w:t xml:space="preserve">../ROADMAP.md</w:t>
            </w:r>
          </w:p>
        </w:tc>
        <w:tc>
          <w:tcPr/>
          <w:p>
            <w:pPr>
              <w:pStyle w:val="Compact"/>
            </w:pPr>
            <w:r>
              <w:t xml:space="preserve">Product</w:t>
            </w:r>
          </w:p>
        </w:tc>
        <w:tc>
          <w:tcPr/>
          <w:p>
            <w:pPr>
              <w:pStyle w:val="Compact"/>
            </w:pPr>
            <w:r>
              <w:t xml:space="preserve">✅</w:t>
            </w:r>
          </w:p>
        </w:tc>
      </w:tr>
      <w:tr>
        <w:tc>
          <w:tcPr/>
          <w:p>
            <w:pPr>
              <w:pStyle w:val="Compact"/>
            </w:pPr>
            <w:r>
              <w:t xml:space="preserve">H4</w:t>
            </w:r>
          </w:p>
        </w:tc>
        <w:tc>
          <w:tcPr/>
          <w:p>
            <w:pPr>
              <w:pStyle w:val="Compact"/>
            </w:pPr>
            <w:r>
              <w:t xml:space="preserve">แผน outsourcing / ผู้ให้บริการภายนอก</w:t>
            </w:r>
          </w:p>
        </w:tc>
        <w:tc>
          <w:tcPr/>
          <w:p>
            <w:pPr>
              <w:pStyle w:val="Compact"/>
            </w:pPr>
            <w:r>
              <w:rPr>
                <w:i/>
                <w:iCs/>
              </w:rPr>
              <w:t xml:space="preserve">(รวมใน</w:t>
            </w:r>
            <w:r>
              <w:rPr>
                <w:i/>
                <w:iCs/>
              </w:rPr>
              <w:t xml:space="preserve"> </w:t>
            </w:r>
            <w:r>
              <w:rPr>
                <w:rStyle w:val="VerbatimChar"/>
                <w:i/>
                <w:iCs/>
              </w:rPr>
              <w:t xml:space="preserve">13</w:t>
            </w:r>
            <w:r>
              <w:rPr>
                <w:i/>
                <w:iCs/>
              </w:rPr>
              <w:t xml:space="preserve">/</w:t>
            </w:r>
            <w:r>
              <w:rPr>
                <w:rStyle w:val="VerbatimChar"/>
                <w:i/>
                <w:iCs/>
              </w:rPr>
              <w:t xml:space="preserve">24</w:t>
            </w:r>
            <w:r>
              <w:rPr>
                <w:i/>
                <w:iCs/>
              </w:rPr>
              <w:t xml:space="preserve">)</w:t>
            </w:r>
          </w:p>
        </w:tc>
        <w:tc>
          <w:tcPr/>
          <w:p>
            <w:pPr>
              <w:pStyle w:val="Compact"/>
            </w:pPr>
            <w:r>
              <w:t xml:space="preserve">Compliance</w:t>
            </w:r>
          </w:p>
        </w:tc>
        <w:tc>
          <w:tcPr/>
          <w:p>
            <w:pPr>
              <w:pStyle w:val="Compact"/>
            </w:pPr>
            <w:r>
              <w:t xml:space="preserve">🟡</w:t>
            </w:r>
          </w:p>
        </w:tc>
      </w:tr>
    </w:tbl>
    <w:p>
      <w:pPr>
        <w:pStyle w:val="BlockText"/>
      </w:pPr>
      <w:r>
        <w:rPr>
          <w:b/>
          <w:bCs/>
        </w:rPr>
        <w:t xml:space="preserve">[สมมติฐาน / TODO — external dependencies]</w:t>
      </w:r>
      <w:r>
        <w:t xml:space="preserve"> </w:t>
      </w:r>
      <w:r>
        <w:t xml:space="preserve">รายการที่เป็น 🔴 ส่วนใหญ่ผูกกับปัจจัยภายนอกที่ยังไม่สรุป ได้แก่</w:t>
      </w:r>
      <w:r>
        <w:t xml:space="preserve"> </w:t>
      </w:r>
      <w:r>
        <w:rPr>
          <w:b/>
          <w:bCs/>
        </w:rPr>
        <w:t xml:space="preserve">(1) sponsor bank / acquiring bank</w:t>
      </w:r>
      <w:r>
        <w:t xml:space="preserve"> </w:t>
      </w:r>
      <w:r>
        <w:t xml:space="preserve">(กำหนดเวลา scheme certification),</w:t>
      </w:r>
      <w:r>
        <w:t xml:space="preserve"> </w:t>
      </w:r>
      <w:r>
        <w:rPr>
          <w:b/>
          <w:bCs/>
        </w:rPr>
        <w:t xml:space="preserve">(2) QSA vendor</w:t>
      </w:r>
      <w:r>
        <w:t xml:space="preserve"> </w:t>
      </w:r>
      <w:r>
        <w:t xml:space="preserve">(ออก RoC),</w:t>
      </w:r>
      <w:r>
        <w:t xml:space="preserve"> </w:t>
      </w:r>
      <w:r>
        <w:rPr>
          <w:b/>
          <w:bCs/>
        </w:rPr>
        <w:t xml:space="preserve">(3) 3DS vendor</w:t>
      </w:r>
      <w:r>
        <w:t xml:space="preserve">, และ</w:t>
      </w:r>
      <w:r>
        <w:t xml:space="preserve"> </w:t>
      </w:r>
      <w:r>
        <w:rPr>
          <w:b/>
          <w:bCs/>
        </w:rPr>
        <w:t xml:space="preserve">(4) หลักฐานการชำระทุน 50 ล้านบาทจริง</w:t>
      </w:r>
      <w:r>
        <w:t xml:space="preserve"> </w:t>
      </w:r>
      <w:r>
        <w:t xml:space="preserve">ห้ามระบุชื่อคู่สัญญาที่ยังไม่ยืนยันในคำขอฉบับจริง และต้องปิดรายการเหล่านี้ก่อนยื่น</w:t>
      </w:r>
    </w:p>
    <w:p>
      <w:r>
        <w:pict>
          <v:rect style="width:0;height:1.5pt" o:hralign="center" o:hrstd="t" o:hr="t"/>
        </w:pict>
      </w:r>
    </w:p>
    <w:bookmarkEnd w:id="1183"/>
    <w:bookmarkEnd w:id="1184"/>
    <w:bookmarkStart w:id="1185" w:name="บทสรปผบรหาร-executive-summary-ยอ"/>
    <w:p>
      <w:pPr>
        <w:pStyle w:val="Heading2"/>
      </w:pPr>
      <w:r>
        <w:t xml:space="preserve">3. บทสรุปผู้บริหาร (Executive Summary — ย่อ)</w:t>
      </w:r>
    </w:p>
    <w:p>
      <w:pPr>
        <w:pStyle w:val="BlockText"/>
      </w:pPr>
      <w:r>
        <w:t xml:space="preserve">ฉบับเต็มอยู่ที่</w:t>
      </w:r>
      <w:r>
        <w:t xml:space="preserve"> </w:t>
      </w:r>
      <w:r>
        <w:rPr>
          <w:rStyle w:val="VerbatimChar"/>
        </w:rPr>
        <w:t xml:space="preserve">00-executive-summary.md</w:t>
      </w:r>
      <w:r>
        <w:t xml:space="preserve"> </w:t>
      </w:r>
      <w:r>
        <w:t xml:space="preserve">— ส่วนนี้เป็นบทสรุปย่อสำหรับปะหน้า</w:t>
      </w:r>
    </w:p>
    <w:p>
      <w:pPr>
        <w:pStyle w:val="FirstParagraph"/>
      </w:pPr>
      <w:r>
        <w:rPr>
          <w:b/>
          <w:bCs/>
        </w:rPr>
        <w:t xml:space="preserve">[บริษัท / Company]</w:t>
      </w:r>
      <w:r>
        <w:t xml:space="preserve"> </w:t>
      </w:r>
      <w:r>
        <w:t xml:space="preserve">ขอ</w:t>
      </w:r>
      <w:r>
        <w:t xml:space="preserve"> </w:t>
      </w:r>
      <w:r>
        <w:rPr>
          <w:b/>
          <w:bCs/>
        </w:rPr>
        <w:t xml:space="preserve">ใบอนุญาต Acquiring Service แบบเต็มรูปแบบ (เส้นทาง B)</w:t>
      </w:r>
      <w:r>
        <w:t xml:space="preserve"> </w:t>
      </w:r>
      <w:r>
        <w:t xml:space="preserve">ตาม พ.ร.บ. ระบบการชำระเงิน พ.ศ. 2560 ให้บริการรับชำระเงินด้วยบัตร Visa/Mastercard สำหรับร้านค้า e-commerce/in-app/POS พร้อม EMV 3DS 2.x รายได้จาก MDR + ค่าธรรมเนียมต่อรายการ + ค่า settlement</w:t>
      </w:r>
    </w:p>
    <w:p>
      <w:pPr>
        <w:pStyle w:val="Compact"/>
        <w:numPr>
          <w:ilvl w:val="0"/>
          <w:numId w:val="1432"/>
        </w:numPr>
      </w:pPr>
      <w:r>
        <w:rPr>
          <w:b/>
          <w:bCs/>
        </w:rPr>
        <w:t xml:space="preserve">ขนาด:</w:t>
      </w:r>
      <w:r>
        <w:t xml:space="preserve"> </w:t>
      </w:r>
      <w:r>
        <w:t xml:space="preserve">ปีแรกคาดปริมาณ &gt; 6 ล้านรายการ/ปี → เข้าเกณฑ์</w:t>
      </w:r>
      <w:r>
        <w:t xml:space="preserve"> </w:t>
      </w:r>
      <w:r>
        <w:rPr>
          <w:b/>
          <w:bCs/>
        </w:rPr>
        <w:t xml:space="preserve">PCI-DSS Level 1</w:t>
      </w:r>
      <w:r>
        <w:t xml:space="preserve"> </w:t>
      </w:r>
      <w:r>
        <w:t xml:space="preserve">โดยตรง</w:t>
      </w:r>
      <w:r>
        <w:t xml:space="preserve"> </w:t>
      </w:r>
      <w:r>
        <w:rPr>
          <w:i/>
          <w:iCs/>
        </w:rPr>
        <w:t xml:space="preserve">(ตัวเลขเป็นประมาณการ — TODO ยืนยันจาก financial model)</w:t>
      </w:r>
    </w:p>
    <w:p>
      <w:pPr>
        <w:pStyle w:val="Compact"/>
        <w:numPr>
          <w:ilvl w:val="0"/>
          <w:numId w:val="1432"/>
        </w:numPr>
      </w:pPr>
      <w:r>
        <w:rPr>
          <w:b/>
          <w:bCs/>
        </w:rPr>
        <w:t xml:space="preserve">ทุน:</w:t>
      </w:r>
      <w:r>
        <w:t xml:space="preserve"> </w:t>
      </w:r>
      <w:r>
        <w:t xml:space="preserve">ชำระแล้ว 50 ล้านบาท ดำรงไว้ ≥ 75%</w:t>
      </w:r>
    </w:p>
    <w:p>
      <w:pPr>
        <w:pStyle w:val="Compact"/>
        <w:numPr>
          <w:ilvl w:val="0"/>
          <w:numId w:val="1432"/>
        </w:numPr>
      </w:pPr>
      <w:r>
        <w:rPr>
          <w:b/>
          <w:bCs/>
        </w:rPr>
        <w:t xml:space="preserve">สถาปัตยกรรม:</w:t>
      </w:r>
      <w:r>
        <w:t xml:space="preserve"> </w:t>
      </w:r>
      <w:r>
        <w:t xml:space="preserve">Clean Architecture (Go/Fiber), ledger double-entry append-only, ไม่เก็บ full PAN/CVV/PIN (เก็บเฉพาะ</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tokenization vault แยก segment เพื่อลด PCI scope, idempotency + fail-closed + audit trail ครบทุก state change</w:t>
      </w:r>
    </w:p>
    <w:p>
      <w:pPr>
        <w:pStyle w:val="Compact"/>
        <w:numPr>
          <w:ilvl w:val="0"/>
          <w:numId w:val="1432"/>
        </w:numPr>
      </w:pPr>
      <w:r>
        <w:rPr>
          <w:b/>
          <w:bCs/>
        </w:rPr>
        <w:t xml:space="preserve">NFR:</w:t>
      </w:r>
      <w:r>
        <w:t xml:space="preserve"> </w:t>
      </w:r>
      <w:r>
        <w:t xml:space="preserve">availability ≥ 99.95%, auth p99 &lt; 800 ms, RPO ≤ 5 นาที, RTO ≤ 30 นาที, data residency ในไทย</w:t>
      </w:r>
    </w:p>
    <w:p>
      <w:pPr>
        <w:pStyle w:val="Compact"/>
        <w:numPr>
          <w:ilvl w:val="0"/>
          <w:numId w:val="1432"/>
        </w:numPr>
      </w:pPr>
      <w:r>
        <w:rPr>
          <w:b/>
          <w:bCs/>
        </w:rPr>
        <w:t xml:space="preserve">Critical path:</w:t>
      </w:r>
      <w:r>
        <w:t xml:space="preserve"> </w:t>
      </w:r>
      <w:r>
        <w:t xml:space="preserve">(1) sponsor bank + scheme certification (2) PCI-DSS L1 (QSA→RoC) (3) ความครบถ้วนของคำขอ</w:t>
      </w:r>
    </w:p>
    <w:p>
      <w:r>
        <w:pict>
          <v:rect style="width:0;height:1.5pt" o:hralign="center" o:hrstd="t" o:hr="t"/>
        </w:pict>
      </w:r>
    </w:p>
    <w:bookmarkEnd w:id="1185"/>
    <w:bookmarkStart w:id="1191" w:name="คมอการยน-submission-guide"/>
    <w:p>
      <w:pPr>
        <w:pStyle w:val="Heading2"/>
      </w:pPr>
      <w:r>
        <w:t xml:space="preserve">4. คู่มือการยื่น (Submission Guide)</w:t>
      </w:r>
    </w:p>
    <w:bookmarkStart w:id="1186" w:name="ชองทางและผรบเรอง"/>
    <w:p>
      <w:pPr>
        <w:pStyle w:val="Heading3"/>
      </w:pPr>
      <w:r>
        <w:t xml:space="preserve">4.1 ช่องทางและผู้รับเรื่อง</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หัวข้อ</w:t>
            </w:r>
          </w:p>
        </w:tc>
        <w:tc>
          <w:tcPr/>
          <w:p>
            <w:pPr>
              <w:pStyle w:val="Compact"/>
            </w:pPr>
            <w:r>
              <w:t xml:space="preserve">รายละเอียด</w:t>
            </w:r>
          </w:p>
        </w:tc>
      </w:tr>
      <w:tr>
        <w:tc>
          <w:tcPr/>
          <w:p>
            <w:pPr>
              <w:pStyle w:val="Compact"/>
            </w:pPr>
            <w:r>
              <w:t xml:space="preserve">หน่วยงานผู้กำกับ</w:t>
            </w:r>
          </w:p>
        </w:tc>
        <w:tc>
          <w:tcPr/>
          <w:p>
            <w:pPr>
              <w:pStyle w:val="Compact"/>
            </w:pPr>
            <w:r>
              <w:t xml:space="preserve">ธนาคารแห่งประเทศไทย (ธปท.) — ฝ่ายที่รับผิดชอบระบบการชำระเงิน</w:t>
            </w:r>
          </w:p>
        </w:tc>
      </w:tr>
      <w:tr>
        <w:tc>
          <w:tcPr/>
          <w:p>
            <w:pPr>
              <w:pStyle w:val="Compact"/>
            </w:pPr>
            <w:r>
              <w:t xml:space="preserve">ผู้ออกใบอนุญาต</w:t>
            </w:r>
          </w:p>
        </w:tc>
        <w:tc>
          <w:tcPr/>
          <w:p>
            <w:pPr>
              <w:pStyle w:val="Compact"/>
            </w:pPr>
            <w:r>
              <w:t xml:space="preserve">รัฐมนตรีว่าการกระทรวงการคลัง (ตามคำแนะนำของ ธปท.)</w:t>
            </w:r>
          </w:p>
        </w:tc>
      </w:tr>
      <w:tr>
        <w:tc>
          <w:tcPr/>
          <w:p>
            <w:pPr>
              <w:pStyle w:val="Compact"/>
            </w:pPr>
            <w:r>
              <w:t xml:space="preserve">ช่องทางยื่น</w:t>
            </w:r>
          </w:p>
        </w:tc>
        <w:tc>
          <w:tcPr/>
          <w:p>
            <w:pPr>
              <w:pStyle w:val="Compact"/>
            </w:pPr>
            <w:r>
              <w:t xml:space="preserve">ยื่นตามช่องทางที่ ธปท. กำหนด (หนังสือถึง ธปท. / ระบบอิเล็กทรอนิกส์ที่ ธปท. ประกาศ)</w:t>
            </w:r>
            <w:r>
              <w:t xml:space="preserve"> </w:t>
            </w:r>
            <w:r>
              <w:rPr>
                <w:i/>
                <w:iCs/>
              </w:rPr>
              <w:t xml:space="preserve">[TODO ยืนยันช่องทางล่าสุดกับที่ปรึกษา]</w:t>
            </w:r>
          </w:p>
        </w:tc>
      </w:tr>
      <w:tr>
        <w:tc>
          <w:tcPr/>
          <w:p>
            <w:pPr>
              <w:pStyle w:val="Compact"/>
            </w:pPr>
            <w:r>
              <w:t xml:space="preserve">ภาษาเอกสาร</w:t>
            </w:r>
          </w:p>
        </w:tc>
        <w:tc>
          <w:tcPr/>
          <w:p>
            <w:pPr>
              <w:pStyle w:val="Compact"/>
            </w:pPr>
            <w:r>
              <w:t xml:space="preserve">ไทยเป็นหลัก (เอกสารต่างประเทศแนบคำแปล)</w:t>
            </w:r>
          </w:p>
        </w:tc>
      </w:tr>
      <w:tr>
        <w:tc>
          <w:tcPr/>
          <w:p>
            <w:pPr>
              <w:pStyle w:val="Compact"/>
            </w:pPr>
            <w:r>
              <w:t xml:space="preserve">จำนวนชุด</w:t>
            </w:r>
          </w:p>
        </w:tc>
        <w:tc>
          <w:tcPr/>
          <w:p>
            <w:pPr>
              <w:pStyle w:val="Compact"/>
            </w:pPr>
            <w:r>
              <w:t xml:space="preserve">ตามที่ ธปท. กำหนด (ต้นฉบับ + สำเนา)</w:t>
            </w:r>
            <w:r>
              <w:t xml:space="preserve"> </w:t>
            </w:r>
            <w:r>
              <w:rPr>
                <w:i/>
                <w:iCs/>
              </w:rPr>
              <w:t xml:space="preserve">[TODO ยืนยัน]</w:t>
            </w:r>
          </w:p>
        </w:tc>
      </w:tr>
    </w:tbl>
    <w:bookmarkEnd w:id="1186"/>
    <w:bookmarkStart w:id="1187" w:name="ลำดบขนการยนและพจารณา"/>
    <w:p>
      <w:pPr>
        <w:pStyle w:val="Heading3"/>
      </w:pPr>
      <w:r>
        <w:t xml:space="preserve">4.2 ลำดับขั้นการยื่นและพิจารณา</w:t>
      </w:r>
    </w:p>
    <w:p>
      <w:pPr>
        <w:pStyle w:val="Compact"/>
        <w:numPr>
          <w:ilvl w:val="0"/>
          <w:numId w:val="1433"/>
        </w:numPr>
      </w:pPr>
      <w:r>
        <w:rPr>
          <w:b/>
          <w:bCs/>
        </w:rPr>
        <w:t xml:space="preserve">Pre-check ภายใน</w:t>
      </w:r>
      <w:r>
        <w:t xml:space="preserve"> </w:t>
      </w:r>
      <w:r>
        <w:t xml:space="preserve">— ทานเอกสารครบชุด (checklist หมวด A–H) โดย Compliance + ที่ปรึกษากฎหมาย; ปิดรายการ 🔴 ทั้งหมด</w:t>
      </w:r>
    </w:p>
    <w:p>
      <w:pPr>
        <w:pStyle w:val="Compact"/>
        <w:numPr>
          <w:ilvl w:val="0"/>
          <w:numId w:val="1433"/>
        </w:numPr>
      </w:pPr>
      <w:r>
        <w:rPr>
          <w:b/>
          <w:bCs/>
        </w:rPr>
        <w:t xml:space="preserve">ยื่นคำขอ + เอกสารประกอบ</w:t>
      </w:r>
      <w:r>
        <w:t xml:space="preserve"> </w:t>
      </w:r>
      <w:r>
        <w:t xml:space="preserve">ต่อ ธปท.</w:t>
      </w:r>
    </w:p>
    <w:p>
      <w:pPr>
        <w:pStyle w:val="Compact"/>
        <w:numPr>
          <w:ilvl w:val="0"/>
          <w:numId w:val="1433"/>
        </w:numPr>
      </w:pPr>
      <w:r>
        <w:rPr>
          <w:b/>
          <w:bCs/>
        </w:rPr>
        <w:t xml:space="preserve">ธปท. ตรวจความครบถ้วน (completeness check)</w:t>
      </w:r>
      <w:r>
        <w:t xml:space="preserve"> </w:t>
      </w:r>
      <w:r>
        <w:t xml:space="preserve">— อาจแจ้งขอเอกสารเพิ่ม</w:t>
      </w:r>
    </w:p>
    <w:p>
      <w:pPr>
        <w:pStyle w:val="Compact"/>
        <w:numPr>
          <w:ilvl w:val="0"/>
          <w:numId w:val="1433"/>
        </w:numPr>
      </w:pPr>
      <w:r>
        <w:rPr>
          <w:b/>
          <w:bCs/>
        </w:rPr>
        <w:t xml:space="preserve">การพิจารณาเนื้อหา + on-site inspection</w:t>
      </w:r>
      <w:r>
        <w:t xml:space="preserve"> </w:t>
      </w:r>
      <w:r>
        <w:t xml:space="preserve">— ธปท. อาจเข้าตรวจสถานที่/ระบบ (security, AML, BCP, audit trail)</w:t>
      </w:r>
    </w:p>
    <w:p>
      <w:pPr>
        <w:pStyle w:val="Compact"/>
        <w:numPr>
          <w:ilvl w:val="0"/>
          <w:numId w:val="1433"/>
        </w:numPr>
      </w:pPr>
      <w:r>
        <w:rPr>
          <w:b/>
          <w:bCs/>
        </w:rPr>
        <w:t xml:space="preserve">ธปท. เสนอความเห็นต่อรัฐมนตรีว่าการกระทรวงการคลัง</w:t>
      </w:r>
      <w:r>
        <w:t xml:space="preserve"> </w:t>
      </w:r>
      <w:r>
        <w:t xml:space="preserve">เพื่อออกใบอนุญาต</w:t>
      </w:r>
    </w:p>
    <w:p>
      <w:pPr>
        <w:pStyle w:val="Compact"/>
        <w:numPr>
          <w:ilvl w:val="0"/>
          <w:numId w:val="1433"/>
        </w:numPr>
      </w:pPr>
      <w:r>
        <w:rPr>
          <w:b/>
          <w:bCs/>
        </w:rPr>
        <w:t xml:space="preserve">ได้รับใบอนุญาต</w:t>
      </w:r>
      <w:r>
        <w:t xml:space="preserve"> </w:t>
      </w:r>
      <w:r>
        <w:t xml:space="preserve">→ ปฏิบัติตามเงื่อนไข + รายงานเป็นงวด + ประเมินต่อเนื่อง</w:t>
      </w:r>
    </w:p>
    <w:bookmarkEnd w:id="1187"/>
    <w:bookmarkStart w:id="1188" w:name="timeline-คขนาน-engineering-compliance-1"/>
    <w:p>
      <w:pPr>
        <w:pStyle w:val="Heading3"/>
      </w:pPr>
      <w:r>
        <w:t xml:space="preserve">4.3 Timeline (คู่ขนาน engineering + compliance)</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ระยะ</w:t>
            </w:r>
          </w:p>
        </w:tc>
        <w:tc>
          <w:tcPr/>
          <w:p>
            <w:pPr>
              <w:pStyle w:val="Compact"/>
            </w:pPr>
            <w:r>
              <w:t xml:space="preserve">ช่วงเวลา</w:t>
            </w:r>
          </w:p>
        </w:tc>
        <w:tc>
          <w:tcPr/>
          <w:p>
            <w:pPr>
              <w:pStyle w:val="Compact"/>
            </w:pPr>
            <w:r>
              <w:t xml:space="preserve">ผลลัพธ์</w:t>
            </w:r>
          </w:p>
        </w:tc>
      </w:tr>
      <w:tr>
        <w:tc>
          <w:tcPr/>
          <w:p>
            <w:pPr>
              <w:pStyle w:val="Compact"/>
            </w:pPr>
            <w:r>
              <w:t xml:space="preserve">เตรียมนิติบุคคล/ทุน</w:t>
            </w:r>
          </w:p>
        </w:tc>
        <w:tc>
          <w:tcPr/>
          <w:p>
            <w:pPr>
              <w:pStyle w:val="Compact"/>
            </w:pPr>
            <w:r>
              <w:t xml:space="preserve">ส.ค.–ก.ย. 2569</w:t>
            </w:r>
          </w:p>
        </w:tc>
        <w:tc>
          <w:tcPr/>
          <w:p>
            <w:pPr>
              <w:pStyle w:val="Compact"/>
            </w:pPr>
            <w:r>
              <w:t xml:space="preserve">ทุนชำระแล้ว 50 ล้านบาท, แก้วัตถุประสงค์, โครงสร้างกรรมการ</w:t>
            </w:r>
          </w:p>
        </w:tc>
      </w:tr>
      <w:tr>
        <w:tc>
          <w:tcPr/>
          <w:p>
            <w:pPr>
              <w:pStyle w:val="Compact"/>
            </w:pPr>
            <w:r>
              <w:t xml:space="preserve">จัดทำเอกสาร + ยื่น ธปท.</w:t>
            </w:r>
          </w:p>
        </w:tc>
        <w:tc>
          <w:tcPr/>
          <w:p>
            <w:pPr>
              <w:pStyle w:val="Compact"/>
            </w:pPr>
            <w:r>
              <w:t xml:space="preserve">ก.ย. 2569 – ม.ค. 2570</w:t>
            </w:r>
          </w:p>
        </w:tc>
        <w:tc>
          <w:tcPr/>
          <w:p>
            <w:pPr>
              <w:pStyle w:val="Compact"/>
            </w:pPr>
            <w:r>
              <w:t xml:space="preserve">ชุดคำขอครบถ้วน</w:t>
            </w:r>
          </w:p>
        </w:tc>
      </w:tr>
      <w:tr>
        <w:tc>
          <w:tcPr/>
          <w:p>
            <w:pPr>
              <w:pStyle w:val="Compact"/>
            </w:pPr>
            <w:r>
              <w:t xml:space="preserve">PCI-DSS L1 (QSA→RoC)</w:t>
            </w:r>
          </w:p>
        </w:tc>
        <w:tc>
          <w:tcPr/>
          <w:p>
            <w:pPr>
              <w:pStyle w:val="Compact"/>
            </w:pPr>
            <w:r>
              <w:t xml:space="preserve">ต.ค. 2569 – ก.พ. 2570</w:t>
            </w:r>
          </w:p>
        </w:tc>
        <w:tc>
          <w:tcPr/>
          <w:p>
            <w:pPr>
              <w:pStyle w:val="Compact"/>
            </w:pPr>
            <w:r>
              <w:t xml:space="preserve">RoC + quarterly ASV scan</w:t>
            </w:r>
          </w:p>
        </w:tc>
      </w:tr>
      <w:tr>
        <w:tc>
          <w:tcPr/>
          <w:p>
            <w:pPr>
              <w:pStyle w:val="Compact"/>
            </w:pPr>
            <w:r>
              <w:t xml:space="preserve">Scheme certification</w:t>
            </w:r>
          </w:p>
        </w:tc>
        <w:tc>
          <w:tcPr/>
          <w:p>
            <w:pPr>
              <w:pStyle w:val="Compact"/>
            </w:pPr>
            <w:r>
              <w:t xml:space="preserve">หลังได้ sponsor bank</w:t>
            </w:r>
          </w:p>
        </w:tc>
        <w:tc>
          <w:tcPr/>
          <w:p>
            <w:pPr>
              <w:pStyle w:val="Compact"/>
            </w:pPr>
            <w:r>
              <w:t xml:space="preserve">cert Visa/MC</w:t>
            </w:r>
          </w:p>
        </w:tc>
      </w:tr>
      <w:tr>
        <w:tc>
          <w:tcPr/>
          <w:p>
            <w:pPr>
              <w:pStyle w:val="Compact"/>
            </w:pPr>
            <w:r>
              <w:t xml:space="preserve">Go-live</w:t>
            </w:r>
          </w:p>
        </w:tc>
        <w:tc>
          <w:tcPr/>
          <w:p>
            <w:pPr>
              <w:pStyle w:val="Compact"/>
            </w:pPr>
            <w:r>
              <w:t xml:space="preserve">หลังได้ใบอนุญาต + RoC + cert</w:t>
            </w:r>
          </w:p>
        </w:tc>
        <w:tc>
          <w:tcPr/>
          <w:p>
            <w:pPr>
              <w:pStyle w:val="Compact"/>
            </w:pPr>
            <w:r>
              <w:t xml:space="preserve">production cutover</w:t>
            </w:r>
          </w:p>
        </w:tc>
      </w:tr>
    </w:tbl>
    <w:p>
      <w:pPr>
        <w:pStyle w:val="BlockText"/>
      </w:pPr>
      <w:r>
        <w:t xml:space="preserve">ระยะพิจารณาของ ธปท. โดยทั่วไปเป็นหลัก</w:t>
      </w:r>
      <w:r>
        <w:t xml:space="preserve"> </w:t>
      </w:r>
      <w:r>
        <w:rPr>
          <w:b/>
          <w:bCs/>
        </w:rPr>
        <w:t xml:space="preserve">หลายเดือน</w:t>
      </w:r>
      <w:r>
        <w:t xml:space="preserve"> </w:t>
      </w:r>
      <w:r>
        <w:t xml:space="preserve">ขึ้นกับความครบถ้วนของเอกสารและความพร้อมของระบบ</w:t>
      </w:r>
    </w:p>
    <w:bookmarkEnd w:id="1188"/>
    <w:bookmarkStart w:id="1189" w:name="X2f35242e6faa1df012a71594a28a1207b5c8400"/>
    <w:p>
      <w:pPr>
        <w:pStyle w:val="Heading3"/>
      </w:pPr>
      <w:r>
        <w:t xml:space="preserve">4.4 การตอบข้อสอบถามเพิ่มเติมของ ธปท. (RFI handling)</w:t>
      </w:r>
    </w:p>
    <w:p>
      <w:pPr>
        <w:pStyle w:val="Compact"/>
        <w:numPr>
          <w:ilvl w:val="0"/>
          <w:numId w:val="1434"/>
        </w:numPr>
      </w:pPr>
      <w:r>
        <w:t xml:space="preserve">กำหนดผู้ประสานงานเดียว (single point of contact) และ log ทุกคำถาม/คำตอบ</w:t>
      </w:r>
    </w:p>
    <w:p>
      <w:pPr>
        <w:pStyle w:val="Compact"/>
        <w:numPr>
          <w:ilvl w:val="0"/>
          <w:numId w:val="1434"/>
        </w:numPr>
      </w:pPr>
      <w:r>
        <w:t xml:space="preserve">ตอบภายในกรอบเวลาที่ ธปท. กำหนด (ปกติกำหนดเป็นวันทำการ) — หากต้องใช้เวลา ให้แจ้งขอขยายเป็นลายลักษณ์อักษร</w:t>
      </w:r>
    </w:p>
    <w:p>
      <w:pPr>
        <w:pStyle w:val="Compact"/>
        <w:numPr>
          <w:ilvl w:val="0"/>
          <w:numId w:val="1434"/>
        </w:numPr>
      </w:pPr>
      <w:r>
        <w:t xml:space="preserve">อ้างอิงเอกสารในชุด</w:t>
      </w:r>
      <w:r>
        <w:t xml:space="preserve"> </w:t>
      </w:r>
      <w:r>
        <w:rPr>
          <w:rStyle w:val="VerbatimChar"/>
        </w:rPr>
        <w:t xml:space="preserve">docs/compliance/</w:t>
      </w:r>
      <w:r>
        <w:t xml:space="preserve"> </w:t>
      </w:r>
      <w:r>
        <w:t xml:space="preserve">ให้ตรงหมวดที่ถูกถาม</w:t>
      </w:r>
    </w:p>
    <w:bookmarkEnd w:id="1189"/>
    <w:bookmarkStart w:id="1190" w:name="หลงไดรบใบอนญาต-post-license-obligations"/>
    <w:p>
      <w:pPr>
        <w:pStyle w:val="Heading3"/>
      </w:pPr>
      <w:r>
        <w:t xml:space="preserve">4.5 หลังได้รับใบอนุญาต (Post-license obligations)</w:t>
      </w:r>
    </w:p>
    <w:p>
      <w:pPr>
        <w:pStyle w:val="Compact"/>
        <w:numPr>
          <w:ilvl w:val="0"/>
          <w:numId w:val="1435"/>
        </w:numPr>
      </w:pPr>
      <w:r>
        <w:t xml:space="preserve">ดำรงทุนชำระแล้ว ≥ 75% และแจ้ง ธปท. เมื่อมีการเปลี่ยนแปลงสาระสำคัญ</w:t>
      </w:r>
    </w:p>
    <w:p>
      <w:pPr>
        <w:pStyle w:val="Compact"/>
        <w:numPr>
          <w:ilvl w:val="0"/>
          <w:numId w:val="1435"/>
        </w:numPr>
      </w:pPr>
      <w:r>
        <w:t xml:space="preserve">รายงานเป็นงวดตามที่ ธปท. กำหนด (operational / incident / financial)</w:t>
      </w:r>
    </w:p>
    <w:p>
      <w:pPr>
        <w:pStyle w:val="Compact"/>
        <w:numPr>
          <w:ilvl w:val="0"/>
          <w:numId w:val="1435"/>
        </w:numPr>
      </w:pPr>
      <w:r>
        <w:t xml:space="preserve">ต่ออายุ PCI-DSS ประจำปี (RoC + quarterly ASV + annual pentest)</w:t>
      </w:r>
    </w:p>
    <w:p>
      <w:pPr>
        <w:pStyle w:val="Compact"/>
        <w:numPr>
          <w:ilvl w:val="0"/>
          <w:numId w:val="1435"/>
        </w:numPr>
      </w:pPr>
      <w:r>
        <w:t xml:space="preserve">แจ้งเหตุการณ์สำคัญ (major incident / data breach) ตามกรอบเวลาของ ธปท. และ PDPC</w:t>
      </w:r>
    </w:p>
    <w:bookmarkEnd w:id="1190"/>
    <w:bookmarkEnd w:id="1191"/>
    <w:bookmarkEnd w:id="1192"/>
    <w:bookmarkStart w:id="1214" w:name="Xdee7c2f5e838bd8f7c7b08c4e8f8c732097adec"/>
    <w:p>
      <w:pPr>
        <w:pStyle w:val="Heading1"/>
      </w:pPr>
      <w:r>
        <w:t xml:space="preserve">BOT license application package: cover form, checklist of attachments, executive summary, submission guide (English)</w:t>
      </w:r>
    </w:p>
    <w:p>
      <w:pPr>
        <w:pStyle w:val="BlockText"/>
      </w:pPr>
      <w:r>
        <w:t xml:space="preserve">Document</w:t>
      </w:r>
      <w:r>
        <w:t xml:space="preserve"> </w:t>
      </w:r>
      <w:r>
        <w:rPr>
          <w:rStyle w:val="VerbatimChar"/>
        </w:rPr>
        <w:t xml:space="preserve">docs/compliance/33-bot-license-application.md</w:t>
      </w:r>
      <w:r>
        <w:t xml:space="preserve"> </w:t>
      </w:r>
      <w:r>
        <w:t xml:space="preserve">· Version 0.1 · Prepared 22 Jul 2026</w:t>
      </w:r>
      <w:r>
        <w:t xml:space="preserve"> </w:t>
      </w:r>
      <w:r>
        <w:t xml:space="preserve">Application type:</w:t>
      </w:r>
      <w:r>
        <w:t xml:space="preserve"> </w:t>
      </w:r>
      <w:r>
        <w:rPr>
          <w:b/>
          <w:bCs/>
        </w:rPr>
        <w:t xml:space="preserve">Full Acquiring Service license</w:t>
      </w:r>
      <w:r>
        <w:t xml:space="preserve"> </w:t>
      </w:r>
      <w:r>
        <w:t xml:space="preserve">under the</w:t>
      </w:r>
      <w:r>
        <w:t xml:space="preserve"> </w:t>
      </w:r>
      <w:r>
        <w:rPr>
          <w:b/>
          <w:bCs/>
        </w:rPr>
        <w:t xml:space="preserve">Payment Systems Act B.E. 2560 (2017)</w:t>
      </w:r>
      <w:r>
        <w:t xml:space="preserve">, regulated by the</w:t>
      </w:r>
      <w:r>
        <w:t xml:space="preserve"> </w:t>
      </w:r>
      <w:r>
        <w:rPr>
          <w:b/>
          <w:bCs/>
        </w:rPr>
        <w:t xml:space="preserve">Bank of Thailand (BOT / ธปท.)</w:t>
      </w:r>
      <w:r>
        <w:t xml:space="preserve">, granted by the</w:t>
      </w:r>
      <w:r>
        <w:t xml:space="preserve"> </w:t>
      </w:r>
      <w:r>
        <w:rPr>
          <w:b/>
          <w:bCs/>
        </w:rPr>
        <w:t xml:space="preserve">Minister of Finance on the recommendation of the BOT</w:t>
      </w:r>
      <w:r>
        <w:t xml:space="preserve">.</w:t>
      </w:r>
      <w:r>
        <w:t xml:space="preserve"> </w:t>
      </w:r>
      <w:r>
        <w:t xml:space="preserve">Applicant:</w:t>
      </w:r>
      <w:r>
        <w:t xml:space="preserve"> </w:t>
      </w:r>
      <w:r>
        <w:rPr>
          <w:b/>
          <w:bCs/>
        </w:rPr>
        <w:t xml:space="preserve">[บริษัท / Company]</w:t>
      </w:r>
      <w:r>
        <w:t xml:space="preserve"> </w:t>
      </w:r>
      <w:r>
        <w:t xml:space="preserve">· Paid-up registered capital:</w:t>
      </w:r>
      <w:r>
        <w:t xml:space="preserve"> </w:t>
      </w:r>
      <w:r>
        <w:rPr>
          <w:b/>
          <w:bCs/>
        </w:rPr>
        <w:t xml:space="preserve">THB 50,000,000</w:t>
      </w:r>
      <w:r>
        <w:t xml:space="preserve"> </w:t>
      </w:r>
      <w:r>
        <w:t xml:space="preserve">· Target standard:</w:t>
      </w:r>
      <w:r>
        <w:t xml:space="preserve"> </w:t>
      </w:r>
      <w:r>
        <w:rPr>
          <w:b/>
          <w:bCs/>
        </w:rPr>
        <w:t xml:space="preserve">PCI-DSS v4.0 Level 1</w:t>
      </w:r>
    </w:p>
    <w:p>
      <w:pPr>
        <w:pStyle w:val="BlockText"/>
      </w:pPr>
      <w:r>
        <w:rPr>
          <w:b/>
          <w:bCs/>
        </w:rPr>
        <w:t xml:space="preserve">Document status:</w:t>
      </w:r>
      <w:r>
        <w:t xml:space="preserve"> </w:t>
      </w:r>
      <w:r>
        <w:t xml:space="preserve">Internal pre-submission draft — must be reviewed by BOT-licensing legal counsel before actual filing. This is the</w:t>
      </w:r>
      <w:r>
        <w:t xml:space="preserve"> </w:t>
      </w:r>
      <w:r>
        <w:rPr>
          <w:b/>
          <w:bCs/>
        </w:rPr>
        <w:t xml:space="preserve">cover package</w:t>
      </w:r>
      <w:r>
        <w:t xml:space="preserve"> </w:t>
      </w:r>
      <w:r>
        <w:t xml:space="preserve">consolidating and referencing the full attachment set (</w:t>
      </w:r>
      <w:r>
        <w:rPr>
          <w:rStyle w:val="VerbatimChar"/>
        </w:rPr>
        <w:t xml:space="preserve">00</w:t>
      </w:r>
      <w:r>
        <w:t xml:space="preserve">–</w:t>
      </w:r>
      <w:r>
        <w:rPr>
          <w:rStyle w:val="VerbatimChar"/>
        </w:rPr>
        <w:t xml:space="preserve">25</w:t>
      </w:r>
      <w:r>
        <w:t xml:space="preserve">); it is not legal advice.</w:t>
      </w:r>
    </w:p>
    <w:p>
      <w:r>
        <w:pict>
          <v:rect style="width:0;height:1.5pt" o:hralign="center" o:hrstd="t" o:hr="t"/>
        </w:pict>
      </w:r>
    </w:p>
    <w:bookmarkStart w:id="1193" w:name="purpose-of-this-document"/>
    <w:p>
      <w:pPr>
        <w:pStyle w:val="Heading2"/>
      </w:pPr>
      <w:r>
        <w:t xml:space="preserve">0. Purpose of this document</w:t>
      </w:r>
    </w:p>
    <w:p>
      <w:pPr>
        <w:pStyle w:val="FirstParagraph"/>
      </w:pPr>
      <w:r>
        <w:t xml:space="preserve">This is the</w:t>
      </w:r>
      <w:r>
        <w:t xml:space="preserve"> </w:t>
      </w:r>
      <w:r>
        <w:rPr>
          <w:b/>
          <w:bCs/>
        </w:rPr>
        <w:t xml:space="preserve">application cover package</w:t>
      </w:r>
      <w:r>
        <w:t xml:space="preserve"> </w:t>
      </w:r>
      <w:r>
        <w:t xml:space="preserve">used to file with the BOT. It has four parts:</w:t>
      </w:r>
    </w:p>
    <w:p>
      <w:pPr>
        <w:pStyle w:val="Compact"/>
        <w:numPr>
          <w:ilvl w:val="0"/>
          <w:numId w:val="1436"/>
        </w:numPr>
      </w:pPr>
      <w:r>
        <w:rPr>
          <w:b/>
          <w:bCs/>
        </w:rPr>
        <w:t xml:space="preserve">Cover form</w:t>
      </w:r>
      <w:r>
        <w:t xml:space="preserve"> </w:t>
      </w:r>
      <w:r>
        <w:t xml:space="preserve">— applicant identity, requested service, and declaration of accuracy.</w:t>
      </w:r>
    </w:p>
    <w:p>
      <w:pPr>
        <w:pStyle w:val="Compact"/>
        <w:numPr>
          <w:ilvl w:val="0"/>
          <w:numId w:val="1436"/>
        </w:numPr>
      </w:pPr>
      <w:r>
        <w:rPr>
          <w:b/>
          <w:bCs/>
        </w:rPr>
        <w:t xml:space="preserve">Checklist of attachments</w:t>
      </w:r>
      <w:r>
        <w:t xml:space="preserve"> </w:t>
      </w:r>
      <w:r>
        <w:t xml:space="preserve">— the complete document set with status and owner.</w:t>
      </w:r>
    </w:p>
    <w:p>
      <w:pPr>
        <w:pStyle w:val="Compact"/>
        <w:numPr>
          <w:ilvl w:val="0"/>
          <w:numId w:val="1436"/>
        </w:numPr>
      </w:pPr>
      <w:r>
        <w:rPr>
          <w:b/>
          <w:bCs/>
        </w:rPr>
        <w:t xml:space="preserve">Executive summary</w:t>
      </w:r>
      <w:r>
        <w:t xml:space="preserve"> </w:t>
      </w:r>
      <w:r>
        <w:t xml:space="preserve">— a short abstract; the full version lives at</w:t>
      </w:r>
      <w:r>
        <w:t xml:space="preserve"> </w:t>
      </w:r>
      <w:r>
        <w:rPr>
          <w:rStyle w:val="VerbatimChar"/>
        </w:rPr>
        <w:t xml:space="preserve">00-executive-summary.md</w:t>
      </w:r>
      <w:r>
        <w:t xml:space="preserve">.</w:t>
      </w:r>
    </w:p>
    <w:p>
      <w:pPr>
        <w:pStyle w:val="Compact"/>
        <w:numPr>
          <w:ilvl w:val="0"/>
          <w:numId w:val="1436"/>
        </w:numPr>
      </w:pPr>
      <w:r>
        <w:rPr>
          <w:b/>
          <w:bCs/>
        </w:rPr>
        <w:t xml:space="preserve">Submission guide</w:t>
      </w:r>
      <w:r>
        <w:t xml:space="preserve"> </w:t>
      </w:r>
      <w:r>
        <w:t xml:space="preserve">— channel, sequence, timeline, and how to handle BOT follow-ups.</w:t>
      </w:r>
    </w:p>
    <w:p>
      <w:pPr>
        <w:pStyle w:val="BlockText"/>
      </w:pPr>
      <w:r>
        <w:rPr>
          <w:b/>
          <w:bCs/>
        </w:rPr>
        <w:t xml:space="preserve">Note:</w:t>
      </w:r>
      <w:r>
        <w:t xml:space="preserve"> </w:t>
      </w:r>
      <w:r>
        <w:t xml:space="preserve">The BOT’s official form may be revised from time to time. This document structures the fields to cover the information the BOT requires, but the data must be transcribed into the latest official BOT form published at the time of filing.</w:t>
      </w:r>
    </w:p>
    <w:p>
      <w:r>
        <w:pict>
          <v:rect style="width:0;height:1.5pt" o:hralign="center" o:hrstd="t" o:hr="t"/>
        </w:pict>
      </w:r>
    </w:p>
    <w:bookmarkEnd w:id="1193"/>
    <w:bookmarkStart w:id="1197" w:name="application-cover-form"/>
    <w:p>
      <w:pPr>
        <w:pStyle w:val="Heading2"/>
      </w:pPr>
      <w:r>
        <w:t xml:space="preserve">1. Application cover form</w:t>
      </w:r>
    </w:p>
    <w:bookmarkStart w:id="1194" w:name="applicant-details"/>
    <w:p>
      <w:pPr>
        <w:pStyle w:val="Heading3"/>
      </w:pPr>
      <w:r>
        <w:t xml:space="preserve">1.1 Applicant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Legal name (Thai/English)</w:t>
            </w:r>
          </w:p>
        </w:tc>
        <w:tc>
          <w:tcPr/>
          <w:p>
            <w:pPr>
              <w:pStyle w:val="Compact"/>
            </w:pPr>
            <w:r>
              <w:rPr>
                <w:b/>
                <w:bCs/>
              </w:rPr>
              <w:t xml:space="preserve">[บริษัท / Company]</w:t>
            </w:r>
          </w:p>
        </w:tc>
      </w:tr>
      <w:tr>
        <w:tc>
          <w:tcPr/>
          <w:p>
            <w:pPr>
              <w:pStyle w:val="Compact"/>
            </w:pPr>
            <w:r>
              <w:t xml:space="preserve">Company registration number</w:t>
            </w:r>
          </w:p>
        </w:tc>
        <w:tc>
          <w:tcPr/>
          <w:p>
            <w:pPr>
              <w:pStyle w:val="Compact"/>
            </w:pPr>
            <w:r>
              <w:rPr>
                <w:i/>
                <w:iCs/>
              </w:rPr>
              <w:t xml:space="preserve">[TODO — 13-digit number from DBD certificate]</w:t>
            </w:r>
          </w:p>
        </w:tc>
      </w:tr>
      <w:tr>
        <w:tc>
          <w:tcPr/>
          <w:p>
            <w:pPr>
              <w:pStyle w:val="Compact"/>
            </w:pPr>
            <w:r>
              <w:t xml:space="preserve">Entity type</w:t>
            </w:r>
          </w:p>
        </w:tc>
        <w:tc>
          <w:tcPr/>
          <w:p>
            <w:pPr>
              <w:pStyle w:val="Compact"/>
            </w:pPr>
            <w:r>
              <w:t xml:space="preserve">Private / public limited company (registered in Thailand)</w:t>
            </w:r>
          </w:p>
        </w:tc>
      </w:tr>
      <w:tr>
        <w:tc>
          <w:tcPr/>
          <w:p>
            <w:pPr>
              <w:pStyle w:val="Compact"/>
            </w:pPr>
            <w:r>
              <w:t xml:space="preserve">Registered head office</w:t>
            </w:r>
          </w:p>
        </w:tc>
        <w:tc>
          <w:tcPr/>
          <w:p>
            <w:pPr>
              <w:pStyle w:val="Compact"/>
            </w:pPr>
            <w:r>
              <w:rPr>
                <w:i/>
                <w:iCs/>
              </w:rPr>
              <w:t xml:space="preserve">[TODO — address per company affidavit]</w:t>
            </w:r>
          </w:p>
        </w:tc>
      </w:tr>
      <w:tr>
        <w:tc>
          <w:tcPr/>
          <w:p>
            <w:pPr>
              <w:pStyle w:val="Compact"/>
            </w:pPr>
            <w:r>
              <w:t xml:space="preserve">Registered / paid-up capital</w:t>
            </w:r>
          </w:p>
        </w:tc>
        <w:tc>
          <w:tcPr/>
          <w:p>
            <w:pPr>
              <w:pStyle w:val="Compact"/>
            </w:pPr>
            <w:r>
              <w:t xml:space="preserve">THB 50,000,000 /</w:t>
            </w:r>
            <w:r>
              <w:t xml:space="preserve"> </w:t>
            </w:r>
            <w:r>
              <w:rPr>
                <w:b/>
                <w:bCs/>
              </w:rPr>
              <w:t xml:space="preserve">THB 50,000,000 (fully paid)</w:t>
            </w:r>
          </w:p>
        </w:tc>
      </w:tr>
      <w:tr>
        <w:tc>
          <w:tcPr/>
          <w:p>
            <w:pPr>
              <w:pStyle w:val="Compact"/>
            </w:pPr>
            <w:r>
              <w:t xml:space="preserve">Incorporation date</w:t>
            </w:r>
          </w:p>
        </w:tc>
        <w:tc>
          <w:tcPr/>
          <w:p>
            <w:pPr>
              <w:pStyle w:val="Compact"/>
            </w:pPr>
            <w:r>
              <w:rPr>
                <w:i/>
                <w:iCs/>
              </w:rPr>
              <w:t xml:space="preserve">[TODO]</w:t>
            </w:r>
          </w:p>
        </w:tc>
      </w:tr>
      <w:tr>
        <w:tc>
          <w:tcPr/>
          <w:p>
            <w:pPr>
              <w:pStyle w:val="Compact"/>
            </w:pPr>
            <w:r>
              <w:t xml:space="preserve">Authorized signatory</w:t>
            </w:r>
          </w:p>
        </w:tc>
        <w:tc>
          <w:tcPr/>
          <w:p>
            <w:pPr>
              <w:pStyle w:val="Compact"/>
            </w:pPr>
            <w:r>
              <w:rPr>
                <w:i/>
                <w:iCs/>
              </w:rPr>
              <w:t xml:space="preserve">[TODO — per company affidavit]</w:t>
            </w:r>
          </w:p>
        </w:tc>
      </w:tr>
      <w:tr>
        <w:tc>
          <w:tcPr/>
          <w:p>
            <w:pPr>
              <w:pStyle w:val="Compact"/>
            </w:pPr>
            <w:r>
              <w:t xml:space="preserve">Contact person</w:t>
            </w:r>
          </w:p>
        </w:tc>
        <w:tc>
          <w:tcPr/>
          <w:p>
            <w:pPr>
              <w:pStyle w:val="Compact"/>
            </w:pPr>
            <w:r>
              <w:rPr>
                <w:i/>
                <w:iCs/>
              </w:rPr>
              <w:t xml:space="preserve">[TODO — name / title / phone / email]</w:t>
            </w:r>
          </w:p>
        </w:tc>
      </w:tr>
    </w:tbl>
    <w:bookmarkEnd w:id="1194"/>
    <w:bookmarkStart w:id="1195" w:name="service-applied-for"/>
    <w:p>
      <w:pPr>
        <w:pStyle w:val="Heading3"/>
      </w:pPr>
      <w:r>
        <w:t xml:space="preserve">1.2 Service applied for</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Service group</w:t>
            </w:r>
          </w:p>
        </w:tc>
        <w:tc>
          <w:tcPr/>
          <w:p>
            <w:pPr>
              <w:pStyle w:val="Compact"/>
            </w:pPr>
            <w:r>
              <w:t xml:space="preserve">Designated Payment Services</w:t>
            </w:r>
          </w:p>
        </w:tc>
      </w:tr>
      <w:tr>
        <w:tc>
          <w:tcPr/>
          <w:p>
            <w:pPr>
              <w:pStyle w:val="Compact"/>
            </w:pPr>
            <w:r>
              <w:t xml:space="preserve">Requested service</w:t>
            </w:r>
          </w:p>
        </w:tc>
        <w:tc>
          <w:tcPr/>
          <w:p>
            <w:pPr>
              <w:pStyle w:val="Compact"/>
            </w:pPr>
            <w:r>
              <w:rPr>
                <w:b/>
                <w:bCs/>
              </w:rPr>
              <w:t xml:space="preserve">Acquiring Service (electronic payment acceptance)</w:t>
            </w:r>
          </w:p>
        </w:tc>
      </w:tr>
      <w:tr>
        <w:tc>
          <w:tcPr/>
          <w:p>
            <w:pPr>
              <w:pStyle w:val="Compact"/>
            </w:pPr>
            <w:r>
              <w:t xml:space="preserve">Minimum capital threshold</w:t>
            </w:r>
          </w:p>
        </w:tc>
        <w:tc>
          <w:tcPr/>
          <w:p>
            <w:pPr>
              <w:pStyle w:val="Compact"/>
            </w:pPr>
            <w:r>
              <w:t xml:space="preserve">THB 50M (highest applicable threshold governs if multiple services)</w:t>
            </w:r>
          </w:p>
        </w:tc>
      </w:tr>
      <w:tr>
        <w:tc>
          <w:tcPr/>
          <w:p>
            <w:pPr>
              <w:pStyle w:val="Compact"/>
            </w:pPr>
            <w:r>
              <w:t xml:space="preserve">Scope</w:t>
            </w:r>
          </w:p>
        </w:tc>
        <w:tc>
          <w:tcPr/>
          <w:p>
            <w:pPr>
              <w:pStyle w:val="Compact"/>
            </w:pPr>
            <w:r>
              <w:t xml:space="preserve">Acquiring, authorization, clearing and settlement of card transactions (Visa, Mastercard) with EMV 3DS 2.x</w:t>
            </w:r>
          </w:p>
        </w:tc>
      </w:tr>
      <w:tr>
        <w:tc>
          <w:tcPr/>
          <w:p>
            <w:pPr>
              <w:pStyle w:val="Compact"/>
            </w:pPr>
            <w:r>
              <w:t xml:space="preserve">Channels</w:t>
            </w:r>
          </w:p>
        </w:tc>
        <w:tc>
          <w:tcPr/>
          <w:p>
            <w:pPr>
              <w:pStyle w:val="Compact"/>
            </w:pPr>
            <w:r>
              <w:t xml:space="preserve">e-commerce, in-app, POS</w:t>
            </w:r>
          </w:p>
        </w:tc>
      </w:tr>
      <w:tr>
        <w:tc>
          <w:tcPr/>
          <w:p>
            <w:pPr>
              <w:pStyle w:val="Compact"/>
            </w:pPr>
            <w:r>
              <w:t xml:space="preserve">Future services</w:t>
            </w:r>
          </w:p>
        </w:tc>
        <w:tc>
          <w:tcPr/>
          <w:p>
            <w:pPr>
              <w:pStyle w:val="Compact"/>
            </w:pPr>
            <w:r>
              <w:t xml:space="preserve">local schemes / QR payment (later phase — see</w:t>
            </w:r>
            <w:r>
              <w:t xml:space="preserve"> </w:t>
            </w:r>
            <w:r>
              <w:rPr>
                <w:rStyle w:val="VerbatimChar"/>
              </w:rPr>
              <w:t xml:space="preserve">../QR-PAYMENT.md</w:t>
            </w:r>
            <w:r>
              <w:t xml:space="preserve">)</w:t>
            </w:r>
          </w:p>
        </w:tc>
      </w:tr>
    </w:tbl>
    <w:bookmarkEnd w:id="1195"/>
    <w:bookmarkStart w:id="1196" w:name="applicant-declaration"/>
    <w:p>
      <w:pPr>
        <w:pStyle w:val="Heading3"/>
      </w:pPr>
      <w:r>
        <w:t xml:space="preserve">1.3 Applicant declaration</w:t>
      </w:r>
    </w:p>
    <w:p>
      <w:pPr>
        <w:pStyle w:val="FirstParagraph"/>
      </w:pPr>
      <w:r>
        <w:t xml:space="preserve">On behalf of</w:t>
      </w:r>
      <w:r>
        <w:t xml:space="preserve"> </w:t>
      </w:r>
      <w:r>
        <w:rPr>
          <w:b/>
          <w:bCs/>
        </w:rPr>
        <w:t xml:space="preserve">[บริษัท / Company]</w:t>
      </w:r>
      <w:r>
        <w:t xml:space="preserve">, we declare that:</w:t>
      </w:r>
    </w:p>
    <w:p>
      <w:pPr>
        <w:pStyle w:val="Compact"/>
        <w:numPr>
          <w:ilvl w:val="0"/>
          <w:numId w:val="1437"/>
        </w:numPr>
      </w:pPr>
      <w:r>
        <w:t xml:space="preserve">All information and supporting documents are accurate, complete, and true.</w:t>
      </w:r>
    </w:p>
    <w:p>
      <w:pPr>
        <w:pStyle w:val="Compact"/>
        <w:numPr>
          <w:ilvl w:val="0"/>
          <w:numId w:val="1437"/>
        </w:numPr>
      </w:pPr>
      <w:r>
        <w:t xml:space="preserve">The company has paid-up capital of</w:t>
      </w:r>
      <w:r>
        <w:t xml:space="preserve"> </w:t>
      </w:r>
      <w:r>
        <w:rPr>
          <w:b/>
          <w:bCs/>
        </w:rPr>
        <w:t xml:space="preserve">no less than THB 50M</w:t>
      </w:r>
      <w:r>
        <w:t xml:space="preserve"> </w:t>
      </w:r>
      <w:r>
        <w:t xml:space="preserve">and will maintain</w:t>
      </w:r>
      <w:r>
        <w:t xml:space="preserve"> </w:t>
      </w:r>
      <w:r>
        <w:rPr>
          <w:b/>
          <w:bCs/>
        </w:rPr>
        <w:t xml:space="preserve">no less than 75%</w:t>
      </w:r>
      <w:r>
        <w:t xml:space="preserve"> </w:t>
      </w:r>
      <w:r>
        <w:t xml:space="preserve">(≥ THB 37.5M) throughout operations.</w:t>
      </w:r>
    </w:p>
    <w:p>
      <w:pPr>
        <w:pStyle w:val="Compact"/>
        <w:numPr>
          <w:ilvl w:val="0"/>
          <w:numId w:val="1437"/>
        </w:numPr>
      </w:pPr>
      <w:r>
        <w:t xml:space="preserve">Directors and executives are fit and proper and have no legally prohibited characteristics.</w:t>
      </w:r>
    </w:p>
    <w:p>
      <w:pPr>
        <w:pStyle w:val="Compact"/>
        <w:numPr>
          <w:ilvl w:val="0"/>
          <w:numId w:val="1437"/>
        </w:numPr>
      </w:pPr>
      <w:r>
        <w:t xml:space="preserve">The company will comply with the Payment Systems Act B.E. 2560, relevant BOT notifications, the AMLO Act, and the PDPA.</w:t>
      </w:r>
    </w:p>
    <w:p>
      <w:pPr>
        <w:pStyle w:val="Compact"/>
        <w:numPr>
          <w:ilvl w:val="0"/>
          <w:numId w:val="1437"/>
        </w:numPr>
      </w:pPr>
      <w:r>
        <w:t xml:space="preserve">The company consents to the BOT requesting further information and conducting on-site inspection.</w:t>
      </w:r>
    </w:p>
    <w:p>
      <w:pPr>
        <w:pStyle w:val="FirstParagraph"/>
      </w:pPr>
      <w:r>
        <w:t xml:space="preserve">Signed: __________________________ (authorized director) · Date: ____________ · Company seal</w:t>
      </w:r>
    </w:p>
    <w:p>
      <w:r>
        <w:pict>
          <v:rect style="width:0;height:1.5pt" o:hralign="center" o:hrstd="t" o:hr="t"/>
        </w:pict>
      </w:r>
    </w:p>
    <w:bookmarkEnd w:id="1196"/>
    <w:bookmarkEnd w:id="1197"/>
    <w:bookmarkStart w:id="1206" w:name="checklist-of-attachments"/>
    <w:p>
      <w:pPr>
        <w:pStyle w:val="Heading2"/>
      </w:pPr>
      <w:r>
        <w:t xml:space="preserve">2. Checklist of attachments</w:t>
      </w:r>
    </w:p>
    <w:p>
      <w:pPr>
        <w:pStyle w:val="BlockText"/>
      </w:pPr>
      <w:r>
        <w:t xml:space="preserve">The</w:t>
      </w:r>
      <w:r>
        <w:t xml:space="preserve"> </w:t>
      </w:r>
      <w:r>
        <w:t xml:space="preserve">“Reference”</w:t>
      </w:r>
      <w:r>
        <w:t xml:space="preserve"> </w:t>
      </w:r>
      <w:r>
        <w:t xml:space="preserve">column points to the file in</w:t>
      </w:r>
      <w:r>
        <w:t xml:space="preserve"> </w:t>
      </w:r>
      <w:r>
        <w:rPr>
          <w:rStyle w:val="VerbatimChar"/>
        </w:rPr>
        <w:t xml:space="preserve">docs/compliance/</w:t>
      </w:r>
      <w:r>
        <w:t xml:space="preserve"> </w:t>
      </w:r>
      <w:r>
        <w:t xml:space="preserve">that supports each item. Status: ✅ ready · 🟡 draft/needs review · 🔴 missing/awaiting external.</w:t>
      </w:r>
    </w:p>
    <w:bookmarkStart w:id="1198" w:name="section-a-entity-capital"/>
    <w:p>
      <w:pPr>
        <w:pStyle w:val="Heading3"/>
      </w:pPr>
      <w:r>
        <w:t xml:space="preserve">Section A — Entity &amp; capital</w:t>
      </w:r>
    </w:p>
    <w:tbl>
      <w:tblPr>
        <w:tblStyle w:val="Table"/>
        <w:tblW w:type="pct" w:w="5000"/>
        <w:tblLayout w:type="fixed"/>
        <w:tblLook w:firstRow="1" w:lastRow="0" w:firstColumn="0" w:lastColumn="0" w:noHBand="0" w:noVBand="0" w:val="0020"/>
      </w:tblPr>
      <w:tblGrid>
        <w:gridCol w:w="609"/>
        <w:gridCol w:w="2030"/>
        <w:gridCol w:w="2233"/>
        <w:gridCol w:w="1421"/>
        <w:gridCol w:w="1624"/>
      </w:tblGrid>
      <w:tr>
        <w:trPr>
          <w:tblHeader w:val="on"/>
        </w:trPr>
        <w:tc>
          <w:tcPr/>
          <w:p>
            <w:pPr>
              <w:pStyle w:val="Compact"/>
            </w:pPr>
            <w:r>
              <w:t xml:space="preserve">#</w:t>
            </w:r>
          </w:p>
        </w:tc>
        <w:tc>
          <w:tcPr/>
          <w:p>
            <w:pPr>
              <w:pStyle w:val="Compact"/>
            </w:pPr>
            <w:r>
              <w:t xml:space="preserve">Document</w:t>
            </w:r>
          </w:p>
        </w:tc>
        <w:tc>
          <w:tcPr/>
          <w:p>
            <w:pPr>
              <w:pStyle w:val="Compact"/>
            </w:pPr>
            <w:r>
              <w:t xml:space="preserve">Reference</w:t>
            </w:r>
          </w:p>
        </w:tc>
        <w:tc>
          <w:tcPr/>
          <w:p>
            <w:pPr>
              <w:pStyle w:val="Compact"/>
            </w:pPr>
            <w:r>
              <w:t xml:space="preserve">Owner</w:t>
            </w:r>
          </w:p>
        </w:tc>
        <w:tc>
          <w:tcPr/>
          <w:p>
            <w:pPr>
              <w:pStyle w:val="Compact"/>
            </w:pPr>
            <w:r>
              <w:t xml:space="preserve">Status</w:t>
            </w:r>
          </w:p>
        </w:tc>
      </w:tr>
      <w:tr>
        <w:tc>
          <w:tcPr/>
          <w:p>
            <w:pPr>
              <w:pStyle w:val="Compact"/>
            </w:pPr>
            <w:r>
              <w:t xml:space="preserve">A1</w:t>
            </w:r>
          </w:p>
        </w:tc>
        <w:tc>
          <w:tcPr/>
          <w:p>
            <w:pPr>
              <w:pStyle w:val="Compact"/>
            </w:pPr>
            <w:r>
              <w:t xml:space="preserve">Company affidavit + objectives (covering payment business)</w:t>
            </w:r>
          </w:p>
        </w:tc>
        <w:tc>
          <w:tcPr/>
          <w:p>
            <w:pPr>
              <w:pStyle w:val="Compact"/>
            </w:pPr>
            <w:r>
              <w:rPr>
                <w:i/>
                <w:iCs/>
              </w:rPr>
              <w:t xml:space="preserve">(corporate)</w:t>
            </w:r>
          </w:p>
        </w:tc>
        <w:tc>
          <w:tcPr/>
          <w:p>
            <w:pPr>
              <w:pStyle w:val="Compact"/>
            </w:pPr>
            <w:r>
              <w:t xml:space="preserve">Legal</w:t>
            </w:r>
          </w:p>
        </w:tc>
        <w:tc>
          <w:tcPr/>
          <w:p>
            <w:pPr>
              <w:pStyle w:val="Compact"/>
            </w:pPr>
            <w:r>
              <w:t xml:space="preserve">🔴</w:t>
            </w:r>
          </w:p>
        </w:tc>
      </w:tr>
      <w:tr>
        <w:tc>
          <w:tcPr/>
          <w:p>
            <w:pPr>
              <w:pStyle w:val="Compact"/>
            </w:pPr>
            <w:r>
              <w:t xml:space="preserve">A2</w:t>
            </w:r>
          </w:p>
        </w:tc>
        <w:tc>
          <w:tcPr/>
          <w:p>
            <w:pPr>
              <w:pStyle w:val="Compact"/>
            </w:pPr>
            <w:r>
              <w:t xml:space="preserve">Memorandum / Articles of Association</w:t>
            </w:r>
          </w:p>
        </w:tc>
        <w:tc>
          <w:tcPr/>
          <w:p>
            <w:pPr>
              <w:pStyle w:val="Compact"/>
            </w:pPr>
            <w:r>
              <w:rPr>
                <w:i/>
                <w:iCs/>
              </w:rPr>
              <w:t xml:space="preserve">(corporate)</w:t>
            </w:r>
          </w:p>
        </w:tc>
        <w:tc>
          <w:tcPr/>
          <w:p>
            <w:pPr>
              <w:pStyle w:val="Compact"/>
            </w:pPr>
            <w:r>
              <w:t xml:space="preserve">Legal</w:t>
            </w:r>
          </w:p>
        </w:tc>
        <w:tc>
          <w:tcPr/>
          <w:p>
            <w:pPr>
              <w:pStyle w:val="Compact"/>
            </w:pPr>
            <w:r>
              <w:t xml:space="preserve">🔴</w:t>
            </w:r>
          </w:p>
        </w:tc>
      </w:tr>
      <w:tr>
        <w:tc>
          <w:tcPr/>
          <w:p>
            <w:pPr>
              <w:pStyle w:val="Compact"/>
            </w:pPr>
            <w:r>
              <w:t xml:space="preserve">A3</w:t>
            </w:r>
          </w:p>
        </w:tc>
        <w:tc>
          <w:tcPr/>
          <w:p>
            <w:pPr>
              <w:pStyle w:val="Compact"/>
            </w:pPr>
            <w:r>
              <w:t xml:space="preserve">Evidence of THB 50M capital payment (bank confirmation)</w:t>
            </w:r>
          </w:p>
        </w:tc>
        <w:tc>
          <w:tcPr/>
          <w:p>
            <w:pPr>
              <w:pStyle w:val="Compact"/>
            </w:pPr>
            <w:r>
              <w:rPr>
                <w:rStyle w:val="VerbatimChar"/>
              </w:rPr>
              <w:t xml:space="preserve">02-financial-projections-capital.md</w:t>
            </w:r>
          </w:p>
        </w:tc>
        <w:tc>
          <w:tcPr/>
          <w:p>
            <w:pPr>
              <w:pStyle w:val="Compact"/>
            </w:pPr>
            <w:r>
              <w:t xml:space="preserve">Finance</w:t>
            </w:r>
          </w:p>
        </w:tc>
        <w:tc>
          <w:tcPr/>
          <w:p>
            <w:pPr>
              <w:pStyle w:val="Compact"/>
            </w:pPr>
            <w:r>
              <w:t xml:space="preserve">🔴</w:t>
            </w:r>
          </w:p>
        </w:tc>
      </w:tr>
      <w:tr>
        <w:tc>
          <w:tcPr/>
          <w:p>
            <w:pPr>
              <w:pStyle w:val="Compact"/>
            </w:pPr>
            <w:r>
              <w:t xml:space="preserve">A4</w:t>
            </w:r>
          </w:p>
        </w:tc>
        <w:tc>
          <w:tcPr/>
          <w:p>
            <w:pPr>
              <w:pStyle w:val="Compact"/>
            </w:pPr>
            <w:r>
              <w:t xml:space="preserve">Shareholder list (Bor.Or.Jor.5) + ownership structure</w:t>
            </w:r>
          </w:p>
        </w:tc>
        <w:tc>
          <w:tcPr/>
          <w:p>
            <w:pPr>
              <w:pStyle w:val="Compact"/>
            </w:pPr>
            <w:r>
              <w:rPr>
                <w:rStyle w:val="VerbatimChar"/>
              </w:rPr>
              <w:t xml:space="preserve">03-shareholder-board-fit-proper.md</w:t>
            </w:r>
          </w:p>
        </w:tc>
        <w:tc>
          <w:tcPr/>
          <w:p>
            <w:pPr>
              <w:pStyle w:val="Compact"/>
            </w:pPr>
            <w:r>
              <w:t xml:space="preserve">Legal</w:t>
            </w:r>
          </w:p>
        </w:tc>
        <w:tc>
          <w:tcPr/>
          <w:p>
            <w:pPr>
              <w:pStyle w:val="Compact"/>
            </w:pPr>
            <w:r>
              <w:t xml:space="preserve">🟡</w:t>
            </w:r>
          </w:p>
        </w:tc>
      </w:tr>
      <w:tr>
        <w:tc>
          <w:tcPr/>
          <w:p>
            <w:pPr>
              <w:pStyle w:val="Compact"/>
            </w:pPr>
            <w:r>
              <w:t xml:space="preserve">A5</w:t>
            </w:r>
          </w:p>
        </w:tc>
        <w:tc>
          <w:tcPr/>
          <w:p>
            <w:pPr>
              <w:pStyle w:val="Compact"/>
            </w:pPr>
            <w:r>
              <w:t xml:space="preserve">Foreign Business License (if majority foreign-owned)</w:t>
            </w:r>
          </w:p>
        </w:tc>
        <w:tc>
          <w:tcPr/>
          <w:p>
            <w:pPr>
              <w:pStyle w:val="Compact"/>
            </w:pPr>
            <w:r>
              <w:rPr>
                <w:rStyle w:val="VerbatimChar"/>
              </w:rPr>
              <w:t xml:space="preserve">03-shareholder-board-fit-proper.md</w:t>
            </w:r>
          </w:p>
        </w:tc>
        <w:tc>
          <w:tcPr/>
          <w:p>
            <w:pPr>
              <w:pStyle w:val="Compact"/>
            </w:pPr>
            <w:r>
              <w:t xml:space="preserve">Legal</w:t>
            </w:r>
          </w:p>
        </w:tc>
        <w:tc>
          <w:tcPr/>
          <w:p>
            <w:pPr>
              <w:pStyle w:val="Compact"/>
            </w:pPr>
            <w:r>
              <w:t xml:space="preserve">🔴 (verify)</w:t>
            </w:r>
          </w:p>
        </w:tc>
      </w:tr>
    </w:tbl>
    <w:bookmarkEnd w:id="1198"/>
    <w:bookmarkStart w:id="1199" w:name="section-b-governance-personnel"/>
    <w:p>
      <w:pPr>
        <w:pStyle w:val="Heading3"/>
      </w:pPr>
      <w:r>
        <w:t xml:space="preserve">Section B — Governance &amp; personnel</w:t>
      </w:r>
    </w:p>
    <w:tbl>
      <w:tblPr>
        <w:tblStyle w:val="Table"/>
        <w:tblW w:type="pct" w:w="5000"/>
        <w:tblLayout w:type="fixed"/>
        <w:tblLook w:firstRow="1" w:lastRow="0" w:firstColumn="0" w:lastColumn="0" w:noHBand="0" w:noVBand="0" w:val="0020"/>
      </w:tblPr>
      <w:tblGrid>
        <w:gridCol w:w="609"/>
        <w:gridCol w:w="2030"/>
        <w:gridCol w:w="2233"/>
        <w:gridCol w:w="1421"/>
        <w:gridCol w:w="1624"/>
      </w:tblGrid>
      <w:tr>
        <w:trPr>
          <w:tblHeader w:val="on"/>
        </w:trPr>
        <w:tc>
          <w:tcPr/>
          <w:p>
            <w:pPr>
              <w:pStyle w:val="Compact"/>
            </w:pPr>
            <w:r>
              <w:t xml:space="preserve">#</w:t>
            </w:r>
          </w:p>
        </w:tc>
        <w:tc>
          <w:tcPr/>
          <w:p>
            <w:pPr>
              <w:pStyle w:val="Compact"/>
            </w:pPr>
            <w:r>
              <w:t xml:space="preserve">Document</w:t>
            </w:r>
          </w:p>
        </w:tc>
        <w:tc>
          <w:tcPr/>
          <w:p>
            <w:pPr>
              <w:pStyle w:val="Compact"/>
            </w:pPr>
            <w:r>
              <w:t xml:space="preserve">Reference</w:t>
            </w:r>
          </w:p>
        </w:tc>
        <w:tc>
          <w:tcPr/>
          <w:p>
            <w:pPr>
              <w:pStyle w:val="Compact"/>
            </w:pPr>
            <w:r>
              <w:t xml:space="preserve">Owner</w:t>
            </w:r>
          </w:p>
        </w:tc>
        <w:tc>
          <w:tcPr/>
          <w:p>
            <w:pPr>
              <w:pStyle w:val="Compact"/>
            </w:pPr>
            <w:r>
              <w:t xml:space="preserve">Status</w:t>
            </w:r>
          </w:p>
        </w:tc>
      </w:tr>
      <w:tr>
        <w:tc>
          <w:tcPr/>
          <w:p>
            <w:pPr>
              <w:pStyle w:val="Compact"/>
            </w:pPr>
            <w:r>
              <w:t xml:space="preserve">B1</w:t>
            </w:r>
          </w:p>
        </w:tc>
        <w:tc>
          <w:tcPr/>
          <w:p>
            <w:pPr>
              <w:pStyle w:val="Compact"/>
            </w:pPr>
            <w:r>
              <w:t xml:space="preserve">Org chart &amp; governance structure</w:t>
            </w:r>
          </w:p>
        </w:tc>
        <w:tc>
          <w:tcPr/>
          <w:p>
            <w:pPr>
              <w:pStyle w:val="Compact"/>
            </w:pPr>
            <w:r>
              <w:rPr>
                <w:rStyle w:val="VerbatimChar"/>
              </w:rPr>
              <w:t xml:space="preserve">04-org-chart-governance.md</w:t>
            </w:r>
          </w:p>
        </w:tc>
        <w:tc>
          <w:tcPr/>
          <w:p>
            <w:pPr>
              <w:pStyle w:val="Compact"/>
            </w:pPr>
            <w:r>
              <w:t xml:space="preserve">Compliance</w:t>
            </w:r>
          </w:p>
        </w:tc>
        <w:tc>
          <w:tcPr/>
          <w:p>
            <w:pPr>
              <w:pStyle w:val="Compact"/>
            </w:pPr>
            <w:r>
              <w:t xml:space="preserve">🟡</w:t>
            </w:r>
          </w:p>
        </w:tc>
      </w:tr>
      <w:tr>
        <w:tc>
          <w:tcPr/>
          <w:p>
            <w:pPr>
              <w:pStyle w:val="Compact"/>
            </w:pPr>
            <w:r>
              <w:t xml:space="preserve">B2</w:t>
            </w:r>
          </w:p>
        </w:tc>
        <w:tc>
          <w:tcPr/>
          <w:p>
            <w:pPr>
              <w:pStyle w:val="Compact"/>
            </w:pPr>
            <w:r>
              <w:t xml:space="preserve">Director/executive CVs + fit &amp; proper documents</w:t>
            </w:r>
          </w:p>
        </w:tc>
        <w:tc>
          <w:tcPr/>
          <w:p>
            <w:pPr>
              <w:pStyle w:val="Compact"/>
            </w:pPr>
            <w:r>
              <w:rPr>
                <w:rStyle w:val="VerbatimChar"/>
              </w:rPr>
              <w:t xml:space="preserve">03-shareholder-board-fit-proper.md</w:t>
            </w:r>
          </w:p>
        </w:tc>
        <w:tc>
          <w:tcPr/>
          <w:p>
            <w:pPr>
              <w:pStyle w:val="Compact"/>
            </w:pPr>
            <w:r>
              <w:t xml:space="preserve">Legal</w:t>
            </w:r>
          </w:p>
        </w:tc>
        <w:tc>
          <w:tcPr/>
          <w:p>
            <w:pPr>
              <w:pStyle w:val="Compact"/>
            </w:pPr>
            <w:r>
              <w:t xml:space="preserve">🟡</w:t>
            </w:r>
          </w:p>
        </w:tc>
      </w:tr>
      <w:tr>
        <w:tc>
          <w:tcPr/>
          <w:p>
            <w:pPr>
              <w:pStyle w:val="Compact"/>
            </w:pPr>
            <w:r>
              <w:t xml:space="preserve">B3</w:t>
            </w:r>
          </w:p>
        </w:tc>
        <w:tc>
          <w:tcPr/>
          <w:p>
            <w:pPr>
              <w:pStyle w:val="Compact"/>
            </w:pPr>
            <w:r>
              <w:t xml:space="preserve">Segregation-of-duties policy</w:t>
            </w:r>
          </w:p>
        </w:tc>
        <w:tc>
          <w:tcPr/>
          <w:p>
            <w:pPr>
              <w:pStyle w:val="Compact"/>
            </w:pPr>
            <w:r>
              <w:rPr>
                <w:rStyle w:val="VerbatimChar"/>
              </w:rPr>
              <w:t xml:space="preserve">18-segregation-of-duties.md</w:t>
            </w:r>
          </w:p>
        </w:tc>
        <w:tc>
          <w:tcPr/>
          <w:p>
            <w:pPr>
              <w:pStyle w:val="Compact"/>
            </w:pPr>
            <w:r>
              <w:t xml:space="preserve">Compliance</w:t>
            </w:r>
          </w:p>
        </w:tc>
        <w:tc>
          <w:tcPr/>
          <w:p>
            <w:pPr>
              <w:pStyle w:val="Compact"/>
            </w:pPr>
            <w:r>
              <w:t xml:space="preserve">🟡</w:t>
            </w:r>
          </w:p>
        </w:tc>
      </w:tr>
      <w:tr>
        <w:tc>
          <w:tcPr/>
          <w:p>
            <w:pPr>
              <w:pStyle w:val="Compact"/>
            </w:pPr>
            <w:r>
              <w:t xml:space="preserve">B4</w:t>
            </w:r>
          </w:p>
        </w:tc>
        <w:tc>
          <w:tcPr/>
          <w:p>
            <w:pPr>
              <w:pStyle w:val="Compact"/>
            </w:pPr>
            <w:r>
              <w:t xml:space="preserve">DPO and AML compliance officer appointment letters</w:t>
            </w:r>
          </w:p>
        </w:tc>
        <w:tc>
          <w:tcPr/>
          <w:p>
            <w:pPr>
              <w:pStyle w:val="Compact"/>
            </w:pPr>
            <w:r>
              <w:rPr>
                <w:rStyle w:val="VerbatimChar"/>
              </w:rPr>
              <w:t xml:space="preserve">09-pdpa-privacy-policy.md</w:t>
            </w:r>
            <w:r>
              <w:t xml:space="preserve">,</w:t>
            </w:r>
            <w:r>
              <w:t xml:space="preserve"> </w:t>
            </w:r>
            <w:r>
              <w:rPr>
                <w:rStyle w:val="VerbatimChar"/>
              </w:rPr>
              <w:t xml:space="preserve">05-aml-kyc-cdd-policy.md</w:t>
            </w:r>
          </w:p>
        </w:tc>
        <w:tc>
          <w:tcPr/>
          <w:p>
            <w:pPr>
              <w:pStyle w:val="Compact"/>
            </w:pPr>
            <w:r>
              <w:t xml:space="preserve">Compliance</w:t>
            </w:r>
          </w:p>
        </w:tc>
        <w:tc>
          <w:tcPr/>
          <w:p>
            <w:pPr>
              <w:pStyle w:val="Compact"/>
            </w:pPr>
            <w:r>
              <w:t xml:space="preserve">🔴 (appoint)</w:t>
            </w:r>
          </w:p>
        </w:tc>
      </w:tr>
    </w:tbl>
    <w:bookmarkEnd w:id="1199"/>
    <w:bookmarkStart w:id="1200" w:name="section-c-business-plan-finance"/>
    <w:p>
      <w:pPr>
        <w:pStyle w:val="Heading3"/>
      </w:pPr>
      <w:r>
        <w:t xml:space="preserve">Section C — Business plan &amp; finance</w:t>
      </w:r>
    </w:p>
    <w:tbl>
      <w:tblPr>
        <w:tblStyle w:val="Table"/>
        <w:tblW w:type="pct" w:w="5000"/>
        <w:tblLayout w:type="fixed"/>
        <w:tblLook w:firstRow="1" w:lastRow="0" w:firstColumn="0" w:lastColumn="0" w:noHBand="0" w:noVBand="0" w:val="0020"/>
      </w:tblPr>
      <w:tblGrid>
        <w:gridCol w:w="609"/>
        <w:gridCol w:w="2030"/>
        <w:gridCol w:w="2233"/>
        <w:gridCol w:w="1421"/>
        <w:gridCol w:w="1624"/>
      </w:tblGrid>
      <w:tr>
        <w:trPr>
          <w:tblHeader w:val="on"/>
        </w:trPr>
        <w:tc>
          <w:tcPr/>
          <w:p>
            <w:pPr>
              <w:pStyle w:val="Compact"/>
            </w:pPr>
            <w:r>
              <w:t xml:space="preserve">#</w:t>
            </w:r>
          </w:p>
        </w:tc>
        <w:tc>
          <w:tcPr/>
          <w:p>
            <w:pPr>
              <w:pStyle w:val="Compact"/>
            </w:pPr>
            <w:r>
              <w:t xml:space="preserve">Document</w:t>
            </w:r>
          </w:p>
        </w:tc>
        <w:tc>
          <w:tcPr/>
          <w:p>
            <w:pPr>
              <w:pStyle w:val="Compact"/>
            </w:pPr>
            <w:r>
              <w:t xml:space="preserve">Reference</w:t>
            </w:r>
          </w:p>
        </w:tc>
        <w:tc>
          <w:tcPr/>
          <w:p>
            <w:pPr>
              <w:pStyle w:val="Compact"/>
            </w:pPr>
            <w:r>
              <w:t xml:space="preserve">Owner</w:t>
            </w:r>
          </w:p>
        </w:tc>
        <w:tc>
          <w:tcPr/>
          <w:p>
            <w:pPr>
              <w:pStyle w:val="Compact"/>
            </w:pPr>
            <w:r>
              <w:t xml:space="preserve">Status</w:t>
            </w:r>
          </w:p>
        </w:tc>
      </w:tr>
      <w:tr>
        <w:tc>
          <w:tcPr/>
          <w:p>
            <w:pPr>
              <w:pStyle w:val="Compact"/>
            </w:pPr>
            <w:r>
              <w:t xml:space="preserve">C1</w:t>
            </w:r>
          </w:p>
        </w:tc>
        <w:tc>
          <w:tcPr/>
          <w:p>
            <w:pPr>
              <w:pStyle w:val="Compact"/>
            </w:pPr>
            <w:r>
              <w:t xml:space="preserve">Business plan</w:t>
            </w:r>
          </w:p>
        </w:tc>
        <w:tc>
          <w:tcPr/>
          <w:p>
            <w:pPr>
              <w:pStyle w:val="Compact"/>
            </w:pPr>
            <w:r>
              <w:rPr>
                <w:rStyle w:val="VerbatimChar"/>
              </w:rPr>
              <w:t xml:space="preserve">01-business-plan.md</w:t>
            </w:r>
          </w:p>
        </w:tc>
        <w:tc>
          <w:tcPr/>
          <w:p>
            <w:pPr>
              <w:pStyle w:val="Compact"/>
            </w:pPr>
            <w:r>
              <w:t xml:space="preserve">Product/Finance</w:t>
            </w:r>
          </w:p>
        </w:tc>
        <w:tc>
          <w:tcPr/>
          <w:p>
            <w:pPr>
              <w:pStyle w:val="Compact"/>
            </w:pPr>
            <w:r>
              <w:t xml:space="preserve">🟡</w:t>
            </w:r>
          </w:p>
        </w:tc>
      </w:tr>
      <w:tr>
        <w:tc>
          <w:tcPr/>
          <w:p>
            <w:pPr>
              <w:pStyle w:val="Compact"/>
            </w:pPr>
            <w:r>
              <w:t xml:space="preserve">C2</w:t>
            </w:r>
          </w:p>
        </w:tc>
        <w:tc>
          <w:tcPr/>
          <w:p>
            <w:pPr>
              <w:pStyle w:val="Compact"/>
            </w:pPr>
            <w:r>
              <w:t xml:space="preserve">3-year financial projections + assumptions</w:t>
            </w:r>
          </w:p>
        </w:tc>
        <w:tc>
          <w:tcPr/>
          <w:p>
            <w:pPr>
              <w:pStyle w:val="Compact"/>
            </w:pPr>
            <w:r>
              <w:rPr>
                <w:rStyle w:val="VerbatimChar"/>
              </w:rPr>
              <w:t xml:space="preserve">02-financial-projections-capital.md</w:t>
            </w:r>
          </w:p>
        </w:tc>
        <w:tc>
          <w:tcPr/>
          <w:p>
            <w:pPr>
              <w:pStyle w:val="Compact"/>
            </w:pPr>
            <w:r>
              <w:t xml:space="preserve">Finance</w:t>
            </w:r>
          </w:p>
        </w:tc>
        <w:tc>
          <w:tcPr/>
          <w:p>
            <w:pPr>
              <w:pStyle w:val="Compact"/>
            </w:pPr>
            <w:r>
              <w:t xml:space="preserve">🟡</w:t>
            </w:r>
          </w:p>
        </w:tc>
      </w:tr>
      <w:tr>
        <w:tc>
          <w:tcPr/>
          <w:p>
            <w:pPr>
              <w:pStyle w:val="Compact"/>
            </w:pPr>
            <w:r>
              <w:t xml:space="preserve">C3</w:t>
            </w:r>
          </w:p>
        </w:tc>
        <w:tc>
          <w:tcPr/>
          <w:p>
            <w:pPr>
              <w:pStyle w:val="Compact"/>
            </w:pPr>
            <w:r>
              <w:t xml:space="preserve">Executive summary</w:t>
            </w:r>
          </w:p>
        </w:tc>
        <w:tc>
          <w:tcPr/>
          <w:p>
            <w:pPr>
              <w:pStyle w:val="Compact"/>
            </w:pPr>
            <w:r>
              <w:rPr>
                <w:rStyle w:val="VerbatimChar"/>
              </w:rPr>
              <w:t xml:space="preserve">00-executive-summary.md</w:t>
            </w:r>
          </w:p>
        </w:tc>
        <w:tc>
          <w:tcPr/>
          <w:p>
            <w:pPr>
              <w:pStyle w:val="Compact"/>
            </w:pPr>
            <w:r>
              <w:t xml:space="preserve">Compliance</w:t>
            </w:r>
          </w:p>
        </w:tc>
        <w:tc>
          <w:tcPr/>
          <w:p>
            <w:pPr>
              <w:pStyle w:val="Compact"/>
            </w:pPr>
            <w:r>
              <w:t xml:space="preserve">✅</w:t>
            </w:r>
          </w:p>
        </w:tc>
      </w:tr>
    </w:tbl>
    <w:bookmarkEnd w:id="1200"/>
    <w:bookmarkStart w:id="1201" w:name="section-d-aml-kyc-cdd"/>
    <w:p>
      <w:pPr>
        <w:pStyle w:val="Heading3"/>
      </w:pPr>
      <w:r>
        <w:t xml:space="preserve">Section D — AML / KYC / CDD</w:t>
      </w:r>
    </w:p>
    <w:tbl>
      <w:tblPr>
        <w:tblStyle w:val="Table"/>
        <w:tblW w:type="pct" w:w="5000"/>
        <w:tblLayout w:type="fixed"/>
        <w:tblLook w:firstRow="1" w:lastRow="0" w:firstColumn="0" w:lastColumn="0" w:noHBand="0" w:noVBand="0" w:val="0020"/>
      </w:tblPr>
      <w:tblGrid>
        <w:gridCol w:w="609"/>
        <w:gridCol w:w="2030"/>
        <w:gridCol w:w="2233"/>
        <w:gridCol w:w="1421"/>
        <w:gridCol w:w="1624"/>
      </w:tblGrid>
      <w:tr>
        <w:trPr>
          <w:tblHeader w:val="on"/>
        </w:trPr>
        <w:tc>
          <w:tcPr/>
          <w:p>
            <w:pPr>
              <w:pStyle w:val="Compact"/>
            </w:pPr>
            <w:r>
              <w:t xml:space="preserve">#</w:t>
            </w:r>
          </w:p>
        </w:tc>
        <w:tc>
          <w:tcPr/>
          <w:p>
            <w:pPr>
              <w:pStyle w:val="Compact"/>
            </w:pPr>
            <w:r>
              <w:t xml:space="preserve">Document</w:t>
            </w:r>
          </w:p>
        </w:tc>
        <w:tc>
          <w:tcPr/>
          <w:p>
            <w:pPr>
              <w:pStyle w:val="Compact"/>
            </w:pPr>
            <w:r>
              <w:t xml:space="preserve">Reference</w:t>
            </w:r>
          </w:p>
        </w:tc>
        <w:tc>
          <w:tcPr/>
          <w:p>
            <w:pPr>
              <w:pStyle w:val="Compact"/>
            </w:pPr>
            <w:r>
              <w:t xml:space="preserve">Owner</w:t>
            </w:r>
          </w:p>
        </w:tc>
        <w:tc>
          <w:tcPr/>
          <w:p>
            <w:pPr>
              <w:pStyle w:val="Compact"/>
            </w:pPr>
            <w:r>
              <w:t xml:space="preserve">Status</w:t>
            </w:r>
          </w:p>
        </w:tc>
      </w:tr>
      <w:tr>
        <w:tc>
          <w:tcPr/>
          <w:p>
            <w:pPr>
              <w:pStyle w:val="Compact"/>
            </w:pPr>
            <w:r>
              <w:t xml:space="preserve">D1</w:t>
            </w:r>
          </w:p>
        </w:tc>
        <w:tc>
          <w:tcPr/>
          <w:p>
            <w:pPr>
              <w:pStyle w:val="Compact"/>
            </w:pPr>
            <w:r>
              <w:t xml:space="preserve">AML/KYC/CDD policy</w:t>
            </w:r>
          </w:p>
        </w:tc>
        <w:tc>
          <w:tcPr/>
          <w:p>
            <w:pPr>
              <w:pStyle w:val="Compact"/>
            </w:pPr>
            <w:r>
              <w:rPr>
                <w:rStyle w:val="VerbatimChar"/>
              </w:rPr>
              <w:t xml:space="preserve">05-aml-kyc-cdd-policy.md</w:t>
            </w:r>
          </w:p>
        </w:tc>
        <w:tc>
          <w:tcPr/>
          <w:p>
            <w:pPr>
              <w:pStyle w:val="Compact"/>
            </w:pPr>
            <w:r>
              <w:t xml:space="preserve">Compliance</w:t>
            </w:r>
          </w:p>
        </w:tc>
        <w:tc>
          <w:tcPr/>
          <w:p>
            <w:pPr>
              <w:pStyle w:val="Compact"/>
            </w:pPr>
            <w:r>
              <w:t xml:space="preserve">🟡</w:t>
            </w:r>
          </w:p>
        </w:tc>
      </w:tr>
      <w:tr>
        <w:tc>
          <w:tcPr/>
          <w:p>
            <w:pPr>
              <w:pStyle w:val="Compact"/>
            </w:pPr>
            <w:r>
              <w:t xml:space="preserve">D2</w:t>
            </w:r>
          </w:p>
        </w:tc>
        <w:tc>
          <w:tcPr/>
          <w:p>
            <w:pPr>
              <w:pStyle w:val="Compact"/>
            </w:pPr>
            <w:r>
              <w:t xml:space="preserve">Sanction/PEP screening process</w:t>
            </w:r>
          </w:p>
        </w:tc>
        <w:tc>
          <w:tcPr/>
          <w:p>
            <w:pPr>
              <w:pStyle w:val="Compact"/>
            </w:pPr>
            <w:r>
              <w:rPr>
                <w:rStyle w:val="VerbatimChar"/>
              </w:rPr>
              <w:t xml:space="preserve">06-sanctions-screening.md</w:t>
            </w:r>
          </w:p>
        </w:tc>
        <w:tc>
          <w:tcPr/>
          <w:p>
            <w:pPr>
              <w:pStyle w:val="Compact"/>
            </w:pPr>
            <w:r>
              <w:t xml:space="preserve">Compliance</w:t>
            </w:r>
          </w:p>
        </w:tc>
        <w:tc>
          <w:tcPr/>
          <w:p>
            <w:pPr>
              <w:pStyle w:val="Compact"/>
            </w:pPr>
            <w:r>
              <w:t xml:space="preserve">🟡</w:t>
            </w:r>
          </w:p>
        </w:tc>
      </w:tr>
      <w:tr>
        <w:tc>
          <w:tcPr/>
          <w:p>
            <w:pPr>
              <w:pStyle w:val="Compact"/>
            </w:pPr>
            <w:r>
              <w:t xml:space="preserve">D3</w:t>
            </w:r>
          </w:p>
        </w:tc>
        <w:tc>
          <w:tcPr/>
          <w:p>
            <w:pPr>
              <w:pStyle w:val="Compact"/>
            </w:pPr>
            <w:r>
              <w:t xml:space="preserve">Suspicious transaction reporting (SAR/STR) to AMLO</w:t>
            </w:r>
          </w:p>
        </w:tc>
        <w:tc>
          <w:tcPr/>
          <w:p>
            <w:pPr>
              <w:pStyle w:val="Compact"/>
            </w:pPr>
            <w:r>
              <w:rPr>
                <w:rStyle w:val="VerbatimChar"/>
              </w:rPr>
              <w:t xml:space="preserve">07-sar-str-procedure.md</w:t>
            </w:r>
          </w:p>
        </w:tc>
        <w:tc>
          <w:tcPr/>
          <w:p>
            <w:pPr>
              <w:pStyle w:val="Compact"/>
            </w:pPr>
            <w:r>
              <w:t xml:space="preserve">Compliance</w:t>
            </w:r>
          </w:p>
        </w:tc>
        <w:tc>
          <w:tcPr/>
          <w:p>
            <w:pPr>
              <w:pStyle w:val="Compact"/>
            </w:pPr>
            <w:r>
              <w:t xml:space="preserve">🟡</w:t>
            </w:r>
          </w:p>
        </w:tc>
      </w:tr>
      <w:tr>
        <w:tc>
          <w:tcPr/>
          <w:p>
            <w:pPr>
              <w:pStyle w:val="Compact"/>
            </w:pPr>
            <w:r>
              <w:t xml:space="preserve">D4</w:t>
            </w:r>
          </w:p>
        </w:tc>
        <w:tc>
          <w:tcPr/>
          <w:p>
            <w:pPr>
              <w:pStyle w:val="Compact"/>
            </w:pPr>
            <w:r>
              <w:t xml:space="preserve">Customer risk categorization</w:t>
            </w:r>
          </w:p>
        </w:tc>
        <w:tc>
          <w:tcPr/>
          <w:p>
            <w:pPr>
              <w:pStyle w:val="Compact"/>
            </w:pPr>
            <w:r>
              <w:rPr>
                <w:rStyle w:val="VerbatimChar"/>
              </w:rPr>
              <w:t xml:space="preserve">08-customer-risk-categorization.md</w:t>
            </w:r>
          </w:p>
        </w:tc>
        <w:tc>
          <w:tcPr/>
          <w:p>
            <w:pPr>
              <w:pStyle w:val="Compact"/>
            </w:pPr>
            <w:r>
              <w:t xml:space="preserve">Compliance</w:t>
            </w:r>
          </w:p>
        </w:tc>
        <w:tc>
          <w:tcPr/>
          <w:p>
            <w:pPr>
              <w:pStyle w:val="Compact"/>
            </w:pPr>
            <w:r>
              <w:t xml:space="preserve">🟡</w:t>
            </w:r>
          </w:p>
        </w:tc>
      </w:tr>
    </w:tbl>
    <w:bookmarkEnd w:id="1201"/>
    <w:bookmarkStart w:id="1202" w:name="section-e-personal-data-protection-pdpa"/>
    <w:p>
      <w:pPr>
        <w:pStyle w:val="Heading3"/>
      </w:pPr>
      <w:r>
        <w:t xml:space="preserve">Section E — Personal data protection (PDPA)</w:t>
      </w:r>
    </w:p>
    <w:tbl>
      <w:tblPr>
        <w:tblStyle w:val="Table"/>
        <w:tblW w:type="pct" w:w="5000"/>
        <w:tblLayout w:type="fixed"/>
        <w:tblLook w:firstRow="1" w:lastRow="0" w:firstColumn="0" w:lastColumn="0" w:noHBand="0" w:noVBand="0" w:val="0020"/>
      </w:tblPr>
      <w:tblGrid>
        <w:gridCol w:w="609"/>
        <w:gridCol w:w="2030"/>
        <w:gridCol w:w="2233"/>
        <w:gridCol w:w="1421"/>
        <w:gridCol w:w="1624"/>
      </w:tblGrid>
      <w:tr>
        <w:trPr>
          <w:tblHeader w:val="on"/>
        </w:trPr>
        <w:tc>
          <w:tcPr/>
          <w:p>
            <w:pPr>
              <w:pStyle w:val="Compact"/>
            </w:pPr>
            <w:r>
              <w:t xml:space="preserve">#</w:t>
            </w:r>
          </w:p>
        </w:tc>
        <w:tc>
          <w:tcPr/>
          <w:p>
            <w:pPr>
              <w:pStyle w:val="Compact"/>
            </w:pPr>
            <w:r>
              <w:t xml:space="preserve">Document</w:t>
            </w:r>
          </w:p>
        </w:tc>
        <w:tc>
          <w:tcPr/>
          <w:p>
            <w:pPr>
              <w:pStyle w:val="Compact"/>
            </w:pPr>
            <w:r>
              <w:t xml:space="preserve">Reference</w:t>
            </w:r>
          </w:p>
        </w:tc>
        <w:tc>
          <w:tcPr/>
          <w:p>
            <w:pPr>
              <w:pStyle w:val="Compact"/>
            </w:pPr>
            <w:r>
              <w:t xml:space="preserve">Owner</w:t>
            </w:r>
          </w:p>
        </w:tc>
        <w:tc>
          <w:tcPr/>
          <w:p>
            <w:pPr>
              <w:pStyle w:val="Compact"/>
            </w:pPr>
            <w:r>
              <w:t xml:space="preserve">Status</w:t>
            </w:r>
          </w:p>
        </w:tc>
      </w:tr>
      <w:tr>
        <w:tc>
          <w:tcPr/>
          <w:p>
            <w:pPr>
              <w:pStyle w:val="Compact"/>
            </w:pPr>
            <w:r>
              <w:t xml:space="preserve">E1</w:t>
            </w:r>
          </w:p>
        </w:tc>
        <w:tc>
          <w:tcPr/>
          <w:p>
            <w:pPr>
              <w:pStyle w:val="Compact"/>
            </w:pPr>
            <w:r>
              <w:t xml:space="preserve">Privacy policy</w:t>
            </w:r>
          </w:p>
        </w:tc>
        <w:tc>
          <w:tcPr/>
          <w:p>
            <w:pPr>
              <w:pStyle w:val="Compact"/>
            </w:pPr>
            <w:r>
              <w:rPr>
                <w:rStyle w:val="VerbatimChar"/>
              </w:rPr>
              <w:t xml:space="preserve">09-pdpa-privacy-policy.md</w:t>
            </w:r>
          </w:p>
        </w:tc>
        <w:tc>
          <w:tcPr/>
          <w:p>
            <w:pPr>
              <w:pStyle w:val="Compact"/>
            </w:pPr>
            <w:r>
              <w:t xml:space="preserve">DPO</w:t>
            </w:r>
          </w:p>
        </w:tc>
        <w:tc>
          <w:tcPr/>
          <w:p>
            <w:pPr>
              <w:pStyle w:val="Compact"/>
            </w:pPr>
            <w:r>
              <w:t xml:space="preserve">🟡</w:t>
            </w:r>
          </w:p>
        </w:tc>
      </w:tr>
      <w:tr>
        <w:tc>
          <w:tcPr/>
          <w:p>
            <w:pPr>
              <w:pStyle w:val="Compact"/>
            </w:pPr>
            <w:r>
              <w:t xml:space="preserve">E2</w:t>
            </w:r>
          </w:p>
        </w:tc>
        <w:tc>
          <w:tcPr/>
          <w:p>
            <w:pPr>
              <w:pStyle w:val="Compact"/>
            </w:pPr>
            <w:r>
              <w:t xml:space="preserve">Data Processing Agreement (DPA) templates</w:t>
            </w:r>
          </w:p>
        </w:tc>
        <w:tc>
          <w:tcPr/>
          <w:p>
            <w:pPr>
              <w:pStyle w:val="Compact"/>
            </w:pPr>
            <w:r>
              <w:rPr>
                <w:rStyle w:val="VerbatimChar"/>
              </w:rPr>
              <w:t xml:space="preserve">10-dpa-templates.md</w:t>
            </w:r>
          </w:p>
        </w:tc>
        <w:tc>
          <w:tcPr/>
          <w:p>
            <w:pPr>
              <w:pStyle w:val="Compact"/>
            </w:pPr>
            <w:r>
              <w:t xml:space="preserve">Legal/DPO</w:t>
            </w:r>
          </w:p>
        </w:tc>
        <w:tc>
          <w:tcPr/>
          <w:p>
            <w:pPr>
              <w:pStyle w:val="Compact"/>
            </w:pPr>
            <w:r>
              <w:t xml:space="preserve">🟡</w:t>
            </w:r>
          </w:p>
        </w:tc>
      </w:tr>
      <w:tr>
        <w:tc>
          <w:tcPr/>
          <w:p>
            <w:pPr>
              <w:pStyle w:val="Compact"/>
            </w:pPr>
            <w:r>
              <w:t xml:space="preserve">E3</w:t>
            </w:r>
          </w:p>
        </w:tc>
        <w:tc>
          <w:tcPr/>
          <w:p>
            <w:pPr>
              <w:pStyle w:val="Compact"/>
            </w:pPr>
            <w:r>
              <w:t xml:space="preserve">Data retention/deletion policy</w:t>
            </w:r>
          </w:p>
        </w:tc>
        <w:tc>
          <w:tcPr/>
          <w:p>
            <w:pPr>
              <w:pStyle w:val="Compact"/>
            </w:pPr>
            <w:r>
              <w:rPr>
                <w:rStyle w:val="VerbatimChar"/>
              </w:rPr>
              <w:t xml:space="preserve">11-data-retention-deletion.md</w:t>
            </w:r>
          </w:p>
        </w:tc>
        <w:tc>
          <w:tcPr/>
          <w:p>
            <w:pPr>
              <w:pStyle w:val="Compact"/>
            </w:pPr>
            <w:r>
              <w:t xml:space="preserve">DPO</w:t>
            </w:r>
          </w:p>
        </w:tc>
        <w:tc>
          <w:tcPr/>
          <w:p>
            <w:pPr>
              <w:pStyle w:val="Compact"/>
            </w:pPr>
            <w:r>
              <w:t xml:space="preserve">🟡</w:t>
            </w:r>
          </w:p>
        </w:tc>
      </w:tr>
      <w:tr>
        <w:tc>
          <w:tcPr/>
          <w:p>
            <w:pPr>
              <w:pStyle w:val="Compact"/>
            </w:pPr>
            <w:r>
              <w:t xml:space="preserve">E4</w:t>
            </w:r>
          </w:p>
        </w:tc>
        <w:tc>
          <w:tcPr/>
          <w:p>
            <w:pPr>
              <w:pStyle w:val="Compact"/>
            </w:pPr>
            <w:r>
              <w:t xml:space="preserve">DSAR (data subject rights) workflow</w:t>
            </w:r>
          </w:p>
        </w:tc>
        <w:tc>
          <w:tcPr/>
          <w:p>
            <w:pPr>
              <w:pStyle w:val="Compact"/>
            </w:pPr>
            <w:r>
              <w:rPr>
                <w:rStyle w:val="VerbatimChar"/>
              </w:rPr>
              <w:t xml:space="preserve">12-dsar-workflow.md</w:t>
            </w:r>
          </w:p>
        </w:tc>
        <w:tc>
          <w:tcPr/>
          <w:p>
            <w:pPr>
              <w:pStyle w:val="Compact"/>
            </w:pPr>
            <w:r>
              <w:t xml:space="preserve">DPO</w:t>
            </w:r>
          </w:p>
        </w:tc>
        <w:tc>
          <w:tcPr/>
          <w:p>
            <w:pPr>
              <w:pStyle w:val="Compact"/>
            </w:pPr>
            <w:r>
              <w:t xml:space="preserve">🟡</w:t>
            </w:r>
          </w:p>
        </w:tc>
      </w:tr>
    </w:tbl>
    <w:bookmarkEnd w:id="1202"/>
    <w:bookmarkStart w:id="1203" w:name="section-f-it-cyber-risk-continuity"/>
    <w:p>
      <w:pPr>
        <w:pStyle w:val="Heading3"/>
      </w:pPr>
      <w:r>
        <w:t xml:space="preserve">Section F — IT / cyber risk &amp; continuity</w:t>
      </w:r>
    </w:p>
    <w:tbl>
      <w:tblPr>
        <w:tblStyle w:val="Table"/>
        <w:tblW w:type="pct" w:w="5000"/>
        <w:tblLayout w:type="fixed"/>
        <w:tblLook w:firstRow="1" w:lastRow="0" w:firstColumn="0" w:lastColumn="0" w:noHBand="0" w:noVBand="0" w:val="0020"/>
      </w:tblPr>
      <w:tblGrid>
        <w:gridCol w:w="609"/>
        <w:gridCol w:w="2030"/>
        <w:gridCol w:w="2233"/>
        <w:gridCol w:w="1421"/>
        <w:gridCol w:w="1624"/>
      </w:tblGrid>
      <w:tr>
        <w:trPr>
          <w:tblHeader w:val="on"/>
        </w:trPr>
        <w:tc>
          <w:tcPr/>
          <w:p>
            <w:pPr>
              <w:pStyle w:val="Compact"/>
            </w:pPr>
            <w:r>
              <w:t xml:space="preserve">#</w:t>
            </w:r>
          </w:p>
        </w:tc>
        <w:tc>
          <w:tcPr/>
          <w:p>
            <w:pPr>
              <w:pStyle w:val="Compact"/>
            </w:pPr>
            <w:r>
              <w:t xml:space="preserve">Document</w:t>
            </w:r>
          </w:p>
        </w:tc>
        <w:tc>
          <w:tcPr/>
          <w:p>
            <w:pPr>
              <w:pStyle w:val="Compact"/>
            </w:pPr>
            <w:r>
              <w:t xml:space="preserve">Reference</w:t>
            </w:r>
          </w:p>
        </w:tc>
        <w:tc>
          <w:tcPr/>
          <w:p>
            <w:pPr>
              <w:pStyle w:val="Compact"/>
            </w:pPr>
            <w:r>
              <w:t xml:space="preserve">Owner</w:t>
            </w:r>
          </w:p>
        </w:tc>
        <w:tc>
          <w:tcPr/>
          <w:p>
            <w:pPr>
              <w:pStyle w:val="Compact"/>
            </w:pPr>
            <w:r>
              <w:t xml:space="preserve">Status</w:t>
            </w:r>
          </w:p>
        </w:tc>
      </w:tr>
      <w:tr>
        <w:tc>
          <w:tcPr/>
          <w:p>
            <w:pPr>
              <w:pStyle w:val="Compact"/>
            </w:pPr>
            <w:r>
              <w:t xml:space="preserve">F1</w:t>
            </w:r>
          </w:p>
        </w:tc>
        <w:tc>
          <w:tcPr/>
          <w:p>
            <w:pPr>
              <w:pStyle w:val="Compact"/>
            </w:pPr>
            <w:r>
              <w:t xml:space="preserve">IT risk management policy</w:t>
            </w:r>
          </w:p>
        </w:tc>
        <w:tc>
          <w:tcPr/>
          <w:p>
            <w:pPr>
              <w:pStyle w:val="Compact"/>
            </w:pPr>
            <w:r>
              <w:rPr>
                <w:rStyle w:val="VerbatimChar"/>
              </w:rPr>
              <w:t xml:space="preserve">13-it-risk-management.md</w:t>
            </w:r>
          </w:p>
        </w:tc>
        <w:tc>
          <w:tcPr/>
          <w:p>
            <w:pPr>
              <w:pStyle w:val="Compact"/>
            </w:pPr>
            <w:r>
              <w:t xml:space="preserve">Security</w:t>
            </w:r>
          </w:p>
        </w:tc>
        <w:tc>
          <w:tcPr/>
          <w:p>
            <w:pPr>
              <w:pStyle w:val="Compact"/>
            </w:pPr>
            <w:r>
              <w:t xml:space="preserve">🟡</w:t>
            </w:r>
          </w:p>
        </w:tc>
      </w:tr>
      <w:tr>
        <w:tc>
          <w:tcPr/>
          <w:p>
            <w:pPr>
              <w:pStyle w:val="Compact"/>
            </w:pPr>
            <w:r>
              <w:t xml:space="preserve">F2</w:t>
            </w:r>
          </w:p>
        </w:tc>
        <w:tc>
          <w:tcPr/>
          <w:p>
            <w:pPr>
              <w:pStyle w:val="Compact"/>
            </w:pPr>
            <w:r>
              <w:t xml:space="preserve">Cyber resilience plan</w:t>
            </w:r>
          </w:p>
        </w:tc>
        <w:tc>
          <w:tcPr/>
          <w:p>
            <w:pPr>
              <w:pStyle w:val="Compact"/>
            </w:pPr>
            <w:r>
              <w:rPr>
                <w:rStyle w:val="VerbatimChar"/>
              </w:rPr>
              <w:t xml:space="preserve">14-cyber-resilience.md</w:t>
            </w:r>
          </w:p>
        </w:tc>
        <w:tc>
          <w:tcPr/>
          <w:p>
            <w:pPr>
              <w:pStyle w:val="Compact"/>
            </w:pPr>
            <w:r>
              <w:t xml:space="preserve">Security</w:t>
            </w:r>
          </w:p>
        </w:tc>
        <w:tc>
          <w:tcPr/>
          <w:p>
            <w:pPr>
              <w:pStyle w:val="Compact"/>
            </w:pPr>
            <w:r>
              <w:t xml:space="preserve">🟡</w:t>
            </w:r>
          </w:p>
        </w:tc>
      </w:tr>
      <w:tr>
        <w:tc>
          <w:tcPr/>
          <w:p>
            <w:pPr>
              <w:pStyle w:val="Compact"/>
            </w:pPr>
            <w:r>
              <w:t xml:space="preserve">F3</w:t>
            </w:r>
          </w:p>
        </w:tc>
        <w:tc>
          <w:tcPr/>
          <w:p>
            <w:pPr>
              <w:pStyle w:val="Compact"/>
            </w:pPr>
            <w:r>
              <w:t xml:space="preserve">Business continuity + DR plan (BCP/DR)</w:t>
            </w:r>
          </w:p>
        </w:tc>
        <w:tc>
          <w:tcPr/>
          <w:p>
            <w:pPr>
              <w:pStyle w:val="Compact"/>
            </w:pPr>
            <w:r>
              <w:rPr>
                <w:rStyle w:val="VerbatimChar"/>
              </w:rPr>
              <w:t xml:space="preserve">15-bcp-dr.md</w:t>
            </w:r>
          </w:p>
        </w:tc>
        <w:tc>
          <w:tcPr/>
          <w:p>
            <w:pPr>
              <w:pStyle w:val="Compact"/>
            </w:pPr>
            <w:r>
              <w:t xml:space="preserve">SRE</w:t>
            </w:r>
          </w:p>
        </w:tc>
        <w:tc>
          <w:tcPr/>
          <w:p>
            <w:pPr>
              <w:pStyle w:val="Compact"/>
            </w:pPr>
            <w:r>
              <w:t xml:space="preserve">🟡</w:t>
            </w:r>
          </w:p>
        </w:tc>
      </w:tr>
      <w:tr>
        <w:tc>
          <w:tcPr/>
          <w:p>
            <w:pPr>
              <w:pStyle w:val="Compact"/>
            </w:pPr>
            <w:r>
              <w:t xml:space="preserve">F4</w:t>
            </w:r>
          </w:p>
        </w:tc>
        <w:tc>
          <w:tcPr/>
          <w:p>
            <w:pPr>
              <w:pStyle w:val="Compact"/>
            </w:pPr>
            <w:r>
              <w:t xml:space="preserve">Incident response + breach notification</w:t>
            </w:r>
          </w:p>
        </w:tc>
        <w:tc>
          <w:tcPr/>
          <w:p>
            <w:pPr>
              <w:pStyle w:val="Compact"/>
            </w:pPr>
            <w:r>
              <w:rPr>
                <w:rStyle w:val="VerbatimChar"/>
              </w:rPr>
              <w:t xml:space="preserve">16-incident-response-breach.md</w:t>
            </w:r>
          </w:p>
        </w:tc>
        <w:tc>
          <w:tcPr/>
          <w:p>
            <w:pPr>
              <w:pStyle w:val="Compact"/>
            </w:pPr>
            <w:r>
              <w:t xml:space="preserve">Security</w:t>
            </w:r>
          </w:p>
        </w:tc>
        <w:tc>
          <w:tcPr/>
          <w:p>
            <w:pPr>
              <w:pStyle w:val="Compact"/>
            </w:pPr>
            <w:r>
              <w:t xml:space="preserve">🟡</w:t>
            </w:r>
          </w:p>
        </w:tc>
      </w:tr>
      <w:tr>
        <w:tc>
          <w:tcPr/>
          <w:p>
            <w:pPr>
              <w:pStyle w:val="Compact"/>
            </w:pPr>
            <w:r>
              <w:t xml:space="preserve">F5</w:t>
            </w:r>
          </w:p>
        </w:tc>
        <w:tc>
          <w:tcPr/>
          <w:p>
            <w:pPr>
              <w:pStyle w:val="Compact"/>
            </w:pPr>
            <w:r>
              <w:t xml:space="preserve">Change management policy</w:t>
            </w:r>
          </w:p>
        </w:tc>
        <w:tc>
          <w:tcPr/>
          <w:p>
            <w:pPr>
              <w:pStyle w:val="Compact"/>
            </w:pPr>
            <w:r>
              <w:rPr>
                <w:rStyle w:val="VerbatimChar"/>
              </w:rPr>
              <w:t xml:space="preserve">17-change-management.md</w:t>
            </w:r>
          </w:p>
        </w:tc>
        <w:tc>
          <w:tcPr/>
          <w:p>
            <w:pPr>
              <w:pStyle w:val="Compact"/>
            </w:pPr>
            <w:r>
              <w:t xml:space="preserve">SRE</w:t>
            </w:r>
          </w:p>
        </w:tc>
        <w:tc>
          <w:tcPr/>
          <w:p>
            <w:pPr>
              <w:pStyle w:val="Compact"/>
            </w:pPr>
            <w:r>
              <w:t xml:space="preserve">🟡</w:t>
            </w:r>
          </w:p>
        </w:tc>
      </w:tr>
    </w:tbl>
    <w:bookmarkEnd w:id="1203"/>
    <w:bookmarkStart w:id="1204" w:name="Xd335db4b5689083783682c0f6558660c781e3c6"/>
    <w:p>
      <w:pPr>
        <w:pStyle w:val="Heading3"/>
      </w:pPr>
      <w:r>
        <w:t xml:space="preserve">Section G — PCI-DSS &amp; cardholder data security</w:t>
      </w:r>
    </w:p>
    <w:tbl>
      <w:tblPr>
        <w:tblStyle w:val="Table"/>
        <w:tblW w:type="pct" w:w="5000"/>
        <w:tblLayout w:type="fixed"/>
        <w:tblLook w:firstRow="1" w:lastRow="0" w:firstColumn="0" w:lastColumn="0" w:noHBand="0" w:noVBand="0" w:val="0020"/>
      </w:tblPr>
      <w:tblGrid>
        <w:gridCol w:w="609"/>
        <w:gridCol w:w="2030"/>
        <w:gridCol w:w="2233"/>
        <w:gridCol w:w="1421"/>
        <w:gridCol w:w="1624"/>
      </w:tblGrid>
      <w:tr>
        <w:trPr>
          <w:tblHeader w:val="on"/>
        </w:trPr>
        <w:tc>
          <w:tcPr/>
          <w:p>
            <w:pPr>
              <w:pStyle w:val="Compact"/>
            </w:pPr>
            <w:r>
              <w:t xml:space="preserve">#</w:t>
            </w:r>
          </w:p>
        </w:tc>
        <w:tc>
          <w:tcPr/>
          <w:p>
            <w:pPr>
              <w:pStyle w:val="Compact"/>
            </w:pPr>
            <w:r>
              <w:t xml:space="preserve">Document</w:t>
            </w:r>
          </w:p>
        </w:tc>
        <w:tc>
          <w:tcPr/>
          <w:p>
            <w:pPr>
              <w:pStyle w:val="Compact"/>
            </w:pPr>
            <w:r>
              <w:t xml:space="preserve">Reference</w:t>
            </w:r>
          </w:p>
        </w:tc>
        <w:tc>
          <w:tcPr/>
          <w:p>
            <w:pPr>
              <w:pStyle w:val="Compact"/>
            </w:pPr>
            <w:r>
              <w:t xml:space="preserve">Owner</w:t>
            </w:r>
          </w:p>
        </w:tc>
        <w:tc>
          <w:tcPr/>
          <w:p>
            <w:pPr>
              <w:pStyle w:val="Compact"/>
            </w:pPr>
            <w:r>
              <w:t xml:space="preserve">Status</w:t>
            </w:r>
          </w:p>
        </w:tc>
      </w:tr>
      <w:tr>
        <w:tc>
          <w:tcPr/>
          <w:p>
            <w:pPr>
              <w:pStyle w:val="Compact"/>
            </w:pPr>
            <w:r>
              <w:t xml:space="preserve">G1</w:t>
            </w:r>
          </w:p>
        </w:tc>
        <w:tc>
          <w:tcPr/>
          <w:p>
            <w:pPr>
              <w:pStyle w:val="Compact"/>
            </w:pPr>
            <w:r>
              <w:t xml:space="preserve">PCI-DSS v4.0 Level 1 roadmap</w:t>
            </w:r>
          </w:p>
        </w:tc>
        <w:tc>
          <w:tcPr/>
          <w:p>
            <w:pPr>
              <w:pStyle w:val="Compact"/>
            </w:pPr>
            <w:r>
              <w:rPr>
                <w:rStyle w:val="VerbatimChar"/>
              </w:rPr>
              <w:t xml:space="preserve">19-pci-dss-roadmap.md</w:t>
            </w:r>
          </w:p>
        </w:tc>
        <w:tc>
          <w:tcPr/>
          <w:p>
            <w:pPr>
              <w:pStyle w:val="Compact"/>
            </w:pPr>
            <w:r>
              <w:t xml:space="preserve">Security</w:t>
            </w:r>
          </w:p>
        </w:tc>
        <w:tc>
          <w:tcPr/>
          <w:p>
            <w:pPr>
              <w:pStyle w:val="Compact"/>
            </w:pPr>
            <w:r>
              <w:t xml:space="preserve">🟡</w:t>
            </w:r>
          </w:p>
        </w:tc>
      </w:tr>
      <w:tr>
        <w:tc>
          <w:tcPr/>
          <w:p>
            <w:pPr>
              <w:pStyle w:val="Compact"/>
            </w:pPr>
            <w:r>
              <w:t xml:space="preserve">G2</w:t>
            </w:r>
          </w:p>
        </w:tc>
        <w:tc>
          <w:tcPr/>
          <w:p>
            <w:pPr>
              <w:pStyle w:val="Compact"/>
            </w:pPr>
            <w:r>
              <w:t xml:space="preserve">Network segmentation / CDE diagram</w:t>
            </w:r>
          </w:p>
        </w:tc>
        <w:tc>
          <w:tcPr/>
          <w:p>
            <w:pPr>
              <w:pStyle w:val="Compact"/>
            </w:pPr>
            <w:r>
              <w:rPr>
                <w:rStyle w:val="VerbatimChar"/>
              </w:rPr>
              <w:t xml:space="preserve">20-network-segmentation-cde.md</w:t>
            </w:r>
          </w:p>
        </w:tc>
        <w:tc>
          <w:tcPr/>
          <w:p>
            <w:pPr>
              <w:pStyle w:val="Compact"/>
            </w:pPr>
            <w:r>
              <w:t xml:space="preserve">Security</w:t>
            </w:r>
          </w:p>
        </w:tc>
        <w:tc>
          <w:tcPr/>
          <w:p>
            <w:pPr>
              <w:pStyle w:val="Compact"/>
            </w:pPr>
            <w:r>
              <w:t xml:space="preserve">🟡</w:t>
            </w:r>
          </w:p>
        </w:tc>
      </w:tr>
      <w:tr>
        <w:tc>
          <w:tcPr/>
          <w:p>
            <w:pPr>
              <w:pStyle w:val="Compact"/>
            </w:pPr>
            <w:r>
              <w:t xml:space="preserve">G3</w:t>
            </w:r>
          </w:p>
        </w:tc>
        <w:tc>
          <w:tcPr/>
          <w:p>
            <w:pPr>
              <w:pStyle w:val="Compact"/>
            </w:pPr>
            <w:r>
              <w:t xml:space="preserve">Tokenization + HSM/KMS + key management</w:t>
            </w:r>
          </w:p>
        </w:tc>
        <w:tc>
          <w:tcPr/>
          <w:p>
            <w:pPr>
              <w:pStyle w:val="Compact"/>
            </w:pPr>
            <w:r>
              <w:rPr>
                <w:rStyle w:val="VerbatimChar"/>
              </w:rPr>
              <w:t xml:space="preserve">21-tokenization-hsm-keymgmt.md</w:t>
            </w:r>
          </w:p>
        </w:tc>
        <w:tc>
          <w:tcPr/>
          <w:p>
            <w:pPr>
              <w:pStyle w:val="Compact"/>
            </w:pPr>
            <w:r>
              <w:t xml:space="preserve">Security</w:t>
            </w:r>
          </w:p>
        </w:tc>
        <w:tc>
          <w:tcPr/>
          <w:p>
            <w:pPr>
              <w:pStyle w:val="Compact"/>
            </w:pPr>
            <w:r>
              <w:t xml:space="preserve">🟡</w:t>
            </w:r>
          </w:p>
        </w:tc>
      </w:tr>
      <w:tr>
        <w:tc>
          <w:tcPr/>
          <w:p>
            <w:pPr>
              <w:pStyle w:val="Compact"/>
            </w:pPr>
            <w:r>
              <w:t xml:space="preserve">G4</w:t>
            </w:r>
          </w:p>
        </w:tc>
        <w:tc>
          <w:tcPr/>
          <w:p>
            <w:pPr>
              <w:pStyle w:val="Compact"/>
            </w:pPr>
            <w:r>
              <w:t xml:space="preserve">EMV 3DS 2.x strategy</w:t>
            </w:r>
          </w:p>
        </w:tc>
        <w:tc>
          <w:tcPr/>
          <w:p>
            <w:pPr>
              <w:pStyle w:val="Compact"/>
            </w:pPr>
            <w:r>
              <w:rPr>
                <w:rStyle w:val="VerbatimChar"/>
              </w:rPr>
              <w:t xml:space="preserve">22-3ds-strategy.md</w:t>
            </w:r>
          </w:p>
        </w:tc>
        <w:tc>
          <w:tcPr/>
          <w:p>
            <w:pPr>
              <w:pStyle w:val="Compact"/>
            </w:pPr>
            <w:r>
              <w:t xml:space="preserve">Product/Security</w:t>
            </w:r>
          </w:p>
        </w:tc>
        <w:tc>
          <w:tcPr/>
          <w:p>
            <w:pPr>
              <w:pStyle w:val="Compact"/>
            </w:pPr>
            <w:r>
              <w:t xml:space="preserve">🟡</w:t>
            </w:r>
          </w:p>
        </w:tc>
      </w:tr>
      <w:tr>
        <w:tc>
          <w:tcPr/>
          <w:p>
            <w:pPr>
              <w:pStyle w:val="Compact"/>
            </w:pPr>
            <w:r>
              <w:t xml:space="preserve">G5</w:t>
            </w:r>
          </w:p>
        </w:tc>
        <w:tc>
          <w:tcPr/>
          <w:p>
            <w:pPr>
              <w:pStyle w:val="Compact"/>
            </w:pPr>
            <w:r>
              <w:t xml:space="preserve">QSA / ASV / penetration test plan</w:t>
            </w:r>
          </w:p>
        </w:tc>
        <w:tc>
          <w:tcPr/>
          <w:p>
            <w:pPr>
              <w:pStyle w:val="Compact"/>
            </w:pPr>
            <w:r>
              <w:rPr>
                <w:rStyle w:val="VerbatimChar"/>
              </w:rPr>
              <w:t xml:space="preserve">23-qsa-asv-pentest-plan.md</w:t>
            </w:r>
          </w:p>
        </w:tc>
        <w:tc>
          <w:tcPr/>
          <w:p>
            <w:pPr>
              <w:pStyle w:val="Compact"/>
            </w:pPr>
            <w:r>
              <w:t xml:space="preserve">Security</w:t>
            </w:r>
          </w:p>
        </w:tc>
        <w:tc>
          <w:tcPr/>
          <w:p>
            <w:pPr>
              <w:pStyle w:val="Compact"/>
            </w:pPr>
            <w:r>
              <w:t xml:space="preserve">🟡</w:t>
            </w:r>
          </w:p>
        </w:tc>
      </w:tr>
      <w:tr>
        <w:tc>
          <w:tcPr/>
          <w:p>
            <w:pPr>
              <w:pStyle w:val="Compact"/>
            </w:pPr>
            <w:r>
              <w:t xml:space="preserve">G6</w:t>
            </w:r>
          </w:p>
        </w:tc>
        <w:tc>
          <w:tcPr/>
          <w:p>
            <w:pPr>
              <w:pStyle w:val="Compact"/>
            </w:pPr>
            <w:r>
              <w:t xml:space="preserve">Scheme certification plan (Visa/Mastercard)</w:t>
            </w:r>
          </w:p>
        </w:tc>
        <w:tc>
          <w:tcPr/>
          <w:p>
            <w:pPr>
              <w:pStyle w:val="Compact"/>
            </w:pPr>
            <w:r>
              <w:rPr>
                <w:rStyle w:val="VerbatimChar"/>
              </w:rPr>
              <w:t xml:space="preserve">24-scheme-certification-plan.md</w:t>
            </w:r>
          </w:p>
        </w:tc>
        <w:tc>
          <w:tcPr/>
          <w:p>
            <w:pPr>
              <w:pStyle w:val="Compact"/>
            </w:pPr>
            <w:r>
              <w:t xml:space="preserve">Product</w:t>
            </w:r>
          </w:p>
        </w:tc>
        <w:tc>
          <w:tcPr/>
          <w:p>
            <w:pPr>
              <w:pStyle w:val="Compact"/>
            </w:pPr>
            <w:r>
              <w:t xml:space="preserve">🔴 (awaiting sponsor bank)</w:t>
            </w:r>
          </w:p>
        </w:tc>
      </w:tr>
    </w:tbl>
    <w:bookmarkEnd w:id="1204"/>
    <w:bookmarkStart w:id="1205" w:name="section-h-architecture-operations"/>
    <w:p>
      <w:pPr>
        <w:pStyle w:val="Heading3"/>
      </w:pPr>
      <w:r>
        <w:t xml:space="preserve">Section H — Architecture &amp; operations</w:t>
      </w:r>
    </w:p>
    <w:tbl>
      <w:tblPr>
        <w:tblStyle w:val="Table"/>
        <w:tblW w:type="pct" w:w="5000"/>
        <w:tblLayout w:type="fixed"/>
        <w:tblLook w:firstRow="1" w:lastRow="0" w:firstColumn="0" w:lastColumn="0" w:noHBand="0" w:noVBand="0" w:val="0020"/>
      </w:tblPr>
      <w:tblGrid>
        <w:gridCol w:w="609"/>
        <w:gridCol w:w="2030"/>
        <w:gridCol w:w="2233"/>
        <w:gridCol w:w="1421"/>
        <w:gridCol w:w="1624"/>
      </w:tblGrid>
      <w:tr>
        <w:trPr>
          <w:tblHeader w:val="on"/>
        </w:trPr>
        <w:tc>
          <w:tcPr/>
          <w:p>
            <w:pPr>
              <w:pStyle w:val="Compact"/>
            </w:pPr>
            <w:r>
              <w:t xml:space="preserve">#</w:t>
            </w:r>
          </w:p>
        </w:tc>
        <w:tc>
          <w:tcPr/>
          <w:p>
            <w:pPr>
              <w:pStyle w:val="Compact"/>
            </w:pPr>
            <w:r>
              <w:t xml:space="preserve">Document</w:t>
            </w:r>
          </w:p>
        </w:tc>
        <w:tc>
          <w:tcPr/>
          <w:p>
            <w:pPr>
              <w:pStyle w:val="Compact"/>
            </w:pPr>
            <w:r>
              <w:t xml:space="preserve">Reference</w:t>
            </w:r>
          </w:p>
        </w:tc>
        <w:tc>
          <w:tcPr/>
          <w:p>
            <w:pPr>
              <w:pStyle w:val="Compact"/>
            </w:pPr>
            <w:r>
              <w:t xml:space="preserve">Owner</w:t>
            </w:r>
          </w:p>
        </w:tc>
        <w:tc>
          <w:tcPr/>
          <w:p>
            <w:pPr>
              <w:pStyle w:val="Compact"/>
            </w:pPr>
            <w:r>
              <w:t xml:space="preserve">Status</w:t>
            </w:r>
          </w:p>
        </w:tc>
      </w:tr>
      <w:tr>
        <w:tc>
          <w:tcPr/>
          <w:p>
            <w:pPr>
              <w:pStyle w:val="Compact"/>
            </w:pPr>
            <w:r>
              <w:t xml:space="preserve">H1</w:t>
            </w:r>
          </w:p>
        </w:tc>
        <w:tc>
          <w:tcPr/>
          <w:p>
            <w:pPr>
              <w:pStyle w:val="Compact"/>
            </w:pPr>
            <w:r>
              <w:t xml:space="preserve">System architecture + transaction/money flows</w:t>
            </w:r>
          </w:p>
        </w:tc>
        <w:tc>
          <w:tcPr/>
          <w:p>
            <w:pPr>
              <w:pStyle w:val="Compact"/>
            </w:pPr>
            <w:r>
              <w:rPr>
                <w:rStyle w:val="VerbatimChar"/>
              </w:rPr>
              <w:t xml:space="preserve">../ARCHITECTURE.md</w:t>
            </w:r>
            <w:r>
              <w:t xml:space="preserve">,</w:t>
            </w:r>
            <w:r>
              <w:t xml:space="preserve"> </w:t>
            </w:r>
            <w:r>
              <w:rPr>
                <w:rStyle w:val="VerbatimChar"/>
              </w:rPr>
              <w:t xml:space="preserve">../DIAGRAMS.md</w:t>
            </w:r>
          </w:p>
        </w:tc>
        <w:tc>
          <w:tcPr/>
          <w:p>
            <w:pPr>
              <w:pStyle w:val="Compact"/>
            </w:pPr>
            <w:r>
              <w:t xml:space="preserve">Engineering</w:t>
            </w:r>
          </w:p>
        </w:tc>
        <w:tc>
          <w:tcPr/>
          <w:p>
            <w:pPr>
              <w:pStyle w:val="Compact"/>
            </w:pPr>
            <w:r>
              <w:t xml:space="preserve">✅</w:t>
            </w:r>
          </w:p>
        </w:tc>
      </w:tr>
      <w:tr>
        <w:tc>
          <w:tcPr/>
          <w:p>
            <w:pPr>
              <w:pStyle w:val="Compact"/>
            </w:pPr>
            <w:r>
              <w:t xml:space="preserve">H2</w:t>
            </w:r>
          </w:p>
        </w:tc>
        <w:tc>
          <w:tcPr/>
          <w:p>
            <w:pPr>
              <w:pStyle w:val="Compact"/>
            </w:pPr>
            <w:r>
              <w:t xml:space="preserve">Merchant agreement / terms of service</w:t>
            </w:r>
          </w:p>
        </w:tc>
        <w:tc>
          <w:tcPr/>
          <w:p>
            <w:pPr>
              <w:pStyle w:val="Compact"/>
            </w:pPr>
            <w:r>
              <w:rPr>
                <w:rStyle w:val="VerbatimChar"/>
              </w:rPr>
              <w:t xml:space="preserve">25-merchant-agreement-tos.md</w:t>
            </w:r>
          </w:p>
        </w:tc>
        <w:tc>
          <w:tcPr/>
          <w:p>
            <w:pPr>
              <w:pStyle w:val="Compact"/>
            </w:pPr>
            <w:r>
              <w:t xml:space="preserve">Legal</w:t>
            </w:r>
          </w:p>
        </w:tc>
        <w:tc>
          <w:tcPr/>
          <w:p>
            <w:pPr>
              <w:pStyle w:val="Compact"/>
            </w:pPr>
            <w:r>
              <w:t xml:space="preserve">🟡</w:t>
            </w:r>
          </w:p>
        </w:tc>
      </w:tr>
      <w:tr>
        <w:tc>
          <w:tcPr/>
          <w:p>
            <w:pPr>
              <w:pStyle w:val="Compact"/>
            </w:pPr>
            <w:r>
              <w:t xml:space="preserve">H3</w:t>
            </w:r>
          </w:p>
        </w:tc>
        <w:tc>
          <w:tcPr/>
          <w:p>
            <w:pPr>
              <w:pStyle w:val="Compact"/>
            </w:pPr>
            <w:r>
              <w:t xml:space="preserve">Roadmap / timeline</w:t>
            </w:r>
          </w:p>
        </w:tc>
        <w:tc>
          <w:tcPr/>
          <w:p>
            <w:pPr>
              <w:pStyle w:val="Compact"/>
            </w:pPr>
            <w:r>
              <w:rPr>
                <w:rStyle w:val="VerbatimChar"/>
              </w:rPr>
              <w:t xml:space="preserve">../ROADMAP.md</w:t>
            </w:r>
          </w:p>
        </w:tc>
        <w:tc>
          <w:tcPr/>
          <w:p>
            <w:pPr>
              <w:pStyle w:val="Compact"/>
            </w:pPr>
            <w:r>
              <w:t xml:space="preserve">Product</w:t>
            </w:r>
          </w:p>
        </w:tc>
        <w:tc>
          <w:tcPr/>
          <w:p>
            <w:pPr>
              <w:pStyle w:val="Compact"/>
            </w:pPr>
            <w:r>
              <w:t xml:space="preserve">✅</w:t>
            </w:r>
          </w:p>
        </w:tc>
      </w:tr>
      <w:tr>
        <w:tc>
          <w:tcPr/>
          <w:p>
            <w:pPr>
              <w:pStyle w:val="Compact"/>
            </w:pPr>
            <w:r>
              <w:t xml:space="preserve">H4</w:t>
            </w:r>
          </w:p>
        </w:tc>
        <w:tc>
          <w:tcPr/>
          <w:p>
            <w:pPr>
              <w:pStyle w:val="Compact"/>
            </w:pPr>
            <w:r>
              <w:t xml:space="preserve">Outsourcing / third-party service plan</w:t>
            </w:r>
          </w:p>
        </w:tc>
        <w:tc>
          <w:tcPr/>
          <w:p>
            <w:pPr>
              <w:pStyle w:val="Compact"/>
            </w:pPr>
            <w:r>
              <w:rPr>
                <w:i/>
                <w:iCs/>
              </w:rPr>
              <w:t xml:space="preserve">(in</w:t>
            </w:r>
            <w:r>
              <w:rPr>
                <w:i/>
                <w:iCs/>
              </w:rPr>
              <w:t xml:space="preserve"> </w:t>
            </w:r>
            <w:r>
              <w:rPr>
                <w:rStyle w:val="VerbatimChar"/>
                <w:i/>
                <w:iCs/>
              </w:rPr>
              <w:t xml:space="preserve">13</w:t>
            </w:r>
            <w:r>
              <w:rPr>
                <w:i/>
                <w:iCs/>
              </w:rPr>
              <w:t xml:space="preserve">/</w:t>
            </w:r>
            <w:r>
              <w:rPr>
                <w:rStyle w:val="VerbatimChar"/>
                <w:i/>
                <w:iCs/>
              </w:rPr>
              <w:t xml:space="preserve">24</w:t>
            </w:r>
            <w:r>
              <w:rPr>
                <w:i/>
                <w:iCs/>
              </w:rPr>
              <w:t xml:space="preserve">)</w:t>
            </w:r>
          </w:p>
        </w:tc>
        <w:tc>
          <w:tcPr/>
          <w:p>
            <w:pPr>
              <w:pStyle w:val="Compact"/>
            </w:pPr>
            <w:r>
              <w:t xml:space="preserve">Compliance</w:t>
            </w:r>
          </w:p>
        </w:tc>
        <w:tc>
          <w:tcPr/>
          <w:p>
            <w:pPr>
              <w:pStyle w:val="Compact"/>
            </w:pPr>
            <w:r>
              <w:t xml:space="preserve">🟡</w:t>
            </w:r>
          </w:p>
        </w:tc>
      </w:tr>
    </w:tbl>
    <w:p>
      <w:pPr>
        <w:pStyle w:val="BlockText"/>
      </w:pPr>
      <w:r>
        <w:rPr>
          <w:b/>
          <w:bCs/>
        </w:rPr>
        <w:t xml:space="preserve">[ASSUMPTION / TODO — external dependencies]</w:t>
      </w:r>
      <w:r>
        <w:t xml:space="preserve"> </w:t>
      </w:r>
      <w:r>
        <w:t xml:space="preserve">Most 🔴 items depend on unresolved external factors:</w:t>
      </w:r>
      <w:r>
        <w:t xml:space="preserve"> </w:t>
      </w:r>
      <w:r>
        <w:rPr>
          <w:b/>
          <w:bCs/>
        </w:rPr>
        <w:t xml:space="preserve">(1) sponsor / acquiring bank</w:t>
      </w:r>
      <w:r>
        <w:t xml:space="preserve"> </w:t>
      </w:r>
      <w:r>
        <w:t xml:space="preserve">(drives scheme certification timing),</w:t>
      </w:r>
      <w:r>
        <w:t xml:space="preserve"> </w:t>
      </w:r>
      <w:r>
        <w:rPr>
          <w:b/>
          <w:bCs/>
        </w:rPr>
        <w:t xml:space="preserve">(2) QSA vendor</w:t>
      </w:r>
      <w:r>
        <w:t xml:space="preserve"> </w:t>
      </w:r>
      <w:r>
        <w:t xml:space="preserve">(issues the RoC),</w:t>
      </w:r>
      <w:r>
        <w:t xml:space="preserve"> </w:t>
      </w:r>
      <w:r>
        <w:rPr>
          <w:b/>
          <w:bCs/>
        </w:rPr>
        <w:t xml:space="preserve">(3) 3DS vendor</w:t>
      </w:r>
      <w:r>
        <w:t xml:space="preserve">, and</w:t>
      </w:r>
      <w:r>
        <w:t xml:space="preserve"> </w:t>
      </w:r>
      <w:r>
        <w:rPr>
          <w:b/>
          <w:bCs/>
        </w:rPr>
        <w:t xml:space="preserve">(4) actual evidence of THB 50M capital payment</w:t>
      </w:r>
      <w:r>
        <w:t xml:space="preserve">. Do not name unconfirmed counterparties in the actual application, and close these items before filing.</w:t>
      </w:r>
    </w:p>
    <w:p>
      <w:r>
        <w:pict>
          <v:rect style="width:0;height:1.5pt" o:hralign="center" o:hrstd="t" o:hr="t"/>
        </w:pict>
      </w:r>
    </w:p>
    <w:bookmarkEnd w:id="1205"/>
    <w:bookmarkEnd w:id="1206"/>
    <w:bookmarkStart w:id="1207" w:name="executive-summary-abstract"/>
    <w:p>
      <w:pPr>
        <w:pStyle w:val="Heading2"/>
      </w:pPr>
      <w:r>
        <w:t xml:space="preserve">3. Executive summary (abstract)</w:t>
      </w:r>
    </w:p>
    <w:p>
      <w:pPr>
        <w:pStyle w:val="BlockText"/>
      </w:pPr>
      <w:r>
        <w:t xml:space="preserve">Full version at</w:t>
      </w:r>
      <w:r>
        <w:t xml:space="preserve"> </w:t>
      </w:r>
      <w:r>
        <w:rPr>
          <w:rStyle w:val="VerbatimChar"/>
        </w:rPr>
        <w:t xml:space="preserve">00-executive-summary.md</w:t>
      </w:r>
      <w:r>
        <w:t xml:space="preserve"> </w:t>
      </w:r>
      <w:r>
        <w:t xml:space="preserve">— this is a cover-page abstract.</w:t>
      </w:r>
    </w:p>
    <w:p>
      <w:pPr>
        <w:pStyle w:val="FirstParagraph"/>
      </w:pPr>
      <w:r>
        <w:rPr>
          <w:b/>
          <w:bCs/>
        </w:rPr>
        <w:t xml:space="preserve">[บริษัท / Company]</w:t>
      </w:r>
      <w:r>
        <w:t xml:space="preserve"> </w:t>
      </w:r>
      <w:r>
        <w:t xml:space="preserve">applies for a</w:t>
      </w:r>
      <w:r>
        <w:t xml:space="preserve"> </w:t>
      </w:r>
      <w:r>
        <w:rPr>
          <w:b/>
          <w:bCs/>
        </w:rPr>
        <w:t xml:space="preserve">Full Acquiring Service license (Path B)</w:t>
      </w:r>
      <w:r>
        <w:t xml:space="preserve"> </w:t>
      </w:r>
      <w:r>
        <w:t xml:space="preserve">under the Payment Systems Act B.E. 2560, providing Visa/Mastercard card acceptance for e-commerce/in-app/POS merchants with EMV 3DS 2.x. Revenue is from MDR + per-transaction fees + settlement fees.</w:t>
      </w:r>
    </w:p>
    <w:p>
      <w:pPr>
        <w:pStyle w:val="Compact"/>
        <w:numPr>
          <w:ilvl w:val="0"/>
          <w:numId w:val="1438"/>
        </w:numPr>
      </w:pPr>
      <w:r>
        <w:rPr>
          <w:b/>
          <w:bCs/>
        </w:rPr>
        <w:t xml:space="preserve">Scale:</w:t>
      </w:r>
      <w:r>
        <w:t xml:space="preserve"> </w:t>
      </w:r>
      <w:r>
        <w:t xml:space="preserve">Year-1 volume projected &gt; 6M transactions/year → falls directly under</w:t>
      </w:r>
      <w:r>
        <w:t xml:space="preserve"> </w:t>
      </w:r>
      <w:r>
        <w:rPr>
          <w:b/>
          <w:bCs/>
        </w:rPr>
        <w:t xml:space="preserve">PCI-DSS Level 1</w:t>
      </w:r>
      <w:r>
        <w:t xml:space="preserve"> </w:t>
      </w:r>
      <w:r>
        <w:rPr>
          <w:i/>
          <w:iCs/>
        </w:rPr>
        <w:t xml:space="preserve">(estimate — TODO confirm from financial model)</w:t>
      </w:r>
      <w:r>
        <w:t xml:space="preserve">.</w:t>
      </w:r>
    </w:p>
    <w:p>
      <w:pPr>
        <w:pStyle w:val="Compact"/>
        <w:numPr>
          <w:ilvl w:val="0"/>
          <w:numId w:val="1438"/>
        </w:numPr>
      </w:pPr>
      <w:r>
        <w:rPr>
          <w:b/>
          <w:bCs/>
        </w:rPr>
        <w:t xml:space="preserve">Capital:</w:t>
      </w:r>
      <w:r>
        <w:t xml:space="preserve"> </w:t>
      </w:r>
      <w:r>
        <w:t xml:space="preserve">THB 50M paid up, maintained ≥ 75%.</w:t>
      </w:r>
    </w:p>
    <w:p>
      <w:pPr>
        <w:pStyle w:val="Compact"/>
        <w:numPr>
          <w:ilvl w:val="0"/>
          <w:numId w:val="1438"/>
        </w:numPr>
      </w:pPr>
      <w:r>
        <w:rPr>
          <w:b/>
          <w:bCs/>
        </w:rPr>
        <w:t xml:space="preserve">Architecture:</w:t>
      </w:r>
      <w:r>
        <w:t xml:space="preserve"> </w:t>
      </w:r>
      <w:r>
        <w:t xml:space="preserve">Clean Architecture (Go/Fiber), append-only double-entry ledger, no full PAN/CVV/PIN storage (only</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segregated tokenization vault to minimize PCI scope, idempotency + fail-closed + full audit trail on every state change.</w:t>
      </w:r>
    </w:p>
    <w:p>
      <w:pPr>
        <w:pStyle w:val="Compact"/>
        <w:numPr>
          <w:ilvl w:val="0"/>
          <w:numId w:val="1438"/>
        </w:numPr>
      </w:pPr>
      <w:r>
        <w:rPr>
          <w:b/>
          <w:bCs/>
        </w:rPr>
        <w:t xml:space="preserve">NFRs:</w:t>
      </w:r>
      <w:r>
        <w:t xml:space="preserve"> </w:t>
      </w:r>
      <w:r>
        <w:t xml:space="preserve">availability ≥ 99.95%, auth p99 &lt; 800 ms, RPO ≤ 5 min, RTO ≤ 30 min, data residency in Thailand.</w:t>
      </w:r>
    </w:p>
    <w:p>
      <w:pPr>
        <w:pStyle w:val="Compact"/>
        <w:numPr>
          <w:ilvl w:val="0"/>
          <w:numId w:val="1438"/>
        </w:numPr>
      </w:pPr>
      <w:r>
        <w:rPr>
          <w:b/>
          <w:bCs/>
        </w:rPr>
        <w:t xml:space="preserve">Critical path:</w:t>
      </w:r>
      <w:r>
        <w:t xml:space="preserve"> </w:t>
      </w:r>
      <w:r>
        <w:t xml:space="preserve">(1) sponsor bank + scheme certification, (2) PCI-DSS L1 (QSA→RoC), (3) completeness of the application.</w:t>
      </w:r>
    </w:p>
    <w:p>
      <w:r>
        <w:pict>
          <v:rect style="width:0;height:1.5pt" o:hralign="center" o:hrstd="t" o:hr="t"/>
        </w:pict>
      </w:r>
    </w:p>
    <w:bookmarkEnd w:id="1207"/>
    <w:bookmarkStart w:id="1213" w:name="submission-guide"/>
    <w:p>
      <w:pPr>
        <w:pStyle w:val="Heading2"/>
      </w:pPr>
      <w:r>
        <w:t xml:space="preserve">4. Submission guide</w:t>
      </w:r>
    </w:p>
    <w:bookmarkStart w:id="1208" w:name="channel-and-recipient"/>
    <w:p>
      <w:pPr>
        <w:pStyle w:val="Heading3"/>
      </w:pPr>
      <w:r>
        <w:t xml:space="preserve">4.1 Channel and recipient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Regulator</w:t>
            </w:r>
          </w:p>
        </w:tc>
        <w:tc>
          <w:tcPr/>
          <w:p>
            <w:pPr>
              <w:pStyle w:val="Compact"/>
            </w:pPr>
            <w:r>
              <w:t xml:space="preserve">Bank of Thailand (BOT) — payment systems supervision function</w:t>
            </w:r>
          </w:p>
        </w:tc>
      </w:tr>
      <w:tr>
        <w:tc>
          <w:tcPr/>
          <w:p>
            <w:pPr>
              <w:pStyle w:val="Compact"/>
            </w:pPr>
            <w:r>
              <w:t xml:space="preserve">License issuer</w:t>
            </w:r>
          </w:p>
        </w:tc>
        <w:tc>
          <w:tcPr/>
          <w:p>
            <w:pPr>
              <w:pStyle w:val="Compact"/>
            </w:pPr>
            <w:r>
              <w:t xml:space="preserve">Minister of Finance (on BOT’s recommendation)</w:t>
            </w:r>
          </w:p>
        </w:tc>
      </w:tr>
      <w:tr>
        <w:tc>
          <w:tcPr/>
          <w:p>
            <w:pPr>
              <w:pStyle w:val="Compact"/>
            </w:pPr>
            <w:r>
              <w:t xml:space="preserve">Filing channel</w:t>
            </w:r>
          </w:p>
        </w:tc>
        <w:tc>
          <w:tcPr/>
          <w:p>
            <w:pPr>
              <w:pStyle w:val="Compact"/>
            </w:pPr>
            <w:r>
              <w:t xml:space="preserve">As prescribed by the BOT (formal letter / BOT-published e-channel)</w:t>
            </w:r>
            <w:r>
              <w:t xml:space="preserve"> </w:t>
            </w:r>
            <w:r>
              <w:rPr>
                <w:i/>
                <w:iCs/>
              </w:rPr>
              <w:t xml:space="preserve">[TODO confirm current channel with counsel]</w:t>
            </w:r>
          </w:p>
        </w:tc>
      </w:tr>
      <w:tr>
        <w:tc>
          <w:tcPr/>
          <w:p>
            <w:pPr>
              <w:pStyle w:val="Compact"/>
            </w:pPr>
            <w:r>
              <w:t xml:space="preserve">Document language</w:t>
            </w:r>
          </w:p>
        </w:tc>
        <w:tc>
          <w:tcPr/>
          <w:p>
            <w:pPr>
              <w:pStyle w:val="Compact"/>
            </w:pPr>
            <w:r>
              <w:t xml:space="preserve">Thai primary (foreign documents with certified translation)</w:t>
            </w:r>
          </w:p>
        </w:tc>
      </w:tr>
      <w:tr>
        <w:tc>
          <w:tcPr/>
          <w:p>
            <w:pPr>
              <w:pStyle w:val="Compact"/>
            </w:pPr>
            <w:r>
              <w:t xml:space="preserve">Copies</w:t>
            </w:r>
          </w:p>
        </w:tc>
        <w:tc>
          <w:tcPr/>
          <w:p>
            <w:pPr>
              <w:pStyle w:val="Compact"/>
            </w:pPr>
            <w:r>
              <w:t xml:space="preserve">Per BOT requirement (original + copies)</w:t>
            </w:r>
            <w:r>
              <w:t xml:space="preserve"> </w:t>
            </w:r>
            <w:r>
              <w:rPr>
                <w:i/>
                <w:iCs/>
              </w:rPr>
              <w:t xml:space="preserve">[TODO confirm]</w:t>
            </w:r>
          </w:p>
        </w:tc>
      </w:tr>
    </w:tbl>
    <w:bookmarkEnd w:id="1208"/>
    <w:bookmarkStart w:id="1209" w:name="filing-and-review-sequence"/>
    <w:p>
      <w:pPr>
        <w:pStyle w:val="Heading3"/>
      </w:pPr>
      <w:r>
        <w:t xml:space="preserve">4.2 Filing and review sequence</w:t>
      </w:r>
    </w:p>
    <w:p>
      <w:pPr>
        <w:pStyle w:val="Compact"/>
        <w:numPr>
          <w:ilvl w:val="0"/>
          <w:numId w:val="1439"/>
        </w:numPr>
      </w:pPr>
      <w:r>
        <w:rPr>
          <w:b/>
          <w:bCs/>
        </w:rPr>
        <w:t xml:space="preserve">Internal pre-check</w:t>
      </w:r>
      <w:r>
        <w:t xml:space="preserve"> </w:t>
      </w:r>
      <w:r>
        <w:t xml:space="preserve">— Compliance + legal counsel verify the full set (checklist Sections A–H); close all 🔴 items.</w:t>
      </w:r>
    </w:p>
    <w:p>
      <w:pPr>
        <w:pStyle w:val="Compact"/>
        <w:numPr>
          <w:ilvl w:val="0"/>
          <w:numId w:val="1439"/>
        </w:numPr>
      </w:pPr>
      <w:r>
        <w:rPr>
          <w:b/>
          <w:bCs/>
        </w:rPr>
        <w:t xml:space="preserve">Submit application + attachments</w:t>
      </w:r>
      <w:r>
        <w:t xml:space="preserve"> </w:t>
      </w:r>
      <w:r>
        <w:t xml:space="preserve">to the BOT.</w:t>
      </w:r>
    </w:p>
    <w:p>
      <w:pPr>
        <w:pStyle w:val="Compact"/>
        <w:numPr>
          <w:ilvl w:val="0"/>
          <w:numId w:val="1439"/>
        </w:numPr>
      </w:pPr>
      <w:r>
        <w:rPr>
          <w:b/>
          <w:bCs/>
        </w:rPr>
        <w:t xml:space="preserve">BOT completeness check</w:t>
      </w:r>
      <w:r>
        <w:t xml:space="preserve"> </w:t>
      </w:r>
      <w:r>
        <w:t xml:space="preserve">— may request additional documents.</w:t>
      </w:r>
    </w:p>
    <w:p>
      <w:pPr>
        <w:pStyle w:val="Compact"/>
        <w:numPr>
          <w:ilvl w:val="0"/>
          <w:numId w:val="1439"/>
        </w:numPr>
      </w:pPr>
      <w:r>
        <w:rPr>
          <w:b/>
          <w:bCs/>
        </w:rPr>
        <w:t xml:space="preserve">Substantive review + on-site inspection</w:t>
      </w:r>
      <w:r>
        <w:t xml:space="preserve"> </w:t>
      </w:r>
      <w:r>
        <w:t xml:space="preserve">— BOT may inspect premises/systems (security, AML, BCP, audit trail).</w:t>
      </w:r>
    </w:p>
    <w:p>
      <w:pPr>
        <w:pStyle w:val="Compact"/>
        <w:numPr>
          <w:ilvl w:val="0"/>
          <w:numId w:val="1439"/>
        </w:numPr>
      </w:pPr>
      <w:r>
        <w:rPr>
          <w:b/>
          <w:bCs/>
        </w:rPr>
        <w:t xml:space="preserve">BOT recommends to the Minister of Finance</w:t>
      </w:r>
      <w:r>
        <w:t xml:space="preserve"> </w:t>
      </w:r>
      <w:r>
        <w:t xml:space="preserve">for license issuance.</w:t>
      </w:r>
    </w:p>
    <w:p>
      <w:pPr>
        <w:pStyle w:val="Compact"/>
        <w:numPr>
          <w:ilvl w:val="0"/>
          <w:numId w:val="1439"/>
        </w:numPr>
      </w:pPr>
      <w:r>
        <w:rPr>
          <w:b/>
          <w:bCs/>
        </w:rPr>
        <w:t xml:space="preserve">License granted</w:t>
      </w:r>
      <w:r>
        <w:t xml:space="preserve"> </w:t>
      </w:r>
      <w:r>
        <w:t xml:space="preserve">→ comply with conditions + periodic reporting + ongoing assessment.</w:t>
      </w:r>
    </w:p>
    <w:bookmarkEnd w:id="1209"/>
    <w:bookmarkStart w:id="1210" w:name="X19ebeb936524fa0b347772d8f08eefe6db8c9c5"/>
    <w:p>
      <w:pPr>
        <w:pStyle w:val="Heading3"/>
      </w:pPr>
      <w:r>
        <w:t xml:space="preserve">4.3 Timeline (parallel engineering + compliance)</w:t>
      </w:r>
    </w:p>
    <w:tbl>
      <w:tblPr>
        <w:tblStyle w:val="Table"/>
        <w:tblW w:type="pct" w:w="5000"/>
        <w:tblLayout w:type="fixed"/>
        <w:tblLook w:firstRow="1" w:lastRow="0" w:firstColumn="0" w:lastColumn="0" w:noHBand="0" w:noVBand="0" w:val="0020"/>
      </w:tblPr>
      <w:tblGrid>
        <w:gridCol w:w="1980"/>
        <w:gridCol w:w="2262"/>
        <w:gridCol w:w="3677"/>
      </w:tblGrid>
      <w:tr>
        <w:trPr>
          <w:tblHeader w:val="on"/>
        </w:trPr>
        <w:tc>
          <w:tcPr/>
          <w:p>
            <w:pPr>
              <w:pStyle w:val="Compact"/>
            </w:pPr>
            <w:r>
              <w:t xml:space="preserve">Stage</w:t>
            </w:r>
          </w:p>
        </w:tc>
        <w:tc>
          <w:tcPr/>
          <w:p>
            <w:pPr>
              <w:pStyle w:val="Compact"/>
            </w:pPr>
            <w:r>
              <w:t xml:space="preserve">Window</w:t>
            </w:r>
          </w:p>
        </w:tc>
        <w:tc>
          <w:tcPr/>
          <w:p>
            <w:pPr>
              <w:pStyle w:val="Compact"/>
            </w:pPr>
            <w:r>
              <w:t xml:space="preserve">Deliverable</w:t>
            </w:r>
          </w:p>
        </w:tc>
      </w:tr>
      <w:tr>
        <w:tc>
          <w:tcPr/>
          <w:p>
            <w:pPr>
              <w:pStyle w:val="Compact"/>
            </w:pPr>
            <w:r>
              <w:t xml:space="preserve">Entity/capital prep</w:t>
            </w:r>
          </w:p>
        </w:tc>
        <w:tc>
          <w:tcPr/>
          <w:p>
            <w:pPr>
              <w:pStyle w:val="Compact"/>
            </w:pPr>
            <w:r>
              <w:t xml:space="preserve">Aug–Sep 2026</w:t>
            </w:r>
          </w:p>
        </w:tc>
        <w:tc>
          <w:tcPr/>
          <w:p>
            <w:pPr>
              <w:pStyle w:val="Compact"/>
            </w:pPr>
            <w:r>
              <w:t xml:space="preserve">THB 50M paid up, objectives amended, board structure</w:t>
            </w:r>
          </w:p>
        </w:tc>
      </w:tr>
      <w:tr>
        <w:tc>
          <w:tcPr/>
          <w:p>
            <w:pPr>
              <w:pStyle w:val="Compact"/>
            </w:pPr>
            <w:r>
              <w:t xml:space="preserve">Documentation + BOT filing</w:t>
            </w:r>
          </w:p>
        </w:tc>
        <w:tc>
          <w:tcPr/>
          <w:p>
            <w:pPr>
              <w:pStyle w:val="Compact"/>
            </w:pPr>
            <w:r>
              <w:t xml:space="preserve">Sep 2026 – Jan 2027</w:t>
            </w:r>
          </w:p>
        </w:tc>
        <w:tc>
          <w:tcPr/>
          <w:p>
            <w:pPr>
              <w:pStyle w:val="Compact"/>
            </w:pPr>
            <w:r>
              <w:t xml:space="preserve">Complete application package</w:t>
            </w:r>
          </w:p>
        </w:tc>
      </w:tr>
      <w:tr>
        <w:tc>
          <w:tcPr/>
          <w:p>
            <w:pPr>
              <w:pStyle w:val="Compact"/>
            </w:pPr>
            <w:r>
              <w:t xml:space="preserve">PCI-DSS L1 (QSA→RoC)</w:t>
            </w:r>
          </w:p>
        </w:tc>
        <w:tc>
          <w:tcPr/>
          <w:p>
            <w:pPr>
              <w:pStyle w:val="Compact"/>
            </w:pPr>
            <w:r>
              <w:t xml:space="preserve">Oct 2026 – Feb 2027</w:t>
            </w:r>
          </w:p>
        </w:tc>
        <w:tc>
          <w:tcPr/>
          <w:p>
            <w:pPr>
              <w:pStyle w:val="Compact"/>
            </w:pPr>
            <w:r>
              <w:t xml:space="preserve">RoC + quarterly ASV scan</w:t>
            </w:r>
          </w:p>
        </w:tc>
      </w:tr>
      <w:tr>
        <w:tc>
          <w:tcPr/>
          <w:p>
            <w:pPr>
              <w:pStyle w:val="Compact"/>
            </w:pPr>
            <w:r>
              <w:t xml:space="preserve">Scheme certification</w:t>
            </w:r>
          </w:p>
        </w:tc>
        <w:tc>
          <w:tcPr/>
          <w:p>
            <w:pPr>
              <w:pStyle w:val="Compact"/>
            </w:pPr>
            <w:r>
              <w:t xml:space="preserve">After sponsor bank</w:t>
            </w:r>
          </w:p>
        </w:tc>
        <w:tc>
          <w:tcPr/>
          <w:p>
            <w:pPr>
              <w:pStyle w:val="Compact"/>
            </w:pPr>
            <w:r>
              <w:t xml:space="preserve">Visa/MC certification</w:t>
            </w:r>
          </w:p>
        </w:tc>
      </w:tr>
      <w:tr>
        <w:tc>
          <w:tcPr/>
          <w:p>
            <w:pPr>
              <w:pStyle w:val="Compact"/>
            </w:pPr>
            <w:r>
              <w:t xml:space="preserve">Go-live</w:t>
            </w:r>
          </w:p>
        </w:tc>
        <w:tc>
          <w:tcPr/>
          <w:p>
            <w:pPr>
              <w:pStyle w:val="Compact"/>
            </w:pPr>
            <w:r>
              <w:t xml:space="preserve">After license + RoC + cert</w:t>
            </w:r>
          </w:p>
        </w:tc>
        <w:tc>
          <w:tcPr/>
          <w:p>
            <w:pPr>
              <w:pStyle w:val="Compact"/>
            </w:pPr>
            <w:r>
              <w:t xml:space="preserve">Production cutover</w:t>
            </w:r>
          </w:p>
        </w:tc>
      </w:tr>
    </w:tbl>
    <w:p>
      <w:pPr>
        <w:pStyle w:val="BlockText"/>
      </w:pPr>
      <w:r>
        <w:t xml:space="preserve">BOT review typically takes</w:t>
      </w:r>
      <w:r>
        <w:t xml:space="preserve"> </w:t>
      </w:r>
      <w:r>
        <w:rPr>
          <w:b/>
          <w:bCs/>
        </w:rPr>
        <w:t xml:space="preserve">several months</w:t>
      </w:r>
      <w:r>
        <w:t xml:space="preserve">, depending on completeness of documents and system readiness.</w:t>
      </w:r>
    </w:p>
    <w:bookmarkEnd w:id="1210"/>
    <w:bookmarkStart w:id="1211" w:name="Xb86842177b4bae214e7ab610b6fb2fa7b0b4e26"/>
    <w:p>
      <w:pPr>
        <w:pStyle w:val="Heading3"/>
      </w:pPr>
      <w:r>
        <w:t xml:space="preserve">4.4 Handling BOT requests for information (RFI)</w:t>
      </w:r>
    </w:p>
    <w:p>
      <w:pPr>
        <w:pStyle w:val="Compact"/>
        <w:numPr>
          <w:ilvl w:val="0"/>
          <w:numId w:val="1440"/>
        </w:numPr>
      </w:pPr>
      <w:r>
        <w:t xml:space="preserve">Assign a single point of contact and log every question/answer.</w:t>
      </w:r>
    </w:p>
    <w:p>
      <w:pPr>
        <w:pStyle w:val="Compact"/>
        <w:numPr>
          <w:ilvl w:val="0"/>
          <w:numId w:val="1440"/>
        </w:numPr>
      </w:pPr>
      <w:r>
        <w:t xml:space="preserve">Respond within the BOT’s stated deadline (usually in business days); if more time is needed, request an extension in writing.</w:t>
      </w:r>
    </w:p>
    <w:p>
      <w:pPr>
        <w:pStyle w:val="Compact"/>
        <w:numPr>
          <w:ilvl w:val="0"/>
          <w:numId w:val="1440"/>
        </w:numPr>
      </w:pPr>
      <w:r>
        <w:t xml:space="preserve">Reference the exact</w:t>
      </w:r>
      <w:r>
        <w:t xml:space="preserve"> </w:t>
      </w:r>
      <w:r>
        <w:rPr>
          <w:rStyle w:val="VerbatimChar"/>
        </w:rPr>
        <w:t xml:space="preserve">docs/compliance/</w:t>
      </w:r>
      <w:r>
        <w:t xml:space="preserve"> </w:t>
      </w:r>
      <w:r>
        <w:t xml:space="preserve">document for the topic asked.</w:t>
      </w:r>
    </w:p>
    <w:bookmarkEnd w:id="1211"/>
    <w:bookmarkStart w:id="1212" w:name="post-license-obligations"/>
    <w:p>
      <w:pPr>
        <w:pStyle w:val="Heading3"/>
      </w:pPr>
      <w:r>
        <w:t xml:space="preserve">4.5 Post-license obligations</w:t>
      </w:r>
    </w:p>
    <w:p>
      <w:pPr>
        <w:pStyle w:val="Compact"/>
        <w:numPr>
          <w:ilvl w:val="0"/>
          <w:numId w:val="1441"/>
        </w:numPr>
      </w:pPr>
      <w:r>
        <w:t xml:space="preserve">Maintain paid-up capital ≥ 75% and notify the BOT of material changes.</w:t>
      </w:r>
    </w:p>
    <w:p>
      <w:pPr>
        <w:pStyle w:val="Compact"/>
        <w:numPr>
          <w:ilvl w:val="0"/>
          <w:numId w:val="1441"/>
        </w:numPr>
      </w:pPr>
      <w:r>
        <w:t xml:space="preserve">File periodic reports as required by the BOT (operational / incident / financial).</w:t>
      </w:r>
    </w:p>
    <w:p>
      <w:pPr>
        <w:pStyle w:val="Compact"/>
        <w:numPr>
          <w:ilvl w:val="0"/>
          <w:numId w:val="1441"/>
        </w:numPr>
      </w:pPr>
      <w:r>
        <w:t xml:space="preserve">Renew PCI-DSS annually (RoC + quarterly ASV + annual pentest).</w:t>
      </w:r>
    </w:p>
    <w:p>
      <w:pPr>
        <w:pStyle w:val="Compact"/>
        <w:numPr>
          <w:ilvl w:val="0"/>
          <w:numId w:val="1441"/>
        </w:numPr>
      </w:pPr>
      <w:r>
        <w:t xml:space="preserve">Report major incidents / data breaches within BOT and PDPC timeframes.</w:t>
      </w:r>
    </w:p>
    <w:p>
      <w:r>
        <w:br w:type="page"/>
      </w:r>
    </w:p>
    <w:bookmarkEnd w:id="1212"/>
    <w:bookmarkEnd w:id="1213"/>
    <w:bookmarkEnd w:id="1214"/>
    <w:bookmarkStart w:id="1224" w:name="แผนภาพสถาปตยกรรมระบบและกระแสขอมล-ไทย"/>
    <w:p>
      <w:pPr>
        <w:pStyle w:val="Heading1"/>
      </w:pPr>
      <w:r>
        <w:t xml:space="preserve">แผนภาพสถาปัตยกรรมระบบและกระแสข้อมูล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 พ.ร.บ. ระบบการชำระเงิน พ.ศ. 2560 ต่อธนาคารแห่งประเทศไทย (ธปท.) และเป็นเอกสารประกอบการประเมิน PCI-DSS v4.0 Level 1 (Requirement 1, 3, 4)</w:t>
      </w:r>
    </w:p>
    <w:p>
      <w:pPr>
        <w:pStyle w:val="BlockText"/>
      </w:pPr>
      <w:r>
        <w:t xml:space="preserve">เอกสารเลขที่:</w:t>
      </w:r>
      <w:r>
        <w:t xml:space="preserve"> </w:t>
      </w:r>
      <w:r>
        <w:rPr>
          <w:rStyle w:val="VerbatimChar"/>
        </w:rPr>
        <w:t xml:space="preserve">COMP-34</w:t>
      </w:r>
      <w:r>
        <w:t xml:space="preserve"> </w:t>
      </w:r>
      <w:r>
        <w:t xml:space="preserve">· เวอร์ชัน 1.0 · เจ้าของเอกสาร: Chief Technology Officer (CTO) / Chief Information Security Officer (CISO)</w:t>
      </w:r>
      <w:r>
        <w:t xml:space="preserve"> </w:t>
      </w:r>
      <w:r>
        <w:t xml:space="preserve">เอกสารอ้างอิง:</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docs/compliance/13-it-risk-management.md</w:t>
      </w:r>
      <w:r>
        <w:t xml:space="preserve">,</w:t>
      </w:r>
      <w:r>
        <w:t xml:space="preserve"> </w:t>
      </w:r>
      <w:r>
        <w:rPr>
          <w:rStyle w:val="VerbatimChar"/>
        </w:rPr>
        <w:t xml:space="preserve">docs/compliance/19-pci-dss-roadmap.md</w:t>
      </w:r>
      <w:r>
        <w:t xml:space="preserve">,</w:t>
      </w:r>
      <w:r>
        <w:t xml:space="preserve"> </w:t>
      </w:r>
      <w:r>
        <w:rPr>
          <w:rStyle w:val="VerbatimChar"/>
        </w:rPr>
        <w:t xml:space="preserve">docs/compliance/20-network-segmentation-cde.md</w:t>
      </w:r>
      <w:r>
        <w:t xml:space="preserve">,</w:t>
      </w:r>
      <w:r>
        <w:t xml:space="preserve"> </w:t>
      </w:r>
      <w:r>
        <w:rPr>
          <w:rStyle w:val="VerbatimChar"/>
        </w:rPr>
        <w:t xml:space="preserve">docs/compliance/21-tokenization-hsm-keymgmt.md</w:t>
      </w:r>
      <w:r>
        <w:t xml:space="preserve">,</w:t>
      </w:r>
      <w:r>
        <w:t xml:space="preserve"> </w:t>
      </w:r>
      <w:r>
        <w:rPr>
          <w:rStyle w:val="VerbatimChar"/>
        </w:rPr>
        <w:t xml:space="preserve">docs/compliance/22-3ds-strategy.md</w:t>
      </w:r>
    </w:p>
    <w:p>
      <w:pPr>
        <w:pStyle w:val="BlockText"/>
      </w:pPr>
      <w:r>
        <w:rPr>
          <w:b/>
          <w:bCs/>
        </w:rPr>
        <w:t xml:space="preserve">หมายเหตุ:</w:t>
      </w:r>
      <w:r>
        <w:t xml:space="preserve"> </w:t>
      </w:r>
      <w:r>
        <w:t xml:space="preserve">เอกสารนี้เป็นเอกสารเชิงเทคนิค/นโยบายภายใน ไม่ใช่คำแนะนำทางกฎหมาย ต้องผ่านการทบทวนโดยที่ปรึกษากฎหมายและ QSA ก่อนยื่นจริง</w:t>
      </w:r>
    </w:p>
    <w:p>
      <w:r>
        <w:pict>
          <v:rect style="width:0;height:1.5pt" o:hralign="center" o:hrstd="t" o:hr="t"/>
        </w:pict>
      </w:r>
    </w:p>
    <w:p>
      <w:pPr>
        <w:pStyle w:val="Heading3"/>
      </w:pPr>
      <w:bookmarkStart w:id="1215" w:name="ขอสมมตและสงทยงตองยนยน-assumptions-todo-5"/>
      <w:r>
        <w:t xml:space="preserve">⚠️ ข้อสมมติและสิ่งที่ยังต้องยืนยัน (Assumptions / TODO)</w:t>
      </w:r>
      <w:bookmarkEnd w:id="1215"/>
    </w:p>
    <w:p>
      <w:pPr>
        <w:pStyle w:val="BlockText"/>
      </w:pPr>
      <w:r>
        <w:t xml:space="preserve">รายการต่อไปนี้ยังขึ้นกับคู่สัญญา/ผู้ให้บริการภายนอกที่ยังไม่สรุป — ห้ามถือเป็นข้อเท็จจริงจนกว่าจะยืนยัน:</w:t>
      </w:r>
      <w:r>
        <w:t xml:space="preserve"> </w:t>
      </w:r>
      <w:r>
        <w:t xml:space="preserve">-</w:t>
      </w:r>
      <w:r>
        <w:t xml:space="preserve"> </w:t>
      </w:r>
      <w:r>
        <w:rPr>
          <w:b/>
          <w:bCs/>
        </w:rPr>
        <w:t xml:space="preserve">[TODO — Sponsor Bank / Acquirer]</w:t>
      </w:r>
      <w:r>
        <w:t xml:space="preserve"> </w:t>
      </w:r>
      <w:r>
        <w:t xml:space="preserve">ยังไม่ลงนามธนาคารผู้รับเชื่อม (sponsoring bank) และ card scheme (Visa/Mastercard) — โปรโตคอลจริง (ISO 8583 vs REST), รูปแบบการเชื่อม (leased line / MPLS / IPsec VPN), BIN sponsorship และ settlement cut-off จะยืนยันได้หลังลงนาม</w:t>
      </w:r>
      <w:r>
        <w:t xml:space="preserve"> </w:t>
      </w:r>
      <w:r>
        <w:t xml:space="preserve">-</w:t>
      </w:r>
      <w:r>
        <w:t xml:space="preserve"> </w:t>
      </w:r>
      <w:r>
        <w:rPr>
          <w:b/>
          <w:bCs/>
        </w:rPr>
        <w:t xml:space="preserve">[TODO — QSA / ASV]</w:t>
      </w:r>
      <w:r>
        <w:t xml:space="preserve"> </w:t>
      </w:r>
      <w:r>
        <w:t xml:space="preserve">ยังไม่เลือกผู้ประเมิน PCI-DSS (Qualified Security Assessor) และผู้ให้บริการ ASV — การยืนยันขอบเขต (scope) และ trust boundary ในเอกสารนี้ต้องผ่านการรับรองโดย QSA (PCI Req 12.5.2)</w:t>
      </w:r>
      <w:r>
        <w:t xml:space="preserve"> </w:t>
      </w:r>
      <w:r>
        <w:t xml:space="preserve">-</w:t>
      </w:r>
      <w:r>
        <w:t xml:space="preserve"> </w:t>
      </w:r>
      <w:r>
        <w:rPr>
          <w:b/>
          <w:bCs/>
        </w:rPr>
        <w:t xml:space="preserve">[TODO — 3DS Provider / Directory Server]</w:t>
      </w:r>
      <w:r>
        <w:t xml:space="preserve"> </w:t>
      </w:r>
      <w:r>
        <w:t xml:space="preserve">ยังไม่เลือกผู้ให้บริการ 3DS Server / MPI (EMV 3DS 2.2+) — endpoint ของ DS/ACS และ certification กับ scheme ต้องยืนยัน</w:t>
      </w:r>
      <w:r>
        <w:t xml:space="preserve"> </w:t>
      </w:r>
      <w:r>
        <w:t xml:space="preserve">-</w:t>
      </w:r>
      <w:r>
        <w:t xml:space="preserve"> </w:t>
      </w:r>
      <w:r>
        <w:rPr>
          <w:b/>
          <w:bCs/>
        </w:rPr>
        <w:t xml:space="preserve">[TODO — HSM/KMS Vendor]</w:t>
      </w:r>
      <w:r>
        <w:t xml:space="preserve"> </w:t>
      </w:r>
      <w:r>
        <w:t xml:space="preserve">ยังไม่เลือกผู้ให้บริการ HSM/KMS (on-prem HSM ที่ผ่าน FIPS 140-2/140-3 Level 3 หรือ cloud HSM) — ดู</w:t>
      </w:r>
      <w:r>
        <w:t xml:space="preserve"> </w:t>
      </w:r>
      <w:r>
        <w:rPr>
          <w:rStyle w:val="VerbatimChar"/>
        </w:rPr>
        <w:t xml:space="preserve">COMP-21</w:t>
      </w:r>
      <w:r>
        <w:t xml:space="preserve"> </w:t>
      </w:r>
      <w:r>
        <w:t xml:space="preserve">-</w:t>
      </w:r>
      <w:r>
        <w:t xml:space="preserve"> </w:t>
      </w:r>
      <w:r>
        <w:rPr>
          <w:b/>
          <w:bCs/>
        </w:rPr>
        <w:t xml:space="preserve">[TODO — Cloud / Data Residency]</w:t>
      </w:r>
      <w:r>
        <w:t xml:space="preserve"> </w:t>
      </w:r>
      <w:r>
        <w:t xml:space="preserve">ผู้ให้บริการ cloud และ region ยังไม่สรุป — ต้องเก็บข้อมูลในไทยตามข้อกำหนด ธปท./PDPA (ARCHITECTURE §8)</w:t>
      </w:r>
      <w:r>
        <w:t xml:space="preserve"> </w:t>
      </w:r>
      <w:r>
        <w:t xml:space="preserve">-</w:t>
      </w:r>
      <w:r>
        <w:t xml:space="preserve"> </w:t>
      </w:r>
      <w:r>
        <w:rPr>
          <w:b/>
          <w:bCs/>
        </w:rPr>
        <w:t xml:space="preserve">[TODO — ทุนจดทะเบียน]</w:t>
      </w:r>
      <w:r>
        <w:t xml:space="preserve"> </w:t>
      </w:r>
      <w:r>
        <w:t xml:space="preserve">ทุนจดทะเบียนชำระแล้วเป้าหมาย</w:t>
      </w:r>
      <w:r>
        <w:t xml:space="preserve"> </w:t>
      </w:r>
      <w:r>
        <w:rPr>
          <w:b/>
          <w:bCs/>
        </w:rPr>
        <w:t xml:space="preserve">50 ล้านบาท</w:t>
      </w:r>
      <w:r>
        <w:t xml:space="preserve"> </w:t>
      </w:r>
      <w:r>
        <w:t xml:space="preserve">(Full Acquiring) — ต้องยืนยันจำนวนที่ชำระจริงและรักษาไว้ ≥ 75% ตลอดการดำเนินงาน</w:t>
      </w:r>
      <w:r>
        <w:t xml:space="preserve"> </w:t>
      </w:r>
      <w:r>
        <w:t xml:space="preserve">-</w:t>
      </w:r>
      <w:r>
        <w:t xml:space="preserve"> </w:t>
      </w:r>
      <w:r>
        <w:rPr>
          <w:b/>
          <w:bCs/>
        </w:rPr>
        <w:t xml:space="preserve">[TODO — ชื่อบริษัท / รายละเอียดจริง]</w:t>
      </w:r>
      <w:r>
        <w:t xml:space="preserve"> </w:t>
      </w:r>
      <w:r>
        <w:t xml:space="preserve">ชื่อ</w:t>
      </w:r>
      <w:r>
        <w:t xml:space="preserve"> </w:t>
      </w:r>
      <w:r>
        <w:rPr>
          <w:rStyle w:val="VerbatimChar"/>
        </w:rPr>
        <w:t xml:space="preserve">[บริษัท / Company]</w:t>
      </w:r>
      <w:r>
        <w:t xml:space="preserve">, VPC/subscription, ช่วง IP/VLAN, ชื่อผู้ให้บริการ SaaS จริง ต้องเติมค่าจริงก่อนยื่นและก่อนการประเมิน on-site</w:t>
      </w:r>
    </w:p>
    <w:p>
      <w:r>
        <w:pict>
          <v:rect style="width:0;height:1.5pt" o:hralign="center" o:hrstd="t" o:hr="t"/>
        </w:pict>
      </w:r>
    </w:p>
    <w:bookmarkStart w:id="1216" w:name="วตถประสงคและขอบเขต-13"/>
    <w:p>
      <w:pPr>
        <w:pStyle w:val="Heading2"/>
      </w:pPr>
      <w:r>
        <w:t xml:space="preserve">1. วัตถุประสงค์และขอบเขต</w:t>
      </w:r>
    </w:p>
    <w:p>
      <w:pPr>
        <w:pStyle w:val="FirstParagraph"/>
      </w:pPr>
      <w:r>
        <w:t xml:space="preserve">เอกสารนี้อธิบาย (ก) สถาปัตยกรรมระบบระดับ context และ component, (ข) แผนภาพกระแสข้อมูล (data-flow diagram – DFD) แบบ mermaid สำหรับเส้นทางการชำระเงินหลัก, (ค) รายชื่อผู้ให้บริการภายนอก (third parties) และประเภทข้อมูลที่แลกเปลี่ยน, (ง) ขอบเขตความไว้วางใจ (trust boundaries) และ (จ) ขอบเขต PCI-DSS (PCI scope) ของ</w:t>
      </w:r>
      <w:r>
        <w:t xml:space="preserve"> </w:t>
      </w:r>
      <w:r>
        <w:rPr>
          <w:rStyle w:val="VerbatimChar"/>
        </w:rPr>
        <w:t xml:space="preserve">[บริษัท / Company]</w:t>
      </w:r>
    </w:p>
    <w:p>
      <w:pPr>
        <w:pStyle w:val="BodyText"/>
      </w:pPr>
      <w:r>
        <w:t xml:space="preserve">เอกสารนี้เป็นภาพรวมที่ผูกโยงเอกสารเชิงลึกอื่น: การแบ่งเครือข่ายดู</w:t>
      </w:r>
      <w:r>
        <w:t xml:space="preserve"> </w:t>
      </w:r>
      <w:r>
        <w:rPr>
          <w:rStyle w:val="VerbatimChar"/>
        </w:rPr>
        <w:t xml:space="preserve">COMP-20</w:t>
      </w:r>
      <w:r>
        <w:t xml:space="preserve">, tokenization/HSM ดู</w:t>
      </w:r>
      <w:r>
        <w:t xml:space="preserve"> </w:t>
      </w:r>
      <w:r>
        <w:rPr>
          <w:rStyle w:val="VerbatimChar"/>
        </w:rPr>
        <w:t xml:space="preserve">COMP-21</w:t>
      </w:r>
      <w:r>
        <w:t xml:space="preserve">, 3DS ดู</w:t>
      </w:r>
      <w:r>
        <w:t xml:space="preserve"> </w:t>
      </w:r>
      <w:r>
        <w:rPr>
          <w:rStyle w:val="VerbatimChar"/>
        </w:rPr>
        <w:t xml:space="preserve">COMP-22</w:t>
      </w:r>
      <w:r>
        <w:t xml:space="preserve">, PCI roadmap ดู</w:t>
      </w:r>
      <w:r>
        <w:t xml:space="preserve"> </w:t>
      </w:r>
      <w:r>
        <w:rPr>
          <w:rStyle w:val="VerbatimChar"/>
        </w:rPr>
        <w:t xml:space="preserve">COMP-19</w:t>
      </w:r>
    </w:p>
    <w:p>
      <w:pPr>
        <w:pStyle w:val="BodyText"/>
      </w:pPr>
      <w:r>
        <w:rPr>
          <w:b/>
          <w:bCs/>
        </w:rPr>
        <w:t xml:space="preserve">หลักการนำ (จาก ARCHITECTURE §2):</w:t>
      </w:r>
      <w:r>
        <w:t xml:space="preserve"> </w:t>
      </w:r>
      <w:r>
        <w:t xml:space="preserve">cardholder data ต้องออกจาก scope ให้มากที่สุด — ระบบหลักเห็นเพียง</w:t>
      </w:r>
      <w:r>
        <w:t xml:space="preserve"> </w:t>
      </w:r>
      <w:r>
        <w:rPr>
          <w:rStyle w:val="VerbatimChar"/>
        </w:rPr>
        <w:t xml:space="preserve">token</w:t>
      </w:r>
      <w:r>
        <w:t xml:space="preserve"> </w:t>
      </w:r>
      <w:r>
        <w:t xml:space="preserve">+</w:t>
      </w:r>
      <w:r>
        <w:t xml:space="preserve"> </w:t>
      </w:r>
      <w:r>
        <w:rPr>
          <w:rStyle w:val="VerbatimChar"/>
        </w:rPr>
        <w:t xml:space="preserve">card_last4</w:t>
      </w:r>
      <w:r>
        <w:t xml:space="preserve"> </w:t>
      </w:r>
      <w:r>
        <w:t xml:space="preserve">+</w:t>
      </w:r>
      <w:r>
        <w:t xml:space="preserve"> </w:t>
      </w:r>
      <w:r>
        <w:rPr>
          <w:rStyle w:val="VerbatimChar"/>
        </w:rPr>
        <w:t xml:space="preserve">card_brand</w:t>
      </w:r>
      <w:r>
        <w:t xml:space="preserve">; ledger เป็น source of truth แบบ append-only; ทุก endpoint ที่ขยับเงินต้อง idempotent; fail-closed เมื่อไม่แน่ใจสถานะ</w:t>
      </w:r>
    </w:p>
    <w:p>
      <w:r>
        <w:pict>
          <v:rect style="width:0;height:1.5pt" o:hralign="center" o:hrstd="t" o:hr="t"/>
        </w:pict>
      </w:r>
    </w:p>
    <w:bookmarkEnd w:id="1216"/>
    <w:bookmarkStart w:id="1217" w:name="X82a5bd1df50ccfe332862cd68b54877f897f45f"/>
    <w:p>
      <w:pPr>
        <w:pStyle w:val="Heading2"/>
      </w:pPr>
      <w:r>
        <w:t xml:space="preserve">2. สถาปัตยกรรมระดับ Context (System Context Diagram)</w:t>
      </w:r>
    </w:p>
    <w:p>
      <w:pPr>
        <w:pStyle w:val="SourceCode"/>
      </w:pPr>
      <w:r>
        <w:rPr>
          <w:rStyle w:val="VerbatimChar"/>
        </w:rPr>
        <w:t xml:space="preserve">flowchart TB</w:t>
      </w:r>
      <w:r>
        <w:br/>
      </w:r>
      <w:r>
        <w:rPr>
          <w:rStyle w:val="VerbatimChar"/>
        </w:rPr>
        <w:t xml:space="preserve">    subgraph EXT["ผู้เกี่ยวข้องภายนอก (External Actors)"]</w:t>
      </w:r>
      <w:r>
        <w:br/>
      </w:r>
      <w:r>
        <w:rPr>
          <w:rStyle w:val="VerbatimChar"/>
        </w:rPr>
        <w:t xml:space="preserve">        MER["ร้านค้า / Merchant&lt;br/&gt;(web / app / POS)"]</w:t>
      </w:r>
      <w:r>
        <w:br/>
      </w:r>
      <w:r>
        <w:rPr>
          <w:rStyle w:val="VerbatimChar"/>
        </w:rPr>
        <w:t xml:space="preserve">        CH["ผู้ถือบัตร / Cardholder"]</w:t>
      </w:r>
      <w:r>
        <w:br/>
      </w:r>
      <w:r>
        <w:rPr>
          <w:rStyle w:val="VerbatimChar"/>
        </w:rPr>
        <w:t xml:space="preserve">    end</w:t>
      </w:r>
      <w:r>
        <w:br/>
      </w:r>
      <w:r>
        <w:br/>
      </w:r>
      <w:r>
        <w:rPr>
          <w:rStyle w:val="VerbatimChar"/>
        </w:rPr>
        <w:t xml:space="preserve">    subgraph PG["[บริษัท / Company] — Payment Gateway (Trust Boundary หลัก)"]</w:t>
      </w:r>
      <w:r>
        <w:br/>
      </w:r>
      <w:r>
        <w:rPr>
          <w:rStyle w:val="VerbatimChar"/>
        </w:rPr>
        <w:t xml:space="preserve">        EDGE["API Edge + WAF&lt;br/&gt;auth / rate limit / idempotency"]</w:t>
      </w:r>
      <w:r>
        <w:br/>
      </w:r>
      <w:r>
        <w:rPr>
          <w:rStyle w:val="VerbatimChar"/>
        </w:rPr>
        <w:t xml:space="preserve">        CORE["Payment Core&lt;br/&gt;authorize / capture / void / refund"]</w:t>
      </w:r>
      <w:r>
        <w:br/>
      </w:r>
      <w:r>
        <w:rPr>
          <w:rStyle w:val="VerbatimChar"/>
        </w:rPr>
        <w:t xml:space="preserve">        VAULT["Tokenization Vault (CDE)&lt;br/&gt;PAN + HSM/KMS"]</w:t>
      </w:r>
      <w:r>
        <w:br/>
      </w:r>
      <w:r>
        <w:rPr>
          <w:rStyle w:val="VerbatimChar"/>
        </w:rPr>
        <w:t xml:space="preserve">        LEDGER[("Ledger + Operational DB&lt;br/&gt;token + card_last4")]</w:t>
      </w:r>
      <w:r>
        <w:br/>
      </w:r>
      <w:r>
        <w:rPr>
          <w:rStyle w:val="VerbatimChar"/>
        </w:rPr>
        <w:t xml:space="preserve">        RISK["Risk / Fraud Engine"]</w:t>
      </w:r>
      <w:r>
        <w:br/>
      </w:r>
      <w:r>
        <w:rPr>
          <w:rStyle w:val="VerbatimChar"/>
        </w:rPr>
        <w:t xml:space="preserve">        HOOK["Webhook / Notifier"]</w:t>
      </w:r>
      <w:r>
        <w:br/>
      </w:r>
      <w:r>
        <w:rPr>
          <w:rStyle w:val="VerbatimChar"/>
        </w:rPr>
        <w:t xml:space="preserve">    end</w:t>
      </w:r>
      <w:r>
        <w:br/>
      </w:r>
      <w:r>
        <w:br/>
      </w:r>
      <w:r>
        <w:rPr>
          <w:rStyle w:val="VerbatimChar"/>
        </w:rPr>
        <w:t xml:space="preserve">    subgraph TP["ผู้ให้บริการภายนอก (Third Parties)"]</w:t>
      </w:r>
      <w:r>
        <w:br/>
      </w:r>
      <w:r>
        <w:rPr>
          <w:rStyle w:val="VerbatimChar"/>
        </w:rPr>
        <w:t xml:space="preserve">        ACQ["Acquirer / Card Switch&lt;br/&gt;(ISO 8583 / REST)"]</w:t>
      </w:r>
      <w:r>
        <w:br/>
      </w:r>
      <w:r>
        <w:rPr>
          <w:rStyle w:val="VerbatimChar"/>
        </w:rPr>
        <w:t xml:space="preserve">        DS3["3DS Server / DS / ACS&lt;br/&gt;(EMV 3DS 2.2+)"]</w:t>
      </w:r>
      <w:r>
        <w:br/>
      </w:r>
      <w:r>
        <w:rPr>
          <w:rStyle w:val="VerbatimChar"/>
        </w:rPr>
        <w:t xml:space="preserve">        SCHEME["Card Networks&lt;br/&gt;(Visa / Mastercard)"]</w:t>
      </w:r>
      <w:r>
        <w:br/>
      </w:r>
      <w:r>
        <w:rPr>
          <w:rStyle w:val="VerbatimChar"/>
        </w:rPr>
        <w:t xml:space="preserve">        ISS["Issuing Banks"]</w:t>
      </w:r>
      <w:r>
        <w:br/>
      </w:r>
      <w:r>
        <w:rPr>
          <w:rStyle w:val="VerbatimChar"/>
        </w:rPr>
        <w:t xml:space="preserve">        LOCAL["Local Rails&lt;br/&gt;(ITMX / PromptPay)"]</w:t>
      </w:r>
      <w:r>
        <w:br/>
      </w:r>
      <w:r>
        <w:rPr>
          <w:rStyle w:val="VerbatimChar"/>
        </w:rPr>
        <w:t xml:space="preserve">        SANC["Sanction Screening&lt;br/&gt;(AMLO / vendor list)"]</w:t>
      </w:r>
      <w:r>
        <w:br/>
      </w:r>
      <w:r>
        <w:rPr>
          <w:rStyle w:val="VerbatimChar"/>
        </w:rPr>
        <w:t xml:space="preserve">    end</w:t>
      </w:r>
      <w:r>
        <w:br/>
      </w:r>
      <w:r>
        <w:br/>
      </w:r>
      <w:r>
        <w:rPr>
          <w:rStyle w:val="VerbatimChar"/>
        </w:rPr>
        <w:t xml:space="preserve">    CH --&gt;|"PAN (client-side)"| VAULT</w:t>
      </w:r>
      <w:r>
        <w:br/>
      </w:r>
      <w:r>
        <w:rPr>
          <w:rStyle w:val="VerbatimChar"/>
        </w:rPr>
        <w:t xml:space="preserve">    MER --&gt;|"HTTPS + API key/JWT&lt;br/&gt;+ Idempotency-Key + token"| EDGE</w:t>
      </w:r>
      <w:r>
        <w:br/>
      </w:r>
      <w:r>
        <w:rPr>
          <w:rStyle w:val="VerbatimChar"/>
        </w:rPr>
        <w:t xml:space="preserve">    EDGE --&gt; CORE</w:t>
      </w:r>
      <w:r>
        <w:br/>
      </w:r>
      <w:r>
        <w:rPr>
          <w:rStyle w:val="VerbatimChar"/>
        </w:rPr>
        <w:t xml:space="preserve">    CORE --&gt; RISK</w:t>
      </w:r>
      <w:r>
        <w:br/>
      </w:r>
      <w:r>
        <w:rPr>
          <w:rStyle w:val="VerbatimChar"/>
        </w:rPr>
        <w:t xml:space="preserve">    CORE --&gt; VAULT</w:t>
      </w:r>
      <w:r>
        <w:br/>
      </w:r>
      <w:r>
        <w:rPr>
          <w:rStyle w:val="VerbatimChar"/>
        </w:rPr>
        <w:t xml:space="preserve">    CORE --&gt; LEDGER</w:t>
      </w:r>
      <w:r>
        <w:br/>
      </w:r>
      <w:r>
        <w:rPr>
          <w:rStyle w:val="VerbatimChar"/>
        </w:rPr>
        <w:t xml:space="preserve">    CORE --&gt;|"detokenized PAN&lt;br/&gt;(ใน CDE เท่านั้น)"| ACQ</w:t>
      </w:r>
      <w:r>
        <w:br/>
      </w:r>
      <w:r>
        <w:rPr>
          <w:rStyle w:val="VerbatimChar"/>
        </w:rPr>
        <w:t xml:space="preserve">    CORE --&gt;|"3DS auth"| DS3</w:t>
      </w:r>
      <w:r>
        <w:br/>
      </w:r>
      <w:r>
        <w:rPr>
          <w:rStyle w:val="VerbatimChar"/>
        </w:rPr>
        <w:t xml:space="preserve">    ACQ --&gt; SCHEME --&gt; ISS</w:t>
      </w:r>
      <w:r>
        <w:br/>
      </w:r>
      <w:r>
        <w:rPr>
          <w:rStyle w:val="VerbatimChar"/>
        </w:rPr>
        <w:t xml:space="preserve">    CORE --&gt; LOCAL</w:t>
      </w:r>
      <w:r>
        <w:br/>
      </w:r>
      <w:r>
        <w:rPr>
          <w:rStyle w:val="VerbatimChar"/>
        </w:rPr>
        <w:t xml:space="preserve">    RISK --&gt; SANC</w:t>
      </w:r>
      <w:r>
        <w:br/>
      </w:r>
      <w:r>
        <w:rPr>
          <w:rStyle w:val="VerbatimChar"/>
        </w:rPr>
        <w:t xml:space="preserve">    HOOK --&gt;|"signed webhook"| MER</w:t>
      </w:r>
    </w:p>
    <w:p>
      <w:pPr>
        <w:pStyle w:val="FirstParagraph"/>
      </w:pPr>
      <w:r>
        <w:rPr>
          <w:b/>
          <w:bCs/>
        </w:rPr>
        <w:t xml:space="preserve">คำอธิบาย trust boundary หลัก:</w:t>
      </w:r>
      <w:r>
        <w:t xml:space="preserve"> </w:t>
      </w:r>
      <w:r>
        <w:t xml:space="preserve">เส้นขอบกล่อง</w:t>
      </w:r>
      <w:r>
        <w:t xml:space="preserve"> </w:t>
      </w:r>
      <w:r>
        <w:rPr>
          <w:rStyle w:val="VerbatimChar"/>
        </w:rPr>
        <w:t xml:space="preserve">PG</w:t>
      </w:r>
      <w:r>
        <w:t xml:space="preserve"> </w:t>
      </w:r>
      <w:r>
        <w:t xml:space="preserve">คือขอบเขตความไว้วางใจหลัก ทุก request จากภายนอกต้องผ่าน API Edge (authentication + rate limit) ก่อนเข้าถึง Payment Core; PAN ที่ยังไม่ถูก tokenize ถูกจำกัดให้อยู่เฉพาะภายใน Tokenization Vault (CDE) เท่านั้น</w:t>
      </w:r>
    </w:p>
    <w:p>
      <w:r>
        <w:pict>
          <v:rect style="width:0;height:1.5pt" o:hralign="center" o:hrstd="t" o:hr="t"/>
        </w:pict>
      </w:r>
    </w:p>
    <w:bookmarkEnd w:id="1217"/>
    <w:bookmarkStart w:id="1218" w:name="X31804f0830c78b17ae6f230f2b1f34379d83bd5"/>
    <w:p>
      <w:pPr>
        <w:pStyle w:val="Heading2"/>
      </w:pPr>
      <w:r>
        <w:t xml:space="preserve">3. สถาปัตยกรรมระดับ Component และการแมปกับ PCI Scope</w:t>
      </w:r>
    </w:p>
    <w:tbl>
      <w:tblPr>
        <w:tblStyle w:val="Table"/>
        <w:tblW w:type="pct" w:w="5000"/>
        <w:tblLayout w:type="fixed"/>
        <w:tblLook w:firstRow="1" w:lastRow="0" w:firstColumn="0" w:lastColumn="0" w:noHBand="0" w:noVBand="0" w:val="0020"/>
      </w:tblPr>
      <w:tblGrid>
        <w:gridCol w:w="1161"/>
        <w:gridCol w:w="844"/>
        <w:gridCol w:w="2745"/>
        <w:gridCol w:w="1161"/>
        <w:gridCol w:w="2006"/>
      </w:tblGrid>
      <w:tr>
        <w:trPr>
          <w:tblHeader w:val="on"/>
        </w:trPr>
        <w:tc>
          <w:tcPr/>
          <w:p>
            <w:pPr>
              <w:pStyle w:val="Compact"/>
            </w:pPr>
            <w:r>
              <w:t xml:space="preserve">Component</w:t>
            </w:r>
          </w:p>
        </w:tc>
        <w:tc>
          <w:tcPr/>
          <w:p>
            <w:pPr>
              <w:pStyle w:val="Compact"/>
            </w:pPr>
            <w:r>
              <w:t xml:space="preserve">หน้าที่</w:t>
            </w:r>
          </w:p>
        </w:tc>
        <w:tc>
          <w:tcPr/>
          <w:p>
            <w:pPr>
              <w:pStyle w:val="Compact"/>
            </w:pPr>
            <w:r>
              <w:t xml:space="preserve">โซนเครือข่าย (ดู COMP-20)</w:t>
            </w:r>
          </w:p>
        </w:tc>
        <w:tc>
          <w:tcPr/>
          <w:p>
            <w:pPr>
              <w:pStyle w:val="Compact"/>
            </w:pPr>
            <w:r>
              <w:t xml:space="preserve">PCI Scope</w:t>
            </w:r>
          </w:p>
        </w:tc>
        <w:tc>
          <w:tcPr/>
          <w:p>
            <w:pPr>
              <w:pStyle w:val="Compact"/>
            </w:pPr>
            <w:r>
              <w:t xml:space="preserve">โฟลเดอร์ในโปรเจ็ค</w:t>
            </w:r>
          </w:p>
        </w:tc>
      </w:tr>
      <w:tr>
        <w:tc>
          <w:tcPr/>
          <w:p>
            <w:pPr>
              <w:pStyle w:val="Compact"/>
            </w:pPr>
            <w:r>
              <w:t xml:space="preserve">API Edge / Middleware</w:t>
            </w:r>
          </w:p>
        </w:tc>
        <w:tc>
          <w:tcPr/>
          <w:p>
            <w:pPr>
              <w:pStyle w:val="Compact"/>
            </w:pPr>
            <w:r>
              <w:t xml:space="preserve">rate limit, auth (API key/JWT), request-id, idempotency, logging</w:t>
            </w:r>
          </w:p>
        </w:tc>
        <w:tc>
          <w:tcPr/>
          <w:p>
            <w:pPr>
              <w:pStyle w:val="Compact"/>
            </w:pPr>
            <w:r>
              <w:t xml:space="preserve">Z1/Z2</w:t>
            </w:r>
          </w:p>
        </w:tc>
        <w:tc>
          <w:tcPr/>
          <w:p>
            <w:pPr>
              <w:pStyle w:val="Compact"/>
            </w:pPr>
            <w:r>
              <w:t xml:space="preserve">Connected-to</w:t>
            </w:r>
          </w:p>
        </w:tc>
        <w:tc>
          <w:tcPr/>
          <w:p>
            <w:pPr>
              <w:pStyle w:val="Compact"/>
            </w:pPr>
            <w:r>
              <w:rPr>
                <w:rStyle w:val="VerbatimChar"/>
              </w:rPr>
              <w:t xml:space="preserve">internal/middleware</w:t>
            </w:r>
          </w:p>
        </w:tc>
      </w:tr>
      <w:tr>
        <w:tc>
          <w:tcPr/>
          <w:p>
            <w:pPr>
              <w:pStyle w:val="Compact"/>
            </w:pPr>
            <w:r>
              <w:t xml:space="preserve">Payment Core (Service)</w:t>
            </w:r>
          </w:p>
        </w:tc>
        <w:tc>
          <w:tcPr/>
          <w:p>
            <w:pPr>
              <w:pStyle w:val="Compact"/>
            </w:pPr>
            <w:r>
              <w:t xml:space="preserve">authorize / capture / void / refund + state machine</w:t>
            </w:r>
          </w:p>
        </w:tc>
        <w:tc>
          <w:tcPr/>
          <w:p>
            <w:pPr>
              <w:pStyle w:val="Compact"/>
            </w:pPr>
            <w:r>
              <w:t xml:space="preserve">Z2</w:t>
            </w:r>
          </w:p>
        </w:tc>
        <w:tc>
          <w:tcPr/>
          <w:p>
            <w:pPr>
              <w:pStyle w:val="Compact"/>
            </w:pPr>
            <w:r>
              <w:t xml:space="preserve">Connected-to (security-impacting)</w:t>
            </w:r>
          </w:p>
        </w:tc>
        <w:tc>
          <w:tcPr/>
          <w:p>
            <w:pPr>
              <w:pStyle w:val="Compact"/>
            </w:pPr>
            <w:r>
              <w:rPr>
                <w:rStyle w:val="VerbatimChar"/>
              </w:rPr>
              <w:t xml:space="preserve">internal/service</w:t>
            </w:r>
          </w:p>
        </w:tc>
      </w:tr>
      <w:tr>
        <w:tc>
          <w:tcPr/>
          <w:p>
            <w:pPr>
              <w:pStyle w:val="Compact"/>
            </w:pPr>
            <w:r>
              <w:rPr>
                <w:b/>
                <w:bCs/>
              </w:rPr>
              <w:t xml:space="preserve">Tokenization Vault</w:t>
            </w:r>
          </w:p>
        </w:tc>
        <w:tc>
          <w:tcPr/>
          <w:p>
            <w:pPr>
              <w:pStyle w:val="Compact"/>
            </w:pPr>
            <w:r>
              <w:t xml:space="preserve">เก็บ/คืน PAN เข้ารหัสด้วย HSM/KMS</w:t>
            </w:r>
          </w:p>
        </w:tc>
        <w:tc>
          <w:tcPr/>
          <w:p>
            <w:pPr>
              <w:pStyle w:val="Compact"/>
            </w:pPr>
            <w:r>
              <w:rPr>
                <w:b/>
                <w:bCs/>
              </w:rPr>
              <w:t xml:space="preserve">Z3</w:t>
            </w:r>
          </w:p>
        </w:tc>
        <w:tc>
          <w:tcPr/>
          <w:p>
            <w:pPr>
              <w:pStyle w:val="Compact"/>
            </w:pPr>
            <w:r>
              <w:rPr>
                <w:b/>
                <w:bCs/>
              </w:rPr>
              <w:t xml:space="preserve">In-scope CDE</w:t>
            </w:r>
          </w:p>
        </w:tc>
        <w:tc>
          <w:tcPr/>
          <w:p>
            <w:pPr>
              <w:pStyle w:val="Compact"/>
            </w:pPr>
            <w:r>
              <w:t xml:space="preserve">บริการแยก +</w:t>
            </w:r>
            <w:r>
              <w:t xml:space="preserve"> </w:t>
            </w:r>
            <w:r>
              <w:rPr>
                <w:rStyle w:val="VerbatimChar"/>
              </w:rPr>
              <w:t xml:space="preserve">internal/pkg/crypto</w:t>
            </w:r>
          </w:p>
        </w:tc>
      </w:tr>
      <w:tr>
        <w:tc>
          <w:tcPr/>
          <w:p>
            <w:pPr>
              <w:pStyle w:val="Compact"/>
            </w:pPr>
            <w:r>
              <w:t xml:space="preserve">Acquirer Adapter</w:t>
            </w:r>
          </w:p>
        </w:tc>
        <w:tc>
          <w:tcPr/>
          <w:p>
            <w:pPr>
              <w:pStyle w:val="Compact"/>
            </w:pPr>
            <w:r>
              <w:t xml:space="preserve">คุยกับ card switch (ISO 8583/REST), ส่ง PAN</w:t>
            </w:r>
          </w:p>
        </w:tc>
        <w:tc>
          <w:tcPr/>
          <w:p>
            <w:pPr>
              <w:pStyle w:val="Compact"/>
            </w:pPr>
            <w:r>
              <w:t xml:space="preserve">Z6</w:t>
            </w:r>
          </w:p>
        </w:tc>
        <w:tc>
          <w:tcPr/>
          <w:p>
            <w:pPr>
              <w:pStyle w:val="Compact"/>
            </w:pPr>
            <w:r>
              <w:t xml:space="preserve">In-scope (transmits CHD)</w:t>
            </w:r>
          </w:p>
        </w:tc>
        <w:tc>
          <w:tcPr/>
          <w:p>
            <w:pPr>
              <w:pStyle w:val="Compact"/>
            </w:pPr>
            <w:r>
              <w:rPr>
                <w:rStyle w:val="VerbatimChar"/>
              </w:rPr>
              <w:t xml:space="preserve">internal/external</w:t>
            </w:r>
          </w:p>
        </w:tc>
      </w:tr>
      <w:tr>
        <w:tc>
          <w:tcPr/>
          <w:p>
            <w:pPr>
              <w:pStyle w:val="Compact"/>
            </w:pPr>
            <w:r>
              <w:t xml:space="preserve">3DS Adapter</w:t>
            </w:r>
          </w:p>
        </w:tc>
        <w:tc>
          <w:tcPr/>
          <w:p>
            <w:pPr>
              <w:pStyle w:val="Compact"/>
            </w:pPr>
            <w:r>
              <w:t xml:space="preserve">EMV 3DS 2.2+ authentication</w:t>
            </w:r>
          </w:p>
        </w:tc>
        <w:tc>
          <w:tcPr/>
          <w:p>
            <w:pPr>
              <w:pStyle w:val="Compact"/>
            </w:pPr>
            <w:r>
              <w:t xml:space="preserve">Z1/Z2</w:t>
            </w:r>
          </w:p>
        </w:tc>
        <w:tc>
          <w:tcPr/>
          <w:p>
            <w:pPr>
              <w:pStyle w:val="Compact"/>
            </w:pPr>
            <w:r>
              <w:t xml:space="preserve">Connected-to</w:t>
            </w:r>
          </w:p>
        </w:tc>
        <w:tc>
          <w:tcPr/>
          <w:p>
            <w:pPr>
              <w:pStyle w:val="Compact"/>
            </w:pPr>
            <w:r>
              <w:rPr>
                <w:rStyle w:val="VerbatimChar"/>
              </w:rPr>
              <w:t xml:space="preserve">internal/pkg/threeds</w:t>
            </w:r>
          </w:p>
        </w:tc>
      </w:tr>
      <w:tr>
        <w:tc>
          <w:tcPr/>
          <w:p>
            <w:pPr>
              <w:pStyle w:val="Compact"/>
            </w:pPr>
            <w:r>
              <w:t xml:space="preserve">Risk / Fraud Engine</w:t>
            </w:r>
          </w:p>
        </w:tc>
        <w:tc>
          <w:tcPr/>
          <w:p>
            <w:pPr>
              <w:pStyle w:val="Compact"/>
            </w:pPr>
            <w:r>
              <w:t xml:space="preserve">scoring, velocity, blacklist, sanction feed</w:t>
            </w:r>
          </w:p>
        </w:tc>
        <w:tc>
          <w:tcPr/>
          <w:p>
            <w:pPr>
              <w:pStyle w:val="Compact"/>
            </w:pPr>
            <w:r>
              <w:t xml:space="preserve">Z2</w:t>
            </w:r>
          </w:p>
        </w:tc>
        <w:tc>
          <w:tcPr/>
          <w:p>
            <w:pPr>
              <w:pStyle w:val="Compact"/>
            </w:pPr>
            <w:r>
              <w:t xml:space="preserve">Connected-to</w:t>
            </w:r>
          </w:p>
        </w:tc>
        <w:tc>
          <w:tcPr/>
          <w:p>
            <w:pPr>
              <w:pStyle w:val="Compact"/>
            </w:pPr>
            <w:r>
              <w:rPr>
                <w:rStyle w:val="VerbatimChar"/>
              </w:rPr>
              <w:t xml:space="preserve">internal/service</w:t>
            </w:r>
          </w:p>
        </w:tc>
      </w:tr>
      <w:tr>
        <w:tc>
          <w:tcPr/>
          <w:p>
            <w:pPr>
              <w:pStyle w:val="Compact"/>
            </w:pPr>
            <w:r>
              <w:t xml:space="preserve">Ledger</w:t>
            </w:r>
          </w:p>
        </w:tc>
        <w:tc>
          <w:tcPr/>
          <w:p>
            <w:pPr>
              <w:pStyle w:val="Compact"/>
            </w:pPr>
            <w:r>
              <w:t xml:space="preserve">รายการเงิน append-only (double-entry)</w:t>
            </w:r>
          </w:p>
        </w:tc>
        <w:tc>
          <w:tcPr/>
          <w:p>
            <w:pPr>
              <w:pStyle w:val="Compact"/>
            </w:pPr>
            <w:r>
              <w:t xml:space="preserve">Z4</w:t>
            </w:r>
          </w:p>
        </w:tc>
        <w:tc>
          <w:tcPr/>
          <w:p>
            <w:pPr>
              <w:pStyle w:val="Compact"/>
            </w:pPr>
            <w:r>
              <w:t xml:space="preserve">Connected-to (ไม่มี PAN)</w:t>
            </w:r>
          </w:p>
        </w:tc>
        <w:tc>
          <w:tcPr/>
          <w:p>
            <w:pPr>
              <w:pStyle w:val="Compact"/>
            </w:pPr>
            <w:r>
              <w:t xml:space="preserve">ตาราง</w:t>
            </w:r>
            <w:r>
              <w:t xml:space="preserve"> </w:t>
            </w:r>
            <w:r>
              <w:rPr>
                <w:rStyle w:val="VerbatimChar"/>
              </w:rPr>
              <w:t xml:space="preserve">ledger_entries</w:t>
            </w:r>
          </w:p>
        </w:tc>
      </w:tr>
      <w:tr>
        <w:tc>
          <w:tcPr/>
          <w:p>
            <w:pPr>
              <w:pStyle w:val="Compact"/>
            </w:pPr>
            <w:r>
              <w:t xml:space="preserve">Webhook / Notifier</w:t>
            </w:r>
          </w:p>
        </w:tc>
        <w:tc>
          <w:tcPr/>
          <w:p>
            <w:pPr>
              <w:pStyle w:val="Compact"/>
            </w:pPr>
            <w:r>
              <w:t xml:space="preserve">แจ้ง merchant at-least-once + retry + signature</w:t>
            </w:r>
          </w:p>
        </w:tc>
        <w:tc>
          <w:tcPr/>
          <w:p>
            <w:pPr>
              <w:pStyle w:val="Compact"/>
            </w:pPr>
            <w:r>
              <w:t xml:space="preserve">Z2</w:t>
            </w:r>
          </w:p>
        </w:tc>
        <w:tc>
          <w:tcPr/>
          <w:p>
            <w:pPr>
              <w:pStyle w:val="Compact"/>
            </w:pPr>
            <w:r>
              <w:t xml:space="preserve">Connected-to</w:t>
            </w:r>
          </w:p>
        </w:tc>
        <w:tc>
          <w:tcPr/>
          <w:p>
            <w:pPr>
              <w:pStyle w:val="Compact"/>
            </w:pPr>
            <w:r>
              <w:t xml:space="preserve">ตาราง</w:t>
            </w:r>
            <w:r>
              <w:t xml:space="preserve"> </w:t>
            </w:r>
            <w:r>
              <w:rPr>
                <w:rStyle w:val="VerbatimChar"/>
              </w:rPr>
              <w:t xml:space="preserve">webhook_events</w:t>
            </w:r>
          </w:p>
        </w:tc>
      </w:tr>
      <w:tr>
        <w:tc>
          <w:tcPr/>
          <w:p>
            <w:pPr>
              <w:pStyle w:val="Compact"/>
            </w:pPr>
            <w:r>
              <w:t xml:space="preserve">Reconciliation / Settlement</w:t>
            </w:r>
          </w:p>
        </w:tc>
        <w:tc>
          <w:tcPr/>
          <w:p>
            <w:pPr>
              <w:pStyle w:val="Compact"/>
            </w:pPr>
            <w:r>
              <w:t xml:space="preserve">กระทบยอด acquirer, payout merchant</w:t>
            </w:r>
          </w:p>
        </w:tc>
        <w:tc>
          <w:tcPr/>
          <w:p>
            <w:pPr>
              <w:pStyle w:val="Compact"/>
            </w:pPr>
            <w:r>
              <w:t xml:space="preserve">Z4/Z6</w:t>
            </w:r>
          </w:p>
        </w:tc>
        <w:tc>
          <w:tcPr/>
          <w:p>
            <w:pPr>
              <w:pStyle w:val="Compact"/>
            </w:pPr>
            <w:r>
              <w:t xml:space="preserve">Connected-to</w:t>
            </w:r>
          </w:p>
        </w:tc>
        <w:tc>
          <w:tcPr/>
          <w:p>
            <w:pPr>
              <w:pStyle w:val="Compact"/>
            </w:pPr>
            <w:r>
              <w:t xml:space="preserve">worker แยก (Phase 3)</w:t>
            </w:r>
          </w:p>
        </w:tc>
      </w:tr>
      <w:tr>
        <w:tc>
          <w:tcPr/>
          <w:p>
            <w:pPr>
              <w:pStyle w:val="Compact"/>
            </w:pPr>
            <w:r>
              <w:t xml:space="preserve">SIEM / Log / Secrets</w:t>
            </w:r>
          </w:p>
        </w:tc>
        <w:tc>
          <w:tcPr/>
          <w:p>
            <w:pPr>
              <w:pStyle w:val="Compact"/>
            </w:pPr>
            <w:r>
              <w:t xml:space="preserve">logging, monitoring, secrets manager</w:t>
            </w:r>
          </w:p>
        </w:tc>
        <w:tc>
          <w:tcPr/>
          <w:p>
            <w:pPr>
              <w:pStyle w:val="Compact"/>
            </w:pPr>
            <w:r>
              <w:t xml:space="preserve">Z5</w:t>
            </w:r>
          </w:p>
        </w:tc>
        <w:tc>
          <w:tcPr/>
          <w:p>
            <w:pPr>
              <w:pStyle w:val="Compact"/>
            </w:pPr>
            <w:r>
              <w:t xml:space="preserve">Connected-to (security-impacting)</w:t>
            </w:r>
          </w:p>
        </w:tc>
        <w:tc>
          <w:tcPr/>
          <w:p>
            <w:pPr>
              <w:pStyle w:val="Compact"/>
            </w:pPr>
            <w:r>
              <w:t xml:space="preserve">infra</w:t>
            </w:r>
          </w:p>
        </w:tc>
      </w:tr>
    </w:tbl>
    <w:p>
      <w:pPr>
        <w:pStyle w:val="BlockText"/>
      </w:pPr>
      <w:r>
        <w:rPr>
          <w:b/>
          <w:bCs/>
        </w:rPr>
        <w:t xml:space="preserve">สรุป scope:</w:t>
      </w:r>
      <w:r>
        <w:t xml:space="preserve"> </w:t>
      </w:r>
      <w:r>
        <w:t xml:space="preserve">เฉพาะ</w:t>
      </w:r>
      <w:r>
        <w:t xml:space="preserve"> </w:t>
      </w:r>
      <w:r>
        <w:rPr>
          <w:b/>
          <w:bCs/>
        </w:rPr>
        <w:t xml:space="preserve">Z3 (Vault)</w:t>
      </w:r>
      <w:r>
        <w:t xml:space="preserve"> </w:t>
      </w:r>
      <w:r>
        <w:t xml:space="preserve">เป็น CDE เต็มรูปแบบ และเส้นทาง</w:t>
      </w:r>
      <w:r>
        <w:t xml:space="preserve"> </w:t>
      </w:r>
      <w:r>
        <w:rPr>
          <w:b/>
          <w:bCs/>
        </w:rPr>
        <w:t xml:space="preserve">Z3 → Z6 (Acquirer uplink)</w:t>
      </w:r>
      <w:r>
        <w:t xml:space="preserve"> </w:t>
      </w:r>
      <w:r>
        <w:t xml:space="preserve">ที่ส่งผ่าน PAN อยู่ใน scope ระบบอื่นเป็น</w:t>
      </w:r>
      <w:r>
        <w:t xml:space="preserve"> </w:t>
      </w:r>
      <w:r>
        <w:rPr>
          <w:i/>
          <w:iCs/>
        </w:rPr>
        <w:t xml:space="preserve">connected-to</w:t>
      </w:r>
      <w:r>
        <w:t xml:space="preserve"> </w:t>
      </w:r>
      <w:r>
        <w:t xml:space="preserve">เพราะเห็นเพียง token — ทำให้ scope แคบและลดต้นทุนการประเมิน (PCI Req 12.5.2)</w:t>
      </w:r>
    </w:p>
    <w:p>
      <w:r>
        <w:pict>
          <v:rect style="width:0;height:1.5pt" o:hralign="center" o:hrstd="t" o:hr="t"/>
        </w:pict>
      </w:r>
    </w:p>
    <w:bookmarkEnd w:id="1218"/>
    <w:bookmarkStart w:id="1220" w:name="แผนภาพกระแสขอมล-authorize-capture-ม-3ds"/>
    <w:p>
      <w:pPr>
        <w:pStyle w:val="Heading2"/>
      </w:pPr>
      <w:r>
        <w:t xml:space="preserve">4. แผนภาพกระแสข้อมูล — Authorize + Capture (มี 3DS)</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CH as ผู้ถือบัตร</w:t>
      </w:r>
      <w:r>
        <w:br/>
      </w:r>
      <w:r>
        <w:rPr>
          <w:rStyle w:val="VerbatimChar"/>
        </w:rPr>
        <w:t xml:space="preserve">    participant MER as Merchant</w:t>
      </w:r>
      <w:r>
        <w:br/>
      </w:r>
      <w:r>
        <w:rPr>
          <w:rStyle w:val="VerbatimChar"/>
        </w:rPr>
        <w:t xml:space="preserve">    participant EDGE as API Edge</w:t>
      </w:r>
      <w:r>
        <w:br/>
      </w:r>
      <w:r>
        <w:rPr>
          <w:rStyle w:val="VerbatimChar"/>
        </w:rPr>
        <w:t xml:space="preserve">    participant CORE as Payment Core</w:t>
      </w:r>
      <w:r>
        <w:br/>
      </w:r>
      <w:r>
        <w:rPr>
          <w:rStyle w:val="VerbatimChar"/>
        </w:rPr>
        <w:t xml:space="preserve">    participant VAULT as Vault (CDE)</w:t>
      </w:r>
      <w:r>
        <w:br/>
      </w:r>
      <w:r>
        <w:rPr>
          <w:rStyle w:val="VerbatimChar"/>
        </w:rPr>
        <w:t xml:space="preserve">    participant RISK as Risk Engine</w:t>
      </w:r>
      <w:r>
        <w:br/>
      </w:r>
      <w:r>
        <w:rPr>
          <w:rStyle w:val="VerbatimChar"/>
        </w:rPr>
        <w:t xml:space="preserve">    participant DS3 as 3DS (DS/ACS)</w:t>
      </w:r>
      <w:r>
        <w:br/>
      </w:r>
      <w:r>
        <w:rPr>
          <w:rStyle w:val="VerbatimChar"/>
        </w:rPr>
        <w:t xml:space="preserve">    participant ACQ as Acquirer</w:t>
      </w:r>
      <w:r>
        <w:br/>
      </w:r>
      <w:r>
        <w:br/>
      </w:r>
      <w:r>
        <w:rPr>
          <w:rStyle w:val="VerbatimChar"/>
        </w:rPr>
        <w:t xml:space="preserve">    CH-&gt;&gt;VAULT: PAN (client-side tokenization)</w:t>
      </w:r>
      <w:r>
        <w:br/>
      </w:r>
      <w:r>
        <w:rPr>
          <w:rStyle w:val="VerbatimChar"/>
        </w:rPr>
        <w:t xml:space="preserve">    VAULT--&gt;&gt;MER: single-use payment_token</w:t>
      </w:r>
      <w:r>
        <w:br/>
      </w:r>
      <w:r>
        <w:rPr>
          <w:rStyle w:val="VerbatimChar"/>
        </w:rPr>
        <w:t xml:space="preserve">    MER-&gt;&gt;EDGE: POST /v1/payments (Idempotency-Key + token)</w:t>
      </w:r>
      <w:r>
        <w:br/>
      </w:r>
      <w:r>
        <w:rPr>
          <w:rStyle w:val="VerbatimChar"/>
        </w:rPr>
        <w:t xml:space="preserve">    EDGE-&gt;&gt;CORE: forward (auth ผ่านแล้ว)</w:t>
      </w:r>
      <w:r>
        <w:br/>
      </w:r>
      <w:r>
        <w:rPr>
          <w:rStyle w:val="VerbatimChar"/>
        </w:rPr>
        <w:t xml:space="preserve">    CORE-&gt;&gt;CORE: ตรวจ idempotency + validate</w:t>
      </w:r>
      <w:r>
        <w:br/>
      </w:r>
      <w:r>
        <w:rPr>
          <w:rStyle w:val="VerbatimChar"/>
        </w:rPr>
        <w:t xml:space="preserve">    CORE-&gt;&gt;RISK: risk scoring (velocity, blacklist)</w:t>
      </w:r>
      <w:r>
        <w:br/>
      </w:r>
      <w:r>
        <w:rPr>
          <w:rStyle w:val="VerbatimChar"/>
        </w:rPr>
        <w:t xml:space="preserve">    CORE-&gt;&gt;DS3: initiate 3DS (EMV 3DS 2.2+)</w:t>
      </w:r>
      <w:r>
        <w:br/>
      </w:r>
      <w:r>
        <w:rPr>
          <w:rStyle w:val="VerbatimChar"/>
        </w:rPr>
        <w:t xml:space="preserve">    alt ต้อง challenge</w:t>
      </w:r>
      <w:r>
        <w:br/>
      </w:r>
      <w:r>
        <w:rPr>
          <w:rStyle w:val="VerbatimChar"/>
        </w:rPr>
        <w:t xml:space="preserve">        DS3--&gt;&gt;CORE: requires_action + next_action_url</w:t>
      </w:r>
      <w:r>
        <w:br/>
      </w:r>
      <w:r>
        <w:rPr>
          <w:rStyle w:val="VerbatimChar"/>
        </w:rPr>
        <w:t xml:space="preserve">        CORE--&gt;&gt;MER: requires_action</w:t>
      </w:r>
      <w:r>
        <w:br/>
      </w:r>
      <w:r>
        <w:rPr>
          <w:rStyle w:val="VerbatimChar"/>
        </w:rPr>
        <w:t xml:space="preserve">        CH-&gt;&gt;DS3: challenge (OTP/biometric)</w:t>
      </w:r>
      <w:r>
        <w:br/>
      </w:r>
      <w:r>
        <w:rPr>
          <w:rStyle w:val="VerbatimChar"/>
        </w:rPr>
        <w:t xml:space="preserve">        DS3--&gt;&gt;CORE: authenticated (CAVV/ECI)</w:t>
      </w:r>
      <w:r>
        <w:br/>
      </w:r>
      <w:r>
        <w:rPr>
          <w:rStyle w:val="VerbatimChar"/>
        </w:rPr>
        <w:t xml:space="preserve">    else frictionless</w:t>
      </w:r>
      <w:r>
        <w:br/>
      </w:r>
      <w:r>
        <w:rPr>
          <w:rStyle w:val="VerbatimChar"/>
        </w:rPr>
        <w:t xml:space="preserve">        DS3--&gt;&gt;CORE: authenticated</w:t>
      </w:r>
      <w:r>
        <w:br/>
      </w:r>
      <w:r>
        <w:rPr>
          <w:rStyle w:val="VerbatimChar"/>
        </w:rPr>
        <w:t xml:space="preserve">    end</w:t>
      </w:r>
      <w:r>
        <w:br/>
      </w:r>
      <w:r>
        <w:rPr>
          <w:rStyle w:val="VerbatimChar"/>
        </w:rPr>
        <w:t xml:space="preserve">    CORE-&gt;&gt;VAULT: detokenize (ใน CDE เท่านั้น)</w:t>
      </w:r>
      <w:r>
        <w:br/>
      </w:r>
      <w:r>
        <w:rPr>
          <w:rStyle w:val="VerbatimChar"/>
        </w:rPr>
        <w:t xml:space="preserve">    CORE-&gt;&gt;ACQ: authorization + PAN + CAVV</w:t>
      </w:r>
      <w:r>
        <w:br/>
      </w:r>
      <w:r>
        <w:rPr>
          <w:rStyle w:val="VerbatimChar"/>
        </w:rPr>
        <w:t xml:space="preserve">    ACQ--&gt;&gt;CORE: auth_code / decline</w:t>
      </w:r>
      <w:r>
        <w:br/>
      </w:r>
      <w:r>
        <w:rPr>
          <w:rStyle w:val="VerbatimChar"/>
        </w:rPr>
        <w:t xml:space="preserve">    CORE-&gt;&gt;CORE: เขียน payments + ledger(authorize+capture) atomic</w:t>
      </w:r>
      <w:r>
        <w:br/>
      </w:r>
      <w:r>
        <w:rPr>
          <w:rStyle w:val="VerbatimChar"/>
        </w:rPr>
        <w:t xml:space="preserve">    CORE--&gt;&gt;MER: 200 captured (token + card_last4)</w:t>
      </w:r>
      <w:r>
        <w:br/>
      </w:r>
      <w:r>
        <w:rPr>
          <w:rStyle w:val="VerbatimChar"/>
        </w:rPr>
        <w:t xml:space="preserve">    CORE-&gt;&gt;MER: webhook payment.captured (signed)</w:t>
      </w:r>
    </w:p>
    <w:p>
      <w:pPr>
        <w:pStyle w:val="FirstParagraph"/>
      </w:pPr>
      <w:r>
        <w:rPr>
          <w:b/>
          <w:bCs/>
        </w:rPr>
        <w:t xml:space="preserve">จุดสำคัญด้านข้อมูล:</w:t>
      </w:r>
      <w:r>
        <w:t xml:space="preserve"> </w:t>
      </w:r>
      <w:r>
        <w:t xml:space="preserve">PAN เต็มปรากฏเฉพาะระหว่าง</w:t>
      </w:r>
      <w:r>
        <w:t xml:space="preserve"> </w:t>
      </w:r>
      <w:r>
        <w:rPr>
          <w:rStyle w:val="VerbatimChar"/>
        </w:rPr>
        <w:t xml:space="preserve">VAULT</w:t>
      </w:r>
      <w:r>
        <w:t xml:space="preserve"> </w:t>
      </w:r>
      <w:r>
        <w:t xml:space="preserve">และ</w:t>
      </w:r>
      <w:r>
        <w:t xml:space="preserve"> </w:t>
      </w:r>
      <w:r>
        <w:rPr>
          <w:rStyle w:val="VerbatimChar"/>
        </w:rPr>
        <w:t xml:space="preserve">ACQ</w:t>
      </w:r>
      <w:r>
        <w:t xml:space="preserve"> </w:t>
      </w:r>
      <w:r>
        <w:t xml:space="preserve">(ภายใน CDE) เท่านั้น; ทุกอย่างที่ตอบกลับ merchant และเก็บใน operational DB เป็น token +</w:t>
      </w:r>
      <w:r>
        <w:t xml:space="preserve"> </w:t>
      </w:r>
      <w:r>
        <w:rPr>
          <w:rStyle w:val="VerbatimChar"/>
        </w:rPr>
        <w:t xml:space="preserve">card_last4</w:t>
      </w:r>
      <w:r>
        <w:t xml:space="preserve"> </w:t>
      </w:r>
      <w:r>
        <w:t xml:space="preserve">— สอดคล้อง PCI Req 3.3/3.4 (ห้ามเก็บ SAD, ปิดบัง PAN)</w:t>
      </w:r>
    </w:p>
    <w:bookmarkStart w:id="1219" w:name="refund-void-ยอ"/>
    <w:p>
      <w:pPr>
        <w:pStyle w:val="Heading3"/>
      </w:pPr>
      <w:r>
        <w:t xml:space="preserve">4.1 Refund / Void (ย่อ)</w:t>
      </w:r>
    </w:p>
    <w:p>
      <w:pPr>
        <w:pStyle w:val="Compact"/>
        <w:numPr>
          <w:ilvl w:val="0"/>
          <w:numId w:val="1442"/>
        </w:numPr>
      </w:pPr>
      <w:r>
        <w:rPr>
          <w:b/>
          <w:bCs/>
        </w:rPr>
        <w:t xml:space="preserve">Refund:</w:t>
      </w:r>
      <w:r>
        <w:t xml:space="preserve"> </w:t>
      </w:r>
      <w:r>
        <w:rPr>
          <w:rStyle w:val="VerbatimChar"/>
        </w:rPr>
        <w:t xml:space="preserve">POST /v1/payments/{id}/refund</w:t>
      </w:r>
      <w:r>
        <w:t xml:space="preserve"> </w:t>
      </w:r>
      <w:r>
        <w:t xml:space="preserve">→ ตรวจ</w:t>
      </w:r>
      <w:r>
        <w:t xml:space="preserve"> </w:t>
      </w:r>
      <w:r>
        <w:rPr>
          <w:rStyle w:val="VerbatimChar"/>
        </w:rPr>
        <w:t xml:space="preserve">refunded + amount ≤ captured</w:t>
      </w:r>
      <w:r>
        <w:t xml:space="preserve"> </w:t>
      </w:r>
      <w:r>
        <w:t xml:space="preserve">→ ส่ง refund ไป acquirer →</w:t>
      </w:r>
      <w:r>
        <w:t xml:space="preserve"> </w:t>
      </w:r>
      <w:r>
        <w:rPr>
          <w:rStyle w:val="VerbatimChar"/>
        </w:rPr>
        <w:t xml:space="preserve">ledger(refund)</w:t>
      </w:r>
      <w:r>
        <w:t xml:space="preserve"> </w:t>
      </w:r>
      <w:r>
        <w:t xml:space="preserve">→</w:t>
      </w:r>
      <w:r>
        <w:t xml:space="preserve"> </w:t>
      </w:r>
      <w:r>
        <w:rPr>
          <w:rStyle w:val="VerbatimChar"/>
        </w:rPr>
        <w:t xml:space="preserve">partial_refunded</w:t>
      </w:r>
      <w:r>
        <w:t xml:space="preserve">/</w:t>
      </w:r>
      <w:r>
        <w:rPr>
          <w:rStyle w:val="VerbatimChar"/>
        </w:rPr>
        <w:t xml:space="preserve">refunded</w:t>
      </w:r>
    </w:p>
    <w:p>
      <w:pPr>
        <w:pStyle w:val="Compact"/>
        <w:numPr>
          <w:ilvl w:val="0"/>
          <w:numId w:val="1442"/>
        </w:numPr>
      </w:pPr>
      <w:r>
        <w:rPr>
          <w:b/>
          <w:bCs/>
        </w:rPr>
        <w:t xml:space="preserve">Void:</w:t>
      </w:r>
      <w:r>
        <w:t xml:space="preserve"> </w:t>
      </w:r>
      <w:r>
        <w:rPr>
          <w:rStyle w:val="VerbatimChar"/>
        </w:rPr>
        <w:t xml:space="preserve">POST /v1/payments/{id}/void</w:t>
      </w:r>
      <w:r>
        <w:t xml:space="preserve"> </w:t>
      </w:r>
      <w:r>
        <w:t xml:space="preserve">(ก่อน capture เท่านั้น) → reverse authorization →</w:t>
      </w:r>
      <w:r>
        <w:t xml:space="preserve"> </w:t>
      </w:r>
      <w:r>
        <w:rPr>
          <w:rStyle w:val="VerbatimChar"/>
        </w:rPr>
        <w:t xml:space="preserve">voided</w:t>
      </w:r>
    </w:p>
    <w:p>
      <w:r>
        <w:pict>
          <v:rect style="width:0;height:1.5pt" o:hralign="center" o:hrstd="t" o:hr="t"/>
        </w:pict>
      </w:r>
    </w:p>
    <w:bookmarkEnd w:id="1219"/>
    <w:bookmarkEnd w:id="1220"/>
    <w:bookmarkStart w:id="1221" w:name="X8b070e7899a88aea541685aad316b440adce2c1"/>
    <w:p>
      <w:pPr>
        <w:pStyle w:val="Heading2"/>
      </w:pPr>
      <w:r>
        <w:t xml:space="preserve">5. ผู้ให้บริการภายนอก (Third Parties) และข้อมูลที่แลกเปลี่ยน</w:t>
      </w:r>
    </w:p>
    <w:tbl>
      <w:tblPr>
        <w:tblStyle w:val="Table"/>
        <w:tblW w:type="pct" w:w="5000"/>
        <w:tblLayout w:type="fixed"/>
        <w:tblLook w:firstRow="1" w:lastRow="0" w:firstColumn="0" w:lastColumn="0" w:noHBand="0" w:noVBand="0" w:val="0020"/>
      </w:tblPr>
      <w:tblGrid>
        <w:gridCol w:w="1320"/>
        <w:gridCol w:w="812"/>
        <w:gridCol w:w="1929"/>
        <w:gridCol w:w="812"/>
        <w:gridCol w:w="1726"/>
        <w:gridCol w:w="1320"/>
      </w:tblGrid>
      <w:tr>
        <w:trPr>
          <w:tblHeader w:val="on"/>
        </w:trPr>
        <w:tc>
          <w:tcPr/>
          <w:p>
            <w:pPr>
              <w:pStyle w:val="Compact"/>
            </w:pPr>
            <w:r>
              <w:t xml:space="preserve">ผู้ให้บริการ</w:t>
            </w:r>
          </w:p>
        </w:tc>
        <w:tc>
          <w:tcPr/>
          <w:p>
            <w:pPr>
              <w:pStyle w:val="Compact"/>
            </w:pPr>
            <w:r>
              <w:t xml:space="preserve">ประเภท</w:t>
            </w:r>
          </w:p>
        </w:tc>
        <w:tc>
          <w:tcPr/>
          <w:p>
            <w:pPr>
              <w:pStyle w:val="Compact"/>
            </w:pPr>
            <w:r>
              <w:t xml:space="preserve">ข้อมูลที่แลกเปลี่ยน</w:t>
            </w:r>
          </w:p>
        </w:tc>
        <w:tc>
          <w:tcPr/>
          <w:p>
            <w:pPr>
              <w:pStyle w:val="Compact"/>
            </w:pPr>
            <w:r>
              <w:t xml:space="preserve">ทิศทาง</w:t>
            </w:r>
          </w:p>
        </w:tc>
        <w:tc>
          <w:tcPr/>
          <w:p>
            <w:pPr>
              <w:pStyle w:val="Compact"/>
            </w:pPr>
            <w:r>
              <w:t xml:space="preserve">กลไกความปลอดภัย</w:t>
            </w:r>
          </w:p>
        </w:tc>
        <w:tc>
          <w:tcPr/>
          <w:p>
            <w:pPr>
              <w:pStyle w:val="Compact"/>
            </w:pPr>
            <w:r>
              <w:t xml:space="preserve">สัญญา/กำกับ</w:t>
            </w:r>
          </w:p>
        </w:tc>
      </w:tr>
      <w:tr>
        <w:tc>
          <w:tcPr/>
          <w:p>
            <w:pPr>
              <w:pStyle w:val="Compact"/>
            </w:pPr>
            <w:r>
              <w:t xml:space="preserve">Sponsor Bank / Acquirer</w:t>
            </w:r>
          </w:p>
        </w:tc>
        <w:tc>
          <w:tcPr/>
          <w:p>
            <w:pPr>
              <w:pStyle w:val="Compact"/>
            </w:pPr>
            <w:r>
              <w:t xml:space="preserve">Critical</w:t>
            </w:r>
          </w:p>
        </w:tc>
        <w:tc>
          <w:tcPr/>
          <w:p>
            <w:pPr>
              <w:pStyle w:val="Compact"/>
            </w:pPr>
            <w:r>
              <w:t xml:space="preserve">PAN, auth_code, settlement</w:t>
            </w:r>
          </w:p>
        </w:tc>
        <w:tc>
          <w:tcPr/>
          <w:p>
            <w:pPr>
              <w:pStyle w:val="Compact"/>
            </w:pPr>
            <w:r>
              <w:t xml:space="preserve">สองทาง</w:t>
            </w:r>
          </w:p>
        </w:tc>
        <w:tc>
          <w:tcPr/>
          <w:p>
            <w:pPr>
              <w:pStyle w:val="Compact"/>
            </w:pPr>
            <w:r>
              <w:t xml:space="preserve">mTLS / VPN, ISO 8583</w:t>
            </w:r>
          </w:p>
        </w:tc>
        <w:tc>
          <w:tcPr/>
          <w:p>
            <w:pPr>
              <w:pStyle w:val="Compact"/>
            </w:pPr>
            <w:r>
              <w:t xml:space="preserve">Acquiring agreement, ธปท. outsourcing</w:t>
            </w:r>
            <w:r>
              <w:t xml:space="preserve"> </w:t>
            </w:r>
            <w:r>
              <w:rPr>
                <w:b/>
                <w:bCs/>
              </w:rPr>
              <w:t xml:space="preserve">[TODO]</w:t>
            </w:r>
          </w:p>
        </w:tc>
      </w:tr>
      <w:tr>
        <w:tc>
          <w:tcPr/>
          <w:p>
            <w:pPr>
              <w:pStyle w:val="Compact"/>
            </w:pPr>
            <w:r>
              <w:t xml:space="preserve">Card Scheme (Visa/MC)</w:t>
            </w:r>
          </w:p>
        </w:tc>
        <w:tc>
          <w:tcPr/>
          <w:p>
            <w:pPr>
              <w:pStyle w:val="Compact"/>
            </w:pPr>
            <w:r>
              <w:t xml:space="preserve">Critical</w:t>
            </w:r>
          </w:p>
        </w:tc>
        <w:tc>
          <w:tcPr/>
          <w:p>
            <w:pPr>
              <w:pStyle w:val="Compact"/>
            </w:pPr>
            <w:r>
              <w:t xml:space="preserve">authorization, clearing</w:t>
            </w:r>
          </w:p>
        </w:tc>
        <w:tc>
          <w:tcPr/>
          <w:p>
            <w:pPr>
              <w:pStyle w:val="Compact"/>
            </w:pPr>
            <w:r>
              <w:t xml:space="preserve">ผ่าน acquirer</w:t>
            </w:r>
          </w:p>
        </w:tc>
        <w:tc>
          <w:tcPr/>
          <w:p>
            <w:pPr>
              <w:pStyle w:val="Compact"/>
            </w:pPr>
            <w:r>
              <w:t xml:space="preserve">scheme spec</w:t>
            </w:r>
          </w:p>
        </w:tc>
        <w:tc>
          <w:tcPr/>
          <w:p>
            <w:pPr>
              <w:pStyle w:val="Compact"/>
            </w:pPr>
            <w:r>
              <w:t xml:space="preserve">scheme cert (</w:t>
            </w:r>
            <w:r>
              <w:rPr>
                <w:rStyle w:val="VerbatimChar"/>
              </w:rPr>
              <w:t xml:space="preserve">COMP-24</w:t>
            </w:r>
            <w:r>
              <w:t xml:space="preserve">)</w:t>
            </w:r>
          </w:p>
        </w:tc>
      </w:tr>
      <w:tr>
        <w:tc>
          <w:tcPr/>
          <w:p>
            <w:pPr>
              <w:pStyle w:val="Compact"/>
            </w:pPr>
            <w:r>
              <w:t xml:space="preserve">3DS Server / DS / ACS</w:t>
            </w:r>
          </w:p>
        </w:tc>
        <w:tc>
          <w:tcPr/>
          <w:p>
            <w:pPr>
              <w:pStyle w:val="Compact"/>
            </w:pPr>
            <w:r>
              <w:t xml:space="preserve">Critical</w:t>
            </w:r>
          </w:p>
        </w:tc>
        <w:tc>
          <w:tcPr/>
          <w:p>
            <w:pPr>
              <w:pStyle w:val="Compact"/>
            </w:pPr>
            <w:r>
              <w:t xml:space="preserve">device data, CAVV/ECI (ไม่มี PAN เต็ม)</w:t>
            </w:r>
          </w:p>
        </w:tc>
        <w:tc>
          <w:tcPr/>
          <w:p>
            <w:pPr>
              <w:pStyle w:val="Compact"/>
            </w:pPr>
            <w:r>
              <w:t xml:space="preserve">สองทาง</w:t>
            </w:r>
          </w:p>
        </w:tc>
        <w:tc>
          <w:tcPr/>
          <w:p>
            <w:pPr>
              <w:pStyle w:val="Compact"/>
            </w:pPr>
            <w:r>
              <w:t xml:space="preserve">TLS 1.2+, EMV 3DS</w:t>
            </w:r>
          </w:p>
        </w:tc>
        <w:tc>
          <w:tcPr/>
          <w:p>
            <w:pPr>
              <w:pStyle w:val="Compact"/>
            </w:pPr>
            <w:r>
              <w:t xml:space="preserve">vendor DPA</w:t>
            </w:r>
            <w:r>
              <w:t xml:space="preserve"> </w:t>
            </w:r>
            <w:r>
              <w:rPr>
                <w:b/>
                <w:bCs/>
              </w:rPr>
              <w:t xml:space="preserve">[TODO]</w:t>
            </w:r>
          </w:p>
        </w:tc>
      </w:tr>
      <w:tr>
        <w:tc>
          <w:tcPr/>
          <w:p>
            <w:pPr>
              <w:pStyle w:val="Compact"/>
            </w:pPr>
            <w:r>
              <w:t xml:space="preserve">HSM / KMS</w:t>
            </w:r>
          </w:p>
        </w:tc>
        <w:tc>
          <w:tcPr/>
          <w:p>
            <w:pPr>
              <w:pStyle w:val="Compact"/>
            </w:pPr>
            <w:r>
              <w:t xml:space="preserve">Critical</w:t>
            </w:r>
          </w:p>
        </w:tc>
        <w:tc>
          <w:tcPr/>
          <w:p>
            <w:pPr>
              <w:pStyle w:val="Compact"/>
            </w:pPr>
            <w:r>
              <w:t xml:space="preserve">key material (ไม่ export)</w:t>
            </w:r>
          </w:p>
        </w:tc>
        <w:tc>
          <w:tcPr/>
          <w:p>
            <w:pPr>
              <w:pStyle w:val="Compact"/>
            </w:pPr>
            <w:r>
              <w:t xml:space="preserve">สองทาง</w:t>
            </w:r>
          </w:p>
        </w:tc>
        <w:tc>
          <w:tcPr/>
          <w:p>
            <w:pPr>
              <w:pStyle w:val="Compact"/>
            </w:pPr>
            <w:r>
              <w:t xml:space="preserve">FIPS 140-2/3 L3, dual control</w:t>
            </w:r>
          </w:p>
        </w:tc>
        <w:tc>
          <w:tcPr/>
          <w:p>
            <w:pPr>
              <w:pStyle w:val="Compact"/>
            </w:pPr>
            <w:r>
              <w:t xml:space="preserve">vendor SLA (</w:t>
            </w:r>
            <w:r>
              <w:rPr>
                <w:rStyle w:val="VerbatimChar"/>
              </w:rPr>
              <w:t xml:space="preserve">COMP-21</w:t>
            </w:r>
            <w:r>
              <w:t xml:space="preserve">)</w:t>
            </w:r>
            <w:r>
              <w:t xml:space="preserve"> </w:t>
            </w:r>
            <w:r>
              <w:rPr>
                <w:b/>
                <w:bCs/>
              </w:rPr>
              <w:t xml:space="preserve">[TODO]</w:t>
            </w:r>
          </w:p>
        </w:tc>
      </w:tr>
      <w:tr>
        <w:tc>
          <w:tcPr/>
          <w:p>
            <w:pPr>
              <w:pStyle w:val="Compact"/>
            </w:pPr>
            <w:r>
              <w:t xml:space="preserve">Local Rails (ITMX/PromptPay)</w:t>
            </w:r>
          </w:p>
        </w:tc>
        <w:tc>
          <w:tcPr/>
          <w:p>
            <w:pPr>
              <w:pStyle w:val="Compact"/>
            </w:pPr>
            <w:r>
              <w:t xml:space="preserve">Important</w:t>
            </w:r>
          </w:p>
        </w:tc>
        <w:tc>
          <w:tcPr/>
          <w:p>
            <w:pPr>
              <w:pStyle w:val="Compact"/>
            </w:pPr>
            <w:r>
              <w:t xml:space="preserve">QR/account ref (ไม่มี PAN)</w:t>
            </w:r>
          </w:p>
        </w:tc>
        <w:tc>
          <w:tcPr/>
          <w:p>
            <w:pPr>
              <w:pStyle w:val="Compact"/>
            </w:pPr>
            <w:r>
              <w:t xml:space="preserve">สองทาง</w:t>
            </w:r>
          </w:p>
        </w:tc>
        <w:tc>
          <w:tcPr/>
          <w:p>
            <w:pPr>
              <w:pStyle w:val="Compact"/>
            </w:pPr>
            <w:r>
              <w:t xml:space="preserve">mTLS</w:t>
            </w:r>
          </w:p>
        </w:tc>
        <w:tc>
          <w:tcPr/>
          <w:p>
            <w:pPr>
              <w:pStyle w:val="Compact"/>
            </w:pPr>
            <w:r>
              <w:t xml:space="preserve">scheme rules</w:t>
            </w:r>
          </w:p>
        </w:tc>
      </w:tr>
      <w:tr>
        <w:tc>
          <w:tcPr/>
          <w:p>
            <w:pPr>
              <w:pStyle w:val="Compact"/>
            </w:pPr>
            <w:r>
              <w:t xml:space="preserve">Sanction Screening Vendor</w:t>
            </w:r>
          </w:p>
        </w:tc>
        <w:tc>
          <w:tcPr/>
          <w:p>
            <w:pPr>
              <w:pStyle w:val="Compact"/>
            </w:pPr>
            <w:r>
              <w:t xml:space="preserve">Important</w:t>
            </w:r>
          </w:p>
        </w:tc>
        <w:tc>
          <w:tcPr/>
          <w:p>
            <w:pPr>
              <w:pStyle w:val="Compact"/>
            </w:pPr>
            <w:r>
              <w:t xml:space="preserve">ชื่อ/รายการเทียบ (PII)</w:t>
            </w:r>
          </w:p>
        </w:tc>
        <w:tc>
          <w:tcPr/>
          <w:p>
            <w:pPr>
              <w:pStyle w:val="Compact"/>
            </w:pPr>
            <w:r>
              <w:t xml:space="preserve">ออก</w:t>
            </w:r>
          </w:p>
        </w:tc>
        <w:tc>
          <w:tcPr/>
          <w:p>
            <w:pPr>
              <w:pStyle w:val="Compact"/>
            </w:pPr>
            <w:r>
              <w:t xml:space="preserve">TLS, DPA</w:t>
            </w:r>
          </w:p>
        </w:tc>
        <w:tc>
          <w:tcPr/>
          <w:p>
            <w:pPr>
              <w:pStyle w:val="Compact"/>
            </w:pPr>
            <w:r>
              <w:t xml:space="preserve">PDPA + ปปง./AMLO (</w:t>
            </w:r>
            <w:r>
              <w:rPr>
                <w:rStyle w:val="VerbatimChar"/>
              </w:rPr>
              <w:t xml:space="preserve">COMP-06</w:t>
            </w:r>
            <w:r>
              <w:t xml:space="preserve">)</w:t>
            </w:r>
          </w:p>
        </w:tc>
      </w:tr>
      <w:tr>
        <w:tc>
          <w:tcPr/>
          <w:p>
            <w:pPr>
              <w:pStyle w:val="Compact"/>
            </w:pPr>
            <w:r>
              <w:t xml:space="preserve">Cloud / Infra Provider</w:t>
            </w:r>
          </w:p>
        </w:tc>
        <w:tc>
          <w:tcPr/>
          <w:p>
            <w:pPr>
              <w:pStyle w:val="Compact"/>
            </w:pPr>
            <w:r>
              <w:t xml:space="preserve">Important</w:t>
            </w:r>
          </w:p>
        </w:tc>
        <w:tc>
          <w:tcPr/>
          <w:p>
            <w:pPr>
              <w:pStyle w:val="Compact"/>
            </w:pPr>
            <w:r>
              <w:t xml:space="preserve">ระบบ hosting (data residency TH)</w:t>
            </w:r>
          </w:p>
        </w:tc>
        <w:tc>
          <w:tcPr/>
          <w:p>
            <w:pPr>
              <w:pStyle w:val="Compact"/>
            </w:pPr>
            <w:r>
              <w:t xml:space="preserve">—</w:t>
            </w:r>
          </w:p>
        </w:tc>
        <w:tc>
          <w:tcPr/>
          <w:p>
            <w:pPr>
              <w:pStyle w:val="Compact"/>
            </w:pPr>
            <w:r>
              <w:t xml:space="preserve">encryption, IAM</w:t>
            </w:r>
          </w:p>
        </w:tc>
        <w:tc>
          <w:tcPr/>
          <w:p>
            <w:pPr>
              <w:pStyle w:val="Compact"/>
            </w:pPr>
            <w:r>
              <w:t xml:space="preserve">DPA, data residency</w:t>
            </w:r>
            <w:r>
              <w:t xml:space="preserve"> </w:t>
            </w:r>
            <w:r>
              <w:rPr>
                <w:b/>
                <w:bCs/>
              </w:rPr>
              <w:t xml:space="preserve">[TODO]</w:t>
            </w:r>
          </w:p>
        </w:tc>
      </w:tr>
      <w:tr>
        <w:tc>
          <w:tcPr/>
          <w:p>
            <w:pPr>
              <w:pStyle w:val="Compact"/>
            </w:pPr>
            <w:r>
              <w:t xml:space="preserve">QSA / ASV / Pentest</w:t>
            </w:r>
          </w:p>
        </w:tc>
        <w:tc>
          <w:tcPr/>
          <w:p>
            <w:pPr>
              <w:pStyle w:val="Compact"/>
            </w:pPr>
            <w:r>
              <w:t xml:space="preserve">Assessor</w:t>
            </w:r>
          </w:p>
        </w:tc>
        <w:tc>
          <w:tcPr/>
          <w:p>
            <w:pPr>
              <w:pStyle w:val="Compact"/>
            </w:pPr>
            <w:r>
              <w:t xml:space="preserve">evidence, scan results</w:t>
            </w:r>
          </w:p>
        </w:tc>
        <w:tc>
          <w:tcPr/>
          <w:p>
            <w:pPr>
              <w:pStyle w:val="Compact"/>
            </w:pPr>
            <w:r>
              <w:t xml:space="preserve">—</w:t>
            </w:r>
          </w:p>
        </w:tc>
        <w:tc>
          <w:tcPr/>
          <w:p>
            <w:pPr>
              <w:pStyle w:val="Compact"/>
            </w:pPr>
            <w:r>
              <w:t xml:space="preserve">NDA</w:t>
            </w:r>
          </w:p>
        </w:tc>
        <w:tc>
          <w:tcPr/>
          <w:p>
            <w:pPr>
              <w:pStyle w:val="Compact"/>
            </w:pPr>
            <w:r>
              <w:t xml:space="preserve">engagement (</w:t>
            </w:r>
            <w:r>
              <w:rPr>
                <w:rStyle w:val="VerbatimChar"/>
              </w:rPr>
              <w:t xml:space="preserve">COMP-23</w:t>
            </w:r>
            <w:r>
              <w:t xml:space="preserve">)</w:t>
            </w:r>
            <w:r>
              <w:t xml:space="preserve"> </w:t>
            </w:r>
            <w:r>
              <w:rPr>
                <w:b/>
                <w:bCs/>
              </w:rPr>
              <w:t xml:space="preserve">[TODO]</w:t>
            </w:r>
          </w:p>
        </w:tc>
      </w:tr>
      <w:tr>
        <w:tc>
          <w:tcPr/>
          <w:p>
            <w:pPr>
              <w:pStyle w:val="Compact"/>
            </w:pPr>
            <w:r>
              <w:t xml:space="preserve">Notification (email/SMS)</w:t>
            </w:r>
          </w:p>
        </w:tc>
        <w:tc>
          <w:tcPr/>
          <w:p>
            <w:pPr>
              <w:pStyle w:val="Compact"/>
            </w:pPr>
            <w:r>
              <w:t xml:space="preserve">Support</w:t>
            </w:r>
          </w:p>
        </w:tc>
        <w:tc>
          <w:tcPr/>
          <w:p>
            <w:pPr>
              <w:pStyle w:val="Compact"/>
            </w:pPr>
            <w:r>
              <w:t xml:space="preserve">ข้อมูลติดต่อ merchant (PII)</w:t>
            </w:r>
          </w:p>
        </w:tc>
        <w:tc>
          <w:tcPr/>
          <w:p>
            <w:pPr>
              <w:pStyle w:val="Compact"/>
            </w:pPr>
            <w:r>
              <w:t xml:space="preserve">ออก</w:t>
            </w:r>
          </w:p>
        </w:tc>
        <w:tc>
          <w:tcPr/>
          <w:p>
            <w:pPr>
              <w:pStyle w:val="Compact"/>
            </w:pPr>
            <w:r>
              <w:t xml:space="preserve">TLS, no card data</w:t>
            </w:r>
          </w:p>
        </w:tc>
        <w:tc>
          <w:tcPr/>
          <w:p>
            <w:pPr>
              <w:pStyle w:val="Compact"/>
            </w:pPr>
            <w:r>
              <w:t xml:space="preserve">DPA (</w:t>
            </w:r>
            <w:r>
              <w:rPr>
                <w:rStyle w:val="VerbatimChar"/>
              </w:rPr>
              <w:t xml:space="preserve">COMP-10</w:t>
            </w:r>
            <w:r>
              <w:t xml:space="preserve">)</w:t>
            </w:r>
          </w:p>
        </w:tc>
      </w:tr>
    </w:tbl>
    <w:p>
      <w:pPr>
        <w:pStyle w:val="BlockText"/>
      </w:pPr>
      <w:r>
        <w:t xml:space="preserve">ผู้ให้บริการทุกรายที่ประมวลผล CHD หรือ security-impacting ต้องมีในทะเบียน outsourcing และ TPRM ตามประกาศ ธปท. ว่าด้วยการใช้บริการภายนอก และมี DPA ตาม PDPA (มาตรา 40) — ดู</w:t>
      </w:r>
      <w:r>
        <w:t xml:space="preserve"> </w:t>
      </w:r>
      <w:r>
        <w:rPr>
          <w:rStyle w:val="VerbatimChar"/>
        </w:rPr>
        <w:t xml:space="preserve">COMP-10</w:t>
      </w:r>
      <w:r>
        <w:t xml:space="preserve">,</w:t>
      </w:r>
      <w:r>
        <w:t xml:space="preserve"> </w:t>
      </w:r>
      <w:r>
        <w:rPr>
          <w:rStyle w:val="VerbatimChar"/>
        </w:rPr>
        <w:t xml:space="preserve">COMP-13</w:t>
      </w:r>
    </w:p>
    <w:p>
      <w:r>
        <w:pict>
          <v:rect style="width:0;height:1.5pt" o:hralign="center" o:hrstd="t" o:hr="t"/>
        </w:pict>
      </w:r>
    </w:p>
    <w:bookmarkEnd w:id="1221"/>
    <w:bookmarkStart w:id="1222" w:name="ขอบเขตความไววางใจ-trust-boundaries"/>
    <w:p>
      <w:pPr>
        <w:pStyle w:val="Heading2"/>
      </w:pPr>
      <w:r>
        <w:t xml:space="preserve">6. ขอบเขตความไว้วางใจ (Trust Boundaries)</w:t>
      </w:r>
    </w:p>
    <w:p>
      <w:pPr>
        <w:pStyle w:val="SourceCode"/>
      </w:pPr>
      <w:r>
        <w:rPr>
          <w:rStyle w:val="VerbatimChar"/>
        </w:rPr>
        <w:t xml:space="preserve">flowchart LR</w:t>
      </w:r>
      <w:r>
        <w:br/>
      </w:r>
      <w:r>
        <w:rPr>
          <w:rStyle w:val="VerbatimChar"/>
        </w:rPr>
        <w:t xml:space="preserve">    subgraph TB0["TB0 · Internet (Untrusted)"]</w:t>
      </w:r>
      <w:r>
        <w:br/>
      </w:r>
      <w:r>
        <w:rPr>
          <w:rStyle w:val="VerbatimChar"/>
        </w:rPr>
        <w:t xml:space="preserve">        A["Merchant / Cardholder / Public"]</w:t>
      </w:r>
      <w:r>
        <w:br/>
      </w:r>
      <w:r>
        <w:rPr>
          <w:rStyle w:val="VerbatimChar"/>
        </w:rPr>
        <w:t xml:space="preserve">    end</w:t>
      </w:r>
      <w:r>
        <w:br/>
      </w:r>
      <w:r>
        <w:rPr>
          <w:rStyle w:val="VerbatimChar"/>
        </w:rPr>
        <w:t xml:space="preserve">    subgraph TB1["TB1 · DMZ / Edge (Semi-trusted)"]</w:t>
      </w:r>
      <w:r>
        <w:br/>
      </w:r>
      <w:r>
        <w:rPr>
          <w:rStyle w:val="VerbatimChar"/>
        </w:rPr>
        <w:t xml:space="preserve">        B["WAF · LB · 3DS redirect"]</w:t>
      </w:r>
      <w:r>
        <w:br/>
      </w:r>
      <w:r>
        <w:rPr>
          <w:rStyle w:val="VerbatimChar"/>
        </w:rPr>
        <w:t xml:space="preserve">    end</w:t>
      </w:r>
      <w:r>
        <w:br/>
      </w:r>
      <w:r>
        <w:rPr>
          <w:rStyle w:val="VerbatimChar"/>
        </w:rPr>
        <w:t xml:space="preserve">    subgraph TB2["TB2 · Application (Trusted)"]</w:t>
      </w:r>
      <w:r>
        <w:br/>
      </w:r>
      <w:r>
        <w:rPr>
          <w:rStyle w:val="VerbatimChar"/>
        </w:rPr>
        <w:t xml:space="preserve">        C["Payment Core · Risk · Webhook"]</w:t>
      </w:r>
      <w:r>
        <w:br/>
      </w:r>
      <w:r>
        <w:rPr>
          <w:rStyle w:val="VerbatimChar"/>
        </w:rPr>
        <w:t xml:space="preserve">    end</w:t>
      </w:r>
      <w:r>
        <w:br/>
      </w:r>
      <w:r>
        <w:rPr>
          <w:rStyle w:val="VerbatimChar"/>
        </w:rPr>
        <w:t xml:space="preserve">    subgraph TB3["TB3 · CDE (Highly restricted)"]</w:t>
      </w:r>
      <w:r>
        <w:br/>
      </w:r>
      <w:r>
        <w:rPr>
          <w:rStyle w:val="VerbatimChar"/>
        </w:rPr>
        <w:t xml:space="preserve">        D["Vault · HSM/KMS · PAN store"]</w:t>
      </w:r>
      <w:r>
        <w:br/>
      </w:r>
      <w:r>
        <w:rPr>
          <w:rStyle w:val="VerbatimChar"/>
        </w:rPr>
        <w:t xml:space="preserve">    end</w:t>
      </w:r>
      <w:r>
        <w:br/>
      </w:r>
      <w:r>
        <w:rPr>
          <w:rStyle w:val="VerbatimChar"/>
        </w:rPr>
        <w:t xml:space="preserve">    subgraph TB4["TB4 · Acquirer Uplink"]</w:t>
      </w:r>
      <w:r>
        <w:br/>
      </w:r>
      <w:r>
        <w:rPr>
          <w:rStyle w:val="VerbatimChar"/>
        </w:rPr>
        <w:t xml:space="preserve">        E["Acquirer switch"]</w:t>
      </w:r>
      <w:r>
        <w:br/>
      </w:r>
      <w:r>
        <w:rPr>
          <w:rStyle w:val="VerbatimChar"/>
        </w:rPr>
        <w:t xml:space="preserve">    end</w:t>
      </w:r>
      <w:r>
        <w:br/>
      </w:r>
      <w:r>
        <w:rPr>
          <w:rStyle w:val="VerbatimChar"/>
        </w:rPr>
        <w:t xml:space="preserve">    A --&gt;|"TLS 1.2+, API key/JWT"| B</w:t>
      </w:r>
      <w:r>
        <w:br/>
      </w:r>
      <w:r>
        <w:rPr>
          <w:rStyle w:val="VerbatimChar"/>
        </w:rPr>
        <w:t xml:space="preserve">    B --&gt;|"mTLS, default-deny"| C</w:t>
      </w:r>
      <w:r>
        <w:br/>
      </w:r>
      <w:r>
        <w:rPr>
          <w:rStyle w:val="VerbatimChar"/>
        </w:rPr>
        <w:t xml:space="preserve">    C --&gt;|"mTLS, allow-list, MFA break-glass"| D</w:t>
      </w:r>
      <w:r>
        <w:br/>
      </w:r>
      <w:r>
        <w:rPr>
          <w:rStyle w:val="VerbatimChar"/>
        </w:rPr>
        <w:t xml:space="preserve">    D --&gt;|"VPN/mTLS, ISO 8583"| E</w:t>
      </w:r>
    </w:p>
    <w:tbl>
      <w:tblPr>
        <w:tblStyle w:val="Table"/>
        <w:tblW w:type="pct" w:w="5000"/>
        <w:tblLayout w:type="fixed"/>
        <w:tblLook w:firstRow="1" w:lastRow="0" w:firstColumn="0" w:lastColumn="0" w:noHBand="0" w:noVBand="0" w:val="0020"/>
      </w:tblPr>
      <w:tblGrid>
        <w:gridCol w:w="1931"/>
        <w:gridCol w:w="1931"/>
        <w:gridCol w:w="4056"/>
      </w:tblGrid>
      <w:tr>
        <w:trPr>
          <w:tblHeader w:val="on"/>
        </w:trPr>
        <w:tc>
          <w:tcPr/>
          <w:p>
            <w:pPr>
              <w:pStyle w:val="Compact"/>
            </w:pPr>
            <w:r>
              <w:t xml:space="preserve">Boundary</w:t>
            </w:r>
          </w:p>
        </w:tc>
        <w:tc>
          <w:tcPr/>
          <w:p>
            <w:pPr>
              <w:pStyle w:val="Compact"/>
            </w:pPr>
            <w:r>
              <w:t xml:space="preserve">จาก → ไป</w:t>
            </w:r>
          </w:p>
        </w:tc>
        <w:tc>
          <w:tcPr/>
          <w:p>
            <w:pPr>
              <w:pStyle w:val="Compact"/>
            </w:pPr>
            <w:r>
              <w:t xml:space="preserve">การควบคุมที่ข้ามขอบ</w:t>
            </w:r>
          </w:p>
        </w:tc>
      </w:tr>
      <w:tr>
        <w:tc>
          <w:tcPr/>
          <w:p>
            <w:pPr>
              <w:pStyle w:val="Compact"/>
            </w:pPr>
            <w:r>
              <w:t xml:space="preserve">TB0→TB1</w:t>
            </w:r>
          </w:p>
        </w:tc>
        <w:tc>
          <w:tcPr/>
          <w:p>
            <w:pPr>
              <w:pStyle w:val="Compact"/>
            </w:pPr>
            <w:r>
              <w:t xml:space="preserve">Internet → Edge</w:t>
            </w:r>
          </w:p>
        </w:tc>
        <w:tc>
          <w:tcPr/>
          <w:p>
            <w:pPr>
              <w:pStyle w:val="Compact"/>
            </w:pPr>
            <w:r>
              <w:t xml:space="preserve">TLS 1.2+, WAF, DDoS scrubbing, API key/JWT, rate limit, idempotency</w:t>
            </w:r>
          </w:p>
        </w:tc>
      </w:tr>
      <w:tr>
        <w:tc>
          <w:tcPr/>
          <w:p>
            <w:pPr>
              <w:pStyle w:val="Compact"/>
            </w:pPr>
            <w:r>
              <w:t xml:space="preserve">TB1→TB2</w:t>
            </w:r>
          </w:p>
        </w:tc>
        <w:tc>
          <w:tcPr/>
          <w:p>
            <w:pPr>
              <w:pStyle w:val="Compact"/>
            </w:pPr>
            <w:r>
              <w:t xml:space="preserve">Edge → App</w:t>
            </w:r>
          </w:p>
        </w:tc>
        <w:tc>
          <w:tcPr/>
          <w:p>
            <w:pPr>
              <w:pStyle w:val="Compact"/>
            </w:pPr>
            <w:r>
              <w:t xml:space="preserve">mTLS, security group default-deny, request-id, input validation (sqlc)</w:t>
            </w:r>
          </w:p>
        </w:tc>
      </w:tr>
      <w:tr>
        <w:tc>
          <w:tcPr/>
          <w:p>
            <w:pPr>
              <w:pStyle w:val="Compact"/>
            </w:pPr>
            <w:r>
              <w:t xml:space="preserve">TB2→TB3</w:t>
            </w:r>
          </w:p>
        </w:tc>
        <w:tc>
          <w:tcPr/>
          <w:p>
            <w:pPr>
              <w:pStyle w:val="Compact"/>
            </w:pPr>
            <w:r>
              <w:t xml:space="preserve">App → CDE</w:t>
            </w:r>
          </w:p>
        </w:tc>
        <w:tc>
          <w:tcPr/>
          <w:p>
            <w:pPr>
              <w:pStyle w:val="Compact"/>
            </w:pPr>
            <w:r>
              <w:t xml:space="preserve">mTLS + allow-list เฉพาะ service account; MFA/break-glass; ไม่มี direct human access; ทุก detokenize ลง audit_log</w:t>
            </w:r>
          </w:p>
        </w:tc>
      </w:tr>
      <w:tr>
        <w:tc>
          <w:tcPr/>
          <w:p>
            <w:pPr>
              <w:pStyle w:val="Compact"/>
            </w:pPr>
            <w:r>
              <w:t xml:space="preserve">TB3→TB4</w:t>
            </w:r>
          </w:p>
        </w:tc>
        <w:tc>
          <w:tcPr/>
          <w:p>
            <w:pPr>
              <w:pStyle w:val="Compact"/>
            </w:pPr>
            <w:r>
              <w:t xml:space="preserve">CDE → Acquirer</w:t>
            </w:r>
          </w:p>
        </w:tc>
        <w:tc>
          <w:tcPr/>
          <w:p>
            <w:pPr>
              <w:pStyle w:val="Compact"/>
            </w:pPr>
            <w:r>
              <w:t xml:space="preserve">dedicated VPN/leased line, mTLS, ISO 8583; PAN เข้ารหัส in-transit</w:t>
            </w:r>
          </w:p>
        </w:tc>
      </w:tr>
      <w:tr>
        <w:tc>
          <w:tcPr/>
          <w:p>
            <w:pPr>
              <w:pStyle w:val="Compact"/>
            </w:pPr>
            <w:r>
              <w:t xml:space="preserve">ทุกขอบ</w:t>
            </w:r>
          </w:p>
        </w:tc>
        <w:tc>
          <w:tcPr/>
          <w:p>
            <w:pPr>
              <w:pStyle w:val="Compact"/>
            </w:pPr>
            <w:r>
              <w:t xml:space="preserve">—</w:t>
            </w:r>
          </w:p>
        </w:tc>
        <w:tc>
          <w:tcPr/>
          <w:p>
            <w:pPr>
              <w:pStyle w:val="Compact"/>
            </w:pPr>
            <w:r>
              <w:t xml:space="preserve">logging ไม่มี card data (Req 10), fail-closed, least privilege (Req 7-8)</w:t>
            </w:r>
          </w:p>
        </w:tc>
      </w:tr>
    </w:tbl>
    <w:p>
      <w:r>
        <w:pict>
          <v:rect style="width:0;height:1.5pt" o:hralign="center" o:hrstd="t" o:hr="t"/>
        </w:pict>
      </w:r>
    </w:p>
    <w:bookmarkEnd w:id="1222"/>
    <w:bookmarkStart w:id="1223" w:name="ขอบเขต-pci-dss-pci-scope-summary"/>
    <w:p>
      <w:pPr>
        <w:pStyle w:val="Heading2"/>
      </w:pPr>
      <w:r>
        <w:t xml:space="preserve">7. ขอบเขต PCI-DSS (PCI Scope Summary)</w:t>
      </w:r>
    </w:p>
    <w:p>
      <w:pPr>
        <w:pStyle w:val="Compact"/>
        <w:numPr>
          <w:ilvl w:val="0"/>
          <w:numId w:val="1443"/>
        </w:numPr>
      </w:pPr>
      <w:r>
        <w:rPr>
          <w:b/>
          <w:bCs/>
        </w:rPr>
        <w:t xml:space="preserve">PCI-DSS v4.0 Level 1</w:t>
      </w:r>
      <w:r>
        <w:t xml:space="preserve"> </w:t>
      </w:r>
      <w:r>
        <w:t xml:space="preserve">(&gt; 6 ล้านรายการ/ปี หรือกำหนดโดย acquirer/แบรนด์บัตร) → ต้องมี QSA ออก RoC ประจำปี + quarterly ASV scan + annual penetration test (</w:t>
      </w:r>
      <w:r>
        <w:rPr>
          <w:rStyle w:val="VerbatimChar"/>
        </w:rPr>
        <w:t xml:space="preserve">COMP-19</w:t>
      </w:r>
      <w:r>
        <w:t xml:space="preserve">,</w:t>
      </w:r>
      <w:r>
        <w:t xml:space="preserve"> </w:t>
      </w:r>
      <w:r>
        <w:rPr>
          <w:rStyle w:val="VerbatimChar"/>
        </w:rPr>
        <w:t xml:space="preserve">COMP-23</w:t>
      </w:r>
      <w:r>
        <w:t xml:space="preserve">)</w:t>
      </w:r>
    </w:p>
    <w:p>
      <w:pPr>
        <w:pStyle w:val="Compact"/>
        <w:numPr>
          <w:ilvl w:val="0"/>
          <w:numId w:val="1443"/>
        </w:numPr>
      </w:pPr>
      <w:r>
        <w:rPr>
          <w:b/>
          <w:bCs/>
        </w:rPr>
        <w:t xml:space="preserve">CDE เต็มรูปแบบ:</w:t>
      </w:r>
      <w:r>
        <w:t xml:space="preserve"> </w:t>
      </w:r>
      <w:r>
        <w:t xml:space="preserve">เฉพาะ Z3 (Tokenization Vault + HSM/KMS + encrypted PAN store) และเส้นทาง Z3→Z6 (Acquirer uplink) — ดู</w:t>
      </w:r>
      <w:r>
        <w:t xml:space="preserve"> </w:t>
      </w:r>
      <w:r>
        <w:rPr>
          <w:rStyle w:val="VerbatimChar"/>
        </w:rPr>
        <w:t xml:space="preserve">COMP-20</w:t>
      </w:r>
      <w:r>
        <w:t xml:space="preserve">,</w:t>
      </w:r>
      <w:r>
        <w:t xml:space="preserve"> </w:t>
      </w:r>
      <w:r>
        <w:rPr>
          <w:rStyle w:val="VerbatimChar"/>
        </w:rPr>
        <w:t xml:space="preserve">COMP-21</w:t>
      </w:r>
    </w:p>
    <w:p>
      <w:pPr>
        <w:pStyle w:val="Compact"/>
        <w:numPr>
          <w:ilvl w:val="0"/>
          <w:numId w:val="1443"/>
        </w:numPr>
      </w:pPr>
      <w:r>
        <w:rPr>
          <w:b/>
          <w:bCs/>
        </w:rPr>
        <w:t xml:space="preserve">Connected-to / security-impacting:</w:t>
      </w:r>
      <w:r>
        <w:t xml:space="preserve"> </w:t>
      </w:r>
      <w:r>
        <w:t xml:space="preserve">API Edge, Payment Core, Risk Engine, Webhook, Ledger DB, Z5 management (SIEM/secrets/bastion)</w:t>
      </w:r>
    </w:p>
    <w:p>
      <w:pPr>
        <w:pStyle w:val="Compact"/>
        <w:numPr>
          <w:ilvl w:val="0"/>
          <w:numId w:val="1443"/>
        </w:numPr>
      </w:pPr>
      <w:r>
        <w:rPr>
          <w:b/>
          <w:bCs/>
        </w:rPr>
        <w:t xml:space="preserve">Out-of-scope (พิสูจน์ segmentation):</w:t>
      </w:r>
      <w:r>
        <w:t xml:space="preserve"> </w:t>
      </w:r>
      <w:r>
        <w:t xml:space="preserve">ระบบ corporate IT, marketing, dev workstations ที่ไม่มีเส้นทางเข้าถึง CDE — ยืนยันด้วย penetration test (PCI Req 11.4.5)</w:t>
      </w:r>
    </w:p>
    <w:p>
      <w:pPr>
        <w:pStyle w:val="Compact"/>
        <w:numPr>
          <w:ilvl w:val="0"/>
          <w:numId w:val="1443"/>
        </w:numPr>
      </w:pPr>
      <w:r>
        <w:rPr>
          <w:b/>
          <w:bCs/>
        </w:rPr>
        <w:t xml:space="preserve">ห้ามเด็ดขาด:</w:t>
      </w:r>
      <w:r>
        <w:t xml:space="preserve"> </w:t>
      </w:r>
      <w:r>
        <w:t xml:space="preserve">เก็บ full PAN, CVV/CVV2, PIN, full track ใน operational DB (Req 3.2/3.3); เก็บได้เพียง</w:t>
      </w:r>
      <w:r>
        <w:t xml:space="preserve"> </w:t>
      </w:r>
      <w:r>
        <w:rPr>
          <w:rStyle w:val="VerbatimChar"/>
        </w:rPr>
        <w:t xml:space="preserve">card_brand</w:t>
      </w:r>
      <w:r>
        <w:t xml:space="preserve"> </w:t>
      </w:r>
      <w:r>
        <w:t xml:space="preserve">+</w:t>
      </w:r>
      <w:r>
        <w:t xml:space="preserve"> </w:t>
      </w:r>
      <w:r>
        <w:rPr>
          <w:rStyle w:val="VerbatimChar"/>
        </w:rPr>
        <w:t xml:space="preserve">card_last4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PCI Req หลักที่เอกสารนี้รองรับ</w:t>
            </w:r>
          </w:p>
        </w:tc>
        <w:tc>
          <w:tcPr/>
          <w:p>
            <w:pPr>
              <w:pStyle w:val="Compact"/>
            </w:pPr>
            <w:r>
              <w:t xml:space="preserve">หัวข้อ</w:t>
            </w:r>
          </w:p>
        </w:tc>
      </w:tr>
      <w:tr>
        <w:tc>
          <w:tcPr/>
          <w:p>
            <w:pPr>
              <w:pStyle w:val="Compact"/>
            </w:pPr>
            <w:r>
              <w:t xml:space="preserve">Req 1</w:t>
            </w:r>
          </w:p>
        </w:tc>
        <w:tc>
          <w:tcPr/>
          <w:p>
            <w:pPr>
              <w:pStyle w:val="Compact"/>
            </w:pPr>
            <w:r>
              <w:t xml:space="preserve">network security controls, segmentation (</w:t>
            </w:r>
            <w:r>
              <w:rPr>
                <w:rStyle w:val="VerbatimChar"/>
              </w:rPr>
              <w:t xml:space="preserve">COMP-20</w:t>
            </w:r>
            <w:r>
              <w:t xml:space="preserve">)</w:t>
            </w:r>
          </w:p>
        </w:tc>
      </w:tr>
      <w:tr>
        <w:tc>
          <w:tcPr/>
          <w:p>
            <w:pPr>
              <w:pStyle w:val="Compact"/>
            </w:pPr>
            <w:r>
              <w:t xml:space="preserve">Req 3, 4</w:t>
            </w:r>
          </w:p>
        </w:tc>
        <w:tc>
          <w:tcPr/>
          <w:p>
            <w:pPr>
              <w:pStyle w:val="Compact"/>
            </w:pPr>
            <w:r>
              <w:t xml:space="preserve">protect stored/transmitted CHD, tokenization (</w:t>
            </w:r>
            <w:r>
              <w:rPr>
                <w:rStyle w:val="VerbatimChar"/>
              </w:rPr>
              <w:t xml:space="preserve">COMP-21</w:t>
            </w:r>
            <w:r>
              <w:t xml:space="preserve">)</w:t>
            </w:r>
          </w:p>
        </w:tc>
      </w:tr>
      <w:tr>
        <w:tc>
          <w:tcPr/>
          <w:p>
            <w:pPr>
              <w:pStyle w:val="Compact"/>
            </w:pPr>
            <w:r>
              <w:t xml:space="preserve">Req 7, 8</w:t>
            </w:r>
          </w:p>
        </w:tc>
        <w:tc>
          <w:tcPr/>
          <w:p>
            <w:pPr>
              <w:pStyle w:val="Compact"/>
            </w:pPr>
            <w:r>
              <w:t xml:space="preserve">least privilege, MFA (</w:t>
            </w:r>
            <w:r>
              <w:rPr>
                <w:rStyle w:val="VerbatimChar"/>
              </w:rPr>
              <w:t xml:space="preserve">COMP-18</w:t>
            </w:r>
            <w:r>
              <w:t xml:space="preserve">)</w:t>
            </w:r>
          </w:p>
        </w:tc>
      </w:tr>
      <w:tr>
        <w:tc>
          <w:tcPr/>
          <w:p>
            <w:pPr>
              <w:pStyle w:val="Compact"/>
            </w:pPr>
            <w:r>
              <w:t xml:space="preserve">Req 10</w:t>
            </w:r>
          </w:p>
        </w:tc>
        <w:tc>
          <w:tcPr/>
          <w:p>
            <w:pPr>
              <w:pStyle w:val="Compact"/>
            </w:pPr>
            <w:r>
              <w:t xml:space="preserve">logging ไม่มี card data, SIEM (</w:t>
            </w:r>
            <w:r>
              <w:rPr>
                <w:rStyle w:val="VerbatimChar"/>
              </w:rPr>
              <w:t xml:space="preserve">COMP-14</w:t>
            </w:r>
            <w:r>
              <w:t xml:space="preserve">)</w:t>
            </w:r>
          </w:p>
        </w:tc>
      </w:tr>
      <w:tr>
        <w:tc>
          <w:tcPr/>
          <w:p>
            <w:pPr>
              <w:pStyle w:val="Compact"/>
            </w:pPr>
            <w:r>
              <w:t xml:space="preserve">Req 12.5.2</w:t>
            </w:r>
          </w:p>
        </w:tc>
        <w:tc>
          <w:tcPr/>
          <w:p>
            <w:pPr>
              <w:pStyle w:val="Compact"/>
            </w:pPr>
            <w:r>
              <w:t xml:space="preserve">scope validation ประจำปี (เอกสารนี้ + QSA)</w:t>
            </w:r>
          </w:p>
        </w:tc>
      </w:tr>
    </w:tbl>
    <w:p>
      <w:r>
        <w:pict>
          <v:rect style="width:0;height:1.5pt" o:hralign="center" o:hrstd="t" o:hr="t"/>
        </w:pict>
      </w:r>
    </w:p>
    <w:bookmarkEnd w:id="1223"/>
    <w:bookmarkEnd w:id="1224"/>
    <w:bookmarkStart w:id="1234" w:name="X83eabbacbcd036e38abe300566b0b6325718682"/>
    <w:p>
      <w:pPr>
        <w:pStyle w:val="Heading1"/>
      </w:pPr>
      <w:r>
        <w:t xml:space="preserve">System architecture + data-flow diagrams (mermaid), third parties, trust boundaries, PCI scope (English)</w:t>
      </w:r>
    </w:p>
    <w:p>
      <w:pPr>
        <w:pStyle w:val="BlockText"/>
      </w:pPr>
      <w:r>
        <w:t xml:space="preserve">Supporting document for the</w:t>
      </w:r>
      <w:r>
        <w:t xml:space="preserve"> </w:t>
      </w:r>
      <w:r>
        <w:rPr>
          <w:b/>
          <w:bCs/>
        </w:rPr>
        <w:t xml:space="preserve">Electronic Payment Acquiring Service (Full Acquiring)</w:t>
      </w:r>
      <w:r>
        <w:t xml:space="preserve"> </w:t>
      </w:r>
      <w:r>
        <w:t xml:space="preserve">license application</w:t>
      </w:r>
      <w:r>
        <w:t xml:space="preserve"> </w:t>
      </w:r>
      <w:r>
        <w:t xml:space="preserve">under the Payment Systems Act B.E. 2560 to the Bank of Thailand (BOT), and supporting evidence for the PCI-DSS v4.0 Level 1 assessment (Requirements 1, 3, 4).</w:t>
      </w:r>
    </w:p>
    <w:p>
      <w:pPr>
        <w:pStyle w:val="BlockText"/>
      </w:pPr>
      <w:r>
        <w:t xml:space="preserve">Document ID:</w:t>
      </w:r>
      <w:r>
        <w:t xml:space="preserve"> </w:t>
      </w:r>
      <w:r>
        <w:rPr>
          <w:rStyle w:val="VerbatimChar"/>
        </w:rPr>
        <w:t xml:space="preserve">COMP-34</w:t>
      </w:r>
      <w:r>
        <w:t xml:space="preserve"> </w:t>
      </w:r>
      <w:r>
        <w:t xml:space="preserve">· Version 1.0 · Owner: Chief Technology Officer (CTO) / Chief Information Security Officer (CISO)</w:t>
      </w:r>
      <w:r>
        <w:t xml:space="preserve"> </w:t>
      </w:r>
      <w:r>
        <w:t xml:space="preserve">References:</w:t>
      </w:r>
      <w:r>
        <w:t xml:space="preserve"> </w:t>
      </w:r>
      <w:r>
        <w:rPr>
          <w:rStyle w:val="VerbatimChar"/>
        </w:rPr>
        <w:t xml:space="preserve">COMPLIANCE-TH.md</w:t>
      </w:r>
      <w:r>
        <w:t xml:space="preserve">,</w:t>
      </w:r>
      <w:r>
        <w:t xml:space="preserve"> </w:t>
      </w:r>
      <w:r>
        <w:rPr>
          <w:rStyle w:val="VerbatimChar"/>
        </w:rPr>
        <w:t xml:space="preserve">ARCHITECTURE.md</w:t>
      </w:r>
      <w:r>
        <w:t xml:space="preserve">,</w:t>
      </w:r>
      <w:r>
        <w:t xml:space="preserve"> </w:t>
      </w:r>
      <w:r>
        <w:rPr>
          <w:rStyle w:val="VerbatimChar"/>
        </w:rPr>
        <w:t xml:space="preserve">ROADMAP.md</w:t>
      </w:r>
      <w:r>
        <w:t xml:space="preserve">,</w:t>
      </w:r>
      <w:r>
        <w:t xml:space="preserve"> </w:t>
      </w:r>
      <w:r>
        <w:rPr>
          <w:rStyle w:val="VerbatimChar"/>
        </w:rPr>
        <w:t xml:space="preserve">docs/compliance/13-it-risk-management.md</w:t>
      </w:r>
      <w:r>
        <w:t xml:space="preserve">,</w:t>
      </w:r>
      <w:r>
        <w:t xml:space="preserve"> </w:t>
      </w:r>
      <w:r>
        <w:rPr>
          <w:rStyle w:val="VerbatimChar"/>
        </w:rPr>
        <w:t xml:space="preserve">docs/compliance/19-pci-dss-roadmap.md</w:t>
      </w:r>
      <w:r>
        <w:t xml:space="preserve">,</w:t>
      </w:r>
      <w:r>
        <w:t xml:space="preserve"> </w:t>
      </w:r>
      <w:r>
        <w:rPr>
          <w:rStyle w:val="VerbatimChar"/>
        </w:rPr>
        <w:t xml:space="preserve">docs/compliance/20-network-segmentation-cde.md</w:t>
      </w:r>
      <w:r>
        <w:t xml:space="preserve">,</w:t>
      </w:r>
      <w:r>
        <w:t xml:space="preserve"> </w:t>
      </w:r>
      <w:r>
        <w:rPr>
          <w:rStyle w:val="VerbatimChar"/>
        </w:rPr>
        <w:t xml:space="preserve">docs/compliance/21-tokenization-hsm-keymgmt.md</w:t>
      </w:r>
      <w:r>
        <w:t xml:space="preserve">,</w:t>
      </w:r>
      <w:r>
        <w:t xml:space="preserve"> </w:t>
      </w:r>
      <w:r>
        <w:rPr>
          <w:rStyle w:val="VerbatimChar"/>
        </w:rPr>
        <w:t xml:space="preserve">docs/compliance/22-3ds-strategy.md</w:t>
      </w:r>
    </w:p>
    <w:p>
      <w:pPr>
        <w:pStyle w:val="BlockText"/>
      </w:pPr>
      <w:r>
        <w:rPr>
          <w:b/>
          <w:bCs/>
        </w:rPr>
        <w:t xml:space="preserve">Note:</w:t>
      </w:r>
      <w:r>
        <w:t xml:space="preserve"> </w:t>
      </w:r>
      <w:r>
        <w:t xml:space="preserve">This is an internal technical/policy document, not legal advice. It must be reviewed by legal counsel and the QSA before actual submission.</w:t>
      </w:r>
    </w:p>
    <w:p>
      <w:r>
        <w:pict>
          <v:rect style="width:0;height:1.5pt" o:hralign="center" o:hrstd="t" o:hr="t"/>
        </w:pict>
      </w:r>
    </w:p>
    <w:p>
      <w:pPr>
        <w:pStyle w:val="Heading3"/>
      </w:pPr>
      <w:bookmarkStart w:id="1225" w:name="assumptions-todo-10"/>
      <w:r>
        <w:t xml:space="preserve">⚠️ Assumptions / TODO</w:t>
      </w:r>
      <w:bookmarkEnd w:id="1225"/>
    </w:p>
    <w:p>
      <w:pPr>
        <w:pStyle w:val="BlockText"/>
      </w:pPr>
      <w:r>
        <w:t xml:space="preserve">The following items depend on external parties/vendors that are not yet finalized — do not treat as fact until confirmed:</w:t>
      </w:r>
      <w:r>
        <w:t xml:space="preserve"> </w:t>
      </w:r>
      <w:r>
        <w:t xml:space="preserve">-</w:t>
      </w:r>
      <w:r>
        <w:t xml:space="preserve"> </w:t>
      </w:r>
      <w:r>
        <w:rPr>
          <w:b/>
          <w:bCs/>
        </w:rPr>
        <w:t xml:space="preserve">[TODO — Sponsor Bank / Acquirer]</w:t>
      </w:r>
      <w:r>
        <w:t xml:space="preserve"> </w:t>
      </w:r>
      <w:r>
        <w:t xml:space="preserve">No signed sponsoring bank or card scheme (Visa/Mastercard) yet — actual protocol (ISO 8583 vs REST), link type (leased line / MPLS / IPsec VPN), BIN sponsorship, and settlement cut-off will be confirmed after signing.</w:t>
      </w:r>
      <w:r>
        <w:t xml:space="preserve"> </w:t>
      </w:r>
      <w:r>
        <w:t xml:space="preserve">-</w:t>
      </w:r>
      <w:r>
        <w:t xml:space="preserve"> </w:t>
      </w:r>
      <w:r>
        <w:rPr>
          <w:b/>
          <w:bCs/>
        </w:rPr>
        <w:t xml:space="preserve">[TODO — QSA / ASV]</w:t>
      </w:r>
      <w:r>
        <w:t xml:space="preserve"> </w:t>
      </w:r>
      <w:r>
        <w:t xml:space="preserve">No PCI-DSS Qualified Security Assessor or ASV selected yet — the scope and trust-boundary determination in this document must be validated by the QSA (PCI Req 12.5.2).</w:t>
      </w:r>
      <w:r>
        <w:t xml:space="preserve"> </w:t>
      </w:r>
      <w:r>
        <w:t xml:space="preserve">-</w:t>
      </w:r>
      <w:r>
        <w:t xml:space="preserve"> </w:t>
      </w:r>
      <w:r>
        <w:rPr>
          <w:b/>
          <w:bCs/>
        </w:rPr>
        <w:t xml:space="preserve">[TODO — 3DS Provider / Directory Server]</w:t>
      </w:r>
      <w:r>
        <w:t xml:space="preserve"> </w:t>
      </w:r>
      <w:r>
        <w:t xml:space="preserve">No 3DS Server / MPI (EMV 3DS 2.2+) provider selected — DS/ACS endpoints and scheme certification to be confirmed.</w:t>
      </w:r>
      <w:r>
        <w:t xml:space="preserve"> </w:t>
      </w:r>
      <w:r>
        <w:t xml:space="preserve">-</w:t>
      </w:r>
      <w:r>
        <w:t xml:space="preserve"> </w:t>
      </w:r>
      <w:r>
        <w:rPr>
          <w:b/>
          <w:bCs/>
        </w:rPr>
        <w:t xml:space="preserve">[TODO — HSM/KMS Vendor]</w:t>
      </w:r>
      <w:r>
        <w:t xml:space="preserve"> </w:t>
      </w:r>
      <w:r>
        <w:t xml:space="preserve">No HSM/KMS vendor selected (on-prem HSM certified to FIPS 140-2/140-3 Level 3, or cloud HSM) — see</w:t>
      </w:r>
      <w:r>
        <w:t xml:space="preserve"> </w:t>
      </w:r>
      <w:r>
        <w:rPr>
          <w:rStyle w:val="VerbatimChar"/>
        </w:rPr>
        <w:t xml:space="preserve">COMP-21</w:t>
      </w:r>
      <w:r>
        <w:t xml:space="preserve">.</w:t>
      </w:r>
      <w:r>
        <w:t xml:space="preserve"> </w:t>
      </w:r>
      <w:r>
        <w:t xml:space="preserve">-</w:t>
      </w:r>
      <w:r>
        <w:t xml:space="preserve"> </w:t>
      </w:r>
      <w:r>
        <w:rPr>
          <w:b/>
          <w:bCs/>
        </w:rPr>
        <w:t xml:space="preserve">[TODO — Cloud / Data Residency]</w:t>
      </w:r>
      <w:r>
        <w:t xml:space="preserve"> </w:t>
      </w:r>
      <w:r>
        <w:t xml:space="preserve">Cloud provider and region not finalized — data must reside in Thailand per BOT/PDPA requirements (ARCHITECTURE §8).</w:t>
      </w:r>
      <w:r>
        <w:t xml:space="preserve"> </w:t>
      </w:r>
      <w:r>
        <w:t xml:space="preserve">-</w:t>
      </w:r>
      <w:r>
        <w:t xml:space="preserve"> </w:t>
      </w:r>
      <w:r>
        <w:rPr>
          <w:b/>
          <w:bCs/>
        </w:rPr>
        <w:t xml:space="preserve">[TODO — Registered Capital]</w:t>
      </w:r>
      <w:r>
        <w:t xml:space="preserve"> </w:t>
      </w:r>
      <w:r>
        <w:t xml:space="preserve">Target paid-up registered capital</w:t>
      </w:r>
      <w:r>
        <w:t xml:space="preserve"> </w:t>
      </w:r>
      <w:r>
        <w:rPr>
          <w:b/>
          <w:bCs/>
        </w:rPr>
        <w:t xml:space="preserve">THB 50 million</w:t>
      </w:r>
      <w:r>
        <w:t xml:space="preserve"> </w:t>
      </w:r>
      <w:r>
        <w:t xml:space="preserve">(Full Acquiring) — actual paid-up amount to be confirmed and maintained at ≥ 75% throughout operations.</w:t>
      </w:r>
      <w:r>
        <w:t xml:space="preserve"> </w:t>
      </w:r>
      <w:r>
        <w:t xml:space="preserve">-</w:t>
      </w:r>
      <w:r>
        <w:t xml:space="preserve"> </w:t>
      </w:r>
      <w:r>
        <w:rPr>
          <w:b/>
          <w:bCs/>
        </w:rPr>
        <w:t xml:space="preserve">[TODO — Company name / real details]</w:t>
      </w:r>
      <w:r>
        <w:t xml:space="preserve"> </w:t>
      </w:r>
      <w:r>
        <w:rPr>
          <w:rStyle w:val="VerbatimChar"/>
        </w:rPr>
        <w:t xml:space="preserve">[บริษัท / Company]</w:t>
      </w:r>
      <w:r>
        <w:t xml:space="preserve"> </w:t>
      </w:r>
      <w:r>
        <w:t xml:space="preserve">name, VPC/subscription, IP/VLAN ranges, and actual SaaS vendor names must be filled with real values before submission and before the on-site assessment.</w:t>
      </w:r>
    </w:p>
    <w:p>
      <w:r>
        <w:pict>
          <v:rect style="width:0;height:1.5pt" o:hralign="center" o:hrstd="t" o:hr="t"/>
        </w:pict>
      </w:r>
    </w:p>
    <w:bookmarkStart w:id="1226" w:name="purpose-and-scope-5"/>
    <w:p>
      <w:pPr>
        <w:pStyle w:val="Heading2"/>
      </w:pPr>
      <w:r>
        <w:t xml:space="preserve">1. Purpose and Scope</w:t>
      </w:r>
    </w:p>
    <w:p>
      <w:pPr>
        <w:pStyle w:val="FirstParagraph"/>
      </w:pPr>
      <w:r>
        <w:t xml:space="preserve">This document describes (a) the context- and component-level system architecture, (b) mermaid data-flow diagrams (DFDs) for the primary payment paths, (c) the list of third parties and the data types exchanged, (d) trust boundaries, and (e) the PCI-DSS scope of</w:t>
      </w:r>
      <w:r>
        <w:t xml:space="preserve"> </w:t>
      </w:r>
      <w:r>
        <w:rPr>
          <w:rStyle w:val="VerbatimChar"/>
        </w:rPr>
        <w:t xml:space="preserve">[บริษัท / Company]</w:t>
      </w:r>
      <w:r>
        <w:t xml:space="preserve">.</w:t>
      </w:r>
    </w:p>
    <w:p>
      <w:pPr>
        <w:pStyle w:val="BodyText"/>
      </w:pPr>
      <w:r>
        <w:t xml:space="preserve">It is an overview that links to deeper documents: network segmentation in</w:t>
      </w:r>
      <w:r>
        <w:t xml:space="preserve"> </w:t>
      </w:r>
      <w:r>
        <w:rPr>
          <w:rStyle w:val="VerbatimChar"/>
        </w:rPr>
        <w:t xml:space="preserve">COMP-20</w:t>
      </w:r>
      <w:r>
        <w:t xml:space="preserve">, tokenization/HSM in</w:t>
      </w:r>
      <w:r>
        <w:t xml:space="preserve"> </w:t>
      </w:r>
      <w:r>
        <w:rPr>
          <w:rStyle w:val="VerbatimChar"/>
        </w:rPr>
        <w:t xml:space="preserve">COMP-21</w:t>
      </w:r>
      <w:r>
        <w:t xml:space="preserve">, 3DS in</w:t>
      </w:r>
      <w:r>
        <w:t xml:space="preserve"> </w:t>
      </w:r>
      <w:r>
        <w:rPr>
          <w:rStyle w:val="VerbatimChar"/>
        </w:rPr>
        <w:t xml:space="preserve">COMP-22</w:t>
      </w:r>
      <w:r>
        <w:t xml:space="preserve">, and the PCI roadmap in</w:t>
      </w:r>
      <w:r>
        <w:t xml:space="preserve"> </w:t>
      </w:r>
      <w:r>
        <w:rPr>
          <w:rStyle w:val="VerbatimChar"/>
        </w:rPr>
        <w:t xml:space="preserve">COMP-19</w:t>
      </w:r>
      <w:r>
        <w:t xml:space="preserve">.</w:t>
      </w:r>
    </w:p>
    <w:p>
      <w:pPr>
        <w:pStyle w:val="BodyText"/>
      </w:pPr>
      <w:r>
        <w:rPr>
          <w:b/>
          <w:bCs/>
        </w:rPr>
        <w:t xml:space="preserve">Guiding principles (from ARCHITECTURE §2):</w:t>
      </w:r>
      <w:r>
        <w:t xml:space="preserve"> </w:t>
      </w:r>
      <w:r>
        <w:t xml:space="preserve">cardholder data is kept out of scope as much as possible — the core system sees only</w:t>
      </w:r>
      <w:r>
        <w:t xml:space="preserve"> </w:t>
      </w:r>
      <w:r>
        <w:rPr>
          <w:rStyle w:val="VerbatimChar"/>
        </w:rPr>
        <w:t xml:space="preserve">token</w:t>
      </w:r>
      <w:r>
        <w:t xml:space="preserve"> </w:t>
      </w:r>
      <w:r>
        <w:t xml:space="preserve">+</w:t>
      </w:r>
      <w:r>
        <w:t xml:space="preserve"> </w:t>
      </w:r>
      <w:r>
        <w:rPr>
          <w:rStyle w:val="VerbatimChar"/>
        </w:rPr>
        <w:t xml:space="preserve">card_last4</w:t>
      </w:r>
      <w:r>
        <w:t xml:space="preserve"> </w:t>
      </w:r>
      <w:r>
        <w:t xml:space="preserve">+</w:t>
      </w:r>
      <w:r>
        <w:t xml:space="preserve"> </w:t>
      </w:r>
      <w:r>
        <w:rPr>
          <w:rStyle w:val="VerbatimChar"/>
        </w:rPr>
        <w:t xml:space="preserve">card_brand</w:t>
      </w:r>
      <w:r>
        <w:t xml:space="preserve">; the ledger is an append-only source of truth; every money-moving endpoint is idempotent; the system fails closed when transaction status is uncertain.</w:t>
      </w:r>
    </w:p>
    <w:p>
      <w:r>
        <w:pict>
          <v:rect style="width:0;height:1.5pt" o:hralign="center" o:hrstd="t" o:hr="t"/>
        </w:pict>
      </w:r>
    </w:p>
    <w:bookmarkEnd w:id="1226"/>
    <w:bookmarkStart w:id="1227" w:name="system-context-diagram"/>
    <w:p>
      <w:pPr>
        <w:pStyle w:val="Heading2"/>
      </w:pPr>
      <w:r>
        <w:t xml:space="preserve">2. System Context Diagram</w:t>
      </w:r>
    </w:p>
    <w:p>
      <w:pPr>
        <w:pStyle w:val="SourceCode"/>
      </w:pPr>
      <w:r>
        <w:rPr>
          <w:rStyle w:val="VerbatimChar"/>
        </w:rPr>
        <w:t xml:space="preserve">flowchart TB</w:t>
      </w:r>
      <w:r>
        <w:br/>
      </w:r>
      <w:r>
        <w:rPr>
          <w:rStyle w:val="VerbatimChar"/>
        </w:rPr>
        <w:t xml:space="preserve">    subgraph EXT["External Actors"]</w:t>
      </w:r>
      <w:r>
        <w:br/>
      </w:r>
      <w:r>
        <w:rPr>
          <w:rStyle w:val="VerbatimChar"/>
        </w:rPr>
        <w:t xml:space="preserve">        MER["Merchant&lt;br/&gt;(web / app / POS)"]</w:t>
      </w:r>
      <w:r>
        <w:br/>
      </w:r>
      <w:r>
        <w:rPr>
          <w:rStyle w:val="VerbatimChar"/>
        </w:rPr>
        <w:t xml:space="preserve">        CH["Cardholder"]</w:t>
      </w:r>
      <w:r>
        <w:br/>
      </w:r>
      <w:r>
        <w:rPr>
          <w:rStyle w:val="VerbatimChar"/>
        </w:rPr>
        <w:t xml:space="preserve">    end</w:t>
      </w:r>
      <w:r>
        <w:br/>
      </w:r>
      <w:r>
        <w:br/>
      </w:r>
      <w:r>
        <w:rPr>
          <w:rStyle w:val="VerbatimChar"/>
        </w:rPr>
        <w:t xml:space="preserve">    subgraph PG["[บริษัท / Company] — Payment Gateway (Primary Trust Boundary)"]</w:t>
      </w:r>
      <w:r>
        <w:br/>
      </w:r>
      <w:r>
        <w:rPr>
          <w:rStyle w:val="VerbatimChar"/>
        </w:rPr>
        <w:t xml:space="preserve">        EDGE["API Edge + WAF&lt;br/&gt;auth / rate limit / idempotency"]</w:t>
      </w:r>
      <w:r>
        <w:br/>
      </w:r>
      <w:r>
        <w:rPr>
          <w:rStyle w:val="VerbatimChar"/>
        </w:rPr>
        <w:t xml:space="preserve">        CORE["Payment Core&lt;br/&gt;authorize / capture / void / refund"]</w:t>
      </w:r>
      <w:r>
        <w:br/>
      </w:r>
      <w:r>
        <w:rPr>
          <w:rStyle w:val="VerbatimChar"/>
        </w:rPr>
        <w:t xml:space="preserve">        VAULT["Tokenization Vault (CDE)&lt;br/&gt;PAN + HSM/KMS"]</w:t>
      </w:r>
      <w:r>
        <w:br/>
      </w:r>
      <w:r>
        <w:rPr>
          <w:rStyle w:val="VerbatimChar"/>
        </w:rPr>
        <w:t xml:space="preserve">        LEDGER[("Ledger + Operational DB&lt;br/&gt;token + card_last4")]</w:t>
      </w:r>
      <w:r>
        <w:br/>
      </w:r>
      <w:r>
        <w:rPr>
          <w:rStyle w:val="VerbatimChar"/>
        </w:rPr>
        <w:t xml:space="preserve">        RISK["Risk / Fraud Engine"]</w:t>
      </w:r>
      <w:r>
        <w:br/>
      </w:r>
      <w:r>
        <w:rPr>
          <w:rStyle w:val="VerbatimChar"/>
        </w:rPr>
        <w:t xml:space="preserve">        HOOK["Webhook / Notifier"]</w:t>
      </w:r>
      <w:r>
        <w:br/>
      </w:r>
      <w:r>
        <w:rPr>
          <w:rStyle w:val="VerbatimChar"/>
        </w:rPr>
        <w:t xml:space="preserve">    end</w:t>
      </w:r>
      <w:r>
        <w:br/>
      </w:r>
      <w:r>
        <w:br/>
      </w:r>
      <w:r>
        <w:rPr>
          <w:rStyle w:val="VerbatimChar"/>
        </w:rPr>
        <w:t xml:space="preserve">    subgraph TP["Third Parties"]</w:t>
      </w:r>
      <w:r>
        <w:br/>
      </w:r>
      <w:r>
        <w:rPr>
          <w:rStyle w:val="VerbatimChar"/>
        </w:rPr>
        <w:t xml:space="preserve">        ACQ["Acquirer / Card Switch&lt;br/&gt;(ISO 8583 / REST)"]</w:t>
      </w:r>
      <w:r>
        <w:br/>
      </w:r>
      <w:r>
        <w:rPr>
          <w:rStyle w:val="VerbatimChar"/>
        </w:rPr>
        <w:t xml:space="preserve">        DS3["3DS Server / DS / ACS&lt;br/&gt;(EMV 3DS 2.2+)"]</w:t>
      </w:r>
      <w:r>
        <w:br/>
      </w:r>
      <w:r>
        <w:rPr>
          <w:rStyle w:val="VerbatimChar"/>
        </w:rPr>
        <w:t xml:space="preserve">        SCHEME["Card Networks&lt;br/&gt;(Visa / Mastercard)"]</w:t>
      </w:r>
      <w:r>
        <w:br/>
      </w:r>
      <w:r>
        <w:rPr>
          <w:rStyle w:val="VerbatimChar"/>
        </w:rPr>
        <w:t xml:space="preserve">        ISS["Issuing Banks"]</w:t>
      </w:r>
      <w:r>
        <w:br/>
      </w:r>
      <w:r>
        <w:rPr>
          <w:rStyle w:val="VerbatimChar"/>
        </w:rPr>
        <w:t xml:space="preserve">        LOCAL["Local Rails&lt;br/&gt;(ITMX / PromptPay)"]</w:t>
      </w:r>
      <w:r>
        <w:br/>
      </w:r>
      <w:r>
        <w:rPr>
          <w:rStyle w:val="VerbatimChar"/>
        </w:rPr>
        <w:t xml:space="preserve">        SANC["Sanction Screening&lt;br/&gt;(AMLO / vendor list)"]</w:t>
      </w:r>
      <w:r>
        <w:br/>
      </w:r>
      <w:r>
        <w:rPr>
          <w:rStyle w:val="VerbatimChar"/>
        </w:rPr>
        <w:t xml:space="preserve">    end</w:t>
      </w:r>
      <w:r>
        <w:br/>
      </w:r>
      <w:r>
        <w:br/>
      </w:r>
      <w:r>
        <w:rPr>
          <w:rStyle w:val="VerbatimChar"/>
        </w:rPr>
        <w:t xml:space="preserve">    CH --&gt;|"PAN (client-side)"| VAULT</w:t>
      </w:r>
      <w:r>
        <w:br/>
      </w:r>
      <w:r>
        <w:rPr>
          <w:rStyle w:val="VerbatimChar"/>
        </w:rPr>
        <w:t xml:space="preserve">    MER --&gt;|"HTTPS + API key/JWT&lt;br/&gt;+ Idempotency-Key + token"| EDGE</w:t>
      </w:r>
      <w:r>
        <w:br/>
      </w:r>
      <w:r>
        <w:rPr>
          <w:rStyle w:val="VerbatimChar"/>
        </w:rPr>
        <w:t xml:space="preserve">    EDGE --&gt; CORE</w:t>
      </w:r>
      <w:r>
        <w:br/>
      </w:r>
      <w:r>
        <w:rPr>
          <w:rStyle w:val="VerbatimChar"/>
        </w:rPr>
        <w:t xml:space="preserve">    CORE --&gt; RISK</w:t>
      </w:r>
      <w:r>
        <w:br/>
      </w:r>
      <w:r>
        <w:rPr>
          <w:rStyle w:val="VerbatimChar"/>
        </w:rPr>
        <w:t xml:space="preserve">    CORE --&gt; VAULT</w:t>
      </w:r>
      <w:r>
        <w:br/>
      </w:r>
      <w:r>
        <w:rPr>
          <w:rStyle w:val="VerbatimChar"/>
        </w:rPr>
        <w:t xml:space="preserve">    CORE --&gt; LEDGER</w:t>
      </w:r>
      <w:r>
        <w:br/>
      </w:r>
      <w:r>
        <w:rPr>
          <w:rStyle w:val="VerbatimChar"/>
        </w:rPr>
        <w:t xml:space="preserve">    CORE --&gt;|"detokenized PAN&lt;br/&gt;(CDE only)"| ACQ</w:t>
      </w:r>
      <w:r>
        <w:br/>
      </w:r>
      <w:r>
        <w:rPr>
          <w:rStyle w:val="VerbatimChar"/>
        </w:rPr>
        <w:t xml:space="preserve">    CORE --&gt;|"3DS auth"| DS3</w:t>
      </w:r>
      <w:r>
        <w:br/>
      </w:r>
      <w:r>
        <w:rPr>
          <w:rStyle w:val="VerbatimChar"/>
        </w:rPr>
        <w:t xml:space="preserve">    ACQ --&gt; SCHEME --&gt; ISS</w:t>
      </w:r>
      <w:r>
        <w:br/>
      </w:r>
      <w:r>
        <w:rPr>
          <w:rStyle w:val="VerbatimChar"/>
        </w:rPr>
        <w:t xml:space="preserve">    CORE --&gt; LOCAL</w:t>
      </w:r>
      <w:r>
        <w:br/>
      </w:r>
      <w:r>
        <w:rPr>
          <w:rStyle w:val="VerbatimChar"/>
        </w:rPr>
        <w:t xml:space="preserve">    RISK --&gt; SANC</w:t>
      </w:r>
      <w:r>
        <w:br/>
      </w:r>
      <w:r>
        <w:rPr>
          <w:rStyle w:val="VerbatimChar"/>
        </w:rPr>
        <w:t xml:space="preserve">    HOOK --&gt;|"signed webhook"| MER</w:t>
      </w:r>
    </w:p>
    <w:p>
      <w:pPr>
        <w:pStyle w:val="FirstParagraph"/>
      </w:pPr>
      <w:r>
        <w:rPr>
          <w:b/>
          <w:bCs/>
        </w:rPr>
        <w:t xml:space="preserve">Primary trust boundary:</w:t>
      </w:r>
      <w:r>
        <w:t xml:space="preserve"> </w:t>
      </w:r>
      <w:r>
        <w:t xml:space="preserve">the</w:t>
      </w:r>
      <w:r>
        <w:t xml:space="preserve"> </w:t>
      </w:r>
      <w:r>
        <w:rPr>
          <w:rStyle w:val="VerbatimChar"/>
        </w:rPr>
        <w:t xml:space="preserve">PG</w:t>
      </w:r>
      <w:r>
        <w:t xml:space="preserve"> </w:t>
      </w:r>
      <w:r>
        <w:t xml:space="preserve">box is the primary trust boundary. Every external request must pass through the API Edge (authentication + rate limit) before reaching the Payment Core; un-tokenized PAN is confined strictly within the Tokenization Vault (CDE).</w:t>
      </w:r>
    </w:p>
    <w:p>
      <w:r>
        <w:pict>
          <v:rect style="width:0;height:1.5pt" o:hralign="center" o:hrstd="t" o:hr="t"/>
        </w:pict>
      </w:r>
    </w:p>
    <w:bookmarkEnd w:id="1227"/>
    <w:bookmarkStart w:id="1228" w:name="X04279804ef708c76629a6f794b229a5a86d98aa"/>
    <w:p>
      <w:pPr>
        <w:pStyle w:val="Heading2"/>
      </w:pPr>
      <w:r>
        <w:t xml:space="preserve">3. Component Architecture and PCI Scope Mapping</w:t>
      </w:r>
    </w:p>
    <w:tbl>
      <w:tblPr>
        <w:tblStyle w:val="Table"/>
        <w:tblW w:type="pct" w:w="5000"/>
        <w:tblLayout w:type="fixed"/>
        <w:tblLook w:firstRow="1" w:lastRow="0" w:firstColumn="0" w:lastColumn="0" w:noHBand="0" w:noVBand="0" w:val="0020"/>
      </w:tblPr>
      <w:tblGrid>
        <w:gridCol w:w="1146"/>
        <w:gridCol w:w="1042"/>
        <w:gridCol w:w="2917"/>
        <w:gridCol w:w="1146"/>
        <w:gridCol w:w="1667"/>
      </w:tblGrid>
      <w:tr>
        <w:trPr>
          <w:tblHeader w:val="on"/>
        </w:trPr>
        <w:tc>
          <w:tcPr/>
          <w:p>
            <w:pPr>
              <w:pStyle w:val="Compact"/>
            </w:pPr>
            <w:r>
              <w:t xml:space="preserve">Component</w:t>
            </w:r>
          </w:p>
        </w:tc>
        <w:tc>
          <w:tcPr/>
          <w:p>
            <w:pPr>
              <w:pStyle w:val="Compact"/>
            </w:pPr>
            <w:r>
              <w:t xml:space="preserve">Function</w:t>
            </w:r>
          </w:p>
        </w:tc>
        <w:tc>
          <w:tcPr/>
          <w:p>
            <w:pPr>
              <w:pStyle w:val="Compact"/>
            </w:pPr>
            <w:r>
              <w:t xml:space="preserve">Network zone (see COMP-20)</w:t>
            </w:r>
          </w:p>
        </w:tc>
        <w:tc>
          <w:tcPr/>
          <w:p>
            <w:pPr>
              <w:pStyle w:val="Compact"/>
            </w:pPr>
            <w:r>
              <w:t xml:space="preserve">PCI Scope</w:t>
            </w:r>
          </w:p>
        </w:tc>
        <w:tc>
          <w:tcPr/>
          <w:p>
            <w:pPr>
              <w:pStyle w:val="Compact"/>
            </w:pPr>
            <w:r>
              <w:t xml:space="preserve">Project folder</w:t>
            </w:r>
          </w:p>
        </w:tc>
      </w:tr>
      <w:tr>
        <w:tc>
          <w:tcPr/>
          <w:p>
            <w:pPr>
              <w:pStyle w:val="Compact"/>
            </w:pPr>
            <w:r>
              <w:t xml:space="preserve">API Edge / Middleware</w:t>
            </w:r>
          </w:p>
        </w:tc>
        <w:tc>
          <w:tcPr/>
          <w:p>
            <w:pPr>
              <w:pStyle w:val="Compact"/>
            </w:pPr>
            <w:r>
              <w:t xml:space="preserve">rate limit, auth (API key/JWT), request-id, idempotency, logging</w:t>
            </w:r>
          </w:p>
        </w:tc>
        <w:tc>
          <w:tcPr/>
          <w:p>
            <w:pPr>
              <w:pStyle w:val="Compact"/>
            </w:pPr>
            <w:r>
              <w:t xml:space="preserve">Z1/Z2</w:t>
            </w:r>
          </w:p>
        </w:tc>
        <w:tc>
          <w:tcPr/>
          <w:p>
            <w:pPr>
              <w:pStyle w:val="Compact"/>
            </w:pPr>
            <w:r>
              <w:t xml:space="preserve">Connected-to</w:t>
            </w:r>
          </w:p>
        </w:tc>
        <w:tc>
          <w:tcPr/>
          <w:p>
            <w:pPr>
              <w:pStyle w:val="Compact"/>
            </w:pPr>
            <w:r>
              <w:rPr>
                <w:rStyle w:val="VerbatimChar"/>
              </w:rPr>
              <w:t xml:space="preserve">internal/middleware</w:t>
            </w:r>
          </w:p>
        </w:tc>
      </w:tr>
      <w:tr>
        <w:tc>
          <w:tcPr/>
          <w:p>
            <w:pPr>
              <w:pStyle w:val="Compact"/>
            </w:pPr>
            <w:r>
              <w:t xml:space="preserve">Payment Core (Service)</w:t>
            </w:r>
          </w:p>
        </w:tc>
        <w:tc>
          <w:tcPr/>
          <w:p>
            <w:pPr>
              <w:pStyle w:val="Compact"/>
            </w:pPr>
            <w:r>
              <w:t xml:space="preserve">authorize / capture / void / refund + state machine</w:t>
            </w:r>
          </w:p>
        </w:tc>
        <w:tc>
          <w:tcPr/>
          <w:p>
            <w:pPr>
              <w:pStyle w:val="Compact"/>
            </w:pPr>
            <w:r>
              <w:t xml:space="preserve">Z2</w:t>
            </w:r>
          </w:p>
        </w:tc>
        <w:tc>
          <w:tcPr/>
          <w:p>
            <w:pPr>
              <w:pStyle w:val="Compact"/>
            </w:pPr>
            <w:r>
              <w:t xml:space="preserve">Connected-to (security-impacting)</w:t>
            </w:r>
          </w:p>
        </w:tc>
        <w:tc>
          <w:tcPr/>
          <w:p>
            <w:pPr>
              <w:pStyle w:val="Compact"/>
            </w:pPr>
            <w:r>
              <w:rPr>
                <w:rStyle w:val="VerbatimChar"/>
              </w:rPr>
              <w:t xml:space="preserve">internal/service</w:t>
            </w:r>
          </w:p>
        </w:tc>
      </w:tr>
      <w:tr>
        <w:tc>
          <w:tcPr/>
          <w:p>
            <w:pPr>
              <w:pStyle w:val="Compact"/>
            </w:pPr>
            <w:r>
              <w:rPr>
                <w:b/>
                <w:bCs/>
              </w:rPr>
              <w:t xml:space="preserve">Tokenization Vault</w:t>
            </w:r>
          </w:p>
        </w:tc>
        <w:tc>
          <w:tcPr/>
          <w:p>
            <w:pPr>
              <w:pStyle w:val="Compact"/>
            </w:pPr>
            <w:r>
              <w:t xml:space="preserve">store/return PAN encrypted via HSM/KMS</w:t>
            </w:r>
          </w:p>
        </w:tc>
        <w:tc>
          <w:tcPr/>
          <w:p>
            <w:pPr>
              <w:pStyle w:val="Compact"/>
            </w:pPr>
            <w:r>
              <w:rPr>
                <w:b/>
                <w:bCs/>
              </w:rPr>
              <w:t xml:space="preserve">Z3</w:t>
            </w:r>
          </w:p>
        </w:tc>
        <w:tc>
          <w:tcPr/>
          <w:p>
            <w:pPr>
              <w:pStyle w:val="Compact"/>
            </w:pPr>
            <w:r>
              <w:rPr>
                <w:b/>
                <w:bCs/>
              </w:rPr>
              <w:t xml:space="preserve">In-scope CDE</w:t>
            </w:r>
          </w:p>
        </w:tc>
        <w:tc>
          <w:tcPr/>
          <w:p>
            <w:pPr>
              <w:pStyle w:val="Compact"/>
            </w:pPr>
            <w:r>
              <w:t xml:space="preserve">separate service +</w:t>
            </w:r>
            <w:r>
              <w:t xml:space="preserve"> </w:t>
            </w:r>
            <w:r>
              <w:rPr>
                <w:rStyle w:val="VerbatimChar"/>
              </w:rPr>
              <w:t xml:space="preserve">internal/pkg/crypto</w:t>
            </w:r>
          </w:p>
        </w:tc>
      </w:tr>
      <w:tr>
        <w:tc>
          <w:tcPr/>
          <w:p>
            <w:pPr>
              <w:pStyle w:val="Compact"/>
            </w:pPr>
            <w:r>
              <w:t xml:space="preserve">Acquirer Adapter</w:t>
            </w:r>
          </w:p>
        </w:tc>
        <w:tc>
          <w:tcPr/>
          <w:p>
            <w:pPr>
              <w:pStyle w:val="Compact"/>
            </w:pPr>
            <w:r>
              <w:t xml:space="preserve">talks to card switch (ISO 8583/REST), transmits PAN</w:t>
            </w:r>
          </w:p>
        </w:tc>
        <w:tc>
          <w:tcPr/>
          <w:p>
            <w:pPr>
              <w:pStyle w:val="Compact"/>
            </w:pPr>
            <w:r>
              <w:t xml:space="preserve">Z6</w:t>
            </w:r>
          </w:p>
        </w:tc>
        <w:tc>
          <w:tcPr/>
          <w:p>
            <w:pPr>
              <w:pStyle w:val="Compact"/>
            </w:pPr>
            <w:r>
              <w:t xml:space="preserve">In-scope (transmits CHD)</w:t>
            </w:r>
          </w:p>
        </w:tc>
        <w:tc>
          <w:tcPr/>
          <w:p>
            <w:pPr>
              <w:pStyle w:val="Compact"/>
            </w:pPr>
            <w:r>
              <w:rPr>
                <w:rStyle w:val="VerbatimChar"/>
              </w:rPr>
              <w:t xml:space="preserve">internal/external</w:t>
            </w:r>
          </w:p>
        </w:tc>
      </w:tr>
      <w:tr>
        <w:tc>
          <w:tcPr/>
          <w:p>
            <w:pPr>
              <w:pStyle w:val="Compact"/>
            </w:pPr>
            <w:r>
              <w:t xml:space="preserve">3DS Adapter</w:t>
            </w:r>
          </w:p>
        </w:tc>
        <w:tc>
          <w:tcPr/>
          <w:p>
            <w:pPr>
              <w:pStyle w:val="Compact"/>
            </w:pPr>
            <w:r>
              <w:t xml:space="preserve">EMV 3DS 2.2+ authentication</w:t>
            </w:r>
          </w:p>
        </w:tc>
        <w:tc>
          <w:tcPr/>
          <w:p>
            <w:pPr>
              <w:pStyle w:val="Compact"/>
            </w:pPr>
            <w:r>
              <w:t xml:space="preserve">Z1/Z2</w:t>
            </w:r>
          </w:p>
        </w:tc>
        <w:tc>
          <w:tcPr/>
          <w:p>
            <w:pPr>
              <w:pStyle w:val="Compact"/>
            </w:pPr>
            <w:r>
              <w:t xml:space="preserve">Connected-to</w:t>
            </w:r>
          </w:p>
        </w:tc>
        <w:tc>
          <w:tcPr/>
          <w:p>
            <w:pPr>
              <w:pStyle w:val="Compact"/>
            </w:pPr>
            <w:r>
              <w:rPr>
                <w:rStyle w:val="VerbatimChar"/>
              </w:rPr>
              <w:t xml:space="preserve">internal/pkg/threeds</w:t>
            </w:r>
          </w:p>
        </w:tc>
      </w:tr>
      <w:tr>
        <w:tc>
          <w:tcPr/>
          <w:p>
            <w:pPr>
              <w:pStyle w:val="Compact"/>
            </w:pPr>
            <w:r>
              <w:t xml:space="preserve">Risk / Fraud Engine</w:t>
            </w:r>
          </w:p>
        </w:tc>
        <w:tc>
          <w:tcPr/>
          <w:p>
            <w:pPr>
              <w:pStyle w:val="Compact"/>
            </w:pPr>
            <w:r>
              <w:t xml:space="preserve">scoring, velocity, blacklist, sanction feed</w:t>
            </w:r>
          </w:p>
        </w:tc>
        <w:tc>
          <w:tcPr/>
          <w:p>
            <w:pPr>
              <w:pStyle w:val="Compact"/>
            </w:pPr>
            <w:r>
              <w:t xml:space="preserve">Z2</w:t>
            </w:r>
          </w:p>
        </w:tc>
        <w:tc>
          <w:tcPr/>
          <w:p>
            <w:pPr>
              <w:pStyle w:val="Compact"/>
            </w:pPr>
            <w:r>
              <w:t xml:space="preserve">Connected-to</w:t>
            </w:r>
          </w:p>
        </w:tc>
        <w:tc>
          <w:tcPr/>
          <w:p>
            <w:pPr>
              <w:pStyle w:val="Compact"/>
            </w:pPr>
            <w:r>
              <w:rPr>
                <w:rStyle w:val="VerbatimChar"/>
              </w:rPr>
              <w:t xml:space="preserve">internal/service</w:t>
            </w:r>
          </w:p>
        </w:tc>
      </w:tr>
      <w:tr>
        <w:tc>
          <w:tcPr/>
          <w:p>
            <w:pPr>
              <w:pStyle w:val="Compact"/>
            </w:pPr>
            <w:r>
              <w:t xml:space="preserve">Ledger</w:t>
            </w:r>
          </w:p>
        </w:tc>
        <w:tc>
          <w:tcPr/>
          <w:p>
            <w:pPr>
              <w:pStyle w:val="Compact"/>
            </w:pPr>
            <w:r>
              <w:t xml:space="preserve">append-only (double-entry) money entries</w:t>
            </w:r>
          </w:p>
        </w:tc>
        <w:tc>
          <w:tcPr/>
          <w:p>
            <w:pPr>
              <w:pStyle w:val="Compact"/>
            </w:pPr>
            <w:r>
              <w:t xml:space="preserve">Z4</w:t>
            </w:r>
          </w:p>
        </w:tc>
        <w:tc>
          <w:tcPr/>
          <w:p>
            <w:pPr>
              <w:pStyle w:val="Compact"/>
            </w:pPr>
            <w:r>
              <w:t xml:space="preserve">Connected-to (no PAN)</w:t>
            </w:r>
          </w:p>
        </w:tc>
        <w:tc>
          <w:tcPr/>
          <w:p>
            <w:pPr>
              <w:pStyle w:val="Compact"/>
            </w:pPr>
            <w:r>
              <w:rPr>
                <w:rStyle w:val="VerbatimChar"/>
              </w:rPr>
              <w:t xml:space="preserve">ledger_entries</w:t>
            </w:r>
            <w:r>
              <w:t xml:space="preserve"> </w:t>
            </w:r>
            <w:r>
              <w:t xml:space="preserve">table</w:t>
            </w:r>
          </w:p>
        </w:tc>
      </w:tr>
      <w:tr>
        <w:tc>
          <w:tcPr/>
          <w:p>
            <w:pPr>
              <w:pStyle w:val="Compact"/>
            </w:pPr>
            <w:r>
              <w:t xml:space="preserve">Webhook / Notifier</w:t>
            </w:r>
          </w:p>
        </w:tc>
        <w:tc>
          <w:tcPr/>
          <w:p>
            <w:pPr>
              <w:pStyle w:val="Compact"/>
            </w:pPr>
            <w:r>
              <w:t xml:space="preserve">merchant notify at-least-once + retry + signature</w:t>
            </w:r>
          </w:p>
        </w:tc>
        <w:tc>
          <w:tcPr/>
          <w:p>
            <w:pPr>
              <w:pStyle w:val="Compact"/>
            </w:pPr>
            <w:r>
              <w:t xml:space="preserve">Z2</w:t>
            </w:r>
          </w:p>
        </w:tc>
        <w:tc>
          <w:tcPr/>
          <w:p>
            <w:pPr>
              <w:pStyle w:val="Compact"/>
            </w:pPr>
            <w:r>
              <w:t xml:space="preserve">Connected-to</w:t>
            </w:r>
          </w:p>
        </w:tc>
        <w:tc>
          <w:tcPr/>
          <w:p>
            <w:pPr>
              <w:pStyle w:val="Compact"/>
            </w:pPr>
            <w:r>
              <w:rPr>
                <w:rStyle w:val="VerbatimChar"/>
              </w:rPr>
              <w:t xml:space="preserve">webhook_events</w:t>
            </w:r>
            <w:r>
              <w:t xml:space="preserve"> </w:t>
            </w:r>
            <w:r>
              <w:t xml:space="preserve">table</w:t>
            </w:r>
          </w:p>
        </w:tc>
      </w:tr>
      <w:tr>
        <w:tc>
          <w:tcPr/>
          <w:p>
            <w:pPr>
              <w:pStyle w:val="Compact"/>
            </w:pPr>
            <w:r>
              <w:t xml:space="preserve">Reconciliation / Settlement</w:t>
            </w:r>
          </w:p>
        </w:tc>
        <w:tc>
          <w:tcPr/>
          <w:p>
            <w:pPr>
              <w:pStyle w:val="Compact"/>
            </w:pPr>
            <w:r>
              <w:t xml:space="preserve">acquirer recon, merchant payout</w:t>
            </w:r>
          </w:p>
        </w:tc>
        <w:tc>
          <w:tcPr/>
          <w:p>
            <w:pPr>
              <w:pStyle w:val="Compact"/>
            </w:pPr>
            <w:r>
              <w:t xml:space="preserve">Z4/Z6</w:t>
            </w:r>
          </w:p>
        </w:tc>
        <w:tc>
          <w:tcPr/>
          <w:p>
            <w:pPr>
              <w:pStyle w:val="Compact"/>
            </w:pPr>
            <w:r>
              <w:t xml:space="preserve">Connected-to</w:t>
            </w:r>
          </w:p>
        </w:tc>
        <w:tc>
          <w:tcPr/>
          <w:p>
            <w:pPr>
              <w:pStyle w:val="Compact"/>
            </w:pPr>
            <w:r>
              <w:t xml:space="preserve">separate worker (Phase 3)</w:t>
            </w:r>
          </w:p>
        </w:tc>
      </w:tr>
      <w:tr>
        <w:tc>
          <w:tcPr/>
          <w:p>
            <w:pPr>
              <w:pStyle w:val="Compact"/>
            </w:pPr>
            <w:r>
              <w:t xml:space="preserve">SIEM / Log / Secrets</w:t>
            </w:r>
          </w:p>
        </w:tc>
        <w:tc>
          <w:tcPr/>
          <w:p>
            <w:pPr>
              <w:pStyle w:val="Compact"/>
            </w:pPr>
            <w:r>
              <w:t xml:space="preserve">logging, monitoring, secrets manager</w:t>
            </w:r>
          </w:p>
        </w:tc>
        <w:tc>
          <w:tcPr/>
          <w:p>
            <w:pPr>
              <w:pStyle w:val="Compact"/>
            </w:pPr>
            <w:r>
              <w:t xml:space="preserve">Z5</w:t>
            </w:r>
          </w:p>
        </w:tc>
        <w:tc>
          <w:tcPr/>
          <w:p>
            <w:pPr>
              <w:pStyle w:val="Compact"/>
            </w:pPr>
            <w:r>
              <w:t xml:space="preserve">Connected-to (security-impacting)</w:t>
            </w:r>
          </w:p>
        </w:tc>
        <w:tc>
          <w:tcPr/>
          <w:p>
            <w:pPr>
              <w:pStyle w:val="Compact"/>
            </w:pPr>
            <w:r>
              <w:t xml:space="preserve">infra</w:t>
            </w:r>
          </w:p>
        </w:tc>
      </w:tr>
    </w:tbl>
    <w:p>
      <w:pPr>
        <w:pStyle w:val="BlockText"/>
      </w:pPr>
      <w:r>
        <w:rPr>
          <w:b/>
          <w:bCs/>
        </w:rPr>
        <w:t xml:space="preserve">Scope summary:</w:t>
      </w:r>
      <w:r>
        <w:t xml:space="preserve"> </w:t>
      </w:r>
      <w:r>
        <w:t xml:space="preserve">only</w:t>
      </w:r>
      <w:r>
        <w:t xml:space="preserve"> </w:t>
      </w:r>
      <w:r>
        <w:rPr>
          <w:b/>
          <w:bCs/>
        </w:rPr>
        <w:t xml:space="preserve">Z3 (Vault)</w:t>
      </w:r>
      <w:r>
        <w:t xml:space="preserve"> </w:t>
      </w:r>
      <w:r>
        <w:t xml:space="preserve">is full CDE, and the</w:t>
      </w:r>
      <w:r>
        <w:t xml:space="preserve"> </w:t>
      </w:r>
      <w:r>
        <w:rPr>
          <w:b/>
          <w:bCs/>
        </w:rPr>
        <w:t xml:space="preserve">Z3 → Z6 (Acquirer uplink)</w:t>
      </w:r>
      <w:r>
        <w:t xml:space="preserve"> </w:t>
      </w:r>
      <w:r>
        <w:t xml:space="preserve">path that transmits PAN is in scope. All other systems are</w:t>
      </w:r>
      <w:r>
        <w:t xml:space="preserve"> </w:t>
      </w:r>
      <w:r>
        <w:rPr>
          <w:i/>
          <w:iCs/>
        </w:rPr>
        <w:t xml:space="preserve">connected-to</w:t>
      </w:r>
      <w:r>
        <w:t xml:space="preserve"> </w:t>
      </w:r>
      <w:r>
        <w:t xml:space="preserve">because they see only tokens — keeping scope narrow and reducing assessment cost (PCI Req 12.5.2).</w:t>
      </w:r>
    </w:p>
    <w:p>
      <w:r>
        <w:pict>
          <v:rect style="width:0;height:1.5pt" o:hralign="center" o:hrstd="t" o:hr="t"/>
        </w:pict>
      </w:r>
    </w:p>
    <w:bookmarkEnd w:id="1228"/>
    <w:bookmarkStart w:id="1230" w:name="Xdfd445118a1e8d87b8e20147fa30c9fc066fcda"/>
    <w:p>
      <w:pPr>
        <w:pStyle w:val="Heading2"/>
      </w:pPr>
      <w:r>
        <w:t xml:space="preserve">4. Data-Flow Diagram — Authorize + Capture (with 3DS)</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CH as Cardholder</w:t>
      </w:r>
      <w:r>
        <w:br/>
      </w:r>
      <w:r>
        <w:rPr>
          <w:rStyle w:val="VerbatimChar"/>
        </w:rPr>
        <w:t xml:space="preserve">    participant MER as Merchant</w:t>
      </w:r>
      <w:r>
        <w:br/>
      </w:r>
      <w:r>
        <w:rPr>
          <w:rStyle w:val="VerbatimChar"/>
        </w:rPr>
        <w:t xml:space="preserve">    participant EDGE as API Edge</w:t>
      </w:r>
      <w:r>
        <w:br/>
      </w:r>
      <w:r>
        <w:rPr>
          <w:rStyle w:val="VerbatimChar"/>
        </w:rPr>
        <w:t xml:space="preserve">    participant CORE as Payment Core</w:t>
      </w:r>
      <w:r>
        <w:br/>
      </w:r>
      <w:r>
        <w:rPr>
          <w:rStyle w:val="VerbatimChar"/>
        </w:rPr>
        <w:t xml:space="preserve">    participant VAULT as Vault (CDE)</w:t>
      </w:r>
      <w:r>
        <w:br/>
      </w:r>
      <w:r>
        <w:rPr>
          <w:rStyle w:val="VerbatimChar"/>
        </w:rPr>
        <w:t xml:space="preserve">    participant RISK as Risk Engine</w:t>
      </w:r>
      <w:r>
        <w:br/>
      </w:r>
      <w:r>
        <w:rPr>
          <w:rStyle w:val="VerbatimChar"/>
        </w:rPr>
        <w:t xml:space="preserve">    participant DS3 as 3DS (DS/ACS)</w:t>
      </w:r>
      <w:r>
        <w:br/>
      </w:r>
      <w:r>
        <w:rPr>
          <w:rStyle w:val="VerbatimChar"/>
        </w:rPr>
        <w:t xml:space="preserve">    participant ACQ as Acquirer</w:t>
      </w:r>
      <w:r>
        <w:br/>
      </w:r>
      <w:r>
        <w:br/>
      </w:r>
      <w:r>
        <w:rPr>
          <w:rStyle w:val="VerbatimChar"/>
        </w:rPr>
        <w:t xml:space="preserve">    CH-&gt;&gt;VAULT: PAN (client-side tokenization)</w:t>
      </w:r>
      <w:r>
        <w:br/>
      </w:r>
      <w:r>
        <w:rPr>
          <w:rStyle w:val="VerbatimChar"/>
        </w:rPr>
        <w:t xml:space="preserve">    VAULT--&gt;&gt;MER: single-use payment_token</w:t>
      </w:r>
      <w:r>
        <w:br/>
      </w:r>
      <w:r>
        <w:rPr>
          <w:rStyle w:val="VerbatimChar"/>
        </w:rPr>
        <w:t xml:space="preserve">    MER-&gt;&gt;EDGE: POST /v1/payments (Idempotency-Key + token)</w:t>
      </w:r>
      <w:r>
        <w:br/>
      </w:r>
      <w:r>
        <w:rPr>
          <w:rStyle w:val="VerbatimChar"/>
        </w:rPr>
        <w:t xml:space="preserve">    EDGE-&gt;&gt;CORE: forward (authenticated)</w:t>
      </w:r>
      <w:r>
        <w:br/>
      </w:r>
      <w:r>
        <w:rPr>
          <w:rStyle w:val="VerbatimChar"/>
        </w:rPr>
        <w:t xml:space="preserve">    CORE-&gt;&gt;CORE: check idempotency + validate</w:t>
      </w:r>
      <w:r>
        <w:br/>
      </w:r>
      <w:r>
        <w:rPr>
          <w:rStyle w:val="VerbatimChar"/>
        </w:rPr>
        <w:t xml:space="preserve">    CORE-&gt;&gt;RISK: risk scoring (velocity, blacklist)</w:t>
      </w:r>
      <w:r>
        <w:br/>
      </w:r>
      <w:r>
        <w:rPr>
          <w:rStyle w:val="VerbatimChar"/>
        </w:rPr>
        <w:t xml:space="preserve">    CORE-&gt;&gt;DS3: initiate 3DS (EMV 3DS 2.2+)</w:t>
      </w:r>
      <w:r>
        <w:br/>
      </w:r>
      <w:r>
        <w:rPr>
          <w:rStyle w:val="VerbatimChar"/>
        </w:rPr>
        <w:t xml:space="preserve">    alt challenge required</w:t>
      </w:r>
      <w:r>
        <w:br/>
      </w:r>
      <w:r>
        <w:rPr>
          <w:rStyle w:val="VerbatimChar"/>
        </w:rPr>
        <w:t xml:space="preserve">        DS3--&gt;&gt;CORE: requires_action + next_action_url</w:t>
      </w:r>
      <w:r>
        <w:br/>
      </w:r>
      <w:r>
        <w:rPr>
          <w:rStyle w:val="VerbatimChar"/>
        </w:rPr>
        <w:t xml:space="preserve">        CORE--&gt;&gt;MER: requires_action</w:t>
      </w:r>
      <w:r>
        <w:br/>
      </w:r>
      <w:r>
        <w:rPr>
          <w:rStyle w:val="VerbatimChar"/>
        </w:rPr>
        <w:t xml:space="preserve">        CH-&gt;&gt;DS3: challenge (OTP/biometric)</w:t>
      </w:r>
      <w:r>
        <w:br/>
      </w:r>
      <w:r>
        <w:rPr>
          <w:rStyle w:val="VerbatimChar"/>
        </w:rPr>
        <w:t xml:space="preserve">        DS3--&gt;&gt;CORE: authenticated (CAVV/ECI)</w:t>
      </w:r>
      <w:r>
        <w:br/>
      </w:r>
      <w:r>
        <w:rPr>
          <w:rStyle w:val="VerbatimChar"/>
        </w:rPr>
        <w:t xml:space="preserve">    else frictionless</w:t>
      </w:r>
      <w:r>
        <w:br/>
      </w:r>
      <w:r>
        <w:rPr>
          <w:rStyle w:val="VerbatimChar"/>
        </w:rPr>
        <w:t xml:space="preserve">        DS3--&gt;&gt;CORE: authenticated</w:t>
      </w:r>
      <w:r>
        <w:br/>
      </w:r>
      <w:r>
        <w:rPr>
          <w:rStyle w:val="VerbatimChar"/>
        </w:rPr>
        <w:t xml:space="preserve">    end</w:t>
      </w:r>
      <w:r>
        <w:br/>
      </w:r>
      <w:r>
        <w:rPr>
          <w:rStyle w:val="VerbatimChar"/>
        </w:rPr>
        <w:t xml:space="preserve">    CORE-&gt;&gt;VAULT: detokenize (CDE only)</w:t>
      </w:r>
      <w:r>
        <w:br/>
      </w:r>
      <w:r>
        <w:rPr>
          <w:rStyle w:val="VerbatimChar"/>
        </w:rPr>
        <w:t xml:space="preserve">    CORE-&gt;&gt;ACQ: authorization + PAN + CAVV</w:t>
      </w:r>
      <w:r>
        <w:br/>
      </w:r>
      <w:r>
        <w:rPr>
          <w:rStyle w:val="VerbatimChar"/>
        </w:rPr>
        <w:t xml:space="preserve">    ACQ--&gt;&gt;CORE: auth_code / decline</w:t>
      </w:r>
      <w:r>
        <w:br/>
      </w:r>
      <w:r>
        <w:rPr>
          <w:rStyle w:val="VerbatimChar"/>
        </w:rPr>
        <w:t xml:space="preserve">    CORE-&gt;&gt;CORE: write payments + ledger(authorize+capture) atomic</w:t>
      </w:r>
      <w:r>
        <w:br/>
      </w:r>
      <w:r>
        <w:rPr>
          <w:rStyle w:val="VerbatimChar"/>
        </w:rPr>
        <w:t xml:space="preserve">    CORE--&gt;&gt;MER: 200 captured (token + card_last4)</w:t>
      </w:r>
      <w:r>
        <w:br/>
      </w:r>
      <w:r>
        <w:rPr>
          <w:rStyle w:val="VerbatimChar"/>
        </w:rPr>
        <w:t xml:space="preserve">    CORE-&gt;&gt;MER: webhook payment.captured (signed)</w:t>
      </w:r>
    </w:p>
    <w:p>
      <w:pPr>
        <w:pStyle w:val="FirstParagraph"/>
      </w:pPr>
      <w:r>
        <w:rPr>
          <w:b/>
          <w:bCs/>
        </w:rPr>
        <w:t xml:space="preserve">Key data point:</w:t>
      </w:r>
      <w:r>
        <w:t xml:space="preserve"> </w:t>
      </w:r>
      <w:r>
        <w:t xml:space="preserve">full PAN appears only between</w:t>
      </w:r>
      <w:r>
        <w:t xml:space="preserve"> </w:t>
      </w:r>
      <w:r>
        <w:rPr>
          <w:rStyle w:val="VerbatimChar"/>
        </w:rPr>
        <w:t xml:space="preserve">VAULT</w:t>
      </w:r>
      <w:r>
        <w:t xml:space="preserve"> </w:t>
      </w:r>
      <w:r>
        <w:t xml:space="preserve">and</w:t>
      </w:r>
      <w:r>
        <w:t xml:space="preserve"> </w:t>
      </w:r>
      <w:r>
        <w:rPr>
          <w:rStyle w:val="VerbatimChar"/>
        </w:rPr>
        <w:t xml:space="preserve">ACQ</w:t>
      </w:r>
      <w:r>
        <w:t xml:space="preserve"> </w:t>
      </w:r>
      <w:r>
        <w:t xml:space="preserve">(inside the CDE); everything returned to the merchant and stored in the operational DB is token +</w:t>
      </w:r>
      <w:r>
        <w:t xml:space="preserve"> </w:t>
      </w:r>
      <w:r>
        <w:rPr>
          <w:rStyle w:val="VerbatimChar"/>
        </w:rPr>
        <w:t xml:space="preserve">card_last4</w:t>
      </w:r>
      <w:r>
        <w:t xml:space="preserve"> </w:t>
      </w:r>
      <w:r>
        <w:t xml:space="preserve">— consistent with PCI Req 3.3/3.4 (no SAD storage, PAN masking).</w:t>
      </w:r>
    </w:p>
    <w:bookmarkStart w:id="1229" w:name="refund-void-summary"/>
    <w:p>
      <w:pPr>
        <w:pStyle w:val="Heading3"/>
      </w:pPr>
      <w:r>
        <w:t xml:space="preserve">4.1 Refund / Void (summary)</w:t>
      </w:r>
    </w:p>
    <w:p>
      <w:pPr>
        <w:pStyle w:val="Compact"/>
        <w:numPr>
          <w:ilvl w:val="0"/>
          <w:numId w:val="1444"/>
        </w:numPr>
      </w:pPr>
      <w:r>
        <w:rPr>
          <w:b/>
          <w:bCs/>
        </w:rPr>
        <w:t xml:space="preserve">Refund:</w:t>
      </w:r>
      <w:r>
        <w:t xml:space="preserve"> </w:t>
      </w:r>
      <w:r>
        <w:rPr>
          <w:rStyle w:val="VerbatimChar"/>
        </w:rPr>
        <w:t xml:space="preserve">POST /v1/payments/{id}/refund</w:t>
      </w:r>
      <w:r>
        <w:t xml:space="preserve"> </w:t>
      </w:r>
      <w:r>
        <w:t xml:space="preserve">→ verify</w:t>
      </w:r>
      <w:r>
        <w:t xml:space="preserve"> </w:t>
      </w:r>
      <w:r>
        <w:rPr>
          <w:rStyle w:val="VerbatimChar"/>
        </w:rPr>
        <w:t xml:space="preserve">refunded + amount ≤ captured</w:t>
      </w:r>
      <w:r>
        <w:t xml:space="preserve"> </w:t>
      </w:r>
      <w:r>
        <w:t xml:space="preserve">→ send refund to acquirer →</w:t>
      </w:r>
      <w:r>
        <w:t xml:space="preserve"> </w:t>
      </w:r>
      <w:r>
        <w:rPr>
          <w:rStyle w:val="VerbatimChar"/>
        </w:rPr>
        <w:t xml:space="preserve">ledger(refund)</w:t>
      </w:r>
      <w:r>
        <w:t xml:space="preserve"> </w:t>
      </w:r>
      <w:r>
        <w:t xml:space="preserve">→</w:t>
      </w:r>
      <w:r>
        <w:t xml:space="preserve"> </w:t>
      </w:r>
      <w:r>
        <w:rPr>
          <w:rStyle w:val="VerbatimChar"/>
        </w:rPr>
        <w:t xml:space="preserve">partial_refunded</w:t>
      </w:r>
      <w:r>
        <w:t xml:space="preserve">/</w:t>
      </w:r>
      <w:r>
        <w:rPr>
          <w:rStyle w:val="VerbatimChar"/>
        </w:rPr>
        <w:t xml:space="preserve">refunded</w:t>
      </w:r>
      <w:r>
        <w:t xml:space="preserve">.</w:t>
      </w:r>
    </w:p>
    <w:p>
      <w:pPr>
        <w:pStyle w:val="Compact"/>
        <w:numPr>
          <w:ilvl w:val="0"/>
          <w:numId w:val="1444"/>
        </w:numPr>
      </w:pPr>
      <w:r>
        <w:rPr>
          <w:b/>
          <w:bCs/>
        </w:rPr>
        <w:t xml:space="preserve">Void:</w:t>
      </w:r>
      <w:r>
        <w:t xml:space="preserve"> </w:t>
      </w:r>
      <w:r>
        <w:rPr>
          <w:rStyle w:val="VerbatimChar"/>
        </w:rPr>
        <w:t xml:space="preserve">POST /v1/payments/{id}/void</w:t>
      </w:r>
      <w:r>
        <w:t xml:space="preserve"> </w:t>
      </w:r>
      <w:r>
        <w:t xml:space="preserve">(pre-capture only) → reverse authorization →</w:t>
      </w:r>
      <w:r>
        <w:t xml:space="preserve"> </w:t>
      </w:r>
      <w:r>
        <w:rPr>
          <w:rStyle w:val="VerbatimChar"/>
        </w:rPr>
        <w:t xml:space="preserve">voided</w:t>
      </w:r>
      <w:r>
        <w:t xml:space="preserve">.</w:t>
      </w:r>
    </w:p>
    <w:p>
      <w:r>
        <w:pict>
          <v:rect style="width:0;height:1.5pt" o:hralign="center" o:hrstd="t" o:hr="t"/>
        </w:pict>
      </w:r>
    </w:p>
    <w:bookmarkEnd w:id="1229"/>
    <w:bookmarkEnd w:id="1230"/>
    <w:bookmarkStart w:id="1231" w:name="third-parties-and-data-exchanged"/>
    <w:p>
      <w:pPr>
        <w:pStyle w:val="Heading2"/>
      </w:pPr>
      <w:r>
        <w:t xml:space="preserve">5. Third Parties and Data Exchanged</w:t>
      </w:r>
    </w:p>
    <w:tbl>
      <w:tblPr>
        <w:tblStyle w:val="Table"/>
        <w:tblW w:type="pct" w:w="5000"/>
        <w:tblLayout w:type="fixed"/>
        <w:tblLook w:firstRow="1" w:lastRow="0" w:firstColumn="0" w:lastColumn="0" w:noHBand="0" w:noVBand="0" w:val="0020"/>
      </w:tblPr>
      <w:tblGrid>
        <w:gridCol w:w="931"/>
        <w:gridCol w:w="559"/>
        <w:gridCol w:w="1490"/>
        <w:gridCol w:w="1024"/>
        <w:gridCol w:w="1863"/>
        <w:gridCol w:w="2049"/>
      </w:tblGrid>
      <w:tr>
        <w:trPr>
          <w:tblHeader w:val="on"/>
        </w:trPr>
        <w:tc>
          <w:tcPr/>
          <w:p>
            <w:pPr>
              <w:pStyle w:val="Compact"/>
            </w:pPr>
            <w:r>
              <w:t xml:space="preserve">Provider</w:t>
            </w:r>
          </w:p>
        </w:tc>
        <w:tc>
          <w:tcPr/>
          <w:p>
            <w:pPr>
              <w:pStyle w:val="Compact"/>
            </w:pPr>
            <w:r>
              <w:t xml:space="preserve">Type</w:t>
            </w:r>
          </w:p>
        </w:tc>
        <w:tc>
          <w:tcPr/>
          <w:p>
            <w:pPr>
              <w:pStyle w:val="Compact"/>
            </w:pPr>
            <w:r>
              <w:t xml:space="preserve">Data exchanged</w:t>
            </w:r>
          </w:p>
        </w:tc>
        <w:tc>
          <w:tcPr/>
          <w:p>
            <w:pPr>
              <w:pStyle w:val="Compact"/>
            </w:pPr>
            <w:r>
              <w:t xml:space="preserve">Direction</w:t>
            </w:r>
          </w:p>
        </w:tc>
        <w:tc>
          <w:tcPr/>
          <w:p>
            <w:pPr>
              <w:pStyle w:val="Compact"/>
            </w:pPr>
            <w:r>
              <w:t xml:space="preserve">Security mechanism</w:t>
            </w:r>
          </w:p>
        </w:tc>
        <w:tc>
          <w:tcPr/>
          <w:p>
            <w:pPr>
              <w:pStyle w:val="Compact"/>
            </w:pPr>
            <w:r>
              <w:t xml:space="preserve">Contract / oversight</w:t>
            </w:r>
          </w:p>
        </w:tc>
      </w:tr>
      <w:tr>
        <w:tc>
          <w:tcPr/>
          <w:p>
            <w:pPr>
              <w:pStyle w:val="Compact"/>
            </w:pPr>
            <w:r>
              <w:t xml:space="preserve">Sponsor Bank / Acquirer</w:t>
            </w:r>
          </w:p>
        </w:tc>
        <w:tc>
          <w:tcPr/>
          <w:p>
            <w:pPr>
              <w:pStyle w:val="Compact"/>
            </w:pPr>
            <w:r>
              <w:t xml:space="preserve">Critical</w:t>
            </w:r>
          </w:p>
        </w:tc>
        <w:tc>
          <w:tcPr/>
          <w:p>
            <w:pPr>
              <w:pStyle w:val="Compact"/>
            </w:pPr>
            <w:r>
              <w:t xml:space="preserve">PAN, auth_code, settlement</w:t>
            </w:r>
          </w:p>
        </w:tc>
        <w:tc>
          <w:tcPr/>
          <w:p>
            <w:pPr>
              <w:pStyle w:val="Compact"/>
            </w:pPr>
            <w:r>
              <w:t xml:space="preserve">bidirectional</w:t>
            </w:r>
          </w:p>
        </w:tc>
        <w:tc>
          <w:tcPr/>
          <w:p>
            <w:pPr>
              <w:pStyle w:val="Compact"/>
            </w:pPr>
            <w:r>
              <w:t xml:space="preserve">mTLS / VPN, ISO 8583</w:t>
            </w:r>
          </w:p>
        </w:tc>
        <w:tc>
          <w:tcPr/>
          <w:p>
            <w:pPr>
              <w:pStyle w:val="Compact"/>
            </w:pPr>
            <w:r>
              <w:t xml:space="preserve">Acquiring agreement, BOT outsourcing</w:t>
            </w:r>
            <w:r>
              <w:t xml:space="preserve"> </w:t>
            </w:r>
            <w:r>
              <w:rPr>
                <w:b/>
                <w:bCs/>
              </w:rPr>
              <w:t xml:space="preserve">[TODO]</w:t>
            </w:r>
          </w:p>
        </w:tc>
      </w:tr>
      <w:tr>
        <w:tc>
          <w:tcPr/>
          <w:p>
            <w:pPr>
              <w:pStyle w:val="Compact"/>
            </w:pPr>
            <w:r>
              <w:t xml:space="preserve">Card Scheme (Visa/MC)</w:t>
            </w:r>
          </w:p>
        </w:tc>
        <w:tc>
          <w:tcPr/>
          <w:p>
            <w:pPr>
              <w:pStyle w:val="Compact"/>
            </w:pPr>
            <w:r>
              <w:t xml:space="preserve">Critical</w:t>
            </w:r>
          </w:p>
        </w:tc>
        <w:tc>
          <w:tcPr/>
          <w:p>
            <w:pPr>
              <w:pStyle w:val="Compact"/>
            </w:pPr>
            <w:r>
              <w:t xml:space="preserve">authorization, clearing</w:t>
            </w:r>
          </w:p>
        </w:tc>
        <w:tc>
          <w:tcPr/>
          <w:p>
            <w:pPr>
              <w:pStyle w:val="Compact"/>
            </w:pPr>
            <w:r>
              <w:t xml:space="preserve">via acquirer</w:t>
            </w:r>
          </w:p>
        </w:tc>
        <w:tc>
          <w:tcPr/>
          <w:p>
            <w:pPr>
              <w:pStyle w:val="Compact"/>
            </w:pPr>
            <w:r>
              <w:t xml:space="preserve">scheme spec</w:t>
            </w:r>
          </w:p>
        </w:tc>
        <w:tc>
          <w:tcPr/>
          <w:p>
            <w:pPr>
              <w:pStyle w:val="Compact"/>
            </w:pPr>
            <w:r>
              <w:t xml:space="preserve">scheme cert (</w:t>
            </w:r>
            <w:r>
              <w:rPr>
                <w:rStyle w:val="VerbatimChar"/>
              </w:rPr>
              <w:t xml:space="preserve">COMP-24</w:t>
            </w:r>
            <w:r>
              <w:t xml:space="preserve">)</w:t>
            </w:r>
          </w:p>
        </w:tc>
      </w:tr>
      <w:tr>
        <w:tc>
          <w:tcPr/>
          <w:p>
            <w:pPr>
              <w:pStyle w:val="Compact"/>
            </w:pPr>
            <w:r>
              <w:t xml:space="preserve">3DS Server / DS / ACS</w:t>
            </w:r>
          </w:p>
        </w:tc>
        <w:tc>
          <w:tcPr/>
          <w:p>
            <w:pPr>
              <w:pStyle w:val="Compact"/>
            </w:pPr>
            <w:r>
              <w:t xml:space="preserve">Critical</w:t>
            </w:r>
          </w:p>
        </w:tc>
        <w:tc>
          <w:tcPr/>
          <w:p>
            <w:pPr>
              <w:pStyle w:val="Compact"/>
            </w:pPr>
            <w:r>
              <w:t xml:space="preserve">device data, CAVV/ECI (no full PAN)</w:t>
            </w:r>
          </w:p>
        </w:tc>
        <w:tc>
          <w:tcPr/>
          <w:p>
            <w:pPr>
              <w:pStyle w:val="Compact"/>
            </w:pPr>
            <w:r>
              <w:t xml:space="preserve">bidirectional</w:t>
            </w:r>
          </w:p>
        </w:tc>
        <w:tc>
          <w:tcPr/>
          <w:p>
            <w:pPr>
              <w:pStyle w:val="Compact"/>
            </w:pPr>
            <w:r>
              <w:t xml:space="preserve">TLS 1.2+, EMV 3DS</w:t>
            </w:r>
          </w:p>
        </w:tc>
        <w:tc>
          <w:tcPr/>
          <w:p>
            <w:pPr>
              <w:pStyle w:val="Compact"/>
            </w:pPr>
            <w:r>
              <w:t xml:space="preserve">vendor DPA</w:t>
            </w:r>
            <w:r>
              <w:t xml:space="preserve"> </w:t>
            </w:r>
            <w:r>
              <w:rPr>
                <w:b/>
                <w:bCs/>
              </w:rPr>
              <w:t xml:space="preserve">[TODO]</w:t>
            </w:r>
          </w:p>
        </w:tc>
      </w:tr>
      <w:tr>
        <w:tc>
          <w:tcPr/>
          <w:p>
            <w:pPr>
              <w:pStyle w:val="Compact"/>
            </w:pPr>
            <w:r>
              <w:t xml:space="preserve">HSM / KMS</w:t>
            </w:r>
          </w:p>
        </w:tc>
        <w:tc>
          <w:tcPr/>
          <w:p>
            <w:pPr>
              <w:pStyle w:val="Compact"/>
            </w:pPr>
            <w:r>
              <w:t xml:space="preserve">Critical</w:t>
            </w:r>
          </w:p>
        </w:tc>
        <w:tc>
          <w:tcPr/>
          <w:p>
            <w:pPr>
              <w:pStyle w:val="Compact"/>
            </w:pPr>
            <w:r>
              <w:t xml:space="preserve">key material (non-exportable)</w:t>
            </w:r>
          </w:p>
        </w:tc>
        <w:tc>
          <w:tcPr/>
          <w:p>
            <w:pPr>
              <w:pStyle w:val="Compact"/>
            </w:pPr>
            <w:r>
              <w:t xml:space="preserve">bidirectional</w:t>
            </w:r>
          </w:p>
        </w:tc>
        <w:tc>
          <w:tcPr/>
          <w:p>
            <w:pPr>
              <w:pStyle w:val="Compact"/>
            </w:pPr>
            <w:r>
              <w:t xml:space="preserve">FIPS 140-2/3 L3, dual control</w:t>
            </w:r>
          </w:p>
        </w:tc>
        <w:tc>
          <w:tcPr/>
          <w:p>
            <w:pPr>
              <w:pStyle w:val="Compact"/>
            </w:pPr>
            <w:r>
              <w:t xml:space="preserve">vendor SLA (</w:t>
            </w:r>
            <w:r>
              <w:rPr>
                <w:rStyle w:val="VerbatimChar"/>
              </w:rPr>
              <w:t xml:space="preserve">COMP-21</w:t>
            </w:r>
            <w:r>
              <w:t xml:space="preserve">)</w:t>
            </w:r>
            <w:r>
              <w:t xml:space="preserve"> </w:t>
            </w:r>
            <w:r>
              <w:rPr>
                <w:b/>
                <w:bCs/>
              </w:rPr>
              <w:t xml:space="preserve">[TODO]</w:t>
            </w:r>
          </w:p>
        </w:tc>
      </w:tr>
      <w:tr>
        <w:tc>
          <w:tcPr/>
          <w:p>
            <w:pPr>
              <w:pStyle w:val="Compact"/>
            </w:pPr>
            <w:r>
              <w:t xml:space="preserve">Local Rails (ITMX/PromptPay)</w:t>
            </w:r>
          </w:p>
        </w:tc>
        <w:tc>
          <w:tcPr/>
          <w:p>
            <w:pPr>
              <w:pStyle w:val="Compact"/>
            </w:pPr>
            <w:r>
              <w:t xml:space="preserve">Important</w:t>
            </w:r>
          </w:p>
        </w:tc>
        <w:tc>
          <w:tcPr/>
          <w:p>
            <w:pPr>
              <w:pStyle w:val="Compact"/>
            </w:pPr>
            <w:r>
              <w:t xml:space="preserve">QR/account ref (no PAN)</w:t>
            </w:r>
          </w:p>
        </w:tc>
        <w:tc>
          <w:tcPr/>
          <w:p>
            <w:pPr>
              <w:pStyle w:val="Compact"/>
            </w:pPr>
            <w:r>
              <w:t xml:space="preserve">bidirectional</w:t>
            </w:r>
          </w:p>
        </w:tc>
        <w:tc>
          <w:tcPr/>
          <w:p>
            <w:pPr>
              <w:pStyle w:val="Compact"/>
            </w:pPr>
            <w:r>
              <w:t xml:space="preserve">mTLS</w:t>
            </w:r>
          </w:p>
        </w:tc>
        <w:tc>
          <w:tcPr/>
          <w:p>
            <w:pPr>
              <w:pStyle w:val="Compact"/>
            </w:pPr>
            <w:r>
              <w:t xml:space="preserve">scheme rules</w:t>
            </w:r>
          </w:p>
        </w:tc>
      </w:tr>
      <w:tr>
        <w:tc>
          <w:tcPr/>
          <w:p>
            <w:pPr>
              <w:pStyle w:val="Compact"/>
            </w:pPr>
            <w:r>
              <w:t xml:space="preserve">Sanction Screening Vendor</w:t>
            </w:r>
          </w:p>
        </w:tc>
        <w:tc>
          <w:tcPr/>
          <w:p>
            <w:pPr>
              <w:pStyle w:val="Compact"/>
            </w:pPr>
            <w:r>
              <w:t xml:space="preserve">Important</w:t>
            </w:r>
          </w:p>
        </w:tc>
        <w:tc>
          <w:tcPr/>
          <w:p>
            <w:pPr>
              <w:pStyle w:val="Compact"/>
            </w:pPr>
            <w:r>
              <w:t xml:space="preserve">name/match records (PII)</w:t>
            </w:r>
          </w:p>
        </w:tc>
        <w:tc>
          <w:tcPr/>
          <w:p>
            <w:pPr>
              <w:pStyle w:val="Compact"/>
            </w:pPr>
            <w:r>
              <w:t xml:space="preserve">outbound</w:t>
            </w:r>
          </w:p>
        </w:tc>
        <w:tc>
          <w:tcPr/>
          <w:p>
            <w:pPr>
              <w:pStyle w:val="Compact"/>
            </w:pPr>
            <w:r>
              <w:t xml:space="preserve">TLS, DPA</w:t>
            </w:r>
          </w:p>
        </w:tc>
        <w:tc>
          <w:tcPr/>
          <w:p>
            <w:pPr>
              <w:pStyle w:val="Compact"/>
            </w:pPr>
            <w:r>
              <w:t xml:space="preserve">PDPA + AMLO (</w:t>
            </w:r>
            <w:r>
              <w:rPr>
                <w:rStyle w:val="VerbatimChar"/>
              </w:rPr>
              <w:t xml:space="preserve">COMP-06</w:t>
            </w:r>
            <w:r>
              <w:t xml:space="preserve">)</w:t>
            </w:r>
          </w:p>
        </w:tc>
      </w:tr>
      <w:tr>
        <w:tc>
          <w:tcPr/>
          <w:p>
            <w:pPr>
              <w:pStyle w:val="Compact"/>
            </w:pPr>
            <w:r>
              <w:t xml:space="preserve">Cloud / Infra Provider</w:t>
            </w:r>
          </w:p>
        </w:tc>
        <w:tc>
          <w:tcPr/>
          <w:p>
            <w:pPr>
              <w:pStyle w:val="Compact"/>
            </w:pPr>
            <w:r>
              <w:t xml:space="preserve">Important</w:t>
            </w:r>
          </w:p>
        </w:tc>
        <w:tc>
          <w:tcPr/>
          <w:p>
            <w:pPr>
              <w:pStyle w:val="Compact"/>
            </w:pPr>
            <w:r>
              <w:t xml:space="preserve">hosting (data residency TH)</w:t>
            </w:r>
          </w:p>
        </w:tc>
        <w:tc>
          <w:tcPr/>
          <w:p>
            <w:pPr>
              <w:pStyle w:val="Compact"/>
            </w:pPr>
            <w:r>
              <w:t xml:space="preserve">—</w:t>
            </w:r>
          </w:p>
        </w:tc>
        <w:tc>
          <w:tcPr/>
          <w:p>
            <w:pPr>
              <w:pStyle w:val="Compact"/>
            </w:pPr>
            <w:r>
              <w:t xml:space="preserve">encryption, IAM</w:t>
            </w:r>
          </w:p>
        </w:tc>
        <w:tc>
          <w:tcPr/>
          <w:p>
            <w:pPr>
              <w:pStyle w:val="Compact"/>
            </w:pPr>
            <w:r>
              <w:t xml:space="preserve">DPA, data residency</w:t>
            </w:r>
            <w:r>
              <w:t xml:space="preserve"> </w:t>
            </w:r>
            <w:r>
              <w:rPr>
                <w:b/>
                <w:bCs/>
              </w:rPr>
              <w:t xml:space="preserve">[TODO]</w:t>
            </w:r>
          </w:p>
        </w:tc>
      </w:tr>
      <w:tr>
        <w:tc>
          <w:tcPr/>
          <w:p>
            <w:pPr>
              <w:pStyle w:val="Compact"/>
            </w:pPr>
            <w:r>
              <w:t xml:space="preserve">QSA / ASV / Pentest</w:t>
            </w:r>
          </w:p>
        </w:tc>
        <w:tc>
          <w:tcPr/>
          <w:p>
            <w:pPr>
              <w:pStyle w:val="Compact"/>
            </w:pPr>
            <w:r>
              <w:t xml:space="preserve">Assessor</w:t>
            </w:r>
          </w:p>
        </w:tc>
        <w:tc>
          <w:tcPr/>
          <w:p>
            <w:pPr>
              <w:pStyle w:val="Compact"/>
            </w:pPr>
            <w:r>
              <w:t xml:space="preserve">evidence, scan results</w:t>
            </w:r>
          </w:p>
        </w:tc>
        <w:tc>
          <w:tcPr/>
          <w:p>
            <w:pPr>
              <w:pStyle w:val="Compact"/>
            </w:pPr>
            <w:r>
              <w:t xml:space="preserve">—</w:t>
            </w:r>
          </w:p>
        </w:tc>
        <w:tc>
          <w:tcPr/>
          <w:p>
            <w:pPr>
              <w:pStyle w:val="Compact"/>
            </w:pPr>
            <w:r>
              <w:t xml:space="preserve">NDA</w:t>
            </w:r>
          </w:p>
        </w:tc>
        <w:tc>
          <w:tcPr/>
          <w:p>
            <w:pPr>
              <w:pStyle w:val="Compact"/>
            </w:pPr>
            <w:r>
              <w:t xml:space="preserve">engagement (</w:t>
            </w:r>
            <w:r>
              <w:rPr>
                <w:rStyle w:val="VerbatimChar"/>
              </w:rPr>
              <w:t xml:space="preserve">COMP-23</w:t>
            </w:r>
            <w:r>
              <w:t xml:space="preserve">)</w:t>
            </w:r>
            <w:r>
              <w:t xml:space="preserve"> </w:t>
            </w:r>
            <w:r>
              <w:rPr>
                <w:b/>
                <w:bCs/>
              </w:rPr>
              <w:t xml:space="preserve">[TODO]</w:t>
            </w:r>
          </w:p>
        </w:tc>
      </w:tr>
      <w:tr>
        <w:tc>
          <w:tcPr/>
          <w:p>
            <w:pPr>
              <w:pStyle w:val="Compact"/>
            </w:pPr>
            <w:r>
              <w:t xml:space="preserve">Notification (email/SMS)</w:t>
            </w:r>
          </w:p>
        </w:tc>
        <w:tc>
          <w:tcPr/>
          <w:p>
            <w:pPr>
              <w:pStyle w:val="Compact"/>
            </w:pPr>
            <w:r>
              <w:t xml:space="preserve">Support</w:t>
            </w:r>
          </w:p>
        </w:tc>
        <w:tc>
          <w:tcPr/>
          <w:p>
            <w:pPr>
              <w:pStyle w:val="Compact"/>
            </w:pPr>
            <w:r>
              <w:t xml:space="preserve">merchant contact (PII)</w:t>
            </w:r>
          </w:p>
        </w:tc>
        <w:tc>
          <w:tcPr/>
          <w:p>
            <w:pPr>
              <w:pStyle w:val="Compact"/>
            </w:pPr>
            <w:r>
              <w:t xml:space="preserve">outbound</w:t>
            </w:r>
          </w:p>
        </w:tc>
        <w:tc>
          <w:tcPr/>
          <w:p>
            <w:pPr>
              <w:pStyle w:val="Compact"/>
            </w:pPr>
            <w:r>
              <w:t xml:space="preserve">TLS, no card data</w:t>
            </w:r>
          </w:p>
        </w:tc>
        <w:tc>
          <w:tcPr/>
          <w:p>
            <w:pPr>
              <w:pStyle w:val="Compact"/>
            </w:pPr>
            <w:r>
              <w:t xml:space="preserve">DPA (</w:t>
            </w:r>
            <w:r>
              <w:rPr>
                <w:rStyle w:val="VerbatimChar"/>
              </w:rPr>
              <w:t xml:space="preserve">COMP-10</w:t>
            </w:r>
            <w:r>
              <w:t xml:space="preserve">)</w:t>
            </w:r>
          </w:p>
        </w:tc>
      </w:tr>
    </w:tbl>
    <w:p>
      <w:pPr>
        <w:pStyle w:val="BlockText"/>
      </w:pPr>
      <w:r>
        <w:t xml:space="preserve">Every provider that processes CHD or is security-impacting must be entered in the outsourcing/TPRM register per the BOT outsourcing notification, and have a DPA under PDPA (Section 40) — see</w:t>
      </w:r>
      <w:r>
        <w:t xml:space="preserve"> </w:t>
      </w:r>
      <w:r>
        <w:rPr>
          <w:rStyle w:val="VerbatimChar"/>
        </w:rPr>
        <w:t xml:space="preserve">COMP-10</w:t>
      </w:r>
      <w:r>
        <w:t xml:space="preserve">,</w:t>
      </w:r>
      <w:r>
        <w:t xml:space="preserve"> </w:t>
      </w:r>
      <w:r>
        <w:rPr>
          <w:rStyle w:val="VerbatimChar"/>
        </w:rPr>
        <w:t xml:space="preserve">COMP-13</w:t>
      </w:r>
      <w:r>
        <w:t xml:space="preserve">.</w:t>
      </w:r>
    </w:p>
    <w:p>
      <w:r>
        <w:pict>
          <v:rect style="width:0;height:1.5pt" o:hralign="center" o:hrstd="t" o:hr="t"/>
        </w:pict>
      </w:r>
    </w:p>
    <w:bookmarkEnd w:id="1231"/>
    <w:bookmarkStart w:id="1232" w:name="trust-boundaries"/>
    <w:p>
      <w:pPr>
        <w:pStyle w:val="Heading2"/>
      </w:pPr>
      <w:r>
        <w:t xml:space="preserve">6. Trust Boundaries</w:t>
      </w:r>
    </w:p>
    <w:p>
      <w:pPr>
        <w:pStyle w:val="SourceCode"/>
      </w:pPr>
      <w:r>
        <w:rPr>
          <w:rStyle w:val="VerbatimChar"/>
        </w:rPr>
        <w:t xml:space="preserve">flowchart LR</w:t>
      </w:r>
      <w:r>
        <w:br/>
      </w:r>
      <w:r>
        <w:rPr>
          <w:rStyle w:val="VerbatimChar"/>
        </w:rPr>
        <w:t xml:space="preserve">    subgraph TB0["TB0 · Internet (Untrusted)"]</w:t>
      </w:r>
      <w:r>
        <w:br/>
      </w:r>
      <w:r>
        <w:rPr>
          <w:rStyle w:val="VerbatimChar"/>
        </w:rPr>
        <w:t xml:space="preserve">        A["Merchant / Cardholder / Public"]</w:t>
      </w:r>
      <w:r>
        <w:br/>
      </w:r>
      <w:r>
        <w:rPr>
          <w:rStyle w:val="VerbatimChar"/>
        </w:rPr>
        <w:t xml:space="preserve">    end</w:t>
      </w:r>
      <w:r>
        <w:br/>
      </w:r>
      <w:r>
        <w:rPr>
          <w:rStyle w:val="VerbatimChar"/>
        </w:rPr>
        <w:t xml:space="preserve">    subgraph TB1["TB1 · DMZ / Edge (Semi-trusted)"]</w:t>
      </w:r>
      <w:r>
        <w:br/>
      </w:r>
      <w:r>
        <w:rPr>
          <w:rStyle w:val="VerbatimChar"/>
        </w:rPr>
        <w:t xml:space="preserve">        B["WAF · LB · 3DS redirect"]</w:t>
      </w:r>
      <w:r>
        <w:br/>
      </w:r>
      <w:r>
        <w:rPr>
          <w:rStyle w:val="VerbatimChar"/>
        </w:rPr>
        <w:t xml:space="preserve">    end</w:t>
      </w:r>
      <w:r>
        <w:br/>
      </w:r>
      <w:r>
        <w:rPr>
          <w:rStyle w:val="VerbatimChar"/>
        </w:rPr>
        <w:t xml:space="preserve">    subgraph TB2["TB2 · Application (Trusted)"]</w:t>
      </w:r>
      <w:r>
        <w:br/>
      </w:r>
      <w:r>
        <w:rPr>
          <w:rStyle w:val="VerbatimChar"/>
        </w:rPr>
        <w:t xml:space="preserve">        C["Payment Core · Risk · Webhook"]</w:t>
      </w:r>
      <w:r>
        <w:br/>
      </w:r>
      <w:r>
        <w:rPr>
          <w:rStyle w:val="VerbatimChar"/>
        </w:rPr>
        <w:t xml:space="preserve">    end</w:t>
      </w:r>
      <w:r>
        <w:br/>
      </w:r>
      <w:r>
        <w:rPr>
          <w:rStyle w:val="VerbatimChar"/>
        </w:rPr>
        <w:t xml:space="preserve">    subgraph TB3["TB3 · CDE (Highly restricted)"]</w:t>
      </w:r>
      <w:r>
        <w:br/>
      </w:r>
      <w:r>
        <w:rPr>
          <w:rStyle w:val="VerbatimChar"/>
        </w:rPr>
        <w:t xml:space="preserve">        D["Vault · HSM/KMS · PAN store"]</w:t>
      </w:r>
      <w:r>
        <w:br/>
      </w:r>
      <w:r>
        <w:rPr>
          <w:rStyle w:val="VerbatimChar"/>
        </w:rPr>
        <w:t xml:space="preserve">    end</w:t>
      </w:r>
      <w:r>
        <w:br/>
      </w:r>
      <w:r>
        <w:rPr>
          <w:rStyle w:val="VerbatimChar"/>
        </w:rPr>
        <w:t xml:space="preserve">    subgraph TB4["TB4 · Acquirer Uplink"]</w:t>
      </w:r>
      <w:r>
        <w:br/>
      </w:r>
      <w:r>
        <w:rPr>
          <w:rStyle w:val="VerbatimChar"/>
        </w:rPr>
        <w:t xml:space="preserve">        E["Acquirer switch"]</w:t>
      </w:r>
      <w:r>
        <w:br/>
      </w:r>
      <w:r>
        <w:rPr>
          <w:rStyle w:val="VerbatimChar"/>
        </w:rPr>
        <w:t xml:space="preserve">    end</w:t>
      </w:r>
      <w:r>
        <w:br/>
      </w:r>
      <w:r>
        <w:rPr>
          <w:rStyle w:val="VerbatimChar"/>
        </w:rPr>
        <w:t xml:space="preserve">    A --&gt;|"TLS 1.2+, API key/JWT"| B</w:t>
      </w:r>
      <w:r>
        <w:br/>
      </w:r>
      <w:r>
        <w:rPr>
          <w:rStyle w:val="VerbatimChar"/>
        </w:rPr>
        <w:t xml:space="preserve">    B --&gt;|"mTLS, default-deny"| C</w:t>
      </w:r>
      <w:r>
        <w:br/>
      </w:r>
      <w:r>
        <w:rPr>
          <w:rStyle w:val="VerbatimChar"/>
        </w:rPr>
        <w:t xml:space="preserve">    C --&gt;|"mTLS, allow-list, MFA break-glass"| D</w:t>
      </w:r>
      <w:r>
        <w:br/>
      </w:r>
      <w:r>
        <w:rPr>
          <w:rStyle w:val="VerbatimChar"/>
        </w:rPr>
        <w:t xml:space="preserve">    D --&gt;|"VPN/mTLS, ISO 8583"| E</w:t>
      </w:r>
    </w:p>
    <w:tbl>
      <w:tblPr>
        <w:tblStyle w:val="Table"/>
        <w:tblW w:type="pct" w:w="5000"/>
        <w:tblLayout w:type="fixed"/>
        <w:tblLook w:firstRow="1" w:lastRow="0" w:firstColumn="0" w:lastColumn="0" w:noHBand="0" w:noVBand="0" w:val="0020"/>
      </w:tblPr>
      <w:tblGrid>
        <w:gridCol w:w="1494"/>
        <w:gridCol w:w="1643"/>
        <w:gridCol w:w="4781"/>
      </w:tblGrid>
      <w:tr>
        <w:trPr>
          <w:tblHeader w:val="on"/>
        </w:trPr>
        <w:tc>
          <w:tcPr/>
          <w:p>
            <w:pPr>
              <w:pStyle w:val="Compact"/>
            </w:pPr>
            <w:r>
              <w:t xml:space="preserve">Boundary</w:t>
            </w:r>
          </w:p>
        </w:tc>
        <w:tc>
          <w:tcPr/>
          <w:p>
            <w:pPr>
              <w:pStyle w:val="Compact"/>
            </w:pPr>
            <w:r>
              <w:t xml:space="preserve">From → To</w:t>
            </w:r>
          </w:p>
        </w:tc>
        <w:tc>
          <w:tcPr/>
          <w:p>
            <w:pPr>
              <w:pStyle w:val="Compact"/>
            </w:pPr>
            <w:r>
              <w:t xml:space="preserve">Controls crossing the boundary</w:t>
            </w:r>
          </w:p>
        </w:tc>
      </w:tr>
      <w:tr>
        <w:tc>
          <w:tcPr/>
          <w:p>
            <w:pPr>
              <w:pStyle w:val="Compact"/>
            </w:pPr>
            <w:r>
              <w:t xml:space="preserve">TB0→TB1</w:t>
            </w:r>
          </w:p>
        </w:tc>
        <w:tc>
          <w:tcPr/>
          <w:p>
            <w:pPr>
              <w:pStyle w:val="Compact"/>
            </w:pPr>
            <w:r>
              <w:t xml:space="preserve">Internet → Edge</w:t>
            </w:r>
          </w:p>
        </w:tc>
        <w:tc>
          <w:tcPr/>
          <w:p>
            <w:pPr>
              <w:pStyle w:val="Compact"/>
            </w:pPr>
            <w:r>
              <w:t xml:space="preserve">TLS 1.2+, WAF, DDoS scrubbing, API key/JWT, rate limit, idempotency</w:t>
            </w:r>
          </w:p>
        </w:tc>
      </w:tr>
      <w:tr>
        <w:tc>
          <w:tcPr/>
          <w:p>
            <w:pPr>
              <w:pStyle w:val="Compact"/>
            </w:pPr>
            <w:r>
              <w:t xml:space="preserve">TB1→TB2</w:t>
            </w:r>
          </w:p>
        </w:tc>
        <w:tc>
          <w:tcPr/>
          <w:p>
            <w:pPr>
              <w:pStyle w:val="Compact"/>
            </w:pPr>
            <w:r>
              <w:t xml:space="preserve">Edge → App</w:t>
            </w:r>
          </w:p>
        </w:tc>
        <w:tc>
          <w:tcPr/>
          <w:p>
            <w:pPr>
              <w:pStyle w:val="Compact"/>
            </w:pPr>
            <w:r>
              <w:t xml:space="preserve">mTLS, security-group default-deny, request-id, input validation (sqlc)</w:t>
            </w:r>
          </w:p>
        </w:tc>
      </w:tr>
      <w:tr>
        <w:tc>
          <w:tcPr/>
          <w:p>
            <w:pPr>
              <w:pStyle w:val="Compact"/>
            </w:pPr>
            <w:r>
              <w:t xml:space="preserve">TB2→TB3</w:t>
            </w:r>
          </w:p>
        </w:tc>
        <w:tc>
          <w:tcPr/>
          <w:p>
            <w:pPr>
              <w:pStyle w:val="Compact"/>
            </w:pPr>
            <w:r>
              <w:t xml:space="preserve">App → CDE</w:t>
            </w:r>
          </w:p>
        </w:tc>
        <w:tc>
          <w:tcPr/>
          <w:p>
            <w:pPr>
              <w:pStyle w:val="Compact"/>
            </w:pPr>
            <w:r>
              <w:t xml:space="preserve">mTLS + allow-list to service accounts only; MFA/break-glass; no direct human access; every detokenize logged to audit_log</w:t>
            </w:r>
          </w:p>
        </w:tc>
      </w:tr>
      <w:tr>
        <w:tc>
          <w:tcPr/>
          <w:p>
            <w:pPr>
              <w:pStyle w:val="Compact"/>
            </w:pPr>
            <w:r>
              <w:t xml:space="preserve">TB3→TB4</w:t>
            </w:r>
          </w:p>
        </w:tc>
        <w:tc>
          <w:tcPr/>
          <w:p>
            <w:pPr>
              <w:pStyle w:val="Compact"/>
            </w:pPr>
            <w:r>
              <w:t xml:space="preserve">CDE → Acquirer</w:t>
            </w:r>
          </w:p>
        </w:tc>
        <w:tc>
          <w:tcPr/>
          <w:p>
            <w:pPr>
              <w:pStyle w:val="Compact"/>
            </w:pPr>
            <w:r>
              <w:t xml:space="preserve">dedicated VPN/leased line, mTLS, ISO 8583; PAN encrypted in transit</w:t>
            </w:r>
          </w:p>
        </w:tc>
      </w:tr>
      <w:tr>
        <w:tc>
          <w:tcPr/>
          <w:p>
            <w:pPr>
              <w:pStyle w:val="Compact"/>
            </w:pPr>
            <w:r>
              <w:t xml:space="preserve">all boundaries</w:t>
            </w:r>
          </w:p>
        </w:tc>
        <w:tc>
          <w:tcPr/>
          <w:p>
            <w:pPr>
              <w:pStyle w:val="Compact"/>
            </w:pPr>
            <w:r>
              <w:t xml:space="preserve">—</w:t>
            </w:r>
          </w:p>
        </w:tc>
        <w:tc>
          <w:tcPr/>
          <w:p>
            <w:pPr>
              <w:pStyle w:val="Compact"/>
            </w:pPr>
            <w:r>
              <w:t xml:space="preserve">logging with no card data (Req 10), fail-closed, least privilege (Req 7-8)</w:t>
            </w:r>
          </w:p>
        </w:tc>
      </w:tr>
    </w:tbl>
    <w:p>
      <w:r>
        <w:pict>
          <v:rect style="width:0;height:1.5pt" o:hralign="center" o:hrstd="t" o:hr="t"/>
        </w:pict>
      </w:r>
    </w:p>
    <w:bookmarkEnd w:id="1232"/>
    <w:bookmarkStart w:id="1233" w:name="pci-dss-scope-summary"/>
    <w:p>
      <w:pPr>
        <w:pStyle w:val="Heading2"/>
      </w:pPr>
      <w:r>
        <w:t xml:space="preserve">7. PCI-DSS Scope Summary</w:t>
      </w:r>
    </w:p>
    <w:p>
      <w:pPr>
        <w:pStyle w:val="Compact"/>
        <w:numPr>
          <w:ilvl w:val="0"/>
          <w:numId w:val="1445"/>
        </w:numPr>
      </w:pPr>
      <w:r>
        <w:rPr>
          <w:b/>
          <w:bCs/>
        </w:rPr>
        <w:t xml:space="preserve">PCI-DSS v4.0 Level 1</w:t>
      </w:r>
      <w:r>
        <w:t xml:space="preserve"> </w:t>
      </w:r>
      <w:r>
        <w:t xml:space="preserve">(&gt; 6M transactions/year or as designated by acquirer/card brand) → requires a QSA-issued RoC annually + quarterly ASV scan + annual penetration test (</w:t>
      </w:r>
      <w:r>
        <w:rPr>
          <w:rStyle w:val="VerbatimChar"/>
        </w:rPr>
        <w:t xml:space="preserve">COMP-19</w:t>
      </w:r>
      <w:r>
        <w:t xml:space="preserve">,</w:t>
      </w:r>
      <w:r>
        <w:t xml:space="preserve"> </w:t>
      </w:r>
      <w:r>
        <w:rPr>
          <w:rStyle w:val="VerbatimChar"/>
        </w:rPr>
        <w:t xml:space="preserve">COMP-23</w:t>
      </w:r>
      <w:r>
        <w:t xml:space="preserve">).</w:t>
      </w:r>
    </w:p>
    <w:p>
      <w:pPr>
        <w:pStyle w:val="Compact"/>
        <w:numPr>
          <w:ilvl w:val="0"/>
          <w:numId w:val="1445"/>
        </w:numPr>
      </w:pPr>
      <w:r>
        <w:rPr>
          <w:b/>
          <w:bCs/>
        </w:rPr>
        <w:t xml:space="preserve">Full CDE:</w:t>
      </w:r>
      <w:r>
        <w:t xml:space="preserve"> </w:t>
      </w:r>
      <w:r>
        <w:t xml:space="preserve">only Z3 (Tokenization Vault + HSM/KMS + encrypted PAN store) and the Z3→Z6 (Acquirer uplink) path — see</w:t>
      </w:r>
      <w:r>
        <w:t xml:space="preserve"> </w:t>
      </w:r>
      <w:r>
        <w:rPr>
          <w:rStyle w:val="VerbatimChar"/>
        </w:rPr>
        <w:t xml:space="preserve">COMP-20</w:t>
      </w:r>
      <w:r>
        <w:t xml:space="preserve">,</w:t>
      </w:r>
      <w:r>
        <w:t xml:space="preserve"> </w:t>
      </w:r>
      <w:r>
        <w:rPr>
          <w:rStyle w:val="VerbatimChar"/>
        </w:rPr>
        <w:t xml:space="preserve">COMP-21</w:t>
      </w:r>
      <w:r>
        <w:t xml:space="preserve">.</w:t>
      </w:r>
    </w:p>
    <w:p>
      <w:pPr>
        <w:pStyle w:val="Compact"/>
        <w:numPr>
          <w:ilvl w:val="0"/>
          <w:numId w:val="1445"/>
        </w:numPr>
      </w:pPr>
      <w:r>
        <w:rPr>
          <w:b/>
          <w:bCs/>
        </w:rPr>
        <w:t xml:space="preserve">Connected-to / security-impacting:</w:t>
      </w:r>
      <w:r>
        <w:t xml:space="preserve"> </w:t>
      </w:r>
      <w:r>
        <w:t xml:space="preserve">API Edge, Payment Core, Risk Engine, Webhook, Ledger DB, Z5 management (SIEM/secrets/bastion).</w:t>
      </w:r>
    </w:p>
    <w:p>
      <w:pPr>
        <w:pStyle w:val="Compact"/>
        <w:numPr>
          <w:ilvl w:val="0"/>
          <w:numId w:val="1445"/>
        </w:numPr>
      </w:pPr>
      <w:r>
        <w:rPr>
          <w:b/>
          <w:bCs/>
        </w:rPr>
        <w:t xml:space="preserve">Out-of-scope (segmentation proven):</w:t>
      </w:r>
      <w:r>
        <w:t xml:space="preserve"> </w:t>
      </w:r>
      <w:r>
        <w:t xml:space="preserve">corporate IT, marketing, dev workstations with no path to the CDE — validated by penetration test (PCI Req 11.4.5).</w:t>
      </w:r>
    </w:p>
    <w:p>
      <w:pPr>
        <w:pStyle w:val="Compact"/>
        <w:numPr>
          <w:ilvl w:val="0"/>
          <w:numId w:val="1445"/>
        </w:numPr>
      </w:pPr>
      <w:r>
        <w:rPr>
          <w:b/>
          <w:bCs/>
        </w:rPr>
        <w:t xml:space="preserve">Strictly prohibited:</w:t>
      </w:r>
      <w:r>
        <w:t xml:space="preserve"> </w:t>
      </w:r>
      <w:r>
        <w:t xml:space="preserve">storing full PAN, CVV/CVV2, PIN, or full track in the operational DB (Req 3.2/3.3); only</w:t>
      </w:r>
      <w:r>
        <w:t xml:space="preserve"> </w:t>
      </w:r>
      <w:r>
        <w:rPr>
          <w:rStyle w:val="VerbatimChar"/>
        </w:rPr>
        <w:t xml:space="preserve">card_brand</w:t>
      </w:r>
      <w:r>
        <w:t xml:space="preserve"> </w:t>
      </w:r>
      <w:r>
        <w:t xml:space="preserve">+</w:t>
      </w:r>
      <w:r>
        <w:t xml:space="preserve"> </w:t>
      </w:r>
      <w:r>
        <w:rPr>
          <w:rStyle w:val="VerbatimChar"/>
        </w:rPr>
        <w:t xml:space="preserve">card_last4</w:t>
      </w:r>
      <w:r>
        <w:t xml:space="preserve"> </w:t>
      </w:r>
      <w:r>
        <w:t xml:space="preserve">may be stored.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 PCI Req supported</w:t>
            </w:r>
          </w:p>
        </w:tc>
        <w:tc>
          <w:tcPr/>
          <w:p>
            <w:pPr>
              <w:pStyle w:val="Compact"/>
            </w:pPr>
            <w:r>
              <w:t xml:space="preserve">Topic</w:t>
            </w:r>
          </w:p>
        </w:tc>
      </w:tr>
      <w:tr>
        <w:tc>
          <w:tcPr/>
          <w:p>
            <w:pPr>
              <w:pStyle w:val="Compact"/>
            </w:pPr>
            <w:r>
              <w:t xml:space="preserve">Req 1</w:t>
            </w:r>
          </w:p>
        </w:tc>
        <w:tc>
          <w:tcPr/>
          <w:p>
            <w:pPr>
              <w:pStyle w:val="Compact"/>
            </w:pPr>
            <w:r>
              <w:t xml:space="preserve">network security controls, segmentation (</w:t>
            </w:r>
            <w:r>
              <w:rPr>
                <w:rStyle w:val="VerbatimChar"/>
              </w:rPr>
              <w:t xml:space="preserve">COMP-20</w:t>
            </w:r>
            <w:r>
              <w:t xml:space="preserve">)</w:t>
            </w:r>
          </w:p>
        </w:tc>
      </w:tr>
      <w:tr>
        <w:tc>
          <w:tcPr/>
          <w:p>
            <w:pPr>
              <w:pStyle w:val="Compact"/>
            </w:pPr>
            <w:r>
              <w:t xml:space="preserve">Req 3, 4</w:t>
            </w:r>
          </w:p>
        </w:tc>
        <w:tc>
          <w:tcPr/>
          <w:p>
            <w:pPr>
              <w:pStyle w:val="Compact"/>
            </w:pPr>
            <w:r>
              <w:t xml:space="preserve">protect stored/transmitted CHD, tokenization (</w:t>
            </w:r>
            <w:r>
              <w:rPr>
                <w:rStyle w:val="VerbatimChar"/>
              </w:rPr>
              <w:t xml:space="preserve">COMP-21</w:t>
            </w:r>
            <w:r>
              <w:t xml:space="preserve">)</w:t>
            </w:r>
          </w:p>
        </w:tc>
      </w:tr>
      <w:tr>
        <w:tc>
          <w:tcPr/>
          <w:p>
            <w:pPr>
              <w:pStyle w:val="Compact"/>
            </w:pPr>
            <w:r>
              <w:t xml:space="preserve">Req 7, 8</w:t>
            </w:r>
          </w:p>
        </w:tc>
        <w:tc>
          <w:tcPr/>
          <w:p>
            <w:pPr>
              <w:pStyle w:val="Compact"/>
            </w:pPr>
            <w:r>
              <w:t xml:space="preserve">least privilege, MFA (</w:t>
            </w:r>
            <w:r>
              <w:rPr>
                <w:rStyle w:val="VerbatimChar"/>
              </w:rPr>
              <w:t xml:space="preserve">COMP-18</w:t>
            </w:r>
            <w:r>
              <w:t xml:space="preserve">)</w:t>
            </w:r>
          </w:p>
        </w:tc>
      </w:tr>
      <w:tr>
        <w:tc>
          <w:tcPr/>
          <w:p>
            <w:pPr>
              <w:pStyle w:val="Compact"/>
            </w:pPr>
            <w:r>
              <w:t xml:space="preserve">Req 10</w:t>
            </w:r>
          </w:p>
        </w:tc>
        <w:tc>
          <w:tcPr/>
          <w:p>
            <w:pPr>
              <w:pStyle w:val="Compact"/>
            </w:pPr>
            <w:r>
              <w:t xml:space="preserve">logging without card data, SIEM (</w:t>
            </w:r>
            <w:r>
              <w:rPr>
                <w:rStyle w:val="VerbatimChar"/>
              </w:rPr>
              <w:t xml:space="preserve">COMP-14</w:t>
            </w:r>
            <w:r>
              <w:t xml:space="preserve">)</w:t>
            </w:r>
          </w:p>
        </w:tc>
      </w:tr>
      <w:tr>
        <w:tc>
          <w:tcPr/>
          <w:p>
            <w:pPr>
              <w:pStyle w:val="Compact"/>
            </w:pPr>
            <w:r>
              <w:t xml:space="preserve">Req 12.5.2</w:t>
            </w:r>
          </w:p>
        </w:tc>
        <w:tc>
          <w:tcPr/>
          <w:p>
            <w:pPr>
              <w:pStyle w:val="Compact"/>
            </w:pPr>
            <w:r>
              <w:t xml:space="preserve">annual scope validation (this document + QSA)</w:t>
            </w:r>
          </w:p>
        </w:tc>
      </w:tr>
    </w:tbl>
    <w:p>
      <w:r>
        <w:pict>
          <v:rect style="width:0;height:1.5pt" o:hralign="center" o:hrstd="t" o:hr="t"/>
        </w:pict>
      </w:r>
    </w:p>
    <w:p>
      <w:pPr>
        <w:pStyle w:val="FirstParagraph"/>
      </w:pPr>
      <w:r>
        <w:rPr>
          <w:b/>
          <w:bCs/>
        </w:rPr>
        <w:t xml:space="preserve">Document control:</w:t>
      </w:r>
      <w:r>
        <w:t xml:space="preserve"> </w:t>
      </w:r>
      <w:r>
        <w:t xml:space="preserve">COMP-34 · v1.0 · Prepared 2026-07-22 · Owner: CTO/CISO · Review cycle: annual or upon material architecture change (PCI Req 12.5.2) · Approver:</w:t>
      </w:r>
      <w:r>
        <w:t xml:space="preserve"> </w:t>
      </w:r>
      <w:r>
        <w:rPr>
          <w:rStyle w:val="VerbatimChar"/>
        </w:rPr>
        <w:t xml:space="preserve">[บริษัท / Company]</w:t>
      </w:r>
      <w:r>
        <w:t xml:space="preserve"> </w:t>
      </w:r>
      <w:r>
        <w:t xml:space="preserve">Board / Risk Committee</w:t>
      </w:r>
      <w:r>
        <w:t xml:space="preserve"> </w:t>
      </w:r>
      <w:r>
        <w:rPr>
          <w:b/>
          <w:bCs/>
        </w:rPr>
        <w:t xml:space="preserve">[TODO — sign-off]</w:t>
      </w:r>
    </w:p>
    <w:p>
      <w:r>
        <w:br w:type="page"/>
      </w:r>
    </w:p>
    <w:bookmarkEnd w:id="1233"/>
    <w:bookmarkEnd w:id="1234"/>
    <w:bookmarkStart w:id="1258" w:name="แมแบบรายงานตอ-ธปท.-เปนงวด-ไทย"/>
    <w:p>
      <w:pPr>
        <w:pStyle w:val="Heading1"/>
      </w:pPr>
      <w:r>
        <w:t xml:space="preserve">แม่แบบรายงานต่อ ธปท. เป็นงวด (ไทย)</w:t>
      </w:r>
    </w:p>
    <w:p>
      <w:pPr>
        <w:pStyle w:val="BlockText"/>
      </w:pPr>
      <w:r>
        <w:t xml:space="preserve">เอกสารเลขที่</w:t>
      </w:r>
      <w:r>
        <w:t xml:space="preserve"> </w:t>
      </w:r>
      <w:r>
        <w:rPr>
          <w:b/>
          <w:bCs/>
        </w:rPr>
        <w:t xml:space="preserve">35</w:t>
      </w:r>
      <w:r>
        <w:t xml:space="preserve"> </w:t>
      </w:r>
      <w:r>
        <w:t xml:space="preserve">ในชุดเอกสาร Compliance ของ</w:t>
      </w:r>
      <w:r>
        <w:t xml:space="preserve"> </w:t>
      </w:r>
      <w:r>
        <w:rPr>
          <w:b/>
          <w:bCs/>
        </w:rPr>
        <w:t xml:space="preserve">[บริษัท / Company]</w:t>
      </w:r>
      <w:r>
        <w:t xml:space="preserve"> </w:t>
      </w:r>
      <w:r>
        <w:t xml:space="preserve">หัวข้อ:</w:t>
      </w:r>
      <w:r>
        <w:t xml:space="preserve"> </w:t>
      </w:r>
      <w:r>
        <w:rPr>
          <w:b/>
          <w:bCs/>
        </w:rPr>
        <w:t xml:space="preserve">แม่แบบรายงานต่อธนาคารแห่งประเทศไทย (ธปท.) เป็นงวด</w:t>
      </w:r>
      <w:r>
        <w:t xml:space="preserve"> </w:t>
      </w:r>
      <w:r>
        <w:t xml:space="preserve">— ปริมาณธุรกรรม, ตัวชี้วัดการทุจริต (fraud), เคส AML, เหตุการณ์ผิดปกติ (incidents) และสถานะ RoC (PCI-DSS)</w:t>
      </w:r>
      <w:r>
        <w:t xml:space="preserve"> </w:t>
      </w:r>
      <w:r>
        <w:t xml:space="preserve">บริบท: ผู้ให้บริการ</w:t>
      </w:r>
      <w:r>
        <w:t xml:space="preserve"> </w:t>
      </w:r>
      <w:r>
        <w:rPr>
          <w:b/>
          <w:bCs/>
        </w:rPr>
        <w:t xml:space="preserve">รับชำระเงินด้วยวิธีการทางอิเล็กทรอนิกส์ (Full Acquiring)</w:t>
      </w:r>
      <w:r>
        <w:t xml:space="preserve"> </w:t>
      </w:r>
      <w:r>
        <w:t xml:space="preserve">ภายใต้</w:t>
      </w:r>
      <w:r>
        <w:t xml:space="preserve"> </w:t>
      </w:r>
      <w:r>
        <w:rPr>
          <w:b/>
          <w:bCs/>
        </w:rPr>
        <w:t xml:space="preserve">พ.ร.บ. ระบบการชำระเงิน พ.ศ. 2560</w:t>
      </w:r>
      <w:r>
        <w:t xml:space="preserve"> </w:t>
      </w:r>
      <w:r>
        <w:t xml:space="preserve">— ทุนจดทะเบียนชำระแล้ว</w:t>
      </w:r>
      <w:r>
        <w:t xml:space="preserve"> </w:t>
      </w:r>
      <w:r>
        <w:rPr>
          <w:b/>
          <w:bCs/>
        </w:rPr>
        <w:t xml:space="preserve">50 ล้านบาท</w:t>
      </w:r>
      <w:r>
        <w:t xml:space="preserve"> </w:t>
      </w:r>
      <w:r>
        <w:t xml:space="preserve">และมาตรฐาน</w:t>
      </w:r>
      <w:r>
        <w:t xml:space="preserve"> </w:t>
      </w:r>
      <w:r>
        <w:rPr>
          <w:b/>
          <w:bCs/>
        </w:rPr>
        <w:t xml:space="preserve">PCI-DSS v4.0 Level 1</w:t>
      </w:r>
    </w:p>
    <w:p>
      <w:pPr>
        <w:pStyle w:val="BlockText"/>
      </w:pPr>
      <w:r>
        <w:rPr>
          <w:b/>
          <w:bCs/>
        </w:rPr>
        <w:t xml:space="preserve">หมายเหตุ:</w:t>
      </w:r>
      <w:r>
        <w:t xml:space="preserve"> </w:t>
      </w:r>
      <w:r>
        <w:t xml:space="preserve">เอกสารนี้เป็นแม่แบบเชิงปฏิบัติการภายในเพื่อเตรียมความพร้อมยื่นรายงาน มิใช่คำแนะนำทางกฎหมาย รูปแบบ/ความถี่/ช่องทางที่แท้จริงต้องยึดตามประกาศและหนังสือเวียนล่าสุดของ ธปท. และเงื่อนไขแนบท้ายใบอนุญาต</w:t>
      </w:r>
    </w:p>
    <w:p>
      <w:r>
        <w:pict>
          <v:rect style="width:0;height:1.5pt" o:hralign="center" o:hrstd="t" o:hr="t"/>
        </w:pict>
      </w:r>
    </w:p>
    <w:bookmarkStart w:id="1235" w:name="ขอสมมตและสงทยงไมสรป-assumptions-todo"/>
    <w:p>
      <w:pPr>
        <w:pStyle w:val="Heading2"/>
      </w:pPr>
      <w:r>
        <w:t xml:space="preserve">0. ข้อสมมติและสิ่งที่ยังไม่สรุป (Assumptions / TODO)</w:t>
      </w:r>
    </w:p>
    <w:p>
      <w:pPr>
        <w:pStyle w:val="BlockText"/>
      </w:pPr>
      <w:r>
        <w:t xml:space="preserve">⚠️</w:t>
      </w:r>
      <w:r>
        <w:t xml:space="preserve"> </w:t>
      </w:r>
      <w:r>
        <w:rPr>
          <w:b/>
          <w:bCs/>
        </w:rPr>
        <w:t xml:space="preserve">CALLOUT — รายการที่ต้องยืนยันกับหน่วยงานภายนอกก่อนใช้จริง (ห้ามสมมติเอง)</w:t>
      </w:r>
    </w:p>
    <w:p>
      <w:pPr>
        <w:pStyle w:val="Compact"/>
        <w:numPr>
          <w:ilvl w:val="0"/>
          <w:numId w:val="1446"/>
        </w:numPr>
      </w:pPr>
      <w:r>
        <w:rPr>
          <w:b/>
          <w:bCs/>
        </w:rPr>
        <w:t xml:space="preserve">แม่แบบทางการของ ธปท.</w:t>
      </w:r>
      <w:r>
        <w:t xml:space="preserve"> </w:t>
      </w:r>
      <w:r>
        <w:t xml:space="preserve">— ธปท. อาจกำหนดแบบฟอร์ม/สคีมาไฟล์ (เช่น XML/Excel/DMS) และช่องทางส่งเฉพาะ (เช่น ระบบ DMS — Data Management System / e-Payment reporting portal) —</w:t>
      </w:r>
      <w:r>
        <w:t xml:space="preserve"> </w:t>
      </w:r>
      <w:r>
        <w:rPr>
          <w:b/>
          <w:bCs/>
        </w:rPr>
        <w:t xml:space="preserve">TODO:</w:t>
      </w:r>
      <w:r>
        <w:t xml:space="preserve"> </w:t>
      </w:r>
      <w:r>
        <w:t xml:space="preserve">ขอชุดแม่แบบและ data dictionary ทางการจากฝ่ายกำกับระบบการชำระเงิน ธปท. และแทนที่ตารางในเอกสารนี้ให้ตรงฟิลด์</w:t>
      </w:r>
    </w:p>
    <w:p>
      <w:pPr>
        <w:pStyle w:val="Compact"/>
        <w:numPr>
          <w:ilvl w:val="0"/>
          <w:numId w:val="1446"/>
        </w:numPr>
      </w:pPr>
      <w:r>
        <w:rPr>
          <w:b/>
          <w:bCs/>
        </w:rPr>
        <w:t xml:space="preserve">Sponsor bank / Acquiring partner</w:t>
      </w:r>
      <w:r>
        <w:t xml:space="preserve"> </w:t>
      </w:r>
      <w:r>
        <w:t xml:space="preserve">— ยังไม่ลงนามสัญญา (ดู ROADMAP เส้นทาง B) — ช่องรายงาน settlement/chargeback บางส่วนขึ้นกับ interface ของธนาคารผู้สนับสนุน —</w:t>
      </w:r>
      <w:r>
        <w:t xml:space="preserve"> </w:t>
      </w:r>
      <w:r>
        <w:rPr>
          <w:b/>
          <w:bCs/>
        </w:rPr>
        <w:t xml:space="preserve">TODO:</w:t>
      </w:r>
      <w:r>
        <w:t xml:space="preserve"> </w:t>
      </w:r>
      <w:r>
        <w:t xml:space="preserve">ยืนยันชื่อธนาคาร, cut-off time, รูปแบบไฟล์ recon</w:t>
      </w:r>
    </w:p>
    <w:p>
      <w:pPr>
        <w:pStyle w:val="Compact"/>
        <w:numPr>
          <w:ilvl w:val="0"/>
          <w:numId w:val="1446"/>
        </w:numPr>
      </w:pPr>
      <w:r>
        <w:rPr>
          <w:b/>
          <w:bCs/>
        </w:rPr>
        <w:t xml:space="preserve">QSA vendor (PCI-DSS)</w:t>
      </w:r>
      <w:r>
        <w:t xml:space="preserve"> </w:t>
      </w:r>
      <w:r>
        <w:t xml:space="preserve">— ยังไม่เลือกผู้ประเมิน (Qualified Security Assessor) — วันครบกำหนด RoC/AoC และรอบ ASV scan จริงขึ้นกับสัญญากับ QSA/ASV —</w:t>
      </w:r>
      <w:r>
        <w:t xml:space="preserve"> </w:t>
      </w:r>
      <w:r>
        <w:rPr>
          <w:b/>
          <w:bCs/>
        </w:rPr>
        <w:t xml:space="preserve">TODO:</w:t>
      </w:r>
      <w:r>
        <w:t xml:space="preserve"> </w:t>
      </w:r>
      <w:r>
        <w:t xml:space="preserve">ระบุชื่อ QSA, เลขที่ RoC, วันหมดอายุจริง</w:t>
      </w:r>
    </w:p>
    <w:p>
      <w:pPr>
        <w:pStyle w:val="Compact"/>
        <w:numPr>
          <w:ilvl w:val="0"/>
          <w:numId w:val="1446"/>
        </w:numPr>
      </w:pPr>
      <w:r>
        <w:rPr>
          <w:b/>
          <w:bCs/>
        </w:rPr>
        <w:t xml:space="preserve">ทุนจดทะเบียนชำระแล้ว</w:t>
      </w:r>
      <w:r>
        <w:t xml:space="preserve"> </w:t>
      </w:r>
      <w:r>
        <w:t xml:space="preserve">— ตั้งไว้ที่</w:t>
      </w:r>
      <w:r>
        <w:t xml:space="preserve"> </w:t>
      </w:r>
      <w:r>
        <w:rPr>
          <w:b/>
          <w:bCs/>
        </w:rPr>
        <w:t xml:space="preserve">50 ล้านบาท</w:t>
      </w:r>
      <w:r>
        <w:t xml:space="preserve"> </w:t>
      </w:r>
      <w:r>
        <w:t xml:space="preserve">ตามเกณฑ์ acquiring; ต้องคง</w:t>
      </w:r>
      <w:r>
        <w:t xml:space="preserve"> </w:t>
      </w:r>
      <w:r>
        <w:rPr>
          <w:b/>
          <w:bCs/>
        </w:rPr>
        <w:t xml:space="preserve">≥ 75% (37.5 ล้านบาท)</w:t>
      </w:r>
      <w:r>
        <w:t xml:space="preserve"> </w:t>
      </w:r>
      <w:r>
        <w:t xml:space="preserve">ตลอดเวลา —</w:t>
      </w:r>
      <w:r>
        <w:t xml:space="preserve"> </w:t>
      </w:r>
      <w:r>
        <w:rPr>
          <w:b/>
          <w:bCs/>
        </w:rPr>
        <w:t xml:space="preserve">TODO:</w:t>
      </w:r>
      <w:r>
        <w:t xml:space="preserve"> </w:t>
      </w:r>
      <w:r>
        <w:t xml:space="preserve">ยืนยันยอดชำระแล้วจริงจากหนังสือรับรอง/งบการเงินล่าสุด</w:t>
      </w:r>
    </w:p>
    <w:p>
      <w:pPr>
        <w:pStyle w:val="Compact"/>
        <w:numPr>
          <w:ilvl w:val="0"/>
          <w:numId w:val="1446"/>
        </w:numPr>
      </w:pPr>
      <w:r>
        <w:rPr>
          <w:b/>
          <w:bCs/>
        </w:rPr>
        <w:t xml:space="preserve">ความถี่/กำหนดส่งที่ระบุในเอกสารนี้</w:t>
      </w:r>
      <w:r>
        <w:t xml:space="preserve"> </w:t>
      </w:r>
      <w:r>
        <w:t xml:space="preserve">(รายเดือน/รายไตรมาส/รายปี/ทันที) เป็นค่าตั้งต้นตามแนวปฏิบัติทั่วไป —</w:t>
      </w:r>
      <w:r>
        <w:t xml:space="preserve"> </w:t>
      </w:r>
      <w:r>
        <w:rPr>
          <w:b/>
          <w:bCs/>
        </w:rPr>
        <w:t xml:space="preserve">TODO:</w:t>
      </w:r>
      <w:r>
        <w:t xml:space="preserve"> </w:t>
      </w:r>
      <w:r>
        <w:t xml:space="preserve">ล็อกกับหนังสือเงื่อนไขแนบท้ายใบอนุญาตฉบับจริง</w:t>
      </w:r>
    </w:p>
    <w:p>
      <w:pPr>
        <w:pStyle w:val="BlockText"/>
      </w:pPr>
      <w:r>
        <w:t xml:space="preserve">ทุกจุดที่มีเครื่องหมาย</w:t>
      </w:r>
      <w:r>
        <w:t xml:space="preserve"> </w:t>
      </w:r>
      <w:r>
        <w:rPr>
          <w:rStyle w:val="VerbatimChar"/>
        </w:rPr>
        <w:t xml:space="preserve">«…»</w:t>
      </w:r>
      <w:r>
        <w:t xml:space="preserve"> </w:t>
      </w:r>
      <w:r>
        <w:t xml:space="preserve">ในเอกสารคือค่าที่ต้องเติมจากข้อมูลจริง ณ เวลารายงาน</w:t>
      </w:r>
    </w:p>
    <w:p>
      <w:r>
        <w:pict>
          <v:rect style="width:0;height:1.5pt" o:hralign="center" o:hrstd="t" o:hr="t"/>
        </w:pict>
      </w:r>
    </w:p>
    <w:bookmarkEnd w:id="1235"/>
    <w:bookmarkStart w:id="1236" w:name="วตถประสงคและขอบเขต-14"/>
    <w:p>
      <w:pPr>
        <w:pStyle w:val="Heading2"/>
      </w:pPr>
      <w:r>
        <w:t xml:space="preserve">1. วัตถุประสงค์และขอบเขต</w:t>
      </w:r>
    </w:p>
    <w:p>
      <w:pPr>
        <w:pStyle w:val="FirstParagraph"/>
      </w:pPr>
      <w:r>
        <w:t xml:space="preserve">เอกสารนี้กำหนด</w:t>
      </w:r>
      <w:r>
        <w:t xml:space="preserve"> </w:t>
      </w:r>
      <w:r>
        <w:rPr>
          <w:b/>
          <w:bCs/>
        </w:rPr>
        <w:t xml:space="preserve">แม่แบบมาตรฐาน กระบวนการจัดทำ ผู้รับผิดชอบ และกำหนดเวลา</w:t>
      </w:r>
      <w:r>
        <w:t xml:space="preserve"> </w:t>
      </w:r>
      <w:r>
        <w:t xml:space="preserve">สำหรับรายงานเป็นงวดที่</w:t>
      </w:r>
      <w:r>
        <w:t xml:space="preserve"> </w:t>
      </w:r>
      <w:r>
        <w:rPr>
          <w:b/>
          <w:bCs/>
        </w:rPr>
        <w:t xml:space="preserve">[บริษัท / Company]</w:t>
      </w:r>
      <w:r>
        <w:t xml:space="preserve"> </w:t>
      </w:r>
      <w:r>
        <w:t xml:space="preserve">ต้องนำส่ง ธปท. หลังได้รับใบอนุญาต ครอบคลุม 5 กลุ่มรายงาน:</w:t>
      </w:r>
    </w:p>
    <w:tbl>
      <w:tblPr>
        <w:tblStyle w:val="Table"/>
        <w:tblW w:type="pct" w:w="5000"/>
        <w:tblLayout w:type="fixed"/>
        <w:tblLook w:firstRow="1" w:lastRow="0" w:firstColumn="0" w:lastColumn="0" w:noHBand="0" w:noVBand="0" w:val="0020"/>
      </w:tblPr>
      <w:tblGrid>
        <w:gridCol w:w="579"/>
        <w:gridCol w:w="2511"/>
        <w:gridCol w:w="1159"/>
        <w:gridCol w:w="3670"/>
      </w:tblGrid>
      <w:tr>
        <w:trPr>
          <w:tblHeader w:val="on"/>
        </w:trPr>
        <w:tc>
          <w:tcPr/>
          <w:p>
            <w:pPr>
              <w:pStyle w:val="Compact"/>
            </w:pPr>
            <w:r>
              <w:t xml:space="preserve">#</w:t>
            </w:r>
          </w:p>
        </w:tc>
        <w:tc>
          <w:tcPr/>
          <w:p>
            <w:pPr>
              <w:pStyle w:val="Compact"/>
            </w:pPr>
            <w:r>
              <w:t xml:space="preserve">กลุ่มรายงาน</w:t>
            </w:r>
          </w:p>
        </w:tc>
        <w:tc>
          <w:tcPr/>
          <w:p>
            <w:pPr>
              <w:pStyle w:val="Compact"/>
            </w:pPr>
            <w:r>
              <w:t xml:space="preserve">สาระ</w:t>
            </w:r>
          </w:p>
        </w:tc>
        <w:tc>
          <w:tcPr/>
          <w:p>
            <w:pPr>
              <w:pStyle w:val="Compact"/>
            </w:pPr>
            <w:r>
              <w:t xml:space="preserve">ความถี่ (ตั้งต้น)</w:t>
            </w:r>
          </w:p>
        </w:tc>
      </w:tr>
      <w:tr>
        <w:tc>
          <w:tcPr/>
          <w:p>
            <w:pPr>
              <w:pStyle w:val="Compact"/>
            </w:pPr>
            <w:r>
              <w:t xml:space="preserve">R1</w:t>
            </w:r>
          </w:p>
        </w:tc>
        <w:tc>
          <w:tcPr/>
          <w:p>
            <w:pPr>
              <w:pStyle w:val="Compact"/>
            </w:pPr>
            <w:r>
              <w:t xml:space="preserve">ปริมาณธุรกรรม (Transaction Volume)</w:t>
            </w:r>
          </w:p>
        </w:tc>
        <w:tc>
          <w:tcPr/>
          <w:p>
            <w:pPr>
              <w:pStyle w:val="Compact"/>
            </w:pPr>
            <w:r>
              <w:t xml:space="preserve">มูลค่า/จำนวนรายการ authorize, capture, refund, void, settlement</w:t>
            </w:r>
          </w:p>
        </w:tc>
        <w:tc>
          <w:tcPr/>
          <w:p>
            <w:pPr>
              <w:pStyle w:val="Compact"/>
            </w:pPr>
            <w:r>
              <w:rPr>
                <w:b/>
                <w:bCs/>
              </w:rPr>
              <w:t xml:space="preserve">รายเดือน</w:t>
            </w:r>
          </w:p>
        </w:tc>
      </w:tr>
      <w:tr>
        <w:tc>
          <w:tcPr/>
          <w:p>
            <w:pPr>
              <w:pStyle w:val="Compact"/>
            </w:pPr>
            <w:r>
              <w:t xml:space="preserve">R2</w:t>
            </w:r>
          </w:p>
        </w:tc>
        <w:tc>
          <w:tcPr/>
          <w:p>
            <w:pPr>
              <w:pStyle w:val="Compact"/>
            </w:pPr>
            <w:r>
              <w:t xml:space="preserve">ตัวชี้วัดการทุจริต (Fraud Metrics)</w:t>
            </w:r>
          </w:p>
        </w:tc>
        <w:tc>
          <w:tcPr/>
          <w:p>
            <w:pPr>
              <w:pStyle w:val="Compact"/>
            </w:pPr>
            <w:r>
              <w:t xml:space="preserve">fraud rate (bps), chargeback, 3DS, fraud ที่ป้องกันได้</w:t>
            </w:r>
          </w:p>
        </w:tc>
        <w:tc>
          <w:tcPr/>
          <w:p>
            <w:pPr>
              <w:pStyle w:val="Compact"/>
            </w:pPr>
            <w:r>
              <w:rPr>
                <w:b/>
                <w:bCs/>
              </w:rPr>
              <w:t xml:space="preserve">รายเดือน</w:t>
            </w:r>
            <w:r>
              <w:t xml:space="preserve"> </w:t>
            </w:r>
            <w:r>
              <w:t xml:space="preserve">+ สรุป</w:t>
            </w:r>
            <w:r>
              <w:t xml:space="preserve"> </w:t>
            </w:r>
            <w:r>
              <w:rPr>
                <w:b/>
                <w:bCs/>
              </w:rPr>
              <w:t xml:space="preserve">รายไตรมาส</w:t>
            </w:r>
          </w:p>
        </w:tc>
      </w:tr>
      <w:tr>
        <w:tc>
          <w:tcPr/>
          <w:p>
            <w:pPr>
              <w:pStyle w:val="Compact"/>
            </w:pPr>
            <w:r>
              <w:t xml:space="preserve">R3</w:t>
            </w:r>
          </w:p>
        </w:tc>
        <w:tc>
          <w:tcPr/>
          <w:p>
            <w:pPr>
              <w:pStyle w:val="Compact"/>
            </w:pPr>
            <w:r>
              <w:t xml:space="preserve">เคส AML/CFT</w:t>
            </w:r>
          </w:p>
        </w:tc>
        <w:tc>
          <w:tcPr/>
          <w:p>
            <w:pPr>
              <w:pStyle w:val="Compact"/>
            </w:pPr>
            <w:r>
              <w:t xml:space="preserve">STR/SAR, sanction hit, CDD/EDD, freeze</w:t>
            </w:r>
          </w:p>
        </w:tc>
        <w:tc>
          <w:tcPr/>
          <w:p>
            <w:pPr>
              <w:pStyle w:val="Compact"/>
            </w:pPr>
            <w:r>
              <w:rPr>
                <w:b/>
                <w:bCs/>
              </w:rPr>
              <w:t xml:space="preserve">รายเดือน</w:t>
            </w:r>
            <w:r>
              <w:t xml:space="preserve"> </w:t>
            </w:r>
            <w:r>
              <w:t xml:space="preserve">(เคสเร่งด่วนส่ง ปปง.</w:t>
            </w:r>
            <w:r>
              <w:t xml:space="preserve"> </w:t>
            </w:r>
            <w:r>
              <w:rPr>
                <w:b/>
                <w:bCs/>
              </w:rPr>
              <w:t xml:space="preserve">ทันที</w:t>
            </w:r>
            <w:r>
              <w:t xml:space="preserve">)</w:t>
            </w:r>
          </w:p>
        </w:tc>
      </w:tr>
      <w:tr>
        <w:tc>
          <w:tcPr/>
          <w:p>
            <w:pPr>
              <w:pStyle w:val="Compact"/>
            </w:pPr>
            <w:r>
              <w:t xml:space="preserve">R4</w:t>
            </w:r>
          </w:p>
        </w:tc>
        <w:tc>
          <w:tcPr/>
          <w:p>
            <w:pPr>
              <w:pStyle w:val="Compact"/>
            </w:pPr>
            <w:r>
              <w:t xml:space="preserve">เหตุการณ์ผิดปกติ (Incidents)</w:t>
            </w:r>
          </w:p>
        </w:tc>
        <w:tc>
          <w:tcPr/>
          <w:p>
            <w:pPr>
              <w:pStyle w:val="Compact"/>
            </w:pPr>
            <w:r>
              <w:t xml:space="preserve">เหตุ IT/ไซเบอร์/ระบบล่ม/ข้อมูลรั่ว</w:t>
            </w:r>
          </w:p>
        </w:tc>
        <w:tc>
          <w:tcPr/>
          <w:p>
            <w:pPr>
              <w:pStyle w:val="Compact"/>
            </w:pPr>
            <w:r>
              <w:rPr>
                <w:b/>
                <w:bCs/>
              </w:rPr>
              <w:t xml:space="preserve">ทันที (≤ เวลาที่กำหนด)</w:t>
            </w:r>
            <w:r>
              <w:t xml:space="preserve"> </w:t>
            </w:r>
            <w:r>
              <w:t xml:space="preserve">+ สรุป</w:t>
            </w:r>
            <w:r>
              <w:t xml:space="preserve"> </w:t>
            </w:r>
            <w:r>
              <w:rPr>
                <w:b/>
                <w:bCs/>
              </w:rPr>
              <w:t xml:space="preserve">รายไตรมาส</w:t>
            </w:r>
          </w:p>
        </w:tc>
      </w:tr>
      <w:tr>
        <w:tc>
          <w:tcPr/>
          <w:p>
            <w:pPr>
              <w:pStyle w:val="Compact"/>
            </w:pPr>
            <w:r>
              <w:t xml:space="preserve">R5</w:t>
            </w:r>
          </w:p>
        </w:tc>
        <w:tc>
          <w:tcPr/>
          <w:p>
            <w:pPr>
              <w:pStyle w:val="Compact"/>
            </w:pPr>
            <w:r>
              <w:t xml:space="preserve">สถานะ RoC / PCI-DSS</w:t>
            </w:r>
          </w:p>
        </w:tc>
        <w:tc>
          <w:tcPr/>
          <w:p>
            <w:pPr>
              <w:pStyle w:val="Compact"/>
            </w:pPr>
            <w:r>
              <w:t xml:space="preserve">RoC, AoC, ASV scan, pentest, ช่องว่าง</w:t>
            </w:r>
          </w:p>
        </w:tc>
        <w:tc>
          <w:tcPr/>
          <w:p>
            <w:pPr>
              <w:pStyle w:val="Compact"/>
            </w:pPr>
            <w:r>
              <w:rPr>
                <w:b/>
                <w:bCs/>
              </w:rPr>
              <w:t xml:space="preserve">รายไตรมาส</w:t>
            </w:r>
            <w:r>
              <w:t xml:space="preserve"> </w:t>
            </w:r>
            <w:r>
              <w:t xml:space="preserve">+</w:t>
            </w:r>
            <w:r>
              <w:t xml:space="preserve"> </w:t>
            </w:r>
            <w:r>
              <w:rPr>
                <w:b/>
                <w:bCs/>
              </w:rPr>
              <w:t xml:space="preserve">รายปี</w:t>
            </w:r>
          </w:p>
        </w:tc>
      </w:tr>
    </w:tbl>
    <w:p>
      <w:pPr>
        <w:pStyle w:val="BodyText"/>
      </w:pPr>
      <w:r>
        <w:rPr>
          <w:b/>
          <w:bCs/>
        </w:rPr>
        <w:t xml:space="preserve">หลักการควบคุมคุณภาพข้อมูล:</w:t>
      </w:r>
      <w:r>
        <w:t xml:space="preserve"> </w:t>
      </w:r>
      <w:r>
        <w:t xml:space="preserve">ทุกตัวเลขต้องกระทบยอด (reconcile) กับ</w:t>
      </w:r>
      <w:r>
        <w:t xml:space="preserve"> </w:t>
      </w:r>
      <w:r>
        <w:rPr>
          <w:b/>
          <w:bCs/>
        </w:rPr>
        <w:t xml:space="preserve">double-entry ledger</w:t>
      </w:r>
      <w:r>
        <w:t xml:space="preserve"> </w:t>
      </w:r>
      <w:r>
        <w:t xml:space="preserve">(</w:t>
      </w:r>
      <w:r>
        <w:rPr>
          <w:rStyle w:val="VerbatimChar"/>
        </w:rPr>
        <w:t xml:space="preserve">ledger_entries</w:t>
      </w:r>
      <w:r>
        <w:t xml:space="preserve">) และ</w:t>
      </w:r>
      <w:r>
        <w:t xml:space="preserve"> </w:t>
      </w:r>
      <w:r>
        <w:rPr>
          <w:b/>
          <w:bCs/>
        </w:rPr>
        <w:t xml:space="preserve">audit_log</w:t>
      </w:r>
      <w:r>
        <w:t xml:space="preserve"> </w:t>
      </w:r>
      <w:r>
        <w:t xml:space="preserve">ที่เป็น source of truth ตามสถาปัตยกรรมระบบ ก่อนนำส่ง</w:t>
      </w:r>
    </w:p>
    <w:p>
      <w:r>
        <w:pict>
          <v:rect style="width:0;height:1.5pt" o:hralign="center" o:hrstd="t" o:hr="t"/>
        </w:pict>
      </w:r>
    </w:p>
    <w:bookmarkEnd w:id="1236"/>
    <w:bookmarkStart w:id="1237" w:name="บทบาทและความรบผดชอบ-raci-1"/>
    <w:p>
      <w:pPr>
        <w:pStyle w:val="Heading2"/>
      </w:pPr>
      <w:r>
        <w:t xml:space="preserve">2. บทบาทและความรับผิดชอบ (RACI)</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บทบาท</w:t>
            </w:r>
          </w:p>
        </w:tc>
        <w:tc>
          <w:tcPr/>
          <w:p>
            <w:pPr>
              <w:pStyle w:val="Compact"/>
            </w:pPr>
            <w:r>
              <w:t xml:space="preserve">หน้าที่ในการรายงาน</w:t>
            </w:r>
          </w:p>
        </w:tc>
      </w:tr>
      <w:tr>
        <w:tc>
          <w:tcPr/>
          <w:p>
            <w:pPr>
              <w:pStyle w:val="Compact"/>
            </w:pPr>
            <w:r>
              <w:rPr>
                <w:b/>
                <w:bCs/>
              </w:rPr>
              <w:t xml:space="preserve">Compliance Officer (เจ้าหน้าที่กำกับ)</w:t>
            </w:r>
          </w:p>
        </w:tc>
        <w:tc>
          <w:tcPr/>
          <w:p>
            <w:pPr>
              <w:pStyle w:val="Compact"/>
            </w:pPr>
            <w:r>
              <w:t xml:space="preserve">เจ้าของรายงาน R3/R5, ผู้ลงนามรับรอง, ผู้ประสาน ธปท./ปปง./PDPC</w:t>
            </w:r>
          </w:p>
        </w:tc>
      </w:tr>
      <w:tr>
        <w:tc>
          <w:tcPr/>
          <w:p>
            <w:pPr>
              <w:pStyle w:val="Compact"/>
            </w:pPr>
            <w:r>
              <w:rPr>
                <w:b/>
                <w:bCs/>
              </w:rPr>
              <w:t xml:space="preserve">MLRO (Money Laundering Reporting Officer)</w:t>
            </w:r>
          </w:p>
        </w:tc>
        <w:tc>
          <w:tcPr/>
          <w:p>
            <w:pPr>
              <w:pStyle w:val="Compact"/>
            </w:pPr>
            <w:r>
              <w:t xml:space="preserve">เจ้าของรายงาน R3, ตัดสินใจส่ง STR ต่อ ปปง.</w:t>
            </w:r>
          </w:p>
        </w:tc>
      </w:tr>
      <w:tr>
        <w:tc>
          <w:tcPr/>
          <w:p>
            <w:pPr>
              <w:pStyle w:val="Compact"/>
            </w:pPr>
            <w:r>
              <w:rPr>
                <w:b/>
                <w:bCs/>
              </w:rPr>
              <w:t xml:space="preserve">Head of Risk &amp; Fraud</w:t>
            </w:r>
          </w:p>
        </w:tc>
        <w:tc>
          <w:tcPr/>
          <w:p>
            <w:pPr>
              <w:pStyle w:val="Compact"/>
            </w:pPr>
            <w:r>
              <w:t xml:space="preserve">เจ้าของรายงาน R2, กำหนด threshold, ทบทวน rule</w:t>
            </w:r>
          </w:p>
        </w:tc>
      </w:tr>
      <w:tr>
        <w:tc>
          <w:tcPr/>
          <w:p>
            <w:pPr>
              <w:pStyle w:val="Compact"/>
            </w:pPr>
            <w:r>
              <w:rPr>
                <w:b/>
                <w:bCs/>
              </w:rPr>
              <w:t xml:space="preserve">Head of Engineering / SRE</w:t>
            </w:r>
          </w:p>
        </w:tc>
        <w:tc>
          <w:tcPr/>
          <w:p>
            <w:pPr>
              <w:pStyle w:val="Compact"/>
            </w:pPr>
            <w:r>
              <w:t xml:space="preserve">เจ้าของข้อมูล R1/R4, สรุป incident timeline, RCA</w:t>
            </w:r>
          </w:p>
        </w:tc>
      </w:tr>
      <w:tr>
        <w:tc>
          <w:tcPr/>
          <w:p>
            <w:pPr>
              <w:pStyle w:val="Compact"/>
            </w:pPr>
            <w:r>
              <w:rPr>
                <w:b/>
                <w:bCs/>
              </w:rPr>
              <w:t xml:space="preserve">CISO / DPO</w:t>
            </w:r>
          </w:p>
        </w:tc>
        <w:tc>
          <w:tcPr/>
          <w:p>
            <w:pPr>
              <w:pStyle w:val="Compact"/>
            </w:pPr>
            <w:r>
              <w:t xml:space="preserve">R4 (ไซเบอร์/ข้อมูลรั่ว), ประสาน PDPC, เจ้าของ R5 ฝั่งเทคนิค</w:t>
            </w:r>
          </w:p>
        </w:tc>
      </w:tr>
      <w:tr>
        <w:tc>
          <w:tcPr/>
          <w:p>
            <w:pPr>
              <w:pStyle w:val="Compact"/>
            </w:pPr>
            <w:r>
              <w:rPr>
                <w:b/>
                <w:bCs/>
              </w:rPr>
              <w:t xml:space="preserve">Finance / Settlement</w:t>
            </w:r>
          </w:p>
        </w:tc>
        <w:tc>
          <w:tcPr/>
          <w:p>
            <w:pPr>
              <w:pStyle w:val="Compact"/>
            </w:pPr>
            <w:r>
              <w:t xml:space="preserve">กระทบยอด settlement/chargeback ใน R1/R2</w:t>
            </w:r>
          </w:p>
        </w:tc>
      </w:tr>
      <w:tr>
        <w:tc>
          <w:tcPr/>
          <w:p>
            <w:pPr>
              <w:pStyle w:val="Compact"/>
            </w:pPr>
            <w:r>
              <w:rPr>
                <w:b/>
                <w:bCs/>
              </w:rPr>
              <w:t xml:space="preserve">CEO / กรรมการผู้มีอำนาจ</w:t>
            </w:r>
          </w:p>
        </w:tc>
        <w:tc>
          <w:tcPr/>
          <w:p>
            <w:pPr>
              <w:pStyle w:val="Compact"/>
            </w:pPr>
            <w:r>
              <w:t xml:space="preserve">ผู้ลงนามอนุมัติขั้นสุดท้ายก่อนนำส่ง ธปท.</w:t>
            </w:r>
          </w:p>
        </w:tc>
      </w:tr>
    </w:tbl>
    <w:p>
      <w:pPr>
        <w:pStyle w:val="BodyText"/>
      </w:pPr>
      <w:r>
        <w:rPr>
          <w:b/>
          <w:bCs/>
        </w:rPr>
        <w:t xml:space="preserve">Maker-Checker:</w:t>
      </w:r>
      <w:r>
        <w:t xml:space="preserve"> </w:t>
      </w:r>
      <w:r>
        <w:t xml:space="preserve">ทุกรายงานต้องผ่าน 2 ชั้น (ผู้จัดทำ → ผู้ตรวจทาน) และบันทึกใน</w:t>
      </w:r>
      <w:r>
        <w:t xml:space="preserve"> </w:t>
      </w:r>
      <w:r>
        <w:rPr>
          <w:rStyle w:val="VerbatimChar"/>
        </w:rPr>
        <w:t xml:space="preserve">audit_log</w:t>
      </w:r>
      <w:r>
        <w:t xml:space="preserve"> </w:t>
      </w:r>
      <w:r>
        <w:t xml:space="preserve">(actor, timestamp, hash ของไฟล์ที่นำส่ง)</w:t>
      </w:r>
    </w:p>
    <w:p>
      <w:r>
        <w:pict>
          <v:rect style="width:0;height:1.5pt" o:hralign="center" o:hrstd="t" o:hr="t"/>
        </w:pict>
      </w:r>
    </w:p>
    <w:bookmarkEnd w:id="1237"/>
    <w:bookmarkStart w:id="1238" w:name="ปฏทนการนำสง-reporting-calendar"/>
    <w:p>
      <w:pPr>
        <w:pStyle w:val="Heading2"/>
      </w:pPr>
      <w:r>
        <w:t xml:space="preserve">3. ปฏิทินการนำส่ง (Reporting Calendar)</w:t>
      </w:r>
    </w:p>
    <w:tbl>
      <w:tblPr>
        <w:tblStyle w:val="Table"/>
        <w:tblW w:type="pct" w:w="5000"/>
        <w:tblLayout w:type="fixed"/>
        <w:tblLook w:firstRow="1" w:lastRow="0" w:firstColumn="0" w:lastColumn="0" w:noHBand="0" w:noVBand="0" w:val="0020"/>
      </w:tblPr>
      <w:tblGrid>
        <w:gridCol w:w="990"/>
        <w:gridCol w:w="1361"/>
        <w:gridCol w:w="2598"/>
        <w:gridCol w:w="2970"/>
      </w:tblGrid>
      <w:tr>
        <w:trPr>
          <w:tblHeader w:val="on"/>
        </w:trPr>
        <w:tc>
          <w:tcPr/>
          <w:p>
            <w:pPr>
              <w:pStyle w:val="Compact"/>
            </w:pPr>
            <w:r>
              <w:t xml:space="preserve">รายงาน</w:t>
            </w:r>
          </w:p>
        </w:tc>
        <w:tc>
          <w:tcPr/>
          <w:p>
            <w:pPr>
              <w:pStyle w:val="Compact"/>
            </w:pPr>
            <w:r>
              <w:t xml:space="preserve">รอบข้อมูล</w:t>
            </w:r>
          </w:p>
        </w:tc>
        <w:tc>
          <w:tcPr/>
          <w:p>
            <w:pPr>
              <w:pStyle w:val="Compact"/>
            </w:pPr>
            <w:r>
              <w:t xml:space="preserve">กำหนดส่ง (ตั้งต้น)</w:t>
            </w:r>
          </w:p>
        </w:tc>
        <w:tc>
          <w:tcPr/>
          <w:p>
            <w:pPr>
              <w:pStyle w:val="Compact"/>
            </w:pPr>
            <w:r>
              <w:t xml:space="preserve">ช่องทาง (TODO ยืนยัน)</w:t>
            </w:r>
          </w:p>
        </w:tc>
      </w:tr>
      <w:tr>
        <w:tc>
          <w:tcPr/>
          <w:p>
            <w:pPr>
              <w:pStyle w:val="Compact"/>
            </w:pPr>
            <w:r>
              <w:t xml:space="preserve">R1 Transaction Volume</w:t>
            </w:r>
          </w:p>
        </w:tc>
        <w:tc>
          <w:tcPr/>
          <w:p>
            <w:pPr>
              <w:pStyle w:val="Compact"/>
            </w:pPr>
            <w:r>
              <w:t xml:space="preserve">เดือนปฏิทิน</w:t>
            </w:r>
          </w:p>
        </w:tc>
        <w:tc>
          <w:tcPr/>
          <w:p>
            <w:pPr>
              <w:pStyle w:val="Compact"/>
            </w:pPr>
            <w:r>
              <w:t xml:space="preserve">ภายในวันทำการที่</w:t>
            </w:r>
            <w:r>
              <w:t xml:space="preserve"> </w:t>
            </w:r>
            <w:r>
              <w:rPr>
                <w:b/>
                <w:bCs/>
              </w:rPr>
              <w:t xml:space="preserve">15</w:t>
            </w:r>
            <w:r>
              <w:t xml:space="preserve"> </w:t>
            </w:r>
            <w:r>
              <w:t xml:space="preserve">ของเดือนถัดไป</w:t>
            </w:r>
          </w:p>
        </w:tc>
        <w:tc>
          <w:tcPr/>
          <w:p>
            <w:pPr>
              <w:pStyle w:val="Compact"/>
            </w:pPr>
            <w:r>
              <w:t xml:space="preserve">DMS / e-Payment portal ธปท.</w:t>
            </w:r>
          </w:p>
        </w:tc>
      </w:tr>
      <w:tr>
        <w:tc>
          <w:tcPr/>
          <w:p>
            <w:pPr>
              <w:pStyle w:val="Compact"/>
            </w:pPr>
            <w:r>
              <w:t xml:space="preserve">R2 Fraud (รายเดือน)</w:t>
            </w:r>
          </w:p>
        </w:tc>
        <w:tc>
          <w:tcPr/>
          <w:p>
            <w:pPr>
              <w:pStyle w:val="Compact"/>
            </w:pPr>
            <w:r>
              <w:t xml:space="preserve">เดือนปฏิทิน</w:t>
            </w:r>
          </w:p>
        </w:tc>
        <w:tc>
          <w:tcPr/>
          <w:p>
            <w:pPr>
              <w:pStyle w:val="Compact"/>
            </w:pPr>
            <w:r>
              <w:t xml:space="preserve">ภายในวันที่</w:t>
            </w:r>
            <w:r>
              <w:t xml:space="preserve"> </w:t>
            </w:r>
            <w:r>
              <w:rPr>
                <w:b/>
                <w:bCs/>
              </w:rPr>
              <w:t xml:space="preserve">15</w:t>
            </w:r>
            <w:r>
              <w:t xml:space="preserve"> </w:t>
            </w:r>
            <w:r>
              <w:t xml:space="preserve">ของเดือนถัดไป</w:t>
            </w:r>
          </w:p>
        </w:tc>
        <w:tc>
          <w:tcPr/>
          <w:p>
            <w:pPr>
              <w:pStyle w:val="Compact"/>
            </w:pPr>
            <w:r>
              <w:t xml:space="preserve">DMS ธปท.</w:t>
            </w:r>
          </w:p>
        </w:tc>
      </w:tr>
      <w:tr>
        <w:tc>
          <w:tcPr/>
          <w:p>
            <w:pPr>
              <w:pStyle w:val="Compact"/>
            </w:pPr>
            <w:r>
              <w:t xml:space="preserve">R2 Fraud (รายไตรมาส)</w:t>
            </w:r>
          </w:p>
        </w:tc>
        <w:tc>
          <w:tcPr/>
          <w:p>
            <w:pPr>
              <w:pStyle w:val="Compact"/>
            </w:pPr>
            <w:r>
              <w:t xml:space="preserve">ไตรมาส</w:t>
            </w:r>
          </w:p>
        </w:tc>
        <w:tc>
          <w:tcPr/>
          <w:p>
            <w:pPr>
              <w:pStyle w:val="Compact"/>
            </w:pPr>
            <w:r>
              <w:t xml:space="preserve">ภายใน</w:t>
            </w:r>
            <w:r>
              <w:t xml:space="preserve"> </w:t>
            </w:r>
            <w:r>
              <w:rPr>
                <w:b/>
                <w:bCs/>
              </w:rPr>
              <w:t xml:space="preserve">30 วัน</w:t>
            </w:r>
            <w:r>
              <w:t xml:space="preserve"> </w:t>
            </w:r>
            <w:r>
              <w:t xml:space="preserve">หลังสิ้นไตรมาส</w:t>
            </w:r>
          </w:p>
        </w:tc>
        <w:tc>
          <w:tcPr/>
          <w:p>
            <w:pPr>
              <w:pStyle w:val="Compact"/>
            </w:pPr>
            <w:r>
              <w:t xml:space="preserve">DMS ธปท.</w:t>
            </w:r>
          </w:p>
        </w:tc>
      </w:tr>
      <w:tr>
        <w:tc>
          <w:tcPr/>
          <w:p>
            <w:pPr>
              <w:pStyle w:val="Compact"/>
            </w:pPr>
            <w:r>
              <w:t xml:space="preserve">R3 AML (รายเดือน)</w:t>
            </w:r>
          </w:p>
        </w:tc>
        <w:tc>
          <w:tcPr/>
          <w:p>
            <w:pPr>
              <w:pStyle w:val="Compact"/>
            </w:pPr>
            <w:r>
              <w:t xml:space="preserve">เดือนปฏิทิน</w:t>
            </w:r>
          </w:p>
        </w:tc>
        <w:tc>
          <w:tcPr/>
          <w:p>
            <w:pPr>
              <w:pStyle w:val="Compact"/>
            </w:pPr>
            <w:r>
              <w:t xml:space="preserve">ภายในวันที่</w:t>
            </w:r>
            <w:r>
              <w:t xml:space="preserve"> </w:t>
            </w:r>
            <w:r>
              <w:rPr>
                <w:b/>
                <w:bCs/>
              </w:rPr>
              <w:t xml:space="preserve">15</w:t>
            </w:r>
            <w:r>
              <w:t xml:space="preserve"> </w:t>
            </w:r>
            <w:r>
              <w:t xml:space="preserve">ของเดือนถัดไป</w:t>
            </w:r>
          </w:p>
        </w:tc>
        <w:tc>
          <w:tcPr/>
          <w:p>
            <w:pPr>
              <w:pStyle w:val="Compact"/>
            </w:pPr>
            <w:r>
              <w:t xml:space="preserve">ธปท.</w:t>
            </w:r>
          </w:p>
        </w:tc>
      </w:tr>
      <w:tr>
        <w:tc>
          <w:tcPr/>
          <w:p>
            <w:pPr>
              <w:pStyle w:val="Compact"/>
            </w:pPr>
            <w:r>
              <w:t xml:space="preserve">R3 STR/เร่งด่วน</w:t>
            </w:r>
          </w:p>
        </w:tc>
        <w:tc>
          <w:tcPr/>
          <w:p>
            <w:pPr>
              <w:pStyle w:val="Compact"/>
            </w:pPr>
            <w:r>
              <w:t xml:space="preserve">ต่อเคส</w:t>
            </w:r>
          </w:p>
        </w:tc>
        <w:tc>
          <w:tcPr/>
          <w:p>
            <w:pPr>
              <w:pStyle w:val="Compact"/>
            </w:pPr>
            <w:r>
              <w:rPr>
                <w:b/>
                <w:bCs/>
              </w:rPr>
              <w:t xml:space="preserve">ทันทีที่พบ</w:t>
            </w:r>
            <w:r>
              <w:t xml:space="preserve"> </w:t>
            </w:r>
            <w:r>
              <w:t xml:space="preserve">ตามเกณฑ์ ปปง.</w:t>
            </w:r>
          </w:p>
        </w:tc>
        <w:tc>
          <w:tcPr/>
          <w:p>
            <w:pPr>
              <w:pStyle w:val="Compact"/>
            </w:pPr>
            <w:r>
              <w:t xml:space="preserve">ระบบ ปปง. (AMLO)</w:t>
            </w:r>
          </w:p>
        </w:tc>
      </w:tr>
      <w:tr>
        <w:tc>
          <w:tcPr/>
          <w:p>
            <w:pPr>
              <w:pStyle w:val="Compact"/>
            </w:pPr>
            <w:r>
              <w:t xml:space="preserve">R4 Incident (ทันที)</w:t>
            </w:r>
          </w:p>
        </w:tc>
        <w:tc>
          <w:tcPr/>
          <w:p>
            <w:pPr>
              <w:pStyle w:val="Compact"/>
            </w:pPr>
            <w:r>
              <w:t xml:space="preserve">ต่อเหตุการณ์</w:t>
            </w:r>
          </w:p>
        </w:tc>
        <w:tc>
          <w:tcPr/>
          <w:p>
            <w:pPr>
              <w:pStyle w:val="Compact"/>
            </w:pPr>
            <w:r>
              <w:rPr>
                <w:b/>
                <w:bCs/>
              </w:rPr>
              <w:t xml:space="preserve">แจ้งเบื้องต้น ≤ 24 ชม.</w:t>
            </w:r>
            <w:r>
              <w:t xml:space="preserve"> </w:t>
            </w:r>
            <w:r>
              <w:t xml:space="preserve">/ รายงานฉบับเต็ม ≤</w:t>
            </w:r>
            <w:r>
              <w:t xml:space="preserve"> </w:t>
            </w:r>
            <w:r>
              <w:rPr>
                <w:b/>
                <w:bCs/>
              </w:rPr>
              <w:t xml:space="preserve">72 ชม.</w:t>
            </w:r>
            <w:r>
              <w:t xml:space="preserve"> </w:t>
            </w:r>
            <w:r>
              <w:t xml:space="preserve">(ดูข้อ 7)</w:t>
            </w:r>
          </w:p>
        </w:tc>
        <w:tc>
          <w:tcPr/>
          <w:p>
            <w:pPr>
              <w:pStyle w:val="Compact"/>
            </w:pPr>
            <w:r>
              <w:t xml:space="preserve">ช่องทางแจ้งเหตุ ธปท./ThaiCERT</w:t>
            </w:r>
          </w:p>
        </w:tc>
      </w:tr>
      <w:tr>
        <w:tc>
          <w:tcPr/>
          <w:p>
            <w:pPr>
              <w:pStyle w:val="Compact"/>
            </w:pPr>
            <w:r>
              <w:t xml:space="preserve">R4 Incident (สรุป)</w:t>
            </w:r>
          </w:p>
        </w:tc>
        <w:tc>
          <w:tcPr/>
          <w:p>
            <w:pPr>
              <w:pStyle w:val="Compact"/>
            </w:pPr>
            <w:r>
              <w:t xml:space="preserve">ไตรมาส</w:t>
            </w:r>
          </w:p>
        </w:tc>
        <w:tc>
          <w:tcPr/>
          <w:p>
            <w:pPr>
              <w:pStyle w:val="Compact"/>
            </w:pPr>
            <w:r>
              <w:t xml:space="preserve">ภายใน</w:t>
            </w:r>
            <w:r>
              <w:t xml:space="preserve"> </w:t>
            </w:r>
            <w:r>
              <w:rPr>
                <w:b/>
                <w:bCs/>
              </w:rPr>
              <w:t xml:space="preserve">30 วัน</w:t>
            </w:r>
            <w:r>
              <w:t xml:space="preserve"> </w:t>
            </w:r>
            <w:r>
              <w:t xml:space="preserve">หลังสิ้นไตรมาส</w:t>
            </w:r>
          </w:p>
        </w:tc>
        <w:tc>
          <w:tcPr/>
          <w:p>
            <w:pPr>
              <w:pStyle w:val="Compact"/>
            </w:pPr>
            <w:r>
              <w:t xml:space="preserve">DMS ธปท.</w:t>
            </w:r>
          </w:p>
        </w:tc>
      </w:tr>
      <w:tr>
        <w:tc>
          <w:tcPr/>
          <w:p>
            <w:pPr>
              <w:pStyle w:val="Compact"/>
            </w:pPr>
            <w:r>
              <w:t xml:space="preserve">R5 RoC/PCI</w:t>
            </w:r>
          </w:p>
        </w:tc>
        <w:tc>
          <w:tcPr/>
          <w:p>
            <w:pPr>
              <w:pStyle w:val="Compact"/>
            </w:pPr>
            <w:r>
              <w:t xml:space="preserve">ไตรมาส/ปี</w:t>
            </w:r>
          </w:p>
        </w:tc>
        <w:tc>
          <w:tcPr/>
          <w:p>
            <w:pPr>
              <w:pStyle w:val="Compact"/>
            </w:pPr>
            <w:r>
              <w:t xml:space="preserve">ไตรมาส: ภายใน</w:t>
            </w:r>
            <w:r>
              <w:t xml:space="preserve"> </w:t>
            </w:r>
            <w:r>
              <w:rPr>
                <w:b/>
                <w:bCs/>
              </w:rPr>
              <w:t xml:space="preserve">30 วัน</w:t>
            </w:r>
            <w:r>
              <w:t xml:space="preserve">; ปี: ภายใน</w:t>
            </w:r>
            <w:r>
              <w:t xml:space="preserve"> </w:t>
            </w:r>
            <w:r>
              <w:rPr>
                <w:b/>
                <w:bCs/>
              </w:rPr>
              <w:t xml:space="preserve">60 วัน</w:t>
            </w:r>
            <w:r>
              <w:t xml:space="preserve"> </w:t>
            </w:r>
            <w:r>
              <w:t xml:space="preserve">หลังออก RoC</w:t>
            </w:r>
          </w:p>
        </w:tc>
        <w:tc>
          <w:tcPr/>
          <w:p>
            <w:pPr>
              <w:pStyle w:val="Compact"/>
            </w:pPr>
            <w:r>
              <w:t xml:space="preserve">ธปท.</w:t>
            </w:r>
          </w:p>
        </w:tc>
      </w:tr>
    </w:tbl>
    <w:p>
      <w:pPr>
        <w:pStyle w:val="BlockText"/>
      </w:pPr>
      <w:r>
        <w:t xml:space="preserve">ปิดงวดข้อมูลใช้เวลาไทย (Asia/Bangkok, UTC+7); ตัวเลขการเงินเป็นสกุล THB และหน่วย</w:t>
      </w:r>
      <w:r>
        <w:t xml:space="preserve"> </w:t>
      </w:r>
      <w:r>
        <w:rPr>
          <w:b/>
          <w:bCs/>
        </w:rPr>
        <w:t xml:space="preserve">สตางค์ (minor units, integer)</w:t>
      </w:r>
      <w:r>
        <w:t xml:space="preserve"> </w:t>
      </w:r>
      <w:r>
        <w:t xml:space="preserve">ภายในระบบ แสดงผลรายงานเป็นบาททศนิยม 2 ตำแหน่ง</w:t>
      </w:r>
    </w:p>
    <w:p>
      <w:r>
        <w:pict>
          <v:rect style="width:0;height:1.5pt" o:hralign="center" o:hrstd="t" o:hr="t"/>
        </w:pict>
      </w:r>
    </w:p>
    <w:bookmarkEnd w:id="1238"/>
    <w:bookmarkStart w:id="1242" w:name="X6caed36bdda5661c6f5a521e9dd52ff378a565a"/>
    <w:p>
      <w:pPr>
        <w:pStyle w:val="Heading2"/>
      </w:pPr>
      <w:r>
        <w:t xml:space="preserve">4. R1 — แม่แบบรายงานปริมาณธุรกรรม (Transaction Volume)</w:t>
      </w:r>
    </w:p>
    <w:p>
      <w:pPr>
        <w:pStyle w:val="FirstParagraph"/>
      </w:pPr>
      <w:r>
        <w:rPr>
          <w:b/>
          <w:bCs/>
        </w:rPr>
        <w:t xml:space="preserve">แหล่งข้อมูล:</w:t>
      </w:r>
      <w:r>
        <w:t xml:space="preserve"> </w:t>
      </w:r>
      <w:r>
        <w:rPr>
          <w:rStyle w:val="VerbatimChar"/>
        </w:rPr>
        <w:t xml:space="preserve">payments</w:t>
      </w:r>
      <w:r>
        <w:t xml:space="preserve">,</w:t>
      </w:r>
      <w:r>
        <w:t xml:space="preserve"> </w:t>
      </w:r>
      <w:r>
        <w:rPr>
          <w:rStyle w:val="VerbatimChar"/>
        </w:rPr>
        <w:t xml:space="preserve">ledger_entries</w:t>
      </w:r>
      <w:r>
        <w:t xml:space="preserve">,</w:t>
      </w:r>
      <w:r>
        <w:t xml:space="preserve"> </w:t>
      </w:r>
      <w:r>
        <w:rPr>
          <w:rStyle w:val="VerbatimChar"/>
        </w:rPr>
        <w:t xml:space="preserve">refunds</w:t>
      </w:r>
      <w:r>
        <w:t xml:space="preserve"> </w:t>
      </w:r>
      <w:r>
        <w:t xml:space="preserve">— กระทบยอดกับไฟล์ settlement จาก acquirer/sponsor bank</w:t>
      </w:r>
    </w:p>
    <w:bookmarkStart w:id="1239" w:name="สรประดบพอรต-รายเดอน"/>
    <w:p>
      <w:pPr>
        <w:pStyle w:val="Heading3"/>
      </w:pPr>
      <w:r>
        <w:t xml:space="preserve">4.1 สรุประดับพอร์ต (รายเดือน)</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p>
            <w:pPr>
              <w:pStyle w:val="Compact"/>
            </w:pPr>
            <w:r>
              <w:t xml:space="preserve">ฟิลด์</w:t>
            </w:r>
          </w:p>
        </w:tc>
        <w:tc>
          <w:tcPr/>
          <w:p>
            <w:pPr>
              <w:pStyle w:val="Compact"/>
            </w:pPr>
            <w:r>
              <w:t xml:space="preserve">คำอธิบาย</w:t>
            </w:r>
          </w:p>
        </w:tc>
        <w:tc>
          <w:tcPr/>
          <w:p>
            <w:pPr>
              <w:pStyle w:val="Compact"/>
            </w:pPr>
            <w:r>
              <w:t xml:space="preserve">ตัวอย่าง</w:t>
            </w:r>
          </w:p>
        </w:tc>
      </w:tr>
      <w:tr>
        <w:tc>
          <w:tcPr/>
          <w:p>
            <w:pPr>
              <w:pStyle w:val="Compact"/>
            </w:pPr>
            <w:r>
              <w:rPr>
                <w:rStyle w:val="VerbatimChar"/>
              </w:rPr>
              <w:t xml:space="preserve">report_period</w:t>
            </w:r>
          </w:p>
        </w:tc>
        <w:tc>
          <w:tcPr/>
          <w:p>
            <w:pPr>
              <w:pStyle w:val="Compact"/>
            </w:pPr>
            <w:r>
              <w:t xml:space="preserve">งวด (YYYY-MM)</w:t>
            </w:r>
          </w:p>
        </w:tc>
        <w:tc>
          <w:tcPr/>
          <w:p>
            <w:pPr>
              <w:pStyle w:val="Compact"/>
            </w:pPr>
            <w:r>
              <w:t xml:space="preserve">2026-06</w:t>
            </w:r>
          </w:p>
        </w:tc>
      </w:tr>
      <w:tr>
        <w:tc>
          <w:tcPr/>
          <w:p>
            <w:pPr>
              <w:pStyle w:val="Compact"/>
            </w:pPr>
            <w:r>
              <w:rPr>
                <w:rStyle w:val="VerbatimChar"/>
              </w:rPr>
              <w:t xml:space="preserve">txn_count_authorized</w:t>
            </w:r>
          </w:p>
        </w:tc>
        <w:tc>
          <w:tcPr/>
          <w:p>
            <w:pPr>
              <w:pStyle w:val="Compact"/>
            </w:pPr>
            <w:r>
              <w:t xml:space="preserve">จำนวนรายการอนุมัติสำเร็จ</w:t>
            </w:r>
          </w:p>
        </w:tc>
        <w:tc>
          <w:tcPr/>
          <w:p>
            <w:pPr>
              <w:pStyle w:val="Compact"/>
            </w:pPr>
            <w:r>
              <w:t xml:space="preserve">«12,345»</w:t>
            </w:r>
          </w:p>
        </w:tc>
      </w:tr>
      <w:tr>
        <w:tc>
          <w:tcPr/>
          <w:p>
            <w:pPr>
              <w:pStyle w:val="Compact"/>
            </w:pPr>
            <w:r>
              <w:rPr>
                <w:rStyle w:val="VerbatimChar"/>
              </w:rPr>
              <w:t xml:space="preserve">txn_count_captured</w:t>
            </w:r>
          </w:p>
        </w:tc>
        <w:tc>
          <w:tcPr/>
          <w:p>
            <w:pPr>
              <w:pStyle w:val="Compact"/>
            </w:pPr>
            <w:r>
              <w:t xml:space="preserve">จำนวนรายการ capture</w:t>
            </w:r>
          </w:p>
        </w:tc>
        <w:tc>
          <w:tcPr/>
          <w:p>
            <w:pPr>
              <w:pStyle w:val="Compact"/>
            </w:pPr>
            <w:r>
              <w:t xml:space="preserve">«11,980»</w:t>
            </w:r>
          </w:p>
        </w:tc>
      </w:tr>
      <w:tr>
        <w:tc>
          <w:tcPr/>
          <w:p>
            <w:pPr>
              <w:pStyle w:val="Compact"/>
            </w:pPr>
            <w:r>
              <w:rPr>
                <w:rStyle w:val="VerbatimChar"/>
              </w:rPr>
              <w:t xml:space="preserve">gross_amount_captured_thb</w:t>
            </w:r>
          </w:p>
        </w:tc>
        <w:tc>
          <w:tcPr/>
          <w:p>
            <w:pPr>
              <w:pStyle w:val="Compact"/>
            </w:pPr>
            <w:r>
              <w:t xml:space="preserve">มูลค่ารวม capture (บาท)</w:t>
            </w:r>
          </w:p>
        </w:tc>
        <w:tc>
          <w:tcPr/>
          <w:p>
            <w:pPr>
              <w:pStyle w:val="Compact"/>
            </w:pPr>
            <w:r>
              <w:t xml:space="preserve">«45,200,150.00»</w:t>
            </w:r>
          </w:p>
        </w:tc>
      </w:tr>
      <w:tr>
        <w:tc>
          <w:tcPr/>
          <w:p>
            <w:pPr>
              <w:pStyle w:val="Compact"/>
            </w:pPr>
            <w:r>
              <w:rPr>
                <w:rStyle w:val="VerbatimChar"/>
              </w:rPr>
              <w:t xml:space="preserve">refund_count</w:t>
            </w:r>
            <w:r>
              <w:t xml:space="preserve"> </w:t>
            </w:r>
            <w:r>
              <w:t xml:space="preserve">/</w:t>
            </w:r>
            <w:r>
              <w:t xml:space="preserve"> </w:t>
            </w:r>
            <w:r>
              <w:rPr>
                <w:rStyle w:val="VerbatimChar"/>
              </w:rPr>
              <w:t xml:space="preserve">refund_amount_thb</w:t>
            </w:r>
          </w:p>
        </w:tc>
        <w:tc>
          <w:tcPr/>
          <w:p>
            <w:pPr>
              <w:pStyle w:val="Compact"/>
            </w:pPr>
            <w:r>
              <w:t xml:space="preserve">จำนวน/มูลค่า refund</w:t>
            </w:r>
          </w:p>
        </w:tc>
        <w:tc>
          <w:tcPr/>
          <w:p>
            <w:pPr>
              <w:pStyle w:val="Compact"/>
            </w:pPr>
            <w:r>
              <w:t xml:space="preserve">«210 / 1,050,000.00»</w:t>
            </w:r>
          </w:p>
        </w:tc>
      </w:tr>
      <w:tr>
        <w:tc>
          <w:tcPr/>
          <w:p>
            <w:pPr>
              <w:pStyle w:val="Compact"/>
            </w:pPr>
            <w:r>
              <w:rPr>
                <w:rStyle w:val="VerbatimChar"/>
              </w:rPr>
              <w:t xml:space="preserve">void_count</w:t>
            </w:r>
          </w:p>
        </w:tc>
        <w:tc>
          <w:tcPr/>
          <w:p>
            <w:pPr>
              <w:pStyle w:val="Compact"/>
            </w:pPr>
            <w:r>
              <w:t xml:space="preserve">จำนวน void (ก่อน capture)</w:t>
            </w:r>
          </w:p>
        </w:tc>
        <w:tc>
          <w:tcPr/>
          <w:p>
            <w:pPr>
              <w:pStyle w:val="Compact"/>
            </w:pPr>
            <w:r>
              <w:t xml:space="preserve">«95»</w:t>
            </w:r>
          </w:p>
        </w:tc>
      </w:tr>
      <w:tr>
        <w:tc>
          <w:tcPr/>
          <w:p>
            <w:pPr>
              <w:pStyle w:val="Compact"/>
            </w:pPr>
            <w:r>
              <w:rPr>
                <w:rStyle w:val="VerbatimChar"/>
              </w:rPr>
              <w:t xml:space="preserve">net_settled_amount_thb</w:t>
            </w:r>
          </w:p>
        </w:tc>
        <w:tc>
          <w:tcPr/>
          <w:p>
            <w:pPr>
              <w:pStyle w:val="Compact"/>
            </w:pPr>
            <w:r>
              <w:t xml:space="preserve">ยอด settle สุทธิ (capture − refund − fee)</w:t>
            </w:r>
          </w:p>
        </w:tc>
        <w:tc>
          <w:tcPr/>
          <w:p>
            <w:pPr>
              <w:pStyle w:val="Compact"/>
            </w:pPr>
            <w:r>
              <w:t xml:space="preserve">«43,900,120.00»</w:t>
            </w:r>
          </w:p>
        </w:tc>
      </w:tr>
      <w:tr>
        <w:tc>
          <w:tcPr/>
          <w:p>
            <w:pPr>
              <w:pStyle w:val="Compact"/>
            </w:pPr>
            <w:r>
              <w:rPr>
                <w:rStyle w:val="VerbatimChar"/>
              </w:rPr>
              <w:t xml:space="preserve">avg_ticket_thb</w:t>
            </w:r>
          </w:p>
        </w:tc>
        <w:tc>
          <w:tcPr/>
          <w:p>
            <w:pPr>
              <w:pStyle w:val="Compact"/>
            </w:pPr>
            <w:r>
              <w:t xml:space="preserve">มูลค่าเฉลี่ยต่อรายการ</w:t>
            </w:r>
          </w:p>
        </w:tc>
        <w:tc>
          <w:tcPr/>
          <w:p>
            <w:pPr>
              <w:pStyle w:val="Compact"/>
            </w:pPr>
            <w:r>
              <w:t xml:space="preserve">«3,772.00»</w:t>
            </w:r>
          </w:p>
        </w:tc>
      </w:tr>
      <w:tr>
        <w:tc>
          <w:tcPr/>
          <w:p>
            <w:pPr>
              <w:pStyle w:val="Compact"/>
            </w:pPr>
            <w:r>
              <w:rPr>
                <w:rStyle w:val="VerbatimChar"/>
              </w:rPr>
              <w:t xml:space="preserve">decline_rate_pct</w:t>
            </w:r>
          </w:p>
        </w:tc>
        <w:tc>
          <w:tcPr/>
          <w:p>
            <w:pPr>
              <w:pStyle w:val="Compact"/>
            </w:pPr>
            <w:r>
              <w:t xml:space="preserve">อัตราปฏิเสธ (declined / attempted)</w:t>
            </w:r>
          </w:p>
        </w:tc>
        <w:tc>
          <w:tcPr/>
          <w:p>
            <w:pPr>
              <w:pStyle w:val="Compact"/>
            </w:pPr>
            <w:r>
              <w:t xml:space="preserve">«4.8%»</w:t>
            </w:r>
          </w:p>
        </w:tc>
      </w:tr>
      <w:tr>
        <w:tc>
          <w:tcPr/>
          <w:p>
            <w:pPr>
              <w:pStyle w:val="Compact"/>
            </w:pPr>
            <w:r>
              <w:rPr>
                <w:rStyle w:val="VerbatimChar"/>
              </w:rPr>
              <w:t xml:space="preserve">merchant_count_active</w:t>
            </w:r>
          </w:p>
        </w:tc>
        <w:tc>
          <w:tcPr/>
          <w:p>
            <w:pPr>
              <w:pStyle w:val="Compact"/>
            </w:pPr>
            <w:r>
              <w:t xml:space="preserve">จำนวนร้านค้าที่มีรายการ</w:t>
            </w:r>
          </w:p>
        </w:tc>
        <w:tc>
          <w:tcPr/>
          <w:p>
            <w:pPr>
              <w:pStyle w:val="Compact"/>
            </w:pPr>
            <w:r>
              <w:t xml:space="preserve">«318»</w:t>
            </w:r>
          </w:p>
        </w:tc>
      </w:tr>
    </w:tbl>
    <w:bookmarkEnd w:id="1239"/>
    <w:bookmarkStart w:id="1240" w:name="แยกตามมต-แนบเปนตารางยอย"/>
    <w:p>
      <w:pPr>
        <w:pStyle w:val="Heading3"/>
      </w:pPr>
      <w:r>
        <w:t xml:space="preserve">4.2 แยกตามมิติ (แนบเป็นตารางย่อย)</w:t>
      </w:r>
    </w:p>
    <w:p>
      <w:pPr>
        <w:pStyle w:val="Compact"/>
        <w:numPr>
          <w:ilvl w:val="0"/>
          <w:numId w:val="1447"/>
        </w:numPr>
      </w:pPr>
      <w:r>
        <w:rPr>
          <w:b/>
          <w:bCs/>
        </w:rPr>
        <w:t xml:space="preserve">ตามช่องทาง:</w:t>
      </w:r>
      <w:r>
        <w:t xml:space="preserve"> </w:t>
      </w:r>
      <w:r>
        <w:t xml:space="preserve">e-commerce (CNP) / POS (card-present) / QR / recurring</w:t>
      </w:r>
    </w:p>
    <w:p>
      <w:pPr>
        <w:pStyle w:val="Compact"/>
        <w:numPr>
          <w:ilvl w:val="0"/>
          <w:numId w:val="1447"/>
        </w:numPr>
      </w:pPr>
      <w:r>
        <w:rPr>
          <w:b/>
          <w:bCs/>
        </w:rPr>
        <w:t xml:space="preserve">ตามแบรนด์บัตร:</w:t>
      </w:r>
      <w:r>
        <w:t xml:space="preserve"> </w:t>
      </w:r>
      <w:r>
        <w:t xml:space="preserve">Visa / Mastercard / JCB / UnionPay / local scheme</w:t>
      </w:r>
    </w:p>
    <w:p>
      <w:pPr>
        <w:pStyle w:val="Compact"/>
        <w:numPr>
          <w:ilvl w:val="0"/>
          <w:numId w:val="1447"/>
        </w:numPr>
      </w:pPr>
      <w:r>
        <w:rPr>
          <w:b/>
          <w:bCs/>
        </w:rPr>
        <w:t xml:space="preserve">ตามสกุลเงิน:</w:t>
      </w:r>
      <w:r>
        <w:t xml:space="preserve"> </w:t>
      </w:r>
      <w:r>
        <w:t xml:space="preserve">THB / อื่น ๆ (ระบุ FX)</w:t>
      </w:r>
    </w:p>
    <w:p>
      <w:pPr>
        <w:pStyle w:val="Compact"/>
        <w:numPr>
          <w:ilvl w:val="0"/>
          <w:numId w:val="1447"/>
        </w:numPr>
      </w:pPr>
      <w:r>
        <w:rPr>
          <w:b/>
          <w:bCs/>
        </w:rPr>
        <w:t xml:space="preserve">ตาม MCC / กลุ่มธุรกิจร้านค้า</w:t>
      </w:r>
      <w:r>
        <w:t xml:space="preserve"> </w:t>
      </w:r>
      <w:r>
        <w:t xml:space="preserve">(ระบุ high-risk MCC แยก)</w:t>
      </w:r>
    </w:p>
    <w:p>
      <w:pPr>
        <w:pStyle w:val="Compact"/>
        <w:numPr>
          <w:ilvl w:val="0"/>
          <w:numId w:val="1447"/>
        </w:numPr>
      </w:pPr>
      <w:r>
        <w:rPr>
          <w:b/>
          <w:bCs/>
        </w:rPr>
        <w:t xml:space="preserve">Top 10 merchant</w:t>
      </w:r>
      <w:r>
        <w:t xml:space="preserve"> </w:t>
      </w:r>
      <w:r>
        <w:t xml:space="preserve">ตามมูลค่า (เพื่อดู concentration risk)</w:t>
      </w:r>
    </w:p>
    <w:bookmarkEnd w:id="1240"/>
    <w:bookmarkStart w:id="1241" w:name="การกระทบยอด"/>
    <w:p>
      <w:pPr>
        <w:pStyle w:val="Heading3"/>
      </w:pPr>
      <w:r>
        <w:t xml:space="preserve">4.3 การกระทบยอด</w:t>
      </w:r>
    </w:p>
    <w:p>
      <w:pPr>
        <w:pStyle w:val="FirstParagraph"/>
      </w:pPr>
      <w:r>
        <w:t xml:space="preserve">ต้องแนบ</w:t>
      </w:r>
      <w:r>
        <w:t xml:space="preserve"> </w:t>
      </w:r>
      <w:r>
        <w:rPr>
          <w:b/>
          <w:bCs/>
        </w:rPr>
        <w:t xml:space="preserve">reconciliation statement</w:t>
      </w:r>
      <w:r>
        <w:t xml:space="preserve">:</w:t>
      </w:r>
      <w:r>
        <w:t xml:space="preserve"> </w:t>
      </w:r>
      <w:r>
        <w:rPr>
          <w:rStyle w:val="VerbatimChar"/>
        </w:rPr>
        <w:t xml:space="preserve">ledger net</w:t>
      </w:r>
      <w:r>
        <w:t xml:space="preserve"> </w:t>
      </w:r>
      <w:r>
        <w:t xml:space="preserve">เทียบ</w:t>
      </w:r>
      <w:r>
        <w:t xml:space="preserve"> </w:t>
      </w:r>
      <w:r>
        <w:rPr>
          <w:rStyle w:val="VerbatimChar"/>
        </w:rPr>
        <w:t xml:space="preserve">acquirer settlement file</w:t>
      </w:r>
      <w:r>
        <w:t xml:space="preserve"> </w:t>
      </w:r>
      <w:r>
        <w:t xml:space="preserve">— ผลต่างต้อง</w:t>
      </w:r>
      <w:r>
        <w:t xml:space="preserve"> </w:t>
      </w:r>
      <w:r>
        <w:rPr>
          <w:b/>
          <w:bCs/>
        </w:rPr>
        <w:t xml:space="preserve">= 0</w:t>
      </w:r>
      <w:r>
        <w:t xml:space="preserve"> </w:t>
      </w:r>
      <w:r>
        <w:t xml:space="preserve">หรืออธิบายทุกบรรทัดที่ต่าง (unmatched &gt; «0.5%» ต้องมี remediation note)</w:t>
      </w:r>
    </w:p>
    <w:p>
      <w:r>
        <w:pict>
          <v:rect style="width:0;height:1.5pt" o:hralign="center" o:hrstd="t" o:hr="t"/>
        </w:pict>
      </w:r>
    </w:p>
    <w:bookmarkEnd w:id="1241"/>
    <w:bookmarkEnd w:id="1242"/>
    <w:bookmarkStart w:id="1246" w:name="r2-แมแบบตวชวดการทจรต-fraud-metrics"/>
    <w:p>
      <w:pPr>
        <w:pStyle w:val="Heading2"/>
      </w:pPr>
      <w:r>
        <w:t xml:space="preserve">5. R2 — แม่แบบตัวชี้วัดการทุจริต (Fraud Metrics)</w:t>
      </w:r>
    </w:p>
    <w:p>
      <w:pPr>
        <w:pStyle w:val="FirstParagraph"/>
      </w:pPr>
      <w:r>
        <w:rPr>
          <w:b/>
          <w:bCs/>
        </w:rPr>
        <w:t xml:space="preserve">แหล่งข้อมูล:</w:t>
      </w:r>
      <w:r>
        <w:t xml:space="preserve"> </w:t>
      </w:r>
      <w:r>
        <w:t xml:space="preserve">Risk/Fraud Engine,</w:t>
      </w:r>
      <w:r>
        <w:t xml:space="preserve"> </w:t>
      </w:r>
      <w:r>
        <w:rPr>
          <w:rStyle w:val="VerbatimChar"/>
        </w:rPr>
        <w:t xml:space="preserve">payments</w:t>
      </w:r>
      <w:r>
        <w:t xml:space="preserve">, ข้อมูล chargeback จาก acquirer, ผล 3DS (EMV 3DS / 3-D Secure 2.x)</w:t>
      </w:r>
    </w:p>
    <w:bookmarkStart w:id="1243" w:name="ตวชวดหลก-รายเดอน"/>
    <w:p>
      <w:pPr>
        <w:pStyle w:val="Heading3"/>
      </w:pPr>
      <w:r>
        <w:t xml:space="preserve">5.1 ตัวชี้วัดหลัก (รายเดือน)</w:t>
      </w:r>
    </w:p>
    <w:tbl>
      <w:tblPr>
        <w:tblStyle w:val="Table"/>
        <w:tblW w:type="pct" w:w="5000"/>
        <w:tblLayout w:type="fixed"/>
        <w:tblLook w:firstRow="1" w:lastRow="0" w:firstColumn="0" w:lastColumn="0" w:noHBand="0" w:noVBand="0" w:val="0020"/>
      </w:tblPr>
      <w:tblGrid>
        <w:gridCol w:w="1289"/>
        <w:gridCol w:w="1841"/>
        <w:gridCol w:w="4788"/>
      </w:tblGrid>
      <w:tr>
        <w:trPr>
          <w:tblHeader w:val="on"/>
        </w:trPr>
        <w:tc>
          <w:tcPr/>
          <w:p>
            <w:pPr>
              <w:pStyle w:val="Compact"/>
            </w:pPr>
            <w:r>
              <w:t xml:space="preserve">ฟิลด์</w:t>
            </w:r>
          </w:p>
        </w:tc>
        <w:tc>
          <w:tcPr/>
          <w:p>
            <w:pPr>
              <w:pStyle w:val="Compact"/>
            </w:pPr>
            <w:r>
              <w:t xml:space="preserve">คำอธิบาย</w:t>
            </w:r>
          </w:p>
        </w:tc>
        <w:tc>
          <w:tcPr/>
          <w:p>
            <w:pPr>
              <w:pStyle w:val="Compact"/>
            </w:pPr>
            <w:r>
              <w:t xml:space="preserve">เกณฑ์เฝ้าระวัง (ตั้งต้น)</w:t>
            </w:r>
          </w:p>
        </w:tc>
      </w:tr>
      <w:tr>
        <w:tc>
          <w:tcPr/>
          <w:p>
            <w:pPr>
              <w:pStyle w:val="Compact"/>
            </w:pPr>
            <w:r>
              <w:rPr>
                <w:rStyle w:val="VerbatimChar"/>
              </w:rPr>
              <w:t xml:space="preserve">fraud_txn_count</w:t>
            </w:r>
            <w:r>
              <w:t xml:space="preserve"> </w:t>
            </w:r>
            <w:r>
              <w:t xml:space="preserve">/</w:t>
            </w:r>
            <w:r>
              <w:t xml:space="preserve"> </w:t>
            </w:r>
            <w:r>
              <w:rPr>
                <w:rStyle w:val="VerbatimChar"/>
              </w:rPr>
              <w:t xml:space="preserve">fraud_amount_thb</w:t>
            </w:r>
          </w:p>
        </w:tc>
        <w:tc>
          <w:tcPr/>
          <w:p>
            <w:pPr>
              <w:pStyle w:val="Compact"/>
            </w:pPr>
            <w:r>
              <w:t xml:space="preserve">จำนวน/มูลค่ารายการทุจริตที่ยืนยัน</w:t>
            </w:r>
          </w:p>
        </w:tc>
        <w:tc>
          <w:tcPr/>
          <w:p>
            <w:pPr>
              <w:pStyle w:val="Compact"/>
            </w:pPr>
            <w:r>
              <w:t xml:space="preserve">—</w:t>
            </w:r>
          </w:p>
        </w:tc>
      </w:tr>
      <w:tr>
        <w:tc>
          <w:tcPr/>
          <w:p>
            <w:pPr>
              <w:pStyle w:val="Compact"/>
            </w:pPr>
            <w:r>
              <w:rPr>
                <w:rStyle w:val="VerbatimChar"/>
              </w:rPr>
              <w:t xml:space="preserve">fraud_rate_bps</w:t>
            </w:r>
          </w:p>
        </w:tc>
        <w:tc>
          <w:tcPr/>
          <w:p>
            <w:pPr>
              <w:pStyle w:val="Compact"/>
            </w:pPr>
            <w:r>
              <w:t xml:space="preserve">มูลค่า fraud ÷ มูลค่า capture (basis points)</w:t>
            </w:r>
          </w:p>
        </w:tc>
        <w:tc>
          <w:tcPr/>
          <w:p>
            <w:pPr>
              <w:pStyle w:val="Compact"/>
            </w:pPr>
            <w:r>
              <w:rPr>
                <w:b/>
                <w:bCs/>
              </w:rPr>
              <w:t xml:space="preserve">แจ้งเตือนภายในเมื่อ &gt; 15 bps; วิกฤตเมื่อ &gt; 40 bps</w:t>
            </w:r>
            <w:r>
              <w:t xml:space="preserve"> </w:t>
            </w:r>
            <w:r>
              <w:t xml:space="preserve">(สอดคล้องเกณฑ์ scheme fraud monitoring)</w:t>
            </w:r>
          </w:p>
        </w:tc>
      </w:tr>
      <w:tr>
        <w:tc>
          <w:tcPr/>
          <w:p>
            <w:pPr>
              <w:pStyle w:val="Compact"/>
            </w:pPr>
            <w:r>
              <w:rPr>
                <w:rStyle w:val="VerbatimChar"/>
              </w:rPr>
              <w:t xml:space="preserve">chargeback_count</w:t>
            </w:r>
            <w:r>
              <w:t xml:space="preserve"> </w:t>
            </w:r>
            <w:r>
              <w:t xml:space="preserve">/</w:t>
            </w:r>
            <w:r>
              <w:t xml:space="preserve"> </w:t>
            </w:r>
            <w:r>
              <w:rPr>
                <w:rStyle w:val="VerbatimChar"/>
              </w:rPr>
              <w:t xml:space="preserve">chargeback_amount_thb</w:t>
            </w:r>
          </w:p>
        </w:tc>
        <w:tc>
          <w:tcPr/>
          <w:p>
            <w:pPr>
              <w:pStyle w:val="Compact"/>
            </w:pPr>
            <w:r>
              <w:t xml:space="preserve">ปริมาณ chargeback</w:t>
            </w:r>
          </w:p>
        </w:tc>
        <w:tc>
          <w:tcPr/>
          <w:p>
            <w:pPr>
              <w:pStyle w:val="Compact"/>
            </w:pPr>
            <w:r>
              <w:t xml:space="preserve">—</w:t>
            </w:r>
          </w:p>
        </w:tc>
      </w:tr>
      <w:tr>
        <w:tc>
          <w:tcPr/>
          <w:p>
            <w:pPr>
              <w:pStyle w:val="Compact"/>
            </w:pPr>
            <w:r>
              <w:rPr>
                <w:rStyle w:val="VerbatimChar"/>
              </w:rPr>
              <w:t xml:space="preserve">chargeback_ratio_pct</w:t>
            </w:r>
          </w:p>
        </w:tc>
        <w:tc>
          <w:tcPr/>
          <w:p>
            <w:pPr>
              <w:pStyle w:val="Compact"/>
            </w:pPr>
            <w:r>
              <w:t xml:space="preserve">chargeback ÷ รายการ capture</w:t>
            </w:r>
          </w:p>
        </w:tc>
        <w:tc>
          <w:tcPr/>
          <w:p>
            <w:pPr>
              <w:pStyle w:val="Compact"/>
            </w:pPr>
            <w:r>
              <w:rPr>
                <w:b/>
                <w:bCs/>
              </w:rPr>
              <w:t xml:space="preserve">เฝ้าระวัง &gt; 0.65%; วิกฤต &gt; 0.9%</w:t>
            </w:r>
            <w:r>
              <w:t xml:space="preserve"> </w:t>
            </w:r>
            <w:r>
              <w:t xml:space="preserve">(แนว Visa VDMP/Mastercard ECM)</w:t>
            </w:r>
          </w:p>
        </w:tc>
      </w:tr>
      <w:tr>
        <w:tc>
          <w:tcPr/>
          <w:p>
            <w:pPr>
              <w:pStyle w:val="Compact"/>
            </w:pPr>
            <w:r>
              <w:rPr>
                <w:rStyle w:val="VerbatimChar"/>
              </w:rPr>
              <w:t xml:space="preserve">3ds_attempt_rate_pct</w:t>
            </w:r>
          </w:p>
        </w:tc>
        <w:tc>
          <w:tcPr/>
          <w:p>
            <w:pPr>
              <w:pStyle w:val="Compact"/>
            </w:pPr>
            <w:r>
              <w:t xml:space="preserve">สัดส่วนรายการที่ผ่าน 3DS</w:t>
            </w:r>
          </w:p>
        </w:tc>
        <w:tc>
          <w:tcPr/>
          <w:p>
            <w:pPr>
              <w:pStyle w:val="Compact"/>
            </w:pPr>
            <w:r>
              <w:t xml:space="preserve">«96.5%»</w:t>
            </w:r>
          </w:p>
        </w:tc>
      </w:tr>
      <w:tr>
        <w:tc>
          <w:tcPr/>
          <w:p>
            <w:pPr>
              <w:pStyle w:val="Compact"/>
            </w:pPr>
            <w:r>
              <w:rPr>
                <w:rStyle w:val="VerbatimChar"/>
              </w:rPr>
              <w:t xml:space="preserve">3ds_challenge_rate_pct</w:t>
            </w:r>
          </w:p>
        </w:tc>
        <w:tc>
          <w:tcPr/>
          <w:p>
            <w:pPr>
              <w:pStyle w:val="Compact"/>
            </w:pPr>
            <w:r>
              <w:t xml:space="preserve">สัดส่วนที่ถูก challenge</w:t>
            </w:r>
          </w:p>
        </w:tc>
        <w:tc>
          <w:tcPr/>
          <w:p>
            <w:pPr>
              <w:pStyle w:val="Compact"/>
            </w:pPr>
            <w:r>
              <w:t xml:space="preserve">«12.0%»</w:t>
            </w:r>
          </w:p>
        </w:tc>
      </w:tr>
      <w:tr>
        <w:tc>
          <w:tcPr/>
          <w:p>
            <w:pPr>
              <w:pStyle w:val="Compact"/>
            </w:pPr>
            <w:r>
              <w:rPr>
                <w:rStyle w:val="VerbatimChar"/>
              </w:rPr>
              <w:t xml:space="preserve">fraud_prevented_count</w:t>
            </w:r>
          </w:p>
        </w:tc>
        <w:tc>
          <w:tcPr/>
          <w:p>
            <w:pPr>
              <w:pStyle w:val="Compact"/>
            </w:pPr>
            <w:r>
              <w:t xml:space="preserve">รายการที่ถูก rule/model บล็อก</w:t>
            </w:r>
          </w:p>
        </w:tc>
        <w:tc>
          <w:tcPr/>
          <w:p>
            <w:pPr>
              <w:pStyle w:val="Compact"/>
            </w:pPr>
            <w:r>
              <w:t xml:space="preserve">—</w:t>
            </w:r>
          </w:p>
        </w:tc>
      </w:tr>
      <w:tr>
        <w:tc>
          <w:tcPr/>
          <w:p>
            <w:pPr>
              <w:pStyle w:val="Compact"/>
            </w:pPr>
            <w:r>
              <w:rPr>
                <w:rStyle w:val="VerbatimChar"/>
              </w:rPr>
              <w:t xml:space="preserve">false_positive_rate_pct</w:t>
            </w:r>
          </w:p>
        </w:tc>
        <w:tc>
          <w:tcPr/>
          <w:p>
            <w:pPr>
              <w:pStyle w:val="Compact"/>
            </w:pPr>
            <w:r>
              <w:t xml:space="preserve">อัตราบล็อกผิดพลาด</w:t>
            </w:r>
          </w:p>
        </w:tc>
        <w:tc>
          <w:tcPr/>
          <w:p>
            <w:pPr>
              <w:pStyle w:val="Compact"/>
            </w:pPr>
            <w:r>
              <w:t xml:space="preserve">«&lt; 2%»</w:t>
            </w:r>
          </w:p>
        </w:tc>
      </w:tr>
      <w:tr>
        <w:tc>
          <w:tcPr/>
          <w:p>
            <w:pPr>
              <w:pStyle w:val="Compact"/>
            </w:pPr>
            <w:r>
              <w:rPr>
                <w:rStyle w:val="VerbatimChar"/>
              </w:rPr>
              <w:t xml:space="preserve">velocity_block_count</w:t>
            </w:r>
          </w:p>
        </w:tc>
        <w:tc>
          <w:tcPr/>
          <w:p>
            <w:pPr>
              <w:pStyle w:val="Compact"/>
            </w:pPr>
            <w:r>
              <w:t xml:space="preserve">บล็อกจาก velocity rule</w:t>
            </w:r>
          </w:p>
        </w:tc>
        <w:tc>
          <w:tcPr/>
          <w:p>
            <w:pPr>
              <w:pStyle w:val="Compact"/>
            </w:pPr>
            <w:r>
              <w:t xml:space="preserve">—</w:t>
            </w:r>
          </w:p>
        </w:tc>
      </w:tr>
      <w:tr>
        <w:tc>
          <w:tcPr/>
          <w:p>
            <w:pPr>
              <w:pStyle w:val="Compact"/>
            </w:pPr>
            <w:r>
              <w:rPr>
                <w:rStyle w:val="VerbatimChar"/>
              </w:rPr>
              <w:t xml:space="preserve">blacklist_hit_count</w:t>
            </w:r>
          </w:p>
        </w:tc>
        <w:tc>
          <w:tcPr/>
          <w:p>
            <w:pPr>
              <w:pStyle w:val="Compact"/>
            </w:pPr>
            <w:r>
              <w:t xml:space="preserve">ตรงบัญชีดำ (BIN/card/device)</w:t>
            </w:r>
          </w:p>
        </w:tc>
        <w:tc>
          <w:tcPr/>
          <w:p>
            <w:pPr>
              <w:pStyle w:val="Compact"/>
            </w:pPr>
            <w:r>
              <w:t xml:space="preserve">—</w:t>
            </w:r>
          </w:p>
        </w:tc>
      </w:tr>
    </w:tbl>
    <w:bookmarkEnd w:id="1243"/>
    <w:bookmarkStart w:id="1244" w:name="การจำแนกประเภททจรต"/>
    <w:p>
      <w:pPr>
        <w:pStyle w:val="Heading3"/>
      </w:pPr>
      <w:r>
        <w:t xml:space="preserve">5.2 การจำแนกประเภททุจริต</w:t>
      </w:r>
    </w:p>
    <w:p>
      <w:pPr>
        <w:pStyle w:val="FirstParagraph"/>
      </w:pPr>
      <w:r>
        <w:t xml:space="preserve">CNP fraud / lost-stolen / counterfeit / account takeover / friendly fraud / merchant collusion — พร้อม</w:t>
      </w:r>
      <w:r>
        <w:t xml:space="preserve"> </w:t>
      </w:r>
      <w:r>
        <w:rPr>
          <w:b/>
          <w:bCs/>
        </w:rPr>
        <w:t xml:space="preserve">แนวโน้ม 3 งวดย้อนหลัง</w:t>
      </w:r>
      <w:r>
        <w:t xml:space="preserve"> </w:t>
      </w:r>
      <w:r>
        <w:t xml:space="preserve">และ</w:t>
      </w:r>
      <w:r>
        <w:t xml:space="preserve"> </w:t>
      </w:r>
      <w:r>
        <w:rPr>
          <w:b/>
          <w:bCs/>
        </w:rPr>
        <w:t xml:space="preserve">top merchant ที่มี fraud สูง</w:t>
      </w:r>
    </w:p>
    <w:bookmarkEnd w:id="1244"/>
    <w:bookmarkStart w:id="1245" w:name="มาตรการแกไข"/>
    <w:p>
      <w:pPr>
        <w:pStyle w:val="Heading3"/>
      </w:pPr>
      <w:r>
        <w:t xml:space="preserve">5.3 มาตรการแก้ไข</w:t>
      </w:r>
    </w:p>
    <w:p>
      <w:pPr>
        <w:pStyle w:val="FirstParagraph"/>
      </w:pPr>
      <w:r>
        <w:t xml:space="preserve">ทุกไตรมาสต้องสรุป: rule ที่เพิ่ม/ปรับ, การขึ้น 3DS challenge, การพักร้านค้าเสี่ยง, แผนลด chargeback ratio ให้ต่ำกว่าเกณฑ์ scheme</w:t>
      </w:r>
    </w:p>
    <w:p>
      <w:r>
        <w:pict>
          <v:rect style="width:0;height:1.5pt" o:hralign="center" o:hrstd="t" o:hr="t"/>
        </w:pict>
      </w:r>
    </w:p>
    <w:bookmarkEnd w:id="1245"/>
    <w:bookmarkEnd w:id="1246"/>
    <w:bookmarkStart w:id="1249" w:name="r3-แมแบบเคส-amlcft"/>
    <w:p>
      <w:pPr>
        <w:pStyle w:val="Heading2"/>
      </w:pPr>
      <w:r>
        <w:t xml:space="preserve">6. R3 — แม่แบบเคส AML/CFT</w:t>
      </w:r>
    </w:p>
    <w:p>
      <w:pPr>
        <w:pStyle w:val="FirstParagraph"/>
      </w:pPr>
      <w:r>
        <w:rPr>
          <w:b/>
          <w:bCs/>
        </w:rPr>
        <w:t xml:space="preserve">กรอบกฎหมาย:</w:t>
      </w:r>
      <w:r>
        <w:t xml:space="preserve"> </w:t>
      </w:r>
      <w:r>
        <w:t xml:space="preserve">พ.ร.บ. ป้องกันและปราบปรามการฟอกเงิน + พ.ร.บ. ป้องกันและปราบปรามการสนับสนุนทางการเงินแก่การก่อการร้ายฯ กำกับโดย</w:t>
      </w:r>
      <w:r>
        <w:t xml:space="preserve"> </w:t>
      </w:r>
      <w:r>
        <w:rPr>
          <w:b/>
          <w:bCs/>
        </w:rPr>
        <w:t xml:space="preserve">สำนักงาน ปปง. (AMLO)</w:t>
      </w:r>
      <w:r>
        <w:t xml:space="preserve"> </w:t>
      </w:r>
      <w:r>
        <w:t xml:space="preserve">— รายงานเชิงกำกับด้านความเสี่ยง AML สรุปให้ ธปท. ส่วน STR/CTR ที่เป็นเคสส่งตรง</w:t>
      </w:r>
      <w:r>
        <w:t xml:space="preserve"> </w:t>
      </w:r>
      <w:r>
        <w:rPr>
          <w:b/>
          <w:bCs/>
        </w:rPr>
        <w:t xml:space="preserve">ปปง.</w:t>
      </w:r>
    </w:p>
    <w:bookmarkStart w:id="1247" w:name="สรปเชงตวเลข-รายเดอน-สง-ธปท."/>
    <w:p>
      <w:pPr>
        <w:pStyle w:val="Heading3"/>
      </w:pPr>
      <w:r>
        <w:t xml:space="preserve">6.1 สรุปเชิงตัวเลข (รายเดือน — ส่ง ธปท.)</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ฟิลด์</w:t>
            </w:r>
          </w:p>
        </w:tc>
        <w:tc>
          <w:tcPr/>
          <w:p>
            <w:pPr>
              <w:pStyle w:val="Compact"/>
            </w:pPr>
            <w:r>
              <w:t xml:space="preserve">คำอธิบาย</w:t>
            </w:r>
          </w:p>
        </w:tc>
      </w:tr>
      <w:tr>
        <w:tc>
          <w:tcPr/>
          <w:p>
            <w:pPr>
              <w:pStyle w:val="Compact"/>
            </w:pPr>
            <w:r>
              <w:rPr>
                <w:rStyle w:val="VerbatimChar"/>
              </w:rPr>
              <w:t xml:space="preserve">str_filed_count</w:t>
            </w:r>
          </w:p>
        </w:tc>
        <w:tc>
          <w:tcPr/>
          <w:p>
            <w:pPr>
              <w:pStyle w:val="Compact"/>
            </w:pPr>
            <w:r>
              <w:t xml:space="preserve">จำนวนรายงานธุรกรรมน่าสงสัย (STR) ที่ส่ง ปปง. ในงวด</w:t>
            </w:r>
          </w:p>
        </w:tc>
      </w:tr>
      <w:tr>
        <w:tc>
          <w:tcPr/>
          <w:p>
            <w:pPr>
              <w:pStyle w:val="Compact"/>
            </w:pPr>
            <w:r>
              <w:rPr>
                <w:rStyle w:val="VerbatimChar"/>
              </w:rPr>
              <w:t xml:space="preserve">ctr_filed_count</w:t>
            </w:r>
          </w:p>
        </w:tc>
        <w:tc>
          <w:tcPr/>
          <w:p>
            <w:pPr>
              <w:pStyle w:val="Compact"/>
            </w:pPr>
            <w:r>
              <w:t xml:space="preserve">รายงานธุรกรรมเงินสด/ตามเกณฑ์มูลค่า (ถ้ามี)</w:t>
            </w:r>
          </w:p>
        </w:tc>
      </w:tr>
      <w:tr>
        <w:tc>
          <w:tcPr/>
          <w:p>
            <w:pPr>
              <w:pStyle w:val="Compact"/>
            </w:pPr>
            <w:r>
              <w:rPr>
                <w:rStyle w:val="VerbatimChar"/>
              </w:rPr>
              <w:t xml:space="preserve">sanction_screening_hits</w:t>
            </w:r>
          </w:p>
        </w:tc>
        <w:tc>
          <w:tcPr/>
          <w:p>
            <w:pPr>
              <w:pStyle w:val="Compact"/>
            </w:pPr>
            <w:r>
              <w:t xml:space="preserve">จำนวน hit จากการคัดกรอง (UN, OFAC, ปปง. designated list)</w:t>
            </w:r>
          </w:p>
        </w:tc>
      </w:tr>
      <w:tr>
        <w:tc>
          <w:tcPr/>
          <w:p>
            <w:pPr>
              <w:pStyle w:val="Compact"/>
            </w:pPr>
            <w:r>
              <w:rPr>
                <w:rStyle w:val="VerbatimChar"/>
              </w:rPr>
              <w:t xml:space="preserve">true_positive_hits</w:t>
            </w:r>
          </w:p>
        </w:tc>
        <w:tc>
          <w:tcPr/>
          <w:p>
            <w:pPr>
              <w:pStyle w:val="Compact"/>
            </w:pPr>
            <w:r>
              <w:t xml:space="preserve">hit ที่ยืนยันเป็นบุคคล/นิติบุคคลต้องห้าม</w:t>
            </w:r>
          </w:p>
        </w:tc>
      </w:tr>
      <w:tr>
        <w:tc>
          <w:tcPr/>
          <w:p>
            <w:pPr>
              <w:pStyle w:val="Compact"/>
            </w:pPr>
            <w:r>
              <w:rPr>
                <w:rStyle w:val="VerbatimChar"/>
              </w:rPr>
              <w:t xml:space="preserve">accounts_frozen_count</w:t>
            </w:r>
          </w:p>
        </w:tc>
        <w:tc>
          <w:tcPr/>
          <w:p>
            <w:pPr>
              <w:pStyle w:val="Compact"/>
            </w:pPr>
            <w:r>
              <w:t xml:space="preserve">จำนวนบัญชี/ร้านค้าที่ถูกอายัด/ระงับ</w:t>
            </w:r>
          </w:p>
        </w:tc>
      </w:tr>
      <w:tr>
        <w:tc>
          <w:tcPr/>
          <w:p>
            <w:pPr>
              <w:pStyle w:val="Compact"/>
            </w:pPr>
            <w:r>
              <w:rPr>
                <w:rStyle w:val="VerbatimChar"/>
              </w:rPr>
              <w:t xml:space="preserve">edd_cases_count</w:t>
            </w:r>
          </w:p>
        </w:tc>
        <w:tc>
          <w:tcPr/>
          <w:p>
            <w:pPr>
              <w:pStyle w:val="Compact"/>
            </w:pPr>
            <w:r>
              <w:t xml:space="preserve">เคสที่เข้าสู่ Enhanced Due Diligence</w:t>
            </w:r>
          </w:p>
        </w:tc>
      </w:tr>
      <w:tr>
        <w:tc>
          <w:tcPr/>
          <w:p>
            <w:pPr>
              <w:pStyle w:val="Compact"/>
            </w:pPr>
            <w:r>
              <w:rPr>
                <w:rStyle w:val="VerbatimChar"/>
              </w:rPr>
              <w:t xml:space="preserve">pep_relationships_count</w:t>
            </w:r>
          </w:p>
        </w:tc>
        <w:tc>
          <w:tcPr/>
          <w:p>
            <w:pPr>
              <w:pStyle w:val="Compact"/>
            </w:pPr>
            <w:r>
              <w:t xml:space="preserve">ความสัมพันธ์กับบุคคลที่มีสถานภาพทางการเมือง (PEP)</w:t>
            </w:r>
          </w:p>
        </w:tc>
      </w:tr>
      <w:tr>
        <w:tc>
          <w:tcPr/>
          <w:p>
            <w:pPr>
              <w:pStyle w:val="Compact"/>
            </w:pPr>
            <w:r>
              <w:rPr>
                <w:rStyle w:val="VerbatimChar"/>
              </w:rPr>
              <w:t xml:space="preserve">cdd_overdue_count</w:t>
            </w:r>
          </w:p>
        </w:tc>
        <w:tc>
          <w:tcPr/>
          <w:p>
            <w:pPr>
              <w:pStyle w:val="Compact"/>
            </w:pPr>
            <w:r>
              <w:t xml:space="preserve">ร้านค้าที่ทบทวน CDD เกินกำหนด</w:t>
            </w:r>
          </w:p>
        </w:tc>
      </w:tr>
    </w:tbl>
    <w:bookmarkEnd w:id="1247"/>
    <w:bookmarkStart w:id="1248" w:name="ทะเบยนเคส-แนบ-ปกปดขอมลตาม-pdpa"/>
    <w:p>
      <w:pPr>
        <w:pStyle w:val="Heading3"/>
      </w:pPr>
      <w:r>
        <w:t xml:space="preserve">6.2 ทะเบียนเคส (แนบ, ปกปิดข้อมูลตาม PDPA)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ฟิลด์</w:t>
            </w:r>
          </w:p>
        </w:tc>
        <w:tc>
          <w:tcPr/>
          <w:p>
            <w:pPr>
              <w:pStyle w:val="Compact"/>
            </w:pPr>
            <w:r>
              <w:t xml:space="preserve">หมายเหตุ</w:t>
            </w:r>
          </w:p>
        </w:tc>
      </w:tr>
      <w:tr>
        <w:tc>
          <w:tcPr/>
          <w:p>
            <w:pPr>
              <w:pStyle w:val="Compact"/>
            </w:pPr>
            <w:r>
              <w:rPr>
                <w:rStyle w:val="VerbatimChar"/>
              </w:rPr>
              <w:t xml:space="preserve">case_id</w:t>
            </w:r>
          </w:p>
        </w:tc>
        <w:tc>
          <w:tcPr/>
          <w:p>
            <w:pPr>
              <w:pStyle w:val="Compact"/>
            </w:pPr>
            <w:r>
              <w:t xml:space="preserve">รหัสภายใน (ไม่เปิดเผยตัวตนในเวอร์ชันสรุป)</w:t>
            </w:r>
          </w:p>
        </w:tc>
      </w:tr>
      <w:tr>
        <w:tc>
          <w:tcPr/>
          <w:p>
            <w:pPr>
              <w:pStyle w:val="Compact"/>
            </w:pPr>
            <w:r>
              <w:rPr>
                <w:rStyle w:val="VerbatimChar"/>
              </w:rPr>
              <w:t xml:space="preserve">case_type</w:t>
            </w:r>
          </w:p>
        </w:tc>
        <w:tc>
          <w:tcPr/>
          <w:p>
            <w:pPr>
              <w:pStyle w:val="Compact"/>
            </w:pPr>
            <w:r>
              <w:t xml:space="preserve">STR / sanction / EDD / PEP / structuring</w:t>
            </w:r>
          </w:p>
        </w:tc>
      </w:tr>
      <w:tr>
        <w:tc>
          <w:tcPr/>
          <w:p>
            <w:pPr>
              <w:pStyle w:val="Compact"/>
            </w:pPr>
            <w:r>
              <w:rPr>
                <w:rStyle w:val="VerbatimChar"/>
              </w:rPr>
              <w:t xml:space="preserve">opened_at</w:t>
            </w:r>
            <w:r>
              <w:t xml:space="preserve"> </w:t>
            </w:r>
            <w:r>
              <w:t xml:space="preserve">/</w:t>
            </w:r>
            <w:r>
              <w:t xml:space="preserve"> </w:t>
            </w:r>
            <w:r>
              <w:rPr>
                <w:rStyle w:val="VerbatimChar"/>
              </w:rPr>
              <w:t xml:space="preserve">status</w:t>
            </w:r>
          </w:p>
        </w:tc>
        <w:tc>
          <w:tcPr/>
          <w:p>
            <w:pPr>
              <w:pStyle w:val="Compact"/>
            </w:pPr>
            <w:r>
              <w:t xml:space="preserve">เปิด / อยู่ระหว่างสอบ / ส่ง ปปง. / ปิด</w:t>
            </w:r>
          </w:p>
        </w:tc>
      </w:tr>
      <w:tr>
        <w:tc>
          <w:tcPr/>
          <w:p>
            <w:pPr>
              <w:pStyle w:val="Compact"/>
            </w:pPr>
            <w:r>
              <w:rPr>
                <w:rStyle w:val="VerbatimChar"/>
              </w:rPr>
              <w:t xml:space="preserve">amlo_ref_no</w:t>
            </w:r>
          </w:p>
        </w:tc>
        <w:tc>
          <w:tcPr/>
          <w:p>
            <w:pPr>
              <w:pStyle w:val="Compact"/>
            </w:pPr>
            <w:r>
              <w:t xml:space="preserve">เลขอ้างอิงที่ ปปง. ตอบรับ (ถ้ามี)</w:t>
            </w:r>
          </w:p>
        </w:tc>
      </w:tr>
      <w:tr>
        <w:tc>
          <w:tcPr/>
          <w:p>
            <w:pPr>
              <w:pStyle w:val="Compact"/>
            </w:pPr>
            <w:r>
              <w:rPr>
                <w:rStyle w:val="VerbatimChar"/>
              </w:rPr>
              <w:t xml:space="preserve">disposition</w:t>
            </w:r>
          </w:p>
        </w:tc>
        <w:tc>
          <w:tcPr/>
          <w:p>
            <w:pPr>
              <w:pStyle w:val="Compact"/>
            </w:pPr>
            <w:r>
              <w:t xml:space="preserve">ผลการพิจารณา + มาตรการ</w:t>
            </w:r>
          </w:p>
        </w:tc>
      </w:tr>
    </w:tbl>
    <w:p>
      <w:pPr>
        <w:pStyle w:val="BlockText"/>
      </w:pPr>
      <w:r>
        <w:t xml:space="preserve">⚠️</w:t>
      </w:r>
      <w:r>
        <w:t xml:space="preserve"> </w:t>
      </w:r>
      <w:r>
        <w:rPr>
          <w:b/>
          <w:bCs/>
        </w:rPr>
        <w:t xml:space="preserve">CALLOUT — ความเร่งด่วน:</w:t>
      </w:r>
      <w:r>
        <w:t xml:space="preserve"> </w:t>
      </w:r>
      <w:r>
        <w:t xml:space="preserve">STR ต้องส่ง ปปง.</w:t>
      </w:r>
      <w:r>
        <w:t xml:space="preserve"> </w:t>
      </w:r>
      <w:r>
        <w:rPr>
          <w:b/>
          <w:bCs/>
        </w:rPr>
        <w:t xml:space="preserve">ทันทีตามเกณฑ์ของ ปปง.</w:t>
      </w:r>
      <w:r>
        <w:t xml:space="preserve"> </w:t>
      </w:r>
      <w:r>
        <w:t xml:space="preserve">ห้ามรอรอบรายเดือน; รายงานรายเดือนต่อ ธปท. เป็นเพียงสรุปภาพรวมความเสี่ยง ไม่ใช่ช่องทางส่ง STR การส่งข้อมูลลูกค้าต้องเป็นไปตาม PDPA และฐานทางกฎหมายที่เกี่ยวข้อง</w:t>
      </w:r>
    </w:p>
    <w:p>
      <w:r>
        <w:pict>
          <v:rect style="width:0;height:1.5pt" o:hralign="center" o:hrstd="t" o:hr="t"/>
        </w:pict>
      </w:r>
    </w:p>
    <w:bookmarkEnd w:id="1248"/>
    <w:bookmarkEnd w:id="1249"/>
    <w:bookmarkStart w:id="1253" w:name="r4-แมแบบรายงานเหตการณผดปกต-incidents"/>
    <w:p>
      <w:pPr>
        <w:pStyle w:val="Heading2"/>
      </w:pPr>
      <w:r>
        <w:t xml:space="preserve">7. R4 — แม่แบบรายงานเหตุการณ์ผิดปกติ (Incidents)</w:t>
      </w:r>
    </w:p>
    <w:p>
      <w:pPr>
        <w:pStyle w:val="FirstParagraph"/>
      </w:pPr>
      <w:r>
        <w:rPr>
          <w:b/>
          <w:bCs/>
        </w:rPr>
        <w:t xml:space="preserve">ครอบคลุม:</w:t>
      </w:r>
      <w:r>
        <w:t xml:space="preserve"> </w:t>
      </w:r>
      <w:r>
        <w:t xml:space="preserve">ระบบล่ม (availability &lt; SLA 99.95%), การละเมิดความปลอดภัยไซเบอร์, ข้อมูลรั่วไหล (รวมข้อมูลส่วนบุคคล/ข้อมูลบัตร), การทุจริตเชิงระบบ, ความล้มเหลวของ acquirer/settlement</w:t>
      </w:r>
    </w:p>
    <w:bookmarkStart w:id="1250" w:name="ระดบความรนแรง-severity"/>
    <w:p>
      <w:pPr>
        <w:pStyle w:val="Heading3"/>
      </w:pPr>
      <w:r>
        <w:t xml:space="preserve">7.1 ระดับความรุนแรง (Severity)</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pPr>
            <w:r>
              <w:t xml:space="preserve">ระดับ</w:t>
            </w:r>
          </w:p>
        </w:tc>
        <w:tc>
          <w:tcPr/>
          <w:p>
            <w:pPr>
              <w:pStyle w:val="Compact"/>
            </w:pPr>
            <w:r>
              <w:t xml:space="preserve">นิยาม</w:t>
            </w:r>
          </w:p>
        </w:tc>
        <w:tc>
          <w:tcPr/>
          <w:p>
            <w:pPr>
              <w:pStyle w:val="Compact"/>
            </w:pPr>
            <w:r>
              <w:t xml:space="preserve">ตัวอย่าง</w:t>
            </w:r>
          </w:p>
        </w:tc>
      </w:tr>
      <w:tr>
        <w:tc>
          <w:tcPr/>
          <w:p>
            <w:pPr>
              <w:pStyle w:val="Compact"/>
            </w:pPr>
            <w:r>
              <w:rPr>
                <w:b/>
                <w:bCs/>
              </w:rPr>
              <w:t xml:space="preserve">SEV-1 (วิกฤต)</w:t>
            </w:r>
          </w:p>
        </w:tc>
        <w:tc>
          <w:tcPr/>
          <w:p>
            <w:pPr>
              <w:pStyle w:val="Compact"/>
            </w:pPr>
            <w:r>
              <w:t xml:space="preserve">กระทบวงกว้าง/เงิน/ข้อมูลบัตรรั่ว/ระบบชำระเงินหยุด</w:t>
            </w:r>
          </w:p>
        </w:tc>
        <w:tc>
          <w:tcPr/>
          <w:p>
            <w:pPr>
              <w:pStyle w:val="Compact"/>
            </w:pPr>
            <w:r>
              <w:t xml:space="preserve">payment core ล่ม, ต้องสงสัยข้อมูล PAN รั่ว</w:t>
            </w:r>
          </w:p>
        </w:tc>
      </w:tr>
      <w:tr>
        <w:tc>
          <w:tcPr/>
          <w:p>
            <w:pPr>
              <w:pStyle w:val="Compact"/>
            </w:pPr>
            <w:r>
              <w:rPr>
                <w:b/>
                <w:bCs/>
              </w:rPr>
              <w:t xml:space="preserve">SEV-2 (สูง)</w:t>
            </w:r>
          </w:p>
        </w:tc>
        <w:tc>
          <w:tcPr/>
          <w:p>
            <w:pPr>
              <w:pStyle w:val="Compact"/>
            </w:pPr>
            <w:r>
              <w:t xml:space="preserve">บริการบางส่วนเสีย/degraded</w:t>
            </w:r>
          </w:p>
        </w:tc>
        <w:tc>
          <w:tcPr/>
          <w:p>
            <w:pPr>
              <w:pStyle w:val="Compact"/>
            </w:pPr>
            <w:r>
              <w:t xml:space="preserve">3DS ล่มบางส่วน, latency เกิน SLA ต่อเนื่อง</w:t>
            </w:r>
          </w:p>
        </w:tc>
      </w:tr>
      <w:tr>
        <w:tc>
          <w:tcPr/>
          <w:p>
            <w:pPr>
              <w:pStyle w:val="Compact"/>
            </w:pPr>
            <w:r>
              <w:rPr>
                <w:b/>
                <w:bCs/>
              </w:rPr>
              <w:t xml:space="preserve">SEV-3 (กลาง)</w:t>
            </w:r>
          </w:p>
        </w:tc>
        <w:tc>
          <w:tcPr/>
          <w:p>
            <w:pPr>
              <w:pStyle w:val="Compact"/>
            </w:pPr>
            <w:r>
              <w:t xml:space="preserve">กระทบจำกัด มี workaround</w:t>
            </w:r>
          </w:p>
        </w:tc>
        <w:tc>
          <w:tcPr/>
          <w:p>
            <w:pPr>
              <w:pStyle w:val="Compact"/>
            </w:pPr>
            <w:r>
              <w:t xml:space="preserve">webhook delay, node เดียวล่ม</w:t>
            </w:r>
          </w:p>
        </w:tc>
      </w:tr>
      <w:tr>
        <w:tc>
          <w:tcPr/>
          <w:p>
            <w:pPr>
              <w:pStyle w:val="Compact"/>
            </w:pPr>
            <w:r>
              <w:rPr>
                <w:b/>
                <w:bCs/>
              </w:rPr>
              <w:t xml:space="preserve">SEV-4 (ต่ำ)</w:t>
            </w:r>
          </w:p>
        </w:tc>
        <w:tc>
          <w:tcPr/>
          <w:p>
            <w:pPr>
              <w:pStyle w:val="Compact"/>
            </w:pPr>
            <w:r>
              <w:t xml:space="preserve">ไม่กระทบลูกค้า</w:t>
            </w:r>
          </w:p>
        </w:tc>
        <w:tc>
          <w:tcPr/>
          <w:p>
            <w:pPr>
              <w:pStyle w:val="Compact"/>
            </w:pPr>
            <w:r>
              <w:t xml:space="preserve">alert เชิงป้องกัน</w:t>
            </w:r>
          </w:p>
        </w:tc>
      </w:tr>
    </w:tbl>
    <w:bookmarkEnd w:id="1250"/>
    <w:bookmarkStart w:id="1251" w:name="Xe52866f011637e15aa4d0db9e2850a9c02ddefa"/>
    <w:p>
      <w:pPr>
        <w:pStyle w:val="Heading3"/>
      </w:pPr>
      <w:r>
        <w:t xml:space="preserve">7.2 ไทม์ไลน์การแจ้ง (ตั้งต้น — TODO ยืนยันกับเงื่อนไขใบอนุญาต)</w:t>
      </w:r>
    </w:p>
    <w:tbl>
      <w:tblPr>
        <w:tblStyle w:val="Table"/>
        <w:tblW w:type="pct" w:w="5000"/>
        <w:tblLayout w:type="fixed"/>
        <w:tblLook w:firstRow="1" w:lastRow="0" w:firstColumn="0" w:lastColumn="0" w:noHBand="0" w:noVBand="0" w:val="0020"/>
      </w:tblPr>
      <w:tblGrid>
        <w:gridCol w:w="2084"/>
        <w:gridCol w:w="2501"/>
        <w:gridCol w:w="3334"/>
      </w:tblGrid>
      <w:tr>
        <w:trPr>
          <w:tblHeader w:val="on"/>
        </w:trPr>
        <w:tc>
          <w:tcPr/>
          <w:p>
            <w:pPr>
              <w:pStyle w:val="Compact"/>
            </w:pPr>
            <w:r>
              <w:t xml:space="preserve">ขั้น</w:t>
            </w:r>
          </w:p>
        </w:tc>
        <w:tc>
          <w:tcPr/>
          <w:p>
            <w:pPr>
              <w:pStyle w:val="Compact"/>
            </w:pPr>
            <w:r>
              <w:t xml:space="preserve">เวลา</w:t>
            </w:r>
          </w:p>
        </w:tc>
        <w:tc>
          <w:tcPr/>
          <w:p>
            <w:pPr>
              <w:pStyle w:val="Compact"/>
            </w:pPr>
            <w:r>
              <w:t xml:space="preserve">ผู้รับ</w:t>
            </w:r>
          </w:p>
        </w:tc>
      </w:tr>
      <w:tr>
        <w:tc>
          <w:tcPr/>
          <w:p>
            <w:pPr>
              <w:pStyle w:val="Compact"/>
            </w:pPr>
            <w:r>
              <w:rPr>
                <w:b/>
                <w:bCs/>
              </w:rPr>
              <w:t xml:space="preserve">แจ้งเบื้องต้น (initial notification)</w:t>
            </w:r>
          </w:p>
        </w:tc>
        <w:tc>
          <w:tcPr/>
          <w:p>
            <w:pPr>
              <w:pStyle w:val="Compact"/>
            </w:pPr>
            <w:r>
              <w:t xml:space="preserve">≤</w:t>
            </w:r>
            <w:r>
              <w:t xml:space="preserve"> </w:t>
            </w:r>
            <w:r>
              <w:rPr>
                <w:b/>
                <w:bCs/>
              </w:rPr>
              <w:t xml:space="preserve">24 ชั่วโมง</w:t>
            </w:r>
            <w:r>
              <w:t xml:space="preserve"> </w:t>
            </w:r>
            <w:r>
              <w:t xml:space="preserve">หลังตรวจพบ (SEV-1/2)</w:t>
            </w:r>
          </w:p>
        </w:tc>
        <w:tc>
          <w:tcPr/>
          <w:p>
            <w:pPr>
              <w:pStyle w:val="Compact"/>
            </w:pPr>
            <w:r>
              <w:t xml:space="preserve">ธปท. (ช่องทางแจ้งเหตุ), ThaiCERT ถ้าเป็นไซเบอร์</w:t>
            </w:r>
          </w:p>
        </w:tc>
      </w:tr>
      <w:tr>
        <w:tc>
          <w:tcPr/>
          <w:p>
            <w:pPr>
              <w:pStyle w:val="Compact"/>
            </w:pPr>
            <w:r>
              <w:rPr>
                <w:b/>
                <w:bCs/>
              </w:rPr>
              <w:t xml:space="preserve">รายงานฉบับเต็ม</w:t>
            </w:r>
          </w:p>
        </w:tc>
        <w:tc>
          <w:tcPr/>
          <w:p>
            <w:pPr>
              <w:pStyle w:val="Compact"/>
            </w:pPr>
            <w:r>
              <w:t xml:space="preserve">≤</w:t>
            </w:r>
            <w:r>
              <w:t xml:space="preserve"> </w:t>
            </w:r>
            <w:r>
              <w:rPr>
                <w:b/>
                <w:bCs/>
              </w:rPr>
              <w:t xml:space="preserve">72 ชั่วโมง</w:t>
            </w:r>
          </w:p>
        </w:tc>
        <w:tc>
          <w:tcPr/>
          <w:p>
            <w:pPr>
              <w:pStyle w:val="Compact"/>
            </w:pPr>
            <w:r>
              <w:t xml:space="preserve">ธปท.</w:t>
            </w:r>
          </w:p>
        </w:tc>
      </w:tr>
      <w:tr>
        <w:tc>
          <w:tcPr/>
          <w:p>
            <w:pPr>
              <w:pStyle w:val="Compact"/>
            </w:pPr>
            <w:r>
              <w:rPr>
                <w:b/>
                <w:bCs/>
              </w:rPr>
              <w:t xml:space="preserve">แจ้ง PDPC (ข้อมูลส่วนบุคคลรั่ว)</w:t>
            </w:r>
          </w:p>
        </w:tc>
        <w:tc>
          <w:tcPr/>
          <w:p>
            <w:pPr>
              <w:pStyle w:val="Compact"/>
            </w:pPr>
            <w:r>
              <w:t xml:space="preserve">≤</w:t>
            </w:r>
            <w:r>
              <w:t xml:space="preserve"> </w:t>
            </w:r>
            <w:r>
              <w:rPr>
                <w:b/>
                <w:bCs/>
              </w:rPr>
              <w:t xml:space="preserve">72 ชั่วโมง</w:t>
            </w:r>
            <w:r>
              <w:t xml:space="preserve"> </w:t>
            </w:r>
            <w:r>
              <w:t xml:space="preserve">ตาม PDPA</w:t>
            </w:r>
          </w:p>
        </w:tc>
        <w:tc>
          <w:tcPr/>
          <w:p>
            <w:pPr>
              <w:pStyle w:val="Compact"/>
            </w:pPr>
            <w:r>
              <w:t xml:space="preserve">PDPC + แจ้งเจ้าของข้อมูลถ้าเสี่ยงสูง</w:t>
            </w:r>
          </w:p>
        </w:tc>
      </w:tr>
      <w:tr>
        <w:tc>
          <w:tcPr/>
          <w:p>
            <w:pPr>
              <w:pStyle w:val="Compact"/>
            </w:pPr>
            <w:r>
              <w:rPr>
                <w:b/>
                <w:bCs/>
              </w:rPr>
              <w:t xml:space="preserve">RCA / Post-mortem</w:t>
            </w:r>
          </w:p>
        </w:tc>
        <w:tc>
          <w:tcPr/>
          <w:p>
            <w:pPr>
              <w:pStyle w:val="Compact"/>
            </w:pPr>
            <w:r>
              <w:t xml:space="preserve">≤</w:t>
            </w:r>
            <w:r>
              <w:t xml:space="preserve"> </w:t>
            </w:r>
            <w:r>
              <w:rPr>
                <w:b/>
                <w:bCs/>
              </w:rPr>
              <w:t xml:space="preserve">14 วัน</w:t>
            </w:r>
          </w:p>
        </w:tc>
        <w:tc>
          <w:tcPr/>
          <w:p>
            <w:pPr>
              <w:pStyle w:val="Compact"/>
            </w:pPr>
            <w:r>
              <w:t xml:space="preserve">ธปท. + ภายใน</w:t>
            </w:r>
          </w:p>
        </w:tc>
      </w:tr>
    </w:tbl>
    <w:bookmarkEnd w:id="1251"/>
    <w:bookmarkStart w:id="1252" w:name="ฟลดรายงานเหตการณ"/>
    <w:p>
      <w:pPr>
        <w:pStyle w:val="Heading3"/>
      </w:pPr>
      <w:r>
        <w:t xml:space="preserve">7.3 ฟิลด์รายงานเหตุการณ์</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ฟิลด์</w:t>
            </w:r>
          </w:p>
        </w:tc>
        <w:tc>
          <w:tcPr/>
          <w:p>
            <w:pPr>
              <w:pStyle w:val="Compact"/>
            </w:pPr>
            <w:r>
              <w:t xml:space="preserve">คำอธิบาย</w:t>
            </w:r>
          </w:p>
        </w:tc>
      </w:tr>
      <w:tr>
        <w:tc>
          <w:tcPr/>
          <w:p>
            <w:pPr>
              <w:pStyle w:val="Compact"/>
            </w:pPr>
            <w:r>
              <w:rPr>
                <w:rStyle w:val="VerbatimChar"/>
              </w:rPr>
              <w:t xml:space="preserve">incident_id</w:t>
            </w:r>
            <w:r>
              <w:t xml:space="preserve"> </w:t>
            </w:r>
            <w:r>
              <w:t xml:space="preserve">/</w:t>
            </w:r>
            <w:r>
              <w:t xml:space="preserve"> </w:t>
            </w:r>
            <w:r>
              <w:rPr>
                <w:rStyle w:val="VerbatimChar"/>
              </w:rPr>
              <w:t xml:space="preserve">severity</w:t>
            </w:r>
          </w:p>
        </w:tc>
        <w:tc>
          <w:tcPr/>
          <w:p>
            <w:pPr>
              <w:pStyle w:val="Compact"/>
            </w:pPr>
            <w:r>
              <w:t xml:space="preserve">รหัส + ระดับ</w:t>
            </w:r>
          </w:p>
        </w:tc>
      </w:tr>
      <w:tr>
        <w:tc>
          <w:tcPr/>
          <w:p>
            <w:pPr>
              <w:pStyle w:val="Compact"/>
            </w:pPr>
            <w:r>
              <w:rPr>
                <w:rStyle w:val="VerbatimChar"/>
              </w:rPr>
              <w:t xml:space="preserve">detected_at</w:t>
            </w:r>
            <w:r>
              <w:t xml:space="preserve"> </w:t>
            </w:r>
            <w:r>
              <w:t xml:space="preserve">/</w:t>
            </w:r>
            <w:r>
              <w:t xml:space="preserve"> </w:t>
            </w:r>
            <w:r>
              <w:rPr>
                <w:rStyle w:val="VerbatimChar"/>
              </w:rPr>
              <w:t xml:space="preserve">contained_at</w:t>
            </w:r>
            <w:r>
              <w:t xml:space="preserve"> </w:t>
            </w:r>
            <w:r>
              <w:t xml:space="preserve">/</w:t>
            </w:r>
            <w:r>
              <w:t xml:space="preserve"> </w:t>
            </w:r>
            <w:r>
              <w:rPr>
                <w:rStyle w:val="VerbatimChar"/>
              </w:rPr>
              <w:t xml:space="preserve">resolved_at</w:t>
            </w:r>
          </w:p>
        </w:tc>
        <w:tc>
          <w:tcPr/>
          <w:p>
            <w:pPr>
              <w:pStyle w:val="Compact"/>
            </w:pPr>
            <w:r>
              <w:t xml:space="preserve">ไทม์ไลน์</w:t>
            </w:r>
          </w:p>
        </w:tc>
      </w:tr>
      <w:tr>
        <w:tc>
          <w:tcPr/>
          <w:p>
            <w:pPr>
              <w:pStyle w:val="Compact"/>
            </w:pPr>
            <w:r>
              <w:rPr>
                <w:rStyle w:val="VerbatimChar"/>
              </w:rPr>
              <w:t xml:space="preserve">category</w:t>
            </w:r>
          </w:p>
        </w:tc>
        <w:tc>
          <w:tcPr/>
          <w:p>
            <w:pPr>
              <w:pStyle w:val="Compact"/>
            </w:pPr>
            <w:r>
              <w:t xml:space="preserve">availability / security / data-breach / fraud / third-party</w:t>
            </w:r>
          </w:p>
        </w:tc>
      </w:tr>
      <w:tr>
        <w:tc>
          <w:tcPr/>
          <w:p>
            <w:pPr>
              <w:pStyle w:val="Compact"/>
            </w:pPr>
            <w:r>
              <w:rPr>
                <w:rStyle w:val="VerbatimChar"/>
              </w:rPr>
              <w:t xml:space="preserve">impact</w:t>
            </w:r>
          </w:p>
        </w:tc>
        <w:tc>
          <w:tcPr/>
          <w:p>
            <w:pPr>
              <w:pStyle w:val="Compact"/>
            </w:pPr>
            <w:r>
              <w:t xml:space="preserve">จำนวน merchant/รายการ/มูลค่าที่กระทบ, ข้อมูลบัตร/บุคคลเกี่ยวข้องหรือไม่</w:t>
            </w:r>
          </w:p>
        </w:tc>
      </w:tr>
      <w:tr>
        <w:tc>
          <w:tcPr/>
          <w:p>
            <w:pPr>
              <w:pStyle w:val="Compact"/>
            </w:pPr>
            <w:r>
              <w:rPr>
                <w:rStyle w:val="VerbatimChar"/>
              </w:rPr>
              <w:t xml:space="preserve">root_cause</w:t>
            </w:r>
          </w:p>
        </w:tc>
        <w:tc>
          <w:tcPr/>
          <w:p>
            <w:pPr>
              <w:pStyle w:val="Compact"/>
            </w:pPr>
            <w:r>
              <w:t xml:space="preserve">สาเหตุราก (จาก RCA)</w:t>
            </w:r>
          </w:p>
        </w:tc>
      </w:tr>
      <w:tr>
        <w:tc>
          <w:tcPr/>
          <w:p>
            <w:pPr>
              <w:pStyle w:val="Compact"/>
            </w:pPr>
            <w:r>
              <w:rPr>
                <w:rStyle w:val="VerbatimChar"/>
              </w:rPr>
              <w:t xml:space="preserve">remediation</w:t>
            </w:r>
            <w:r>
              <w:t xml:space="preserve"> </w:t>
            </w:r>
            <w:r>
              <w:t xml:space="preserve">/</w:t>
            </w:r>
            <w:r>
              <w:t xml:space="preserve"> </w:t>
            </w:r>
            <w:r>
              <w:rPr>
                <w:rStyle w:val="VerbatimChar"/>
              </w:rPr>
              <w:t xml:space="preserve">preventive_actions</w:t>
            </w:r>
          </w:p>
        </w:tc>
        <w:tc>
          <w:tcPr/>
          <w:p>
            <w:pPr>
              <w:pStyle w:val="Compact"/>
            </w:pPr>
            <w:r>
              <w:t xml:space="preserve">มาตรการแก้ + ป้องกันซ้ำ</w:t>
            </w:r>
          </w:p>
        </w:tc>
      </w:tr>
      <w:tr>
        <w:tc>
          <w:tcPr/>
          <w:p>
            <w:pPr>
              <w:pStyle w:val="Compact"/>
            </w:pPr>
            <w:r>
              <w:rPr>
                <w:rStyle w:val="VerbatimChar"/>
              </w:rPr>
              <w:t xml:space="preserve">pci_impact</w:t>
            </w:r>
          </w:p>
        </w:tc>
        <w:tc>
          <w:tcPr/>
          <w:p>
            <w:pPr>
              <w:pStyle w:val="Compact"/>
            </w:pPr>
            <w:r>
              <w:t xml:space="preserve">กระทบ CDE / PCI scope หรือไม่</w:t>
            </w:r>
          </w:p>
        </w:tc>
      </w:tr>
      <w:tr>
        <w:tc>
          <w:tcPr/>
          <w:p>
            <w:pPr>
              <w:pStyle w:val="Compact"/>
            </w:pPr>
            <w:r>
              <w:rPr>
                <w:rStyle w:val="VerbatimChar"/>
              </w:rPr>
              <w:t xml:space="preserve">regulator_notified_at</w:t>
            </w:r>
          </w:p>
        </w:tc>
        <w:tc>
          <w:tcPr/>
          <w:p>
            <w:pPr>
              <w:pStyle w:val="Compact"/>
            </w:pPr>
            <w:r>
              <w:t xml:space="preserve">เวลาที่แจ้ง ธปท./ปปง./PDPC</w:t>
            </w:r>
          </w:p>
        </w:tc>
      </w:tr>
    </w:tbl>
    <w:p>
      <w:pPr>
        <w:pStyle w:val="BlockText"/>
      </w:pPr>
      <w:r>
        <w:rPr>
          <w:b/>
          <w:bCs/>
        </w:rPr>
        <w:t xml:space="preserve">PCI-DSS v4.0 Req 12.10</w:t>
      </w:r>
      <w:r>
        <w:t xml:space="preserve"> </w:t>
      </w:r>
      <w:r>
        <w:t xml:space="preserve">กำหนดให้มี incident response plan และการทดสอบประจำปี — รายงานสรุปรายไตรมาสต้องอ้างอิงผลการซ้อม (tabletop/DR drill) ด้วย</w:t>
      </w:r>
    </w:p>
    <w:p>
      <w:r>
        <w:pict>
          <v:rect style="width:0;height:1.5pt" o:hralign="center" o:hrstd="t" o:hr="t"/>
        </w:pict>
      </w:r>
    </w:p>
    <w:bookmarkEnd w:id="1252"/>
    <w:bookmarkEnd w:id="1253"/>
    <w:bookmarkStart w:id="1256" w:name="r5-แมแบบสถานะ-roc-pci-dss"/>
    <w:p>
      <w:pPr>
        <w:pStyle w:val="Heading2"/>
      </w:pPr>
      <w:r>
        <w:t xml:space="preserve">8. R5 — แม่แบบสถานะ RoC / PCI-DSS</w:t>
      </w:r>
    </w:p>
    <w:p>
      <w:pPr>
        <w:pStyle w:val="FirstParagraph"/>
      </w:pPr>
      <w:r>
        <w:rPr>
          <w:b/>
          <w:bCs/>
        </w:rPr>
        <w:t xml:space="preserve">มาตรฐาน:</w:t>
      </w:r>
      <w:r>
        <w:t xml:space="preserve"> </w:t>
      </w:r>
      <w:r>
        <w:t xml:space="preserve">PCI-DSS</w:t>
      </w:r>
      <w:r>
        <w:t xml:space="preserve"> </w:t>
      </w:r>
      <w:r>
        <w:rPr>
          <w:b/>
          <w:bCs/>
        </w:rPr>
        <w:t xml:space="preserve">v4.0</w:t>
      </w:r>
      <w:r>
        <w:t xml:space="preserve">, ระดับ</w:t>
      </w:r>
      <w:r>
        <w:t xml:space="preserve"> </w:t>
      </w:r>
      <w:r>
        <w:rPr>
          <w:b/>
          <w:bCs/>
        </w:rPr>
        <w:t xml:space="preserve">Level 1</w:t>
      </w:r>
      <w:r>
        <w:t xml:space="preserve"> </w:t>
      </w:r>
      <w:r>
        <w:t xml:space="preserve">(ประมวลผล &gt; 6 ล้านรายการ/ปี หรือกำหนดโดย scheme) — ต้องมี</w:t>
      </w:r>
      <w:r>
        <w:t xml:space="preserve"> </w:t>
      </w:r>
      <w:r>
        <w:rPr>
          <w:b/>
          <w:bCs/>
        </w:rPr>
        <w:t xml:space="preserve">QSA</w:t>
      </w:r>
      <w:r>
        <w:t xml:space="preserve"> </w:t>
      </w:r>
      <w:r>
        <w:t xml:space="preserve">ทำ assessment ออก</w:t>
      </w:r>
      <w:r>
        <w:t xml:space="preserve"> </w:t>
      </w:r>
      <w:r>
        <w:rPr>
          <w:b/>
          <w:bCs/>
        </w:rPr>
        <w:t xml:space="preserve">RoC (Report on Compliance)</w:t>
      </w:r>
      <w:r>
        <w:t xml:space="preserve"> </w:t>
      </w:r>
      <w:r>
        <w:t xml:space="preserve">+</w:t>
      </w:r>
      <w:r>
        <w:t xml:space="preserve"> </w:t>
      </w:r>
      <w:r>
        <w:rPr>
          <w:b/>
          <w:bCs/>
        </w:rPr>
        <w:t xml:space="preserve">AoC (Attestation of Compliance)</w:t>
      </w:r>
      <w:r>
        <w:t xml:space="preserve"> </w:t>
      </w:r>
      <w:r>
        <w:t xml:space="preserve">ประจำปี,</w:t>
      </w:r>
      <w:r>
        <w:t xml:space="preserve"> </w:t>
      </w:r>
      <w:r>
        <w:rPr>
          <w:b/>
          <w:bCs/>
        </w:rPr>
        <w:t xml:space="preserve">ASV scan รายไตรมาส</w:t>
      </w:r>
      <w:r>
        <w:t xml:space="preserve">, และ</w:t>
      </w:r>
      <w:r>
        <w:t xml:space="preserve"> </w:t>
      </w:r>
      <w:r>
        <w:rPr>
          <w:b/>
          <w:bCs/>
        </w:rPr>
        <w:t xml:space="preserve">penetration test รายปี</w:t>
      </w:r>
    </w:p>
    <w:bookmarkStart w:id="1254" w:name="แดชบอรดสถานะ-รายไตรมาส"/>
    <w:p>
      <w:pPr>
        <w:pStyle w:val="Heading3"/>
      </w:pPr>
      <w:r>
        <w:t xml:space="preserve">8.1 แดชบอร์ดสถานะ (รายไตรมาส)</w:t>
      </w:r>
    </w:p>
    <w:tbl>
      <w:tblPr>
        <w:tblStyle w:val="Table"/>
        <w:tblW w:type="pct" w:w="5000"/>
        <w:tblLayout w:type="fixed"/>
        <w:tblLook w:firstRow="1" w:lastRow="0" w:firstColumn="0" w:lastColumn="0" w:noHBand="0" w:noVBand="0" w:val="0020"/>
      </w:tblPr>
      <w:tblGrid>
        <w:gridCol w:w="1680"/>
        <w:gridCol w:w="2400"/>
        <w:gridCol w:w="3840"/>
      </w:tblGrid>
      <w:tr>
        <w:trPr>
          <w:tblHeader w:val="on"/>
        </w:trPr>
        <w:tc>
          <w:tcPr/>
          <w:p>
            <w:pPr>
              <w:pStyle w:val="Compact"/>
            </w:pPr>
            <w:r>
              <w:t xml:space="preserve">ฟิลด์</w:t>
            </w:r>
          </w:p>
        </w:tc>
        <w:tc>
          <w:tcPr/>
          <w:p>
            <w:pPr>
              <w:pStyle w:val="Compact"/>
            </w:pPr>
            <w:r>
              <w:t xml:space="preserve">คำอธิบาย</w:t>
            </w:r>
          </w:p>
        </w:tc>
        <w:tc>
          <w:tcPr/>
          <w:p>
            <w:pPr>
              <w:pStyle w:val="Compact"/>
            </w:pPr>
            <w:r>
              <w:t xml:space="preserve">สถานะตัวอย่าง</w:t>
            </w:r>
          </w:p>
        </w:tc>
      </w:tr>
      <w:tr>
        <w:tc>
          <w:tcPr/>
          <w:p>
            <w:pPr>
              <w:pStyle w:val="Compact"/>
            </w:pPr>
            <w:r>
              <w:rPr>
                <w:rStyle w:val="VerbatimChar"/>
              </w:rPr>
              <w:t xml:space="preserve">pci_version</w:t>
            </w:r>
          </w:p>
        </w:tc>
        <w:tc>
          <w:tcPr/>
          <w:p>
            <w:pPr>
              <w:pStyle w:val="Compact"/>
            </w:pPr>
            <w:r>
              <w:t xml:space="preserve">เวอร์ชันที่ประเมิน</w:t>
            </w:r>
          </w:p>
        </w:tc>
        <w:tc>
          <w:tcPr/>
          <w:p>
            <w:pPr>
              <w:pStyle w:val="Compact"/>
            </w:pPr>
            <w:r>
              <w:t xml:space="preserve">v4.0</w:t>
            </w:r>
          </w:p>
        </w:tc>
      </w:tr>
      <w:tr>
        <w:tc>
          <w:tcPr/>
          <w:p>
            <w:pPr>
              <w:pStyle w:val="Compact"/>
            </w:pPr>
            <w:r>
              <w:rPr>
                <w:rStyle w:val="VerbatimChar"/>
              </w:rPr>
              <w:t xml:space="preserve">assessment_level</w:t>
            </w:r>
          </w:p>
        </w:tc>
        <w:tc>
          <w:tcPr/>
          <w:p>
            <w:pPr>
              <w:pStyle w:val="Compact"/>
            </w:pPr>
            <w:r>
              <w:t xml:space="preserve">ระดับ</w:t>
            </w:r>
          </w:p>
        </w:tc>
        <w:tc>
          <w:tcPr/>
          <w:p>
            <w:pPr>
              <w:pStyle w:val="Compact"/>
            </w:pPr>
            <w:r>
              <w:t xml:space="preserve">Level 1</w:t>
            </w:r>
          </w:p>
        </w:tc>
      </w:tr>
      <w:tr>
        <w:tc>
          <w:tcPr/>
          <w:p>
            <w:pPr>
              <w:pStyle w:val="Compact"/>
            </w:pPr>
            <w:r>
              <w:rPr>
                <w:rStyle w:val="VerbatimChar"/>
              </w:rPr>
              <w:t xml:space="preserve">qsa_vendor</w:t>
            </w:r>
          </w:p>
        </w:tc>
        <w:tc>
          <w:tcPr/>
          <w:p>
            <w:pPr>
              <w:pStyle w:val="Compact"/>
            </w:pPr>
            <w:r>
              <w:t xml:space="preserve">ชื่อ QSA</w:t>
            </w:r>
          </w:p>
        </w:tc>
        <w:tc>
          <w:tcPr/>
          <w:p>
            <w:pPr>
              <w:pStyle w:val="Compact"/>
            </w:pPr>
            <w:r>
              <w:t xml:space="preserve">«TODO — ยังไม่เลือก»</w:t>
            </w:r>
          </w:p>
        </w:tc>
      </w:tr>
      <w:tr>
        <w:tc>
          <w:tcPr/>
          <w:p>
            <w:pPr>
              <w:pStyle w:val="Compact"/>
            </w:pPr>
            <w:r>
              <w:rPr>
                <w:rStyle w:val="VerbatimChar"/>
              </w:rPr>
              <w:t xml:space="preserve">roc_status</w:t>
            </w:r>
          </w:p>
        </w:tc>
        <w:tc>
          <w:tcPr/>
          <w:p>
            <w:pPr>
              <w:pStyle w:val="Compact"/>
            </w:pPr>
            <w:r>
              <w:t xml:space="preserve">สถานะ RoC</w:t>
            </w:r>
          </w:p>
        </w:tc>
        <w:tc>
          <w:tcPr/>
          <w:p>
            <w:pPr>
              <w:pStyle w:val="Compact"/>
            </w:pPr>
            <w:r>
              <w:t xml:space="preserve">in-progress / compliant / remediation</w:t>
            </w:r>
          </w:p>
        </w:tc>
      </w:tr>
      <w:tr>
        <w:tc>
          <w:tcPr/>
          <w:p>
            <w:pPr>
              <w:pStyle w:val="Compact"/>
            </w:pPr>
            <w:r>
              <w:rPr>
                <w:rStyle w:val="VerbatimChar"/>
              </w:rPr>
              <w:t xml:space="preserve">roc_issue_date</w:t>
            </w:r>
            <w:r>
              <w:t xml:space="preserve"> </w:t>
            </w:r>
            <w:r>
              <w:t xml:space="preserve">/</w:t>
            </w:r>
            <w:r>
              <w:t xml:space="preserve"> </w:t>
            </w:r>
            <w:r>
              <w:rPr>
                <w:rStyle w:val="VerbatimChar"/>
              </w:rPr>
              <w:t xml:space="preserve">roc_expiry_date</w:t>
            </w:r>
          </w:p>
        </w:tc>
        <w:tc>
          <w:tcPr/>
          <w:p>
            <w:pPr>
              <w:pStyle w:val="Compact"/>
            </w:pPr>
            <w:r>
              <w:t xml:space="preserve">วันออก/หมดอายุ</w:t>
            </w:r>
          </w:p>
        </w:tc>
        <w:tc>
          <w:tcPr/>
          <w:p>
            <w:pPr>
              <w:pStyle w:val="Compact"/>
            </w:pPr>
            <w:r>
              <w:t xml:space="preserve">«TBD»</w:t>
            </w:r>
          </w:p>
        </w:tc>
      </w:tr>
      <w:tr>
        <w:tc>
          <w:tcPr/>
          <w:p>
            <w:pPr>
              <w:pStyle w:val="Compact"/>
            </w:pPr>
            <w:r>
              <w:rPr>
                <w:rStyle w:val="VerbatimChar"/>
              </w:rPr>
              <w:t xml:space="preserve">aoc_on_file</w:t>
            </w:r>
          </w:p>
        </w:tc>
        <w:tc>
          <w:tcPr/>
          <w:p>
            <w:pPr>
              <w:pStyle w:val="Compact"/>
            </w:pPr>
            <w:r>
              <w:t xml:space="preserve">มี AoC ล่าสุดหรือไม่</w:t>
            </w:r>
          </w:p>
        </w:tc>
        <w:tc>
          <w:tcPr/>
          <w:p>
            <w:pPr>
              <w:pStyle w:val="Compact"/>
            </w:pPr>
            <w:r>
              <w:t xml:space="preserve">yes/no</w:t>
            </w:r>
          </w:p>
        </w:tc>
      </w:tr>
      <w:tr>
        <w:tc>
          <w:tcPr/>
          <w:p>
            <w:pPr>
              <w:pStyle w:val="Compact"/>
            </w:pPr>
            <w:r>
              <w:rPr>
                <w:rStyle w:val="VerbatimChar"/>
              </w:rPr>
              <w:t xml:space="preserve">asv_scan_last</w:t>
            </w:r>
            <w:r>
              <w:t xml:space="preserve"> </w:t>
            </w:r>
            <w:r>
              <w:t xml:space="preserve">/</w:t>
            </w:r>
            <w:r>
              <w:t xml:space="preserve"> </w:t>
            </w:r>
            <w:r>
              <w:rPr>
                <w:rStyle w:val="VerbatimChar"/>
              </w:rPr>
              <w:t xml:space="preserve">asv_result</w:t>
            </w:r>
          </w:p>
        </w:tc>
        <w:tc>
          <w:tcPr/>
          <w:p>
            <w:pPr>
              <w:pStyle w:val="Compact"/>
            </w:pPr>
            <w:r>
              <w:t xml:space="preserve">ASV scan ล่าสุด</w:t>
            </w:r>
          </w:p>
        </w:tc>
        <w:tc>
          <w:tcPr/>
          <w:p>
            <w:pPr>
              <w:pStyle w:val="Compact"/>
            </w:pPr>
            <w:r>
              <w:t xml:space="preserve">«2026-Qx / pass»</w:t>
            </w:r>
          </w:p>
        </w:tc>
      </w:tr>
      <w:tr>
        <w:tc>
          <w:tcPr/>
          <w:p>
            <w:pPr>
              <w:pStyle w:val="Compact"/>
            </w:pPr>
            <w:r>
              <w:rPr>
                <w:rStyle w:val="VerbatimChar"/>
              </w:rPr>
              <w:t xml:space="preserve">pentest_last</w:t>
            </w:r>
            <w:r>
              <w:t xml:space="preserve"> </w:t>
            </w:r>
            <w:r>
              <w:t xml:space="preserve">/</w:t>
            </w:r>
            <w:r>
              <w:t xml:space="preserve"> </w:t>
            </w:r>
            <w:r>
              <w:rPr>
                <w:rStyle w:val="VerbatimChar"/>
              </w:rPr>
              <w:t xml:space="preserve">pentest_findings_open</w:t>
            </w:r>
          </w:p>
        </w:tc>
        <w:tc>
          <w:tcPr/>
          <w:p>
            <w:pPr>
              <w:pStyle w:val="Compact"/>
            </w:pPr>
            <w:r>
              <w:t xml:space="preserve">pentest ล่าสุด + findings ค้าง</w:t>
            </w:r>
          </w:p>
        </w:tc>
        <w:tc>
          <w:tcPr/>
          <w:p>
            <w:pPr>
              <w:pStyle w:val="Compact"/>
            </w:pPr>
            <w:r>
              <w:t xml:space="preserve">«วันที่ / จำนวน critical=0»</w:t>
            </w:r>
          </w:p>
        </w:tc>
      </w:tr>
      <w:tr>
        <w:tc>
          <w:tcPr/>
          <w:p>
            <w:pPr>
              <w:pStyle w:val="Compact"/>
            </w:pPr>
            <w:r>
              <w:rPr>
                <w:rStyle w:val="VerbatimChar"/>
              </w:rPr>
              <w:t xml:space="preserve">open_findings_by_severity</w:t>
            </w:r>
          </w:p>
        </w:tc>
        <w:tc>
          <w:tcPr/>
          <w:p>
            <w:pPr>
              <w:pStyle w:val="Compact"/>
            </w:pPr>
            <w:r>
              <w:t xml:space="preserve">ช่องว่างค้าง แยกระดับ</w:t>
            </w:r>
          </w:p>
        </w:tc>
        <w:tc>
          <w:tcPr/>
          <w:p>
            <w:pPr>
              <w:pStyle w:val="Compact"/>
            </w:pPr>
            <w:r>
              <w:t xml:space="preserve">critical/high/medium/low</w:t>
            </w:r>
          </w:p>
        </w:tc>
      </w:tr>
      <w:tr>
        <w:tc>
          <w:tcPr/>
          <w:p>
            <w:pPr>
              <w:pStyle w:val="Compact"/>
            </w:pPr>
            <w:r>
              <w:rPr>
                <w:rStyle w:val="VerbatimChar"/>
              </w:rPr>
              <w:t xml:space="preserve">saq_or_roc_scope_changes</w:t>
            </w:r>
          </w:p>
        </w:tc>
        <w:tc>
          <w:tcPr/>
          <w:p>
            <w:pPr>
              <w:pStyle w:val="Compact"/>
            </w:pPr>
            <w:r>
              <w:t xml:space="preserve">การเปลี่ยน scope/segmentation</w:t>
            </w:r>
          </w:p>
        </w:tc>
        <w:tc>
          <w:tcPr/>
          <w:p>
            <w:pPr>
              <w:pStyle w:val="Compact"/>
            </w:pPr>
            <w:r>
              <w:t xml:space="preserve">—</w:t>
            </w:r>
          </w:p>
        </w:tc>
      </w:tr>
    </w:tbl>
    <w:bookmarkEnd w:id="1254"/>
    <w:bookmarkStart w:id="1255" w:name="การตดตามชองวาง-gap-tracker"/>
    <w:p>
      <w:pPr>
        <w:pStyle w:val="Heading3"/>
      </w:pPr>
      <w:r>
        <w:t xml:space="preserve">8.2 การติดตามช่องว่าง (Gap Tracker)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ฟิลด์</w:t>
            </w:r>
          </w:p>
        </w:tc>
        <w:tc>
          <w:tcPr/>
          <w:p>
            <w:pPr>
              <w:pStyle w:val="Compact"/>
            </w:pPr>
            <w:r>
              <w:t xml:space="preserve">หมายเหตุ</w:t>
            </w:r>
          </w:p>
        </w:tc>
      </w:tr>
      <w:tr>
        <w:tc>
          <w:tcPr/>
          <w:p>
            <w:pPr>
              <w:pStyle w:val="Compact"/>
            </w:pPr>
            <w:r>
              <w:rPr>
                <w:rStyle w:val="VerbatimChar"/>
              </w:rPr>
              <w:t xml:space="preserve">finding_id</w:t>
            </w:r>
            <w:r>
              <w:t xml:space="preserve"> </w:t>
            </w:r>
            <w:r>
              <w:t xml:space="preserve">/</w:t>
            </w:r>
            <w:r>
              <w:t xml:space="preserve"> </w:t>
            </w:r>
            <w:r>
              <w:rPr>
                <w:rStyle w:val="VerbatimChar"/>
              </w:rPr>
              <w:t xml:space="preserve">pci_requirement</w:t>
            </w:r>
          </w:p>
        </w:tc>
        <w:tc>
          <w:tcPr/>
          <w:p>
            <w:pPr>
              <w:pStyle w:val="Compact"/>
            </w:pPr>
            <w:r>
              <w:t xml:space="preserve">อ้างข้อกำหนด (เช่น Req 3, 8, 10, 11)</w:t>
            </w:r>
          </w:p>
        </w:tc>
      </w:tr>
      <w:tr>
        <w:tc>
          <w:tcPr/>
          <w:p>
            <w:pPr>
              <w:pStyle w:val="Compact"/>
            </w:pPr>
            <w:r>
              <w:rPr>
                <w:rStyle w:val="VerbatimChar"/>
              </w:rPr>
              <w:t xml:space="preserve">severity</w:t>
            </w:r>
            <w:r>
              <w:t xml:space="preserve"> </w:t>
            </w:r>
            <w:r>
              <w:t xml:space="preserve">/</w:t>
            </w:r>
            <w:r>
              <w:t xml:space="preserve"> </w:t>
            </w:r>
            <w:r>
              <w:rPr>
                <w:rStyle w:val="VerbatimChar"/>
              </w:rPr>
              <w:t xml:space="preserve">due_date</w:t>
            </w:r>
            <w:r>
              <w:t xml:space="preserve"> </w:t>
            </w:r>
            <w:r>
              <w:t xml:space="preserve">/</w:t>
            </w:r>
            <w:r>
              <w:t xml:space="preserve"> </w:t>
            </w:r>
            <w:r>
              <w:rPr>
                <w:rStyle w:val="VerbatimChar"/>
              </w:rPr>
              <w:t xml:space="preserve">owner</w:t>
            </w:r>
          </w:p>
        </w:tc>
        <w:tc>
          <w:tcPr/>
          <w:p>
            <w:pPr>
              <w:pStyle w:val="Compact"/>
            </w:pPr>
            <w:r>
              <w:t xml:space="preserve">ระดับ / กำหนดปิด / ผู้รับผิดชอบ</w:t>
            </w:r>
          </w:p>
        </w:tc>
      </w:tr>
      <w:tr>
        <w:tc>
          <w:tcPr/>
          <w:p>
            <w:pPr>
              <w:pStyle w:val="Compact"/>
            </w:pPr>
            <w:r>
              <w:rPr>
                <w:rStyle w:val="VerbatimChar"/>
              </w:rPr>
              <w:t xml:space="preserve">remediation_status</w:t>
            </w:r>
          </w:p>
        </w:tc>
        <w:tc>
          <w:tcPr/>
          <w:p>
            <w:pPr>
              <w:pStyle w:val="Compact"/>
            </w:pPr>
            <w:r>
              <w:t xml:space="preserve">open / in-progress / closed</w:t>
            </w:r>
          </w:p>
        </w:tc>
      </w:tr>
      <w:tr>
        <w:tc>
          <w:tcPr/>
          <w:p>
            <w:pPr>
              <w:pStyle w:val="Compact"/>
            </w:pPr>
            <w:r>
              <w:rPr>
                <w:rStyle w:val="VerbatimChar"/>
              </w:rPr>
              <w:t xml:space="preserve">compensating_control</w:t>
            </w:r>
          </w:p>
        </w:tc>
        <w:tc>
          <w:tcPr/>
          <w:p>
            <w:pPr>
              <w:pStyle w:val="Compact"/>
            </w:pPr>
            <w:r>
              <w:t xml:space="preserve">มาตรการชดเชย (ถ้ามี)</w:t>
            </w:r>
          </w:p>
        </w:tc>
      </w:tr>
    </w:tbl>
    <w:p>
      <w:pPr>
        <w:pStyle w:val="BlockText"/>
      </w:pPr>
      <w:r>
        <w:t xml:space="preserve">⚠️</w:t>
      </w:r>
      <w:r>
        <w:t xml:space="preserve"> </w:t>
      </w:r>
      <w:r>
        <w:rPr>
          <w:b/>
          <w:bCs/>
        </w:rPr>
        <w:t xml:space="preserve">CALLOUT (TODO):</w:t>
      </w:r>
      <w:r>
        <w:t xml:space="preserve"> </w:t>
      </w:r>
      <w:r>
        <w:t xml:space="preserve">วันออก/หมดอายุ RoC จริงและรอบ ASV จริงขึ้นกับสัญญากับ QSA/ASV ที่ยังไม่ลงนาม — ห้ามกรอกวันสมมติในรายงานจริง</w:t>
      </w:r>
    </w:p>
    <w:p>
      <w:r>
        <w:pict>
          <v:rect style="width:0;height:1.5pt" o:hralign="center" o:hrstd="t" o:hr="t"/>
        </w:pict>
      </w:r>
    </w:p>
    <w:bookmarkEnd w:id="1255"/>
    <w:bookmarkEnd w:id="1256"/>
    <w:bookmarkStart w:id="1257" w:name="การควบคมคณภาพ-ความปลอดภย-และการเกบรกษา"/>
    <w:p>
      <w:pPr>
        <w:pStyle w:val="Heading2"/>
      </w:pPr>
      <w:r>
        <w:t xml:space="preserve">9. การควบคุมคุณภาพ ความปลอดภัย และการเก็บรักษา</w:t>
      </w:r>
    </w:p>
    <w:p>
      <w:pPr>
        <w:pStyle w:val="Compact"/>
        <w:numPr>
          <w:ilvl w:val="0"/>
          <w:numId w:val="1448"/>
        </w:numPr>
      </w:pPr>
      <w:r>
        <w:rPr>
          <w:b/>
          <w:bCs/>
        </w:rPr>
        <w:t xml:space="preserve">แหล่งความจริงเดียว:</w:t>
      </w:r>
      <w:r>
        <w:t xml:space="preserve"> </w:t>
      </w:r>
      <w:r>
        <w:t xml:space="preserve">ทุกตัวเลขดึงจาก ledger/audit_log/fraud engine ผ่าน query ที่ version-controlled; ห้ามแก้มือใน Excel โดยไม่มี trail</w:t>
      </w:r>
    </w:p>
    <w:p>
      <w:pPr>
        <w:pStyle w:val="Compact"/>
        <w:numPr>
          <w:ilvl w:val="0"/>
          <w:numId w:val="1448"/>
        </w:numPr>
      </w:pPr>
      <w:r>
        <w:rPr>
          <w:b/>
          <w:bCs/>
        </w:rPr>
        <w:t xml:space="preserve">ไม่มีข้อมูลบัตรในรายงาน:</w:t>
      </w:r>
      <w:r>
        <w:t xml:space="preserve"> </w:t>
      </w:r>
      <w:r>
        <w:t xml:space="preserve">ห้ามใส่ full PAN/CVV/track — ใช้ได้แค่</w:t>
      </w:r>
      <w:r>
        <w:t xml:space="preserve"> </w:t>
      </w:r>
      <w:r>
        <w:rPr>
          <w:rStyle w:val="VerbatimChar"/>
        </w:rPr>
        <w:t xml:space="preserve">card_brand</w:t>
      </w:r>
      <w:r>
        <w:t xml:space="preserve">+</w:t>
      </w:r>
      <w:r>
        <w:rPr>
          <w:rStyle w:val="VerbatimChar"/>
        </w:rPr>
        <w:t xml:space="preserve">card_last4</w:t>
      </w:r>
      <w:r>
        <w:t xml:space="preserve">; รายงานลูกค้าต้อง minimize ตาม PDPA</w:t>
      </w:r>
    </w:p>
    <w:p>
      <w:pPr>
        <w:pStyle w:val="Compact"/>
        <w:numPr>
          <w:ilvl w:val="0"/>
          <w:numId w:val="1448"/>
        </w:numPr>
      </w:pPr>
      <w:r>
        <w:rPr>
          <w:b/>
          <w:bCs/>
        </w:rPr>
        <w:t xml:space="preserve">การเก็บรักษา:</w:t>
      </w:r>
      <w:r>
        <w:t xml:space="preserve"> </w:t>
      </w:r>
      <w:r>
        <w:t xml:space="preserve">เก็บสำเนารายงานและหลักฐานการนำส่ง</w:t>
      </w:r>
      <w:r>
        <w:t xml:space="preserve"> </w:t>
      </w:r>
      <w:r>
        <w:rPr>
          <w:b/>
          <w:bCs/>
        </w:rPr>
        <w:t xml:space="preserve">≥ 5–10 ปี</w:t>
      </w:r>
      <w:r>
        <w:t xml:space="preserve"> </w:t>
      </w:r>
      <w:r>
        <w:t xml:space="preserve">(ตามเกณฑ์ AML/ธปท. — TODO ยืนยันปีที่แน่นอน)</w:t>
      </w:r>
    </w:p>
    <w:p>
      <w:pPr>
        <w:pStyle w:val="Compact"/>
        <w:numPr>
          <w:ilvl w:val="0"/>
          <w:numId w:val="1448"/>
        </w:numPr>
      </w:pPr>
      <w:r>
        <w:rPr>
          <w:b/>
          <w:bCs/>
        </w:rPr>
        <w:t xml:space="preserve">ความลับและการเข้าถึง:</w:t>
      </w:r>
      <w:r>
        <w:t xml:space="preserve"> </w:t>
      </w:r>
      <w:r>
        <w:t xml:space="preserve">ไฟล์รายงานเก็บใน storage ที่เข้ารหัส, access แบบ least-privilege + MFA (PCI Req 7-8), ลง</w:t>
      </w:r>
      <w:r>
        <w:t xml:space="preserve"> </w:t>
      </w:r>
      <w:r>
        <w:rPr>
          <w:rStyle w:val="VerbatimChar"/>
        </w:rPr>
        <w:t xml:space="preserve">audit_log</w:t>
      </w:r>
      <w:r>
        <w:t xml:space="preserve"> </w:t>
      </w:r>
      <w:r>
        <w:t xml:space="preserve">ทุกครั้งที่เข้าถึง/นำส่ง</w:t>
      </w:r>
    </w:p>
    <w:p>
      <w:pPr>
        <w:pStyle w:val="Compact"/>
        <w:numPr>
          <w:ilvl w:val="0"/>
          <w:numId w:val="1448"/>
        </w:numPr>
      </w:pPr>
      <w:r>
        <w:rPr>
          <w:b/>
          <w:bCs/>
        </w:rPr>
        <w:t xml:space="preserve">การลงนามและ integrity:</w:t>
      </w:r>
      <w:r>
        <w:t xml:space="preserve"> </w:t>
      </w:r>
      <w:r>
        <w:t xml:space="preserve">ไฟล์ที่นำส่งบันทึก hash (SHA-256) ใน audit trail เพื่อพิสูจน์ความครบถ้วน</w:t>
      </w:r>
    </w:p>
    <w:p>
      <w:r>
        <w:pict>
          <v:rect style="width:0;height:1.5pt" o:hralign="center" o:hrstd="t" o:hr="t"/>
        </w:pict>
      </w:r>
    </w:p>
    <w:bookmarkEnd w:id="1257"/>
    <w:bookmarkEnd w:id="1258"/>
    <w:bookmarkStart w:id="1283" w:name="X7cd4a7565daabab330f7c0bf28f8571f5404ea1"/>
    <w:p>
      <w:pPr>
        <w:pStyle w:val="Heading1"/>
      </w:pPr>
      <w:r>
        <w:t xml:space="preserve">Periodic BOT reporting templates: transaction volume, fraud metrics, AML cases, incidents, RoC status (English)</w:t>
      </w:r>
    </w:p>
    <w:p>
      <w:pPr>
        <w:pStyle w:val="BlockText"/>
      </w:pPr>
      <w:r>
        <w:t xml:space="preserve">Document</w:t>
      </w:r>
      <w:r>
        <w:t xml:space="preserve"> </w:t>
      </w:r>
      <w:r>
        <w:rPr>
          <w:b/>
          <w:bCs/>
        </w:rPr>
        <w:t xml:space="preserve">#35</w:t>
      </w:r>
      <w:r>
        <w:t xml:space="preserve"> </w:t>
      </w:r>
      <w:r>
        <w:t xml:space="preserve">in the</w:t>
      </w:r>
      <w:r>
        <w:t xml:space="preserve"> </w:t>
      </w:r>
      <w:r>
        <w:rPr>
          <w:b/>
          <w:bCs/>
        </w:rPr>
        <w:t xml:space="preserve">[บริษัท / Company]</w:t>
      </w:r>
      <w:r>
        <w:t xml:space="preserve"> </w:t>
      </w:r>
      <w:r>
        <w:t xml:space="preserve">compliance set.</w:t>
      </w:r>
      <w:r>
        <w:t xml:space="preserve"> </w:t>
      </w:r>
      <w:r>
        <w:t xml:space="preserve">Subject:</w:t>
      </w:r>
      <w:r>
        <w:t xml:space="preserve"> </w:t>
      </w:r>
      <w:r>
        <w:rPr>
          <w:b/>
          <w:bCs/>
        </w:rPr>
        <w:t xml:space="preserve">Periodic Bank of Thailand (BOT) reporting templates</w:t>
      </w:r>
      <w:r>
        <w:t xml:space="preserve"> </w:t>
      </w:r>
      <w:r>
        <w:t xml:space="preserve">— transaction volume, fraud metrics, AML cases, incidents, and RoC (PCI-DSS) status.</w:t>
      </w:r>
      <w:r>
        <w:t xml:space="preserve"> </w:t>
      </w:r>
      <w:r>
        <w:t xml:space="preserve">Context:</w:t>
      </w:r>
      <w:r>
        <w:t xml:space="preserve"> </w:t>
      </w:r>
      <w:r>
        <w:rPr>
          <w:b/>
          <w:bCs/>
        </w:rPr>
        <w:t xml:space="preserve">Full Acquiring</w:t>
      </w:r>
      <w:r>
        <w:t xml:space="preserve"> </w:t>
      </w:r>
      <w:r>
        <w:t xml:space="preserve">payment service provider under the</w:t>
      </w:r>
      <w:r>
        <w:t xml:space="preserve"> </w:t>
      </w:r>
      <w:r>
        <w:rPr>
          <w:b/>
          <w:bCs/>
        </w:rPr>
        <w:t xml:space="preserve">Payment Systems Act B.E. 2560 (2017)</w:t>
      </w:r>
      <w:r>
        <w:t xml:space="preserve"> </w:t>
      </w:r>
      <w:r>
        <w:t xml:space="preserve">— paid-up registered capital</w:t>
      </w:r>
      <w:r>
        <w:t xml:space="preserve"> </w:t>
      </w:r>
      <w:r>
        <w:rPr>
          <w:b/>
          <w:bCs/>
        </w:rPr>
        <w:t xml:space="preserve">THB 50M</w:t>
      </w:r>
      <w:r>
        <w:t xml:space="preserve"> </w:t>
      </w:r>
      <w:r>
        <w:t xml:space="preserve">and</w:t>
      </w:r>
      <w:r>
        <w:t xml:space="preserve"> </w:t>
      </w:r>
      <w:r>
        <w:rPr>
          <w:b/>
          <w:bCs/>
        </w:rPr>
        <w:t xml:space="preserve">PCI-DSS v4.0 Level 1</w:t>
      </w:r>
      <w:r>
        <w:t xml:space="preserve">.</w:t>
      </w:r>
    </w:p>
    <w:p>
      <w:pPr>
        <w:pStyle w:val="BlockText"/>
      </w:pPr>
      <w:r>
        <w:rPr>
          <w:b/>
          <w:bCs/>
        </w:rPr>
        <w:t xml:space="preserve">Note:</w:t>
      </w:r>
      <w:r>
        <w:t xml:space="preserve"> </w:t>
      </w:r>
      <w:r>
        <w:t xml:space="preserve">This is an internal operational template to prepare regulatory submissions; it is not legal advice. Actual format, frequency, and channel must follow the latest BOT notifications/circulars and the conditions attached to the license.</w:t>
      </w:r>
    </w:p>
    <w:p>
      <w:r>
        <w:pict>
          <v:rect style="width:0;height:1.5pt" o:hralign="center" o:hrstd="t" o:hr="t"/>
        </w:pict>
      </w:r>
    </w:p>
    <w:bookmarkStart w:id="1259" w:name="assumptions-todo-11"/>
    <w:p>
      <w:pPr>
        <w:pStyle w:val="Heading2"/>
      </w:pPr>
      <w:r>
        <w:t xml:space="preserve">0. Assumptions / TODO</w:t>
      </w:r>
    </w:p>
    <w:p>
      <w:pPr>
        <w:pStyle w:val="BlockText"/>
      </w:pPr>
      <w:r>
        <w:t xml:space="preserve">⚠️</w:t>
      </w:r>
      <w:r>
        <w:t xml:space="preserve"> </w:t>
      </w:r>
      <w:r>
        <w:rPr>
          <w:b/>
          <w:bCs/>
        </w:rPr>
        <w:t xml:space="preserve">CALLOUT — items to confirm with external parties before production use (do not invent facts)</w:t>
      </w:r>
    </w:p>
    <w:p>
      <w:pPr>
        <w:pStyle w:val="Compact"/>
        <w:numPr>
          <w:ilvl w:val="0"/>
          <w:numId w:val="1449"/>
        </w:numPr>
      </w:pPr>
      <w:r>
        <w:rPr>
          <w:b/>
          <w:bCs/>
        </w:rPr>
        <w:t xml:space="preserve">Official BOT templates</w:t>
      </w:r>
      <w:r>
        <w:t xml:space="preserve"> </w:t>
      </w:r>
      <w:r>
        <w:t xml:space="preserve">— BOT may prescribe specific forms/file schemas (XML/Excel/DMS) and submission channels (e.g., the DMS — Data Management System / e-Payment reporting portal).</w:t>
      </w:r>
      <w:r>
        <w:t xml:space="preserve"> </w:t>
      </w:r>
      <w:r>
        <w:rPr>
          <w:b/>
          <w:bCs/>
        </w:rPr>
        <w:t xml:space="preserve">TODO:</w:t>
      </w:r>
      <w:r>
        <w:t xml:space="preserve"> </w:t>
      </w:r>
      <w:r>
        <w:t xml:space="preserve">obtain the official template set and data dictionary from BOT’s Payment Systems Policy Department and align the field tables herein.</w:t>
      </w:r>
    </w:p>
    <w:p>
      <w:pPr>
        <w:pStyle w:val="Compact"/>
        <w:numPr>
          <w:ilvl w:val="0"/>
          <w:numId w:val="1449"/>
        </w:numPr>
      </w:pPr>
      <w:r>
        <w:rPr>
          <w:b/>
          <w:bCs/>
        </w:rPr>
        <w:t xml:space="preserve">Sponsor bank / acquiring partner</w:t>
      </w:r>
      <w:r>
        <w:t xml:space="preserve"> </w:t>
      </w:r>
      <w:r>
        <w:t xml:space="preserve">— not yet contracted (see ROADMAP Track B). Some settlement/chargeback fields depend on the sponsor bank interface.</w:t>
      </w:r>
      <w:r>
        <w:t xml:space="preserve"> </w:t>
      </w:r>
      <w:r>
        <w:rPr>
          <w:b/>
          <w:bCs/>
        </w:rPr>
        <w:t xml:space="preserve">TODO:</w:t>
      </w:r>
      <w:r>
        <w:t xml:space="preserve"> </w:t>
      </w:r>
      <w:r>
        <w:t xml:space="preserve">confirm bank name, cut-off times, recon file format.</w:t>
      </w:r>
    </w:p>
    <w:p>
      <w:pPr>
        <w:pStyle w:val="Compact"/>
        <w:numPr>
          <w:ilvl w:val="0"/>
          <w:numId w:val="1449"/>
        </w:numPr>
      </w:pPr>
      <w:r>
        <w:rPr>
          <w:b/>
          <w:bCs/>
        </w:rPr>
        <w:t xml:space="preserve">QSA vendor (PCI-DSS)</w:t>
      </w:r>
      <w:r>
        <w:t xml:space="preserve"> </w:t>
      </w:r>
      <w:r>
        <w:t xml:space="preserve">— not yet selected. Actual RoC/AoC due dates and ASV scan cadence depend on the QSA/ASV contract.</w:t>
      </w:r>
      <w:r>
        <w:t xml:space="preserve"> </w:t>
      </w:r>
      <w:r>
        <w:rPr>
          <w:b/>
          <w:bCs/>
        </w:rPr>
        <w:t xml:space="preserve">TODO:</w:t>
      </w:r>
      <w:r>
        <w:t xml:space="preserve"> </w:t>
      </w:r>
      <w:r>
        <w:t xml:space="preserve">record QSA name, RoC number, real expiry date.</w:t>
      </w:r>
    </w:p>
    <w:p>
      <w:pPr>
        <w:pStyle w:val="Compact"/>
        <w:numPr>
          <w:ilvl w:val="0"/>
          <w:numId w:val="1449"/>
        </w:numPr>
      </w:pPr>
      <w:r>
        <w:rPr>
          <w:b/>
          <w:bCs/>
        </w:rPr>
        <w:t xml:space="preserve">Paid-up registered capital</w:t>
      </w:r>
      <w:r>
        <w:t xml:space="preserve"> </w:t>
      </w:r>
      <w:r>
        <w:t xml:space="preserve">— set at</w:t>
      </w:r>
      <w:r>
        <w:t xml:space="preserve"> </w:t>
      </w:r>
      <w:r>
        <w:rPr>
          <w:b/>
          <w:bCs/>
        </w:rPr>
        <w:t xml:space="preserve">THB 50M</w:t>
      </w:r>
      <w:r>
        <w:t xml:space="preserve"> </w:t>
      </w:r>
      <w:r>
        <w:t xml:space="preserve">per the acquiring threshold; must remain</w:t>
      </w:r>
      <w:r>
        <w:t xml:space="preserve"> </w:t>
      </w:r>
      <w:r>
        <w:rPr>
          <w:b/>
          <w:bCs/>
        </w:rPr>
        <w:t xml:space="preserve">≥ 75% (THB 37.5M)</w:t>
      </w:r>
      <w:r>
        <w:t xml:space="preserve"> </w:t>
      </w:r>
      <w:r>
        <w:t xml:space="preserve">at all times.</w:t>
      </w:r>
      <w:r>
        <w:t xml:space="preserve"> </w:t>
      </w:r>
      <w:r>
        <w:rPr>
          <w:b/>
          <w:bCs/>
        </w:rPr>
        <w:t xml:space="preserve">TODO:</w:t>
      </w:r>
      <w:r>
        <w:t xml:space="preserve"> </w:t>
      </w:r>
      <w:r>
        <w:t xml:space="preserve">confirm actual paid-up amount from the latest company affidavit/financials.</w:t>
      </w:r>
    </w:p>
    <w:p>
      <w:pPr>
        <w:pStyle w:val="Compact"/>
        <w:numPr>
          <w:ilvl w:val="0"/>
          <w:numId w:val="1449"/>
        </w:numPr>
      </w:pPr>
      <w:r>
        <w:rPr>
          <w:b/>
          <w:bCs/>
        </w:rPr>
        <w:t xml:space="preserve">Frequencies/deadlines stated here</w:t>
      </w:r>
      <w:r>
        <w:t xml:space="preserve"> </w:t>
      </w:r>
      <w:r>
        <w:t xml:space="preserve">(monthly/quarterly/annual/immediate) are defaults per common practice.</w:t>
      </w:r>
      <w:r>
        <w:t xml:space="preserve"> </w:t>
      </w:r>
      <w:r>
        <w:rPr>
          <w:b/>
          <w:bCs/>
        </w:rPr>
        <w:t xml:space="preserve">TODO:</w:t>
      </w:r>
      <w:r>
        <w:t xml:space="preserve"> </w:t>
      </w:r>
      <w:r>
        <w:t xml:space="preserve">lock against the actual license condition letter.</w:t>
      </w:r>
    </w:p>
    <w:p>
      <w:pPr>
        <w:pStyle w:val="BlockText"/>
      </w:pPr>
      <w:r>
        <w:t xml:space="preserve">Every</w:t>
      </w:r>
      <w:r>
        <w:t xml:space="preserve"> </w:t>
      </w:r>
      <w:r>
        <w:rPr>
          <w:rStyle w:val="VerbatimChar"/>
        </w:rPr>
        <w:t xml:space="preserve">«…»</w:t>
      </w:r>
      <w:r>
        <w:t xml:space="preserve"> </w:t>
      </w:r>
      <w:r>
        <w:t xml:space="preserve">placeholder must be filled with real data at reporting time.</w:t>
      </w:r>
    </w:p>
    <w:p>
      <w:r>
        <w:pict>
          <v:rect style="width:0;height:1.5pt" o:hralign="center" o:hrstd="t" o:hr="t"/>
        </w:pict>
      </w:r>
    </w:p>
    <w:bookmarkEnd w:id="1259"/>
    <w:bookmarkStart w:id="1260" w:name="purpose-and-scope-6"/>
    <w:p>
      <w:pPr>
        <w:pStyle w:val="Heading2"/>
      </w:pPr>
      <w:r>
        <w:t xml:space="preserve">1. Purpose and Scope</w:t>
      </w:r>
    </w:p>
    <w:p>
      <w:pPr>
        <w:pStyle w:val="FirstParagraph"/>
      </w:pPr>
      <w:r>
        <w:t xml:space="preserve">This document defines</w:t>
      </w:r>
      <w:r>
        <w:t xml:space="preserve"> </w:t>
      </w:r>
      <w:r>
        <w:rPr>
          <w:b/>
          <w:bCs/>
        </w:rPr>
        <w:t xml:space="preserve">standard templates, preparation process, owners, and deadlines</w:t>
      </w:r>
      <w:r>
        <w:t xml:space="preserve"> </w:t>
      </w:r>
      <w:r>
        <w:t xml:space="preserve">for the periodic reports</w:t>
      </w:r>
      <w:r>
        <w:t xml:space="preserve"> </w:t>
      </w:r>
      <w:r>
        <w:rPr>
          <w:b/>
          <w:bCs/>
        </w:rPr>
        <w:t xml:space="preserve">[บริษัท / Company]</w:t>
      </w:r>
      <w:r>
        <w:t xml:space="preserve"> </w:t>
      </w:r>
      <w:r>
        <w:t xml:space="preserve">must file with BOT after licensing, covering 5 report families:</w:t>
      </w:r>
    </w:p>
    <w:tbl>
      <w:tblPr>
        <w:tblStyle w:val="Table"/>
        <w:tblW w:type="pct" w:w="5000"/>
        <w:tblLayout w:type="fixed"/>
        <w:tblLook w:firstRow="1" w:lastRow="0" w:firstColumn="0" w:lastColumn="0" w:noHBand="0" w:noVBand="0" w:val="0020"/>
      </w:tblPr>
      <w:tblGrid>
        <w:gridCol w:w="465"/>
        <w:gridCol w:w="2329"/>
        <w:gridCol w:w="1708"/>
        <w:gridCol w:w="3416"/>
      </w:tblGrid>
      <w:tr>
        <w:trPr>
          <w:tblHeader w:val="on"/>
        </w:trPr>
        <w:tc>
          <w:tcPr/>
          <w:p>
            <w:pPr>
              <w:pStyle w:val="Compact"/>
            </w:pPr>
            <w:r>
              <w:t xml:space="preserve">#</w:t>
            </w:r>
          </w:p>
        </w:tc>
        <w:tc>
          <w:tcPr/>
          <w:p>
            <w:pPr>
              <w:pStyle w:val="Compact"/>
            </w:pPr>
            <w:r>
              <w:t xml:space="preserve">Report family</w:t>
            </w:r>
          </w:p>
        </w:tc>
        <w:tc>
          <w:tcPr/>
          <w:p>
            <w:pPr>
              <w:pStyle w:val="Compact"/>
            </w:pPr>
            <w:r>
              <w:t xml:space="preserve">Substance</w:t>
            </w:r>
          </w:p>
        </w:tc>
        <w:tc>
          <w:tcPr/>
          <w:p>
            <w:pPr>
              <w:pStyle w:val="Compact"/>
            </w:pPr>
            <w:r>
              <w:t xml:space="preserve">Frequency (default)</w:t>
            </w:r>
          </w:p>
        </w:tc>
      </w:tr>
      <w:tr>
        <w:tc>
          <w:tcPr/>
          <w:p>
            <w:pPr>
              <w:pStyle w:val="Compact"/>
            </w:pPr>
            <w:r>
              <w:t xml:space="preserve">R1</w:t>
            </w:r>
          </w:p>
        </w:tc>
        <w:tc>
          <w:tcPr/>
          <w:p>
            <w:pPr>
              <w:pStyle w:val="Compact"/>
            </w:pPr>
            <w:r>
              <w:t xml:space="preserve">Transaction Volume</w:t>
            </w:r>
          </w:p>
        </w:tc>
        <w:tc>
          <w:tcPr/>
          <w:p>
            <w:pPr>
              <w:pStyle w:val="Compact"/>
            </w:pPr>
            <w:r>
              <w:t xml:space="preserve">value/count of authorize, capture, refund, void, settlement</w:t>
            </w:r>
          </w:p>
        </w:tc>
        <w:tc>
          <w:tcPr/>
          <w:p>
            <w:pPr>
              <w:pStyle w:val="Compact"/>
            </w:pPr>
            <w:r>
              <w:rPr>
                <w:b/>
                <w:bCs/>
              </w:rPr>
              <w:t xml:space="preserve">Monthly</w:t>
            </w:r>
          </w:p>
        </w:tc>
      </w:tr>
      <w:tr>
        <w:tc>
          <w:tcPr/>
          <w:p>
            <w:pPr>
              <w:pStyle w:val="Compact"/>
            </w:pPr>
            <w:r>
              <w:t xml:space="preserve">R2</w:t>
            </w:r>
          </w:p>
        </w:tc>
        <w:tc>
          <w:tcPr/>
          <w:p>
            <w:pPr>
              <w:pStyle w:val="Compact"/>
            </w:pPr>
            <w:r>
              <w:t xml:space="preserve">Fraud Metrics</w:t>
            </w:r>
          </w:p>
        </w:tc>
        <w:tc>
          <w:tcPr/>
          <w:p>
            <w:pPr>
              <w:pStyle w:val="Compact"/>
            </w:pPr>
            <w:r>
              <w:t xml:space="preserve">fraud rate (bps), chargebacks, 3DS, fraud prevented</w:t>
            </w:r>
          </w:p>
        </w:tc>
        <w:tc>
          <w:tcPr/>
          <w:p>
            <w:pPr>
              <w:pStyle w:val="Compact"/>
            </w:pPr>
            <w:r>
              <w:rPr>
                <w:b/>
                <w:bCs/>
              </w:rPr>
              <w:t xml:space="preserve">Monthly</w:t>
            </w:r>
            <w:r>
              <w:t xml:space="preserve"> </w:t>
            </w:r>
            <w:r>
              <w:t xml:space="preserve">+</w:t>
            </w:r>
            <w:r>
              <w:t xml:space="preserve"> </w:t>
            </w:r>
            <w:r>
              <w:rPr>
                <w:b/>
                <w:bCs/>
              </w:rPr>
              <w:t xml:space="preserve">quarterly</w:t>
            </w:r>
            <w:r>
              <w:t xml:space="preserve"> </w:t>
            </w:r>
            <w:r>
              <w:t xml:space="preserve">summary</w:t>
            </w:r>
          </w:p>
        </w:tc>
      </w:tr>
      <w:tr>
        <w:tc>
          <w:tcPr/>
          <w:p>
            <w:pPr>
              <w:pStyle w:val="Compact"/>
            </w:pPr>
            <w:r>
              <w:t xml:space="preserve">R3</w:t>
            </w:r>
          </w:p>
        </w:tc>
        <w:tc>
          <w:tcPr/>
          <w:p>
            <w:pPr>
              <w:pStyle w:val="Compact"/>
            </w:pPr>
            <w:r>
              <w:t xml:space="preserve">AML/CFT cases</w:t>
            </w:r>
          </w:p>
        </w:tc>
        <w:tc>
          <w:tcPr/>
          <w:p>
            <w:pPr>
              <w:pStyle w:val="Compact"/>
            </w:pPr>
            <w:r>
              <w:t xml:space="preserve">STR/SAR, sanction hits, CDD/EDD, freezes</w:t>
            </w:r>
          </w:p>
        </w:tc>
        <w:tc>
          <w:tcPr/>
          <w:p>
            <w:pPr>
              <w:pStyle w:val="Compact"/>
            </w:pPr>
            <w:r>
              <w:rPr>
                <w:b/>
                <w:bCs/>
              </w:rPr>
              <w:t xml:space="preserve">Monthly</w:t>
            </w:r>
            <w:r>
              <w:t xml:space="preserve"> </w:t>
            </w:r>
            <w:r>
              <w:t xml:space="preserve">(urgent cases to AMLO</w:t>
            </w:r>
            <w:r>
              <w:t xml:space="preserve"> </w:t>
            </w:r>
            <w:r>
              <w:rPr>
                <w:b/>
                <w:bCs/>
              </w:rPr>
              <w:t xml:space="preserve">immediately</w:t>
            </w:r>
            <w:r>
              <w:t xml:space="preserve">)</w:t>
            </w:r>
          </w:p>
        </w:tc>
      </w:tr>
      <w:tr>
        <w:tc>
          <w:tcPr/>
          <w:p>
            <w:pPr>
              <w:pStyle w:val="Compact"/>
            </w:pPr>
            <w:r>
              <w:t xml:space="preserve">R4</w:t>
            </w:r>
          </w:p>
        </w:tc>
        <w:tc>
          <w:tcPr/>
          <w:p>
            <w:pPr>
              <w:pStyle w:val="Compact"/>
            </w:pPr>
            <w:r>
              <w:t xml:space="preserve">Incidents</w:t>
            </w:r>
          </w:p>
        </w:tc>
        <w:tc>
          <w:tcPr/>
          <w:p>
            <w:pPr>
              <w:pStyle w:val="Compact"/>
            </w:pPr>
            <w:r>
              <w:t xml:space="preserve">IT/cyber/outage/data-breach events</w:t>
            </w:r>
          </w:p>
        </w:tc>
        <w:tc>
          <w:tcPr/>
          <w:p>
            <w:pPr>
              <w:pStyle w:val="Compact"/>
            </w:pPr>
            <w:r>
              <w:rPr>
                <w:b/>
                <w:bCs/>
              </w:rPr>
              <w:t xml:space="preserve">Immediate (≤ deadline)</w:t>
            </w:r>
            <w:r>
              <w:t xml:space="preserve"> </w:t>
            </w:r>
            <w:r>
              <w:t xml:space="preserve">+</w:t>
            </w:r>
            <w:r>
              <w:t xml:space="preserve"> </w:t>
            </w:r>
            <w:r>
              <w:rPr>
                <w:b/>
                <w:bCs/>
              </w:rPr>
              <w:t xml:space="preserve">quarterly</w:t>
            </w:r>
            <w:r>
              <w:t xml:space="preserve"> </w:t>
            </w:r>
            <w:r>
              <w:t xml:space="preserve">summary</w:t>
            </w:r>
          </w:p>
        </w:tc>
      </w:tr>
      <w:tr>
        <w:tc>
          <w:tcPr/>
          <w:p>
            <w:pPr>
              <w:pStyle w:val="Compact"/>
            </w:pPr>
            <w:r>
              <w:t xml:space="preserve">R5</w:t>
            </w:r>
          </w:p>
        </w:tc>
        <w:tc>
          <w:tcPr/>
          <w:p>
            <w:pPr>
              <w:pStyle w:val="Compact"/>
            </w:pPr>
            <w:r>
              <w:t xml:space="preserve">RoC / PCI-DSS status</w:t>
            </w:r>
          </w:p>
        </w:tc>
        <w:tc>
          <w:tcPr/>
          <w:p>
            <w:pPr>
              <w:pStyle w:val="Compact"/>
            </w:pPr>
            <w:r>
              <w:t xml:space="preserve">RoC, AoC, ASV scan, pentest, gaps</w:t>
            </w:r>
          </w:p>
        </w:tc>
        <w:tc>
          <w:tcPr/>
          <w:p>
            <w:pPr>
              <w:pStyle w:val="Compact"/>
            </w:pPr>
            <w:r>
              <w:rPr>
                <w:b/>
                <w:bCs/>
              </w:rPr>
              <w:t xml:space="preserve">Quarterly</w:t>
            </w:r>
            <w:r>
              <w:t xml:space="preserve"> </w:t>
            </w:r>
            <w:r>
              <w:t xml:space="preserve">+</w:t>
            </w:r>
            <w:r>
              <w:t xml:space="preserve"> </w:t>
            </w:r>
            <w:r>
              <w:rPr>
                <w:b/>
                <w:bCs/>
              </w:rPr>
              <w:t xml:space="preserve">annual</w:t>
            </w:r>
          </w:p>
        </w:tc>
      </w:tr>
    </w:tbl>
    <w:p>
      <w:pPr>
        <w:pStyle w:val="BodyText"/>
      </w:pPr>
      <w:r>
        <w:rPr>
          <w:b/>
          <w:bCs/>
        </w:rPr>
        <w:t xml:space="preserve">Data quality principle:</w:t>
      </w:r>
      <w:r>
        <w:t xml:space="preserve"> </w:t>
      </w:r>
      <w:r>
        <w:t xml:space="preserve">every figure must reconcile to the</w:t>
      </w:r>
      <w:r>
        <w:t xml:space="preserve"> </w:t>
      </w:r>
      <w:r>
        <w:rPr>
          <w:b/>
          <w:bCs/>
        </w:rPr>
        <w:t xml:space="preserve">double-entry ledger</w:t>
      </w:r>
      <w:r>
        <w:t xml:space="preserve"> </w:t>
      </w:r>
      <w:r>
        <w:t xml:space="preserve">(</w:t>
      </w:r>
      <w:r>
        <w:rPr>
          <w:rStyle w:val="VerbatimChar"/>
        </w:rPr>
        <w:t xml:space="preserve">ledger_entries</w:t>
      </w:r>
      <w:r>
        <w:t xml:space="preserve">) and the</w:t>
      </w:r>
      <w:r>
        <w:t xml:space="preserve"> </w:t>
      </w:r>
      <w:r>
        <w:rPr>
          <w:rStyle w:val="VerbatimChar"/>
        </w:rPr>
        <w:t xml:space="preserve">audit_log</w:t>
      </w:r>
      <w:r>
        <w:t xml:space="preserve"> </w:t>
      </w:r>
      <w:r>
        <w:t xml:space="preserve">— the system’s source of truth per the architecture — before submission.</w:t>
      </w:r>
    </w:p>
    <w:p>
      <w:r>
        <w:pict>
          <v:rect style="width:0;height:1.5pt" o:hralign="center" o:hrstd="t" o:hr="t"/>
        </w:pict>
      </w:r>
    </w:p>
    <w:bookmarkEnd w:id="1260"/>
    <w:bookmarkStart w:id="1261" w:name="roles-and-responsibilities-raci-2"/>
    <w:p>
      <w:pPr>
        <w:pStyle w:val="Heading2"/>
      </w:pPr>
      <w:r>
        <w:t xml:space="preserve">2. Roles and Responsibilities (RACI)</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pPr>
            <w:r>
              <w:t xml:space="preserve">Role</w:t>
            </w:r>
          </w:p>
        </w:tc>
        <w:tc>
          <w:tcPr/>
          <w:p>
            <w:pPr>
              <w:pStyle w:val="Compact"/>
            </w:pPr>
            <w:r>
              <w:t xml:space="preserve">Reporting responsibility</w:t>
            </w:r>
          </w:p>
        </w:tc>
      </w:tr>
      <w:tr>
        <w:tc>
          <w:tcPr/>
          <w:p>
            <w:pPr>
              <w:pStyle w:val="Compact"/>
            </w:pPr>
            <w:r>
              <w:rPr>
                <w:b/>
                <w:bCs/>
              </w:rPr>
              <w:t xml:space="preserve">Compliance Officer</w:t>
            </w:r>
          </w:p>
        </w:tc>
        <w:tc>
          <w:tcPr/>
          <w:p>
            <w:pPr>
              <w:pStyle w:val="Compact"/>
            </w:pPr>
            <w:r>
              <w:t xml:space="preserve">Owner of R3/R5, certifying signatory, liaison to BOT/AMLO/PDPC</w:t>
            </w:r>
          </w:p>
        </w:tc>
      </w:tr>
      <w:tr>
        <w:tc>
          <w:tcPr/>
          <w:p>
            <w:pPr>
              <w:pStyle w:val="Compact"/>
            </w:pPr>
            <w:r>
              <w:rPr>
                <w:b/>
                <w:bCs/>
              </w:rPr>
              <w:t xml:space="preserve">MLRO</w:t>
            </w:r>
          </w:p>
        </w:tc>
        <w:tc>
          <w:tcPr/>
          <w:p>
            <w:pPr>
              <w:pStyle w:val="Compact"/>
            </w:pPr>
            <w:r>
              <w:t xml:space="preserve">Owner of R3, decides STR filing to AMLO</w:t>
            </w:r>
          </w:p>
        </w:tc>
      </w:tr>
      <w:tr>
        <w:tc>
          <w:tcPr/>
          <w:p>
            <w:pPr>
              <w:pStyle w:val="Compact"/>
            </w:pPr>
            <w:r>
              <w:rPr>
                <w:b/>
                <w:bCs/>
              </w:rPr>
              <w:t xml:space="preserve">Head of Risk &amp; Fraud</w:t>
            </w:r>
          </w:p>
        </w:tc>
        <w:tc>
          <w:tcPr/>
          <w:p>
            <w:pPr>
              <w:pStyle w:val="Compact"/>
            </w:pPr>
            <w:r>
              <w:t xml:space="preserve">Owner of R2, sets thresholds, rule reviews</w:t>
            </w:r>
          </w:p>
        </w:tc>
      </w:tr>
      <w:tr>
        <w:tc>
          <w:tcPr/>
          <w:p>
            <w:pPr>
              <w:pStyle w:val="Compact"/>
            </w:pPr>
            <w:r>
              <w:rPr>
                <w:b/>
                <w:bCs/>
              </w:rPr>
              <w:t xml:space="preserve">Head of Engineering / SRE</w:t>
            </w:r>
          </w:p>
        </w:tc>
        <w:tc>
          <w:tcPr/>
          <w:p>
            <w:pPr>
              <w:pStyle w:val="Compact"/>
            </w:pPr>
            <w:r>
              <w:t xml:space="preserve">Data owner for R1/R4, incident timelines, RCA</w:t>
            </w:r>
          </w:p>
        </w:tc>
      </w:tr>
      <w:tr>
        <w:tc>
          <w:tcPr/>
          <w:p>
            <w:pPr>
              <w:pStyle w:val="Compact"/>
            </w:pPr>
            <w:r>
              <w:rPr>
                <w:b/>
                <w:bCs/>
              </w:rPr>
              <w:t xml:space="preserve">CISO / DPO</w:t>
            </w:r>
          </w:p>
        </w:tc>
        <w:tc>
          <w:tcPr/>
          <w:p>
            <w:pPr>
              <w:pStyle w:val="Compact"/>
            </w:pPr>
            <w:r>
              <w:t xml:space="preserve">R4 (cyber/data breach), PDPC liaison, technical owner of R5</w:t>
            </w:r>
          </w:p>
        </w:tc>
      </w:tr>
      <w:tr>
        <w:tc>
          <w:tcPr/>
          <w:p>
            <w:pPr>
              <w:pStyle w:val="Compact"/>
            </w:pPr>
            <w:r>
              <w:rPr>
                <w:b/>
                <w:bCs/>
              </w:rPr>
              <w:t xml:space="preserve">Finance / Settlement</w:t>
            </w:r>
          </w:p>
        </w:tc>
        <w:tc>
          <w:tcPr/>
          <w:p>
            <w:pPr>
              <w:pStyle w:val="Compact"/>
            </w:pPr>
            <w:r>
              <w:t xml:space="preserve">Reconciles settlement/chargeback in R1/R2</w:t>
            </w:r>
          </w:p>
        </w:tc>
      </w:tr>
      <w:tr>
        <w:tc>
          <w:tcPr/>
          <w:p>
            <w:pPr>
              <w:pStyle w:val="Compact"/>
            </w:pPr>
            <w:r>
              <w:rPr>
                <w:b/>
                <w:bCs/>
              </w:rPr>
              <w:t xml:space="preserve">CEO / authorized director</w:t>
            </w:r>
          </w:p>
        </w:tc>
        <w:tc>
          <w:tcPr/>
          <w:p>
            <w:pPr>
              <w:pStyle w:val="Compact"/>
            </w:pPr>
            <w:r>
              <w:t xml:space="preserve">Final approving signatory before BOT submission</w:t>
            </w:r>
          </w:p>
        </w:tc>
      </w:tr>
    </w:tbl>
    <w:p>
      <w:pPr>
        <w:pStyle w:val="BodyText"/>
      </w:pPr>
      <w:r>
        <w:rPr>
          <w:b/>
          <w:bCs/>
        </w:rPr>
        <w:t xml:space="preserve">Maker-checker:</w:t>
      </w:r>
      <w:r>
        <w:t xml:space="preserve"> </w:t>
      </w:r>
      <w:r>
        <w:t xml:space="preserve">every report passes 2 layers (preparer → reviewer) and is logged in</w:t>
      </w:r>
      <w:r>
        <w:t xml:space="preserve"> </w:t>
      </w:r>
      <w:r>
        <w:rPr>
          <w:rStyle w:val="VerbatimChar"/>
        </w:rPr>
        <w:t xml:space="preserve">audit_log</w:t>
      </w:r>
      <w:r>
        <w:t xml:space="preserve"> </w:t>
      </w:r>
      <w:r>
        <w:t xml:space="preserve">(actor, timestamp, hash of submitted file).</w:t>
      </w:r>
    </w:p>
    <w:p>
      <w:r>
        <w:pict>
          <v:rect style="width:0;height:1.5pt" o:hralign="center" o:hrstd="t" o:hr="t"/>
        </w:pict>
      </w:r>
    </w:p>
    <w:bookmarkEnd w:id="1261"/>
    <w:bookmarkStart w:id="1262" w:name="reporting-calendar"/>
    <w:p>
      <w:pPr>
        <w:pStyle w:val="Heading2"/>
      </w:pPr>
      <w:r>
        <w:t xml:space="preserve">3. Reporting Calendar</w:t>
      </w:r>
    </w:p>
    <w:tbl>
      <w:tblPr>
        <w:tblStyle w:val="Table"/>
        <w:tblW w:type="pct" w:w="5000"/>
        <w:tblLayout w:type="fixed"/>
        <w:tblLook w:firstRow="1" w:lastRow="0" w:firstColumn="0" w:lastColumn="0" w:noHBand="0" w:noVBand="0" w:val="0020"/>
      </w:tblPr>
      <w:tblGrid>
        <w:gridCol w:w="945"/>
        <w:gridCol w:w="1536"/>
        <w:gridCol w:w="2482"/>
        <w:gridCol w:w="2955"/>
      </w:tblGrid>
      <w:tr>
        <w:trPr>
          <w:tblHeader w:val="on"/>
        </w:trPr>
        <w:tc>
          <w:tcPr/>
          <w:p>
            <w:pPr>
              <w:pStyle w:val="Compact"/>
            </w:pPr>
            <w:r>
              <w:t xml:space="preserve">Report</w:t>
            </w:r>
          </w:p>
        </w:tc>
        <w:tc>
          <w:tcPr/>
          <w:p>
            <w:pPr>
              <w:pStyle w:val="Compact"/>
            </w:pPr>
            <w:r>
              <w:t xml:space="preserve">Data period</w:t>
            </w:r>
          </w:p>
        </w:tc>
        <w:tc>
          <w:tcPr/>
          <w:p>
            <w:pPr>
              <w:pStyle w:val="Compact"/>
            </w:pPr>
            <w:r>
              <w:t xml:space="preserve">Deadline (default)</w:t>
            </w:r>
          </w:p>
        </w:tc>
        <w:tc>
          <w:tcPr/>
          <w:p>
            <w:pPr>
              <w:pStyle w:val="Compact"/>
            </w:pPr>
            <w:r>
              <w:t xml:space="preserve">Channel (TODO confirm)</w:t>
            </w:r>
          </w:p>
        </w:tc>
      </w:tr>
      <w:tr>
        <w:tc>
          <w:tcPr/>
          <w:p>
            <w:pPr>
              <w:pStyle w:val="Compact"/>
            </w:pPr>
            <w:r>
              <w:t xml:space="preserve">R1 Transaction Volume</w:t>
            </w:r>
          </w:p>
        </w:tc>
        <w:tc>
          <w:tcPr/>
          <w:p>
            <w:pPr>
              <w:pStyle w:val="Compact"/>
            </w:pPr>
            <w:r>
              <w:t xml:space="preserve">calendar month</w:t>
            </w:r>
          </w:p>
        </w:tc>
        <w:tc>
          <w:tcPr/>
          <w:p>
            <w:pPr>
              <w:pStyle w:val="Compact"/>
            </w:pPr>
            <w:r>
              <w:t xml:space="preserve">by business day</w:t>
            </w:r>
            <w:r>
              <w:t xml:space="preserve"> </w:t>
            </w:r>
            <w:r>
              <w:rPr>
                <w:b/>
                <w:bCs/>
              </w:rPr>
              <w:t xml:space="preserve">15</w:t>
            </w:r>
            <w:r>
              <w:t xml:space="preserve"> </w:t>
            </w:r>
            <w:r>
              <w:t xml:space="preserve">of next month</w:t>
            </w:r>
          </w:p>
        </w:tc>
        <w:tc>
          <w:tcPr/>
          <w:p>
            <w:pPr>
              <w:pStyle w:val="Compact"/>
            </w:pPr>
            <w:r>
              <w:t xml:space="preserve">BOT DMS / e-Payment portal</w:t>
            </w:r>
          </w:p>
        </w:tc>
      </w:tr>
      <w:tr>
        <w:tc>
          <w:tcPr/>
          <w:p>
            <w:pPr>
              <w:pStyle w:val="Compact"/>
            </w:pPr>
            <w:r>
              <w:t xml:space="preserve">R2 Fraud (monthly)</w:t>
            </w:r>
          </w:p>
        </w:tc>
        <w:tc>
          <w:tcPr/>
          <w:p>
            <w:pPr>
              <w:pStyle w:val="Compact"/>
            </w:pPr>
            <w:r>
              <w:t xml:space="preserve">calendar month</w:t>
            </w:r>
          </w:p>
        </w:tc>
        <w:tc>
          <w:tcPr/>
          <w:p>
            <w:pPr>
              <w:pStyle w:val="Compact"/>
            </w:pPr>
            <w:r>
              <w:t xml:space="preserve">by day</w:t>
            </w:r>
            <w:r>
              <w:t xml:space="preserve"> </w:t>
            </w:r>
            <w:r>
              <w:rPr>
                <w:b/>
                <w:bCs/>
              </w:rPr>
              <w:t xml:space="preserve">15</w:t>
            </w:r>
            <w:r>
              <w:t xml:space="preserve"> </w:t>
            </w:r>
            <w:r>
              <w:t xml:space="preserve">of next month</w:t>
            </w:r>
          </w:p>
        </w:tc>
        <w:tc>
          <w:tcPr/>
          <w:p>
            <w:pPr>
              <w:pStyle w:val="Compact"/>
            </w:pPr>
            <w:r>
              <w:t xml:space="preserve">BOT DMS</w:t>
            </w:r>
          </w:p>
        </w:tc>
      </w:tr>
      <w:tr>
        <w:tc>
          <w:tcPr/>
          <w:p>
            <w:pPr>
              <w:pStyle w:val="Compact"/>
            </w:pPr>
            <w:r>
              <w:t xml:space="preserve">R2 Fraud (quarterly)</w:t>
            </w:r>
          </w:p>
        </w:tc>
        <w:tc>
          <w:tcPr/>
          <w:p>
            <w:pPr>
              <w:pStyle w:val="Compact"/>
            </w:pPr>
            <w:r>
              <w:t xml:space="preserve">quarter</w:t>
            </w:r>
          </w:p>
        </w:tc>
        <w:tc>
          <w:tcPr/>
          <w:p>
            <w:pPr>
              <w:pStyle w:val="Compact"/>
            </w:pPr>
            <w:r>
              <w:t xml:space="preserve">within</w:t>
            </w:r>
            <w:r>
              <w:t xml:space="preserve"> </w:t>
            </w:r>
            <w:r>
              <w:rPr>
                <w:b/>
                <w:bCs/>
              </w:rPr>
              <w:t xml:space="preserve">30 days</w:t>
            </w:r>
            <w:r>
              <w:t xml:space="preserve"> </w:t>
            </w:r>
            <w:r>
              <w:t xml:space="preserve">of quarter-end</w:t>
            </w:r>
          </w:p>
        </w:tc>
        <w:tc>
          <w:tcPr/>
          <w:p>
            <w:pPr>
              <w:pStyle w:val="Compact"/>
            </w:pPr>
            <w:r>
              <w:t xml:space="preserve">BOT DMS</w:t>
            </w:r>
          </w:p>
        </w:tc>
      </w:tr>
      <w:tr>
        <w:tc>
          <w:tcPr/>
          <w:p>
            <w:pPr>
              <w:pStyle w:val="Compact"/>
            </w:pPr>
            <w:r>
              <w:t xml:space="preserve">R3 AML (monthly)</w:t>
            </w:r>
          </w:p>
        </w:tc>
        <w:tc>
          <w:tcPr/>
          <w:p>
            <w:pPr>
              <w:pStyle w:val="Compact"/>
            </w:pPr>
            <w:r>
              <w:t xml:space="preserve">calendar month</w:t>
            </w:r>
          </w:p>
        </w:tc>
        <w:tc>
          <w:tcPr/>
          <w:p>
            <w:pPr>
              <w:pStyle w:val="Compact"/>
            </w:pPr>
            <w:r>
              <w:t xml:space="preserve">by day</w:t>
            </w:r>
            <w:r>
              <w:t xml:space="preserve"> </w:t>
            </w:r>
            <w:r>
              <w:rPr>
                <w:b/>
                <w:bCs/>
              </w:rPr>
              <w:t xml:space="preserve">15</w:t>
            </w:r>
            <w:r>
              <w:t xml:space="preserve"> </w:t>
            </w:r>
            <w:r>
              <w:t xml:space="preserve">of next month</w:t>
            </w:r>
          </w:p>
        </w:tc>
        <w:tc>
          <w:tcPr/>
          <w:p>
            <w:pPr>
              <w:pStyle w:val="Compact"/>
            </w:pPr>
            <w:r>
              <w:t xml:space="preserve">BOT</w:t>
            </w:r>
          </w:p>
        </w:tc>
      </w:tr>
      <w:tr>
        <w:tc>
          <w:tcPr/>
          <w:p>
            <w:pPr>
              <w:pStyle w:val="Compact"/>
            </w:pPr>
            <w:r>
              <w:t xml:space="preserve">R3 STR/urgent</w:t>
            </w:r>
          </w:p>
        </w:tc>
        <w:tc>
          <w:tcPr/>
          <w:p>
            <w:pPr>
              <w:pStyle w:val="Compact"/>
            </w:pPr>
            <w:r>
              <w:t xml:space="preserve">per case</w:t>
            </w:r>
          </w:p>
        </w:tc>
        <w:tc>
          <w:tcPr/>
          <w:p>
            <w:pPr>
              <w:pStyle w:val="Compact"/>
            </w:pPr>
            <w:r>
              <w:rPr>
                <w:b/>
                <w:bCs/>
              </w:rPr>
              <w:t xml:space="preserve">immediately</w:t>
            </w:r>
            <w:r>
              <w:t xml:space="preserve"> </w:t>
            </w:r>
            <w:r>
              <w:t xml:space="preserve">per AMLO rules</w:t>
            </w:r>
          </w:p>
        </w:tc>
        <w:tc>
          <w:tcPr/>
          <w:p>
            <w:pPr>
              <w:pStyle w:val="Compact"/>
            </w:pPr>
            <w:r>
              <w:t xml:space="preserve">AMLO system</w:t>
            </w:r>
          </w:p>
        </w:tc>
      </w:tr>
      <w:tr>
        <w:tc>
          <w:tcPr/>
          <w:p>
            <w:pPr>
              <w:pStyle w:val="Compact"/>
            </w:pPr>
            <w:r>
              <w:t xml:space="preserve">R4 Incident (immediate)</w:t>
            </w:r>
          </w:p>
        </w:tc>
        <w:tc>
          <w:tcPr/>
          <w:p>
            <w:pPr>
              <w:pStyle w:val="Compact"/>
            </w:pPr>
            <w:r>
              <w:t xml:space="preserve">per event</w:t>
            </w:r>
          </w:p>
        </w:tc>
        <w:tc>
          <w:tcPr/>
          <w:p>
            <w:pPr>
              <w:pStyle w:val="Compact"/>
            </w:pPr>
            <w:r>
              <w:rPr>
                <w:b/>
                <w:bCs/>
              </w:rPr>
              <w:t xml:space="preserve">initial ≤ 24h</w:t>
            </w:r>
            <w:r>
              <w:t xml:space="preserve"> </w:t>
            </w:r>
            <w:r>
              <w:t xml:space="preserve">/ full report ≤</w:t>
            </w:r>
            <w:r>
              <w:t xml:space="preserve"> </w:t>
            </w:r>
            <w:r>
              <w:rPr>
                <w:b/>
                <w:bCs/>
              </w:rPr>
              <w:t xml:space="preserve">72h</w:t>
            </w:r>
            <w:r>
              <w:t xml:space="preserve"> </w:t>
            </w:r>
            <w:r>
              <w:t xml:space="preserve">(see §7)</w:t>
            </w:r>
          </w:p>
        </w:tc>
        <w:tc>
          <w:tcPr/>
          <w:p>
            <w:pPr>
              <w:pStyle w:val="Compact"/>
            </w:pPr>
            <w:r>
              <w:t xml:space="preserve">BOT incident channel / ThaiCERT</w:t>
            </w:r>
          </w:p>
        </w:tc>
      </w:tr>
      <w:tr>
        <w:tc>
          <w:tcPr/>
          <w:p>
            <w:pPr>
              <w:pStyle w:val="Compact"/>
            </w:pPr>
            <w:r>
              <w:t xml:space="preserve">R4 Incident (summary)</w:t>
            </w:r>
          </w:p>
        </w:tc>
        <w:tc>
          <w:tcPr/>
          <w:p>
            <w:pPr>
              <w:pStyle w:val="Compact"/>
            </w:pPr>
            <w:r>
              <w:t xml:space="preserve">quarter</w:t>
            </w:r>
          </w:p>
        </w:tc>
        <w:tc>
          <w:tcPr/>
          <w:p>
            <w:pPr>
              <w:pStyle w:val="Compact"/>
            </w:pPr>
            <w:r>
              <w:t xml:space="preserve">within</w:t>
            </w:r>
            <w:r>
              <w:t xml:space="preserve"> </w:t>
            </w:r>
            <w:r>
              <w:rPr>
                <w:b/>
                <w:bCs/>
              </w:rPr>
              <w:t xml:space="preserve">30 days</w:t>
            </w:r>
            <w:r>
              <w:t xml:space="preserve"> </w:t>
            </w:r>
            <w:r>
              <w:t xml:space="preserve">of quarter-end</w:t>
            </w:r>
          </w:p>
        </w:tc>
        <w:tc>
          <w:tcPr/>
          <w:p>
            <w:pPr>
              <w:pStyle w:val="Compact"/>
            </w:pPr>
            <w:r>
              <w:t xml:space="preserve">BOT DMS</w:t>
            </w:r>
          </w:p>
        </w:tc>
      </w:tr>
      <w:tr>
        <w:tc>
          <w:tcPr/>
          <w:p>
            <w:pPr>
              <w:pStyle w:val="Compact"/>
            </w:pPr>
            <w:r>
              <w:t xml:space="preserve">R5 RoC/PCI</w:t>
            </w:r>
          </w:p>
        </w:tc>
        <w:tc>
          <w:tcPr/>
          <w:p>
            <w:pPr>
              <w:pStyle w:val="Compact"/>
            </w:pPr>
            <w:r>
              <w:t xml:space="preserve">quarter/year</w:t>
            </w:r>
          </w:p>
        </w:tc>
        <w:tc>
          <w:tcPr/>
          <w:p>
            <w:pPr>
              <w:pStyle w:val="Compact"/>
            </w:pPr>
            <w:r>
              <w:t xml:space="preserve">quarter: within</w:t>
            </w:r>
            <w:r>
              <w:t xml:space="preserve"> </w:t>
            </w:r>
            <w:r>
              <w:rPr>
                <w:b/>
                <w:bCs/>
              </w:rPr>
              <w:t xml:space="preserve">30 days</w:t>
            </w:r>
            <w:r>
              <w:t xml:space="preserve">; annual: within</w:t>
            </w:r>
            <w:r>
              <w:t xml:space="preserve"> </w:t>
            </w:r>
            <w:r>
              <w:rPr>
                <w:b/>
                <w:bCs/>
              </w:rPr>
              <w:t xml:space="preserve">60 days</w:t>
            </w:r>
            <w:r>
              <w:t xml:space="preserve"> </w:t>
            </w:r>
            <w:r>
              <w:t xml:space="preserve">of RoC issuance</w:t>
            </w:r>
          </w:p>
        </w:tc>
        <w:tc>
          <w:tcPr/>
          <w:p>
            <w:pPr>
              <w:pStyle w:val="Compact"/>
            </w:pPr>
            <w:r>
              <w:t xml:space="preserve">BOT</w:t>
            </w:r>
          </w:p>
        </w:tc>
      </w:tr>
    </w:tbl>
    <w:p>
      <w:pPr>
        <w:pStyle w:val="BlockText"/>
      </w:pPr>
      <w:r>
        <w:t xml:space="preserve">Data cut-offs use Thailand time (Asia/Bangkok, UTC+7); financial figures are THB, stored internally as</w:t>
      </w:r>
      <w:r>
        <w:t xml:space="preserve"> </w:t>
      </w:r>
      <w:r>
        <w:rPr>
          <w:b/>
          <w:bCs/>
        </w:rPr>
        <w:t xml:space="preserve">satang (integer minor units)</w:t>
      </w:r>
      <w:r>
        <w:t xml:space="preserve"> </w:t>
      </w:r>
      <w:r>
        <w:t xml:space="preserve">and presented as baht with 2 decimals.</w:t>
      </w:r>
    </w:p>
    <w:p>
      <w:r>
        <w:pict>
          <v:rect style="width:0;height:1.5pt" o:hralign="center" o:hrstd="t" o:hr="t"/>
        </w:pict>
      </w:r>
    </w:p>
    <w:bookmarkEnd w:id="1262"/>
    <w:bookmarkStart w:id="1266" w:name="r1-transaction-volume-template"/>
    <w:p>
      <w:pPr>
        <w:pStyle w:val="Heading2"/>
      </w:pPr>
      <w:r>
        <w:t xml:space="preserve">4. R1 — Transaction Volume Template</w:t>
      </w:r>
    </w:p>
    <w:p>
      <w:pPr>
        <w:pStyle w:val="FirstParagraph"/>
      </w:pPr>
      <w:r>
        <w:rPr>
          <w:b/>
          <w:bCs/>
        </w:rPr>
        <w:t xml:space="preserve">Sources:</w:t>
      </w:r>
      <w:r>
        <w:t xml:space="preserve"> </w:t>
      </w:r>
      <w:r>
        <w:rPr>
          <w:rStyle w:val="VerbatimChar"/>
        </w:rPr>
        <w:t xml:space="preserve">payments</w:t>
      </w:r>
      <w:r>
        <w:t xml:space="preserve">,</w:t>
      </w:r>
      <w:r>
        <w:t xml:space="preserve"> </w:t>
      </w:r>
      <w:r>
        <w:rPr>
          <w:rStyle w:val="VerbatimChar"/>
        </w:rPr>
        <w:t xml:space="preserve">ledger_entries</w:t>
      </w:r>
      <w:r>
        <w:t xml:space="preserve">,</w:t>
      </w:r>
      <w:r>
        <w:t xml:space="preserve"> </w:t>
      </w:r>
      <w:r>
        <w:rPr>
          <w:rStyle w:val="VerbatimChar"/>
        </w:rPr>
        <w:t xml:space="preserve">refunds</w:t>
      </w:r>
      <w:r>
        <w:t xml:space="preserve"> </w:t>
      </w:r>
      <w:r>
        <w:t xml:space="preserve">— reconciled against the acquirer/sponsor-bank settlement file.</w:t>
      </w:r>
    </w:p>
    <w:bookmarkStart w:id="1263" w:name="portfolio-summary-monthly"/>
    <w:p>
      <w:pPr>
        <w:pStyle w:val="Heading3"/>
      </w:pPr>
      <w:r>
        <w:t xml:space="preserve">4.1 Portfolio summary (monthly)</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report_period</w:t>
            </w:r>
          </w:p>
        </w:tc>
        <w:tc>
          <w:tcPr/>
          <w:p>
            <w:pPr>
              <w:pStyle w:val="Compact"/>
            </w:pPr>
            <w:r>
              <w:t xml:space="preserve">period (YYYY-MM)</w:t>
            </w:r>
          </w:p>
        </w:tc>
        <w:tc>
          <w:tcPr/>
          <w:p>
            <w:pPr>
              <w:pStyle w:val="Compact"/>
            </w:pPr>
            <w:r>
              <w:t xml:space="preserve">2026-06</w:t>
            </w:r>
          </w:p>
        </w:tc>
      </w:tr>
      <w:tr>
        <w:tc>
          <w:tcPr/>
          <w:p>
            <w:pPr>
              <w:pStyle w:val="Compact"/>
            </w:pPr>
            <w:r>
              <w:rPr>
                <w:rStyle w:val="VerbatimChar"/>
              </w:rPr>
              <w:t xml:space="preserve">txn_count_authorized</w:t>
            </w:r>
          </w:p>
        </w:tc>
        <w:tc>
          <w:tcPr/>
          <w:p>
            <w:pPr>
              <w:pStyle w:val="Compact"/>
            </w:pPr>
            <w:r>
              <w:t xml:space="preserve">successful authorizations</w:t>
            </w:r>
          </w:p>
        </w:tc>
        <w:tc>
          <w:tcPr/>
          <w:p>
            <w:pPr>
              <w:pStyle w:val="Compact"/>
            </w:pPr>
            <w:r>
              <w:t xml:space="preserve">«12,345»</w:t>
            </w:r>
          </w:p>
        </w:tc>
      </w:tr>
      <w:tr>
        <w:tc>
          <w:tcPr/>
          <w:p>
            <w:pPr>
              <w:pStyle w:val="Compact"/>
            </w:pPr>
            <w:r>
              <w:rPr>
                <w:rStyle w:val="VerbatimChar"/>
              </w:rPr>
              <w:t xml:space="preserve">txn_count_captured</w:t>
            </w:r>
          </w:p>
        </w:tc>
        <w:tc>
          <w:tcPr/>
          <w:p>
            <w:pPr>
              <w:pStyle w:val="Compact"/>
            </w:pPr>
            <w:r>
              <w:t xml:space="preserve">captures</w:t>
            </w:r>
          </w:p>
        </w:tc>
        <w:tc>
          <w:tcPr/>
          <w:p>
            <w:pPr>
              <w:pStyle w:val="Compact"/>
            </w:pPr>
            <w:r>
              <w:t xml:space="preserve">«11,980»</w:t>
            </w:r>
          </w:p>
        </w:tc>
      </w:tr>
      <w:tr>
        <w:tc>
          <w:tcPr/>
          <w:p>
            <w:pPr>
              <w:pStyle w:val="Compact"/>
            </w:pPr>
            <w:r>
              <w:rPr>
                <w:rStyle w:val="VerbatimChar"/>
              </w:rPr>
              <w:t xml:space="preserve">gross_amount_captured_thb</w:t>
            </w:r>
          </w:p>
        </w:tc>
        <w:tc>
          <w:tcPr/>
          <w:p>
            <w:pPr>
              <w:pStyle w:val="Compact"/>
            </w:pPr>
            <w:r>
              <w:t xml:space="preserve">total captured (THB)</w:t>
            </w:r>
          </w:p>
        </w:tc>
        <w:tc>
          <w:tcPr/>
          <w:p>
            <w:pPr>
              <w:pStyle w:val="Compact"/>
            </w:pPr>
            <w:r>
              <w:t xml:space="preserve">«45,200,150.00»</w:t>
            </w:r>
          </w:p>
        </w:tc>
      </w:tr>
      <w:tr>
        <w:tc>
          <w:tcPr/>
          <w:p>
            <w:pPr>
              <w:pStyle w:val="Compact"/>
            </w:pPr>
            <w:r>
              <w:rPr>
                <w:rStyle w:val="VerbatimChar"/>
              </w:rPr>
              <w:t xml:space="preserve">refund_count</w:t>
            </w:r>
            <w:r>
              <w:t xml:space="preserve"> </w:t>
            </w:r>
            <w:r>
              <w:t xml:space="preserve">/</w:t>
            </w:r>
            <w:r>
              <w:t xml:space="preserve"> </w:t>
            </w:r>
            <w:r>
              <w:rPr>
                <w:rStyle w:val="VerbatimChar"/>
              </w:rPr>
              <w:t xml:space="preserve">refund_amount_thb</w:t>
            </w:r>
          </w:p>
        </w:tc>
        <w:tc>
          <w:tcPr/>
          <w:p>
            <w:pPr>
              <w:pStyle w:val="Compact"/>
            </w:pPr>
            <w:r>
              <w:t xml:space="preserve">refund count/value</w:t>
            </w:r>
          </w:p>
        </w:tc>
        <w:tc>
          <w:tcPr/>
          <w:p>
            <w:pPr>
              <w:pStyle w:val="Compact"/>
            </w:pPr>
            <w:r>
              <w:t xml:space="preserve">«210 / 1,050,000.00»</w:t>
            </w:r>
          </w:p>
        </w:tc>
      </w:tr>
      <w:tr>
        <w:tc>
          <w:tcPr/>
          <w:p>
            <w:pPr>
              <w:pStyle w:val="Compact"/>
            </w:pPr>
            <w:r>
              <w:rPr>
                <w:rStyle w:val="VerbatimChar"/>
              </w:rPr>
              <w:t xml:space="preserve">void_count</w:t>
            </w:r>
          </w:p>
        </w:tc>
        <w:tc>
          <w:tcPr/>
          <w:p>
            <w:pPr>
              <w:pStyle w:val="Compact"/>
            </w:pPr>
            <w:r>
              <w:t xml:space="preserve">voids (pre-capture)</w:t>
            </w:r>
          </w:p>
        </w:tc>
        <w:tc>
          <w:tcPr/>
          <w:p>
            <w:pPr>
              <w:pStyle w:val="Compact"/>
            </w:pPr>
            <w:r>
              <w:t xml:space="preserve">«95»</w:t>
            </w:r>
          </w:p>
        </w:tc>
      </w:tr>
      <w:tr>
        <w:tc>
          <w:tcPr/>
          <w:p>
            <w:pPr>
              <w:pStyle w:val="Compact"/>
            </w:pPr>
            <w:r>
              <w:rPr>
                <w:rStyle w:val="VerbatimChar"/>
              </w:rPr>
              <w:t xml:space="preserve">net_settled_amount_thb</w:t>
            </w:r>
          </w:p>
        </w:tc>
        <w:tc>
          <w:tcPr/>
          <w:p>
            <w:pPr>
              <w:pStyle w:val="Compact"/>
            </w:pPr>
            <w:r>
              <w:t xml:space="preserve">net settled (capture − refund − fee)</w:t>
            </w:r>
          </w:p>
        </w:tc>
        <w:tc>
          <w:tcPr/>
          <w:p>
            <w:pPr>
              <w:pStyle w:val="Compact"/>
            </w:pPr>
            <w:r>
              <w:t xml:space="preserve">«43,900,120.00»</w:t>
            </w:r>
          </w:p>
        </w:tc>
      </w:tr>
      <w:tr>
        <w:tc>
          <w:tcPr/>
          <w:p>
            <w:pPr>
              <w:pStyle w:val="Compact"/>
            </w:pPr>
            <w:r>
              <w:rPr>
                <w:rStyle w:val="VerbatimChar"/>
              </w:rPr>
              <w:t xml:space="preserve">avg_ticket_thb</w:t>
            </w:r>
          </w:p>
        </w:tc>
        <w:tc>
          <w:tcPr/>
          <w:p>
            <w:pPr>
              <w:pStyle w:val="Compact"/>
            </w:pPr>
            <w:r>
              <w:t xml:space="preserve">average ticket value</w:t>
            </w:r>
          </w:p>
        </w:tc>
        <w:tc>
          <w:tcPr/>
          <w:p>
            <w:pPr>
              <w:pStyle w:val="Compact"/>
            </w:pPr>
            <w:r>
              <w:t xml:space="preserve">«3,772.00»</w:t>
            </w:r>
          </w:p>
        </w:tc>
      </w:tr>
      <w:tr>
        <w:tc>
          <w:tcPr/>
          <w:p>
            <w:pPr>
              <w:pStyle w:val="Compact"/>
            </w:pPr>
            <w:r>
              <w:rPr>
                <w:rStyle w:val="VerbatimChar"/>
              </w:rPr>
              <w:t xml:space="preserve">decline_rate_pct</w:t>
            </w:r>
          </w:p>
        </w:tc>
        <w:tc>
          <w:tcPr/>
          <w:p>
            <w:pPr>
              <w:pStyle w:val="Compact"/>
            </w:pPr>
            <w:r>
              <w:t xml:space="preserve">declined / attempted</w:t>
            </w:r>
          </w:p>
        </w:tc>
        <w:tc>
          <w:tcPr/>
          <w:p>
            <w:pPr>
              <w:pStyle w:val="Compact"/>
            </w:pPr>
            <w:r>
              <w:t xml:space="preserve">«4.8%»</w:t>
            </w:r>
          </w:p>
        </w:tc>
      </w:tr>
      <w:tr>
        <w:tc>
          <w:tcPr/>
          <w:p>
            <w:pPr>
              <w:pStyle w:val="Compact"/>
            </w:pPr>
            <w:r>
              <w:rPr>
                <w:rStyle w:val="VerbatimChar"/>
              </w:rPr>
              <w:t xml:space="preserve">merchant_count_active</w:t>
            </w:r>
          </w:p>
        </w:tc>
        <w:tc>
          <w:tcPr/>
          <w:p>
            <w:pPr>
              <w:pStyle w:val="Compact"/>
            </w:pPr>
            <w:r>
              <w:t xml:space="preserve">merchants with activity</w:t>
            </w:r>
          </w:p>
        </w:tc>
        <w:tc>
          <w:tcPr/>
          <w:p>
            <w:pPr>
              <w:pStyle w:val="Compact"/>
            </w:pPr>
            <w:r>
              <w:t xml:space="preserve">«318»</w:t>
            </w:r>
          </w:p>
        </w:tc>
      </w:tr>
    </w:tbl>
    <w:bookmarkEnd w:id="1263"/>
    <w:bookmarkStart w:id="1264" w:name="breakdowns-attached-sub-tables"/>
    <w:p>
      <w:pPr>
        <w:pStyle w:val="Heading3"/>
      </w:pPr>
      <w:r>
        <w:t xml:space="preserve">4.2 Breakdowns (attached sub-tables)</w:t>
      </w:r>
    </w:p>
    <w:p>
      <w:pPr>
        <w:pStyle w:val="Compact"/>
        <w:numPr>
          <w:ilvl w:val="0"/>
          <w:numId w:val="1450"/>
        </w:numPr>
      </w:pPr>
      <w:r>
        <w:rPr>
          <w:b/>
          <w:bCs/>
        </w:rPr>
        <w:t xml:space="preserve">By channel:</w:t>
      </w:r>
      <w:r>
        <w:t xml:space="preserve"> </w:t>
      </w:r>
      <w:r>
        <w:t xml:space="preserve">e-commerce (CNP) / POS (card-present) / QR / recurring</w:t>
      </w:r>
    </w:p>
    <w:p>
      <w:pPr>
        <w:pStyle w:val="Compact"/>
        <w:numPr>
          <w:ilvl w:val="0"/>
          <w:numId w:val="1450"/>
        </w:numPr>
      </w:pPr>
      <w:r>
        <w:rPr>
          <w:b/>
          <w:bCs/>
        </w:rPr>
        <w:t xml:space="preserve">By card brand:</w:t>
      </w:r>
      <w:r>
        <w:t xml:space="preserve"> </w:t>
      </w:r>
      <w:r>
        <w:t xml:space="preserve">Visa / Mastercard / JCB / UnionPay / local scheme</w:t>
      </w:r>
    </w:p>
    <w:p>
      <w:pPr>
        <w:pStyle w:val="Compact"/>
        <w:numPr>
          <w:ilvl w:val="0"/>
          <w:numId w:val="1450"/>
        </w:numPr>
      </w:pPr>
      <w:r>
        <w:rPr>
          <w:b/>
          <w:bCs/>
        </w:rPr>
        <w:t xml:space="preserve">By currency:</w:t>
      </w:r>
      <w:r>
        <w:t xml:space="preserve"> </w:t>
      </w:r>
      <w:r>
        <w:t xml:space="preserve">THB / others (state FX)</w:t>
      </w:r>
    </w:p>
    <w:p>
      <w:pPr>
        <w:pStyle w:val="Compact"/>
        <w:numPr>
          <w:ilvl w:val="0"/>
          <w:numId w:val="1450"/>
        </w:numPr>
      </w:pPr>
      <w:r>
        <w:rPr>
          <w:b/>
          <w:bCs/>
        </w:rPr>
        <w:t xml:space="preserve">By MCC / merchant category</w:t>
      </w:r>
      <w:r>
        <w:t xml:space="preserve"> </w:t>
      </w:r>
      <w:r>
        <w:t xml:space="preserve">(list high-risk MCCs separately)</w:t>
      </w:r>
    </w:p>
    <w:p>
      <w:pPr>
        <w:pStyle w:val="Compact"/>
        <w:numPr>
          <w:ilvl w:val="0"/>
          <w:numId w:val="1450"/>
        </w:numPr>
      </w:pPr>
      <w:r>
        <w:rPr>
          <w:b/>
          <w:bCs/>
        </w:rPr>
        <w:t xml:space="preserve">Top 10 merchants</w:t>
      </w:r>
      <w:r>
        <w:t xml:space="preserve"> </w:t>
      </w:r>
      <w:r>
        <w:t xml:space="preserve">by value (concentration risk)</w:t>
      </w:r>
    </w:p>
    <w:bookmarkEnd w:id="1264"/>
    <w:bookmarkStart w:id="1265" w:name="reconciliation-1"/>
    <w:p>
      <w:pPr>
        <w:pStyle w:val="Heading3"/>
      </w:pPr>
      <w:r>
        <w:t xml:space="preserve">4.3 Reconciliation</w:t>
      </w:r>
    </w:p>
    <w:p>
      <w:pPr>
        <w:pStyle w:val="FirstParagraph"/>
      </w:pPr>
      <w:r>
        <w:t xml:space="preserve">Attach a</w:t>
      </w:r>
      <w:r>
        <w:t xml:space="preserve"> </w:t>
      </w:r>
      <w:r>
        <w:rPr>
          <w:b/>
          <w:bCs/>
        </w:rPr>
        <w:t xml:space="preserve">reconciliation statement</w:t>
      </w:r>
      <w:r>
        <w:t xml:space="preserve">:</w:t>
      </w:r>
      <w:r>
        <w:t xml:space="preserve"> </w:t>
      </w:r>
      <w:r>
        <w:rPr>
          <w:rStyle w:val="VerbatimChar"/>
        </w:rPr>
        <w:t xml:space="preserve">ledger net</w:t>
      </w:r>
      <w:r>
        <w:t xml:space="preserve"> </w:t>
      </w:r>
      <w:r>
        <w:t xml:space="preserve">vs</w:t>
      </w:r>
      <w:r>
        <w:t xml:space="preserve"> </w:t>
      </w:r>
      <w:r>
        <w:rPr>
          <w:rStyle w:val="VerbatimChar"/>
        </w:rPr>
        <w:t xml:space="preserve">acquirer settlement file</w:t>
      </w:r>
      <w:r>
        <w:t xml:space="preserve"> </w:t>
      </w:r>
      <w:r>
        <w:t xml:space="preserve">— the difference must be</w:t>
      </w:r>
      <w:r>
        <w:t xml:space="preserve"> </w:t>
      </w:r>
      <w:r>
        <w:rPr>
          <w:b/>
          <w:bCs/>
        </w:rPr>
        <w:t xml:space="preserve">0</w:t>
      </w:r>
      <w:r>
        <w:t xml:space="preserve"> </w:t>
      </w:r>
      <w:r>
        <w:t xml:space="preserve">or every variance line explained (unmatched &gt; «0.5%» requires a remediation note).</w:t>
      </w:r>
    </w:p>
    <w:p>
      <w:r>
        <w:pict>
          <v:rect style="width:0;height:1.5pt" o:hralign="center" o:hrstd="t" o:hr="t"/>
        </w:pict>
      </w:r>
    </w:p>
    <w:bookmarkEnd w:id="1265"/>
    <w:bookmarkEnd w:id="1266"/>
    <w:bookmarkStart w:id="1270" w:name="r2-fraud-metrics-template"/>
    <w:p>
      <w:pPr>
        <w:pStyle w:val="Heading2"/>
      </w:pPr>
      <w:r>
        <w:t xml:space="preserve">5. R2 — Fraud Metrics Template</w:t>
      </w:r>
    </w:p>
    <w:p>
      <w:pPr>
        <w:pStyle w:val="FirstParagraph"/>
      </w:pPr>
      <w:r>
        <w:rPr>
          <w:b/>
          <w:bCs/>
        </w:rPr>
        <w:t xml:space="preserve">Sources:</w:t>
      </w:r>
      <w:r>
        <w:t xml:space="preserve"> </w:t>
      </w:r>
      <w:r>
        <w:t xml:space="preserve">Risk/Fraud Engine,</w:t>
      </w:r>
      <w:r>
        <w:t xml:space="preserve"> </w:t>
      </w:r>
      <w:r>
        <w:rPr>
          <w:rStyle w:val="VerbatimChar"/>
        </w:rPr>
        <w:t xml:space="preserve">payments</w:t>
      </w:r>
      <w:r>
        <w:t xml:space="preserve">, acquirer chargeback data, 3DS results (EMV 3DS / 3-D Secure 2.x).</w:t>
      </w:r>
    </w:p>
    <w:bookmarkStart w:id="1267" w:name="core-metrics-monthly"/>
    <w:p>
      <w:pPr>
        <w:pStyle w:val="Heading3"/>
      </w:pPr>
      <w:r>
        <w:t xml:space="preserve">5.1 Core metrics (monthly)</w:t>
      </w:r>
    </w:p>
    <w:tbl>
      <w:tblPr>
        <w:tblStyle w:val="Table"/>
        <w:tblW w:type="pct" w:w="5000"/>
        <w:tblLayout w:type="fixed"/>
        <w:tblLook w:firstRow="1" w:lastRow="0" w:firstColumn="0" w:lastColumn="0" w:noHBand="0" w:noVBand="0" w:val="0020"/>
      </w:tblPr>
      <w:tblGrid>
        <w:gridCol w:w="1155"/>
        <w:gridCol w:w="2145"/>
        <w:gridCol w:w="462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Watch threshold (default)</w:t>
            </w:r>
          </w:p>
        </w:tc>
      </w:tr>
      <w:tr>
        <w:tc>
          <w:tcPr/>
          <w:p>
            <w:pPr>
              <w:pStyle w:val="Compact"/>
            </w:pPr>
            <w:r>
              <w:rPr>
                <w:rStyle w:val="VerbatimChar"/>
              </w:rPr>
              <w:t xml:space="preserve">fraud_txn_count</w:t>
            </w:r>
            <w:r>
              <w:t xml:space="preserve"> </w:t>
            </w:r>
            <w:r>
              <w:t xml:space="preserve">/</w:t>
            </w:r>
            <w:r>
              <w:t xml:space="preserve"> </w:t>
            </w:r>
            <w:r>
              <w:rPr>
                <w:rStyle w:val="VerbatimChar"/>
              </w:rPr>
              <w:t xml:space="preserve">fraud_amount_thb</w:t>
            </w:r>
          </w:p>
        </w:tc>
        <w:tc>
          <w:tcPr/>
          <w:p>
            <w:pPr>
              <w:pStyle w:val="Compact"/>
            </w:pPr>
            <w:r>
              <w:t xml:space="preserve">confirmed fraud count/value</w:t>
            </w:r>
          </w:p>
        </w:tc>
        <w:tc>
          <w:tcPr/>
          <w:p>
            <w:pPr>
              <w:pStyle w:val="Compact"/>
            </w:pPr>
            <w:r>
              <w:t xml:space="preserve">—</w:t>
            </w:r>
          </w:p>
        </w:tc>
      </w:tr>
      <w:tr>
        <w:tc>
          <w:tcPr/>
          <w:p>
            <w:pPr>
              <w:pStyle w:val="Compact"/>
            </w:pPr>
            <w:r>
              <w:rPr>
                <w:rStyle w:val="VerbatimChar"/>
              </w:rPr>
              <w:t xml:space="preserve">fraud_rate_bps</w:t>
            </w:r>
          </w:p>
        </w:tc>
        <w:tc>
          <w:tcPr/>
          <w:p>
            <w:pPr>
              <w:pStyle w:val="Compact"/>
            </w:pPr>
            <w:r>
              <w:t xml:space="preserve">fraud value ÷ captured value (basis points)</w:t>
            </w:r>
          </w:p>
        </w:tc>
        <w:tc>
          <w:tcPr/>
          <w:p>
            <w:pPr>
              <w:pStyle w:val="Compact"/>
            </w:pPr>
            <w:r>
              <w:rPr>
                <w:b/>
                <w:bCs/>
              </w:rPr>
              <w:t xml:space="preserve">internal alert &gt; 15 bps; critical &gt; 40 bps</w:t>
            </w:r>
            <w:r>
              <w:t xml:space="preserve"> </w:t>
            </w:r>
            <w:r>
              <w:t xml:space="preserve">(aligned to scheme fraud monitoring)</w:t>
            </w:r>
          </w:p>
        </w:tc>
      </w:tr>
      <w:tr>
        <w:tc>
          <w:tcPr/>
          <w:p>
            <w:pPr>
              <w:pStyle w:val="Compact"/>
            </w:pPr>
            <w:r>
              <w:rPr>
                <w:rStyle w:val="VerbatimChar"/>
              </w:rPr>
              <w:t xml:space="preserve">chargeback_count</w:t>
            </w:r>
            <w:r>
              <w:t xml:space="preserve"> </w:t>
            </w:r>
            <w:r>
              <w:t xml:space="preserve">/</w:t>
            </w:r>
            <w:r>
              <w:t xml:space="preserve"> </w:t>
            </w:r>
            <w:r>
              <w:rPr>
                <w:rStyle w:val="VerbatimChar"/>
              </w:rPr>
              <w:t xml:space="preserve">chargeback_amount_thb</w:t>
            </w:r>
          </w:p>
        </w:tc>
        <w:tc>
          <w:tcPr/>
          <w:p>
            <w:pPr>
              <w:pStyle w:val="Compact"/>
            </w:pPr>
            <w:r>
              <w:t xml:space="preserve">chargeback volume</w:t>
            </w:r>
          </w:p>
        </w:tc>
        <w:tc>
          <w:tcPr/>
          <w:p>
            <w:pPr>
              <w:pStyle w:val="Compact"/>
            </w:pPr>
            <w:r>
              <w:t xml:space="preserve">—</w:t>
            </w:r>
          </w:p>
        </w:tc>
      </w:tr>
      <w:tr>
        <w:tc>
          <w:tcPr/>
          <w:p>
            <w:pPr>
              <w:pStyle w:val="Compact"/>
            </w:pPr>
            <w:r>
              <w:rPr>
                <w:rStyle w:val="VerbatimChar"/>
              </w:rPr>
              <w:t xml:space="preserve">chargeback_ratio_pct</w:t>
            </w:r>
          </w:p>
        </w:tc>
        <w:tc>
          <w:tcPr/>
          <w:p>
            <w:pPr>
              <w:pStyle w:val="Compact"/>
            </w:pPr>
            <w:r>
              <w:t xml:space="preserve">chargebacks ÷ captures</w:t>
            </w:r>
          </w:p>
        </w:tc>
        <w:tc>
          <w:tcPr/>
          <w:p>
            <w:pPr>
              <w:pStyle w:val="Compact"/>
            </w:pPr>
            <w:r>
              <w:rPr>
                <w:b/>
                <w:bCs/>
              </w:rPr>
              <w:t xml:space="preserve">watch &gt; 0.65%; critical &gt; 0.9%</w:t>
            </w:r>
            <w:r>
              <w:t xml:space="preserve"> </w:t>
            </w:r>
            <w:r>
              <w:t xml:space="preserve">(Visa VDMP / Mastercard ECM guidance)</w:t>
            </w:r>
          </w:p>
        </w:tc>
      </w:tr>
      <w:tr>
        <w:tc>
          <w:tcPr/>
          <w:p>
            <w:pPr>
              <w:pStyle w:val="Compact"/>
            </w:pPr>
            <w:r>
              <w:rPr>
                <w:rStyle w:val="VerbatimChar"/>
              </w:rPr>
              <w:t xml:space="preserve">3ds_attempt_rate_pct</w:t>
            </w:r>
          </w:p>
        </w:tc>
        <w:tc>
          <w:tcPr/>
          <w:p>
            <w:pPr>
              <w:pStyle w:val="Compact"/>
            </w:pPr>
            <w:r>
              <w:t xml:space="preserve">share going through 3DS</w:t>
            </w:r>
          </w:p>
        </w:tc>
        <w:tc>
          <w:tcPr/>
          <w:p>
            <w:pPr>
              <w:pStyle w:val="Compact"/>
            </w:pPr>
            <w:r>
              <w:t xml:space="preserve">«96.5%»</w:t>
            </w:r>
          </w:p>
        </w:tc>
      </w:tr>
      <w:tr>
        <w:tc>
          <w:tcPr/>
          <w:p>
            <w:pPr>
              <w:pStyle w:val="Compact"/>
            </w:pPr>
            <w:r>
              <w:rPr>
                <w:rStyle w:val="VerbatimChar"/>
              </w:rPr>
              <w:t xml:space="preserve">3ds_challenge_rate_pct</w:t>
            </w:r>
          </w:p>
        </w:tc>
        <w:tc>
          <w:tcPr/>
          <w:p>
            <w:pPr>
              <w:pStyle w:val="Compact"/>
            </w:pPr>
            <w:r>
              <w:t xml:space="preserve">share challenged</w:t>
            </w:r>
          </w:p>
        </w:tc>
        <w:tc>
          <w:tcPr/>
          <w:p>
            <w:pPr>
              <w:pStyle w:val="Compact"/>
            </w:pPr>
            <w:r>
              <w:t xml:space="preserve">«12.0%»</w:t>
            </w:r>
          </w:p>
        </w:tc>
      </w:tr>
      <w:tr>
        <w:tc>
          <w:tcPr/>
          <w:p>
            <w:pPr>
              <w:pStyle w:val="Compact"/>
            </w:pPr>
            <w:r>
              <w:rPr>
                <w:rStyle w:val="VerbatimChar"/>
              </w:rPr>
              <w:t xml:space="preserve">fraud_prevented_count</w:t>
            </w:r>
          </w:p>
        </w:tc>
        <w:tc>
          <w:tcPr/>
          <w:p>
            <w:pPr>
              <w:pStyle w:val="Compact"/>
            </w:pPr>
            <w:r>
              <w:t xml:space="preserve">txns blocked by rule/model</w:t>
            </w:r>
          </w:p>
        </w:tc>
        <w:tc>
          <w:tcPr/>
          <w:p>
            <w:pPr>
              <w:pStyle w:val="Compact"/>
            </w:pPr>
            <w:r>
              <w:t xml:space="preserve">—</w:t>
            </w:r>
          </w:p>
        </w:tc>
      </w:tr>
      <w:tr>
        <w:tc>
          <w:tcPr/>
          <w:p>
            <w:pPr>
              <w:pStyle w:val="Compact"/>
            </w:pPr>
            <w:r>
              <w:rPr>
                <w:rStyle w:val="VerbatimChar"/>
              </w:rPr>
              <w:t xml:space="preserve">false_positive_rate_pct</w:t>
            </w:r>
          </w:p>
        </w:tc>
        <w:tc>
          <w:tcPr/>
          <w:p>
            <w:pPr>
              <w:pStyle w:val="Compact"/>
            </w:pPr>
            <w:r>
              <w:t xml:space="preserve">wrongful block rate</w:t>
            </w:r>
          </w:p>
        </w:tc>
        <w:tc>
          <w:tcPr/>
          <w:p>
            <w:pPr>
              <w:pStyle w:val="Compact"/>
            </w:pPr>
            <w:r>
              <w:t xml:space="preserve">«&lt; 2%»</w:t>
            </w:r>
          </w:p>
        </w:tc>
      </w:tr>
      <w:tr>
        <w:tc>
          <w:tcPr/>
          <w:p>
            <w:pPr>
              <w:pStyle w:val="Compact"/>
            </w:pPr>
            <w:r>
              <w:rPr>
                <w:rStyle w:val="VerbatimChar"/>
              </w:rPr>
              <w:t xml:space="preserve">velocity_block_count</w:t>
            </w:r>
          </w:p>
        </w:tc>
        <w:tc>
          <w:tcPr/>
          <w:p>
            <w:pPr>
              <w:pStyle w:val="Compact"/>
            </w:pPr>
            <w:r>
              <w:t xml:space="preserve">velocity-rule blocks</w:t>
            </w:r>
          </w:p>
        </w:tc>
        <w:tc>
          <w:tcPr/>
          <w:p>
            <w:pPr>
              <w:pStyle w:val="Compact"/>
            </w:pPr>
            <w:r>
              <w:t xml:space="preserve">—</w:t>
            </w:r>
          </w:p>
        </w:tc>
      </w:tr>
      <w:tr>
        <w:tc>
          <w:tcPr/>
          <w:p>
            <w:pPr>
              <w:pStyle w:val="Compact"/>
            </w:pPr>
            <w:r>
              <w:rPr>
                <w:rStyle w:val="VerbatimChar"/>
              </w:rPr>
              <w:t xml:space="preserve">blacklist_hit_count</w:t>
            </w:r>
          </w:p>
        </w:tc>
        <w:tc>
          <w:tcPr/>
          <w:p>
            <w:pPr>
              <w:pStyle w:val="Compact"/>
            </w:pPr>
            <w:r>
              <w:t xml:space="preserve">BIN/card/device blacklist hits</w:t>
            </w:r>
          </w:p>
        </w:tc>
        <w:tc>
          <w:tcPr/>
          <w:p>
            <w:pPr>
              <w:pStyle w:val="Compact"/>
            </w:pPr>
            <w:r>
              <w:t xml:space="preserve">—</w:t>
            </w:r>
          </w:p>
        </w:tc>
      </w:tr>
    </w:tbl>
    <w:bookmarkEnd w:id="1267"/>
    <w:bookmarkStart w:id="1268" w:name="fraud-typology"/>
    <w:p>
      <w:pPr>
        <w:pStyle w:val="Heading3"/>
      </w:pPr>
      <w:r>
        <w:t xml:space="preserve">5.2 Fraud typology</w:t>
      </w:r>
    </w:p>
    <w:p>
      <w:pPr>
        <w:pStyle w:val="FirstParagraph"/>
      </w:pPr>
      <w:r>
        <w:t xml:space="preserve">CNP fraud / lost-stolen / counterfeit / account takeover / friendly fraud / merchant collusion — with a</w:t>
      </w:r>
      <w:r>
        <w:t xml:space="preserve"> </w:t>
      </w:r>
      <w:r>
        <w:rPr>
          <w:b/>
          <w:bCs/>
        </w:rPr>
        <w:t xml:space="preserve">3-period trend</w:t>
      </w:r>
      <w:r>
        <w:t xml:space="preserve"> </w:t>
      </w:r>
      <w:r>
        <w:t xml:space="preserve">and</w:t>
      </w:r>
      <w:r>
        <w:t xml:space="preserve"> </w:t>
      </w:r>
      <w:r>
        <w:rPr>
          <w:b/>
          <w:bCs/>
        </w:rPr>
        <w:t xml:space="preserve">top merchants by fraud</w:t>
      </w:r>
      <w:r>
        <w:t xml:space="preserve">.</w:t>
      </w:r>
    </w:p>
    <w:bookmarkEnd w:id="1268"/>
    <w:bookmarkStart w:id="1269" w:name="remediation"/>
    <w:p>
      <w:pPr>
        <w:pStyle w:val="Heading3"/>
      </w:pPr>
      <w:r>
        <w:t xml:space="preserve">5.3 Remediation</w:t>
      </w:r>
    </w:p>
    <w:p>
      <w:pPr>
        <w:pStyle w:val="FirstParagraph"/>
      </w:pPr>
      <w:r>
        <w:t xml:space="preserve">Each quarter summarize: rules added/tuned, 3DS challenge escalation, high-risk merchant suspensions, and the plan to keep chargeback ratio below scheme thresholds.</w:t>
      </w:r>
    </w:p>
    <w:p>
      <w:r>
        <w:pict>
          <v:rect style="width:0;height:1.5pt" o:hralign="center" o:hrstd="t" o:hr="t"/>
        </w:pict>
      </w:r>
    </w:p>
    <w:bookmarkEnd w:id="1269"/>
    <w:bookmarkEnd w:id="1270"/>
    <w:bookmarkStart w:id="1273" w:name="r3-amlcft-cases-template"/>
    <w:p>
      <w:pPr>
        <w:pStyle w:val="Heading2"/>
      </w:pPr>
      <w:r>
        <w:t xml:space="preserve">6. R3 — AML/CFT Cases Template</w:t>
      </w:r>
    </w:p>
    <w:p>
      <w:pPr>
        <w:pStyle w:val="FirstParagraph"/>
      </w:pPr>
      <w:r>
        <w:rPr>
          <w:b/>
          <w:bCs/>
        </w:rPr>
        <w:t xml:space="preserve">Legal frame:</w:t>
      </w:r>
      <w:r>
        <w:t xml:space="preserve"> </w:t>
      </w:r>
      <w:r>
        <w:t xml:space="preserve">the Anti-Money Laundering Act and the Counter-Terrorism &amp; Proliferation Financing Act, supervised by the</w:t>
      </w:r>
      <w:r>
        <w:t xml:space="preserve"> </w:t>
      </w:r>
      <w:r>
        <w:rPr>
          <w:b/>
          <w:bCs/>
        </w:rPr>
        <w:t xml:space="preserve">Anti-Money Laundering Office (AMLO)</w:t>
      </w:r>
      <w:r>
        <w:t xml:space="preserve">. AML risk oversight is summarized to BOT;</w:t>
      </w:r>
      <w:r>
        <w:t xml:space="preserve"> </w:t>
      </w:r>
      <w:r>
        <w:rPr>
          <w:b/>
          <w:bCs/>
        </w:rPr>
        <w:t xml:space="preserve">STRs/CTRs are filed directly to AMLO</w:t>
      </w:r>
      <w:r>
        <w:t xml:space="preserve">.</w:t>
      </w:r>
    </w:p>
    <w:bookmarkStart w:id="1271" w:name="numeric-summary-monthly-to-bot"/>
    <w:p>
      <w:pPr>
        <w:pStyle w:val="Heading3"/>
      </w:pPr>
      <w:r>
        <w:t xml:space="preserve">6.1 Numeric summary (monthly — to BOT)</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rPr>
                <w:rStyle w:val="VerbatimChar"/>
              </w:rPr>
              <w:t xml:space="preserve">str_filed_count</w:t>
            </w:r>
          </w:p>
        </w:tc>
        <w:tc>
          <w:tcPr/>
          <w:p>
            <w:pPr>
              <w:pStyle w:val="Compact"/>
            </w:pPr>
            <w:r>
              <w:t xml:space="preserve">STRs filed to AMLO in the period</w:t>
            </w:r>
          </w:p>
        </w:tc>
      </w:tr>
      <w:tr>
        <w:tc>
          <w:tcPr/>
          <w:p>
            <w:pPr>
              <w:pStyle w:val="Compact"/>
            </w:pPr>
            <w:r>
              <w:rPr>
                <w:rStyle w:val="VerbatimChar"/>
              </w:rPr>
              <w:t xml:space="preserve">ctr_filed_count</w:t>
            </w:r>
          </w:p>
        </w:tc>
        <w:tc>
          <w:tcPr/>
          <w:p>
            <w:pPr>
              <w:pStyle w:val="Compact"/>
            </w:pPr>
            <w:r>
              <w:t xml:space="preserve">cash/threshold-value reports (if any)</w:t>
            </w:r>
          </w:p>
        </w:tc>
      </w:tr>
      <w:tr>
        <w:tc>
          <w:tcPr/>
          <w:p>
            <w:pPr>
              <w:pStyle w:val="Compact"/>
            </w:pPr>
            <w:r>
              <w:rPr>
                <w:rStyle w:val="VerbatimChar"/>
              </w:rPr>
              <w:t xml:space="preserve">sanction_screening_hits</w:t>
            </w:r>
          </w:p>
        </w:tc>
        <w:tc>
          <w:tcPr/>
          <w:p>
            <w:pPr>
              <w:pStyle w:val="Compact"/>
            </w:pPr>
            <w:r>
              <w:t xml:space="preserve">screening hits (UN, OFAC, AMLO designated list)</w:t>
            </w:r>
          </w:p>
        </w:tc>
      </w:tr>
      <w:tr>
        <w:tc>
          <w:tcPr/>
          <w:p>
            <w:pPr>
              <w:pStyle w:val="Compact"/>
            </w:pPr>
            <w:r>
              <w:rPr>
                <w:rStyle w:val="VerbatimChar"/>
              </w:rPr>
              <w:t xml:space="preserve">true_positive_hits</w:t>
            </w:r>
          </w:p>
        </w:tc>
        <w:tc>
          <w:tcPr/>
          <w:p>
            <w:pPr>
              <w:pStyle w:val="Compact"/>
            </w:pPr>
            <w:r>
              <w:t xml:space="preserve">confirmed prohibited persons/entities</w:t>
            </w:r>
          </w:p>
        </w:tc>
      </w:tr>
      <w:tr>
        <w:tc>
          <w:tcPr/>
          <w:p>
            <w:pPr>
              <w:pStyle w:val="Compact"/>
            </w:pPr>
            <w:r>
              <w:rPr>
                <w:rStyle w:val="VerbatimChar"/>
              </w:rPr>
              <w:t xml:space="preserve">accounts_frozen_count</w:t>
            </w:r>
          </w:p>
        </w:tc>
        <w:tc>
          <w:tcPr/>
          <w:p>
            <w:pPr>
              <w:pStyle w:val="Compact"/>
            </w:pPr>
            <w:r>
              <w:t xml:space="preserve">accounts/merchants frozen or suspended</w:t>
            </w:r>
          </w:p>
        </w:tc>
      </w:tr>
      <w:tr>
        <w:tc>
          <w:tcPr/>
          <w:p>
            <w:pPr>
              <w:pStyle w:val="Compact"/>
            </w:pPr>
            <w:r>
              <w:rPr>
                <w:rStyle w:val="VerbatimChar"/>
              </w:rPr>
              <w:t xml:space="preserve">edd_cases_count</w:t>
            </w:r>
          </w:p>
        </w:tc>
        <w:tc>
          <w:tcPr/>
          <w:p>
            <w:pPr>
              <w:pStyle w:val="Compact"/>
            </w:pPr>
            <w:r>
              <w:t xml:space="preserve">cases escalated to Enhanced Due Diligence</w:t>
            </w:r>
          </w:p>
        </w:tc>
      </w:tr>
      <w:tr>
        <w:tc>
          <w:tcPr/>
          <w:p>
            <w:pPr>
              <w:pStyle w:val="Compact"/>
            </w:pPr>
            <w:r>
              <w:rPr>
                <w:rStyle w:val="VerbatimChar"/>
              </w:rPr>
              <w:t xml:space="preserve">pep_relationships_count</w:t>
            </w:r>
          </w:p>
        </w:tc>
        <w:tc>
          <w:tcPr/>
          <w:p>
            <w:pPr>
              <w:pStyle w:val="Compact"/>
            </w:pPr>
            <w:r>
              <w:t xml:space="preserve">Politically Exposed Person relationships</w:t>
            </w:r>
          </w:p>
        </w:tc>
      </w:tr>
      <w:tr>
        <w:tc>
          <w:tcPr/>
          <w:p>
            <w:pPr>
              <w:pStyle w:val="Compact"/>
            </w:pPr>
            <w:r>
              <w:rPr>
                <w:rStyle w:val="VerbatimChar"/>
              </w:rPr>
              <w:t xml:space="preserve">cdd_overdue_count</w:t>
            </w:r>
          </w:p>
        </w:tc>
        <w:tc>
          <w:tcPr/>
          <w:p>
            <w:pPr>
              <w:pStyle w:val="Compact"/>
            </w:pPr>
            <w:r>
              <w:t xml:space="preserve">merchants with overdue CDD review</w:t>
            </w:r>
          </w:p>
        </w:tc>
      </w:tr>
    </w:tbl>
    <w:bookmarkEnd w:id="1271"/>
    <w:bookmarkStart w:id="1272" w:name="case-register-attached-pdpa-redacted"/>
    <w:p>
      <w:pPr>
        <w:pStyle w:val="Heading3"/>
      </w:pPr>
      <w:r>
        <w:t xml:space="preserve">6.2 Case register (attached, PDPA-redacted)</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Note</w:t>
            </w:r>
          </w:p>
        </w:tc>
      </w:tr>
      <w:tr>
        <w:tc>
          <w:tcPr/>
          <w:p>
            <w:pPr>
              <w:pStyle w:val="Compact"/>
            </w:pPr>
            <w:r>
              <w:rPr>
                <w:rStyle w:val="VerbatimChar"/>
              </w:rPr>
              <w:t xml:space="preserve">case_id</w:t>
            </w:r>
          </w:p>
        </w:tc>
        <w:tc>
          <w:tcPr/>
          <w:p>
            <w:pPr>
              <w:pStyle w:val="Compact"/>
            </w:pPr>
            <w:r>
              <w:t xml:space="preserve">internal ID (de-identified in summary version)</w:t>
            </w:r>
          </w:p>
        </w:tc>
      </w:tr>
      <w:tr>
        <w:tc>
          <w:tcPr/>
          <w:p>
            <w:pPr>
              <w:pStyle w:val="Compact"/>
            </w:pPr>
            <w:r>
              <w:rPr>
                <w:rStyle w:val="VerbatimChar"/>
              </w:rPr>
              <w:t xml:space="preserve">case_type</w:t>
            </w:r>
          </w:p>
        </w:tc>
        <w:tc>
          <w:tcPr/>
          <w:p>
            <w:pPr>
              <w:pStyle w:val="Compact"/>
            </w:pPr>
            <w:r>
              <w:t xml:space="preserve">STR / sanction / EDD / PEP / structuring</w:t>
            </w:r>
          </w:p>
        </w:tc>
      </w:tr>
      <w:tr>
        <w:tc>
          <w:tcPr/>
          <w:p>
            <w:pPr>
              <w:pStyle w:val="Compact"/>
            </w:pPr>
            <w:r>
              <w:rPr>
                <w:rStyle w:val="VerbatimChar"/>
              </w:rPr>
              <w:t xml:space="preserve">opened_at</w:t>
            </w:r>
            <w:r>
              <w:t xml:space="preserve"> </w:t>
            </w:r>
            <w:r>
              <w:t xml:space="preserve">/</w:t>
            </w:r>
            <w:r>
              <w:t xml:space="preserve"> </w:t>
            </w:r>
            <w:r>
              <w:rPr>
                <w:rStyle w:val="VerbatimChar"/>
              </w:rPr>
              <w:t xml:space="preserve">status</w:t>
            </w:r>
          </w:p>
        </w:tc>
        <w:tc>
          <w:tcPr/>
          <w:p>
            <w:pPr>
              <w:pStyle w:val="Compact"/>
            </w:pPr>
            <w:r>
              <w:t xml:space="preserve">open / investigating / filed to AMLO / closed</w:t>
            </w:r>
          </w:p>
        </w:tc>
      </w:tr>
      <w:tr>
        <w:tc>
          <w:tcPr/>
          <w:p>
            <w:pPr>
              <w:pStyle w:val="Compact"/>
            </w:pPr>
            <w:r>
              <w:rPr>
                <w:rStyle w:val="VerbatimChar"/>
              </w:rPr>
              <w:t xml:space="preserve">amlo_ref_no</w:t>
            </w:r>
          </w:p>
        </w:tc>
        <w:tc>
          <w:tcPr/>
          <w:p>
            <w:pPr>
              <w:pStyle w:val="Compact"/>
            </w:pPr>
            <w:r>
              <w:t xml:space="preserve">AMLO acknowledgement reference (if any)</w:t>
            </w:r>
          </w:p>
        </w:tc>
      </w:tr>
      <w:tr>
        <w:tc>
          <w:tcPr/>
          <w:p>
            <w:pPr>
              <w:pStyle w:val="Compact"/>
            </w:pPr>
            <w:r>
              <w:rPr>
                <w:rStyle w:val="VerbatimChar"/>
              </w:rPr>
              <w:t xml:space="preserve">disposition</w:t>
            </w:r>
          </w:p>
        </w:tc>
        <w:tc>
          <w:tcPr/>
          <w:p>
            <w:pPr>
              <w:pStyle w:val="Compact"/>
            </w:pPr>
            <w:r>
              <w:t xml:space="preserve">outcome + action taken</w:t>
            </w:r>
          </w:p>
        </w:tc>
      </w:tr>
    </w:tbl>
    <w:p>
      <w:pPr>
        <w:pStyle w:val="BlockText"/>
      </w:pPr>
      <w:r>
        <w:t xml:space="preserve">⚠️</w:t>
      </w:r>
      <w:r>
        <w:t xml:space="preserve"> </w:t>
      </w:r>
      <w:r>
        <w:rPr>
          <w:b/>
          <w:bCs/>
        </w:rPr>
        <w:t xml:space="preserve">CALLOUT — urgency:</w:t>
      </w:r>
      <w:r>
        <w:t xml:space="preserve"> </w:t>
      </w:r>
      <w:r>
        <w:t xml:space="preserve">STRs must be filed to AMLO</w:t>
      </w:r>
      <w:r>
        <w:t xml:space="preserve"> </w:t>
      </w:r>
      <w:r>
        <w:rPr>
          <w:b/>
          <w:bCs/>
        </w:rPr>
        <w:t xml:space="preserve">immediately per AMLO rules</w:t>
      </w:r>
      <w:r>
        <w:t xml:space="preserve"> </w:t>
      </w:r>
      <w:r>
        <w:t xml:space="preserve">— never held for the monthly cycle. The monthly BOT report is a risk overview only, not an STR channel. Any transfer of customer data must comply with PDPA and the applicable lawful basis.</w:t>
      </w:r>
    </w:p>
    <w:p>
      <w:r>
        <w:pict>
          <v:rect style="width:0;height:1.5pt" o:hralign="center" o:hrstd="t" o:hr="t"/>
        </w:pict>
      </w:r>
    </w:p>
    <w:bookmarkEnd w:id="1272"/>
    <w:bookmarkEnd w:id="1273"/>
    <w:bookmarkStart w:id="1277" w:name="r4-incident-report-template"/>
    <w:p>
      <w:pPr>
        <w:pStyle w:val="Heading2"/>
      </w:pPr>
      <w:r>
        <w:t xml:space="preserve">7. R4 — Incident Report Template</w:t>
      </w:r>
    </w:p>
    <w:p>
      <w:pPr>
        <w:pStyle w:val="FirstParagraph"/>
      </w:pPr>
      <w:r>
        <w:rPr>
          <w:b/>
          <w:bCs/>
        </w:rPr>
        <w:t xml:space="preserve">Covers:</w:t>
      </w:r>
      <w:r>
        <w:t xml:space="preserve"> </w:t>
      </w:r>
      <w:r>
        <w:t xml:space="preserve">outages (availability &lt; 99.95% SLA), cybersecurity breaches, data leakage (including personal/cardholder data), systemic fraud, and acquirer/settlement failures.</w:t>
      </w:r>
    </w:p>
    <w:bookmarkStart w:id="1274" w:name="severity-levels"/>
    <w:p>
      <w:pPr>
        <w:pStyle w:val="Heading3"/>
      </w:pPr>
      <w:r>
        <w:t xml:space="preserve">7.1 Severity levels</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Level</w:t>
            </w:r>
          </w:p>
        </w:tc>
        <w:tc>
          <w:tcPr/>
          <w:p>
            <w:pPr>
              <w:pStyle w:val="Compact"/>
            </w:pPr>
            <w:r>
              <w:t xml:space="preserve">Definition</w:t>
            </w:r>
          </w:p>
        </w:tc>
        <w:tc>
          <w:tcPr/>
          <w:p>
            <w:pPr>
              <w:pStyle w:val="Compact"/>
            </w:pPr>
            <w:r>
              <w:t xml:space="preserve">Example</w:t>
            </w:r>
          </w:p>
        </w:tc>
      </w:tr>
      <w:tr>
        <w:tc>
          <w:tcPr/>
          <w:p>
            <w:pPr>
              <w:pStyle w:val="Compact"/>
            </w:pPr>
            <w:r>
              <w:rPr>
                <w:b/>
                <w:bCs/>
              </w:rPr>
              <w:t xml:space="preserve">SEV-1 (critical)</w:t>
            </w:r>
          </w:p>
        </w:tc>
        <w:tc>
          <w:tcPr/>
          <w:p>
            <w:pPr>
              <w:pStyle w:val="Compact"/>
            </w:pPr>
            <w:r>
              <w:t xml:space="preserve">broad impact / funds / cardholder-data leak / payments halted</w:t>
            </w:r>
          </w:p>
        </w:tc>
        <w:tc>
          <w:tcPr/>
          <w:p>
            <w:pPr>
              <w:pStyle w:val="Compact"/>
            </w:pPr>
            <w:r>
              <w:t xml:space="preserve">payment core down, suspected PAN exposure</w:t>
            </w:r>
          </w:p>
        </w:tc>
      </w:tr>
      <w:tr>
        <w:tc>
          <w:tcPr/>
          <w:p>
            <w:pPr>
              <w:pStyle w:val="Compact"/>
            </w:pPr>
            <w:r>
              <w:rPr>
                <w:b/>
                <w:bCs/>
              </w:rPr>
              <w:t xml:space="preserve">SEV-2 (high)</w:t>
            </w:r>
          </w:p>
        </w:tc>
        <w:tc>
          <w:tcPr/>
          <w:p>
            <w:pPr>
              <w:pStyle w:val="Compact"/>
            </w:pPr>
            <w:r>
              <w:t xml:space="preserve">partial/degraded service</w:t>
            </w:r>
          </w:p>
        </w:tc>
        <w:tc>
          <w:tcPr/>
          <w:p>
            <w:pPr>
              <w:pStyle w:val="Compact"/>
            </w:pPr>
            <w:r>
              <w:t xml:space="preserve">partial 3DS outage, sustained latency breach</w:t>
            </w:r>
          </w:p>
        </w:tc>
      </w:tr>
      <w:tr>
        <w:tc>
          <w:tcPr/>
          <w:p>
            <w:pPr>
              <w:pStyle w:val="Compact"/>
            </w:pPr>
            <w:r>
              <w:rPr>
                <w:b/>
                <w:bCs/>
              </w:rPr>
              <w:t xml:space="preserve">SEV-3 (medium)</w:t>
            </w:r>
          </w:p>
        </w:tc>
        <w:tc>
          <w:tcPr/>
          <w:p>
            <w:pPr>
              <w:pStyle w:val="Compact"/>
            </w:pPr>
            <w:r>
              <w:t xml:space="preserve">limited impact, workaround exists</w:t>
            </w:r>
          </w:p>
        </w:tc>
        <w:tc>
          <w:tcPr/>
          <w:p>
            <w:pPr>
              <w:pStyle w:val="Compact"/>
            </w:pPr>
            <w:r>
              <w:t xml:space="preserve">webhook delay, single-node failure</w:t>
            </w:r>
          </w:p>
        </w:tc>
      </w:tr>
      <w:tr>
        <w:tc>
          <w:tcPr/>
          <w:p>
            <w:pPr>
              <w:pStyle w:val="Compact"/>
            </w:pPr>
            <w:r>
              <w:rPr>
                <w:b/>
                <w:bCs/>
              </w:rPr>
              <w:t xml:space="preserve">SEV-4 (low)</w:t>
            </w:r>
          </w:p>
        </w:tc>
        <w:tc>
          <w:tcPr/>
          <w:p>
            <w:pPr>
              <w:pStyle w:val="Compact"/>
            </w:pPr>
            <w:r>
              <w:t xml:space="preserve">no customer impact</w:t>
            </w:r>
          </w:p>
        </w:tc>
        <w:tc>
          <w:tcPr/>
          <w:p>
            <w:pPr>
              <w:pStyle w:val="Compact"/>
            </w:pPr>
            <w:r>
              <w:t xml:space="preserve">preventive alert</w:t>
            </w:r>
          </w:p>
        </w:tc>
      </w:tr>
    </w:tbl>
    <w:bookmarkEnd w:id="1274"/>
    <w:bookmarkStart w:id="1275" w:name="Xa8ebd9d1a06180852557558ee5fa1f9523eb1c7"/>
    <w:p>
      <w:pPr>
        <w:pStyle w:val="Heading3"/>
      </w:pPr>
      <w:r>
        <w:t xml:space="preserve">7.2 Notification timeline (default — TODO confirm against license conditions)</w:t>
      </w:r>
    </w:p>
    <w:tbl>
      <w:tblPr>
        <w:tblStyle w:val="Table"/>
        <w:tblW w:type="pct" w:w="5000"/>
        <w:tblLayout w:type="fixed"/>
        <w:tblLook w:firstRow="1" w:lastRow="0" w:firstColumn="0" w:lastColumn="0" w:noHBand="0" w:noVBand="0" w:val="0020"/>
      </w:tblPr>
      <w:tblGrid>
        <w:gridCol w:w="2066"/>
        <w:gridCol w:w="2066"/>
        <w:gridCol w:w="3787"/>
      </w:tblGrid>
      <w:tr>
        <w:trPr>
          <w:tblHeader w:val="on"/>
        </w:trPr>
        <w:tc>
          <w:tcPr/>
          <w:p>
            <w:pPr>
              <w:pStyle w:val="Compact"/>
            </w:pPr>
            <w:r>
              <w:t xml:space="preserve">Step</w:t>
            </w:r>
          </w:p>
        </w:tc>
        <w:tc>
          <w:tcPr/>
          <w:p>
            <w:pPr>
              <w:pStyle w:val="Compact"/>
            </w:pPr>
            <w:r>
              <w:t xml:space="preserve">Time</w:t>
            </w:r>
          </w:p>
        </w:tc>
        <w:tc>
          <w:tcPr/>
          <w:p>
            <w:pPr>
              <w:pStyle w:val="Compact"/>
            </w:pPr>
            <w:r>
              <w:t xml:space="preserve">Recipient</w:t>
            </w:r>
          </w:p>
        </w:tc>
      </w:tr>
      <w:tr>
        <w:tc>
          <w:tcPr/>
          <w:p>
            <w:pPr>
              <w:pStyle w:val="Compact"/>
            </w:pPr>
            <w:r>
              <w:rPr>
                <w:b/>
                <w:bCs/>
              </w:rPr>
              <w:t xml:space="preserve">Initial notification</w:t>
            </w:r>
          </w:p>
        </w:tc>
        <w:tc>
          <w:tcPr/>
          <w:p>
            <w:pPr>
              <w:pStyle w:val="Compact"/>
            </w:pPr>
            <w:r>
              <w:t xml:space="preserve">≤</w:t>
            </w:r>
            <w:r>
              <w:t xml:space="preserve"> </w:t>
            </w:r>
            <w:r>
              <w:rPr>
                <w:b/>
                <w:bCs/>
              </w:rPr>
              <w:t xml:space="preserve">24 hours</w:t>
            </w:r>
            <w:r>
              <w:t xml:space="preserve"> </w:t>
            </w:r>
            <w:r>
              <w:t xml:space="preserve">after detection (SEV-1/2)</w:t>
            </w:r>
          </w:p>
        </w:tc>
        <w:tc>
          <w:tcPr/>
          <w:p>
            <w:pPr>
              <w:pStyle w:val="Compact"/>
            </w:pPr>
            <w:r>
              <w:t xml:space="preserve">BOT (incident channel), ThaiCERT if cyber</w:t>
            </w:r>
          </w:p>
        </w:tc>
      </w:tr>
      <w:tr>
        <w:tc>
          <w:tcPr/>
          <w:p>
            <w:pPr>
              <w:pStyle w:val="Compact"/>
            </w:pPr>
            <w:r>
              <w:rPr>
                <w:b/>
                <w:bCs/>
              </w:rPr>
              <w:t xml:space="preserve">Full report</w:t>
            </w:r>
          </w:p>
        </w:tc>
        <w:tc>
          <w:tcPr/>
          <w:p>
            <w:pPr>
              <w:pStyle w:val="Compact"/>
            </w:pPr>
            <w:r>
              <w:t xml:space="preserve">≤</w:t>
            </w:r>
            <w:r>
              <w:t xml:space="preserve"> </w:t>
            </w:r>
            <w:r>
              <w:rPr>
                <w:b/>
                <w:bCs/>
              </w:rPr>
              <w:t xml:space="preserve">72 hours</w:t>
            </w:r>
          </w:p>
        </w:tc>
        <w:tc>
          <w:tcPr/>
          <w:p>
            <w:pPr>
              <w:pStyle w:val="Compact"/>
            </w:pPr>
            <w:r>
              <w:t xml:space="preserve">BOT</w:t>
            </w:r>
          </w:p>
        </w:tc>
      </w:tr>
      <w:tr>
        <w:tc>
          <w:tcPr/>
          <w:p>
            <w:pPr>
              <w:pStyle w:val="Compact"/>
            </w:pPr>
            <w:r>
              <w:rPr>
                <w:b/>
                <w:bCs/>
              </w:rPr>
              <w:t xml:space="preserve">PDPC notification (personal-data breach)</w:t>
            </w:r>
          </w:p>
        </w:tc>
        <w:tc>
          <w:tcPr/>
          <w:p>
            <w:pPr>
              <w:pStyle w:val="Compact"/>
            </w:pPr>
            <w:r>
              <w:t xml:space="preserve">≤</w:t>
            </w:r>
            <w:r>
              <w:t xml:space="preserve"> </w:t>
            </w:r>
            <w:r>
              <w:rPr>
                <w:b/>
                <w:bCs/>
              </w:rPr>
              <w:t xml:space="preserve">72 hours</w:t>
            </w:r>
            <w:r>
              <w:t xml:space="preserve"> </w:t>
            </w:r>
            <w:r>
              <w:t xml:space="preserve">per PDPA</w:t>
            </w:r>
          </w:p>
        </w:tc>
        <w:tc>
          <w:tcPr/>
          <w:p>
            <w:pPr>
              <w:pStyle w:val="Compact"/>
            </w:pPr>
            <w:r>
              <w:t xml:space="preserve">PDPC + affected data subjects if high risk</w:t>
            </w:r>
          </w:p>
        </w:tc>
      </w:tr>
      <w:tr>
        <w:tc>
          <w:tcPr/>
          <w:p>
            <w:pPr>
              <w:pStyle w:val="Compact"/>
            </w:pPr>
            <w:r>
              <w:rPr>
                <w:b/>
                <w:bCs/>
              </w:rPr>
              <w:t xml:space="preserve">RCA / Post-mortem</w:t>
            </w:r>
          </w:p>
        </w:tc>
        <w:tc>
          <w:tcPr/>
          <w:p>
            <w:pPr>
              <w:pStyle w:val="Compact"/>
            </w:pPr>
            <w:r>
              <w:t xml:space="preserve">≤</w:t>
            </w:r>
            <w:r>
              <w:t xml:space="preserve"> </w:t>
            </w:r>
            <w:r>
              <w:rPr>
                <w:b/>
                <w:bCs/>
              </w:rPr>
              <w:t xml:space="preserve">14 days</w:t>
            </w:r>
          </w:p>
        </w:tc>
        <w:tc>
          <w:tcPr/>
          <w:p>
            <w:pPr>
              <w:pStyle w:val="Compact"/>
            </w:pPr>
            <w:r>
              <w:t xml:space="preserve">BOT + internal</w:t>
            </w:r>
          </w:p>
        </w:tc>
      </w:tr>
    </w:tbl>
    <w:bookmarkEnd w:id="1275"/>
    <w:bookmarkStart w:id="1276" w:name="incident-fields"/>
    <w:p>
      <w:pPr>
        <w:pStyle w:val="Heading3"/>
      </w:pPr>
      <w:r>
        <w:t xml:space="preserve">7.3 Incident fields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rPr>
                <w:rStyle w:val="VerbatimChar"/>
              </w:rPr>
              <w:t xml:space="preserve">incident_id</w:t>
            </w:r>
            <w:r>
              <w:t xml:space="preserve"> </w:t>
            </w:r>
            <w:r>
              <w:t xml:space="preserve">/</w:t>
            </w:r>
            <w:r>
              <w:t xml:space="preserve"> </w:t>
            </w:r>
            <w:r>
              <w:rPr>
                <w:rStyle w:val="VerbatimChar"/>
              </w:rPr>
              <w:t xml:space="preserve">severity</w:t>
            </w:r>
          </w:p>
        </w:tc>
        <w:tc>
          <w:tcPr/>
          <w:p>
            <w:pPr>
              <w:pStyle w:val="Compact"/>
            </w:pPr>
            <w:r>
              <w:t xml:space="preserve">ID + level</w:t>
            </w:r>
          </w:p>
        </w:tc>
      </w:tr>
      <w:tr>
        <w:tc>
          <w:tcPr/>
          <w:p>
            <w:pPr>
              <w:pStyle w:val="Compact"/>
            </w:pPr>
            <w:r>
              <w:rPr>
                <w:rStyle w:val="VerbatimChar"/>
              </w:rPr>
              <w:t xml:space="preserve">detected_at</w:t>
            </w:r>
            <w:r>
              <w:t xml:space="preserve"> </w:t>
            </w:r>
            <w:r>
              <w:t xml:space="preserve">/</w:t>
            </w:r>
            <w:r>
              <w:t xml:space="preserve"> </w:t>
            </w:r>
            <w:r>
              <w:rPr>
                <w:rStyle w:val="VerbatimChar"/>
              </w:rPr>
              <w:t xml:space="preserve">contained_at</w:t>
            </w:r>
            <w:r>
              <w:t xml:space="preserve"> </w:t>
            </w:r>
            <w:r>
              <w:t xml:space="preserve">/</w:t>
            </w:r>
            <w:r>
              <w:t xml:space="preserve"> </w:t>
            </w:r>
            <w:r>
              <w:rPr>
                <w:rStyle w:val="VerbatimChar"/>
              </w:rPr>
              <w:t xml:space="preserve">resolved_at</w:t>
            </w:r>
          </w:p>
        </w:tc>
        <w:tc>
          <w:tcPr/>
          <w:p>
            <w:pPr>
              <w:pStyle w:val="Compact"/>
            </w:pPr>
            <w:r>
              <w:t xml:space="preserve">timeline</w:t>
            </w:r>
          </w:p>
        </w:tc>
      </w:tr>
      <w:tr>
        <w:tc>
          <w:tcPr/>
          <w:p>
            <w:pPr>
              <w:pStyle w:val="Compact"/>
            </w:pPr>
            <w:r>
              <w:rPr>
                <w:rStyle w:val="VerbatimChar"/>
              </w:rPr>
              <w:t xml:space="preserve">category</w:t>
            </w:r>
          </w:p>
        </w:tc>
        <w:tc>
          <w:tcPr/>
          <w:p>
            <w:pPr>
              <w:pStyle w:val="Compact"/>
            </w:pPr>
            <w:r>
              <w:t xml:space="preserve">availability / security / data-breach / fraud / third-party</w:t>
            </w:r>
          </w:p>
        </w:tc>
      </w:tr>
      <w:tr>
        <w:tc>
          <w:tcPr/>
          <w:p>
            <w:pPr>
              <w:pStyle w:val="Compact"/>
            </w:pPr>
            <w:r>
              <w:rPr>
                <w:rStyle w:val="VerbatimChar"/>
              </w:rPr>
              <w:t xml:space="preserve">impact</w:t>
            </w:r>
          </w:p>
        </w:tc>
        <w:tc>
          <w:tcPr/>
          <w:p>
            <w:pPr>
              <w:pStyle w:val="Compact"/>
            </w:pPr>
            <w:r>
              <w:t xml:space="preserve">merchants/txns/value affected, whether cardholder/personal data involved</w:t>
            </w:r>
          </w:p>
        </w:tc>
      </w:tr>
      <w:tr>
        <w:tc>
          <w:tcPr/>
          <w:p>
            <w:pPr>
              <w:pStyle w:val="Compact"/>
            </w:pPr>
            <w:r>
              <w:rPr>
                <w:rStyle w:val="VerbatimChar"/>
              </w:rPr>
              <w:t xml:space="preserve">root_cause</w:t>
            </w:r>
          </w:p>
        </w:tc>
        <w:tc>
          <w:tcPr/>
          <w:p>
            <w:pPr>
              <w:pStyle w:val="Compact"/>
            </w:pPr>
            <w:r>
              <w:t xml:space="preserve">root cause (from RCA)</w:t>
            </w:r>
          </w:p>
        </w:tc>
      </w:tr>
      <w:tr>
        <w:tc>
          <w:tcPr/>
          <w:p>
            <w:pPr>
              <w:pStyle w:val="Compact"/>
            </w:pPr>
            <w:r>
              <w:rPr>
                <w:rStyle w:val="VerbatimChar"/>
              </w:rPr>
              <w:t xml:space="preserve">remediation</w:t>
            </w:r>
            <w:r>
              <w:t xml:space="preserve"> </w:t>
            </w:r>
            <w:r>
              <w:t xml:space="preserve">/</w:t>
            </w:r>
            <w:r>
              <w:t xml:space="preserve"> </w:t>
            </w:r>
            <w:r>
              <w:rPr>
                <w:rStyle w:val="VerbatimChar"/>
              </w:rPr>
              <w:t xml:space="preserve">preventive_actions</w:t>
            </w:r>
          </w:p>
        </w:tc>
        <w:tc>
          <w:tcPr/>
          <w:p>
            <w:pPr>
              <w:pStyle w:val="Compact"/>
            </w:pPr>
            <w:r>
              <w:t xml:space="preserve">fix + prevent-recurrence measures</w:t>
            </w:r>
          </w:p>
        </w:tc>
      </w:tr>
      <w:tr>
        <w:tc>
          <w:tcPr/>
          <w:p>
            <w:pPr>
              <w:pStyle w:val="Compact"/>
            </w:pPr>
            <w:r>
              <w:rPr>
                <w:rStyle w:val="VerbatimChar"/>
              </w:rPr>
              <w:t xml:space="preserve">pci_impact</w:t>
            </w:r>
          </w:p>
        </w:tc>
        <w:tc>
          <w:tcPr/>
          <w:p>
            <w:pPr>
              <w:pStyle w:val="Compact"/>
            </w:pPr>
            <w:r>
              <w:t xml:space="preserve">whether CDE / PCI scope affected</w:t>
            </w:r>
          </w:p>
        </w:tc>
      </w:tr>
      <w:tr>
        <w:tc>
          <w:tcPr/>
          <w:p>
            <w:pPr>
              <w:pStyle w:val="Compact"/>
            </w:pPr>
            <w:r>
              <w:rPr>
                <w:rStyle w:val="VerbatimChar"/>
              </w:rPr>
              <w:t xml:space="preserve">regulator_notified_at</w:t>
            </w:r>
          </w:p>
        </w:tc>
        <w:tc>
          <w:tcPr/>
          <w:p>
            <w:pPr>
              <w:pStyle w:val="Compact"/>
            </w:pPr>
            <w:r>
              <w:t xml:space="preserve">when BOT/AMLO/PDPC were notified</w:t>
            </w:r>
          </w:p>
        </w:tc>
      </w:tr>
    </w:tbl>
    <w:p>
      <w:pPr>
        <w:pStyle w:val="BlockText"/>
      </w:pPr>
      <w:r>
        <w:rPr>
          <w:b/>
          <w:bCs/>
        </w:rPr>
        <w:t xml:space="preserve">PCI-DSS v4.0 Req 12.10</w:t>
      </w:r>
      <w:r>
        <w:t xml:space="preserve"> </w:t>
      </w:r>
      <w:r>
        <w:t xml:space="preserve">requires an incident response plan and annual testing — the quarterly summary must reference drill results (tabletop / DR drill).</w:t>
      </w:r>
    </w:p>
    <w:p>
      <w:r>
        <w:pict>
          <v:rect style="width:0;height:1.5pt" o:hralign="center" o:hrstd="t" o:hr="t"/>
        </w:pict>
      </w:r>
    </w:p>
    <w:bookmarkEnd w:id="1276"/>
    <w:bookmarkEnd w:id="1277"/>
    <w:bookmarkStart w:id="1280" w:name="r5-roc-pci-dss-status-template"/>
    <w:p>
      <w:pPr>
        <w:pStyle w:val="Heading2"/>
      </w:pPr>
      <w:r>
        <w:t xml:space="preserve">8. R5 — RoC / PCI-DSS Status Template</w:t>
      </w:r>
    </w:p>
    <w:p>
      <w:pPr>
        <w:pStyle w:val="FirstParagraph"/>
      </w:pPr>
      <w:r>
        <w:rPr>
          <w:b/>
          <w:bCs/>
        </w:rPr>
        <w:t xml:space="preserve">Standard:</w:t>
      </w:r>
      <w:r>
        <w:t xml:space="preserve"> </w:t>
      </w:r>
      <w:r>
        <w:t xml:space="preserve">PCI-DSS</w:t>
      </w:r>
      <w:r>
        <w:t xml:space="preserve"> </w:t>
      </w:r>
      <w:r>
        <w:rPr>
          <w:b/>
          <w:bCs/>
        </w:rPr>
        <w:t xml:space="preserve">v4.0</w:t>
      </w:r>
      <w:r>
        <w:t xml:space="preserve">,</w:t>
      </w:r>
      <w:r>
        <w:t xml:space="preserve"> </w:t>
      </w:r>
      <w:r>
        <w:rPr>
          <w:b/>
          <w:bCs/>
        </w:rPr>
        <w:t xml:space="preserve">Level 1</w:t>
      </w:r>
      <w:r>
        <w:t xml:space="preserve"> </w:t>
      </w:r>
      <w:r>
        <w:t xml:space="preserve">(&gt;6M txns/year or scheme-designated) — requires a</w:t>
      </w:r>
      <w:r>
        <w:t xml:space="preserve"> </w:t>
      </w:r>
      <w:r>
        <w:rPr>
          <w:b/>
          <w:bCs/>
        </w:rPr>
        <w:t xml:space="preserve">QSA</w:t>
      </w:r>
      <w:r>
        <w:t xml:space="preserve"> </w:t>
      </w:r>
      <w:r>
        <w:t xml:space="preserve">assessment producing a</w:t>
      </w:r>
      <w:r>
        <w:t xml:space="preserve"> </w:t>
      </w:r>
      <w:r>
        <w:rPr>
          <w:b/>
          <w:bCs/>
        </w:rPr>
        <w:t xml:space="preserve">RoC (Report on Compliance)</w:t>
      </w:r>
      <w:r>
        <w:t xml:space="preserve"> </w:t>
      </w:r>
      <w:r>
        <w:t xml:space="preserve">+</w:t>
      </w:r>
      <w:r>
        <w:t xml:space="preserve"> </w:t>
      </w:r>
      <w:r>
        <w:rPr>
          <w:b/>
          <w:bCs/>
        </w:rPr>
        <w:t xml:space="preserve">AoC (Attestation of Compliance)</w:t>
      </w:r>
      <w:r>
        <w:t xml:space="preserve"> </w:t>
      </w:r>
      <w:r>
        <w:t xml:space="preserve">annually,</w:t>
      </w:r>
      <w:r>
        <w:t xml:space="preserve"> </w:t>
      </w:r>
      <w:r>
        <w:rPr>
          <w:b/>
          <w:bCs/>
        </w:rPr>
        <w:t xml:space="preserve">quarterly ASV scans</w:t>
      </w:r>
      <w:r>
        <w:t xml:space="preserve">, and an</w:t>
      </w:r>
      <w:r>
        <w:t xml:space="preserve"> </w:t>
      </w:r>
      <w:r>
        <w:rPr>
          <w:b/>
          <w:bCs/>
        </w:rPr>
        <w:t xml:space="preserve">annual penetration test</w:t>
      </w:r>
      <w:r>
        <w:t xml:space="preserve">.</w:t>
      </w:r>
    </w:p>
    <w:bookmarkStart w:id="1278" w:name="status-dashboard-quarterly"/>
    <w:p>
      <w:pPr>
        <w:pStyle w:val="Heading3"/>
      </w:pPr>
      <w:r>
        <w:t xml:space="preserve">8.1 Status dashboard (quarterly)</w:t>
      </w:r>
    </w:p>
    <w:tbl>
      <w:tblPr>
        <w:tblStyle w:val="Table"/>
        <w:tblW w:type="pct" w:w="5000"/>
        <w:tblLayout w:type="fixed"/>
        <w:tblLook w:firstRow="1" w:lastRow="0" w:firstColumn="0" w:lastColumn="0" w:noHBand="0" w:noVBand="0" w:val="0020"/>
      </w:tblPr>
      <w:tblGrid>
        <w:gridCol w:w="1540"/>
        <w:gridCol w:w="2860"/>
        <w:gridCol w:w="352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Example status</w:t>
            </w:r>
          </w:p>
        </w:tc>
      </w:tr>
      <w:tr>
        <w:tc>
          <w:tcPr/>
          <w:p>
            <w:pPr>
              <w:pStyle w:val="Compact"/>
            </w:pPr>
            <w:r>
              <w:rPr>
                <w:rStyle w:val="VerbatimChar"/>
              </w:rPr>
              <w:t xml:space="preserve">pci_version</w:t>
            </w:r>
          </w:p>
        </w:tc>
        <w:tc>
          <w:tcPr/>
          <w:p>
            <w:pPr>
              <w:pStyle w:val="Compact"/>
            </w:pPr>
            <w:r>
              <w:t xml:space="preserve">assessed version</w:t>
            </w:r>
          </w:p>
        </w:tc>
        <w:tc>
          <w:tcPr/>
          <w:p>
            <w:pPr>
              <w:pStyle w:val="Compact"/>
            </w:pPr>
            <w:r>
              <w:t xml:space="preserve">v4.0</w:t>
            </w:r>
          </w:p>
        </w:tc>
      </w:tr>
      <w:tr>
        <w:tc>
          <w:tcPr/>
          <w:p>
            <w:pPr>
              <w:pStyle w:val="Compact"/>
            </w:pPr>
            <w:r>
              <w:rPr>
                <w:rStyle w:val="VerbatimChar"/>
              </w:rPr>
              <w:t xml:space="preserve">assessment_level</w:t>
            </w:r>
          </w:p>
        </w:tc>
        <w:tc>
          <w:tcPr/>
          <w:p>
            <w:pPr>
              <w:pStyle w:val="Compact"/>
            </w:pPr>
            <w:r>
              <w:t xml:space="preserve">level</w:t>
            </w:r>
          </w:p>
        </w:tc>
        <w:tc>
          <w:tcPr/>
          <w:p>
            <w:pPr>
              <w:pStyle w:val="Compact"/>
            </w:pPr>
            <w:r>
              <w:t xml:space="preserve">Level 1</w:t>
            </w:r>
          </w:p>
        </w:tc>
      </w:tr>
      <w:tr>
        <w:tc>
          <w:tcPr/>
          <w:p>
            <w:pPr>
              <w:pStyle w:val="Compact"/>
            </w:pPr>
            <w:r>
              <w:rPr>
                <w:rStyle w:val="VerbatimChar"/>
              </w:rPr>
              <w:t xml:space="preserve">qsa_vendor</w:t>
            </w:r>
          </w:p>
        </w:tc>
        <w:tc>
          <w:tcPr/>
          <w:p>
            <w:pPr>
              <w:pStyle w:val="Compact"/>
            </w:pPr>
            <w:r>
              <w:t xml:space="preserve">QSA name</w:t>
            </w:r>
          </w:p>
        </w:tc>
        <w:tc>
          <w:tcPr/>
          <w:p>
            <w:pPr>
              <w:pStyle w:val="Compact"/>
            </w:pPr>
            <w:r>
              <w:t xml:space="preserve">«TODO — not selected»</w:t>
            </w:r>
          </w:p>
        </w:tc>
      </w:tr>
      <w:tr>
        <w:tc>
          <w:tcPr/>
          <w:p>
            <w:pPr>
              <w:pStyle w:val="Compact"/>
            </w:pPr>
            <w:r>
              <w:rPr>
                <w:rStyle w:val="VerbatimChar"/>
              </w:rPr>
              <w:t xml:space="preserve">roc_status</w:t>
            </w:r>
          </w:p>
        </w:tc>
        <w:tc>
          <w:tcPr/>
          <w:p>
            <w:pPr>
              <w:pStyle w:val="Compact"/>
            </w:pPr>
            <w:r>
              <w:t xml:space="preserve">RoC status</w:t>
            </w:r>
          </w:p>
        </w:tc>
        <w:tc>
          <w:tcPr/>
          <w:p>
            <w:pPr>
              <w:pStyle w:val="Compact"/>
            </w:pPr>
            <w:r>
              <w:t xml:space="preserve">in-progress / compliant / remediation</w:t>
            </w:r>
          </w:p>
        </w:tc>
      </w:tr>
      <w:tr>
        <w:tc>
          <w:tcPr/>
          <w:p>
            <w:pPr>
              <w:pStyle w:val="Compact"/>
            </w:pPr>
            <w:r>
              <w:rPr>
                <w:rStyle w:val="VerbatimChar"/>
              </w:rPr>
              <w:t xml:space="preserve">roc_issue_date</w:t>
            </w:r>
            <w:r>
              <w:t xml:space="preserve"> </w:t>
            </w:r>
            <w:r>
              <w:t xml:space="preserve">/</w:t>
            </w:r>
            <w:r>
              <w:t xml:space="preserve"> </w:t>
            </w:r>
            <w:r>
              <w:rPr>
                <w:rStyle w:val="VerbatimChar"/>
              </w:rPr>
              <w:t xml:space="preserve">roc_expiry_date</w:t>
            </w:r>
          </w:p>
        </w:tc>
        <w:tc>
          <w:tcPr/>
          <w:p>
            <w:pPr>
              <w:pStyle w:val="Compact"/>
            </w:pPr>
            <w:r>
              <w:t xml:space="preserve">issue/expiry</w:t>
            </w:r>
          </w:p>
        </w:tc>
        <w:tc>
          <w:tcPr/>
          <w:p>
            <w:pPr>
              <w:pStyle w:val="Compact"/>
            </w:pPr>
            <w:r>
              <w:t xml:space="preserve">«TBD»</w:t>
            </w:r>
          </w:p>
        </w:tc>
      </w:tr>
      <w:tr>
        <w:tc>
          <w:tcPr/>
          <w:p>
            <w:pPr>
              <w:pStyle w:val="Compact"/>
            </w:pPr>
            <w:r>
              <w:rPr>
                <w:rStyle w:val="VerbatimChar"/>
              </w:rPr>
              <w:t xml:space="preserve">aoc_on_file</w:t>
            </w:r>
          </w:p>
        </w:tc>
        <w:tc>
          <w:tcPr/>
          <w:p>
            <w:pPr>
              <w:pStyle w:val="Compact"/>
            </w:pPr>
            <w:r>
              <w:t xml:space="preserve">latest AoC on file?</w:t>
            </w:r>
          </w:p>
        </w:tc>
        <w:tc>
          <w:tcPr/>
          <w:p>
            <w:pPr>
              <w:pStyle w:val="Compact"/>
            </w:pPr>
            <w:r>
              <w:t xml:space="preserve">yes/no</w:t>
            </w:r>
          </w:p>
        </w:tc>
      </w:tr>
      <w:tr>
        <w:tc>
          <w:tcPr/>
          <w:p>
            <w:pPr>
              <w:pStyle w:val="Compact"/>
            </w:pPr>
            <w:r>
              <w:rPr>
                <w:rStyle w:val="VerbatimChar"/>
              </w:rPr>
              <w:t xml:space="preserve">asv_scan_last</w:t>
            </w:r>
            <w:r>
              <w:t xml:space="preserve"> </w:t>
            </w:r>
            <w:r>
              <w:t xml:space="preserve">/</w:t>
            </w:r>
            <w:r>
              <w:t xml:space="preserve"> </w:t>
            </w:r>
            <w:r>
              <w:rPr>
                <w:rStyle w:val="VerbatimChar"/>
              </w:rPr>
              <w:t xml:space="preserve">asv_result</w:t>
            </w:r>
          </w:p>
        </w:tc>
        <w:tc>
          <w:tcPr/>
          <w:p>
            <w:pPr>
              <w:pStyle w:val="Compact"/>
            </w:pPr>
            <w:r>
              <w:t xml:space="preserve">last ASV scan</w:t>
            </w:r>
          </w:p>
        </w:tc>
        <w:tc>
          <w:tcPr/>
          <w:p>
            <w:pPr>
              <w:pStyle w:val="Compact"/>
            </w:pPr>
            <w:r>
              <w:t xml:space="preserve">«2026-Qx / pass»</w:t>
            </w:r>
          </w:p>
        </w:tc>
      </w:tr>
      <w:tr>
        <w:tc>
          <w:tcPr/>
          <w:p>
            <w:pPr>
              <w:pStyle w:val="Compact"/>
            </w:pPr>
            <w:r>
              <w:rPr>
                <w:rStyle w:val="VerbatimChar"/>
              </w:rPr>
              <w:t xml:space="preserve">pentest_last</w:t>
            </w:r>
            <w:r>
              <w:t xml:space="preserve"> </w:t>
            </w:r>
            <w:r>
              <w:t xml:space="preserve">/</w:t>
            </w:r>
            <w:r>
              <w:t xml:space="preserve"> </w:t>
            </w:r>
            <w:r>
              <w:rPr>
                <w:rStyle w:val="VerbatimChar"/>
              </w:rPr>
              <w:t xml:space="preserve">pentest_findings_open</w:t>
            </w:r>
          </w:p>
        </w:tc>
        <w:tc>
          <w:tcPr/>
          <w:p>
            <w:pPr>
              <w:pStyle w:val="Compact"/>
            </w:pPr>
            <w:r>
              <w:t xml:space="preserve">last pentest + open findings</w:t>
            </w:r>
          </w:p>
        </w:tc>
        <w:tc>
          <w:tcPr/>
          <w:p>
            <w:pPr>
              <w:pStyle w:val="Compact"/>
            </w:pPr>
            <w:r>
              <w:t xml:space="preserve">«date / critical=0»</w:t>
            </w:r>
          </w:p>
        </w:tc>
      </w:tr>
      <w:tr>
        <w:tc>
          <w:tcPr/>
          <w:p>
            <w:pPr>
              <w:pStyle w:val="Compact"/>
            </w:pPr>
            <w:r>
              <w:rPr>
                <w:rStyle w:val="VerbatimChar"/>
              </w:rPr>
              <w:t xml:space="preserve">open_findings_by_severity</w:t>
            </w:r>
          </w:p>
        </w:tc>
        <w:tc>
          <w:tcPr/>
          <w:p>
            <w:pPr>
              <w:pStyle w:val="Compact"/>
            </w:pPr>
            <w:r>
              <w:t xml:space="preserve">open gaps by severity</w:t>
            </w:r>
          </w:p>
        </w:tc>
        <w:tc>
          <w:tcPr/>
          <w:p>
            <w:pPr>
              <w:pStyle w:val="Compact"/>
            </w:pPr>
            <w:r>
              <w:t xml:space="preserve">critical/high/medium/low</w:t>
            </w:r>
          </w:p>
        </w:tc>
      </w:tr>
      <w:tr>
        <w:tc>
          <w:tcPr/>
          <w:p>
            <w:pPr>
              <w:pStyle w:val="Compact"/>
            </w:pPr>
            <w:r>
              <w:rPr>
                <w:rStyle w:val="VerbatimChar"/>
              </w:rPr>
              <w:t xml:space="preserve">saq_or_roc_scope_changes</w:t>
            </w:r>
          </w:p>
        </w:tc>
        <w:tc>
          <w:tcPr/>
          <w:p>
            <w:pPr>
              <w:pStyle w:val="Compact"/>
            </w:pPr>
            <w:r>
              <w:t xml:space="preserve">scope/segmentation changes</w:t>
            </w:r>
          </w:p>
        </w:tc>
        <w:tc>
          <w:tcPr/>
          <w:p>
            <w:pPr>
              <w:pStyle w:val="Compact"/>
            </w:pPr>
            <w:r>
              <w:t xml:space="preserve">—</w:t>
            </w:r>
          </w:p>
        </w:tc>
      </w:tr>
    </w:tbl>
    <w:bookmarkEnd w:id="1278"/>
    <w:bookmarkStart w:id="1279" w:name="gap-tracker"/>
    <w:p>
      <w:pPr>
        <w:pStyle w:val="Heading3"/>
      </w:pPr>
      <w:r>
        <w:t xml:space="preserve">8.2 Gap tracker</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Note</w:t>
            </w:r>
          </w:p>
        </w:tc>
      </w:tr>
      <w:tr>
        <w:tc>
          <w:tcPr/>
          <w:p>
            <w:pPr>
              <w:pStyle w:val="Compact"/>
            </w:pPr>
            <w:r>
              <w:rPr>
                <w:rStyle w:val="VerbatimChar"/>
              </w:rPr>
              <w:t xml:space="preserve">finding_id</w:t>
            </w:r>
            <w:r>
              <w:t xml:space="preserve"> </w:t>
            </w:r>
            <w:r>
              <w:t xml:space="preserve">/</w:t>
            </w:r>
            <w:r>
              <w:t xml:space="preserve"> </w:t>
            </w:r>
            <w:r>
              <w:rPr>
                <w:rStyle w:val="VerbatimChar"/>
              </w:rPr>
              <w:t xml:space="preserve">pci_requirement</w:t>
            </w:r>
          </w:p>
        </w:tc>
        <w:tc>
          <w:tcPr/>
          <w:p>
            <w:pPr>
              <w:pStyle w:val="Compact"/>
            </w:pPr>
            <w:r>
              <w:t xml:space="preserve">referenced requirement (e.g., Req 3, 8, 10, 11)</w:t>
            </w:r>
          </w:p>
        </w:tc>
      </w:tr>
      <w:tr>
        <w:tc>
          <w:tcPr/>
          <w:p>
            <w:pPr>
              <w:pStyle w:val="Compact"/>
            </w:pPr>
            <w:r>
              <w:rPr>
                <w:rStyle w:val="VerbatimChar"/>
              </w:rPr>
              <w:t xml:space="preserve">severity</w:t>
            </w:r>
            <w:r>
              <w:t xml:space="preserve"> </w:t>
            </w:r>
            <w:r>
              <w:t xml:space="preserve">/</w:t>
            </w:r>
            <w:r>
              <w:t xml:space="preserve"> </w:t>
            </w:r>
            <w:r>
              <w:rPr>
                <w:rStyle w:val="VerbatimChar"/>
              </w:rPr>
              <w:t xml:space="preserve">due_date</w:t>
            </w:r>
            <w:r>
              <w:t xml:space="preserve"> </w:t>
            </w:r>
            <w:r>
              <w:t xml:space="preserve">/</w:t>
            </w:r>
            <w:r>
              <w:t xml:space="preserve"> </w:t>
            </w:r>
            <w:r>
              <w:rPr>
                <w:rStyle w:val="VerbatimChar"/>
              </w:rPr>
              <w:t xml:space="preserve">owner</w:t>
            </w:r>
          </w:p>
        </w:tc>
        <w:tc>
          <w:tcPr/>
          <w:p>
            <w:pPr>
              <w:pStyle w:val="Compact"/>
            </w:pPr>
            <w:r>
              <w:t xml:space="preserve">severity / close date / owner</w:t>
            </w:r>
          </w:p>
        </w:tc>
      </w:tr>
      <w:tr>
        <w:tc>
          <w:tcPr/>
          <w:p>
            <w:pPr>
              <w:pStyle w:val="Compact"/>
            </w:pPr>
            <w:r>
              <w:rPr>
                <w:rStyle w:val="VerbatimChar"/>
              </w:rPr>
              <w:t xml:space="preserve">remediation_status</w:t>
            </w:r>
          </w:p>
        </w:tc>
        <w:tc>
          <w:tcPr/>
          <w:p>
            <w:pPr>
              <w:pStyle w:val="Compact"/>
            </w:pPr>
            <w:r>
              <w:t xml:space="preserve">open / in-progress / closed</w:t>
            </w:r>
          </w:p>
        </w:tc>
      </w:tr>
      <w:tr>
        <w:tc>
          <w:tcPr/>
          <w:p>
            <w:pPr>
              <w:pStyle w:val="Compact"/>
            </w:pPr>
            <w:r>
              <w:rPr>
                <w:rStyle w:val="VerbatimChar"/>
              </w:rPr>
              <w:t xml:space="preserve">compensating_control</w:t>
            </w:r>
          </w:p>
        </w:tc>
        <w:tc>
          <w:tcPr/>
          <w:p>
            <w:pPr>
              <w:pStyle w:val="Compact"/>
            </w:pPr>
            <w:r>
              <w:t xml:space="preserve">compensating control (if any)</w:t>
            </w:r>
          </w:p>
        </w:tc>
      </w:tr>
    </w:tbl>
    <w:p>
      <w:pPr>
        <w:pStyle w:val="BlockText"/>
      </w:pPr>
      <w:r>
        <w:t xml:space="preserve">⚠️</w:t>
      </w:r>
      <w:r>
        <w:t xml:space="preserve"> </w:t>
      </w:r>
      <w:r>
        <w:rPr>
          <w:b/>
          <w:bCs/>
        </w:rPr>
        <w:t xml:space="preserve">CALLOUT (TODO):</w:t>
      </w:r>
      <w:r>
        <w:t xml:space="preserve"> </w:t>
      </w:r>
      <w:r>
        <w:t xml:space="preserve">Real RoC issue/expiry dates and ASV cadence depend on the not-yet-signed QSA/ASV contract — do not enter assumed dates in the actual report.</w:t>
      </w:r>
    </w:p>
    <w:p>
      <w:r>
        <w:pict>
          <v:rect style="width:0;height:1.5pt" o:hralign="center" o:hrstd="t" o:hr="t"/>
        </w:pict>
      </w:r>
    </w:p>
    <w:bookmarkEnd w:id="1279"/>
    <w:bookmarkEnd w:id="1280"/>
    <w:bookmarkStart w:id="1281" w:name="quality-security-and-retention-controls"/>
    <w:p>
      <w:pPr>
        <w:pStyle w:val="Heading2"/>
      </w:pPr>
      <w:r>
        <w:t xml:space="preserve">9. Quality, Security, and Retention Controls</w:t>
      </w:r>
    </w:p>
    <w:p>
      <w:pPr>
        <w:pStyle w:val="Compact"/>
        <w:numPr>
          <w:ilvl w:val="0"/>
          <w:numId w:val="1451"/>
        </w:numPr>
      </w:pPr>
      <w:r>
        <w:rPr>
          <w:b/>
          <w:bCs/>
        </w:rPr>
        <w:t xml:space="preserve">Single source of truth:</w:t>
      </w:r>
      <w:r>
        <w:t xml:space="preserve"> </w:t>
      </w:r>
      <w:r>
        <w:t xml:space="preserve">every figure is pulled from the ledger/audit_log/fraud engine via version-controlled queries; no manual Excel edits without a trail.</w:t>
      </w:r>
    </w:p>
    <w:p>
      <w:pPr>
        <w:pStyle w:val="Compact"/>
        <w:numPr>
          <w:ilvl w:val="0"/>
          <w:numId w:val="1451"/>
        </w:numPr>
      </w:pPr>
      <w:r>
        <w:rPr>
          <w:b/>
          <w:bCs/>
        </w:rPr>
        <w:t xml:space="preserve">No card data in reports:</w:t>
      </w:r>
      <w:r>
        <w:t xml:space="preserve"> </w:t>
      </w:r>
      <w:r>
        <w:t xml:space="preserve">never include full PAN/CVV/track — only</w:t>
      </w:r>
      <w:r>
        <w:t xml:space="preserve"> </w:t>
      </w:r>
      <w:r>
        <w:rPr>
          <w:rStyle w:val="VerbatimChar"/>
        </w:rPr>
        <w:t xml:space="preserve">card_brand</w:t>
      </w:r>
      <w:r>
        <w:t xml:space="preserve">+</w:t>
      </w:r>
      <w:r>
        <w:rPr>
          <w:rStyle w:val="VerbatimChar"/>
        </w:rPr>
        <w:t xml:space="preserve">card_last4</w:t>
      </w:r>
      <w:r>
        <w:t xml:space="preserve">; customer data minimized per PDPA.</w:t>
      </w:r>
    </w:p>
    <w:p>
      <w:pPr>
        <w:pStyle w:val="Compact"/>
        <w:numPr>
          <w:ilvl w:val="0"/>
          <w:numId w:val="1451"/>
        </w:numPr>
      </w:pPr>
      <w:r>
        <w:rPr>
          <w:b/>
          <w:bCs/>
        </w:rPr>
        <w:t xml:space="preserve">Retention:</w:t>
      </w:r>
      <w:r>
        <w:t xml:space="preserve"> </w:t>
      </w:r>
      <w:r>
        <w:t xml:space="preserve">keep report copies and submission evidence</w:t>
      </w:r>
      <w:r>
        <w:t xml:space="preserve"> </w:t>
      </w:r>
      <w:r>
        <w:rPr>
          <w:b/>
          <w:bCs/>
        </w:rPr>
        <w:t xml:space="preserve">≥ 5–10 years</w:t>
      </w:r>
      <w:r>
        <w:t xml:space="preserve"> </w:t>
      </w:r>
      <w:r>
        <w:t xml:space="preserve">(per AML/BOT rules — TODO confirm exact years).</w:t>
      </w:r>
    </w:p>
    <w:p>
      <w:pPr>
        <w:pStyle w:val="Compact"/>
        <w:numPr>
          <w:ilvl w:val="0"/>
          <w:numId w:val="1451"/>
        </w:numPr>
      </w:pPr>
      <w:r>
        <w:rPr>
          <w:b/>
          <w:bCs/>
        </w:rPr>
        <w:t xml:space="preserve">Confidentiality and access:</w:t>
      </w:r>
      <w:r>
        <w:t xml:space="preserve"> </w:t>
      </w:r>
      <w:r>
        <w:t xml:space="preserve">reports stored in encrypted storage, least-privilege access + MFA (PCI Req 7-8), logged in</w:t>
      </w:r>
      <w:r>
        <w:t xml:space="preserve"> </w:t>
      </w:r>
      <w:r>
        <w:rPr>
          <w:rStyle w:val="VerbatimChar"/>
        </w:rPr>
        <w:t xml:space="preserve">audit_log</w:t>
      </w:r>
      <w:r>
        <w:t xml:space="preserve"> </w:t>
      </w:r>
      <w:r>
        <w:t xml:space="preserve">on every access/submission.</w:t>
      </w:r>
    </w:p>
    <w:p>
      <w:pPr>
        <w:pStyle w:val="Compact"/>
        <w:numPr>
          <w:ilvl w:val="0"/>
          <w:numId w:val="1451"/>
        </w:numPr>
      </w:pPr>
      <w:r>
        <w:rPr>
          <w:b/>
          <w:bCs/>
        </w:rPr>
        <w:t xml:space="preserve">Signing and integrity:</w:t>
      </w:r>
      <w:r>
        <w:t xml:space="preserve"> </w:t>
      </w:r>
      <w:r>
        <w:t xml:space="preserve">submitted files record a SHA-256 hash in the audit trail to prove completeness.</w:t>
      </w:r>
    </w:p>
    <w:p>
      <w:r>
        <w:pict>
          <v:rect style="width:0;height:1.5pt" o:hralign="center" o:hrstd="t" o:hr="t"/>
        </w:pict>
      </w:r>
    </w:p>
    <w:bookmarkEnd w:id="1281"/>
    <w:bookmarkStart w:id="1282" w:name="related-documents-3"/>
    <w:p>
      <w:pPr>
        <w:pStyle w:val="Heading2"/>
      </w:pPr>
      <w:r>
        <w:t xml:space="preserve">10. Related documents</w:t>
      </w:r>
    </w:p>
    <w:p>
      <w:pPr>
        <w:pStyle w:val="Compact"/>
        <w:numPr>
          <w:ilvl w:val="0"/>
          <w:numId w:val="1452"/>
        </w:numPr>
      </w:pPr>
      <w:r>
        <w:rPr>
          <w:rStyle w:val="VerbatimChar"/>
        </w:rPr>
        <w:t xml:space="preserve">COMPLIANCE-TH.md</w:t>
      </w:r>
      <w:r>
        <w:t xml:space="preserve"> </w:t>
      </w:r>
      <w:r>
        <w:t xml:space="preserve">— Thai law, license categories, application steps</w:t>
      </w:r>
    </w:p>
    <w:p>
      <w:pPr>
        <w:pStyle w:val="Compact"/>
        <w:numPr>
          <w:ilvl w:val="0"/>
          <w:numId w:val="1452"/>
        </w:numPr>
      </w:pPr>
      <w:r>
        <w:rPr>
          <w:rStyle w:val="VerbatimChar"/>
        </w:rPr>
        <w:t xml:space="preserve">ARCHITECTURE.md</w:t>
      </w:r>
      <w:r>
        <w:t xml:space="preserve"> </w:t>
      </w:r>
      <w:r>
        <w:t xml:space="preserve">— system architecture, data model, PCI controls</w:t>
      </w:r>
    </w:p>
    <w:p>
      <w:pPr>
        <w:pStyle w:val="Compact"/>
        <w:numPr>
          <w:ilvl w:val="0"/>
          <w:numId w:val="1452"/>
        </w:numPr>
      </w:pPr>
      <w:r>
        <w:rPr>
          <w:rStyle w:val="VerbatimChar"/>
        </w:rPr>
        <w:t xml:space="preserve">ROADMAP.md</w:t>
      </w:r>
      <w:r>
        <w:t xml:space="preserve"> </w:t>
      </w:r>
      <w:r>
        <w:t xml:space="preserve">— phases, timeline, cost estimates</w:t>
      </w:r>
    </w:p>
    <w:p>
      <w:pPr>
        <w:pStyle w:val="Compact"/>
        <w:numPr>
          <w:ilvl w:val="0"/>
          <w:numId w:val="1452"/>
        </w:numPr>
      </w:pPr>
      <w:r>
        <w:t xml:space="preserve">Other files in</w:t>
      </w:r>
      <w:r>
        <w:t xml:space="preserve"> </w:t>
      </w:r>
      <w:r>
        <w:rPr>
          <w:rStyle w:val="VerbatimChar"/>
        </w:rPr>
        <w:t xml:space="preserve">docs/compliance/</w:t>
      </w:r>
      <w:r>
        <w:t xml:space="preserve"> </w:t>
      </w:r>
      <w:r>
        <w:t xml:space="preserve">— full compliance document set</w:t>
      </w:r>
    </w:p>
    <w:p>
      <w:r>
        <w:br w:type="page"/>
      </w:r>
    </w:p>
    <w:bookmarkEnd w:id="1282"/>
    <w:bookmarkEnd w:id="1283"/>
    <w:bookmarkStart w:id="1292" w:name="X200b8cc4faaba8233da54a2d708f6690c15946a"/>
    <w:p>
      <w:pPr>
        <w:pStyle w:val="Heading1"/>
      </w:pPr>
      <w:r>
        <w:t xml:space="preserve">ผังการไหลของธุรกรรมและเงิน (Fund-Flow &amp; Settlement Model) (ไทย)</w:t>
      </w:r>
    </w:p>
    <w:p>
      <w:pPr>
        <w:pStyle w:val="BlockText"/>
      </w:pPr>
      <w:r>
        <w:t xml:space="preserve">เอกสารประกอบการยื่นขอใบอนุญาต</w:t>
      </w:r>
      <w:r>
        <w:t xml:space="preserve"> </w:t>
      </w:r>
      <w:r>
        <w:rPr>
          <w:b/>
          <w:bCs/>
        </w:rPr>
        <w:t xml:space="preserve">การให้บริการรับชำระเงินด้วยวิธีการทางอิเล็กทรอนิกส์ (Full Acquiring)</w:t>
      </w:r>
      <w:r>
        <w:t xml:space="preserve"> </w:t>
      </w:r>
      <w:r>
        <w:t xml:space="preserve">ภายใต้ พ.ร.บ. ระบบการชำระเงิน พ.ศ. 2560 ต่อธนาคารแห่งประเทศไทย (ธปท.) และเป็นเอกสารประกอบการประเมิน PCI-DSS v4.0 Level 1</w:t>
      </w:r>
    </w:p>
    <w:p>
      <w:pPr>
        <w:pStyle w:val="BlockText"/>
      </w:pPr>
      <w:r>
        <w:t xml:space="preserve">เอกสารเลขที่:</w:t>
      </w:r>
      <w:r>
        <w:t xml:space="preserve"> </w:t>
      </w:r>
      <w:r>
        <w:rPr>
          <w:rStyle w:val="VerbatimChar"/>
        </w:rPr>
        <w:t xml:space="preserve">COMP-36</w:t>
      </w:r>
      <w:r>
        <w:t xml:space="preserve"> </w:t>
      </w:r>
      <w:r>
        <w:t xml:space="preserve">· เวอร์ชัน 1.0 · เจ้าของเอกสาร: Settlement &amp; Reconciliation Lead / CFO (ร่วมกับ Head of Payment Engineering และ MLRO)</w:t>
      </w:r>
      <w:r>
        <w:t xml:space="preserve"> </w:t>
      </w:r>
      <w:r>
        <w:t xml:space="preserve">เอกสารอ้างอิง:</w:t>
      </w:r>
      <w:r>
        <w:t xml:space="preserve"> </w:t>
      </w:r>
      <w:r>
        <w:rPr>
          <w:rStyle w:val="VerbatimChar"/>
        </w:rPr>
        <w:t xml:space="preserve">COMPLIANCE-TH.md</w:t>
      </w:r>
      <w:r>
        <w:t xml:space="preserve"> </w:t>
      </w:r>
      <w:r>
        <w:t xml:space="preserve">(§2, §5, §6),</w:t>
      </w:r>
      <w:r>
        <w:t xml:space="preserve"> </w:t>
      </w:r>
      <w:r>
        <w:rPr>
          <w:rStyle w:val="VerbatimChar"/>
        </w:rPr>
        <w:t xml:space="preserve">ARCHITECTURE.md</w:t>
      </w:r>
      <w:r>
        <w:t xml:space="preserve"> </w:t>
      </w:r>
      <w:r>
        <w:t xml:space="preserve">(§4–§6, §8),</w:t>
      </w:r>
      <w:r>
        <w:t xml:space="preserve"> </w:t>
      </w:r>
      <w:r>
        <w:rPr>
          <w:rStyle w:val="VerbatimChar"/>
        </w:rPr>
        <w:t xml:space="preserve">ROADMAP.md</w:t>
      </w:r>
      <w:r>
        <w:t xml:space="preserve"> </w:t>
      </w:r>
      <w:r>
        <w:t xml:space="preserve">(Phase 3),</w:t>
      </w:r>
      <w:r>
        <w:t xml:space="preserve"> </w:t>
      </w:r>
      <w:r>
        <w:rPr>
          <w:rStyle w:val="VerbatimChar"/>
        </w:rPr>
        <w:t xml:space="preserve">docs/compliance/27-webhook-settlement-spec.md</w:t>
      </w:r>
      <w:r>
        <w:t xml:space="preserve">,</w:t>
      </w:r>
      <w:r>
        <w:t xml:space="preserve"> </w:t>
      </w:r>
      <w:r>
        <w:rPr>
          <w:rStyle w:val="VerbatimChar"/>
        </w:rPr>
        <w:t xml:space="preserve">docs/compliance/28-refund-chargeback-policy.md</w:t>
      </w:r>
      <w:r>
        <w:t xml:space="preserve">,</w:t>
      </w:r>
      <w:r>
        <w:t xml:space="preserve"> </w:t>
      </w:r>
      <w:r>
        <w:rPr>
          <w:rStyle w:val="VerbatimChar"/>
        </w:rPr>
        <w:t xml:space="preserve">docs/compliance/34-system-architecture.md</w:t>
      </w:r>
      <w:r>
        <w:t xml:space="preserve">,</w:t>
      </w:r>
      <w:r>
        <w:t xml:space="preserve"> </w:t>
      </w:r>
      <w:r>
        <w:rPr>
          <w:rStyle w:val="VerbatimChar"/>
        </w:rPr>
        <w:t xml:space="preserve">docs/compliance/05-aml-kyc-cdd-policy.md</w:t>
      </w:r>
      <w:r>
        <w:t xml:space="preserve">,</w:t>
      </w:r>
      <w:r>
        <w:t xml:space="preserve"> </w:t>
      </w:r>
      <w:r>
        <w:rPr>
          <w:rStyle w:val="VerbatimChar"/>
        </w:rPr>
        <w:t xml:space="preserve">docs/compliance/02-financial-projections-capital.md</w:t>
      </w:r>
    </w:p>
    <w:p>
      <w:pPr>
        <w:pStyle w:val="BlockText"/>
      </w:pPr>
      <w:r>
        <w:rPr>
          <w:b/>
          <w:bCs/>
        </w:rPr>
        <w:t xml:space="preserve">หมายเหตุ:</w:t>
      </w:r>
      <w:r>
        <w:t xml:space="preserve"> </w:t>
      </w:r>
      <w:r>
        <w:t xml:space="preserve">เอกสารนี้ตอบข้อกำหนดของ ธปท. ตาม</w:t>
      </w:r>
      <w:r>
        <w:t xml:space="preserve"> </w:t>
      </w:r>
      <w:r>
        <w:rPr>
          <w:rStyle w:val="VerbatimChar"/>
        </w:rPr>
        <w:t xml:space="preserve">COMPLIANCE-TH.md</w:t>
      </w:r>
      <w:r>
        <w:t xml:space="preserve"> </w:t>
      </w:r>
      <w:r>
        <w:t xml:space="preserve">§5 (</w:t>
      </w:r>
      <w:r>
        <w:t xml:space="preserve">“ผังการไหลของธุรกรรมและเงิน”</w:t>
      </w:r>
      <w:r>
        <w:t xml:space="preserve">) ในฐานะเอกสารเชิงกำกับดูแล</w:t>
      </w:r>
      <w:r>
        <w:t xml:space="preserve"> </w:t>
      </w:r>
      <w:r>
        <w:rPr>
          <w:b/>
          <w:bCs/>
        </w:rPr>
        <w:t xml:space="preserve">แยกต่างหากจาก</w:t>
      </w:r>
      <w:r>
        <w:t xml:space="preserve"> </w:t>
      </w:r>
      <w:r>
        <w:t xml:space="preserve">เอกสารสถาปัตยกรรมระบบ (</w:t>
      </w:r>
      <w:r>
        <w:rPr>
          <w:rStyle w:val="VerbatimChar"/>
        </w:rPr>
        <w:t xml:space="preserve">COMP-34</w:t>
      </w:r>
      <w:r>
        <w:t xml:space="preserve">, มุ่งที่ส่วนประกอบระบบและ data-in-transit) และเอกสารข้อกำหนดทางเทคนิค settlement (</w:t>
      </w:r>
      <w:r>
        <w:rPr>
          <w:rStyle w:val="VerbatimChar"/>
        </w:rPr>
        <w:t xml:space="preserve">COMP-27</w:t>
      </w:r>
      <w:r>
        <w:t xml:space="preserve">, มุ่งที่ HMAC/retry/ledger) โดยเอกสารนี้มุ่งอธิบาย</w:t>
      </w:r>
      <w:r>
        <w:t xml:space="preserve"> </w:t>
      </w:r>
      <w:r>
        <w:rPr>
          <w:b/>
          <w:bCs/>
        </w:rPr>
        <w:t xml:space="preserve">การเคลื่อนย้ายของ</w:t>
      </w:r>
      <w:r>
        <w:rPr>
          <w:b/>
          <w:bCs/>
        </w:rPr>
        <w:t xml:space="preserve"> </w:t>
      </w:r>
      <w:r>
        <w:rPr>
          <w:b/>
          <w:bCs/>
        </w:rPr>
        <w:t xml:space="preserve">“เงิน”</w:t>
      </w:r>
      <w:r>
        <w:rPr>
          <w:b/>
          <w:bCs/>
        </w:rPr>
        <w:t xml:space="preserve"> </w:t>
      </w:r>
      <w:r>
        <w:rPr>
          <w:b/>
          <w:bCs/>
        </w:rPr>
        <w:t xml:space="preserve">และคู่สัญญาทางเศรษฐกิจ/กฎหมาย</w:t>
      </w:r>
      <w:r>
        <w:t xml:space="preserve"> </w:t>
      </w:r>
      <w:r>
        <w:t xml:space="preserve">ตลอดวงจรชีวิตธุรกรรม เอกสารนี้เป็นเอกสารเชิงนโยบายภายใน ไม่ใช่คำแนะนำทางกฎหมาย ต้องผ่านการทบทวนโดยที่ปรึกษากฎหมาย ที่ปรึกษาบัญชี/ภาษี และ QSA ก่อนยื่นจริง</w:t>
      </w:r>
    </w:p>
    <w:p>
      <w:r>
        <w:pict>
          <v:rect style="width:0;height:1.5pt" o:hralign="center" o:hrstd="t" o:hr="t"/>
        </w:pict>
      </w:r>
    </w:p>
    <w:p>
      <w:pPr>
        <w:pStyle w:val="Heading3"/>
      </w:pPr>
      <w:bookmarkStart w:id="1284" w:name="ขอสมมตและสงทยงตองยนยน-assumptions-todo-6"/>
      <w:r>
        <w:t xml:space="preserve">⚠️ ข้อสมมติและสิ่งที่ยังต้องยืนยัน (Assumptions / TODO)</w:t>
      </w:r>
      <w:bookmarkEnd w:id="1284"/>
    </w:p>
    <w:p>
      <w:pPr>
        <w:pStyle w:val="BlockText"/>
      </w:pPr>
      <w:r>
        <w:t xml:space="preserve">รายการต่อไปนี้ยังขึ้นกับคู่สัญญา/ผู้ให้บริการภายนอกที่ยังไม่สรุป —</w:t>
      </w:r>
      <w:r>
        <w:t xml:space="preserve"> </w:t>
      </w:r>
      <w:r>
        <w:rPr>
          <w:b/>
          <w:bCs/>
        </w:rPr>
        <w:t xml:space="preserve">ห้ามถือเป็นข้อเท็จจริงจนกว่าจะยืนยัน</w:t>
      </w:r>
      <w:r>
        <w:t xml:space="preserve">:</w:t>
      </w:r>
      <w:r>
        <w:t xml:space="preserve"> </w:t>
      </w:r>
      <w:r>
        <w:t xml:space="preserve">-</w:t>
      </w:r>
      <w:r>
        <w:t xml:space="preserve"> </w:t>
      </w:r>
      <w:r>
        <w:rPr>
          <w:b/>
          <w:bCs/>
        </w:rPr>
        <w:t xml:space="preserve">[TODO — Sponsor Bank / Acquirer]</w:t>
      </w:r>
      <w:r>
        <w:t xml:space="preserve"> </w:t>
      </w:r>
      <w:r>
        <w:t xml:space="preserve">ยังไม่ลงนามธนาคารผู้รับเชื่อม (sponsoring bank) —</w:t>
      </w:r>
      <w:r>
        <w:t xml:space="preserve"> </w:t>
      </w:r>
      <w:r>
        <w:rPr>
          <w:b/>
          <w:bCs/>
        </w:rPr>
        <w:t xml:space="preserve">โครงสร้างบัญชี settlement (nostro/ledgered account), เจ้าของบัญชีตามกฎหมาย, รอบ funding (T+n), สกุลเงิน settlement, และแนวทาง BIN sponsorship</w:t>
      </w:r>
      <w:r>
        <w:t xml:space="preserve"> </w:t>
      </w:r>
      <w:r>
        <w:t xml:space="preserve">จะยืนยันได้หลังลงนามเท่านั้น ค่าที่ระบุเป็น</w:t>
      </w:r>
      <w:r>
        <w:t xml:space="preserve"> </w:t>
      </w:r>
      <w:r>
        <w:rPr>
          <w:b/>
          <w:bCs/>
        </w:rPr>
        <w:t xml:space="preserve">ค่าตั้งต้นเชิงออกแบบ (design default)</w:t>
      </w:r>
      <w:r>
        <w:t xml:space="preserve"> </w:t>
      </w:r>
      <w:r>
        <w:t xml:space="preserve">-</w:t>
      </w:r>
      <w:r>
        <w:t xml:space="preserve"> </w:t>
      </w:r>
      <w:r>
        <w:rPr>
          <w:b/>
          <w:bCs/>
        </w:rPr>
        <w:t xml:space="preserve">[TODO — Client Money / Safeguarding]</w:t>
      </w:r>
      <w:r>
        <w:t xml:space="preserve"> </w:t>
      </w:r>
      <w:r>
        <w:t xml:space="preserve">โครงสร้างการถือเงินร้านค้าระหว่างทาง (client funds) ต้องยืนยันแนวทางกับ ธปท. — จะใช้</w:t>
      </w:r>
      <w:r>
        <w:t xml:space="preserve"> </w:t>
      </w:r>
      <w:r>
        <w:rPr>
          <w:b/>
          <w:bCs/>
        </w:rPr>
        <w:t xml:space="preserve">บัญชีแยก (segregated/trust account)</w:t>
      </w:r>
      <w:r>
        <w:t xml:space="preserve"> </w:t>
      </w:r>
      <w:r>
        <w:t xml:space="preserve">หรือให้ sponsor bank เป็นผู้ถือ (bank-held settlement) และเงื่อนไขการคุ้มครองเงินลูกค้า (safeguarding) ตามหลักเกณฑ์ ธปท.</w:t>
      </w:r>
      <w:r>
        <w:t xml:space="preserve"> </w:t>
      </w:r>
      <w:r>
        <w:t xml:space="preserve">-</w:t>
      </w:r>
      <w:r>
        <w:t xml:space="preserve"> </w:t>
      </w:r>
      <w:r>
        <w:rPr>
          <w:b/>
          <w:bCs/>
        </w:rPr>
        <w:t xml:space="preserve">[TODO — Interchange / Scheme Fees]</w:t>
      </w:r>
      <w:r>
        <w:t xml:space="preserve"> </w:t>
      </w:r>
      <w:r>
        <w:t xml:space="preserve">อัตรา interchange, scheme fee, และ acquirer processing fee ที่แท้จริง จะทราบหลังลงนาม sponsor bank และผ่าน scheme certification (</w:t>
      </w:r>
      <w:r>
        <w:rPr>
          <w:rStyle w:val="VerbatimChar"/>
        </w:rPr>
        <w:t xml:space="preserve">COMP-24</w:t>
      </w:r>
      <w:r>
        <w:t xml:space="preserve">)</w:t>
      </w:r>
      <w:r>
        <w:t xml:space="preserve"> </w:t>
      </w:r>
      <w:r>
        <w:t xml:space="preserve">-</w:t>
      </w:r>
      <w:r>
        <w:t xml:space="preserve"> </w:t>
      </w:r>
      <w:r>
        <w:rPr>
          <w:b/>
          <w:bCs/>
        </w:rPr>
        <w:t xml:space="preserve">[TODO — Rolling Reserve]</w:t>
      </w:r>
      <w:r>
        <w:t xml:space="preserve"> </w:t>
      </w:r>
      <w:r>
        <w:t xml:space="preserve">อัตรากันสำรอง (rolling reserve %) และระยะเวลาถือ (hold period) ต่อระดับความเสี่ยงร้านค้า เป็นค่าตั้งต้น ต้องยืนยันกับ sponsor bank และคณะกรรมการความเสี่ยง</w:t>
      </w:r>
      <w:r>
        <w:t xml:space="preserve"> </w:t>
      </w:r>
      <w:r>
        <w:t xml:space="preserve">-</w:t>
      </w:r>
      <w:r>
        <w:t xml:space="preserve"> </w:t>
      </w:r>
      <w:r>
        <w:rPr>
          <w:b/>
          <w:bCs/>
        </w:rPr>
        <w:t xml:space="preserve">[TODO — FX]</w:t>
      </w:r>
      <w:r>
        <w:t xml:space="preserve"> </w:t>
      </w:r>
      <w:r>
        <w:t xml:space="preserve">หากรองรับธุรกรรมข้ามสกุลเงิน (multi-currency / DCC) ผู้ให้บริการ FX, มาร์กอัป, และรอบ settlement สกุลต่างประเทศ ต้องยืนยัน</w:t>
      </w:r>
      <w:r>
        <w:t xml:space="preserve"> </w:t>
      </w:r>
      <w:r>
        <w:t xml:space="preserve">-</w:t>
      </w:r>
      <w:r>
        <w:t xml:space="preserve"> </w:t>
      </w:r>
      <w:r>
        <w:rPr>
          <w:b/>
          <w:bCs/>
        </w:rPr>
        <w:t xml:space="preserve">[TODO — ทุนจดทะเบียน]</w:t>
      </w:r>
      <w:r>
        <w:t xml:space="preserve"> </w:t>
      </w:r>
      <w:r>
        <w:t xml:space="preserve">ทุนจดทะเบียนชำระแล้วเป้าหมาย</w:t>
      </w:r>
      <w:r>
        <w:t xml:space="preserve"> </w:t>
      </w:r>
      <w:r>
        <w:rPr>
          <w:b/>
          <w:bCs/>
        </w:rPr>
        <w:t xml:space="preserve">50 ล้านบาท</w:t>
      </w:r>
      <w:r>
        <w:t xml:space="preserve"> </w:t>
      </w:r>
      <w:r>
        <w:t xml:space="preserve">(Full Acquiring) — ต้องยืนยันจำนวนที่ชำระจริงและรักษาไว้ ≥ 75% ตลอดการดำเนินงาน (ดู</w:t>
      </w:r>
      <w:r>
        <w:t xml:space="preserve"> </w:t>
      </w:r>
      <w:r>
        <w:rPr>
          <w:rStyle w:val="VerbatimChar"/>
        </w:rPr>
        <w:t xml:space="preserve">02-financial-projections-capital.md</w:t>
      </w:r>
      <w:r>
        <w:t xml:space="preserve">)</w:t>
      </w:r>
      <w:r>
        <w:t xml:space="preserve"> </w:t>
      </w:r>
      <w:r>
        <w:t xml:space="preserve">-</w:t>
      </w:r>
      <w:r>
        <w:t xml:space="preserve"> </w:t>
      </w:r>
      <w:r>
        <w:rPr>
          <w:b/>
          <w:bCs/>
        </w:rPr>
        <w:t xml:space="preserve">[TODO — ชื่อบริษัท/เลขบัญชี]</w:t>
      </w:r>
      <w:r>
        <w:t xml:space="preserve"> </w:t>
      </w:r>
      <w:r>
        <w:t xml:space="preserve">ชื่อ</w:t>
      </w:r>
      <w:r>
        <w:t xml:space="preserve"> </w:t>
      </w:r>
      <w:r>
        <w:rPr>
          <w:rStyle w:val="VerbatimChar"/>
        </w:rPr>
        <w:t xml:space="preserve">[บริษัท / Company]</w:t>
      </w:r>
      <w:r>
        <w:t xml:space="preserve">, เลขบัญชี settlement, และชื่อธนาคาร ต้องเติมค่าจริงก่อนยื่นและก่อนการประเมิน on-site</w:t>
      </w:r>
    </w:p>
    <w:p>
      <w:r>
        <w:pict>
          <v:rect style="width:0;height:1.5pt" o:hralign="center" o:hrstd="t" o:hr="t"/>
        </w:pict>
      </w:r>
    </w:p>
    <w:bookmarkStart w:id="1285" w:name="วตถประสงคและขอบเขต-15"/>
    <w:p>
      <w:pPr>
        <w:pStyle w:val="Heading2"/>
      </w:pPr>
      <w:r>
        <w:t xml:space="preserve">1. วัตถุประสงค์และขอบเขต</w:t>
      </w:r>
    </w:p>
    <w:p>
      <w:pPr>
        <w:pStyle w:val="FirstParagraph"/>
      </w:pPr>
      <w:r>
        <w:t xml:space="preserve">เอกสารนี้อธิบาย</w:t>
      </w:r>
      <w:r>
        <w:t xml:space="preserve"> </w:t>
      </w:r>
      <w:r>
        <w:rPr>
          <w:b/>
          <w:bCs/>
        </w:rPr>
        <w:t xml:space="preserve">เส้นทางการไหลของเงิน (flow of funds)</w:t>
      </w:r>
      <w:r>
        <w:t xml:space="preserve"> </w:t>
      </w:r>
      <w:r>
        <w:t xml:space="preserve">และ</w:t>
      </w:r>
      <w:r>
        <w:t xml:space="preserve"> </w:t>
      </w:r>
      <w:r>
        <w:rPr>
          <w:b/>
          <w:bCs/>
        </w:rPr>
        <w:t xml:space="preserve">การไหลของข้อมูลธุรกรรม (transaction flow)</w:t>
      </w:r>
      <w:r>
        <w:t xml:space="preserve"> </w:t>
      </w:r>
      <w:r>
        <w:t xml:space="preserve">ตั้งแต่ผู้ถือบัตรชำระเงิน จนถึงร้านค้าได้รับเงินสุทธิ (net payout) รวมถึงเส้นทางย้อนกลับ (refund/chargeback) โดยระบุ</w:t>
      </w:r>
      <w:r>
        <w:t xml:space="preserve"> </w:t>
      </w:r>
      <w:r>
        <w:rPr>
          <w:b/>
          <w:bCs/>
        </w:rPr>
        <w:t xml:space="preserve">คู่สัญญาแต่ละราย ผู้ถือเงินในแต่ละช่วง (custody) หน้าที่ตามกฎหมาย และการควบคุมด้าน AML/บัญชี/ความเสี่ยง</w:t>
      </w:r>
      <w:r>
        <w:t xml:space="preserve"> </w:t>
      </w:r>
      <w:r>
        <w:t xml:space="preserve">เพื่อให้ ธปท. เห็นภาพว่าเงินของผู้ถือบัตรและร้านค้าถูกจัดการอย่างปลอดภัย โปร่งใส และแยกจากเงินของบริษัทอย่างเหมาะสม</w:t>
      </w:r>
    </w:p>
    <w:p>
      <w:pPr>
        <w:pStyle w:val="BodyText"/>
      </w:pPr>
      <w:r>
        <w:t xml:space="preserve">ขอบเขต: ธุรกรรมบัตรเครดิต/เดบิต (Visa/Mastercard) ในโหมด</w:t>
      </w:r>
      <w:r>
        <w:t xml:space="preserve"> </w:t>
      </w:r>
      <w:r>
        <w:rPr>
          <w:b/>
          <w:bCs/>
        </w:rPr>
        <w:t xml:space="preserve">Full Acquiring</w:t>
      </w:r>
      <w:r>
        <w:t xml:space="preserve"> </w:t>
      </w:r>
      <w:r>
        <w:t xml:space="preserve">ผ่าน sponsor bank และ card scheme ครอบคลุม authorization, capture/clearing, settlement, payout, refund, chargeback, rolling reserve และ FX (ถ้ามี)</w:t>
      </w:r>
    </w:p>
    <w:p>
      <w:r>
        <w:pict>
          <v:rect style="width:0;height:1.5pt" o:hralign="center" o:hrstd="t" o:hr="t"/>
        </w:pict>
      </w:r>
    </w:p>
    <w:bookmarkEnd w:id="1285"/>
    <w:bookmarkStart w:id="1286" w:name="คสญญาและบทบาท-parties-roles"/>
    <w:p>
      <w:pPr>
        <w:pStyle w:val="Heading2"/>
      </w:pPr>
      <w:r>
        <w:t xml:space="preserve">2. คู่สัญญาและบทบาท (Parties &amp; Roles)</w:t>
      </w:r>
    </w:p>
    <w:tbl>
      <w:tblPr>
        <w:tblStyle w:val="Table"/>
        <w:tblW w:type="pct" w:w="5000"/>
        <w:tblLayout w:type="fixed"/>
        <w:tblLook w:firstRow="1" w:lastRow="0" w:firstColumn="0" w:lastColumn="0" w:noHBand="0" w:noVBand="0" w:val="0020"/>
      </w:tblPr>
      <w:tblGrid>
        <w:gridCol w:w="1389"/>
        <w:gridCol w:w="972"/>
        <w:gridCol w:w="2223"/>
        <w:gridCol w:w="3334"/>
      </w:tblGrid>
      <w:tr>
        <w:trPr>
          <w:tblHeader w:val="on"/>
        </w:trPr>
        <w:tc>
          <w:tcPr/>
          <w:p>
            <w:pPr>
              <w:pStyle w:val="Compact"/>
            </w:pPr>
            <w:r>
              <w:t xml:space="preserve">คู่สัญญา</w:t>
            </w:r>
          </w:p>
        </w:tc>
        <w:tc>
          <w:tcPr/>
          <w:p>
            <w:pPr>
              <w:pStyle w:val="Compact"/>
            </w:pPr>
            <w:r>
              <w:t xml:space="preserve">บทบาท</w:t>
            </w:r>
          </w:p>
        </w:tc>
        <w:tc>
          <w:tcPr/>
          <w:p>
            <w:pPr>
              <w:pStyle w:val="Compact"/>
            </w:pPr>
            <w:r>
              <w:t xml:space="preserve">ถือเงินหรือไม่</w:t>
            </w:r>
          </w:p>
        </w:tc>
        <w:tc>
          <w:tcPr/>
          <w:p>
            <w:pPr>
              <w:pStyle w:val="Compact"/>
            </w:pPr>
            <w:r>
              <w:t xml:space="preserve">หน้าที่/การควบคุมหลัก</w:t>
            </w:r>
          </w:p>
        </w:tc>
      </w:tr>
      <w:tr>
        <w:tc>
          <w:tcPr/>
          <w:p>
            <w:pPr>
              <w:pStyle w:val="Compact"/>
            </w:pPr>
            <w:r>
              <w:t xml:space="preserve">ผู้ถือบัตร (Cardholder)</w:t>
            </w:r>
          </w:p>
        </w:tc>
        <w:tc>
          <w:tcPr/>
          <w:p>
            <w:pPr>
              <w:pStyle w:val="Compact"/>
            </w:pPr>
            <w:r>
              <w:t xml:space="preserve">ผู้ชำระเงินต้นทาง</w:t>
            </w:r>
          </w:p>
        </w:tc>
        <w:tc>
          <w:tcPr/>
          <w:p>
            <w:pPr>
              <w:pStyle w:val="Compact"/>
            </w:pPr>
            <w:r>
              <w:t xml:space="preserve">—</w:t>
            </w:r>
          </w:p>
        </w:tc>
        <w:tc>
          <w:tcPr/>
          <w:p>
            <w:pPr>
              <w:pStyle w:val="Compact"/>
            </w:pPr>
            <w:r>
              <w:t xml:space="preserve">ยินยอมชำระ, ผ่าน 3DS (</w:t>
            </w:r>
            <w:r>
              <w:rPr>
                <w:rStyle w:val="VerbatimChar"/>
              </w:rPr>
              <w:t xml:space="preserve">COMP-22</w:t>
            </w:r>
            <w:r>
              <w:t xml:space="preserve">)</w:t>
            </w:r>
          </w:p>
        </w:tc>
      </w:tr>
      <w:tr>
        <w:tc>
          <w:tcPr/>
          <w:p>
            <w:pPr>
              <w:pStyle w:val="Compact"/>
            </w:pPr>
            <w:r>
              <w:t xml:space="preserve">ธนาคารผู้ออกบัตร (Issuer)</w:t>
            </w:r>
          </w:p>
        </w:tc>
        <w:tc>
          <w:tcPr/>
          <w:p>
            <w:pPr>
              <w:pStyle w:val="Compact"/>
            </w:pPr>
            <w:r>
              <w:t xml:space="preserve">อนุมัติ/หักเงินผู้ถือบัตร</w:t>
            </w:r>
          </w:p>
        </w:tc>
        <w:tc>
          <w:tcPr/>
          <w:p>
            <w:pPr>
              <w:pStyle w:val="Compact"/>
            </w:pPr>
            <w:r>
              <w:t xml:space="preserve">✔ (ต้นทาง)</w:t>
            </w:r>
          </w:p>
        </w:tc>
        <w:tc>
          <w:tcPr/>
          <w:p>
            <w:pPr>
              <w:pStyle w:val="Compact"/>
            </w:pPr>
            <w:r>
              <w:t xml:space="preserve">authorization, ตัดวงเงิน, ออก dispute</w:t>
            </w:r>
          </w:p>
        </w:tc>
      </w:tr>
      <w:tr>
        <w:tc>
          <w:tcPr/>
          <w:p>
            <w:pPr>
              <w:pStyle w:val="Compact"/>
            </w:pPr>
            <w:r>
              <w:t xml:space="preserve">Card Scheme (Visa/MC)</w:t>
            </w:r>
          </w:p>
        </w:tc>
        <w:tc>
          <w:tcPr/>
          <w:p>
            <w:pPr>
              <w:pStyle w:val="Compact"/>
            </w:pPr>
            <w:r>
              <w:t xml:space="preserve">switching/clearing/settlement</w:t>
            </w:r>
          </w:p>
        </w:tc>
        <w:tc>
          <w:tcPr/>
          <w:p>
            <w:pPr>
              <w:pStyle w:val="Compact"/>
            </w:pPr>
            <w:r>
              <w:t xml:space="preserve">✔ (ผ่านทาง)</w:t>
            </w:r>
          </w:p>
        </w:tc>
        <w:tc>
          <w:tcPr/>
          <w:p>
            <w:pPr>
              <w:pStyle w:val="Compact"/>
            </w:pPr>
            <w:r>
              <w:t xml:space="preserve">กำหนด interchange/scheme fee, ไฟล์ clearing</w:t>
            </w:r>
          </w:p>
        </w:tc>
      </w:tr>
      <w:tr>
        <w:tc>
          <w:tcPr/>
          <w:p>
            <w:pPr>
              <w:pStyle w:val="Compact"/>
            </w:pPr>
            <w:r>
              <w:t xml:space="preserve">Sponsor Bank / Acquirer</w:t>
            </w:r>
          </w:p>
        </w:tc>
        <w:tc>
          <w:tcPr/>
          <w:p>
            <w:pPr>
              <w:pStyle w:val="Compact"/>
            </w:pPr>
            <w:r>
              <w:t xml:space="preserve">รับเชื่อม BIN, ถือบัญชี settlement</w:t>
            </w:r>
          </w:p>
        </w:tc>
        <w:tc>
          <w:tcPr/>
          <w:p>
            <w:pPr>
              <w:pStyle w:val="Compact"/>
            </w:pPr>
            <w:r>
              <w:t xml:space="preserve">✔ (ปลายทางหลัก)</w:t>
            </w:r>
          </w:p>
        </w:tc>
        <w:tc>
          <w:tcPr/>
          <w:p>
            <w:pPr>
              <w:pStyle w:val="Compact"/>
            </w:pPr>
            <w:r>
              <w:t xml:space="preserve">funding, safeguarding, รายงานตาม</w:t>
            </w:r>
            <w:r>
              <w:t xml:space="preserve"> </w:t>
            </w:r>
            <w:r>
              <w:rPr>
                <w:rStyle w:val="VerbatimChar"/>
              </w:rPr>
              <w:t xml:space="preserve">COMP-30</w:t>
            </w:r>
            <w:r>
              <w:t xml:space="preserve"> </w:t>
            </w:r>
            <w:r>
              <w:rPr>
                <w:b/>
                <w:bCs/>
              </w:rPr>
              <w:t xml:space="preserve">[TODO]</w:t>
            </w:r>
          </w:p>
        </w:tc>
      </w:tr>
      <w:tr>
        <w:tc>
          <w:tcPr/>
          <w:p>
            <w:pPr>
              <w:pStyle w:val="Compact"/>
            </w:pPr>
            <w:r>
              <w:rPr>
                <w:b/>
                <w:bCs/>
              </w:rPr>
              <w:t xml:space="preserve">[บริษัท / Company]</w:t>
            </w:r>
            <w:r>
              <w:t xml:space="preserve"> </w:t>
            </w:r>
            <w:r>
              <w:t xml:space="preserve">(Gateway)</w:t>
            </w:r>
          </w:p>
        </w:tc>
        <w:tc>
          <w:tcPr/>
          <w:p>
            <w:pPr>
              <w:pStyle w:val="Compact"/>
            </w:pPr>
            <w:r>
              <w:t xml:space="preserve">ประมวลผล, ledger, จ่าย payout</w:t>
            </w:r>
          </w:p>
        </w:tc>
        <w:tc>
          <w:tcPr/>
          <w:p>
            <w:pPr>
              <w:pStyle w:val="Compact"/>
            </w:pPr>
            <w:r>
              <w:t xml:space="preserve">✔/แล้วแต่โครงสร้าง</w:t>
            </w:r>
            <w:r>
              <w:t xml:space="preserve"> </w:t>
            </w:r>
            <w:r>
              <w:rPr>
                <w:b/>
                <w:bCs/>
              </w:rPr>
              <w:t xml:space="preserve">[TODO]</w:t>
            </w:r>
          </w:p>
        </w:tc>
        <w:tc>
          <w:tcPr/>
          <w:p>
            <w:pPr>
              <w:pStyle w:val="Compact"/>
            </w:pPr>
            <w:r>
              <w:t xml:space="preserve">ledger append-only, reconciliation, AML monitoring</w:t>
            </w:r>
          </w:p>
        </w:tc>
      </w:tr>
      <w:tr>
        <w:tc>
          <w:tcPr/>
          <w:p>
            <w:pPr>
              <w:pStyle w:val="Compact"/>
            </w:pPr>
            <w:r>
              <w:t xml:space="preserve">ร้านค้า (Merchant)</w:t>
            </w:r>
          </w:p>
        </w:tc>
        <w:tc>
          <w:tcPr/>
          <w:p>
            <w:pPr>
              <w:pStyle w:val="Compact"/>
            </w:pPr>
            <w:r>
              <w:t xml:space="preserve">ผู้รับเงินปลายทาง</w:t>
            </w:r>
          </w:p>
        </w:tc>
        <w:tc>
          <w:tcPr/>
          <w:p>
            <w:pPr>
              <w:pStyle w:val="Compact"/>
            </w:pPr>
            <w:r>
              <w:t xml:space="preserve">✔ (ปลายทาง)</w:t>
            </w:r>
          </w:p>
        </w:tc>
        <w:tc>
          <w:tcPr/>
          <w:p>
            <w:pPr>
              <w:pStyle w:val="Compact"/>
            </w:pPr>
            <w:r>
              <w:t xml:space="preserve">KYC/CDD (</w:t>
            </w:r>
            <w:r>
              <w:rPr>
                <w:rStyle w:val="VerbatimChar"/>
              </w:rPr>
              <w:t xml:space="preserve">COMP-05</w:t>
            </w:r>
            <w:r>
              <w:t xml:space="preserve">), สัญญา (</w:t>
            </w:r>
            <w:r>
              <w:rPr>
                <w:rStyle w:val="VerbatimChar"/>
              </w:rPr>
              <w:t xml:space="preserve">COMP-25</w:t>
            </w:r>
            <w:r>
              <w:t xml:space="preserve">)</w:t>
            </w:r>
          </w:p>
        </w:tc>
      </w:tr>
    </w:tbl>
    <w:p>
      <w:pPr>
        <w:pStyle w:val="BlockText"/>
      </w:pPr>
      <w:r>
        <w:rPr>
          <w:b/>
          <w:bCs/>
        </w:rPr>
        <w:t xml:space="preserve">จุดสำคัญด้านการถือเงิน (custody):</w:t>
      </w:r>
      <w:r>
        <w:t xml:space="preserve"> </w:t>
      </w:r>
      <w:r>
        <w:t xml:space="preserve">โครงสร้างที่นิยมและมีความเสี่ยงต่ำที่สุดคือให้</w:t>
      </w:r>
      <w:r>
        <w:t xml:space="preserve"> </w:t>
      </w:r>
      <w:r>
        <w:rPr>
          <w:b/>
          <w:bCs/>
        </w:rPr>
        <w:t xml:space="preserve">sponsor bank เป็นผู้ถือเงิน settlement</w:t>
      </w:r>
      <w:r>
        <w:t xml:space="preserve"> </w:t>
      </w:r>
      <w:r>
        <w:t xml:space="preserve">(bank-held) และบริษัทเป็นเพียงผู้สั่งจ่าย (instruction) โดยไม่ commingle กับเงินดำเนินงานของบริษัท หากบริษัทถือเงินร้านค้าระหว่างทางเอง ต้องใช้</w:t>
      </w:r>
      <w:r>
        <w:t xml:space="preserve"> </w:t>
      </w:r>
      <w:r>
        <w:rPr>
          <w:b/>
          <w:bCs/>
        </w:rPr>
        <w:t xml:space="preserve">บัญชีแยก (segregated/trust account)</w:t>
      </w:r>
      <w:r>
        <w:t xml:space="preserve"> </w:t>
      </w:r>
      <w:r>
        <w:t xml:space="preserve">และมาตรการ safeguarding ตามที่ ธปท. กำหนด</w:t>
      </w:r>
      <w:r>
        <w:t xml:space="preserve"> </w:t>
      </w:r>
      <w:r>
        <w:rPr>
          <w:b/>
          <w:bCs/>
        </w:rPr>
        <w:t xml:space="preserve">[TODO — ยืนยันโครงสร้าง]</w:t>
      </w:r>
    </w:p>
    <w:p>
      <w:r>
        <w:pict>
          <v:rect style="width:0;height:1.5pt" o:hralign="center" o:hrstd="t" o:hr="t"/>
        </w:pict>
      </w:r>
    </w:p>
    <w:bookmarkEnd w:id="1286"/>
    <w:bookmarkStart w:id="1287" w:name="Xb98fd4a51ce2ee360f6ed43fb9197973ac46dec"/>
    <w:p>
      <w:pPr>
        <w:pStyle w:val="Heading2"/>
      </w:pPr>
      <w:r>
        <w:t xml:space="preserve">3. เส้นทางเงินขาไป (Forward Fund Flow — Purchase → Payout)</w:t>
      </w:r>
    </w:p>
    <w:p>
      <w:pPr>
        <w:pStyle w:val="SourceCode"/>
      </w:pPr>
      <w:r>
        <w:rPr>
          <w:rStyle w:val="VerbatimChar"/>
        </w:rPr>
        <w:t xml:space="preserve">sequenceDiagram</w:t>
      </w:r>
      <w:r>
        <w:br/>
      </w:r>
      <w:r>
        <w:rPr>
          <w:rStyle w:val="VerbatimChar"/>
        </w:rPr>
        <w:t xml:space="preserve">    participant CH as ผู้ถือบัตร Cardholder</w:t>
      </w:r>
      <w:r>
        <w:br/>
      </w:r>
      <w:r>
        <w:rPr>
          <w:rStyle w:val="VerbatimChar"/>
        </w:rPr>
        <w:t xml:space="preserve">    participant ISS as ธนาคารผู้ออกบัตร Issuer</w:t>
      </w:r>
      <w:r>
        <w:br/>
      </w:r>
      <w:r>
        <w:rPr>
          <w:rStyle w:val="VerbatimChar"/>
        </w:rPr>
        <w:t xml:space="preserve">    participant SCH as Card Scheme</w:t>
      </w:r>
      <w:r>
        <w:br/>
      </w:r>
      <w:r>
        <w:rPr>
          <w:rStyle w:val="VerbatimChar"/>
        </w:rPr>
        <w:t xml:space="preserve">    participant SB as Sponsor Bank / Acquirer</w:t>
      </w:r>
      <w:r>
        <w:br/>
      </w:r>
      <w:r>
        <w:rPr>
          <w:rStyle w:val="VerbatimChar"/>
        </w:rPr>
        <w:t xml:space="preserve">    participant GW as [บริษัท] Gateway (ledger)</w:t>
      </w:r>
      <w:r>
        <w:br/>
      </w:r>
      <w:r>
        <w:rPr>
          <w:rStyle w:val="VerbatimChar"/>
        </w:rPr>
        <w:t xml:space="preserve">    participant MER as ร้านค้า Merchant</w:t>
      </w:r>
      <w:r>
        <w:br/>
      </w:r>
      <w:r>
        <w:br/>
      </w:r>
      <w:r>
        <w:rPr>
          <w:rStyle w:val="VerbatimChar"/>
        </w:rPr>
        <w:t xml:space="preserve">    CH-&gt;&gt;GW: ชำระเงิน (auth request + 3DS)</w:t>
      </w:r>
      <w:r>
        <w:br/>
      </w:r>
      <w:r>
        <w:rPr>
          <w:rStyle w:val="VerbatimChar"/>
        </w:rPr>
        <w:t xml:space="preserve">    GW-&gt;&gt;SB: authorization</w:t>
      </w:r>
      <w:r>
        <w:br/>
      </w:r>
      <w:r>
        <w:rPr>
          <w:rStyle w:val="VerbatimChar"/>
        </w:rPr>
        <w:t xml:space="preserve">    SB-&gt;&gt;SCH: authorization</w:t>
      </w:r>
      <w:r>
        <w:br/>
      </w:r>
      <w:r>
        <w:rPr>
          <w:rStyle w:val="VerbatimChar"/>
        </w:rPr>
        <w:t xml:space="preserve">    SCH-&gt;&gt;ISS: authorization</w:t>
      </w:r>
      <w:r>
        <w:br/>
      </w:r>
      <w:r>
        <w:rPr>
          <w:rStyle w:val="VerbatimChar"/>
        </w:rPr>
        <w:t xml:space="preserve">    ISS--&gt;&gt;CH: ตัดวงเงิน (hold)</w:t>
      </w:r>
      <w:r>
        <w:br/>
      </w:r>
      <w:r>
        <w:rPr>
          <w:rStyle w:val="VerbatimChar"/>
        </w:rPr>
        <w:t xml:space="preserve">    ISS--&gt;&gt;SCH: อนุมัติ</w:t>
      </w:r>
      <w:r>
        <w:br/>
      </w:r>
      <w:r>
        <w:rPr>
          <w:rStyle w:val="VerbatimChar"/>
        </w:rPr>
        <w:t xml:space="preserve">    SCH--&gt;&gt;SB: อนุมัติ</w:t>
      </w:r>
      <w:r>
        <w:br/>
      </w:r>
      <w:r>
        <w:rPr>
          <w:rStyle w:val="VerbatimChar"/>
        </w:rPr>
        <w:t xml:space="preserve">    SB--&gt;&gt;GW: อนุมัติ → GW ลง ledger (pending)</w:t>
      </w:r>
      <w:r>
        <w:br/>
      </w:r>
      <w:r>
        <w:rPr>
          <w:rStyle w:val="VerbatimChar"/>
        </w:rPr>
        <w:t xml:space="preserve">    Note over GW,SB: Capture/Clearing (batch, สิ้นวัน)</w:t>
      </w:r>
      <w:r>
        <w:br/>
      </w:r>
      <w:r>
        <w:rPr>
          <w:rStyle w:val="VerbatimChar"/>
        </w:rPr>
        <w:t xml:space="preserve">    ISS-&gt;&gt;SCH: โอนเงินจริง (clearing/settlement file)</w:t>
      </w:r>
      <w:r>
        <w:br/>
      </w:r>
      <w:r>
        <w:rPr>
          <w:rStyle w:val="VerbatimChar"/>
        </w:rPr>
        <w:t xml:space="preserve">    SCH-&gt;&gt;SB: settlement (หัก interchange + scheme fee)</w:t>
      </w:r>
      <w:r>
        <w:br/>
      </w:r>
      <w:r>
        <w:rPr>
          <w:rStyle w:val="VerbatimChar"/>
        </w:rPr>
        <w:t xml:space="preserve">    SB-&gt;&gt;GW: funding เข้าบัญชี settlement (net)</w:t>
      </w:r>
      <w:r>
        <w:br/>
      </w:r>
      <w:r>
        <w:rPr>
          <w:rStyle w:val="VerbatimChar"/>
        </w:rPr>
        <w:t xml:space="preserve">    GW-&gt;&gt;GW: คำนวณ net = gross − fees − reserve</w:t>
      </w:r>
      <w:r>
        <w:br/>
      </w:r>
      <w:r>
        <w:rPr>
          <w:rStyle w:val="VerbatimChar"/>
        </w:rPr>
        <w:t xml:space="preserve">    GW-&gt;&gt;MER: payout (T+n) เข้าบัญชีร้านค้า</w:t>
      </w:r>
    </w:p>
    <w:p>
      <w:pPr>
        <w:pStyle w:val="FirstParagraph"/>
      </w:pPr>
      <w:r>
        <w:rPr>
          <w:b/>
          <w:bCs/>
        </w:rPr>
        <w:t xml:space="preserve">ลำดับการหักเงิน (fee waterfall) ต่อธุรกรรม:</w:t>
      </w:r>
    </w:p>
    <w:p>
      <w:pPr>
        <w:pStyle w:val="SourceCode"/>
      </w:pPr>
      <w:r>
        <w:rPr>
          <w:rStyle w:val="VerbatimChar"/>
        </w:rPr>
        <w:t xml:space="preserve">เงินที่ผู้ถือบัตรจ่าย (gross)</w:t>
      </w:r>
      <w:r>
        <w:br/>
      </w:r>
      <w:r>
        <w:rPr>
          <w:rStyle w:val="VerbatimChar"/>
        </w:rPr>
        <w:t xml:space="preserve">  − interchange fee (ไป issuer, ผ่าน scheme)         [TODO อัตราจริง]</w:t>
      </w:r>
      <w:r>
        <w:br/>
      </w:r>
      <w:r>
        <w:rPr>
          <w:rStyle w:val="VerbatimChar"/>
        </w:rPr>
        <w:t xml:space="preserve">  − scheme fee (ไป Visa/MC)                          [TODO]</w:t>
      </w:r>
      <w:r>
        <w:br/>
      </w:r>
      <w:r>
        <w:rPr>
          <w:rStyle w:val="VerbatimChar"/>
        </w:rPr>
        <w:t xml:space="preserve">  − acquirer/sponsor processing fee                  [TODO]</w:t>
      </w:r>
      <w:r>
        <w:br/>
      </w:r>
      <w:r>
        <w:rPr>
          <w:rStyle w:val="VerbatimChar"/>
        </w:rPr>
        <w:t xml:space="preserve">  − ค่าธรรมเนียมบริการของบริษัท (MDR margin)</w:t>
      </w:r>
      <w:r>
        <w:br/>
      </w:r>
      <w:r>
        <w:rPr>
          <w:rStyle w:val="VerbatimChar"/>
        </w:rPr>
        <w:t xml:space="preserve">  − rolling reserve (กันสำรอง, คืนภายหลัง)            [TODO %]</w:t>
      </w:r>
      <w:r>
        <w:br/>
      </w:r>
      <w:r>
        <w:rPr>
          <w:rStyle w:val="VerbatimChar"/>
        </w:rPr>
        <w:t xml:space="preserve">  = เงินสุทธิจ่ายร้านค้า (net payout, T+n)</w:t>
      </w:r>
    </w:p>
    <w:p>
      <w:pPr>
        <w:pStyle w:val="BlockText"/>
      </w:pPr>
      <w:r>
        <w:t xml:space="preserve">รายละเอียด T+n, cut-off, และไฟล์ clearing (Visa TC33/VSS, Mastercard IPM/T112) อยู่ใน</w:t>
      </w:r>
      <w:r>
        <w:t xml:space="preserve"> </w:t>
      </w:r>
      <w:r>
        <w:rPr>
          <w:rStyle w:val="VerbatimChar"/>
        </w:rPr>
        <w:t xml:space="preserve">COMP-27</w:t>
      </w:r>
      <w:r>
        <w:t xml:space="preserve"> </w:t>
      </w:r>
      <w:r>
        <w:t xml:space="preserve">§4; เอกสารนี้ระบุเฉพาะ</w:t>
      </w:r>
      <w:r>
        <w:t xml:space="preserve"> </w:t>
      </w:r>
      <w:r>
        <w:rPr>
          <w:b/>
          <w:bCs/>
        </w:rPr>
        <w:t xml:space="preserve">ทิศทางและการถือครองเงิน</w:t>
      </w:r>
    </w:p>
    <w:p>
      <w:r>
        <w:pict>
          <v:rect style="width:0;height:1.5pt" o:hralign="center" o:hrstd="t" o:hr="t"/>
        </w:pict>
      </w:r>
    </w:p>
    <w:bookmarkEnd w:id="1287"/>
    <w:bookmarkStart w:id="1288" w:name="X017344145f8e0a60b9a2386353bef7a83a0aa7f"/>
    <w:p>
      <w:pPr>
        <w:pStyle w:val="Heading2"/>
      </w:pPr>
      <w:r>
        <w:t xml:space="preserve">4. เส้นทางเงินขากลับ (Reverse Fund Flow — Refund &amp; Chargeback)</w:t>
      </w:r>
    </w:p>
    <w:tbl>
      <w:tblPr>
        <w:tblStyle w:val="Table"/>
        <w:tblW w:type="pct" w:w="5000"/>
        <w:tblLayout w:type="fixed"/>
        <w:tblLook w:firstRow="1" w:lastRow="0" w:firstColumn="0" w:lastColumn="0" w:noHBand="0" w:noVBand="0" w:val="0020"/>
      </w:tblPr>
      <w:tblGrid>
        <w:gridCol w:w="1555"/>
        <w:gridCol w:w="1555"/>
        <w:gridCol w:w="1555"/>
        <w:gridCol w:w="1980"/>
        <w:gridCol w:w="1272"/>
      </w:tblGrid>
      <w:tr>
        <w:trPr>
          <w:tblHeader w:val="on"/>
        </w:trPr>
        <w:tc>
          <w:tcPr/>
          <w:p>
            <w:pPr>
              <w:pStyle w:val="Compact"/>
            </w:pPr>
            <w:r>
              <w:t xml:space="preserve">เหตุการณ์</w:t>
            </w:r>
          </w:p>
        </w:tc>
        <w:tc>
          <w:tcPr/>
          <w:p>
            <w:pPr>
              <w:pStyle w:val="Compact"/>
            </w:pPr>
            <w:r>
              <w:t xml:space="preserve">ทิศทางเงิน</w:t>
            </w:r>
          </w:p>
        </w:tc>
        <w:tc>
          <w:tcPr/>
          <w:p>
            <w:pPr>
              <w:pStyle w:val="Compact"/>
            </w:pPr>
            <w:r>
              <w:t xml:space="preserve">ผู้ริเริ่ม</w:t>
            </w:r>
          </w:p>
        </w:tc>
        <w:tc>
          <w:tcPr/>
          <w:p>
            <w:pPr>
              <w:pStyle w:val="Compact"/>
            </w:pPr>
            <w:r>
              <w:t xml:space="preserve">แหล่งเงินคืน</w:t>
            </w:r>
          </w:p>
        </w:tc>
        <w:tc>
          <w:tcPr/>
          <w:p>
            <w:pPr>
              <w:pStyle w:val="Compact"/>
            </w:pPr>
            <w:r>
              <w:t xml:space="preserve">อ้างอิง</w:t>
            </w:r>
          </w:p>
        </w:tc>
      </w:tr>
      <w:tr>
        <w:tc>
          <w:tcPr/>
          <w:p>
            <w:pPr>
              <w:pStyle w:val="Compact"/>
            </w:pPr>
            <w:r>
              <w:t xml:space="preserve">Refund (ร้านค้าคืนเงิน)</w:t>
            </w:r>
          </w:p>
        </w:tc>
        <w:tc>
          <w:tcPr/>
          <w:p>
            <w:pPr>
              <w:pStyle w:val="Compact"/>
            </w:pPr>
            <w:r>
              <w:t xml:space="preserve">GW/Merchant → Scheme → Issuer → Cardholder</w:t>
            </w:r>
          </w:p>
        </w:tc>
        <w:tc>
          <w:tcPr/>
          <w:p>
            <w:pPr>
              <w:pStyle w:val="Compact"/>
            </w:pPr>
            <w:r>
              <w:t xml:space="preserve">ร้านค้า</w:t>
            </w:r>
          </w:p>
        </w:tc>
        <w:tc>
          <w:tcPr/>
          <w:p>
            <w:pPr>
              <w:pStyle w:val="Compact"/>
            </w:pPr>
            <w:r>
              <w:t xml:space="preserve">หัก balance/next payout ของร้านค้า</w:t>
            </w:r>
          </w:p>
        </w:tc>
        <w:tc>
          <w:tcPr/>
          <w:p>
            <w:pPr>
              <w:pStyle w:val="Compact"/>
            </w:pPr>
            <w:r>
              <w:rPr>
                <w:rStyle w:val="VerbatimChar"/>
              </w:rPr>
              <w:t xml:space="preserve">COMP-28</w:t>
            </w:r>
          </w:p>
        </w:tc>
      </w:tr>
      <w:tr>
        <w:tc>
          <w:tcPr/>
          <w:p>
            <w:pPr>
              <w:pStyle w:val="Compact"/>
            </w:pPr>
            <w:r>
              <w:t xml:space="preserve">Chargeback (ผู้ถือบัตรโต้แย้ง)</w:t>
            </w:r>
          </w:p>
        </w:tc>
        <w:tc>
          <w:tcPr/>
          <w:p>
            <w:pPr>
              <w:pStyle w:val="Compact"/>
            </w:pPr>
            <w:r>
              <w:t xml:space="preserve">Issuer ← Scheme ← SB ← GW ← Merchant</w:t>
            </w:r>
          </w:p>
        </w:tc>
        <w:tc>
          <w:tcPr/>
          <w:p>
            <w:pPr>
              <w:pStyle w:val="Compact"/>
            </w:pPr>
            <w:r>
              <w:t xml:space="preserve">Issuer</w:t>
            </w:r>
          </w:p>
        </w:tc>
        <w:tc>
          <w:tcPr/>
          <w:p>
            <w:pPr>
              <w:pStyle w:val="Compact"/>
            </w:pPr>
            <w:r>
              <w:t xml:space="preserve">หัก balance ร้านค้า / rolling reserve</w:t>
            </w:r>
          </w:p>
        </w:tc>
        <w:tc>
          <w:tcPr/>
          <w:p>
            <w:pPr>
              <w:pStyle w:val="Compact"/>
            </w:pPr>
            <w:r>
              <w:rPr>
                <w:rStyle w:val="VerbatimChar"/>
              </w:rPr>
              <w:t xml:space="preserve">COMP-28</w:t>
            </w:r>
            <w:r>
              <w:t xml:space="preserve">,</w:t>
            </w:r>
            <w:r>
              <w:t xml:space="preserve"> </w:t>
            </w:r>
            <w:r>
              <w:rPr>
                <w:rStyle w:val="VerbatimChar"/>
              </w:rPr>
              <w:t xml:space="preserve">COMP-29</w:t>
            </w:r>
          </w:p>
        </w:tc>
      </w:tr>
      <w:tr>
        <w:tc>
          <w:tcPr/>
          <w:p>
            <w:pPr>
              <w:pStyle w:val="Compact"/>
            </w:pPr>
            <w:r>
              <w:t xml:space="preserve">Representment (โต้แย้งกลับ)</w:t>
            </w:r>
          </w:p>
        </w:tc>
        <w:tc>
          <w:tcPr/>
          <w:p>
            <w:pPr>
              <w:pStyle w:val="Compact"/>
            </w:pPr>
            <w:r>
              <w:t xml:space="preserve">คืนสู่ merchant หากชนะ</w:t>
            </w:r>
          </w:p>
        </w:tc>
        <w:tc>
          <w:tcPr/>
          <w:p>
            <w:pPr>
              <w:pStyle w:val="Compact"/>
            </w:pPr>
            <w:r>
              <w:t xml:space="preserve">บริษัท/ร้านค้า</w:t>
            </w:r>
          </w:p>
        </w:tc>
        <w:tc>
          <w:tcPr/>
          <w:p>
            <w:pPr>
              <w:pStyle w:val="Compact"/>
            </w:pPr>
            <w:r>
              <w:t xml:space="preserve">scheme คืนเมื่อชนะ dispute</w:t>
            </w:r>
          </w:p>
        </w:tc>
        <w:tc>
          <w:tcPr/>
          <w:p>
            <w:pPr>
              <w:pStyle w:val="Compact"/>
            </w:pPr>
            <w:r>
              <w:rPr>
                <w:rStyle w:val="VerbatimChar"/>
              </w:rPr>
              <w:t xml:space="preserve">COMP-29</w:t>
            </w:r>
          </w:p>
        </w:tc>
      </w:tr>
    </w:tbl>
    <w:p>
      <w:pPr>
        <w:pStyle w:val="BlockText"/>
      </w:pPr>
      <w:r>
        <w:rPr>
          <w:b/>
          <w:bCs/>
        </w:rPr>
        <w:t xml:space="preserve">การคุ้มครองความเสี่ยงเครดิต:</w:t>
      </w:r>
      <w:r>
        <w:t xml:space="preserve"> </w:t>
      </w:r>
      <w:r>
        <w:t xml:space="preserve">หากร้านค้ามี balance/reserve ไม่พอชำระ chargeback/refund บริษัทมีความเสี่ยงต้องรับผิด (acquirer liability) จึงใช้</w:t>
      </w:r>
      <w:r>
        <w:t xml:space="preserve"> </w:t>
      </w:r>
      <w:r>
        <w:rPr>
          <w:b/>
          <w:bCs/>
        </w:rPr>
        <w:t xml:space="preserve">rolling reserve + delayed payout ตามระดับความเสี่ยง</w:t>
      </w:r>
      <w:r>
        <w:t xml:space="preserve"> </w:t>
      </w:r>
      <w:r>
        <w:t xml:space="preserve">(ดู</w:t>
      </w:r>
      <w:r>
        <w:t xml:space="preserve"> </w:t>
      </w:r>
      <w:r>
        <w:rPr>
          <w:rStyle w:val="VerbatimChar"/>
        </w:rPr>
        <w:t xml:space="preserve">COMP-08</w:t>
      </w:r>
      <w:r>
        <w:t xml:space="preserve"> </w:t>
      </w:r>
      <w:r>
        <w:t xml:space="preserve">การจัดระดับความเสี่ยง และ</w:t>
      </w:r>
      <w:r>
        <w:t xml:space="preserve"> </w:t>
      </w:r>
      <w:r>
        <w:rPr>
          <w:rStyle w:val="VerbatimChar"/>
        </w:rPr>
        <w:t xml:space="preserve">COMP-28</w:t>
      </w:r>
      <w:r>
        <w:t xml:space="preserve">) เพื่อจำกัด exposure</w:t>
      </w:r>
    </w:p>
    <w:p>
      <w:r>
        <w:pict>
          <v:rect style="width:0;height:1.5pt" o:hralign="center" o:hrstd="t" o:hr="t"/>
        </w:pict>
      </w:r>
    </w:p>
    <w:bookmarkEnd w:id="1288"/>
    <w:bookmarkStart w:id="1289" w:name="rolling-reserve-reserve-release-และ-fx"/>
    <w:p>
      <w:pPr>
        <w:pStyle w:val="Heading2"/>
      </w:pPr>
      <w:r>
        <w:t xml:space="preserve">5. Rolling Reserve, Reserve Release และ FX</w:t>
      </w:r>
    </w:p>
    <w:p>
      <w:pPr>
        <w:pStyle w:val="Compact"/>
        <w:numPr>
          <w:ilvl w:val="0"/>
          <w:numId w:val="1453"/>
        </w:numPr>
      </w:pPr>
      <w:r>
        <w:rPr>
          <w:b/>
          <w:bCs/>
        </w:rPr>
        <w:t xml:space="preserve">Rolling reserve:</w:t>
      </w:r>
      <w:r>
        <w:t xml:space="preserve"> </w:t>
      </w:r>
      <w:r>
        <w:t xml:space="preserve">กันเงิน</w:t>
      </w:r>
      <w:r>
        <w:t xml:space="preserve"> </w:t>
      </w:r>
      <w:r>
        <w:rPr>
          <w:rStyle w:val="VerbatimChar"/>
        </w:rPr>
        <w:t xml:space="preserve">X%</w:t>
      </w:r>
      <w:r>
        <w:t xml:space="preserve"> </w:t>
      </w:r>
      <w:r>
        <w:t xml:space="preserve">ของยอดธุรกรรม ถือไว้</w:t>
      </w:r>
      <w:r>
        <w:t xml:space="preserve"> </w:t>
      </w:r>
      <w:r>
        <w:rPr>
          <w:rStyle w:val="VerbatimChar"/>
        </w:rPr>
        <w:t xml:space="preserve">N</w:t>
      </w:r>
      <w:r>
        <w:t xml:space="preserve"> </w:t>
      </w:r>
      <w:r>
        <w:t xml:space="preserve">วัน (ค่าตั้งต้นตามระดับความเสี่ยงร้านค้า) เพื่อรองรับ chargeback/refund ล่วงหน้า —</w:t>
      </w:r>
      <w:r>
        <w:t xml:space="preserve"> </w:t>
      </w:r>
      <w:r>
        <w:rPr>
          <w:b/>
          <w:bCs/>
        </w:rPr>
        <w:t xml:space="preserve">[TODO อัตราจริงต่อ risk tier]</w:t>
      </w:r>
    </w:p>
    <w:p>
      <w:pPr>
        <w:pStyle w:val="Compact"/>
        <w:numPr>
          <w:ilvl w:val="0"/>
          <w:numId w:val="1453"/>
        </w:numPr>
      </w:pPr>
      <w:r>
        <w:rPr>
          <w:b/>
          <w:bCs/>
        </w:rPr>
        <w:t xml:space="preserve">Reserve release:</w:t>
      </w:r>
      <w:r>
        <w:t xml:space="preserve"> </w:t>
      </w:r>
      <w:r>
        <w:t xml:space="preserve">ปล่อยคืนตามกำหนดเวลาแบบ rolling (เช่น ยอดที่กันวันนี้คืนในอีก N วัน) บันทึกเป็นรายการ ledger แยกประเภท</w:t>
      </w:r>
    </w:p>
    <w:p>
      <w:pPr>
        <w:pStyle w:val="Compact"/>
        <w:numPr>
          <w:ilvl w:val="0"/>
          <w:numId w:val="1453"/>
        </w:numPr>
      </w:pPr>
      <w:r>
        <w:rPr>
          <w:b/>
          <w:bCs/>
        </w:rPr>
        <w:t xml:space="preserve">FX / Multi-currency:</w:t>
      </w:r>
      <w:r>
        <w:t xml:space="preserve"> </w:t>
      </w:r>
      <w:r>
        <w:t xml:space="preserve">หากธุรกรรมสกุลต่างประเทศ → แปลงที่จุด settlement ด้วยอัตราของ scheme/ผู้ให้บริการ FX + มาร์กอัปที่เปิดเผย, settlement สู่บริษัทอาจเป็นสกุล THB หรือสกุลต่างประเทศตามข้อตกลง sponsor bank</w:t>
      </w:r>
      <w:r>
        <w:t xml:space="preserve"> </w:t>
      </w:r>
      <w:r>
        <w:rPr>
          <w:b/>
          <w:bCs/>
        </w:rPr>
        <w:t xml:space="preserve">[TODO]</w:t>
      </w:r>
    </w:p>
    <w:p>
      <w:r>
        <w:pict>
          <v:rect style="width:0;height:1.5pt" o:hralign="center" o:hrstd="t" o:hr="t"/>
        </w:pict>
      </w:r>
    </w:p>
    <w:bookmarkEnd w:id="1289"/>
    <w:bookmarkStart w:id="1290" w:name="X099ae69012910c39c55f37f27981de448266056"/>
    <w:p>
      <w:pPr>
        <w:pStyle w:val="Heading2"/>
      </w:pPr>
      <w:r>
        <w:t xml:space="preserve">6. การควบคุมด้าน AML และการกระทบยอด (AML Controls on Fund Flow &amp; Reconciliation)</w:t>
      </w:r>
    </w:p>
    <w:p>
      <w:pPr>
        <w:pStyle w:val="Compact"/>
        <w:numPr>
          <w:ilvl w:val="0"/>
          <w:numId w:val="1454"/>
        </w:numPr>
      </w:pPr>
      <w:r>
        <w:rPr>
          <w:b/>
          <w:bCs/>
        </w:rPr>
        <w:t xml:space="preserve">Transaction laundering / merchant-based ML:</w:t>
      </w:r>
      <w:r>
        <w:t xml:space="preserve"> </w:t>
      </w:r>
      <w:r>
        <w:t xml:space="preserve">เฝ้าระวังรูปแบบเงินไหลผิดปกติผ่านร้านค้า (เช่น ยอดพุ่งผิดปกติ, MCC ไม่ตรง, refund วนเงิน) ตาม</w:t>
      </w:r>
      <w:r>
        <w:t xml:space="preserve"> </w:t>
      </w:r>
      <w:r>
        <w:rPr>
          <w:rStyle w:val="VerbatimChar"/>
        </w:rPr>
        <w:t xml:space="preserve">COMP-05</w:t>
      </w:r>
      <w:r>
        <w:t xml:space="preserve"> </w:t>
      </w:r>
      <w:r>
        <w:t xml:space="preserve">และ</w:t>
      </w:r>
      <w:r>
        <w:t xml:space="preserve"> </w:t>
      </w:r>
      <w:r>
        <w:rPr>
          <w:rStyle w:val="VerbatimChar"/>
        </w:rPr>
        <w:t xml:space="preserve">COMP-07</w:t>
      </w:r>
      <w:r>
        <w:t xml:space="preserve"> </w:t>
      </w:r>
      <w:r>
        <w:t xml:space="preserve">(SAR/STR)</w:t>
      </w:r>
    </w:p>
    <w:p>
      <w:pPr>
        <w:pStyle w:val="Compact"/>
        <w:numPr>
          <w:ilvl w:val="0"/>
          <w:numId w:val="1454"/>
        </w:numPr>
      </w:pPr>
      <w:r>
        <w:rPr>
          <w:b/>
          <w:bCs/>
        </w:rPr>
        <w:t xml:space="preserve">แยกเงินบริษัทออกจากเงินร้านค้า (no commingling):</w:t>
      </w:r>
      <w:r>
        <w:t xml:space="preserve"> </w:t>
      </w:r>
      <w:r>
        <w:t xml:space="preserve">ledger append-only double-entry แยกบัญชีย่อย (settlement payable, reserve, fee income, company operating) — เป็น source of truth ต่อการกระทบยอด (</w:t>
      </w:r>
      <w:r>
        <w:rPr>
          <w:rStyle w:val="VerbatimChar"/>
        </w:rPr>
        <w:t xml:space="preserve">COMP-27</w:t>
      </w:r>
      <w:r>
        <w:t xml:space="preserve"> </w:t>
      </w:r>
      <w:r>
        <w:t xml:space="preserve">§6)</w:t>
      </w:r>
    </w:p>
    <w:p>
      <w:pPr>
        <w:pStyle w:val="Compact"/>
        <w:numPr>
          <w:ilvl w:val="0"/>
          <w:numId w:val="1454"/>
        </w:numPr>
      </w:pPr>
      <w:r>
        <w:rPr>
          <w:b/>
          <w:bCs/>
        </w:rPr>
        <w:t xml:space="preserve">Reconciliation 3 ทาง:</w:t>
      </w:r>
      <w:r>
        <w:t xml:space="preserve"> </w:t>
      </w:r>
      <w:r>
        <w:t xml:space="preserve">(ก) ยอดจาก scheme/sponsor bank settlement file ↔ (ข) ledger ภายใน ↔ (ค) payout จริงเข้าบัญชีร้านค้า — ต้องกระทบยอดครบทุกวันทำการ, ส่วนต่างต้องมี exception workflow</w:t>
      </w:r>
    </w:p>
    <w:p>
      <w:pPr>
        <w:pStyle w:val="Compact"/>
        <w:numPr>
          <w:ilvl w:val="0"/>
          <w:numId w:val="1454"/>
        </w:numPr>
      </w:pPr>
      <w:r>
        <w:rPr>
          <w:b/>
          <w:bCs/>
        </w:rPr>
        <w:t xml:space="preserve">Audit trail:</w:t>
      </w:r>
      <w:r>
        <w:t xml:space="preserve"> </w:t>
      </w:r>
      <w:r>
        <w:t xml:space="preserve">ทุกการขยับเงินมี trace id, timestamp, actor ตามประกาศ ธปท. และ PCI-DSS Req 10 (</w:t>
      </w:r>
      <w:r>
        <w:rPr>
          <w:rStyle w:val="VerbatimChar"/>
        </w:rPr>
        <w:t xml:space="preserve">COMP-13</w:t>
      </w:r>
      <w:r>
        <w:t xml:space="preserve">,</w:t>
      </w:r>
      <w:r>
        <w:t xml:space="preserve"> </w:t>
      </w:r>
      <w:r>
        <w:rPr>
          <w:rStyle w:val="VerbatimChar"/>
        </w:rPr>
        <w:t xml:space="preserve">COMP-16</w:t>
      </w:r>
      <w:r>
        <w:t xml:space="preserve">)</w:t>
      </w:r>
    </w:p>
    <w:p>
      <w:pPr>
        <w:pStyle w:val="Compact"/>
        <w:numPr>
          <w:ilvl w:val="0"/>
          <w:numId w:val="1454"/>
        </w:numPr>
      </w:pPr>
      <w:r>
        <w:rPr>
          <w:b/>
          <w:bCs/>
        </w:rPr>
        <w:t xml:space="preserve">Reporting:</w:t>
      </w:r>
      <w:r>
        <w:t xml:space="preserve"> </w:t>
      </w:r>
      <w:r>
        <w:t xml:space="preserve">ยอด settlement/reserve/fee สรุปในรายงานเป็นงวดต่อ ธปท. (</w:t>
      </w:r>
      <w:r>
        <w:rPr>
          <w:rStyle w:val="VerbatimChar"/>
        </w:rPr>
        <w:t xml:space="preserve">COMP-35</w:t>
      </w:r>
      <w:r>
        <w:t xml:space="preserve">) และ KRI (</w:t>
      </w:r>
      <w:r>
        <w:rPr>
          <w:rStyle w:val="VerbatimChar"/>
        </w:rPr>
        <w:t xml:space="preserve">COMP-32</w:t>
      </w:r>
      <w:r>
        <w:t xml:space="preserve">)</w:t>
      </w:r>
    </w:p>
    <w:p>
      <w:r>
        <w:pict>
          <v:rect style="width:0;height:1.5pt" o:hralign="center" o:hrstd="t" o:hr="t"/>
        </w:pict>
      </w:r>
    </w:p>
    <w:bookmarkEnd w:id="1290"/>
    <w:bookmarkStart w:id="1291" w:name="X4852b987b26659e61a22713a74f4aa4c73b903f"/>
    <w:p>
      <w:pPr>
        <w:pStyle w:val="Heading2"/>
      </w:pPr>
      <w:r>
        <w:t xml:space="preserve">7. สรุปการถือครองเงินตามช่วงเวลา (Custody Timeline)</w:t>
      </w:r>
    </w:p>
    <w:tbl>
      <w:tblPr>
        <w:tblStyle w:val="Table"/>
        <w:tblW w:type="pct" w:w="5000"/>
        <w:tblLayout w:type="fixed"/>
        <w:tblLook w:firstRow="1" w:lastRow="0" w:firstColumn="0" w:lastColumn="0" w:noHBand="0" w:noVBand="0" w:val="0020"/>
      </w:tblPr>
      <w:tblGrid>
        <w:gridCol w:w="1440"/>
        <w:gridCol w:w="2640"/>
        <w:gridCol w:w="3840"/>
      </w:tblGrid>
      <w:tr>
        <w:trPr>
          <w:tblHeader w:val="on"/>
        </w:trPr>
        <w:tc>
          <w:tcPr/>
          <w:p>
            <w:pPr>
              <w:pStyle w:val="Compact"/>
            </w:pPr>
            <w:r>
              <w:t xml:space="preserve">ช่วง</w:t>
            </w:r>
          </w:p>
        </w:tc>
        <w:tc>
          <w:tcPr/>
          <w:p>
            <w:pPr>
              <w:pStyle w:val="Compact"/>
            </w:pPr>
            <w:r>
              <w:t xml:space="preserve">เงินอยู่ที่</w:t>
            </w:r>
          </w:p>
        </w:tc>
        <w:tc>
          <w:tcPr/>
          <w:p>
            <w:pPr>
              <w:pStyle w:val="Compact"/>
            </w:pPr>
            <w:r>
              <w:t xml:space="preserve">สถานะทางกฎหมาย</w:t>
            </w:r>
          </w:p>
        </w:tc>
      </w:tr>
      <w:tr>
        <w:tc>
          <w:tcPr/>
          <w:p>
            <w:pPr>
              <w:pStyle w:val="Compact"/>
            </w:pPr>
            <w:r>
              <w:t xml:space="preserve">Authorization</w:t>
            </w:r>
          </w:p>
        </w:tc>
        <w:tc>
          <w:tcPr/>
          <w:p>
            <w:pPr>
              <w:pStyle w:val="Compact"/>
            </w:pPr>
            <w:r>
              <w:t xml:space="preserve">ยังอยู่กับผู้ถือบัตร (hold)</w:t>
            </w:r>
          </w:p>
        </w:tc>
        <w:tc>
          <w:tcPr/>
          <w:p>
            <w:pPr>
              <w:pStyle w:val="Compact"/>
            </w:pPr>
            <w:r>
              <w:t xml:space="preserve">ยังไม่โอน</w:t>
            </w:r>
          </w:p>
        </w:tc>
      </w:tr>
      <w:tr>
        <w:tc>
          <w:tcPr/>
          <w:p>
            <w:pPr>
              <w:pStyle w:val="Compact"/>
            </w:pPr>
            <w:r>
              <w:t xml:space="preserve">หลัง clearing → funding</w:t>
            </w:r>
          </w:p>
        </w:tc>
        <w:tc>
          <w:tcPr/>
          <w:p>
            <w:pPr>
              <w:pStyle w:val="Compact"/>
            </w:pPr>
            <w:r>
              <w:t xml:space="preserve">บัญชี settlement (sponsor bank ถือ)</w:t>
            </w:r>
            <w:r>
              <w:t xml:space="preserve"> </w:t>
            </w:r>
            <w:r>
              <w:rPr>
                <w:b/>
                <w:bCs/>
              </w:rPr>
              <w:t xml:space="preserve">[TODO]</w:t>
            </w:r>
          </w:p>
        </w:tc>
        <w:tc>
          <w:tcPr/>
          <w:p>
            <w:pPr>
              <w:pStyle w:val="Compact"/>
            </w:pPr>
            <w:r>
              <w:t xml:space="preserve">เงินร้านค้าที่รอจ่าย (payable)</w:t>
            </w:r>
          </w:p>
        </w:tc>
      </w:tr>
      <w:tr>
        <w:tc>
          <w:tcPr/>
          <w:p>
            <w:pPr>
              <w:pStyle w:val="Compact"/>
            </w:pPr>
            <w:r>
              <w:t xml:space="preserve">ระหว่าง reserve hold</w:t>
            </w:r>
          </w:p>
        </w:tc>
        <w:tc>
          <w:tcPr/>
          <w:p>
            <w:pPr>
              <w:pStyle w:val="Compact"/>
            </w:pPr>
            <w:r>
              <w:t xml:space="preserve">บัญชี reserve แยก</w:t>
            </w:r>
          </w:p>
        </w:tc>
        <w:tc>
          <w:tcPr/>
          <w:p>
            <w:pPr>
              <w:pStyle w:val="Compact"/>
            </w:pPr>
            <w:r>
              <w:t xml:space="preserve">เงินร้านค้าที่กันสำรอง</w:t>
            </w:r>
          </w:p>
        </w:tc>
      </w:tr>
      <w:tr>
        <w:tc>
          <w:tcPr/>
          <w:p>
            <w:pPr>
              <w:pStyle w:val="Compact"/>
            </w:pPr>
            <w:r>
              <w:t xml:space="preserve">หลัง payout (T+n)</w:t>
            </w:r>
          </w:p>
        </w:tc>
        <w:tc>
          <w:tcPr/>
          <w:p>
            <w:pPr>
              <w:pStyle w:val="Compact"/>
            </w:pPr>
            <w:r>
              <w:t xml:space="preserve">บัญชีร้านค้า</w:t>
            </w:r>
          </w:p>
        </w:tc>
        <w:tc>
          <w:tcPr/>
          <w:p>
            <w:pPr>
              <w:pStyle w:val="Compact"/>
            </w:pPr>
            <w:r>
              <w:t xml:space="preserve">เป็นของร้านค้า</w:t>
            </w:r>
          </w:p>
        </w:tc>
      </w:tr>
      <w:tr>
        <w:tc>
          <w:tcPr/>
          <w:p>
            <w:pPr>
              <w:pStyle w:val="Compact"/>
            </w:pPr>
            <w:r>
              <w:t xml:space="preserve">ค่าธรรมเนียมบริษัท</w:t>
            </w:r>
          </w:p>
        </w:tc>
        <w:tc>
          <w:tcPr/>
          <w:p>
            <w:pPr>
              <w:pStyle w:val="Compact"/>
            </w:pPr>
            <w:r>
              <w:t xml:space="preserve">บัญชีรายได้บริษัท</w:t>
            </w:r>
          </w:p>
        </w:tc>
        <w:tc>
          <w:tcPr/>
          <w:p>
            <w:pPr>
              <w:pStyle w:val="Compact"/>
            </w:pPr>
            <w:r>
              <w:t xml:space="preserve">รายได้บริษัท</w:t>
            </w:r>
          </w:p>
        </w:tc>
      </w:tr>
    </w:tbl>
    <w:p>
      <w:pPr>
        <w:pStyle w:val="BlockText"/>
      </w:pPr>
      <w:r>
        <w:rPr>
          <w:b/>
          <w:bCs/>
        </w:rPr>
        <w:t xml:space="preserve">หลักการ:</w:t>
      </w:r>
      <w:r>
        <w:t xml:space="preserve"> </w:t>
      </w:r>
      <w:r>
        <w:t xml:space="preserve">เงินร้านค้า/ผู้ถือบัตร</w:t>
      </w:r>
      <w:r>
        <w:t xml:space="preserve"> </w:t>
      </w:r>
      <w:r>
        <w:rPr>
          <w:b/>
          <w:bCs/>
        </w:rPr>
        <w:t xml:space="preserve">ไม่ปะปน</w:t>
      </w:r>
      <w:r>
        <w:t xml:space="preserve"> </w:t>
      </w:r>
      <w:r>
        <w:t xml:space="preserve">กับเงินดำเนินงานของบริษัท ตลอดทุกช่วง และมีการกระทบยอดทุกวันทำการ</w:t>
      </w:r>
    </w:p>
    <w:bookmarkEnd w:id="1291"/>
    <w:bookmarkEnd w:id="1292"/>
    <w:bookmarkStart w:id="1301" w:name="Xc2b20507cf57b8715325841e30b2e060ed36146"/>
    <w:p>
      <w:pPr>
        <w:pStyle w:val="Heading1"/>
      </w:pPr>
      <w:r>
        <w:t xml:space="preserve">Transaction &amp; Fund-Flow / Settlement Model (English)</w:t>
      </w:r>
    </w:p>
    <w:p>
      <w:pPr>
        <w:pStyle w:val="BlockText"/>
      </w:pPr>
      <w:r>
        <w:t xml:space="preserve">Supporting document for the application for a</w:t>
      </w:r>
      <w:r>
        <w:t xml:space="preserve"> </w:t>
      </w:r>
      <w:r>
        <w:rPr>
          <w:b/>
          <w:bCs/>
        </w:rPr>
        <w:t xml:space="preserve">Full Acquiring (Electronic Payment Acceptance) licence</w:t>
      </w:r>
      <w:r>
        <w:t xml:space="preserve"> </w:t>
      </w:r>
      <w:r>
        <w:t xml:space="preserve">under the Payment Systems Act B.E. 2560, submitted to the Bank of Thailand (BOT), and supporting evidence for the PCI-DSS v4.0 Level 1 assessment.</w:t>
      </w:r>
    </w:p>
    <w:p>
      <w:pPr>
        <w:pStyle w:val="BlockText"/>
      </w:pPr>
      <w:r>
        <w:t xml:space="preserve">Document no.:</w:t>
      </w:r>
      <w:r>
        <w:t xml:space="preserve"> </w:t>
      </w:r>
      <w:r>
        <w:rPr>
          <w:rStyle w:val="VerbatimChar"/>
        </w:rPr>
        <w:t xml:space="preserve">COMP-36</w:t>
      </w:r>
      <w:r>
        <w:t xml:space="preserve"> </w:t>
      </w:r>
      <w:r>
        <w:t xml:space="preserve">· Version 1.0 · Owner: Settlement &amp; Reconciliation Lead / CFO (with Head of Payment Engineering and MLRO).</w:t>
      </w:r>
      <w:r>
        <w:t xml:space="preserve"> </w:t>
      </w:r>
      <w:r>
        <w:t xml:space="preserve">References:</w:t>
      </w:r>
      <w:r>
        <w:t xml:space="preserve"> </w:t>
      </w:r>
      <w:r>
        <w:rPr>
          <w:rStyle w:val="VerbatimChar"/>
        </w:rPr>
        <w:t xml:space="preserve">COMPLIANCE-TH.md</w:t>
      </w:r>
      <w:r>
        <w:t xml:space="preserve"> </w:t>
      </w:r>
      <w:r>
        <w:t xml:space="preserve">(§2, §5, §6),</w:t>
      </w:r>
      <w:r>
        <w:t xml:space="preserve"> </w:t>
      </w:r>
      <w:r>
        <w:rPr>
          <w:rStyle w:val="VerbatimChar"/>
        </w:rPr>
        <w:t xml:space="preserve">ARCHITECTURE.md</w:t>
      </w:r>
      <w:r>
        <w:t xml:space="preserve"> </w:t>
      </w:r>
      <w:r>
        <w:t xml:space="preserve">(§4–§6, §8),</w:t>
      </w:r>
      <w:r>
        <w:t xml:space="preserve"> </w:t>
      </w:r>
      <w:r>
        <w:rPr>
          <w:rStyle w:val="VerbatimChar"/>
        </w:rPr>
        <w:t xml:space="preserve">ROADMAP.md</w:t>
      </w:r>
      <w:r>
        <w:t xml:space="preserve"> </w:t>
      </w:r>
      <w:r>
        <w:t xml:space="preserve">(Phase 3),</w:t>
      </w:r>
      <w:r>
        <w:t xml:space="preserve"> </w:t>
      </w:r>
      <w:r>
        <w:rPr>
          <w:rStyle w:val="VerbatimChar"/>
        </w:rPr>
        <w:t xml:space="preserve">docs/compliance/27-webhook-settlement-spec.md</w:t>
      </w:r>
      <w:r>
        <w:t xml:space="preserve">,</w:t>
      </w:r>
      <w:r>
        <w:t xml:space="preserve"> </w:t>
      </w:r>
      <w:r>
        <w:rPr>
          <w:rStyle w:val="VerbatimChar"/>
        </w:rPr>
        <w:t xml:space="preserve">28-refund-chargeback-policy.md</w:t>
      </w:r>
      <w:r>
        <w:t xml:space="preserve">,</w:t>
      </w:r>
      <w:r>
        <w:t xml:space="preserve"> </w:t>
      </w:r>
      <w:r>
        <w:rPr>
          <w:rStyle w:val="VerbatimChar"/>
        </w:rPr>
        <w:t xml:space="preserve">34-system-architecture.md</w:t>
      </w:r>
      <w:r>
        <w:t xml:space="preserve">,</w:t>
      </w:r>
      <w:r>
        <w:t xml:space="preserve"> </w:t>
      </w:r>
      <w:r>
        <w:rPr>
          <w:rStyle w:val="VerbatimChar"/>
        </w:rPr>
        <w:t xml:space="preserve">05-aml-kyc-cdd-policy.md</w:t>
      </w:r>
      <w:r>
        <w:t xml:space="preserve">,</w:t>
      </w:r>
      <w:r>
        <w:t xml:space="preserve"> </w:t>
      </w:r>
      <w:r>
        <w:rPr>
          <w:rStyle w:val="VerbatimChar"/>
        </w:rPr>
        <w:t xml:space="preserve">02-financial-projections-capital.md</w:t>
      </w:r>
      <w:r>
        <w:t xml:space="preserve">.</w:t>
      </w:r>
    </w:p>
    <w:p>
      <w:pPr>
        <w:pStyle w:val="BlockText"/>
      </w:pPr>
      <w:r>
        <w:rPr>
          <w:b/>
          <w:bCs/>
        </w:rPr>
        <w:t xml:space="preserve">Note:</w:t>
      </w:r>
      <w:r>
        <w:t xml:space="preserve"> </w:t>
      </w:r>
      <w:r>
        <w:t xml:space="preserve">This document satisfies the BOT requirement in</w:t>
      </w:r>
      <w:r>
        <w:t xml:space="preserve"> </w:t>
      </w:r>
      <w:r>
        <w:rPr>
          <w:rStyle w:val="VerbatimChar"/>
        </w:rPr>
        <w:t xml:space="preserve">COMPLIANCE-TH.md</w:t>
      </w:r>
      <w:r>
        <w:t xml:space="preserve"> </w:t>
      </w:r>
      <w:r>
        <w:t xml:space="preserve">§5 (</w:t>
      </w:r>
      <w:r>
        <w:t xml:space="preserve">“transaction and fund-flow diagram”</w:t>
      </w:r>
      <w:r>
        <w:t xml:space="preserve">) as a</w:t>
      </w:r>
      <w:r>
        <w:t xml:space="preserve"> </w:t>
      </w:r>
      <w:r>
        <w:rPr>
          <w:b/>
          <w:bCs/>
        </w:rPr>
        <w:t xml:space="preserve">regulatory</w:t>
      </w:r>
      <w:r>
        <w:t xml:space="preserve"> </w:t>
      </w:r>
      <w:r>
        <w:t xml:space="preserve">artefact,</w:t>
      </w:r>
      <w:r>
        <w:t xml:space="preserve"> </w:t>
      </w:r>
      <w:r>
        <w:rPr>
          <w:b/>
          <w:bCs/>
        </w:rPr>
        <w:t xml:space="preserve">distinct from</w:t>
      </w:r>
      <w:r>
        <w:t xml:space="preserve"> </w:t>
      </w:r>
      <w:r>
        <w:t xml:space="preserve">the system-architecture document (</w:t>
      </w:r>
      <w:r>
        <w:rPr>
          <w:rStyle w:val="VerbatimChar"/>
        </w:rPr>
        <w:t xml:space="preserve">COMP-34</w:t>
      </w:r>
      <w:r>
        <w:t xml:space="preserve">, focused on components and data-in-transit) and the settlement technical spec (</w:t>
      </w:r>
      <w:r>
        <w:rPr>
          <w:rStyle w:val="VerbatimChar"/>
        </w:rPr>
        <w:t xml:space="preserve">COMP-27</w:t>
      </w:r>
      <w:r>
        <w:t xml:space="preserve">, focused on HMAC/retry/ledger). This document focuses on the</w:t>
      </w:r>
      <w:r>
        <w:t xml:space="preserve"> </w:t>
      </w:r>
      <w:r>
        <w:rPr>
          <w:b/>
          <w:bCs/>
        </w:rPr>
        <w:t xml:space="preserve">movement of money and the economic/legal parties</w:t>
      </w:r>
      <w:r>
        <w:t xml:space="preserve"> </w:t>
      </w:r>
      <w:r>
        <w:t xml:space="preserve">across the whole transaction lifecycle. This is an internal policy document, not legal advice; it must be reviewed by legal counsel, accounting/tax advisers and the QSA before actual submission.</w:t>
      </w:r>
    </w:p>
    <w:p>
      <w:r>
        <w:pict>
          <v:rect style="width:0;height:1.5pt" o:hralign="center" o:hrstd="t" o:hr="t"/>
        </w:pict>
      </w:r>
    </w:p>
    <w:p>
      <w:pPr>
        <w:pStyle w:val="Heading3"/>
      </w:pPr>
      <w:bookmarkStart w:id="1293" w:name="assumptions-todo-12"/>
      <w:r>
        <w:t xml:space="preserve">⚠️ Assumptions / TODO</w:t>
      </w:r>
      <w:bookmarkEnd w:id="1293"/>
    </w:p>
    <w:p>
      <w:pPr>
        <w:pStyle w:val="BlockText"/>
      </w:pPr>
      <w:r>
        <w:t xml:space="preserve">The following depend on counterparties/providers not yet finalised —</w:t>
      </w:r>
      <w:r>
        <w:t xml:space="preserve"> </w:t>
      </w:r>
      <w:r>
        <w:rPr>
          <w:b/>
          <w:bCs/>
        </w:rPr>
        <w:t xml:space="preserve">do not treat as fact until confirmed</w:t>
      </w:r>
      <w:r>
        <w:t xml:space="preserve">:</w:t>
      </w:r>
      <w:r>
        <w:t xml:space="preserve"> </w:t>
      </w:r>
      <w:r>
        <w:t xml:space="preserve">-</w:t>
      </w:r>
      <w:r>
        <w:t xml:space="preserve"> </w:t>
      </w:r>
      <w:r>
        <w:rPr>
          <w:b/>
          <w:bCs/>
        </w:rPr>
        <w:t xml:space="preserve">[TODO — Sponsor Bank / Acquirer]</w:t>
      </w:r>
      <w:r>
        <w:t xml:space="preserve"> </w:t>
      </w:r>
      <w:r>
        <w:t xml:space="preserve">No signed sponsoring bank yet —</w:t>
      </w:r>
      <w:r>
        <w:t xml:space="preserve"> </w:t>
      </w:r>
      <w:r>
        <w:rPr>
          <w:b/>
          <w:bCs/>
        </w:rPr>
        <w:t xml:space="preserve">settlement account structure (nostro/ledgered), legal account owner, funding cycle (T+n), settlement currency, and BIN sponsorship</w:t>
      </w:r>
      <w:r>
        <w:t xml:space="preserve"> </w:t>
      </w:r>
      <w:r>
        <w:t xml:space="preserve">are confirmable only after signing. Values shown are</w:t>
      </w:r>
      <w:r>
        <w:t xml:space="preserve"> </w:t>
      </w:r>
      <w:r>
        <w:rPr>
          <w:b/>
          <w:bCs/>
        </w:rPr>
        <w:t xml:space="preserve">design defaults</w:t>
      </w:r>
      <w:r>
        <w:t xml:space="preserve">.</w:t>
      </w:r>
      <w:r>
        <w:t xml:space="preserve"> </w:t>
      </w:r>
      <w:r>
        <w:t xml:space="preserve">-</w:t>
      </w:r>
      <w:r>
        <w:t xml:space="preserve"> </w:t>
      </w:r>
      <w:r>
        <w:rPr>
          <w:b/>
          <w:bCs/>
        </w:rPr>
        <w:t xml:space="preserve">[TODO — Client Money / Safeguarding]</w:t>
      </w:r>
      <w:r>
        <w:t xml:space="preserve"> </w:t>
      </w:r>
      <w:r>
        <w:t xml:space="preserve">The structure for holding merchant funds in transit must be confirmed with BOT — whether a</w:t>
      </w:r>
      <w:r>
        <w:t xml:space="preserve"> </w:t>
      </w:r>
      <w:r>
        <w:rPr>
          <w:b/>
          <w:bCs/>
        </w:rPr>
        <w:t xml:space="preserve">segregated/trust account</w:t>
      </w:r>
      <w:r>
        <w:t xml:space="preserve"> </w:t>
      </w:r>
      <w:r>
        <w:t xml:space="preserve">is used or funds are</w:t>
      </w:r>
      <w:r>
        <w:t xml:space="preserve"> </w:t>
      </w:r>
      <w:r>
        <w:rPr>
          <w:b/>
          <w:bCs/>
        </w:rPr>
        <w:t xml:space="preserve">bank-held</w:t>
      </w:r>
      <w:r>
        <w:t xml:space="preserve"> </w:t>
      </w:r>
      <w:r>
        <w:t xml:space="preserve">by the sponsor bank, plus safeguarding conditions per BOT rules.</w:t>
      </w:r>
      <w:r>
        <w:t xml:space="preserve"> </w:t>
      </w:r>
      <w:r>
        <w:t xml:space="preserve">-</w:t>
      </w:r>
      <w:r>
        <w:t xml:space="preserve"> </w:t>
      </w:r>
      <w:r>
        <w:rPr>
          <w:b/>
          <w:bCs/>
        </w:rPr>
        <w:t xml:space="preserve">[TODO — Interchange / Scheme Fees]</w:t>
      </w:r>
      <w:r>
        <w:t xml:space="preserve"> </w:t>
      </w:r>
      <w:r>
        <w:t xml:space="preserve">Actual interchange, scheme fees, and acquirer processing fees are known only after signing the sponsor bank and passing scheme certification (</w:t>
      </w:r>
      <w:r>
        <w:rPr>
          <w:rStyle w:val="VerbatimChar"/>
        </w:rPr>
        <w:t xml:space="preserve">COMP-24</w:t>
      </w:r>
      <w:r>
        <w:t xml:space="preserve">).</w:t>
      </w:r>
      <w:r>
        <w:t xml:space="preserve"> </w:t>
      </w:r>
      <w:r>
        <w:t xml:space="preserve">-</w:t>
      </w:r>
      <w:r>
        <w:t xml:space="preserve"> </w:t>
      </w:r>
      <w:r>
        <w:rPr>
          <w:b/>
          <w:bCs/>
        </w:rPr>
        <w:t xml:space="preserve">[TODO — Rolling Reserve]</w:t>
      </w:r>
      <w:r>
        <w:t xml:space="preserve"> </w:t>
      </w:r>
      <w:r>
        <w:t xml:space="preserve">Reserve rate (%) and hold period per merchant risk tier are defaults; confirm with sponsor bank and Risk Committee.</w:t>
      </w:r>
      <w:r>
        <w:t xml:space="preserve"> </w:t>
      </w:r>
      <w:r>
        <w:t xml:space="preserve">-</w:t>
      </w:r>
      <w:r>
        <w:t xml:space="preserve"> </w:t>
      </w:r>
      <w:r>
        <w:rPr>
          <w:b/>
          <w:bCs/>
        </w:rPr>
        <w:t xml:space="preserve">[TODO — FX]</w:t>
      </w:r>
      <w:r>
        <w:t xml:space="preserve"> </w:t>
      </w:r>
      <w:r>
        <w:t xml:space="preserve">If cross-currency/DCC is supported, the FX provider, markup, and foreign-currency settlement cycle must be confirmed.</w:t>
      </w:r>
      <w:r>
        <w:t xml:space="preserve"> </w:t>
      </w:r>
      <w:r>
        <w:t xml:space="preserve">-</w:t>
      </w:r>
      <w:r>
        <w:t xml:space="preserve"> </w:t>
      </w:r>
      <w:r>
        <w:rPr>
          <w:b/>
          <w:bCs/>
        </w:rPr>
        <w:t xml:space="preserve">[TODO — Paid-up capital]</w:t>
      </w:r>
      <w:r>
        <w:t xml:space="preserve"> </w:t>
      </w:r>
      <w:r>
        <w:t xml:space="preserve">Target paid-up capital</w:t>
      </w:r>
      <w:r>
        <w:t xml:space="preserve"> </w:t>
      </w:r>
      <w:r>
        <w:rPr>
          <w:b/>
          <w:bCs/>
        </w:rPr>
        <w:t xml:space="preserve">THB 50 million</w:t>
      </w:r>
      <w:r>
        <w:t xml:space="preserve"> </w:t>
      </w:r>
      <w:r>
        <w:t xml:space="preserve">(Full Acquiring) — confirm the amount actually paid and maintained ≥ 75% at all times (see</w:t>
      </w:r>
      <w:r>
        <w:t xml:space="preserve"> </w:t>
      </w:r>
      <w:r>
        <w:rPr>
          <w:rStyle w:val="VerbatimChar"/>
        </w:rPr>
        <w:t xml:space="preserve">02-financial-projections-capital.md</w:t>
      </w:r>
      <w:r>
        <w:t xml:space="preserve">).</w:t>
      </w:r>
      <w:r>
        <w:t xml:space="preserve"> </w:t>
      </w:r>
      <w:r>
        <w:t xml:space="preserve">-</w:t>
      </w:r>
      <w:r>
        <w:t xml:space="preserve"> </w:t>
      </w:r>
      <w:r>
        <w:rPr>
          <w:b/>
          <w:bCs/>
        </w:rPr>
        <w:t xml:space="preserve">[TODO — Company name/account numbers]</w:t>
      </w:r>
      <w:r>
        <w:t xml:space="preserve"> </w:t>
      </w:r>
      <w:r>
        <w:rPr>
          <w:rStyle w:val="VerbatimChar"/>
        </w:rPr>
        <w:t xml:space="preserve">[บริษัท / Company]</w:t>
      </w:r>
      <w:r>
        <w:t xml:space="preserve">, settlement account numbers, and bank name must be populated before submission and the on-site assessment.</w:t>
      </w:r>
    </w:p>
    <w:p>
      <w:r>
        <w:pict>
          <v:rect style="width:0;height:1.5pt" o:hralign="center" o:hrstd="t" o:hr="t"/>
        </w:pict>
      </w:r>
    </w:p>
    <w:bookmarkStart w:id="1294" w:name="purpose-scope-12"/>
    <w:p>
      <w:pPr>
        <w:pStyle w:val="Heading2"/>
      </w:pPr>
      <w:r>
        <w:t xml:space="preserve">1. Purpose &amp; Scope</w:t>
      </w:r>
    </w:p>
    <w:p>
      <w:pPr>
        <w:pStyle w:val="FirstParagraph"/>
      </w:pPr>
      <w:r>
        <w:t xml:space="preserve">This document describes the</w:t>
      </w:r>
      <w:r>
        <w:t xml:space="preserve"> </w:t>
      </w:r>
      <w:r>
        <w:rPr>
          <w:b/>
          <w:bCs/>
        </w:rPr>
        <w:t xml:space="preserve">flow of funds</w:t>
      </w:r>
      <w:r>
        <w:t xml:space="preserve"> </w:t>
      </w:r>
      <w:r>
        <w:t xml:space="preserve">and</w:t>
      </w:r>
      <w:r>
        <w:t xml:space="preserve"> </w:t>
      </w:r>
      <w:r>
        <w:rPr>
          <w:b/>
          <w:bCs/>
        </w:rPr>
        <w:t xml:space="preserve">transaction flow</w:t>
      </w:r>
      <w:r>
        <w:t xml:space="preserve"> </w:t>
      </w:r>
      <w:r>
        <w:t xml:space="preserve">from the cardholder’s payment through to the merchant receiving net payout, including reverse flows (refund/chargeback). It identifies</w:t>
      </w:r>
      <w:r>
        <w:t xml:space="preserve"> </w:t>
      </w:r>
      <w:r>
        <w:rPr>
          <w:b/>
          <w:bCs/>
        </w:rPr>
        <w:t xml:space="preserve">each party, who holds the funds at each stage (custody), legal duties, and AML/accounting/risk controls</w:t>
      </w:r>
      <w:r>
        <w:t xml:space="preserve">, so that BOT can see that cardholder and merchant money is handled safely, transparently, and appropriately segregated from company funds.</w:t>
      </w:r>
    </w:p>
    <w:p>
      <w:pPr>
        <w:pStyle w:val="BodyText"/>
      </w:pPr>
      <w:r>
        <w:t xml:space="preserve">Scope: credit/debit card transactions (Visa/Mastercard) in</w:t>
      </w:r>
      <w:r>
        <w:t xml:space="preserve"> </w:t>
      </w:r>
      <w:r>
        <w:rPr>
          <w:b/>
          <w:bCs/>
        </w:rPr>
        <w:t xml:space="preserve">Full Acquiring</w:t>
      </w:r>
      <w:r>
        <w:t xml:space="preserve"> </w:t>
      </w:r>
      <w:r>
        <w:t xml:space="preserve">mode via a sponsor bank and card scheme, covering authorization, capture/clearing, settlement, payout, refund, chargeback, rolling reserve, and FX (if any).</w:t>
      </w:r>
    </w:p>
    <w:p>
      <w:r>
        <w:pict>
          <v:rect style="width:0;height:1.5pt" o:hralign="center" o:hrstd="t" o:hr="t"/>
        </w:pict>
      </w:r>
    </w:p>
    <w:bookmarkEnd w:id="1294"/>
    <w:bookmarkStart w:id="1295" w:name="parties-roles"/>
    <w:p>
      <w:pPr>
        <w:pStyle w:val="Heading2"/>
      </w:pPr>
      <w:r>
        <w:t xml:space="preserve">2. Parties &amp; Roles</w:t>
      </w:r>
    </w:p>
    <w:tbl>
      <w:tblPr>
        <w:tblStyle w:val="Table"/>
        <w:tblW w:type="pct" w:w="5000"/>
        <w:tblLayout w:type="fixed"/>
        <w:tblLook w:firstRow="1" w:lastRow="0" w:firstColumn="0" w:lastColumn="0" w:noHBand="0" w:noVBand="0" w:val="0020"/>
      </w:tblPr>
      <w:tblGrid>
        <w:gridCol w:w="1155"/>
        <w:gridCol w:w="990"/>
        <w:gridCol w:w="2310"/>
        <w:gridCol w:w="3465"/>
      </w:tblGrid>
      <w:tr>
        <w:trPr>
          <w:tblHeader w:val="on"/>
        </w:trPr>
        <w:tc>
          <w:tcPr/>
          <w:p>
            <w:pPr>
              <w:pStyle w:val="Compact"/>
            </w:pPr>
            <w:r>
              <w:t xml:space="preserve">Party</w:t>
            </w:r>
          </w:p>
        </w:tc>
        <w:tc>
          <w:tcPr/>
          <w:p>
            <w:pPr>
              <w:pStyle w:val="Compact"/>
            </w:pPr>
            <w:r>
              <w:t xml:space="preserve">Role</w:t>
            </w:r>
          </w:p>
        </w:tc>
        <w:tc>
          <w:tcPr/>
          <w:p>
            <w:pPr>
              <w:pStyle w:val="Compact"/>
            </w:pPr>
            <w:r>
              <w:t xml:space="preserve">Holds funds?</w:t>
            </w:r>
          </w:p>
        </w:tc>
        <w:tc>
          <w:tcPr/>
          <w:p>
            <w:pPr>
              <w:pStyle w:val="Compact"/>
            </w:pPr>
            <w:r>
              <w:t xml:space="preserve">Key duties/controls</w:t>
            </w:r>
          </w:p>
        </w:tc>
      </w:tr>
      <w:tr>
        <w:tc>
          <w:tcPr/>
          <w:p>
            <w:pPr>
              <w:pStyle w:val="Compact"/>
            </w:pPr>
            <w:r>
              <w:t xml:space="preserve">Cardholder</w:t>
            </w:r>
          </w:p>
        </w:tc>
        <w:tc>
          <w:tcPr/>
          <w:p>
            <w:pPr>
              <w:pStyle w:val="Compact"/>
            </w:pPr>
            <w:r>
              <w:t xml:space="preserve">Originating payer</w:t>
            </w:r>
          </w:p>
        </w:tc>
        <w:tc>
          <w:tcPr/>
          <w:p>
            <w:pPr>
              <w:pStyle w:val="Compact"/>
            </w:pPr>
            <w:r>
              <w:t xml:space="preserve">—</w:t>
            </w:r>
          </w:p>
        </w:tc>
        <w:tc>
          <w:tcPr/>
          <w:p>
            <w:pPr>
              <w:pStyle w:val="Compact"/>
            </w:pPr>
            <w:r>
              <w:t xml:space="preserve">Consents to pay, passes 3DS (</w:t>
            </w:r>
            <w:r>
              <w:rPr>
                <w:rStyle w:val="VerbatimChar"/>
              </w:rPr>
              <w:t xml:space="preserve">COMP-22</w:t>
            </w:r>
            <w:r>
              <w:t xml:space="preserve">)</w:t>
            </w:r>
          </w:p>
        </w:tc>
      </w:tr>
      <w:tr>
        <w:tc>
          <w:tcPr/>
          <w:p>
            <w:pPr>
              <w:pStyle w:val="Compact"/>
            </w:pPr>
            <w:r>
              <w:t xml:space="preserve">Issuer</w:t>
            </w:r>
          </w:p>
        </w:tc>
        <w:tc>
          <w:tcPr/>
          <w:p>
            <w:pPr>
              <w:pStyle w:val="Compact"/>
            </w:pPr>
            <w:r>
              <w:t xml:space="preserve">Approves/debits cardholder</w:t>
            </w:r>
          </w:p>
        </w:tc>
        <w:tc>
          <w:tcPr/>
          <w:p>
            <w:pPr>
              <w:pStyle w:val="Compact"/>
            </w:pPr>
            <w:r>
              <w:t xml:space="preserve">✔ (origin)</w:t>
            </w:r>
          </w:p>
        </w:tc>
        <w:tc>
          <w:tcPr/>
          <w:p>
            <w:pPr>
              <w:pStyle w:val="Compact"/>
            </w:pPr>
            <w:r>
              <w:t xml:space="preserve">Authorization, credit hold, raises disputes</w:t>
            </w:r>
          </w:p>
        </w:tc>
      </w:tr>
      <w:tr>
        <w:tc>
          <w:tcPr/>
          <w:p>
            <w:pPr>
              <w:pStyle w:val="Compact"/>
            </w:pPr>
            <w:r>
              <w:t xml:space="preserve">Card Scheme (Visa/MC)</w:t>
            </w:r>
          </w:p>
        </w:tc>
        <w:tc>
          <w:tcPr/>
          <w:p>
            <w:pPr>
              <w:pStyle w:val="Compact"/>
            </w:pPr>
            <w:r>
              <w:t xml:space="preserve">Switching/clearing/settlement</w:t>
            </w:r>
          </w:p>
        </w:tc>
        <w:tc>
          <w:tcPr/>
          <w:p>
            <w:pPr>
              <w:pStyle w:val="Compact"/>
            </w:pPr>
            <w:r>
              <w:t xml:space="preserve">✔ (pass-through)</w:t>
            </w:r>
          </w:p>
        </w:tc>
        <w:tc>
          <w:tcPr/>
          <w:p>
            <w:pPr>
              <w:pStyle w:val="Compact"/>
            </w:pPr>
            <w:r>
              <w:t xml:space="preserve">Sets interchange/scheme fees, clearing files</w:t>
            </w:r>
          </w:p>
        </w:tc>
      </w:tr>
      <w:tr>
        <w:tc>
          <w:tcPr/>
          <w:p>
            <w:pPr>
              <w:pStyle w:val="Compact"/>
            </w:pPr>
            <w:r>
              <w:t xml:space="preserve">Sponsor Bank / Acquirer</w:t>
            </w:r>
          </w:p>
        </w:tc>
        <w:tc>
          <w:tcPr/>
          <w:p>
            <w:pPr>
              <w:pStyle w:val="Compact"/>
            </w:pPr>
            <w:r>
              <w:t xml:space="preserve">BIN sponsorship, holds settlement account</w:t>
            </w:r>
          </w:p>
        </w:tc>
        <w:tc>
          <w:tcPr/>
          <w:p>
            <w:pPr>
              <w:pStyle w:val="Compact"/>
            </w:pPr>
            <w:r>
              <w:t xml:space="preserve">✔ (primary endpoint)</w:t>
            </w:r>
          </w:p>
        </w:tc>
        <w:tc>
          <w:tcPr/>
          <w:p>
            <w:pPr>
              <w:pStyle w:val="Compact"/>
            </w:pPr>
            <w:r>
              <w:t xml:space="preserve">Funding, safeguarding, reporting per</w:t>
            </w:r>
            <w:r>
              <w:t xml:space="preserve"> </w:t>
            </w:r>
            <w:r>
              <w:rPr>
                <w:rStyle w:val="VerbatimChar"/>
              </w:rPr>
              <w:t xml:space="preserve">COMP-30</w:t>
            </w:r>
            <w:r>
              <w:t xml:space="preserve"> </w:t>
            </w:r>
            <w:r>
              <w:rPr>
                <w:b/>
                <w:bCs/>
              </w:rPr>
              <w:t xml:space="preserve">[TODO]</w:t>
            </w:r>
          </w:p>
        </w:tc>
      </w:tr>
      <w:tr>
        <w:tc>
          <w:tcPr/>
          <w:p>
            <w:pPr>
              <w:pStyle w:val="Compact"/>
            </w:pPr>
            <w:r>
              <w:rPr>
                <w:b/>
                <w:bCs/>
              </w:rPr>
              <w:t xml:space="preserve">[บริษัท / Company]</w:t>
            </w:r>
            <w:r>
              <w:t xml:space="preserve"> </w:t>
            </w:r>
            <w:r>
              <w:t xml:space="preserve">(Gateway)</w:t>
            </w:r>
          </w:p>
        </w:tc>
        <w:tc>
          <w:tcPr/>
          <w:p>
            <w:pPr>
              <w:pStyle w:val="Compact"/>
            </w:pPr>
            <w:r>
              <w:t xml:space="preserve">Processing, ledger, payout</w:t>
            </w:r>
          </w:p>
        </w:tc>
        <w:tc>
          <w:tcPr/>
          <w:p>
            <w:pPr>
              <w:pStyle w:val="Compact"/>
            </w:pPr>
            <w:r>
              <w:t xml:space="preserve">✔/structure-dependent</w:t>
            </w:r>
            <w:r>
              <w:t xml:space="preserve"> </w:t>
            </w:r>
            <w:r>
              <w:rPr>
                <w:b/>
                <w:bCs/>
              </w:rPr>
              <w:t xml:space="preserve">[TODO]</w:t>
            </w:r>
          </w:p>
        </w:tc>
        <w:tc>
          <w:tcPr/>
          <w:p>
            <w:pPr>
              <w:pStyle w:val="Compact"/>
            </w:pPr>
            <w:r>
              <w:t xml:space="preserve">Append-only ledger, reconciliation, AML monitoring</w:t>
            </w:r>
          </w:p>
        </w:tc>
      </w:tr>
      <w:tr>
        <w:tc>
          <w:tcPr/>
          <w:p>
            <w:pPr>
              <w:pStyle w:val="Compact"/>
            </w:pPr>
            <w:r>
              <w:t xml:space="preserve">Merchant</w:t>
            </w:r>
          </w:p>
        </w:tc>
        <w:tc>
          <w:tcPr/>
          <w:p>
            <w:pPr>
              <w:pStyle w:val="Compact"/>
            </w:pPr>
            <w:r>
              <w:t xml:space="preserve">Final payee</w:t>
            </w:r>
          </w:p>
        </w:tc>
        <w:tc>
          <w:tcPr/>
          <w:p>
            <w:pPr>
              <w:pStyle w:val="Compact"/>
            </w:pPr>
            <w:r>
              <w:t xml:space="preserve">✔ (endpoint)</w:t>
            </w:r>
          </w:p>
        </w:tc>
        <w:tc>
          <w:tcPr/>
          <w:p>
            <w:pPr>
              <w:pStyle w:val="Compact"/>
            </w:pPr>
            <w:r>
              <w:t xml:space="preserve">KYC/CDD (</w:t>
            </w:r>
            <w:r>
              <w:rPr>
                <w:rStyle w:val="VerbatimChar"/>
              </w:rPr>
              <w:t xml:space="preserve">COMP-05</w:t>
            </w:r>
            <w:r>
              <w:t xml:space="preserve">), agreement (</w:t>
            </w:r>
            <w:r>
              <w:rPr>
                <w:rStyle w:val="VerbatimChar"/>
              </w:rPr>
              <w:t xml:space="preserve">COMP-25</w:t>
            </w:r>
            <w:r>
              <w:t xml:space="preserve">)</w:t>
            </w:r>
          </w:p>
        </w:tc>
      </w:tr>
    </w:tbl>
    <w:p>
      <w:pPr>
        <w:pStyle w:val="BlockText"/>
      </w:pPr>
      <w:r>
        <w:rPr>
          <w:b/>
          <w:bCs/>
        </w:rPr>
        <w:t xml:space="preserve">Custody note:</w:t>
      </w:r>
      <w:r>
        <w:t xml:space="preserve"> </w:t>
      </w:r>
      <w:r>
        <w:t xml:space="preserve">The lowest-risk and preferred structure is for the</w:t>
      </w:r>
      <w:r>
        <w:t xml:space="preserve"> </w:t>
      </w:r>
      <w:r>
        <w:rPr>
          <w:b/>
          <w:bCs/>
        </w:rPr>
        <w:t xml:space="preserve">sponsor bank to be the settlement fund holder</w:t>
      </w:r>
      <w:r>
        <w:t xml:space="preserve"> </w:t>
      </w:r>
      <w:r>
        <w:t xml:space="preserve">(bank-held), with the company only issuing payout instructions and never commingling with operating cash. If the company itself holds merchant funds in transit, a</w:t>
      </w:r>
      <w:r>
        <w:t xml:space="preserve"> </w:t>
      </w:r>
      <w:r>
        <w:rPr>
          <w:b/>
          <w:bCs/>
        </w:rPr>
        <w:t xml:space="preserve">segregated/trust account</w:t>
      </w:r>
      <w:r>
        <w:t xml:space="preserve"> </w:t>
      </w:r>
      <w:r>
        <w:t xml:space="preserve">and BOT-mandated safeguarding measures apply</w:t>
      </w:r>
      <w:r>
        <w:t xml:space="preserve"> </w:t>
      </w:r>
      <w:r>
        <w:rPr>
          <w:b/>
          <w:bCs/>
        </w:rPr>
        <w:t xml:space="preserve">[TODO — confirm structure]</w:t>
      </w:r>
      <w:r>
        <w:t xml:space="preserve">.</w:t>
      </w:r>
    </w:p>
    <w:p>
      <w:r>
        <w:pict>
          <v:rect style="width:0;height:1.5pt" o:hralign="center" o:hrstd="t" o:hr="t"/>
        </w:pict>
      </w:r>
    </w:p>
    <w:bookmarkEnd w:id="1295"/>
    <w:bookmarkStart w:id="1296" w:name="forward-fund-flow-purchase-payout"/>
    <w:p>
      <w:pPr>
        <w:pStyle w:val="Heading2"/>
      </w:pPr>
      <w:r>
        <w:t xml:space="preserve">3. Forward Fund Flow (Purchase → Payout)</w:t>
      </w:r>
    </w:p>
    <w:p>
      <w:pPr>
        <w:pStyle w:val="SourceCode"/>
      </w:pPr>
      <w:r>
        <w:rPr>
          <w:rStyle w:val="VerbatimChar"/>
        </w:rPr>
        <w:t xml:space="preserve">sequenceDiagram</w:t>
      </w:r>
      <w:r>
        <w:br/>
      </w:r>
      <w:r>
        <w:rPr>
          <w:rStyle w:val="VerbatimChar"/>
        </w:rPr>
        <w:t xml:space="preserve">    participant CH as Cardholder</w:t>
      </w:r>
      <w:r>
        <w:br/>
      </w:r>
      <w:r>
        <w:rPr>
          <w:rStyle w:val="VerbatimChar"/>
        </w:rPr>
        <w:t xml:space="preserve">    participant ISS as Issuer</w:t>
      </w:r>
      <w:r>
        <w:br/>
      </w:r>
      <w:r>
        <w:rPr>
          <w:rStyle w:val="VerbatimChar"/>
        </w:rPr>
        <w:t xml:space="preserve">    participant SCH as Card Scheme</w:t>
      </w:r>
      <w:r>
        <w:br/>
      </w:r>
      <w:r>
        <w:rPr>
          <w:rStyle w:val="VerbatimChar"/>
        </w:rPr>
        <w:t xml:space="preserve">    participant SB as Sponsor Bank / Acquirer</w:t>
      </w:r>
      <w:r>
        <w:br/>
      </w:r>
      <w:r>
        <w:rPr>
          <w:rStyle w:val="VerbatimChar"/>
        </w:rPr>
        <w:t xml:space="preserve">    participant GW as [Company] Gateway (ledger)</w:t>
      </w:r>
      <w:r>
        <w:br/>
      </w:r>
      <w:r>
        <w:rPr>
          <w:rStyle w:val="VerbatimChar"/>
        </w:rPr>
        <w:t xml:space="preserve">    participant MER as Merchant</w:t>
      </w:r>
      <w:r>
        <w:br/>
      </w:r>
      <w:r>
        <w:br/>
      </w:r>
      <w:r>
        <w:rPr>
          <w:rStyle w:val="VerbatimChar"/>
        </w:rPr>
        <w:t xml:space="preserve">    CH-&gt;&gt;GW: Pay (auth request + 3DS)</w:t>
      </w:r>
      <w:r>
        <w:br/>
      </w:r>
      <w:r>
        <w:rPr>
          <w:rStyle w:val="VerbatimChar"/>
        </w:rPr>
        <w:t xml:space="preserve">    GW-&gt;&gt;SB: authorization</w:t>
      </w:r>
      <w:r>
        <w:br/>
      </w:r>
      <w:r>
        <w:rPr>
          <w:rStyle w:val="VerbatimChar"/>
        </w:rPr>
        <w:t xml:space="preserve">    SB-&gt;&gt;SCH: authorization</w:t>
      </w:r>
      <w:r>
        <w:br/>
      </w:r>
      <w:r>
        <w:rPr>
          <w:rStyle w:val="VerbatimChar"/>
        </w:rPr>
        <w:t xml:space="preserve">    SCH-&gt;&gt;ISS: authorization</w:t>
      </w:r>
      <w:r>
        <w:br/>
      </w:r>
      <w:r>
        <w:rPr>
          <w:rStyle w:val="VerbatimChar"/>
        </w:rPr>
        <w:t xml:space="preserve">    ISS--&gt;&gt;CH: hold funds</w:t>
      </w:r>
      <w:r>
        <w:br/>
      </w:r>
      <w:r>
        <w:rPr>
          <w:rStyle w:val="VerbatimChar"/>
        </w:rPr>
        <w:t xml:space="preserve">    ISS--&gt;&gt;SCH: approve</w:t>
      </w:r>
      <w:r>
        <w:br/>
      </w:r>
      <w:r>
        <w:rPr>
          <w:rStyle w:val="VerbatimChar"/>
        </w:rPr>
        <w:t xml:space="preserve">    SCH--&gt;&gt;SB: approve</w:t>
      </w:r>
      <w:r>
        <w:br/>
      </w:r>
      <w:r>
        <w:rPr>
          <w:rStyle w:val="VerbatimChar"/>
        </w:rPr>
        <w:t xml:space="preserve">    SB--&gt;&gt;GW: approve → GW records ledger (pending)</w:t>
      </w:r>
      <w:r>
        <w:br/>
      </w:r>
      <w:r>
        <w:rPr>
          <w:rStyle w:val="VerbatimChar"/>
        </w:rPr>
        <w:t xml:space="preserve">    Note over GW,SB: Capture/Clearing (end-of-day batch)</w:t>
      </w:r>
      <w:r>
        <w:br/>
      </w:r>
      <w:r>
        <w:rPr>
          <w:rStyle w:val="VerbatimChar"/>
        </w:rPr>
        <w:t xml:space="preserve">    ISS-&gt;&gt;SCH: actual funds move (clearing/settlement file)</w:t>
      </w:r>
      <w:r>
        <w:br/>
      </w:r>
      <w:r>
        <w:rPr>
          <w:rStyle w:val="VerbatimChar"/>
        </w:rPr>
        <w:t xml:space="preserve">    SCH-&gt;&gt;SB: settlement (less interchange + scheme fee)</w:t>
      </w:r>
      <w:r>
        <w:br/>
      </w:r>
      <w:r>
        <w:rPr>
          <w:rStyle w:val="VerbatimChar"/>
        </w:rPr>
        <w:t xml:space="preserve">    SB-&gt;&gt;GW: funding into settlement account (net)</w:t>
      </w:r>
      <w:r>
        <w:br/>
      </w:r>
      <w:r>
        <w:rPr>
          <w:rStyle w:val="VerbatimChar"/>
        </w:rPr>
        <w:t xml:space="preserve">    GW-&gt;&gt;GW: net = gross − fees − reserve</w:t>
      </w:r>
      <w:r>
        <w:br/>
      </w:r>
      <w:r>
        <w:rPr>
          <w:rStyle w:val="VerbatimChar"/>
        </w:rPr>
        <w:t xml:space="preserve">    GW-&gt;&gt;MER: payout (T+n) to merchant account</w:t>
      </w:r>
    </w:p>
    <w:p>
      <w:pPr>
        <w:pStyle w:val="FirstParagraph"/>
      </w:pPr>
      <w:r>
        <w:rPr>
          <w:b/>
          <w:bCs/>
        </w:rPr>
        <w:t xml:space="preserve">Fee waterfall per transaction:</w:t>
      </w:r>
    </w:p>
    <w:p>
      <w:pPr>
        <w:pStyle w:val="SourceCode"/>
      </w:pPr>
      <w:r>
        <w:rPr>
          <w:rStyle w:val="VerbatimChar"/>
        </w:rPr>
        <w:t xml:space="preserve">Gross paid by cardholder</w:t>
      </w:r>
      <w:r>
        <w:br/>
      </w:r>
      <w:r>
        <w:rPr>
          <w:rStyle w:val="VerbatimChar"/>
        </w:rPr>
        <w:t xml:space="preserve">  − interchange fee (to issuer, via scheme)        [TODO actual rate]</w:t>
      </w:r>
      <w:r>
        <w:br/>
      </w:r>
      <w:r>
        <w:rPr>
          <w:rStyle w:val="VerbatimChar"/>
        </w:rPr>
        <w:t xml:space="preserve">  − scheme fee (to Visa/MC)                        [TODO]</w:t>
      </w:r>
      <w:r>
        <w:br/>
      </w:r>
      <w:r>
        <w:rPr>
          <w:rStyle w:val="VerbatimChar"/>
        </w:rPr>
        <w:t xml:space="preserve">  − acquirer/sponsor processing fee                [TODO]</w:t>
      </w:r>
      <w:r>
        <w:br/>
      </w:r>
      <w:r>
        <w:rPr>
          <w:rStyle w:val="VerbatimChar"/>
        </w:rPr>
        <w:t xml:space="preserve">  − company service fee (MDR margin)</w:t>
      </w:r>
      <w:r>
        <w:br/>
      </w:r>
      <w:r>
        <w:rPr>
          <w:rStyle w:val="VerbatimChar"/>
        </w:rPr>
        <w:t xml:space="preserve">  − rolling reserve (held, released later)         [TODO %]</w:t>
      </w:r>
      <w:r>
        <w:br/>
      </w:r>
      <w:r>
        <w:rPr>
          <w:rStyle w:val="VerbatimChar"/>
        </w:rPr>
        <w:t xml:space="preserve">  = net payout to merchant (T+n)</w:t>
      </w:r>
    </w:p>
    <w:p>
      <w:pPr>
        <w:pStyle w:val="BlockText"/>
      </w:pPr>
      <w:r>
        <w:t xml:space="preserve">T+n, cut-off, and clearing-file details (Visa TC33/VSS, Mastercard IPM/T112) are in</w:t>
      </w:r>
      <w:r>
        <w:t xml:space="preserve"> </w:t>
      </w:r>
      <w:r>
        <w:rPr>
          <w:rStyle w:val="VerbatimChar"/>
        </w:rPr>
        <w:t xml:space="preserve">COMP-27</w:t>
      </w:r>
      <w:r>
        <w:t xml:space="preserve"> </w:t>
      </w:r>
      <w:r>
        <w:t xml:space="preserve">§4; this document specifies only</w:t>
      </w:r>
      <w:r>
        <w:t xml:space="preserve"> </w:t>
      </w:r>
      <w:r>
        <w:rPr>
          <w:b/>
          <w:bCs/>
        </w:rPr>
        <w:t xml:space="preserve">direction and custody of money</w:t>
      </w:r>
      <w:r>
        <w:t xml:space="preserve">.</w:t>
      </w:r>
    </w:p>
    <w:p>
      <w:r>
        <w:pict>
          <v:rect style="width:0;height:1.5pt" o:hralign="center" o:hrstd="t" o:hr="t"/>
        </w:pict>
      </w:r>
    </w:p>
    <w:bookmarkEnd w:id="1296"/>
    <w:bookmarkStart w:id="1297" w:name="reverse-fund-flow-refund-chargeback"/>
    <w:p>
      <w:pPr>
        <w:pStyle w:val="Heading2"/>
      </w:pPr>
      <w:r>
        <w:t xml:space="preserve">4. Reverse Fund Flow (Refund &amp; Chargeback)</w:t>
      </w:r>
    </w:p>
    <w:tbl>
      <w:tblPr>
        <w:tblStyle w:val="Table"/>
        <w:tblW w:type="pct" w:w="5000"/>
        <w:tblLayout w:type="fixed"/>
        <w:tblLook w:firstRow="1" w:lastRow="0" w:firstColumn="0" w:lastColumn="0" w:noHBand="0" w:noVBand="0" w:val="0020"/>
      </w:tblPr>
      <w:tblGrid>
        <w:gridCol w:w="972"/>
        <w:gridCol w:w="2362"/>
        <w:gridCol w:w="1528"/>
        <w:gridCol w:w="2362"/>
        <w:gridCol w:w="694"/>
      </w:tblGrid>
      <w:tr>
        <w:trPr>
          <w:tblHeader w:val="on"/>
        </w:trPr>
        <w:tc>
          <w:tcPr/>
          <w:p>
            <w:pPr>
              <w:pStyle w:val="Compact"/>
            </w:pPr>
            <w:r>
              <w:t xml:space="preserve">Event</w:t>
            </w:r>
          </w:p>
        </w:tc>
        <w:tc>
          <w:tcPr/>
          <w:p>
            <w:pPr>
              <w:pStyle w:val="Compact"/>
            </w:pPr>
            <w:r>
              <w:t xml:space="preserve">Money direction</w:t>
            </w:r>
          </w:p>
        </w:tc>
        <w:tc>
          <w:tcPr/>
          <w:p>
            <w:pPr>
              <w:pStyle w:val="Compact"/>
            </w:pPr>
            <w:r>
              <w:t xml:space="preserve">Initiator</w:t>
            </w:r>
          </w:p>
        </w:tc>
        <w:tc>
          <w:tcPr/>
          <w:p>
            <w:pPr>
              <w:pStyle w:val="Compact"/>
            </w:pPr>
            <w:r>
              <w:t xml:space="preserve">Source of funds</w:t>
            </w:r>
          </w:p>
        </w:tc>
        <w:tc>
          <w:tcPr/>
          <w:p>
            <w:pPr>
              <w:pStyle w:val="Compact"/>
            </w:pPr>
            <w:r>
              <w:t xml:space="preserve">Ref</w:t>
            </w:r>
          </w:p>
        </w:tc>
      </w:tr>
      <w:tr>
        <w:tc>
          <w:tcPr/>
          <w:p>
            <w:pPr>
              <w:pStyle w:val="Compact"/>
            </w:pPr>
            <w:r>
              <w:t xml:space="preserve">Refund</w:t>
            </w:r>
          </w:p>
        </w:tc>
        <w:tc>
          <w:tcPr/>
          <w:p>
            <w:pPr>
              <w:pStyle w:val="Compact"/>
            </w:pPr>
            <w:r>
              <w:t xml:space="preserve">GW/Merchant → Scheme → Issuer → Cardholder</w:t>
            </w:r>
          </w:p>
        </w:tc>
        <w:tc>
          <w:tcPr/>
          <w:p>
            <w:pPr>
              <w:pStyle w:val="Compact"/>
            </w:pPr>
            <w:r>
              <w:t xml:space="preserve">Merchant</w:t>
            </w:r>
          </w:p>
        </w:tc>
        <w:tc>
          <w:tcPr/>
          <w:p>
            <w:pPr>
              <w:pStyle w:val="Compact"/>
            </w:pPr>
            <w:r>
              <w:t xml:space="preserve">Merchant balance / next payout</w:t>
            </w:r>
          </w:p>
        </w:tc>
        <w:tc>
          <w:tcPr/>
          <w:p>
            <w:pPr>
              <w:pStyle w:val="Compact"/>
            </w:pPr>
            <w:r>
              <w:rPr>
                <w:rStyle w:val="VerbatimChar"/>
              </w:rPr>
              <w:t xml:space="preserve">COMP-28</w:t>
            </w:r>
          </w:p>
        </w:tc>
      </w:tr>
      <w:tr>
        <w:tc>
          <w:tcPr/>
          <w:p>
            <w:pPr>
              <w:pStyle w:val="Compact"/>
            </w:pPr>
            <w:r>
              <w:t xml:space="preserve">Chargeback</w:t>
            </w:r>
          </w:p>
        </w:tc>
        <w:tc>
          <w:tcPr/>
          <w:p>
            <w:pPr>
              <w:pStyle w:val="Compact"/>
            </w:pPr>
            <w:r>
              <w:t xml:space="preserve">Issuer ← Scheme ← SB ← GW ← Merchant</w:t>
            </w:r>
          </w:p>
        </w:tc>
        <w:tc>
          <w:tcPr/>
          <w:p>
            <w:pPr>
              <w:pStyle w:val="Compact"/>
            </w:pPr>
            <w:r>
              <w:t xml:space="preserve">Issuer</w:t>
            </w:r>
          </w:p>
        </w:tc>
        <w:tc>
          <w:tcPr/>
          <w:p>
            <w:pPr>
              <w:pStyle w:val="Compact"/>
            </w:pPr>
            <w:r>
              <w:t xml:space="preserve">Merchant balance / rolling reserve</w:t>
            </w:r>
          </w:p>
        </w:tc>
        <w:tc>
          <w:tcPr/>
          <w:p>
            <w:pPr>
              <w:pStyle w:val="Compact"/>
            </w:pPr>
            <w:r>
              <w:rPr>
                <w:rStyle w:val="VerbatimChar"/>
              </w:rPr>
              <w:t xml:space="preserve">COMP-28</w:t>
            </w:r>
            <w:r>
              <w:t xml:space="preserve">,</w:t>
            </w:r>
            <w:r>
              <w:t xml:space="preserve"> </w:t>
            </w:r>
            <w:r>
              <w:rPr>
                <w:rStyle w:val="VerbatimChar"/>
              </w:rPr>
              <w:t xml:space="preserve">COMP-29</w:t>
            </w:r>
          </w:p>
        </w:tc>
      </w:tr>
      <w:tr>
        <w:tc>
          <w:tcPr/>
          <w:p>
            <w:pPr>
              <w:pStyle w:val="Compact"/>
            </w:pPr>
            <w:r>
              <w:t xml:space="preserve">Representment</w:t>
            </w:r>
          </w:p>
        </w:tc>
        <w:tc>
          <w:tcPr/>
          <w:p>
            <w:pPr>
              <w:pStyle w:val="Compact"/>
            </w:pPr>
            <w:r>
              <w:t xml:space="preserve">Back to merchant if won</w:t>
            </w:r>
          </w:p>
        </w:tc>
        <w:tc>
          <w:tcPr/>
          <w:p>
            <w:pPr>
              <w:pStyle w:val="Compact"/>
            </w:pPr>
            <w:r>
              <w:t xml:space="preserve">Company/Merchant</w:t>
            </w:r>
          </w:p>
        </w:tc>
        <w:tc>
          <w:tcPr/>
          <w:p>
            <w:pPr>
              <w:pStyle w:val="Compact"/>
            </w:pPr>
            <w:r>
              <w:t xml:space="preserve">Scheme returns on dispute win</w:t>
            </w:r>
          </w:p>
        </w:tc>
        <w:tc>
          <w:tcPr/>
          <w:p>
            <w:pPr>
              <w:pStyle w:val="Compact"/>
            </w:pPr>
            <w:r>
              <w:rPr>
                <w:rStyle w:val="VerbatimChar"/>
              </w:rPr>
              <w:t xml:space="preserve">COMP-29</w:t>
            </w:r>
          </w:p>
        </w:tc>
      </w:tr>
    </w:tbl>
    <w:p>
      <w:pPr>
        <w:pStyle w:val="BlockText"/>
      </w:pPr>
      <w:r>
        <w:rPr>
          <w:b/>
          <w:bCs/>
        </w:rPr>
        <w:t xml:space="preserve">Credit-risk protection:</w:t>
      </w:r>
      <w:r>
        <w:t xml:space="preserve"> </w:t>
      </w:r>
      <w:r>
        <w:t xml:space="preserve">If a merchant’s balance/reserve is insufficient to cover chargebacks/refunds, the company bears acquirer liability. Hence</w:t>
      </w:r>
      <w:r>
        <w:t xml:space="preserve"> </w:t>
      </w:r>
      <w:r>
        <w:rPr>
          <w:b/>
          <w:bCs/>
        </w:rPr>
        <w:t xml:space="preserve">rolling reserve + risk-based delayed payout</w:t>
      </w:r>
      <w:r>
        <w:t xml:space="preserve"> </w:t>
      </w:r>
      <w:r>
        <w:t xml:space="preserve">(see</w:t>
      </w:r>
      <w:r>
        <w:t xml:space="preserve"> </w:t>
      </w:r>
      <w:r>
        <w:rPr>
          <w:rStyle w:val="VerbatimChar"/>
        </w:rPr>
        <w:t xml:space="preserve">COMP-08</w:t>
      </w:r>
      <w:r>
        <w:t xml:space="preserve"> </w:t>
      </w:r>
      <w:r>
        <w:t xml:space="preserve">risk tiers and</w:t>
      </w:r>
      <w:r>
        <w:t xml:space="preserve"> </w:t>
      </w:r>
      <w:r>
        <w:rPr>
          <w:rStyle w:val="VerbatimChar"/>
        </w:rPr>
        <w:t xml:space="preserve">COMP-28</w:t>
      </w:r>
      <w:r>
        <w:t xml:space="preserve">) limit exposure.</w:t>
      </w:r>
    </w:p>
    <w:p>
      <w:r>
        <w:pict>
          <v:rect style="width:0;height:1.5pt" o:hralign="center" o:hrstd="t" o:hr="t"/>
        </w:pict>
      </w:r>
    </w:p>
    <w:bookmarkEnd w:id="1297"/>
    <w:bookmarkStart w:id="1298" w:name="rolling-reserve-reserve-release-fx"/>
    <w:p>
      <w:pPr>
        <w:pStyle w:val="Heading2"/>
      </w:pPr>
      <w:r>
        <w:t xml:space="preserve">5. Rolling Reserve, Reserve Release &amp; FX</w:t>
      </w:r>
    </w:p>
    <w:p>
      <w:pPr>
        <w:pStyle w:val="Compact"/>
        <w:numPr>
          <w:ilvl w:val="0"/>
          <w:numId w:val="1455"/>
        </w:numPr>
      </w:pPr>
      <w:r>
        <w:rPr>
          <w:b/>
          <w:bCs/>
        </w:rPr>
        <w:t xml:space="preserve">Rolling reserve:</w:t>
      </w:r>
      <w:r>
        <w:t xml:space="preserve"> </w:t>
      </w:r>
      <w:r>
        <w:t xml:space="preserve">Hold</w:t>
      </w:r>
      <w:r>
        <w:t xml:space="preserve"> </w:t>
      </w:r>
      <w:r>
        <w:rPr>
          <w:rStyle w:val="VerbatimChar"/>
        </w:rPr>
        <w:t xml:space="preserve">X%</w:t>
      </w:r>
      <w:r>
        <w:t xml:space="preserve"> </w:t>
      </w:r>
      <w:r>
        <w:t xml:space="preserve">of transaction volume for</w:t>
      </w:r>
      <w:r>
        <w:t xml:space="preserve"> </w:t>
      </w:r>
      <w:r>
        <w:rPr>
          <w:rStyle w:val="VerbatimChar"/>
        </w:rPr>
        <w:t xml:space="preserve">N</w:t>
      </w:r>
      <w:r>
        <w:t xml:space="preserve"> </w:t>
      </w:r>
      <w:r>
        <w:t xml:space="preserve">days (defaults by merchant risk tier) to pre-fund chargebacks/refunds —</w:t>
      </w:r>
      <w:r>
        <w:t xml:space="preserve"> </w:t>
      </w:r>
      <w:r>
        <w:rPr>
          <w:b/>
          <w:bCs/>
        </w:rPr>
        <w:t xml:space="preserve">[TODO actual rate per risk tier]</w:t>
      </w:r>
      <w:r>
        <w:t xml:space="preserve">.</w:t>
      </w:r>
    </w:p>
    <w:p>
      <w:pPr>
        <w:pStyle w:val="Compact"/>
        <w:numPr>
          <w:ilvl w:val="0"/>
          <w:numId w:val="1455"/>
        </w:numPr>
      </w:pPr>
      <w:r>
        <w:rPr>
          <w:b/>
          <w:bCs/>
        </w:rPr>
        <w:t xml:space="preserve">Reserve release:</w:t>
      </w:r>
      <w:r>
        <w:t xml:space="preserve"> </w:t>
      </w:r>
      <w:r>
        <w:t xml:space="preserve">Released on a rolling schedule (e.g., today’s held amount released after N days), recorded as separate ledger entries.</w:t>
      </w:r>
    </w:p>
    <w:p>
      <w:pPr>
        <w:pStyle w:val="Compact"/>
        <w:numPr>
          <w:ilvl w:val="0"/>
          <w:numId w:val="1455"/>
        </w:numPr>
      </w:pPr>
      <w:r>
        <w:rPr>
          <w:b/>
          <w:bCs/>
        </w:rPr>
        <w:t xml:space="preserve">FX / Multi-currency:</w:t>
      </w:r>
      <w:r>
        <w:t xml:space="preserve"> </w:t>
      </w:r>
      <w:r>
        <w:t xml:space="preserve">For foreign-currency transactions, conversion occurs at settlement using scheme/FX-provider rates plus disclosed markup; settlement to the company may be in THB or foreign currency per sponsor-bank terms</w:t>
      </w:r>
      <w:r>
        <w:t xml:space="preserve"> </w:t>
      </w:r>
      <w:r>
        <w:rPr>
          <w:b/>
          <w:bCs/>
        </w:rPr>
        <w:t xml:space="preserve">[TODO]</w:t>
      </w:r>
      <w:r>
        <w:t xml:space="preserve">.</w:t>
      </w:r>
    </w:p>
    <w:p>
      <w:r>
        <w:pict>
          <v:rect style="width:0;height:1.5pt" o:hralign="center" o:hrstd="t" o:hr="t"/>
        </w:pict>
      </w:r>
    </w:p>
    <w:bookmarkEnd w:id="1298"/>
    <w:bookmarkStart w:id="1299" w:name="aml-controls-on-fund-flow-reconciliation"/>
    <w:p>
      <w:pPr>
        <w:pStyle w:val="Heading2"/>
      </w:pPr>
      <w:r>
        <w:t xml:space="preserve">6. AML Controls on Fund Flow &amp; Reconciliation</w:t>
      </w:r>
    </w:p>
    <w:p>
      <w:pPr>
        <w:pStyle w:val="Compact"/>
        <w:numPr>
          <w:ilvl w:val="0"/>
          <w:numId w:val="1456"/>
        </w:numPr>
      </w:pPr>
      <w:r>
        <w:rPr>
          <w:b/>
          <w:bCs/>
        </w:rPr>
        <w:t xml:space="preserve">Transaction laundering / merchant-based ML:</w:t>
      </w:r>
      <w:r>
        <w:t xml:space="preserve"> </w:t>
      </w:r>
      <w:r>
        <w:t xml:space="preserve">Monitor abnormal fund patterns through merchants (e.g., volume spikes, MCC mismatch, refund cycling) per</w:t>
      </w:r>
      <w:r>
        <w:t xml:space="preserve"> </w:t>
      </w:r>
      <w:r>
        <w:rPr>
          <w:rStyle w:val="VerbatimChar"/>
        </w:rPr>
        <w:t xml:space="preserve">COMP-05</w:t>
      </w:r>
      <w:r>
        <w:t xml:space="preserve"> </w:t>
      </w:r>
      <w:r>
        <w:t xml:space="preserve">and</w:t>
      </w:r>
      <w:r>
        <w:t xml:space="preserve"> </w:t>
      </w:r>
      <w:r>
        <w:rPr>
          <w:rStyle w:val="VerbatimChar"/>
        </w:rPr>
        <w:t xml:space="preserve">COMP-07</w:t>
      </w:r>
      <w:r>
        <w:t xml:space="preserve"> </w:t>
      </w:r>
      <w:r>
        <w:t xml:space="preserve">(SAR/STR).</w:t>
      </w:r>
    </w:p>
    <w:p>
      <w:pPr>
        <w:pStyle w:val="Compact"/>
        <w:numPr>
          <w:ilvl w:val="0"/>
          <w:numId w:val="1456"/>
        </w:numPr>
      </w:pPr>
      <w:r>
        <w:rPr>
          <w:b/>
          <w:bCs/>
        </w:rPr>
        <w:t xml:space="preserve">No commingling of company vs merchant funds:</w:t>
      </w:r>
      <w:r>
        <w:t xml:space="preserve"> </w:t>
      </w:r>
      <w:r>
        <w:t xml:space="preserve">Append-only double-entry ledger with sub-accounts (settlement payable, reserve, fee income, company operating) as the reconciliation source of truth (</w:t>
      </w:r>
      <w:r>
        <w:rPr>
          <w:rStyle w:val="VerbatimChar"/>
        </w:rPr>
        <w:t xml:space="preserve">COMP-27</w:t>
      </w:r>
      <w:r>
        <w:t xml:space="preserve"> </w:t>
      </w:r>
      <w:r>
        <w:t xml:space="preserve">§6).</w:t>
      </w:r>
    </w:p>
    <w:p>
      <w:pPr>
        <w:pStyle w:val="Compact"/>
        <w:numPr>
          <w:ilvl w:val="0"/>
          <w:numId w:val="1456"/>
        </w:numPr>
      </w:pPr>
      <w:r>
        <w:rPr>
          <w:b/>
          <w:bCs/>
        </w:rPr>
        <w:t xml:space="preserve">Three-way reconciliation:</w:t>
      </w:r>
      <w:r>
        <w:t xml:space="preserve"> </w:t>
      </w:r>
      <w:r>
        <w:t xml:space="preserve">(a) scheme/sponsor-bank settlement file ↔ (b) internal ledger ↔ (c) actual payout to merchant account — reconciled every business day; discrepancies enter an exception workflow.</w:t>
      </w:r>
    </w:p>
    <w:p>
      <w:pPr>
        <w:pStyle w:val="Compact"/>
        <w:numPr>
          <w:ilvl w:val="0"/>
          <w:numId w:val="1456"/>
        </w:numPr>
      </w:pPr>
      <w:r>
        <w:rPr>
          <w:b/>
          <w:bCs/>
        </w:rPr>
        <w:t xml:space="preserve">Audit trail:</w:t>
      </w:r>
      <w:r>
        <w:t xml:space="preserve"> </w:t>
      </w:r>
      <w:r>
        <w:t xml:space="preserve">Every money movement carries trace id, timestamp, actor per BOT rules and PCI-DSS Req 10 (</w:t>
      </w:r>
      <w:r>
        <w:rPr>
          <w:rStyle w:val="VerbatimChar"/>
        </w:rPr>
        <w:t xml:space="preserve">COMP-13</w:t>
      </w:r>
      <w:r>
        <w:t xml:space="preserve">,</w:t>
      </w:r>
      <w:r>
        <w:t xml:space="preserve"> </w:t>
      </w:r>
      <w:r>
        <w:rPr>
          <w:rStyle w:val="VerbatimChar"/>
        </w:rPr>
        <w:t xml:space="preserve">COMP-16</w:t>
      </w:r>
      <w:r>
        <w:t xml:space="preserve">).</w:t>
      </w:r>
    </w:p>
    <w:p>
      <w:pPr>
        <w:pStyle w:val="Compact"/>
        <w:numPr>
          <w:ilvl w:val="0"/>
          <w:numId w:val="1456"/>
        </w:numPr>
      </w:pPr>
      <w:r>
        <w:rPr>
          <w:b/>
          <w:bCs/>
        </w:rPr>
        <w:t xml:space="preserve">Reporting:</w:t>
      </w:r>
      <w:r>
        <w:t xml:space="preserve"> </w:t>
      </w:r>
      <w:r>
        <w:t xml:space="preserve">Settlement/reserve/fee balances summarised in periodic BOT reports (</w:t>
      </w:r>
      <w:r>
        <w:rPr>
          <w:rStyle w:val="VerbatimChar"/>
        </w:rPr>
        <w:t xml:space="preserve">COMP-35</w:t>
      </w:r>
      <w:r>
        <w:t xml:space="preserve">) and KRIs (</w:t>
      </w:r>
      <w:r>
        <w:rPr>
          <w:rStyle w:val="VerbatimChar"/>
        </w:rPr>
        <w:t xml:space="preserve">COMP-32</w:t>
      </w:r>
      <w:r>
        <w:t xml:space="preserve">).</w:t>
      </w:r>
    </w:p>
    <w:p>
      <w:r>
        <w:pict>
          <v:rect style="width:0;height:1.5pt" o:hralign="center" o:hrstd="t" o:hr="t"/>
        </w:pict>
      </w:r>
    </w:p>
    <w:bookmarkEnd w:id="1299"/>
    <w:bookmarkStart w:id="1300" w:name="custody-timeline"/>
    <w:p>
      <w:pPr>
        <w:pStyle w:val="Heading2"/>
      </w:pPr>
      <w:r>
        <w:t xml:space="preserve">7. Custody Timeline</w:t>
      </w:r>
    </w:p>
    <w:tbl>
      <w:tblPr>
        <w:tblStyle w:val="Table"/>
        <w:tblW w:type="pct" w:w="5000"/>
        <w:tblLayout w:type="fixed"/>
        <w:tblLook w:firstRow="1" w:lastRow="0" w:firstColumn="0" w:lastColumn="0" w:noHBand="0" w:noVBand="0" w:val="0020"/>
      </w:tblPr>
      <w:tblGrid>
        <w:gridCol w:w="1421"/>
        <w:gridCol w:w="3655"/>
        <w:gridCol w:w="2843"/>
      </w:tblGrid>
      <w:tr>
        <w:trPr>
          <w:tblHeader w:val="on"/>
        </w:trPr>
        <w:tc>
          <w:tcPr/>
          <w:p>
            <w:pPr>
              <w:pStyle w:val="Compact"/>
            </w:pPr>
            <w:r>
              <w:t xml:space="preserve">Stage</w:t>
            </w:r>
          </w:p>
        </w:tc>
        <w:tc>
          <w:tcPr/>
          <w:p>
            <w:pPr>
              <w:pStyle w:val="Compact"/>
            </w:pPr>
            <w:r>
              <w:t xml:space="preserve">Where money sits</w:t>
            </w:r>
          </w:p>
        </w:tc>
        <w:tc>
          <w:tcPr/>
          <w:p>
            <w:pPr>
              <w:pStyle w:val="Compact"/>
            </w:pPr>
            <w:r>
              <w:t xml:space="preserve">Legal status</w:t>
            </w:r>
          </w:p>
        </w:tc>
      </w:tr>
      <w:tr>
        <w:tc>
          <w:tcPr/>
          <w:p>
            <w:pPr>
              <w:pStyle w:val="Compact"/>
            </w:pPr>
            <w:r>
              <w:t xml:space="preserve">Authorization</w:t>
            </w:r>
          </w:p>
        </w:tc>
        <w:tc>
          <w:tcPr/>
          <w:p>
            <w:pPr>
              <w:pStyle w:val="Compact"/>
            </w:pPr>
            <w:r>
              <w:t xml:space="preserve">Still with cardholder (hold)</w:t>
            </w:r>
          </w:p>
        </w:tc>
        <w:tc>
          <w:tcPr/>
          <w:p>
            <w:pPr>
              <w:pStyle w:val="Compact"/>
            </w:pPr>
            <w:r>
              <w:t xml:space="preserve">Not yet transferred</w:t>
            </w:r>
          </w:p>
        </w:tc>
      </w:tr>
      <w:tr>
        <w:tc>
          <w:tcPr/>
          <w:p>
            <w:pPr>
              <w:pStyle w:val="Compact"/>
            </w:pPr>
            <w:r>
              <w:t xml:space="preserve">After clearing → funding</w:t>
            </w:r>
          </w:p>
        </w:tc>
        <w:tc>
          <w:tcPr/>
          <w:p>
            <w:pPr>
              <w:pStyle w:val="Compact"/>
            </w:pPr>
            <w:r>
              <w:t xml:space="preserve">Settlement account (sponsor bank holds)</w:t>
            </w:r>
            <w:r>
              <w:t xml:space="preserve"> </w:t>
            </w:r>
            <w:r>
              <w:rPr>
                <w:b/>
                <w:bCs/>
              </w:rPr>
              <w:t xml:space="preserve">[TODO]</w:t>
            </w:r>
          </w:p>
        </w:tc>
        <w:tc>
          <w:tcPr/>
          <w:p>
            <w:pPr>
              <w:pStyle w:val="Compact"/>
            </w:pPr>
            <w:r>
              <w:t xml:space="preserve">Merchant payable</w:t>
            </w:r>
          </w:p>
        </w:tc>
      </w:tr>
      <w:tr>
        <w:tc>
          <w:tcPr/>
          <w:p>
            <w:pPr>
              <w:pStyle w:val="Compact"/>
            </w:pPr>
            <w:r>
              <w:t xml:space="preserve">During reserve hold</w:t>
            </w:r>
          </w:p>
        </w:tc>
        <w:tc>
          <w:tcPr/>
          <w:p>
            <w:pPr>
              <w:pStyle w:val="Compact"/>
            </w:pPr>
            <w:r>
              <w:t xml:space="preserve">Separate reserve account</w:t>
            </w:r>
          </w:p>
        </w:tc>
        <w:tc>
          <w:tcPr/>
          <w:p>
            <w:pPr>
              <w:pStyle w:val="Compact"/>
            </w:pPr>
            <w:r>
              <w:t xml:space="preserve">Merchant reserve</w:t>
            </w:r>
          </w:p>
        </w:tc>
      </w:tr>
      <w:tr>
        <w:tc>
          <w:tcPr/>
          <w:p>
            <w:pPr>
              <w:pStyle w:val="Compact"/>
            </w:pPr>
            <w:r>
              <w:t xml:space="preserve">After payout (T+n)</w:t>
            </w:r>
          </w:p>
        </w:tc>
        <w:tc>
          <w:tcPr/>
          <w:p>
            <w:pPr>
              <w:pStyle w:val="Compact"/>
            </w:pPr>
            <w:r>
              <w:t xml:space="preserve">Merchant account</w:t>
            </w:r>
          </w:p>
        </w:tc>
        <w:tc>
          <w:tcPr/>
          <w:p>
            <w:pPr>
              <w:pStyle w:val="Compact"/>
            </w:pPr>
            <w:r>
              <w:t xml:space="preserve">Merchant’s own funds</w:t>
            </w:r>
          </w:p>
        </w:tc>
      </w:tr>
      <w:tr>
        <w:tc>
          <w:tcPr/>
          <w:p>
            <w:pPr>
              <w:pStyle w:val="Compact"/>
            </w:pPr>
            <w:r>
              <w:t xml:space="preserve">Company fees</w:t>
            </w:r>
          </w:p>
        </w:tc>
        <w:tc>
          <w:tcPr/>
          <w:p>
            <w:pPr>
              <w:pStyle w:val="Compact"/>
            </w:pPr>
            <w:r>
              <w:t xml:space="preserve">Company income account</w:t>
            </w:r>
          </w:p>
        </w:tc>
        <w:tc>
          <w:tcPr/>
          <w:p>
            <w:pPr>
              <w:pStyle w:val="Compact"/>
            </w:pPr>
            <w:r>
              <w:t xml:space="preserve">Company revenue</w:t>
            </w:r>
          </w:p>
        </w:tc>
      </w:tr>
    </w:tbl>
    <w:p>
      <w:pPr>
        <w:pStyle w:val="BlockText"/>
      </w:pPr>
      <w:r>
        <w:rPr>
          <w:b/>
          <w:bCs/>
        </w:rPr>
        <w:t xml:space="preserve">Principle:</w:t>
      </w:r>
      <w:r>
        <w:t xml:space="preserve"> </w:t>
      </w:r>
      <w:r>
        <w:t xml:space="preserve">Merchant/cardholder money is</w:t>
      </w:r>
      <w:r>
        <w:t xml:space="preserve"> </w:t>
      </w:r>
      <w:r>
        <w:rPr>
          <w:b/>
          <w:bCs/>
        </w:rPr>
        <w:t xml:space="preserve">never commingled</w:t>
      </w:r>
      <w:r>
        <w:t xml:space="preserve"> </w:t>
      </w:r>
      <w:r>
        <w:t xml:space="preserve">with the company’s operating funds at any stage, and is reconciled every business day.</w:t>
      </w:r>
    </w:p>
    <w:bookmarkEnd w:id="1300"/>
    <w:bookmarkEnd w:id="13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1"/>
  </w:num>
  <w:num w:numId="1455">
    <w:abstractNumId w:val="991"/>
  </w:num>
  <w:num w:numId="14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honburi"/>
        <a:font script="Hebr" typeface="Thonburi"/>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honburi"/>
        <a:font script="Uigh" typeface="Microsoft Uighur"/>
        <a:font script="Geor" typeface="Sylfaen"/>
        <a:font script="Armn" typeface="Thonburi"/>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Thonburi"/>
        <a:font script="Hebr" typeface="Thonburi"/>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honburi"/>
        <a:font script="Uigh" typeface="Microsoft Uighur"/>
        <a:font script="Geor" typeface="Sylfaen"/>
        <a:font script="Armn" typeface="Thonburi"/>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ชุดเอกสารประกอบคำขอรับใบอนุญาต (Full Acquiring)</dc:title>
  <dc:creator/>
  <cp:keywords/>
  <dcterms:created xsi:type="dcterms:W3CDTF">2026-07-22T06:57:39Z</dcterms:created>
  <dcterms:modified xsi:type="dcterms:W3CDTF">2026-07-22T06:57:39Z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การให้บริการรับชำระเงินด้วยวิธีการทางอิเล็กทรอนิกส์ (Full Acquiring)</vt:lpwstr>
  </property>
</Properties>
</file>