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CA6D" w14:textId="77777777" w:rsidR="001E56F0" w:rsidRDefault="001E56F0" w:rsidP="001E56F0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49CF5A7" wp14:editId="1488C0C4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7783" w14:textId="77777777" w:rsidR="001E56F0" w:rsidRDefault="001E56F0" w:rsidP="001E56F0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098B41B" w14:textId="77777777" w:rsidR="001E56F0" w:rsidRDefault="001E56F0" w:rsidP="001E56F0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D424FA5" w14:textId="77777777" w:rsidR="001E56F0" w:rsidRDefault="001E56F0" w:rsidP="001E56F0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3F62CA1" w14:textId="77777777" w:rsidR="001E56F0" w:rsidRPr="00A804F0" w:rsidRDefault="001E56F0" w:rsidP="001E56F0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61B0576" w14:textId="77777777" w:rsidR="001E56F0" w:rsidRPr="00503821" w:rsidRDefault="001E56F0" w:rsidP="001E56F0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65AD6C10" w14:textId="77777777" w:rsidR="001E56F0" w:rsidRDefault="001E56F0" w:rsidP="001E56F0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91786BE" w14:textId="77777777" w:rsidR="001E56F0" w:rsidRDefault="001E56F0" w:rsidP="001E56F0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2698F434" w14:textId="77777777" w:rsidR="001E56F0" w:rsidRDefault="001E56F0" w:rsidP="001E56F0">
      <w:pPr>
        <w:spacing w:after="100"/>
        <w:jc w:val="center"/>
        <w:rPr>
          <w:color w:val="000000" w:themeColor="text1"/>
        </w:rPr>
      </w:pPr>
    </w:p>
    <w:p w14:paraId="54DD25D0" w14:textId="77777777" w:rsidR="001E56F0" w:rsidRPr="00C047A8" w:rsidRDefault="001E56F0" w:rsidP="001E56F0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43007BDF" w14:textId="6A6CC402" w:rsidR="001E56F0" w:rsidRPr="00C047A8" w:rsidRDefault="001E56F0" w:rsidP="001E56F0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J</w:t>
      </w:r>
      <w:r w:rsidRPr="00C047A8">
        <w:rPr>
          <w:b/>
          <w:bCs/>
        </w:rPr>
        <w:t xml:space="preserve">: </w:t>
      </w:r>
      <w:r w:rsidRPr="001E56F0">
        <w:rPr>
          <w:b/>
          <w:bCs/>
          <w:cs/>
        </w:rPr>
        <w:t>การทดสอบการฟื้นฟูภัยพิบัติ (</w:t>
      </w:r>
      <w:r w:rsidRPr="001E56F0">
        <w:rPr>
          <w:b/>
          <w:bCs/>
        </w:rPr>
        <w:t>Disaster Recovery Plan)</w:t>
      </w:r>
    </w:p>
    <w:p w14:paraId="2DF8F23F" w14:textId="4A6B886E" w:rsidR="001E56F0" w:rsidRDefault="001E56F0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7EE1E312" w14:textId="6D4B8E84" w:rsidR="003E09BC" w:rsidRPr="00FC48C8" w:rsidRDefault="007C2D9B" w:rsidP="001E56F0">
      <w:pPr>
        <w:pStyle w:val="Heading1"/>
        <w:shd w:val="clear" w:color="auto" w:fill="auto"/>
        <w:rPr>
          <w:cs/>
        </w:rPr>
      </w:pPr>
      <w:r w:rsidRPr="007C2D9B">
        <w:rPr>
          <w:cs/>
        </w:rPr>
        <w:lastRenderedPageBreak/>
        <w:t>การทดสอบการฟื้นฟูภัยพิบัติ (</w:t>
      </w:r>
      <w:r w:rsidRPr="007C2D9B">
        <w:t>Disaster Recovery Plan)</w:t>
      </w:r>
    </w:p>
    <w:p w14:paraId="3AD12A91" w14:textId="77777777" w:rsidR="003E09BC" w:rsidRDefault="003E09BC" w:rsidP="003E09BC"/>
    <w:p w14:paraId="6D2A76EF" w14:textId="77777777" w:rsidR="001656AC" w:rsidRDefault="001656AC" w:rsidP="001E56F0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ผู้รับจ้างจะต้องจัดเตรียมทีมงานเพื่อดำเนินการจัดทำแผนฟื้นฟูภัยพิบัติ (</w:t>
      </w:r>
      <w:r>
        <w:t xml:space="preserve">Disaster Recovery Plan) </w:t>
      </w:r>
      <w:r>
        <w:rPr>
          <w:cs/>
        </w:rPr>
        <w:t xml:space="preserve">โดยค่าใช้จ่ายทั้งหมดถือเป็นความรับผิดชอบของผู้รับจ้าง  โดย กฟภ. จะรับผิดชอบเฉพาะค่าใช้จ่าย เบี้ยเลี้ยง ที่พัก ค่าพาหนะของพนักงาน กฟภ. ที่เข้าร่วมดำเนินการเท่านั้น </w:t>
      </w:r>
    </w:p>
    <w:p w14:paraId="11219973" w14:textId="77777777" w:rsidR="001656AC" w:rsidRDefault="001656AC" w:rsidP="001E56F0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ผู้รับจ้างต้องนำเสนอรายละเอียดทีมงานที่จะเข้ามาดำเนินงานการติดตั้งศูนย์คอมพิวเตอร์สำรอง เพื่อทำหน้าที่เป็นผู้ประสานงานหรือดำเนินการ โดยต้องแจ้งรายละเอียด ชื่อ ตำแหน่งงาน ที่เกี่ยวข้องกับการจัดทำแผนการกู้คืนข้อมูลและแผนฟื้นฟูภัยพิบัติ</w:t>
      </w:r>
    </w:p>
    <w:p w14:paraId="51089689" w14:textId="77777777" w:rsidR="001656AC" w:rsidRDefault="001656AC" w:rsidP="001E56F0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ผู้รับจ้างจะต้องจัดเตรียมทีมงานเพื่อดำเนินการจัดทำแผนงานตามรายการดังต่อไปนี้ </w:t>
      </w:r>
    </w:p>
    <w:p w14:paraId="5183E3BB" w14:textId="692A2352" w:rsidR="001656AC" w:rsidRDefault="001656AC" w:rsidP="001E56F0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แผนการกู้คืนข้อมูลและแผนฟื้นฟูภัยพิบัติ โดยมีหัวข้ออย่างน้อยดังนี้</w:t>
      </w:r>
    </w:p>
    <w:p w14:paraId="4BC44E3B" w14:textId="29DAD9E4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rFonts w:hint="cs"/>
          <w:cs/>
        </w:rPr>
        <w:t xml:space="preserve"> </w:t>
      </w:r>
      <w:r>
        <w:rPr>
          <w:cs/>
        </w:rPr>
        <w:t>แผนสำรองระบบ</w:t>
      </w:r>
    </w:p>
    <w:p w14:paraId="44FA0A58" w14:textId="5F5AD0A8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แผนสำรองข้อมูล</w:t>
      </w:r>
    </w:p>
    <w:p w14:paraId="476BB4CD" w14:textId="2FDD883C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แผนการโอนถ่ายข้อมูลสู่ศูนย์คอมพิวเตอร์สำรอง</w:t>
      </w:r>
    </w:p>
    <w:p w14:paraId="0A03E65B" w14:textId="625DADD8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แผนการกู้คืนข้อมูล</w:t>
      </w:r>
    </w:p>
    <w:p w14:paraId="52A8E848" w14:textId="37662452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แผนการกู้คืนความต้องการทำงานของระบบ"</w:t>
      </w:r>
    </w:p>
    <w:p w14:paraId="34E3E6FA" w14:textId="16CA5890" w:rsidR="001656AC" w:rsidRDefault="001656AC" w:rsidP="001E56F0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แผนการทดสอบประสิทธิภาพของศูนย์คอมพิวเตอร์สำรอง โดยมีแผนการอย่างน้อยดังนี้</w:t>
      </w:r>
    </w:p>
    <w:p w14:paraId="2620CFFA" w14:textId="03E85A9F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แผนการทดสอบประสิทธิภาพของศูนย์คอมพิวเตอร์สำรองแบบจำลองสถานการณ์จริง</w:t>
      </w:r>
    </w:p>
    <w:p w14:paraId="53D7646A" w14:textId="2F2EB647" w:rsidR="001656AC" w:rsidRDefault="001656AC" w:rsidP="001E56F0">
      <w:pPr>
        <w:pStyle w:val="ListParagraph"/>
        <w:numPr>
          <w:ilvl w:val="2"/>
          <w:numId w:val="33"/>
        </w:numPr>
        <w:spacing w:after="160" w:line="259" w:lineRule="auto"/>
        <w:ind w:left="1985" w:hanging="851"/>
      </w:pPr>
      <w:r>
        <w:rPr>
          <w:cs/>
        </w:rPr>
        <w:t xml:space="preserve"> แผนการทดสอบประสิทธิภาพของศูนย์คอมพิวเตอร์สำรองแบบจำลองสถานการณ์บนระบบ</w:t>
      </w:r>
    </w:p>
    <w:p w14:paraId="09341200" w14:textId="1099FE86" w:rsidR="001656AC" w:rsidRDefault="001656AC" w:rsidP="001E56F0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ผู้รับจ้างจะต้องดำเนินการทดสอบก่อนการขึ้นระบบจริง ที่จะต้องส่งมอบ พร้อมผลทดสอบ พร้อมทั้งดำเนินการจัดอบรม ตามแผน </w:t>
      </w:r>
      <w:r>
        <w:t>3.1</w:t>
      </w:r>
      <w:r>
        <w:rPr>
          <w:cs/>
        </w:rPr>
        <w:t xml:space="preserve"> และ </w:t>
      </w:r>
      <w:r>
        <w:t>3.2</w:t>
      </w:r>
      <w:r>
        <w:rPr>
          <w:cs/>
        </w:rPr>
        <w:t xml:space="preserve"> ก่อนการส่งมอบก่อนการใช้งานระบบจริง ดังรายการต่อไปนี้</w:t>
      </w:r>
    </w:p>
    <w:p w14:paraId="693B3158" w14:textId="0DE933EA" w:rsidR="001656AC" w:rsidRDefault="001656AC" w:rsidP="001E56F0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ให้ดำเนินการทดสอบ</w:t>
      </w:r>
      <w:r>
        <w:t xml:space="preserve"> </w:t>
      </w:r>
      <w:r>
        <w:rPr>
          <w:cs/>
        </w:rPr>
        <w:t>กรณีที่ไม่สามารถใช้งานได้อย่างมีประสิทธิภาพ ระบบที่ศูนย์คอมพิวเตอร์สำรองจะต้องสามารถรองรับการใช้งานจากผู้ใช้งาน ณ ศูนย์คอมพิวเตอร์สำรอง ยกเว้นกรณีผู้ให้บริการโครงข่ายหลักของ กฟภ. ไม่สามารถให้บริการได้ ภายในระยะเวลา (</w:t>
      </w:r>
      <w:r>
        <w:t xml:space="preserve">Recovery Time Objective : RTO) </w:t>
      </w:r>
      <w:r>
        <w:rPr>
          <w:cs/>
        </w:rPr>
        <w:t>ที่ 1 ชั่วโมง</w:t>
      </w:r>
    </w:p>
    <w:p w14:paraId="1EE0F9CD" w14:textId="38798CE4" w:rsidR="001656AC" w:rsidRDefault="001656AC" w:rsidP="001E56F0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 xml:space="preserve">ให้ดำเนินการทดสอบการโยกย้ายการทำงานระหว่างศูนย์คอมพิวเตอร์หลักและศูนย์คอมพิวเตอร์สำรอง โดยที่รายการข้อมูลที่ศูนย์คอมพิวเตอร์สำรองต้องมีรายการข้อมูลเท่ากันหรือมีรายการข้อมูลสูญหายไม่เกินกว่าระยะเวลาที่กำหนดกับศูนย์คอมพิวเตอร์หลัก ณ จุดที่เกิดเหตุขัดข้องหรือปัญหาซึ่งส่งผลให้ระบบสารสนเทศต่าง ๆ ในศูนย์คอมพิวเตอร์หลักไม่สามารถให้บริการต่อได้ </w:t>
      </w:r>
      <w:r>
        <w:rPr>
          <w:cs/>
        </w:rPr>
        <w:lastRenderedPageBreak/>
        <w:t>โดยรายการข้อมูลที่ศูนย์คอมพิวเตอร์สำรองต้องสามารถนำมาใช้งานได้ทันที โดยมีการยอมรับได้ของการสูญเสียข้อมูล (</w:t>
      </w:r>
      <w:r>
        <w:t xml:space="preserve">Recovery Point Objective : RPO) </w:t>
      </w:r>
      <w:r>
        <w:rPr>
          <w:cs/>
        </w:rPr>
        <w:t xml:space="preserve">ที่ </w:t>
      </w:r>
      <w:r>
        <w:t>1</w:t>
      </w:r>
      <w:r>
        <w:rPr>
          <w:cs/>
        </w:rPr>
        <w:t xml:space="preserve"> ชั่วโมง</w:t>
      </w:r>
    </w:p>
    <w:p w14:paraId="0CD83358" w14:textId="36A1CB03" w:rsidR="001656AC" w:rsidRDefault="001656AC" w:rsidP="001E56F0">
      <w:pPr>
        <w:pStyle w:val="ListParagraph"/>
        <w:numPr>
          <w:ilvl w:val="1"/>
          <w:numId w:val="33"/>
        </w:numPr>
        <w:spacing w:after="160" w:line="259" w:lineRule="auto"/>
        <w:ind w:left="1134" w:hanging="567"/>
      </w:pPr>
      <w:r>
        <w:rPr>
          <w:cs/>
        </w:rPr>
        <w:t>การดำเนินการทดสอบการโยกย้ายหรือสลับการใช้งานระบบสารสนเทศจากศูนย์คอมพิวเตอร์สำรองกลับคืนมายังศูนย์คอมพิวเตอร์หลัก ต้องดำเนินการให้แล้วเสร็จภายใน 24 ชั่วโมง นับจากได้รับแจ้งจาก กฟภ. เกี่ยวกับระบบสารสนเทศของศูนย์คอมพิวเตอร์หลักที่มีความพร้อมในการรองรับข้อมูลของระบบงานต่าง</w:t>
      </w:r>
      <w:r w:rsidR="001E56F0">
        <w:t xml:space="preserve"> </w:t>
      </w:r>
      <w:r>
        <w:rPr>
          <w:cs/>
        </w:rPr>
        <w:t>ๆ จากผู้ให้บริการ</w:t>
      </w:r>
    </w:p>
    <w:p w14:paraId="66AC866B" w14:textId="3FD67814" w:rsidR="001656AC" w:rsidRDefault="001656AC" w:rsidP="001E56F0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ผู้รับจ้างต้องร่วมดำเนินการทดสอบแผนฟื้นฟูภัยพิบัติ (</w:t>
      </w:r>
      <w:r>
        <w:t xml:space="preserve">Disaster Recovery Plan) </w:t>
      </w:r>
      <w:r>
        <w:rPr>
          <w:cs/>
        </w:rPr>
        <w:t>อย่างน้อยปีละ 1 ครั้งในช่วงในระยะเวลาการสนับสนุนภายหลังการนำระบบออกใช้งาน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และการรับประกัน และในช่วงการบริหารจัดการและบำรุงรักษาระบบ โดยต้องสามารถใช้งานได้ครบถ้วนสมบูรณ์ตามปกติ ตามข้อ </w:t>
      </w:r>
      <w:r>
        <w:t>4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1E56F0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8941" w14:textId="77777777" w:rsidR="002B320E" w:rsidRDefault="002B320E">
      <w:r>
        <w:separator/>
      </w:r>
    </w:p>
  </w:endnote>
  <w:endnote w:type="continuationSeparator" w:id="0">
    <w:p w14:paraId="07D8F3AD" w14:textId="77777777" w:rsidR="002B320E" w:rsidRDefault="002B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14E5540B" w:rsidR="008B1773" w:rsidRPr="00493773" w:rsidRDefault="001E56F0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J-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9387" w14:textId="77777777" w:rsidR="002B320E" w:rsidRDefault="002B320E">
      <w:r>
        <w:separator/>
      </w:r>
    </w:p>
  </w:footnote>
  <w:footnote w:type="continuationSeparator" w:id="0">
    <w:p w14:paraId="72C5D54B" w14:textId="77777777" w:rsidR="002B320E" w:rsidRDefault="002B3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E8D2" w14:textId="77777777" w:rsidR="001E56F0" w:rsidRPr="00062F6E" w:rsidRDefault="002B320E" w:rsidP="001E56F0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18511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4509" r:id="rId2"/>
      </w:object>
    </w:r>
    <w:r w:rsidR="001E56F0">
      <w:rPr>
        <w:rFonts w:hint="cs"/>
        <w:noProof/>
        <w:cs/>
      </w:rPr>
      <w:t xml:space="preserve"> </w:t>
    </w:r>
    <w:r w:rsidR="001E56F0" w:rsidRPr="00062F6E">
      <w:rPr>
        <w:b/>
        <w:bCs/>
        <w:i/>
        <w:iCs/>
        <w:szCs w:val="24"/>
        <w:cs/>
      </w:rPr>
      <w:t>โครงการ</w:t>
    </w:r>
    <w:r w:rsidR="001E56F0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1E56F0">
      <w:rPr>
        <w:rFonts w:hint="cs"/>
        <w:b/>
        <w:bCs/>
        <w:i/>
        <w:iCs/>
        <w:szCs w:val="24"/>
      </w:rPr>
      <w:t>OMS)</w:t>
    </w:r>
    <w:r w:rsidR="001E56F0">
      <w:rPr>
        <w:b/>
        <w:bCs/>
        <w:i/>
        <w:iCs/>
        <w:szCs w:val="24"/>
      </w:rPr>
      <w:tab/>
      <w:t xml:space="preserve">       </w:t>
    </w:r>
  </w:p>
  <w:p w14:paraId="18EC5253" w14:textId="77777777" w:rsidR="001E56F0" w:rsidRPr="001E56F0" w:rsidRDefault="001E56F0" w:rsidP="001E5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F42CDD"/>
    <w:multiLevelType w:val="multilevel"/>
    <w:tmpl w:val="EC5E997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0"/>
  </w:num>
  <w:num w:numId="33" w16cid:durableId="2009358854">
    <w:abstractNumId w:val="22"/>
  </w:num>
  <w:num w:numId="34" w16cid:durableId="2059742429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0556"/>
    <w:rsid w:val="001656AC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E56F0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20E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07015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18BF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D9B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060"/>
    <w:rsid w:val="0085038D"/>
    <w:rsid w:val="008557D5"/>
    <w:rsid w:val="008565E0"/>
    <w:rsid w:val="00864DEB"/>
    <w:rsid w:val="00865C8A"/>
    <w:rsid w:val="008725E9"/>
    <w:rsid w:val="00877728"/>
    <w:rsid w:val="00882FAD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3</cp:revision>
  <cp:lastPrinted>2023-06-09T17:15:00Z</cp:lastPrinted>
  <dcterms:created xsi:type="dcterms:W3CDTF">2023-07-04T14:35:00Z</dcterms:created>
  <dcterms:modified xsi:type="dcterms:W3CDTF">2023-07-07T12:48:00Z</dcterms:modified>
</cp:coreProperties>
</file>