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E3C3" w14:textId="77777777" w:rsidR="00931732" w:rsidRDefault="00931732" w:rsidP="00931732">
      <w:pPr>
        <w:pStyle w:val="1"/>
      </w:pPr>
      <w:r>
        <w:rPr>
          <w:rFonts w:ascii="Times New Roman" w:eastAsia="Times New Roman" w:hAnsi="Times New Roman" w:cs="Times New Roman"/>
        </w:rPr>
        <w:t>3 Results</w:t>
      </w:r>
    </w:p>
    <w:p w14:paraId="79A88867" w14:textId="77777777" w:rsidR="00931732" w:rsidRDefault="00931732" w:rsidP="00931732">
      <w:pPr>
        <w:pStyle w:val="2"/>
      </w:pPr>
      <w:r>
        <w:rPr>
          <w:rFonts w:ascii="Times New Roman" w:eastAsia="Times New Roman" w:hAnsi="Times New Roman" w:cs="Times New Roman"/>
        </w:rPr>
        <w:t>3.1 Predictive performance and parameter-value diagnostics</w:t>
      </w:r>
    </w:p>
    <w:p w14:paraId="5185CC15" w14:textId="77777777" w:rsidR="00931732" w:rsidRDefault="00931732" w:rsidP="00931732">
      <w:pPr>
        <w:ind w:firstLine="480"/>
        <w:rPr>
          <w:rFonts w:eastAsia="宋体"/>
        </w:rPr>
      </w:pPr>
      <w:r>
        <w:t xml:space="preserve">All three formulations produced adequate streamflow simulations across the 531 CAMELS-US basins (Figure </w:t>
      </w:r>
      <w:r>
        <w:fldChar w:fldCharType="begin"/>
      </w:r>
      <w:r>
        <w:instrText xml:space="preserve"> REF fig1 \h </w:instrText>
      </w:r>
      <w:r>
        <w:fldChar w:fldCharType="separate"/>
      </w:r>
      <w:r>
        <w:rPr>
          <w:noProof/>
        </w:rPr>
        <w:t>1</w:t>
      </w:r>
      <w:r>
        <w:fldChar w:fldCharType="end"/>
      </w:r>
      <w:r>
        <w:t xml:space="preserve"> and Table </w:t>
      </w:r>
      <w:r>
        <w:fldChar w:fldCharType="begin"/>
      </w:r>
      <w:r>
        <w:instrText xml:space="preserve"> REF tbl1 \h </w:instrText>
      </w:r>
      <w:r>
        <w:fldChar w:fldCharType="separate"/>
      </w:r>
      <w:r>
        <w:rPr>
          <w:noProof/>
        </w:rPr>
        <w:t>1</w:t>
      </w:r>
      <w:r>
        <w:fldChar w:fldCharType="end"/>
      </w:r>
      <w:r>
        <w:t xml:space="preserve">). Across complete model runs, median NSE was 0.611 for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0.624 for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and 0.611 for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median KGE was 0.626, 0.639, and 0.625, respectively. Under the reference hybrid loss, median NSE ranged from 0.632 to 0.636 and median KGE from 0.675 to 0.679. The empirical distributions also overlapped closely across the three formulations. The fractions of basins exceeding NSE = 0.5 were 0.74, 0.74, and 0.73 for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and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respectively. The corresponding fractions exceeding KGE = 0.5 were 0.83, 0.81, and 0.83. Pairwise basin-level comparisons against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also showed that most NSE and KGE values for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and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were close to the one-to-one line. These predictive summaries indicate that the three learned parameter fields were evaluated under broadly comparable streamflow-simulation conditions.</w:t>
      </w:r>
    </w:p>
    <w:p w14:paraId="14F3146D" w14:textId="77777777" w:rsidR="00931732" w:rsidRPr="00770E70" w:rsidRDefault="00931732" w:rsidP="00931732">
      <w:pPr>
        <w:ind w:firstLine="480"/>
        <w:rPr>
          <w:rFonts w:eastAsia="宋体" w:hint="eastAsia"/>
        </w:rPr>
      </w:pPr>
    </w:p>
    <w:p w14:paraId="4C63686C" w14:textId="77777777" w:rsidR="00931732" w:rsidRPr="00770E70" w:rsidRDefault="00931732" w:rsidP="00931732">
      <w:pPr>
        <w:ind w:firstLine="480"/>
        <w:jc w:val="center"/>
        <w:rPr>
          <w:rFonts w:eastAsia="宋体" w:hint="eastAsia"/>
        </w:rPr>
      </w:pPr>
      <w:r>
        <w:t xml:space="preserve">Figure </w:t>
      </w:r>
      <w:r>
        <w:fldChar w:fldCharType="begin"/>
      </w:r>
      <w:r>
        <w:instrText xml:space="preserve"> REF fig1 \h </w:instrText>
      </w:r>
      <w:r>
        <w:fldChar w:fldCharType="separate"/>
      </w:r>
      <w:r>
        <w:rPr>
          <w:noProof/>
        </w:rPr>
        <w:t>1</w:t>
      </w:r>
      <w:r>
        <w:fldChar w:fldCharType="end"/>
      </w:r>
      <w:r>
        <w:rPr>
          <w:rFonts w:eastAsia="宋体" w:hint="eastAsia"/>
        </w:rPr>
        <w:t>.</w:t>
      </w:r>
      <w:r>
        <w:t xml:space="preserve"> insert here</w:t>
      </w:r>
    </w:p>
    <w:p w14:paraId="1CA9D45F" w14:textId="77777777" w:rsidR="00931732" w:rsidRPr="00770E70" w:rsidRDefault="00931732" w:rsidP="00931732">
      <w:pPr>
        <w:pStyle w:val="FigureTableCaption"/>
        <w:ind w:firstLine="480"/>
        <w:rPr>
          <w:rFonts w:eastAsia="宋体" w:hint="eastAsia"/>
          <w:lang w:eastAsia="zh-CN"/>
        </w:rPr>
      </w:pPr>
    </w:p>
    <w:p w14:paraId="3A4511E2" w14:textId="77777777" w:rsidR="00931732" w:rsidRDefault="00931732" w:rsidP="00931732">
      <w:pPr>
        <w:pStyle w:val="FigureTableCaption"/>
        <w:ind w:firstLine="480"/>
        <w:jc w:val="center"/>
        <w:rPr>
          <w:rFonts w:eastAsia="宋体"/>
          <w:lang w:eastAsia="zh-CN"/>
        </w:rPr>
      </w:pPr>
      <w:r>
        <w:t xml:space="preserve">Table </w:t>
      </w:r>
      <w:bookmarkStart w:id="0" w:name="tbl1"/>
      <w:r>
        <w:fldChar w:fldCharType="begin"/>
      </w:r>
      <w:r>
        <w:instrText xml:space="preserve"> SEQ Table \r 1 \* ARABIC </w:instrText>
      </w:r>
      <w:r>
        <w:fldChar w:fldCharType="separate"/>
      </w:r>
      <w:r>
        <w:rPr>
          <w:noProof/>
        </w:rPr>
        <w:t>1</w:t>
      </w:r>
      <w:r>
        <w:fldChar w:fldCharType="end"/>
      </w:r>
      <w:bookmarkEnd w:id="0"/>
      <w:r>
        <w:t>. insert here.</w:t>
      </w:r>
    </w:p>
    <w:p w14:paraId="06CBEEFC" w14:textId="77777777" w:rsidR="00931732" w:rsidRPr="00770E70" w:rsidRDefault="00931732" w:rsidP="00931732">
      <w:pPr>
        <w:ind w:firstLine="480"/>
        <w:rPr>
          <w:rFonts w:eastAsia="宋体" w:hint="eastAsia"/>
        </w:rPr>
      </w:pPr>
    </w:p>
    <w:p w14:paraId="589BF1E4" w14:textId="77777777" w:rsidR="00931732" w:rsidRDefault="00931732" w:rsidP="00931732">
      <w:pPr>
        <w:ind w:firstLine="480"/>
      </w:pPr>
      <w:r>
        <w:t xml:space="preserve">The loss-specific summaries showed the same overall pattern (Figure S1). Under the NSE loss, median NSE values were 0.65, 0.66, and 0.65 for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and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respectively; the corresponding median KGE values were 0.65, 0.66, and 0.65. Under the logNSE loss, median NSE values were lower for all formulations, with values of 0.56, 0.58, and 0.56, while median KGE values were 0.53, 0.58, and 0.53. Under the hybrid loss, median NSE values were 0.63, 0.64, and 0.63, and median KGE values were 0.68, 0.68, and 0.68. Differences among loss functions were comparable to, and in some cases larger than, differences among formulations. Bias metrics gave a similar formulation-level pattern. The dropout formulation had slightly higher overall median NSE and KGE, but it also had slightly larger median absolute bias than the deterministic and distributional formulations. Predictive metrics were therefore used as an adequacy screen, rather than as the main criterion for selecting an interpretive formulation.</w:t>
      </w:r>
    </w:p>
    <w:p w14:paraId="719BA871" w14:textId="77777777" w:rsidR="00931732" w:rsidRDefault="00931732" w:rsidP="00931732">
      <w:pPr>
        <w:ind w:firstLine="480"/>
        <w:rPr>
          <w:rFonts w:eastAsia="宋体"/>
        </w:rPr>
      </w:pPr>
      <w:r>
        <w:lastRenderedPageBreak/>
        <w:t xml:space="preserve">Raw parameter-value diagnostics provided a second preliminary check before the relationship analyses (Figure </w:t>
      </w:r>
      <w:r>
        <w:fldChar w:fldCharType="begin"/>
      </w:r>
      <w:r>
        <w:instrText xml:space="preserve"> REF fig2 \h </w:instrText>
      </w:r>
      <w:r>
        <w:fldChar w:fldCharType="separate"/>
      </w:r>
      <w:r>
        <w:rPr>
          <w:noProof/>
        </w:rPr>
        <w:t>2</w:t>
      </w:r>
      <w:r>
        <w:fldChar w:fldCharType="end"/>
      </w:r>
      <w:r>
        <w:t xml:space="preserve">). Apparent cross-seed stability varied by parameter and loss function, and several parameters with low apparent variability were close to the prescribed search-range boundaries. Boundary saturation was especially visible for snow, recession, and routing parameters. After boundary-sensitive parameters were separated from the pooled summaries, formulation differences in raw parameter variability became smaller and were not uniformly favorable to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A parameter-value versus relationship-stability diagnostic further identified cases in which low raw variability did not correspond to stable attribute–parameter relationships (Table S3). These cases included deterministic </w:t>
      </w:r>
      <m:oMath>
        <m:r>
          <m:rPr>
            <m:sty m:val="p"/>
          </m:rPr>
          <w:rPr>
            <w:rFonts w:ascii="Cambria Math" w:hAnsi="Cambria Math"/>
          </w:rPr>
          <m:t>CFR</m:t>
        </m:r>
      </m:oMath>
      <w:r>
        <w:t xml:space="preserve">, </w:t>
      </w:r>
      <m:oMath>
        <m:r>
          <m:rPr>
            <m:sty m:val="p"/>
          </m:rPr>
          <w:rPr>
            <w:rFonts w:ascii="Cambria Math" w:hAnsi="Cambria Math"/>
          </w:rPr>
          <m:t>CWH</m:t>
        </m:r>
      </m:oMath>
      <w:r>
        <w:t xml:space="preserve">, and </w:t>
      </w:r>
      <m:oMath>
        <m:sSub>
          <m:sSubPr>
            <m:ctrlPr>
              <w:rPr>
                <w:rFonts w:ascii="Cambria Math" w:hAnsi="Cambria Math"/>
              </w:rPr>
            </m:ctrlPr>
          </m:sSubPr>
          <m:e>
            <m:r>
              <m:rPr>
                <m:sty m:val="p"/>
              </m:rPr>
              <w:rPr>
                <w:rFonts w:ascii="Cambria Math" w:hAnsi="Cambria Math"/>
              </w:rPr>
              <m:t>UH</m:t>
            </m:r>
          </m:e>
          <m:sub>
            <m:r>
              <w:rPr>
                <w:rFonts w:ascii="Cambria Math" w:hAnsi="Cambria Math"/>
              </w:rPr>
              <m:t>a</m:t>
            </m:r>
          </m:sub>
        </m:sSub>
      </m:oMath>
      <w:r>
        <w:t xml:space="preserve">, and dropout </w:t>
      </w:r>
      <m:oMath>
        <m:r>
          <m:rPr>
            <m:sty m:val="p"/>
          </m:rPr>
          <w:rPr>
            <w:rFonts w:ascii="Cambria Math" w:hAnsi="Cambria Math"/>
          </w:rPr>
          <m:t>CFR</m:t>
        </m:r>
      </m:oMath>
      <w:r>
        <w:t xml:space="preserve">, </w:t>
      </w:r>
      <m:oMath>
        <m:r>
          <m:rPr>
            <m:sty m:val="p"/>
          </m:rPr>
          <w:rPr>
            <w:rFonts w:ascii="Cambria Math" w:hAnsi="Cambria Math"/>
          </w:rPr>
          <m:t>CWH</m:t>
        </m:r>
      </m:oMath>
      <w:r>
        <w:t xml:space="preserve">, and </w:t>
      </w:r>
      <m:oMath>
        <m:sSub>
          <m:sSubPr>
            <m:ctrlPr>
              <w:rPr>
                <w:rFonts w:ascii="Cambria Math" w:hAnsi="Cambria Math"/>
              </w:rPr>
            </m:ctrlPr>
          </m:sSubPr>
          <m:e>
            <m:r>
              <m:rPr>
                <m:sty m:val="p"/>
              </m:rPr>
              <w:rPr>
                <w:rFonts w:ascii="Cambria Math" w:hAnsi="Cambria Math"/>
              </w:rPr>
              <m:t>K</m:t>
            </m:r>
          </m:e>
          <m:sub>
            <m:r>
              <w:rPr>
                <w:rFonts w:ascii="Cambria Math" w:hAnsi="Cambria Math"/>
              </w:rPr>
              <m:t>2</m:t>
            </m:r>
          </m:sub>
        </m:sSub>
      </m:oMath>
      <w:r>
        <w:t>, several of which also had high boundary saturation. Thus, numerical parameter stability and attribute–parameter relationship stability were treated as separate diagnostics in the subsequent analyses.</w:t>
      </w:r>
    </w:p>
    <w:p w14:paraId="7B99F779" w14:textId="77777777" w:rsidR="00931732" w:rsidRPr="00770E70" w:rsidRDefault="00931732" w:rsidP="00931732">
      <w:pPr>
        <w:ind w:firstLine="480"/>
        <w:rPr>
          <w:rFonts w:eastAsia="宋体" w:hint="eastAsia"/>
        </w:rPr>
      </w:pPr>
    </w:p>
    <w:p w14:paraId="5CB7EA0C" w14:textId="77777777" w:rsidR="00931732" w:rsidRDefault="00931732" w:rsidP="00931732">
      <w:pPr>
        <w:pStyle w:val="FigureTableCaption"/>
        <w:ind w:firstLine="480"/>
        <w:jc w:val="center"/>
        <w:rPr>
          <w:rFonts w:eastAsia="宋体"/>
          <w:lang w:eastAsia="zh-CN"/>
        </w:rPr>
      </w:pPr>
      <w:r>
        <w:t xml:space="preserve">Figure </w:t>
      </w:r>
      <w:bookmarkStart w:id="1" w:name="fig2"/>
      <w:r>
        <w:fldChar w:fldCharType="begin"/>
      </w:r>
      <w:r>
        <w:instrText xml:space="preserve"> SEQ Figure \r 2 \* ARABIC </w:instrText>
      </w:r>
      <w:r>
        <w:fldChar w:fldCharType="separate"/>
      </w:r>
      <w:r>
        <w:rPr>
          <w:noProof/>
        </w:rPr>
        <w:t>2</w:t>
      </w:r>
      <w:r>
        <w:fldChar w:fldCharType="end"/>
      </w:r>
      <w:bookmarkEnd w:id="1"/>
      <w:r>
        <w:t>. insert here.</w:t>
      </w:r>
    </w:p>
    <w:p w14:paraId="169AA966" w14:textId="77777777" w:rsidR="00931732" w:rsidRPr="00770E70" w:rsidRDefault="00931732" w:rsidP="00931732">
      <w:pPr>
        <w:ind w:firstLine="480"/>
        <w:rPr>
          <w:rFonts w:eastAsia="宋体" w:hint="eastAsia"/>
        </w:rPr>
      </w:pPr>
    </w:p>
    <w:p w14:paraId="46617C21" w14:textId="77777777" w:rsidR="00931732" w:rsidRDefault="00931732" w:rsidP="00931732">
      <w:pPr>
        <w:pStyle w:val="2"/>
      </w:pPr>
      <w:r>
        <w:rPr>
          <w:rFonts w:ascii="Times New Roman" w:eastAsia="Times New Roman" w:hAnsi="Times New Roman" w:cs="Times New Roman"/>
        </w:rPr>
        <w:t>3.2 Relationship-level stability across training perturbations and hydroclimatic groups</w:t>
      </w:r>
    </w:p>
    <w:p w14:paraId="24E3E22B" w14:textId="77777777" w:rsidR="00931732" w:rsidRDefault="00931732" w:rsidP="00931732">
      <w:pPr>
        <w:ind w:firstLine="480"/>
      </w:pPr>
      <w:r>
        <w:t xml:space="preserve">Relationship-level diagnostics provided a more differentiated comparison among the three formulations than predictive metrics or raw parameter-value summaries (Figure </w:t>
      </w:r>
      <w:r>
        <w:fldChar w:fldCharType="begin"/>
      </w:r>
      <w:r>
        <w:instrText xml:space="preserve"> REF fig3 \h </w:instrText>
      </w:r>
      <w:r>
        <w:fldChar w:fldCharType="separate"/>
      </w:r>
      <w:r>
        <w:rPr>
          <w:noProof/>
        </w:rPr>
        <w:t>3</w:t>
      </w:r>
      <w:r>
        <w:fldChar w:fldCharType="end"/>
      </w:r>
      <w:r>
        <w:t xml:space="preserve"> and Table </w:t>
      </w:r>
      <w:r>
        <w:fldChar w:fldCharType="begin"/>
      </w:r>
      <w:r>
        <w:instrText xml:space="preserve"> REF tbl2 \h </w:instrText>
      </w:r>
      <w:r>
        <w:fldChar w:fldCharType="separate"/>
      </w:r>
      <w:r>
        <w:rPr>
          <w:noProof/>
        </w:rPr>
        <w:t>2</w:t>
      </w:r>
      <w:r>
        <w:fldChar w:fldCharType="end"/>
      </w:r>
      <w:r>
        <w:t xml:space="preserve">). Candidate relationships were selected by mean absolute Spearman correlation across all formulations, losses, and seeds, so the comparison was not defined around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alone. Within this common candidate set, the median cross-seed standard deviation of Spearman </w:t>
      </w:r>
      <m:oMath>
        <m:r>
          <w:rPr>
            <w:rFonts w:ascii="Cambria Math" w:hAnsi="Cambria Math"/>
          </w:rPr>
          <m:t>ρ</m:t>
        </m:r>
      </m:oMath>
      <w:r>
        <w:t xml:space="preserve"> was 0.0241 for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compared with 0.0347 for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and 0.0461 for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Median seed ranges followed the same ordering: 0.0630 for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0.0891 for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and 0.1122 for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w:t>
      </w:r>
    </w:p>
    <w:p w14:paraId="55685FD7" w14:textId="77777777" w:rsidR="00931732" w:rsidRDefault="00931732" w:rsidP="00931732">
      <w:pPr>
        <w:ind w:firstLine="480"/>
      </w:pPr>
    </w:p>
    <w:p w14:paraId="20319B3E" w14:textId="77777777" w:rsidR="00931732" w:rsidRDefault="00931732" w:rsidP="00931732">
      <w:pPr>
        <w:pStyle w:val="FigureTableCaption"/>
        <w:ind w:firstLine="480"/>
        <w:jc w:val="center"/>
        <w:rPr>
          <w:rFonts w:eastAsia="宋体"/>
          <w:lang w:eastAsia="zh-CN"/>
        </w:rPr>
      </w:pPr>
      <w:r>
        <w:t xml:space="preserve">Figure </w:t>
      </w:r>
      <w:bookmarkStart w:id="2" w:name="fig3"/>
      <w:r>
        <w:fldChar w:fldCharType="begin"/>
      </w:r>
      <w:r>
        <w:instrText xml:space="preserve"> SEQ Figure \r 3 \* ARABIC </w:instrText>
      </w:r>
      <w:r>
        <w:fldChar w:fldCharType="separate"/>
      </w:r>
      <w:r>
        <w:rPr>
          <w:noProof/>
        </w:rPr>
        <w:t>3</w:t>
      </w:r>
      <w:r>
        <w:fldChar w:fldCharType="end"/>
      </w:r>
      <w:bookmarkEnd w:id="2"/>
      <w:r>
        <w:t>. insert here.</w:t>
      </w:r>
    </w:p>
    <w:p w14:paraId="2A1D4EB9" w14:textId="77777777" w:rsidR="00931732" w:rsidRPr="00770E70" w:rsidRDefault="00931732" w:rsidP="00931732">
      <w:pPr>
        <w:ind w:firstLine="480"/>
        <w:rPr>
          <w:rFonts w:eastAsia="宋体" w:hint="eastAsia"/>
        </w:rPr>
      </w:pPr>
    </w:p>
    <w:p w14:paraId="4161E7B3" w14:textId="77777777" w:rsidR="00931732" w:rsidRDefault="00931732" w:rsidP="00931732">
      <w:pPr>
        <w:pStyle w:val="FigureTableCaption"/>
        <w:ind w:firstLine="480"/>
        <w:jc w:val="center"/>
        <w:rPr>
          <w:rFonts w:eastAsia="宋体"/>
          <w:lang w:eastAsia="zh-CN"/>
        </w:rPr>
      </w:pPr>
      <w:r>
        <w:t xml:space="preserve">Table </w:t>
      </w:r>
      <w:bookmarkStart w:id="3" w:name="tbl2"/>
      <w:r>
        <w:fldChar w:fldCharType="begin"/>
      </w:r>
      <w:r>
        <w:instrText xml:space="preserve"> SEQ Table \r 2 \* ARABIC </w:instrText>
      </w:r>
      <w:r>
        <w:fldChar w:fldCharType="separate"/>
      </w:r>
      <w:r>
        <w:rPr>
          <w:noProof/>
        </w:rPr>
        <w:t>2</w:t>
      </w:r>
      <w:r>
        <w:fldChar w:fldCharType="end"/>
      </w:r>
      <w:bookmarkEnd w:id="3"/>
      <w:r>
        <w:t>. insert here.</w:t>
      </w:r>
    </w:p>
    <w:p w14:paraId="6402855B" w14:textId="77777777" w:rsidR="00931732" w:rsidRPr="00770E70" w:rsidRDefault="00931732" w:rsidP="00931732">
      <w:pPr>
        <w:ind w:firstLine="480"/>
        <w:rPr>
          <w:rFonts w:eastAsia="宋体" w:hint="eastAsia"/>
        </w:rPr>
      </w:pPr>
    </w:p>
    <w:p w14:paraId="4FC2F143" w14:textId="77777777" w:rsidR="00931732" w:rsidRDefault="00931732" w:rsidP="00931732">
      <w:pPr>
        <w:ind w:firstLine="480"/>
      </w:pPr>
      <w:r>
        <w:t xml:space="preserve">The full relationship-sensitivity summary gave the same formulation ordering. Mean cross-seed SD of Spearman </w:t>
      </w:r>
      <m:oMath>
        <m:r>
          <w:rPr>
            <w:rFonts w:ascii="Cambria Math" w:hAnsi="Cambria Math"/>
          </w:rPr>
          <m:t>ρ</m:t>
        </m:r>
      </m:oMath>
      <w:r>
        <w:t xml:space="preserve"> was 0.0308 for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0.0546 for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and 0.0663 </w:t>
      </w:r>
      <w:r>
        <w:lastRenderedPageBreak/>
        <w:t xml:space="preserve">for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The pooled distributions in Figure </w:t>
      </w:r>
      <w:r>
        <w:fldChar w:fldCharType="begin"/>
      </w:r>
      <w:r>
        <w:instrText xml:space="preserve"> REF fig3 \h </w:instrText>
      </w:r>
      <w:r>
        <w:fldChar w:fldCharType="separate"/>
      </w:r>
      <w:r>
        <w:rPr>
          <w:noProof/>
        </w:rPr>
        <w:t>3</w:t>
      </w:r>
      <w:r>
        <w:fldChar w:fldCharType="end"/>
      </w:r>
      <w:r>
        <w:t xml:space="preserve">a show lower and more concentrated seed SD values for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whereas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and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had wider upper tails. Parameter-level summaries in Figure </w:t>
      </w:r>
      <w:r>
        <w:fldChar w:fldCharType="begin"/>
      </w:r>
      <w:r>
        <w:instrText xml:space="preserve"> REF fig3 \h </w:instrText>
      </w:r>
      <w:r>
        <w:fldChar w:fldCharType="separate"/>
      </w:r>
      <w:r>
        <w:rPr>
          <w:noProof/>
        </w:rPr>
        <w:t>3</w:t>
      </w:r>
      <w:r>
        <w:fldChar w:fldCharType="end"/>
      </w:r>
      <w:r>
        <w:t xml:space="preserve">b show that lower seed sensitivity under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was visible for several runoff-generation and storage parameters, including </w:t>
      </w:r>
      <m:oMath>
        <m:r>
          <m:rPr>
            <m:sty m:val="p"/>
          </m:rPr>
          <w:rPr>
            <w:rFonts w:ascii="Cambria Math" w:hAnsi="Cambria Math"/>
          </w:rPr>
          <m:t>BETA</m:t>
        </m:r>
      </m:oMath>
      <w:r>
        <w:t xml:space="preserve">, </w:t>
      </w:r>
      <m:oMath>
        <m:r>
          <m:rPr>
            <m:sty m:val="p"/>
          </m:rPr>
          <w:rPr>
            <w:rFonts w:ascii="Cambria Math" w:hAnsi="Cambria Math"/>
          </w:rPr>
          <m:t>FC</m:t>
        </m:r>
      </m:oMath>
      <w:r>
        <w:t xml:space="preserve">, </w:t>
      </w:r>
      <m:oMath>
        <m:r>
          <m:rPr>
            <m:sty m:val="p"/>
          </m:rPr>
          <w:rPr>
            <w:rFonts w:ascii="Cambria Math" w:hAnsi="Cambria Math"/>
          </w:rPr>
          <m:t>PERC</m:t>
        </m:r>
      </m:oMath>
      <w:r>
        <w:t xml:space="preserve">, and </w:t>
      </w:r>
      <m:oMath>
        <m:r>
          <m:rPr>
            <m:sty m:val="p"/>
          </m:rPr>
          <w:rPr>
            <w:rFonts w:ascii="Cambria Math" w:hAnsi="Cambria Math"/>
          </w:rPr>
          <m:t>UZL</m:t>
        </m:r>
      </m:oMath>
      <w:r>
        <w:t>. Snow, recession, and routing parameters retained larger seed-sensitivity ranges, indicating that relationship stability remained parameter dependent.</w:t>
      </w:r>
    </w:p>
    <w:p w14:paraId="04AE8530" w14:textId="77777777" w:rsidR="00931732" w:rsidRDefault="00931732" w:rsidP="00931732">
      <w:pPr>
        <w:ind w:firstLine="480"/>
      </w:pPr>
      <w:r>
        <w:t xml:space="preserve">Dominant-control diagnostics showed a similar pattern. Median dominant-attribute consistency across seeds was 1.000 for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compared with 0.800 for both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and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Median top-5 overlap was 0.700 for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0.679 for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and 0.629 for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(Figure </w:t>
      </w:r>
      <w:r>
        <w:fldChar w:fldCharType="begin"/>
      </w:r>
      <w:r>
        <w:instrText xml:space="preserve"> REF fig3 \h </w:instrText>
      </w:r>
      <w:r>
        <w:fldChar w:fldCharType="separate"/>
      </w:r>
      <w:r>
        <w:rPr>
          <w:noProof/>
        </w:rPr>
        <w:t>3</w:t>
      </w:r>
      <w:r>
        <w:fldChar w:fldCharType="end"/>
      </w:r>
      <w:r>
        <w:t xml:space="preserve">c). The representative relationship panels in Figure </w:t>
      </w:r>
      <w:r>
        <w:fldChar w:fldCharType="begin"/>
      </w:r>
      <w:r>
        <w:instrText xml:space="preserve"> REF fig3 \h </w:instrText>
      </w:r>
      <w:r>
        <w:fldChar w:fldCharType="separate"/>
      </w:r>
      <w:r>
        <w:rPr>
          <w:noProof/>
        </w:rPr>
        <w:t>3</w:t>
      </w:r>
      <w:r>
        <w:fldChar w:fldCharType="end"/>
      </w:r>
      <w:r>
        <w:t xml:space="preserve">d–g show stable signs and comparable magnitudes across the five seeds for four high-magnitude relationships: </w:t>
      </w:r>
      <m:oMath>
        <m:r>
          <m:rPr>
            <m:sty m:val="p"/>
          </m:rPr>
          <w:rPr>
            <w:rFonts w:ascii="Cambria Math" w:hAnsi="Cambria Math"/>
          </w:rPr>
          <m:t>slope_mean</m:t>
        </m:r>
      </m:oMath>
      <w:r>
        <w:t>–</w:t>
      </w:r>
      <m:oMath>
        <m:r>
          <m:rPr>
            <m:sty m:val="p"/>
          </m:rPr>
          <w:rPr>
            <w:rFonts w:ascii="Cambria Math" w:hAnsi="Cambria Math"/>
          </w:rPr>
          <m:t>BETA</m:t>
        </m:r>
      </m:oMath>
      <w:r>
        <w:t xml:space="preserve">, </w:t>
      </w:r>
      <m:oMath>
        <m:r>
          <m:rPr>
            <m:sty m:val="p"/>
          </m:rPr>
          <w:rPr>
            <w:rFonts w:ascii="Cambria Math" w:hAnsi="Cambria Math"/>
          </w:rPr>
          <m:t>pet_mean</m:t>
        </m:r>
      </m:oMath>
      <w:r>
        <w:t>–</w:t>
      </w:r>
      <m:oMath>
        <m:r>
          <m:rPr>
            <m:sty m:val="p"/>
          </m:rPr>
          <w:rPr>
            <w:rFonts w:ascii="Cambria Math" w:hAnsi="Cambria Math"/>
          </w:rPr>
          <m:t>FC</m:t>
        </m:r>
      </m:oMath>
      <w:r>
        <w:t xml:space="preserve">, </w:t>
      </w:r>
      <m:oMath>
        <m:r>
          <m:rPr>
            <m:sty m:val="p"/>
          </m:rPr>
          <w:rPr>
            <w:rFonts w:ascii="Cambria Math" w:hAnsi="Cambria Math"/>
          </w:rPr>
          <m:t>aridity</m:t>
        </m:r>
      </m:oMath>
      <w:r>
        <w:t>–</w:t>
      </w:r>
      <m:oMath>
        <m:r>
          <m:rPr>
            <m:sty m:val="p"/>
          </m:rPr>
          <w:rPr>
            <w:rFonts w:ascii="Cambria Math" w:hAnsi="Cambria Math"/>
          </w:rPr>
          <m:t>PERC</m:t>
        </m:r>
      </m:oMath>
      <w:r>
        <w:t xml:space="preserve">, and </w:t>
      </w:r>
      <m:oMath>
        <m:r>
          <m:rPr>
            <m:sty m:val="p"/>
          </m:rPr>
          <w:rPr>
            <w:rFonts w:ascii="Cambria Math" w:hAnsi="Cambria Math"/>
          </w:rPr>
          <m:t>soil_conductivity</m:t>
        </m:r>
      </m:oMath>
      <w:r>
        <w:t>–</w:t>
      </w:r>
      <m:oMath>
        <m:r>
          <m:rPr>
            <m:sty m:val="p"/>
          </m:rPr>
          <w:rPr>
            <w:rFonts w:ascii="Cambria Math" w:hAnsi="Cambria Math"/>
          </w:rPr>
          <m:t>UZL</m:t>
        </m:r>
      </m:oMath>
      <w:r>
        <w:t>. These panels provide examples of relationships included in the stability summary, rather than a complete display of all parameter–attribute pairs.</w:t>
      </w:r>
    </w:p>
    <w:p w14:paraId="363840DB" w14:textId="77777777" w:rsidR="00931732" w:rsidRDefault="00931732" w:rsidP="00931732">
      <w:pPr>
        <w:ind w:firstLine="480"/>
      </w:pPr>
      <w:r>
        <w:t xml:space="preserve">Loss-function sensitivity was larger than seed sensitivity, but the relative ordering among formulations was retained. Across loss functions,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had the lowest mean cross-loss SD of Spearman </w:t>
      </w:r>
      <m:oMath>
        <m:r>
          <w:rPr>
            <w:rFonts w:ascii="Cambria Math" w:hAnsi="Cambria Math"/>
          </w:rPr>
          <m:t>ρ</m:t>
        </m:r>
      </m:oMath>
      <w:r>
        <w:t xml:space="preserve">, with a value of 0.129, compared with 0.142 for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and 0.168 for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(Table </w:t>
      </w:r>
      <w:r>
        <w:fldChar w:fldCharType="begin"/>
      </w:r>
      <w:r>
        <w:instrText xml:space="preserve"> REF tbl2 \h </w:instrText>
      </w:r>
      <w:r>
        <w:fldChar w:fldCharType="separate"/>
      </w:r>
      <w:r>
        <w:rPr>
          <w:noProof/>
        </w:rPr>
        <w:t>2</w:t>
      </w:r>
      <w:r>
        <w:fldChar w:fldCharType="end"/>
      </w:r>
      <w:r>
        <w:t>). The top-</w:t>
      </w:r>
      <m:oMath>
        <m:r>
          <w:rPr>
            <w:rFonts w:ascii="Cambria Math" w:hAnsi="Cambria Math"/>
          </w:rPr>
          <m:t>k</m:t>
        </m:r>
      </m:oMath>
      <w:r>
        <w:t xml:space="preserve"> sensitivity analysis gave the same qualitative ordering across alternative relationship-selection thresholds (Figure S3). This analysis was used to check whether the relationship-stability result depended on the number of retained high-correlation pairs.</w:t>
      </w:r>
    </w:p>
    <w:p w14:paraId="271CD0CD" w14:textId="77777777" w:rsidR="00931732" w:rsidRDefault="00931732" w:rsidP="00931732">
      <w:pPr>
        <w:ind w:firstLine="480"/>
      </w:pPr>
      <w:r>
        <w:t xml:space="preserve">Hydroclimatic-group analyses showed that the relationship-stability pattern was not restricted to the full-sample aggregation (Figure </w:t>
      </w:r>
      <w:r>
        <w:fldChar w:fldCharType="begin"/>
      </w:r>
      <w:r>
        <w:instrText xml:space="preserve"> REF fig4 \h </w:instrText>
      </w:r>
      <w:r>
        <w:fldChar w:fldCharType="separate"/>
      </w:r>
      <w:r>
        <w:rPr>
          <w:noProof/>
        </w:rPr>
        <w:t>4</w:t>
      </w:r>
      <w:r>
        <w:fldChar w:fldCharType="end"/>
      </w:r>
      <w:r>
        <w:t xml:space="preserve">). The 531 basins were separated into seven hydroclimatic strata, covering humid steep, low-snow humid lowland, arid lowland, arid seasonal, low-snow arid steep, snow arid steep, and snow humid steep settings (Figure </w:t>
      </w:r>
      <w:r>
        <w:fldChar w:fldCharType="begin"/>
      </w:r>
      <w:r>
        <w:instrText xml:space="preserve"> REF fig4 \h </w:instrText>
      </w:r>
      <w:r>
        <w:fldChar w:fldCharType="separate"/>
      </w:r>
      <w:r>
        <w:rPr>
          <w:noProof/>
        </w:rPr>
        <w:t>4</w:t>
      </w:r>
      <w:r>
        <w:fldChar w:fldCharType="end"/>
      </w:r>
      <w:r>
        <w:t xml:space="preserve">a). Within these strata,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generally maintained lower seed-to-seed variability in high-correlation relationships (Figure </w:t>
      </w:r>
      <w:r>
        <w:fldChar w:fldCharType="begin"/>
      </w:r>
      <w:r>
        <w:instrText xml:space="preserve"> REF fig4 \h </w:instrText>
      </w:r>
      <w:r>
        <w:fldChar w:fldCharType="separate"/>
      </w:r>
      <w:r>
        <w:rPr>
          <w:noProof/>
        </w:rPr>
        <w:t>4</w:t>
      </w:r>
      <w:r>
        <w:fldChar w:fldCharType="end"/>
      </w:r>
      <w:r>
        <w:t xml:space="preserve">b). Its median group-wise seed SD of Spearman </w:t>
      </w:r>
      <m:oMath>
        <m:r>
          <w:rPr>
            <w:rFonts w:ascii="Cambria Math" w:hAnsi="Cambria Math"/>
          </w:rPr>
          <m:t>ρ</m:t>
        </m:r>
      </m:oMath>
      <w:r>
        <w:t xml:space="preserve"> was 0.0491, compared with 0.0586 for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and 0.0541 for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Group-wise top-5 overlap was also comparable or higher for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in several strata (Figure </w:t>
      </w:r>
      <w:r>
        <w:fldChar w:fldCharType="begin"/>
      </w:r>
      <w:r>
        <w:instrText xml:space="preserve"> REF fig4 \h </w:instrText>
      </w:r>
      <w:r>
        <w:fldChar w:fldCharType="separate"/>
      </w:r>
      <w:r>
        <w:rPr>
          <w:noProof/>
        </w:rPr>
        <w:t>4</w:t>
      </w:r>
      <w:r>
        <w:fldChar w:fldCharType="end"/>
      </w:r>
      <w:r>
        <w:t>c), although overlap varied among groups.</w:t>
      </w:r>
    </w:p>
    <w:p w14:paraId="178307A4" w14:textId="77777777" w:rsidR="00931732" w:rsidRPr="00770E70" w:rsidRDefault="00931732" w:rsidP="00931732">
      <w:pPr>
        <w:ind w:firstLine="480"/>
        <w:rPr>
          <w:rFonts w:eastAsia="宋体" w:hint="eastAsia"/>
        </w:rPr>
      </w:pPr>
    </w:p>
    <w:p w14:paraId="18C8D6C7" w14:textId="77777777" w:rsidR="00931732" w:rsidRDefault="00931732" w:rsidP="00931732">
      <w:pPr>
        <w:pStyle w:val="FigureTableCaption"/>
        <w:ind w:firstLine="480"/>
        <w:jc w:val="center"/>
        <w:rPr>
          <w:rFonts w:eastAsia="宋体"/>
          <w:lang w:eastAsia="zh-CN"/>
        </w:rPr>
      </w:pPr>
      <w:r>
        <w:t xml:space="preserve">Figure </w:t>
      </w:r>
      <w:bookmarkStart w:id="4" w:name="fig4"/>
      <w:r>
        <w:fldChar w:fldCharType="begin"/>
      </w:r>
      <w:r>
        <w:instrText xml:space="preserve"> SEQ Figure \r 4 \* ARABIC </w:instrText>
      </w:r>
      <w:r>
        <w:fldChar w:fldCharType="separate"/>
      </w:r>
      <w:r>
        <w:rPr>
          <w:noProof/>
        </w:rPr>
        <w:t>4</w:t>
      </w:r>
      <w:r>
        <w:fldChar w:fldCharType="end"/>
      </w:r>
      <w:bookmarkEnd w:id="4"/>
      <w:r>
        <w:t>. insert here.</w:t>
      </w:r>
    </w:p>
    <w:p w14:paraId="6BE44C9C" w14:textId="77777777" w:rsidR="00931732" w:rsidRPr="00770E70" w:rsidRDefault="00931732" w:rsidP="00931732">
      <w:pPr>
        <w:ind w:firstLine="480"/>
        <w:rPr>
          <w:rFonts w:eastAsia="宋体" w:hint="eastAsia"/>
        </w:rPr>
      </w:pPr>
    </w:p>
    <w:p w14:paraId="305BDEFB" w14:textId="77777777" w:rsidR="00931732" w:rsidRDefault="00931732" w:rsidP="00931732">
      <w:pPr>
        <w:ind w:firstLine="480"/>
      </w:pPr>
      <w:r>
        <w:t xml:space="preserve">The hydroclimatic strata also showed organized differences in learned parameter fields (Figure </w:t>
      </w:r>
      <w:r>
        <w:fldChar w:fldCharType="begin"/>
      </w:r>
      <w:r>
        <w:instrText xml:space="preserve"> REF fig4 \h </w:instrText>
      </w:r>
      <w:r>
        <w:fldChar w:fldCharType="separate"/>
      </w:r>
      <w:r>
        <w:rPr>
          <w:noProof/>
        </w:rPr>
        <w:t>4</w:t>
      </w:r>
      <w:r>
        <w:fldChar w:fldCharType="end"/>
      </w:r>
      <w:r>
        <w:t xml:space="preserve">d–e). Median normalized parameter values differed among strata for several snow, storage, recession, and routing parameters. The within-group IQR </w:t>
      </w:r>
      <w:r>
        <w:lastRenderedPageBreak/>
        <w:t xml:space="preserve">heatmaps showed that some parameters retained larger within-stratum dispersion than others. These parameter-value summaries were used as descriptive context for the relationship analysis; the formulation comparison in this section was based on relationship stability rather than on group-wise parameter values alone. A leave-one-hydroclimatic-group-out check for the main distributional relationships did not identify any case with </w:t>
      </w:r>
      <m:oMath>
        <m:d>
          <m:dPr>
            <m:begChr m:val="|"/>
            <m:endChr m:val="|"/>
            <m:ctrlPr>
              <w:rPr>
                <w:rFonts w:ascii="Cambria Math" w:hAnsi="Cambria Math"/>
              </w:rPr>
            </m:ctrlPr>
          </m:dPr>
          <m:e>
            <m:r>
              <w:rPr>
                <w:rFonts w:ascii="Cambria Math" w:hAnsi="Cambria Math"/>
              </w:rPr>
              <m:t>Δρ</m:t>
            </m:r>
          </m:e>
        </m:d>
        <m:r>
          <m:rPr>
            <m:sty m:val="p"/>
          </m:rPr>
          <w:rPr>
            <w:rFonts w:ascii="Cambria Math" w:hAnsi="Cambria Math"/>
          </w:rPr>
          <m:t>≥</m:t>
        </m:r>
        <m:r>
          <w:rPr>
            <w:rFonts w:ascii="Cambria Math" w:hAnsi="Cambria Math"/>
          </w:rPr>
          <m:t>0.15</m:t>
        </m:r>
      </m:oMath>
      <w:r>
        <w:t xml:space="preserve">, indicating that the full-sample correlations were not controlled by one hydroclimatic stratum alone (Figure S14; Table S4). Within-group correlations were more variable than the leave-one-group-out summaries. For example, the </w:t>
      </w:r>
      <m:oMath>
        <m:r>
          <m:rPr>
            <m:sty m:val="p"/>
          </m:rPr>
          <w:rPr>
            <w:rFonts w:ascii="Cambria Math" w:hAnsi="Cambria Math"/>
          </w:rPr>
          <m:t>FC</m:t>
        </m:r>
      </m:oMath>
      <w:r>
        <w:t xml:space="preserve">–PET relationship weakened in several groups and changed sign in the snow arid steep group, and the </w:t>
      </w:r>
      <m:oMath>
        <m:r>
          <m:rPr>
            <m:sty m:val="p"/>
          </m:rPr>
          <w:rPr>
            <w:rFonts w:ascii="Cambria Math" w:hAnsi="Cambria Math"/>
          </w:rPr>
          <m:t>PERC</m:t>
        </m:r>
      </m:oMath>
      <w:r>
        <w:t xml:space="preserve">–aridity relationship changed sign in the low-snow arid steep group. These group-wise summaries were retained as sensitivity diagnostics and were not used as ungauged-basin validation. A deduplication sensitivity check produced negligible changes for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mean cross-seed SD changed from 0.03120 before deduplication to 0.03131 after deduplication, and the main shared-control correlations changed by less than 0.01.</w:t>
      </w:r>
    </w:p>
    <w:p w14:paraId="4F8602A6" w14:textId="77777777" w:rsidR="00931732" w:rsidRDefault="00931732" w:rsidP="00931732">
      <w:pPr>
        <w:pStyle w:val="2"/>
      </w:pPr>
      <w:r>
        <w:rPr>
          <w:rFonts w:ascii="Times New Roman" w:eastAsia="Times New Roman" w:hAnsi="Times New Roman" w:cs="Times New Roman"/>
        </w:rPr>
        <w:t>3.3 Shared dominant basin controls across formulations</w:t>
      </w:r>
    </w:p>
    <w:p w14:paraId="63206E5F" w14:textId="77777777" w:rsidR="00931732" w:rsidRDefault="00931732" w:rsidP="00931732">
      <w:pPr>
        <w:ind w:firstLine="480"/>
      </w:pPr>
      <w:r>
        <w:t xml:space="preserve">The three formulations recovered a common but nonuniform basin-control structure rather than unrelated attribute–parameter relationship matrices (Tables </w:t>
      </w:r>
      <w:r>
        <w:fldChar w:fldCharType="begin"/>
      </w:r>
      <w:r>
        <w:instrText xml:space="preserve"> REF tbl3 \h </w:instrText>
      </w:r>
      <w:r>
        <w:fldChar w:fldCharType="separate"/>
      </w:r>
      <w:r>
        <w:rPr>
          <w:noProof/>
        </w:rPr>
        <w:t>3</w:t>
      </w:r>
      <w:r>
        <w:fldChar w:fldCharType="end"/>
      </w:r>
      <w:r>
        <w:t xml:space="preserve"> and </w:t>
      </w:r>
      <w:r>
        <w:fldChar w:fldCharType="begin"/>
      </w:r>
      <w:r>
        <w:instrText xml:space="preserve"> REF tbl4 \h </w:instrText>
      </w:r>
      <w:r>
        <w:fldChar w:fldCharType="separate"/>
      </w:r>
      <w:r>
        <w:rPr>
          <w:noProof/>
        </w:rPr>
        <w:t>4</w:t>
      </w:r>
      <w:r>
        <w:fldChar w:fldCharType="end"/>
      </w:r>
      <w:r>
        <w:t xml:space="preserve">). Of the 14 parameters, 7 were classified as shared dominant controls, 6 as partially shared controls, and 1 as model-sensitive. The shared group comprised </w:t>
      </w:r>
      <m:oMath>
        <m:r>
          <m:rPr>
            <m:sty m:val="p"/>
          </m:rPr>
          <w:rPr>
            <w:rFonts w:ascii="Cambria Math" w:hAnsi="Cambria Math"/>
          </w:rPr>
          <m:t>BETA</m:t>
        </m:r>
      </m:oMath>
      <w:r>
        <w:t xml:space="preserve">, </w:t>
      </w:r>
      <m:oMath>
        <m:r>
          <m:rPr>
            <m:sty m:val="p"/>
          </m:rPr>
          <w:rPr>
            <w:rFonts w:ascii="Cambria Math" w:hAnsi="Cambria Math"/>
          </w:rPr>
          <m:t>FC</m:t>
        </m:r>
      </m:oMath>
      <w:r>
        <w:t xml:space="preserve">, </w:t>
      </w:r>
      <m:oMath>
        <m:sSub>
          <m:sSubPr>
            <m:ctrlPr>
              <w:rPr>
                <w:rFonts w:ascii="Cambria Math" w:hAnsi="Cambria Math"/>
              </w:rPr>
            </m:ctrlPr>
          </m:sSubPr>
          <m:e>
            <m:r>
              <m:rPr>
                <m:sty m:val="p"/>
              </m:rPr>
              <w:rPr>
                <w:rFonts w:ascii="Cambria Math" w:hAnsi="Cambria Math"/>
              </w:rPr>
              <m:t>K</m:t>
            </m:r>
          </m:e>
          <m:sub>
            <m:r>
              <w:rPr>
                <w:rFonts w:ascii="Cambria Math" w:hAnsi="Cambria Math"/>
              </w:rPr>
              <m:t>2</m:t>
            </m:r>
          </m:sub>
        </m:sSub>
      </m:oMath>
      <w:r>
        <w:t xml:space="preserve">, </w:t>
      </w:r>
      <m:oMath>
        <m:r>
          <m:rPr>
            <m:sty m:val="p"/>
          </m:rPr>
          <w:rPr>
            <w:rFonts w:ascii="Cambria Math" w:hAnsi="Cambria Math"/>
          </w:rPr>
          <m:t>PERC</m:t>
        </m:r>
      </m:oMath>
      <w:r>
        <w:t xml:space="preserve">, </w:t>
      </w:r>
      <m:oMath>
        <m:r>
          <m:rPr>
            <m:sty m:val="p"/>
          </m:rPr>
          <w:rPr>
            <w:rFonts w:ascii="Cambria Math" w:hAnsi="Cambria Math"/>
          </w:rPr>
          <m:t>TT</m:t>
        </m:r>
      </m:oMath>
      <w:r>
        <w:t xml:space="preserve">, </w:t>
      </w:r>
      <m:oMath>
        <m:r>
          <m:rPr>
            <m:sty m:val="p"/>
          </m:rPr>
          <w:rPr>
            <w:rFonts w:ascii="Cambria Math" w:hAnsi="Cambria Math"/>
          </w:rPr>
          <m:t>UZL</m:t>
        </m:r>
      </m:oMath>
      <w:r>
        <w:t xml:space="preserve">, and </w:t>
      </w:r>
      <m:oMath>
        <m:sSub>
          <m:sSubPr>
            <m:ctrlPr>
              <w:rPr>
                <w:rFonts w:ascii="Cambria Math" w:hAnsi="Cambria Math"/>
              </w:rPr>
            </m:ctrlPr>
          </m:sSubPr>
          <m:e>
            <m:r>
              <m:rPr>
                <m:sty m:val="p"/>
              </m:rPr>
              <w:rPr>
                <w:rFonts w:ascii="Cambria Math" w:hAnsi="Cambria Math"/>
              </w:rPr>
              <m:t>UH</m:t>
            </m:r>
          </m:e>
          <m:sub>
            <m:r>
              <w:rPr>
                <w:rFonts w:ascii="Cambria Math" w:hAnsi="Cambria Math"/>
              </w:rPr>
              <m:t>a</m:t>
            </m:r>
          </m:sub>
        </m:sSub>
      </m:oMath>
      <w:r>
        <w:t xml:space="preserve">. For these parameters, the dominant attribute and relationship direction were consistent across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and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Figure </w:t>
      </w:r>
      <w:r>
        <w:fldChar w:fldCharType="begin"/>
      </w:r>
      <w:r>
        <w:instrText xml:space="preserve"> REF fig6 \h </w:instrText>
      </w:r>
      <w:r>
        <w:fldChar w:fldCharType="separate"/>
      </w:r>
      <w:r>
        <w:rPr>
          <w:noProof/>
        </w:rPr>
        <w:t>6</w:t>
      </w:r>
      <w:r>
        <w:fldChar w:fldCharType="end"/>
      </w:r>
      <w:r>
        <w:t xml:space="preserve"> shows the corresponding distributional relationship matrix and group-level summaries.</w:t>
      </w:r>
    </w:p>
    <w:p w14:paraId="6E372B12" w14:textId="77777777" w:rsidR="00931732" w:rsidRDefault="00931732" w:rsidP="00931732">
      <w:pPr>
        <w:ind w:firstLine="480"/>
        <w:jc w:val="center"/>
        <w:rPr>
          <w:rFonts w:eastAsia="宋体"/>
        </w:rPr>
      </w:pPr>
      <w:r>
        <w:t xml:space="preserve">Table </w:t>
      </w:r>
      <w:bookmarkStart w:id="5" w:name="tbl3"/>
      <w:r>
        <w:fldChar w:fldCharType="begin"/>
      </w:r>
      <w:r>
        <w:instrText xml:space="preserve"> SEQ Table \r 3 \* ARABIC </w:instrText>
      </w:r>
      <w:r>
        <w:fldChar w:fldCharType="separate"/>
      </w:r>
      <w:r>
        <w:rPr>
          <w:noProof/>
        </w:rPr>
        <w:t>3</w:t>
      </w:r>
      <w:r>
        <w:fldChar w:fldCharType="end"/>
      </w:r>
      <w:bookmarkEnd w:id="5"/>
      <w:r>
        <w:t>.</w:t>
      </w:r>
      <w:r>
        <w:rPr>
          <w:rFonts w:eastAsia="宋体" w:hint="eastAsia"/>
        </w:rPr>
        <w:t xml:space="preserve"> </w:t>
      </w:r>
      <w:r>
        <w:t>insert here.</w:t>
      </w:r>
    </w:p>
    <w:p w14:paraId="557C3558" w14:textId="77777777" w:rsidR="00931732" w:rsidRPr="00770E70" w:rsidRDefault="00931732" w:rsidP="00931732">
      <w:pPr>
        <w:pStyle w:val="FigureTableCaption"/>
        <w:ind w:firstLine="480"/>
        <w:jc w:val="center"/>
      </w:pPr>
      <w:r>
        <w:t xml:space="preserve">Table </w:t>
      </w:r>
      <w:bookmarkStart w:id="6" w:name="tbl4"/>
      <w:r>
        <w:fldChar w:fldCharType="begin"/>
      </w:r>
      <w:r>
        <w:instrText xml:space="preserve"> SEQ Table \r 4 \* ARABIC </w:instrText>
      </w:r>
      <w:r>
        <w:fldChar w:fldCharType="separate"/>
      </w:r>
      <w:r>
        <w:rPr>
          <w:noProof/>
        </w:rPr>
        <w:t>4</w:t>
      </w:r>
      <w:r>
        <w:fldChar w:fldCharType="end"/>
      </w:r>
      <w:bookmarkEnd w:id="6"/>
      <w:r>
        <w:t>. insert here</w:t>
      </w:r>
      <w:r>
        <w:rPr>
          <w:rFonts w:eastAsia="宋体" w:hint="eastAsia"/>
          <w:lang w:eastAsia="zh-CN"/>
        </w:rPr>
        <w:t>.</w:t>
      </w:r>
    </w:p>
    <w:p w14:paraId="191748B6" w14:textId="77777777" w:rsidR="00931732" w:rsidRDefault="00931732" w:rsidP="00931732">
      <w:pPr>
        <w:pStyle w:val="FigureTableCaption"/>
        <w:ind w:firstLine="480"/>
        <w:jc w:val="center"/>
        <w:rPr>
          <w:rFonts w:eastAsia="宋体"/>
          <w:lang w:eastAsia="zh-CN"/>
        </w:rPr>
      </w:pPr>
      <w:r>
        <w:t xml:space="preserve">Figure </w:t>
      </w:r>
      <w:bookmarkStart w:id="7" w:name="fig6"/>
      <w:r>
        <w:fldChar w:fldCharType="begin"/>
      </w:r>
      <w:r>
        <w:instrText xml:space="preserve"> SEQ Figure \r 6 \* ARABIC </w:instrText>
      </w:r>
      <w:r>
        <w:fldChar w:fldCharType="separate"/>
      </w:r>
      <w:r>
        <w:rPr>
          <w:noProof/>
        </w:rPr>
        <w:t>6</w:t>
      </w:r>
      <w:r>
        <w:fldChar w:fldCharType="end"/>
      </w:r>
      <w:bookmarkEnd w:id="7"/>
      <w:r>
        <w:t>. insert here.</w:t>
      </w:r>
    </w:p>
    <w:p w14:paraId="2D4D3C7E" w14:textId="77777777" w:rsidR="00931732" w:rsidRPr="00770E70" w:rsidRDefault="00931732" w:rsidP="00931732">
      <w:pPr>
        <w:ind w:firstLine="480"/>
        <w:rPr>
          <w:rFonts w:eastAsia="宋体" w:hint="eastAsia"/>
        </w:rPr>
      </w:pPr>
    </w:p>
    <w:p w14:paraId="07168777" w14:textId="77777777" w:rsidR="00931732" w:rsidRDefault="00931732" w:rsidP="00931732">
      <w:pPr>
        <w:ind w:firstLine="480"/>
      </w:pPr>
      <w:r>
        <w:t xml:space="preserve">Several shared controls had relatively high magnitude in the distributional relationship matrix. The main examples were the negative </w:t>
      </w:r>
      <m:oMath>
        <m:r>
          <m:rPr>
            <m:sty m:val="p"/>
          </m:rPr>
          <w:rPr>
            <w:rFonts w:ascii="Cambria Math" w:hAnsi="Cambria Math"/>
          </w:rPr>
          <m:t>slope_mean</m:t>
        </m:r>
      </m:oMath>
      <w:r>
        <w:t>–</w:t>
      </w:r>
      <m:oMath>
        <m:r>
          <m:rPr>
            <m:sty m:val="p"/>
          </m:rPr>
          <w:rPr>
            <w:rFonts w:ascii="Cambria Math" w:hAnsi="Cambria Math"/>
          </w:rPr>
          <m:t>BETA</m:t>
        </m:r>
      </m:oMath>
      <w:r>
        <w:t xml:space="preserve"> relationship, the positive </w:t>
      </w:r>
      <m:oMath>
        <m:r>
          <m:rPr>
            <m:sty m:val="p"/>
          </m:rPr>
          <w:rPr>
            <w:rFonts w:ascii="Cambria Math" w:hAnsi="Cambria Math"/>
          </w:rPr>
          <m:t>pet_mean</m:t>
        </m:r>
      </m:oMath>
      <w:r>
        <w:t>–</w:t>
      </w:r>
      <m:oMath>
        <m:r>
          <m:rPr>
            <m:sty m:val="p"/>
          </m:rPr>
          <w:rPr>
            <w:rFonts w:ascii="Cambria Math" w:hAnsi="Cambria Math"/>
          </w:rPr>
          <m:t>FC</m:t>
        </m:r>
      </m:oMath>
      <w:r>
        <w:t xml:space="preserve"> relationship, the negative </w:t>
      </w:r>
      <m:oMath>
        <m:r>
          <m:rPr>
            <m:sty m:val="p"/>
          </m:rPr>
          <w:rPr>
            <w:rFonts w:ascii="Cambria Math" w:hAnsi="Cambria Math"/>
          </w:rPr>
          <m:t>aridity</m:t>
        </m:r>
      </m:oMath>
      <w:r>
        <w:t>–</w:t>
      </w:r>
      <m:oMath>
        <m:r>
          <m:rPr>
            <m:sty m:val="p"/>
          </m:rPr>
          <w:rPr>
            <w:rFonts w:ascii="Cambria Math" w:hAnsi="Cambria Math"/>
          </w:rPr>
          <m:t>PERC</m:t>
        </m:r>
      </m:oMath>
      <w:r>
        <w:t xml:space="preserve"> relationship, and the positive </w:t>
      </w:r>
      <m:oMath>
        <m:r>
          <m:rPr>
            <m:sty m:val="p"/>
          </m:rPr>
          <w:rPr>
            <w:rFonts w:ascii="Cambria Math" w:hAnsi="Cambria Math"/>
          </w:rPr>
          <m:t>soil_conductivity</m:t>
        </m:r>
      </m:oMath>
      <w:r>
        <w:t>–</w:t>
      </w:r>
      <m:oMath>
        <m:r>
          <m:rPr>
            <m:sty m:val="p"/>
          </m:rPr>
          <w:rPr>
            <w:rFonts w:ascii="Cambria Math" w:hAnsi="Cambria Math"/>
          </w:rPr>
          <m:t>UZL</m:t>
        </m:r>
      </m:oMath>
      <w:r>
        <w:t xml:space="preserve"> relationship (Figure </w:t>
      </w:r>
      <w:r>
        <w:fldChar w:fldCharType="begin"/>
      </w:r>
      <w:r>
        <w:instrText xml:space="preserve"> REF fig6 \h </w:instrText>
      </w:r>
      <w:r>
        <w:fldChar w:fldCharType="separate"/>
      </w:r>
      <w:r>
        <w:rPr>
          <w:noProof/>
        </w:rPr>
        <w:t>6</w:t>
      </w:r>
      <w:r>
        <w:fldChar w:fldCharType="end"/>
      </w:r>
      <w:r>
        <w:t xml:space="preserve">a; Table </w:t>
      </w:r>
      <w:r>
        <w:fldChar w:fldCharType="begin"/>
      </w:r>
      <w:r>
        <w:instrText xml:space="preserve"> REF tbl3 \h </w:instrText>
      </w:r>
      <w:r>
        <w:fldChar w:fldCharType="separate"/>
      </w:r>
      <w:r>
        <w:rPr>
          <w:noProof/>
        </w:rPr>
        <w:t>3</w:t>
      </w:r>
      <w:r>
        <w:fldChar w:fldCharType="end"/>
      </w:r>
      <w:r>
        <w:t xml:space="preserve">). In the distributional formulation, these relationships had Spearman </w:t>
      </w:r>
      <m:oMath>
        <m:r>
          <w:rPr>
            <w:rFonts w:ascii="Cambria Math" w:hAnsi="Cambria Math"/>
          </w:rPr>
          <m:t>ρ</m:t>
        </m:r>
      </m:oMath>
      <w:r>
        <w:t xml:space="preserve"> values of -0.583, 0.509, -0.594, and 0.570, respectively. In Figure </w:t>
      </w:r>
      <w:r>
        <w:fldChar w:fldCharType="begin"/>
      </w:r>
      <w:r>
        <w:instrText xml:space="preserve"> REF fig6 \h </w:instrText>
      </w:r>
      <w:r>
        <w:fldChar w:fldCharType="separate"/>
      </w:r>
      <w:r>
        <w:rPr>
          <w:noProof/>
        </w:rPr>
        <w:t>6</w:t>
      </w:r>
      <w:r>
        <w:fldChar w:fldCharType="end"/>
      </w:r>
      <w:r>
        <w:t xml:space="preserve">a, these pairs appear as dominant or </w:t>
      </w:r>
      <w:r>
        <w:lastRenderedPageBreak/>
        <w:t xml:space="preserve">stable high-magnitude entries in distinct descriptor groups, linking </w:t>
      </w:r>
      <m:oMath>
        <m:r>
          <m:rPr>
            <m:sty m:val="p"/>
          </m:rPr>
          <w:rPr>
            <w:rFonts w:ascii="Cambria Math" w:hAnsi="Cambria Math"/>
          </w:rPr>
          <m:t>BETA</m:t>
        </m:r>
      </m:oMath>
      <w:r>
        <w:t xml:space="preserve"> to terrain, </w:t>
      </w:r>
      <m:oMath>
        <m:r>
          <m:rPr>
            <m:sty m:val="p"/>
          </m:rPr>
          <w:rPr>
            <w:rFonts w:ascii="Cambria Math" w:hAnsi="Cambria Math"/>
          </w:rPr>
          <m:t>FC</m:t>
        </m:r>
      </m:oMath>
      <w:r>
        <w:t xml:space="preserve"> to evaporative demand, </w:t>
      </w:r>
      <m:oMath>
        <m:r>
          <m:rPr>
            <m:sty m:val="p"/>
          </m:rPr>
          <w:rPr>
            <w:rFonts w:ascii="Cambria Math" w:hAnsi="Cambria Math"/>
          </w:rPr>
          <m:t>PERC</m:t>
        </m:r>
      </m:oMath>
      <w:r>
        <w:t xml:space="preserve"> to hydroclimatic dryness, and </w:t>
      </w:r>
      <m:oMath>
        <m:r>
          <m:rPr>
            <m:sty m:val="p"/>
          </m:rPr>
          <w:rPr>
            <w:rFonts w:ascii="Cambria Math" w:hAnsi="Cambria Math"/>
          </w:rPr>
          <m:t>UZL</m:t>
        </m:r>
      </m:oMath>
      <w:r>
        <w:t xml:space="preserve"> to soil hydraulic properties.</w:t>
      </w:r>
    </w:p>
    <w:p w14:paraId="0657A3F8" w14:textId="77777777" w:rsidR="00931732" w:rsidRDefault="00931732" w:rsidP="00931732">
      <w:pPr>
        <w:ind w:firstLine="480"/>
      </w:pPr>
      <w:r>
        <w:t xml:space="preserve">The attribute-group summaries in Figure </w:t>
      </w:r>
      <w:r>
        <w:fldChar w:fldCharType="begin"/>
      </w:r>
      <w:r>
        <w:instrText xml:space="preserve"> REF fig6 \h </w:instrText>
      </w:r>
      <w:r>
        <w:fldChar w:fldCharType="separate"/>
      </w:r>
      <w:r>
        <w:rPr>
          <w:noProof/>
        </w:rPr>
        <w:t>6</w:t>
      </w:r>
      <w:r>
        <w:fldChar w:fldCharType="end"/>
      </w:r>
      <w:r>
        <w:t xml:space="preserve">b–c show how relationship strength varied by parameter and descriptor group within the distributional formulation. Snow-related parameters were most strongly associated with climate descriptors and secondarily with topography; their top-3 mean absolute correlations were 0.70 for climate and 0.55 for topography. Soil-related parameters had top-3 mean absolute correlations of 0.47 with climate, 0.46 with soil, and 0.42 with topography. Production parameters showed broader multi-group associations, with top-3 mean absolute correlations of 0.54 with climate, 0.51 with soil, and 0.49 with vegetation descriptors. Routing parameters had more moderate group-level associations, ranging from 0.40 to 0.46 across climate, topography, vegetation, and soil, and a weaker association with geology (0.28). At the parameter level, </w:t>
      </w:r>
      <m:oMath>
        <m:r>
          <m:rPr>
            <m:sty m:val="p"/>
          </m:rPr>
          <w:rPr>
            <w:rFonts w:ascii="Cambria Math" w:hAnsi="Cambria Math"/>
          </w:rPr>
          <m:t>CWH</m:t>
        </m:r>
      </m:oMath>
      <w:r>
        <w:t xml:space="preserve">, </w:t>
      </w:r>
      <m:oMath>
        <m:r>
          <m:rPr>
            <m:sty m:val="p"/>
          </m:rPr>
          <w:rPr>
            <w:rFonts w:ascii="Cambria Math" w:hAnsi="Cambria Math"/>
          </w:rPr>
          <m:t>PERC</m:t>
        </m:r>
      </m:oMath>
      <w:r>
        <w:t xml:space="preserve">, and </w:t>
      </w:r>
      <m:oMath>
        <m:r>
          <m:rPr>
            <m:sty m:val="p"/>
          </m:rPr>
          <w:rPr>
            <w:rFonts w:ascii="Cambria Math" w:hAnsi="Cambria Math"/>
          </w:rPr>
          <m:t>UZL</m:t>
        </m:r>
      </m:oMath>
      <w:r>
        <w:t xml:space="preserve"> had among the larger top-</w:t>
      </w:r>
      <m:oMath>
        <m:r>
          <w:rPr>
            <w:rFonts w:ascii="Cambria Math" w:hAnsi="Cambria Math"/>
          </w:rPr>
          <m:t>k</m:t>
        </m:r>
      </m:oMath>
      <w:r>
        <w:t xml:space="preserve"> mean relationship magnitudes, whereas </w:t>
      </w:r>
      <m:oMath>
        <m:r>
          <m:rPr>
            <m:sty m:val="p"/>
          </m:rPr>
          <w:rPr>
            <w:rFonts w:ascii="Cambria Math" w:hAnsi="Cambria Math"/>
          </w:rPr>
          <m:t>LP</m:t>
        </m:r>
      </m:oMath>
      <w:r>
        <w:t xml:space="preserve">, </w:t>
      </w:r>
      <m:oMath>
        <m:sSub>
          <m:sSubPr>
            <m:ctrlPr>
              <w:rPr>
                <w:rFonts w:ascii="Cambria Math" w:hAnsi="Cambria Math"/>
              </w:rPr>
            </m:ctrlPr>
          </m:sSubPr>
          <m:e>
            <m:r>
              <m:rPr>
                <m:sty m:val="p"/>
              </m:rPr>
              <w:rPr>
                <w:rFonts w:ascii="Cambria Math" w:hAnsi="Cambria Math"/>
              </w:rPr>
              <m:t>K</m:t>
            </m:r>
          </m:e>
          <m:sub>
            <m:r>
              <w:rPr>
                <w:rFonts w:ascii="Cambria Math" w:hAnsi="Cambria Math"/>
              </w:rPr>
              <m:t>2</m:t>
            </m:r>
          </m:sub>
        </m:sSub>
      </m:oMath>
      <w:r>
        <w:t>, and some routing-related entries were lower in the same summary.</w:t>
      </w:r>
    </w:p>
    <w:p w14:paraId="6B3A1C5C" w14:textId="77777777" w:rsidR="00931732" w:rsidRDefault="00931732" w:rsidP="00931732">
      <w:pPr>
        <w:ind w:firstLine="480"/>
      </w:pPr>
      <w:r>
        <w:t xml:space="preserve">The remaining parameters were less uniform across formulations (Tables </w:t>
      </w:r>
      <w:r>
        <w:fldChar w:fldCharType="begin"/>
      </w:r>
      <w:r>
        <w:instrText xml:space="preserve"> REF tbl3 \h </w:instrText>
      </w:r>
      <w:r>
        <w:fldChar w:fldCharType="separate"/>
      </w:r>
      <w:r>
        <w:rPr>
          <w:noProof/>
        </w:rPr>
        <w:t>3</w:t>
      </w:r>
      <w:r>
        <w:fldChar w:fldCharType="end"/>
      </w:r>
      <w:r>
        <w:t xml:space="preserve"> and </w:t>
      </w:r>
      <w:r>
        <w:fldChar w:fldCharType="begin"/>
      </w:r>
      <w:r>
        <w:instrText xml:space="preserve"> REF tbl4 \h </w:instrText>
      </w:r>
      <w:r>
        <w:fldChar w:fldCharType="separate"/>
      </w:r>
      <w:r>
        <w:rPr>
          <w:noProof/>
        </w:rPr>
        <w:t>4</w:t>
      </w:r>
      <w:r>
        <w:fldChar w:fldCharType="end"/>
      </w:r>
      <w:r>
        <w:t xml:space="preserve">). </w:t>
      </w:r>
      <m:oMath>
        <m:r>
          <m:rPr>
            <m:sty m:val="p"/>
          </m:rPr>
          <w:rPr>
            <w:rFonts w:ascii="Cambria Math" w:hAnsi="Cambria Math"/>
          </w:rPr>
          <m:t>CFR</m:t>
        </m:r>
      </m:oMath>
      <w:r>
        <w:t xml:space="preserve">, </w:t>
      </w:r>
      <m:oMath>
        <m:r>
          <m:rPr>
            <m:sty m:val="p"/>
          </m:rPr>
          <w:rPr>
            <w:rFonts w:ascii="Cambria Math" w:hAnsi="Cambria Math"/>
          </w:rPr>
          <m:t>CWH</m:t>
        </m:r>
      </m:oMath>
      <w:r>
        <w:t xml:space="preserve">, </w:t>
      </w:r>
      <m:oMath>
        <m:r>
          <m:rPr>
            <m:sty m:val="p"/>
          </m:rPr>
          <w:rPr>
            <w:rFonts w:ascii="Cambria Math" w:hAnsi="Cambria Math"/>
          </w:rPr>
          <m:t>CFMAX</m:t>
        </m:r>
      </m:oMath>
      <w:r w:rsidRPr="0062413A">
        <w:t xml:space="preserve">, </w:t>
      </w:r>
      <m:oMath>
        <m:sSub>
          <m:sSubPr>
            <m:ctrlPr>
              <w:rPr>
                <w:rFonts w:ascii="Cambria Math" w:hAnsi="Cambria Math"/>
              </w:rPr>
            </m:ctrlPr>
          </m:sSubPr>
          <m:e>
            <m:r>
              <m:rPr>
                <m:sty m:val="p"/>
              </m:rPr>
              <w:rPr>
                <w:rFonts w:ascii="Cambria Math" w:hAnsi="Cambria Math"/>
              </w:rPr>
              <m:t>K</m:t>
            </m:r>
          </m:e>
          <m:sub>
            <m:r>
              <w:rPr>
                <w:rFonts w:ascii="Cambria Math" w:hAnsi="Cambria Math"/>
              </w:rPr>
              <m:t>0</m:t>
            </m:r>
          </m:sub>
        </m:sSub>
      </m:oMath>
      <w:r w:rsidRPr="0062413A">
        <w:t xml:space="preserve">, </w:t>
      </w:r>
      <m:oMath>
        <m:sSub>
          <m:sSubPr>
            <m:ctrlPr>
              <w:rPr>
                <w:rFonts w:ascii="Cambria Math" w:hAnsi="Cambria Math"/>
              </w:rPr>
            </m:ctrlPr>
          </m:sSubPr>
          <m:e>
            <m:r>
              <m:rPr>
                <m:sty m:val="p"/>
              </m:rPr>
              <w:rPr>
                <w:rFonts w:ascii="Cambria Math" w:hAnsi="Cambria Math"/>
              </w:rPr>
              <m:t>K</m:t>
            </m:r>
          </m:e>
          <m:sub>
            <m:r>
              <w:rPr>
                <w:rFonts w:ascii="Cambria Math" w:hAnsi="Cambria Math"/>
              </w:rPr>
              <m:t>1</m:t>
            </m:r>
          </m:sub>
        </m:sSub>
      </m:oMath>
      <w:r w:rsidRPr="0062413A">
        <w:t xml:space="preserve">, and </w:t>
      </w:r>
      <m:oMath>
        <m:sSub>
          <m:sSubPr>
            <m:ctrlPr>
              <w:rPr>
                <w:rFonts w:ascii="Cambria Math" w:hAnsi="Cambria Math"/>
              </w:rPr>
            </m:ctrlPr>
          </m:sSubPr>
          <m:e>
            <m:r>
              <m:rPr>
                <m:sty m:val="p"/>
              </m:rPr>
              <w:rPr>
                <w:rFonts w:ascii="Cambria Math" w:hAnsi="Cambria Math"/>
              </w:rPr>
              <m:t>UH</m:t>
            </m:r>
          </m:e>
          <m:sub>
            <m:r>
              <w:rPr>
                <w:rFonts w:ascii="Cambria Math" w:hAnsi="Cambria Math"/>
              </w:rPr>
              <m:t>b</m:t>
            </m:r>
          </m:sub>
        </m:sSub>
      </m:oMath>
      <w:r>
        <w:t xml:space="preserve"> were classified as partially shared controls, reflecting shifts in dominant attribute, reduced agreement in rank, or weaker directional consistency across formulations. Among these, </w:t>
      </w:r>
      <m:oMath>
        <m:sSub>
          <m:sSubPr>
            <m:ctrlPr>
              <w:rPr>
                <w:rFonts w:ascii="Cambria Math" w:hAnsi="Cambria Math"/>
              </w:rPr>
            </m:ctrlPr>
          </m:sSubPr>
          <m:e>
            <m:r>
              <m:rPr>
                <m:sty m:val="p"/>
              </m:rPr>
              <w:rPr>
                <w:rFonts w:ascii="Cambria Math" w:hAnsi="Cambria Math"/>
              </w:rPr>
              <m:t>UH</m:t>
            </m:r>
          </m:e>
          <m:sub>
            <m:r>
              <w:rPr>
                <w:rFonts w:ascii="Cambria Math" w:hAnsi="Cambria Math"/>
              </w:rPr>
              <m:t>b</m:t>
            </m:r>
          </m:sub>
        </m:sSub>
      </m:oMath>
      <w:r>
        <w:t xml:space="preserve"> was additionally flagged by sign inconsistency. </w:t>
      </w:r>
      <m:oMath>
        <m:r>
          <m:rPr>
            <m:sty m:val="p"/>
          </m:rPr>
          <w:rPr>
            <w:rFonts w:ascii="Cambria Math" w:hAnsi="Cambria Math"/>
          </w:rPr>
          <m:t>LP</m:t>
        </m:r>
      </m:oMath>
      <w:r>
        <w:t xml:space="preserve"> was the only parameter classified as model-sensitive. This classification separated a shared dominant-control group from parameters whose dominant relationships varied more across formulations.</w:t>
      </w:r>
    </w:p>
    <w:p w14:paraId="2F5EE943" w14:textId="77777777" w:rsidR="00931732" w:rsidRDefault="00931732" w:rsidP="00931732">
      <w:pPr>
        <w:ind w:firstLine="480"/>
      </w:pPr>
      <w:r>
        <w:t xml:space="preserve">Matrix-level diagnostics were consistent with the parameter-level classification (Table </w:t>
      </w:r>
      <w:r>
        <w:fldChar w:fldCharType="begin"/>
      </w:r>
      <w:r>
        <w:instrText xml:space="preserve"> REF tbl4 \h </w:instrText>
      </w:r>
      <w:r>
        <w:fldChar w:fldCharType="separate"/>
      </w:r>
      <w:r>
        <w:rPr>
          <w:noProof/>
        </w:rPr>
        <w:t>4</w:t>
      </w:r>
      <w:r>
        <w:fldChar w:fldCharType="end"/>
      </w:r>
      <w:r>
        <w:t xml:space="preserve">). The distributional formulation had the highest within-formulation compactness (0.809), compared with 0.702 for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and 0.680 for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Its mean within-formulation Frobenius distance was also lower, 2.624 versus 3.453 for </w:t>
      </w:r>
      <m:oMath>
        <m:sSub>
          <m:sSubPr>
            <m:ctrlPr>
              <w:rPr>
                <w:rFonts w:ascii="Cambria Math" w:hAnsi="Cambria Math"/>
              </w:rPr>
            </m:ctrlPr>
          </m:sSubPr>
          <m:e>
            <m:r>
              <w:rPr>
                <w:rFonts w:ascii="Cambria Math" w:hAnsi="Cambria Math"/>
              </w:rPr>
              <m:t>δ</m:t>
            </m:r>
          </m:e>
          <m:sub>
            <m:r>
              <m:rPr>
                <m:sty m:val="p"/>
              </m:rPr>
              <w:rPr>
                <w:rFonts w:ascii="Cambria Math" w:hAnsi="Cambria Math"/>
              </w:rPr>
              <m:t>base</m:t>
            </m:r>
          </m:sub>
        </m:sSub>
      </m:oMath>
      <w:r>
        <w:t xml:space="preserve"> and 3.668 for </w:t>
      </w:r>
      <m:oMath>
        <m:sSub>
          <m:sSubPr>
            <m:ctrlPr>
              <w:rPr>
                <w:rFonts w:ascii="Cambria Math" w:hAnsi="Cambria Math"/>
              </w:rPr>
            </m:ctrlPr>
          </m:sSubPr>
          <m:e>
            <m:r>
              <w:rPr>
                <w:rFonts w:ascii="Cambria Math" w:hAnsi="Cambria Math"/>
              </w:rPr>
              <m:t>δ</m:t>
            </m:r>
          </m:e>
          <m:sub>
            <m:r>
              <m:rPr>
                <m:sty m:val="p"/>
              </m:rPr>
              <w:rPr>
                <w:rFonts w:ascii="Cambria Math" w:hAnsi="Cambria Math"/>
              </w:rPr>
              <m:t>mcd</m:t>
            </m:r>
          </m:sub>
        </m:sSub>
      </m:oMath>
      <w:r>
        <w:t xml:space="preserve">. Intermodel similarity remained substantial, so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occupied the same broad relationship structure shared across formulations. The spatial maps of distributional parameter means provide descriptive spatial context for these learned parameter fields (Figure </w:t>
      </w:r>
      <w:r>
        <w:fldChar w:fldCharType="begin"/>
      </w:r>
      <w:r>
        <w:instrText xml:space="preserve"> REF fig5 \h </w:instrText>
      </w:r>
      <w:r>
        <w:fldChar w:fldCharType="separate"/>
      </w:r>
      <w:r>
        <w:rPr>
          <w:noProof/>
        </w:rPr>
        <w:t>5</w:t>
      </w:r>
      <w:r>
        <w:fldChar w:fldCharType="end"/>
      </w:r>
      <w:r>
        <w:t>). Several maps showed regional organization in snow, storage, recession, and routing parameters, including contrasts between western mountainous regions, arid basins, and humid eastern basins.</w:t>
      </w:r>
    </w:p>
    <w:p w14:paraId="67278249" w14:textId="77777777" w:rsidR="00931732" w:rsidRDefault="00931732" w:rsidP="00931732">
      <w:pPr>
        <w:ind w:firstLine="480"/>
      </w:pPr>
      <w:r>
        <w:t xml:space="preserve">[Figure </w:t>
      </w:r>
      <w:r>
        <w:fldChar w:fldCharType="begin"/>
      </w:r>
      <w:r>
        <w:instrText xml:space="preserve"> REF fig5 \h </w:instrText>
      </w:r>
      <w:r>
        <w:fldChar w:fldCharType="separate"/>
      </w:r>
      <w:r>
        <w:rPr>
          <w:noProof/>
        </w:rPr>
        <w:t>5</w:t>
      </w:r>
      <w:r>
        <w:fldChar w:fldCharType="end"/>
      </w:r>
      <w:r>
        <w:t xml:space="preserve"> insert here]</w:t>
      </w:r>
    </w:p>
    <w:p w14:paraId="71BE0747" w14:textId="77777777" w:rsidR="00931732" w:rsidRDefault="00931732" w:rsidP="00931732">
      <w:pPr>
        <w:pStyle w:val="FigureTableCaption"/>
        <w:ind w:firstLine="480"/>
      </w:pPr>
      <w:r>
        <w:t xml:space="preserve">Figure </w:t>
      </w:r>
      <w:bookmarkStart w:id="8" w:name="fig5"/>
      <w:r>
        <w:fldChar w:fldCharType="begin"/>
      </w:r>
      <w:r>
        <w:instrText xml:space="preserve"> SEQ Figure \r 5 \* ARABIC </w:instrText>
      </w:r>
      <w:r>
        <w:fldChar w:fldCharType="separate"/>
      </w:r>
      <w:r>
        <w:rPr>
          <w:noProof/>
        </w:rPr>
        <w:t>5</w:t>
      </w:r>
      <w:r>
        <w:fldChar w:fldCharType="end"/>
      </w:r>
      <w:bookmarkEnd w:id="8"/>
      <w:r>
        <w:t xml:space="preserve">. Spatial organization of distributional HBV parameter means. Maps show seed-averaged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means for 14 HBV and routing parameters across the 531 </w:t>
      </w:r>
      <w:r>
        <w:lastRenderedPageBreak/>
        <w:t>CAMELS-US basins under the reference hybrid loss. Each panel uses the physical search range of its own parameter, so color scales should be read within panels rather than compared directly across parameters. The maps provide a descriptive spatial check on the learned field and motivate the subsequent attribute-gradient analyses; they are not a standalone spatial significance test.</w:t>
      </w:r>
    </w:p>
    <w:p w14:paraId="222A2A0D" w14:textId="77777777" w:rsidR="00931732" w:rsidRDefault="00931732" w:rsidP="00931732">
      <w:pPr>
        <w:pStyle w:val="2"/>
      </w:pPr>
      <w:r>
        <w:rPr>
          <w:rFonts w:ascii="Times New Roman" w:eastAsia="Times New Roman" w:hAnsi="Times New Roman" w:cs="Times New Roman"/>
        </w:rPr>
        <w:t>3.4 Environmental gradients of distributional parameter means and uncertainties</w:t>
      </w:r>
    </w:p>
    <w:p w14:paraId="469C06EB" w14:textId="77777777" w:rsidR="00931732" w:rsidRDefault="00931732" w:rsidP="00931732">
      <w:pPr>
        <w:ind w:firstLine="480"/>
      </w:pPr>
      <w:r>
        <w:t xml:space="preserve">Distributional parameter means expressed several dominant controls as environmental gradients (Figures </w:t>
      </w:r>
      <w:r>
        <w:fldChar w:fldCharType="begin"/>
      </w:r>
      <w:r>
        <w:instrText xml:space="preserve"> REF fig8 \h </w:instrText>
      </w:r>
      <w:r>
        <w:fldChar w:fldCharType="separate"/>
      </w:r>
      <w:r>
        <w:rPr>
          <w:noProof/>
        </w:rPr>
        <w:t>8</w:t>
      </w:r>
      <w:r>
        <w:fldChar w:fldCharType="end"/>
      </w:r>
      <w:r>
        <w:t xml:space="preserve"> and </w:t>
      </w:r>
      <w:r>
        <w:fldChar w:fldCharType="begin"/>
      </w:r>
      <w:r>
        <w:instrText xml:space="preserve"> REF fig9 \h </w:instrText>
      </w:r>
      <w:r>
        <w:fldChar w:fldCharType="separate"/>
      </w:r>
      <w:r>
        <w:rPr>
          <w:noProof/>
        </w:rPr>
        <w:t>9</w:t>
      </w:r>
      <w:r>
        <w:fldChar w:fldCharType="end"/>
      </w:r>
      <w:r>
        <w:t xml:space="preserve">; Table </w:t>
      </w:r>
      <w:r>
        <w:fldChar w:fldCharType="begin"/>
      </w:r>
      <w:r>
        <w:instrText xml:space="preserve"> REF tbl5 \h </w:instrText>
      </w:r>
      <w:r>
        <w:fldChar w:fldCharType="separate"/>
      </w:r>
      <w:r>
        <w:rPr>
          <w:noProof/>
        </w:rPr>
        <w:t>5</w:t>
      </w:r>
      <w:r>
        <w:fldChar w:fldCharType="end"/>
      </w:r>
      <w:r>
        <w:t xml:space="preserve">). In the tercile summaries, </w:t>
      </w:r>
      <m:oMath>
        <m:r>
          <m:rPr>
            <m:sty m:val="p"/>
          </m:rPr>
          <w:rPr>
            <w:rFonts w:ascii="Cambria Math" w:hAnsi="Cambria Math"/>
          </w:rPr>
          <m:t>BETA</m:t>
        </m:r>
      </m:oMath>
      <w:r>
        <w:t xml:space="preserve"> decreased with slope, </w:t>
      </w:r>
      <m:oMath>
        <m:r>
          <m:rPr>
            <m:sty m:val="p"/>
          </m:rPr>
          <w:rPr>
            <w:rFonts w:ascii="Cambria Math" w:hAnsi="Cambria Math"/>
          </w:rPr>
          <m:t>FC</m:t>
        </m:r>
      </m:oMath>
      <w:r>
        <w:t xml:space="preserve"> increased with PET, </w:t>
      </w:r>
      <m:oMath>
        <m:r>
          <m:rPr>
            <m:sty m:val="p"/>
          </m:rPr>
          <w:rPr>
            <w:rFonts w:ascii="Cambria Math" w:hAnsi="Cambria Math"/>
          </w:rPr>
          <m:t>PERC</m:t>
        </m:r>
      </m:oMath>
      <w:r>
        <w:t xml:space="preserve"> decreased with aridity, and </w:t>
      </w:r>
      <m:oMath>
        <m:r>
          <m:rPr>
            <m:sty m:val="p"/>
          </m:rPr>
          <w:rPr>
            <w:rFonts w:ascii="Cambria Math" w:hAnsi="Cambria Math"/>
          </w:rPr>
          <m:t>UZL</m:t>
        </m:r>
      </m:oMath>
      <w:r>
        <w:t xml:space="preserve"> increased with soil conductivity (Figure </w:t>
      </w:r>
      <w:r>
        <w:fldChar w:fldCharType="begin"/>
      </w:r>
      <w:r>
        <w:instrText xml:space="preserve"> REF fig8 \h </w:instrText>
      </w:r>
      <w:r>
        <w:fldChar w:fldCharType="separate"/>
      </w:r>
      <w:r>
        <w:rPr>
          <w:noProof/>
        </w:rPr>
        <w:t>8</w:t>
      </w:r>
      <w:r>
        <w:fldChar w:fldCharType="end"/>
      </w:r>
      <w:r>
        <w:t xml:space="preserve">). The corresponding high-minus-low median differences were -0.40 for </w:t>
      </w:r>
      <m:oMath>
        <m:r>
          <m:rPr>
            <m:sty m:val="p"/>
          </m:rPr>
          <w:rPr>
            <w:rFonts w:ascii="Cambria Math" w:hAnsi="Cambria Math"/>
          </w:rPr>
          <m:t>BETA</m:t>
        </m:r>
      </m:oMath>
      <w:r>
        <w:t xml:space="preserve"> across slope terciles, +0.20 for </w:t>
      </w:r>
      <m:oMath>
        <m:r>
          <m:rPr>
            <m:sty m:val="p"/>
          </m:rPr>
          <w:rPr>
            <w:rFonts w:ascii="Cambria Math" w:hAnsi="Cambria Math"/>
          </w:rPr>
          <m:t>FC</m:t>
        </m:r>
      </m:oMath>
      <w:r>
        <w:t xml:space="preserve"> across PET terciles, -0.23 for </w:t>
      </w:r>
      <m:oMath>
        <m:r>
          <m:rPr>
            <m:sty m:val="p"/>
          </m:rPr>
          <w:rPr>
            <w:rFonts w:ascii="Cambria Math" w:hAnsi="Cambria Math"/>
          </w:rPr>
          <m:t>PERC</m:t>
        </m:r>
      </m:oMath>
      <w:r>
        <w:t xml:space="preserve"> across aridity terciles, and +0.26 for </w:t>
      </w:r>
      <m:oMath>
        <m:r>
          <m:rPr>
            <m:sty m:val="p"/>
          </m:rPr>
          <w:rPr>
            <w:rFonts w:ascii="Cambria Math" w:hAnsi="Cambria Math"/>
          </w:rPr>
          <m:t>UZL</m:t>
        </m:r>
      </m:oMath>
      <w:r>
        <w:t xml:space="preserve"> across soil-conductivity terciles. These four gradients match the dominant distributional relationships shown in Figure </w:t>
      </w:r>
      <w:r>
        <w:fldChar w:fldCharType="begin"/>
      </w:r>
      <w:r>
        <w:instrText xml:space="preserve"> REF fig6 \h </w:instrText>
      </w:r>
      <w:r>
        <w:fldChar w:fldCharType="separate"/>
      </w:r>
      <w:r>
        <w:rPr>
          <w:noProof/>
        </w:rPr>
        <w:t>6</w:t>
      </w:r>
      <w:r>
        <w:fldChar w:fldCharType="end"/>
      </w:r>
      <w:r>
        <w:t xml:space="preserve"> and reported in Table </w:t>
      </w:r>
      <w:r>
        <w:fldChar w:fldCharType="begin"/>
      </w:r>
      <w:r>
        <w:instrText xml:space="preserve"> REF tbl5 \h </w:instrText>
      </w:r>
      <w:r>
        <w:fldChar w:fldCharType="separate"/>
      </w:r>
      <w:r>
        <w:rPr>
          <w:noProof/>
        </w:rPr>
        <w:t>5</w:t>
      </w:r>
      <w:r>
        <w:fldChar w:fldCharType="end"/>
      </w:r>
      <w:r>
        <w:t>.</w:t>
      </w:r>
    </w:p>
    <w:p w14:paraId="6AC2492C" w14:textId="77777777" w:rsidR="00931732" w:rsidRDefault="00931732" w:rsidP="00931732">
      <w:pPr>
        <w:ind w:firstLine="480"/>
      </w:pPr>
      <w:r>
        <w:t xml:space="preserve">[Figure </w:t>
      </w:r>
      <w:r>
        <w:fldChar w:fldCharType="begin"/>
      </w:r>
      <w:r>
        <w:instrText xml:space="preserve"> REF fig8 \h </w:instrText>
      </w:r>
      <w:r>
        <w:fldChar w:fldCharType="separate"/>
      </w:r>
      <w:r>
        <w:rPr>
          <w:noProof/>
        </w:rPr>
        <w:t>8</w:t>
      </w:r>
      <w:r>
        <w:fldChar w:fldCharType="end"/>
      </w:r>
      <w:r>
        <w:t xml:space="preserve"> insert here]</w:t>
      </w:r>
    </w:p>
    <w:p w14:paraId="3A7E1B17" w14:textId="77777777" w:rsidR="00931732" w:rsidRDefault="00931732" w:rsidP="00931732">
      <w:pPr>
        <w:pStyle w:val="FigureTableCaption"/>
        <w:ind w:firstLine="480"/>
      </w:pPr>
      <w:r>
        <w:t xml:space="preserve">Figure </w:t>
      </w:r>
      <w:bookmarkStart w:id="9" w:name="fig8"/>
      <w:r>
        <w:fldChar w:fldCharType="begin"/>
      </w:r>
      <w:r>
        <w:instrText xml:space="preserve"> SEQ Figure \r 8 \* ARABIC </w:instrText>
      </w:r>
      <w:r>
        <w:fldChar w:fldCharType="separate"/>
      </w:r>
      <w:r>
        <w:rPr>
          <w:noProof/>
        </w:rPr>
        <w:t>8</w:t>
      </w:r>
      <w:r>
        <w:fldChar w:fldCharType="end"/>
      </w:r>
      <w:bookmarkEnd w:id="9"/>
      <w:r>
        <w:t>. Key environmental gradients in distributional parameter means and uncertainties. Panels (a)-(f) show selected mean gradients for snow fraction, aridity, slope, soil conductivity, and potential evapotranspiration; panels (g)-(l) show selected uncertainty gradients. Basins are grouped into low, middle, and high attribute terciles, with jittered points and boxplots showing within-group distributions. Annotations report Spearman rho, FDR-adjusted q values, and high-minus-low median differences. These tercile contrasts summarize basin-scale gradients and are not causal tests.</w:t>
      </w:r>
    </w:p>
    <w:p w14:paraId="12E20FBC" w14:textId="77777777" w:rsidR="00931732" w:rsidRDefault="00931732" w:rsidP="00931732">
      <w:pPr>
        <w:ind w:firstLine="480"/>
      </w:pPr>
      <w:r>
        <w:t xml:space="preserve">[Figure </w:t>
      </w:r>
      <w:r>
        <w:fldChar w:fldCharType="begin"/>
      </w:r>
      <w:r>
        <w:instrText xml:space="preserve"> REF fig9 \h </w:instrText>
      </w:r>
      <w:r>
        <w:fldChar w:fldCharType="separate"/>
      </w:r>
      <w:r>
        <w:rPr>
          <w:noProof/>
        </w:rPr>
        <w:t>9</w:t>
      </w:r>
      <w:r>
        <w:fldChar w:fldCharType="end"/>
      </w:r>
      <w:r>
        <w:t xml:space="preserve"> insert here]</w:t>
      </w:r>
    </w:p>
    <w:p w14:paraId="058252A0" w14:textId="77777777" w:rsidR="00931732" w:rsidRDefault="00931732" w:rsidP="00931732">
      <w:pPr>
        <w:pStyle w:val="FigureTableCaption"/>
        <w:ind w:firstLine="480"/>
      </w:pPr>
      <w:r>
        <w:t xml:space="preserve">Figure </w:t>
      </w:r>
      <w:bookmarkStart w:id="10" w:name="fig9"/>
      <w:r>
        <w:fldChar w:fldCharType="begin"/>
      </w:r>
      <w:r>
        <w:instrText xml:space="preserve"> SEQ Figure \r 9 \* ARABIC </w:instrText>
      </w:r>
      <w:r>
        <w:fldChar w:fldCharType="separate"/>
      </w:r>
      <w:r>
        <w:rPr>
          <w:noProof/>
        </w:rPr>
        <w:t>9</w:t>
      </w:r>
      <w:r>
        <w:fldChar w:fldCharType="end"/>
      </w:r>
      <w:bookmarkEnd w:id="10"/>
      <w:r>
        <w:t>. Detailed distributional parameter-mean gradients. Twenty selected attribute-parameter mean relationships are organized by process group: snow and seasonality, aridity and evapotranspiration, terrain and topography, soil and storage, and routing or extremes. Grey points are individual basins, colored lines show quantile-binned medians, and shaded bands show interquartile ranges. Panel annotations give mean Spearman rho and seed SD for each pair, connecting gradient shape with relationship stability.</w:t>
      </w:r>
    </w:p>
    <w:p w14:paraId="73A887DB" w14:textId="77777777" w:rsidR="00931732" w:rsidRDefault="00931732" w:rsidP="00931732">
      <w:pPr>
        <w:ind w:firstLine="480"/>
      </w:pPr>
      <w:r>
        <w:t xml:space="preserve">[Table </w:t>
      </w:r>
      <w:r>
        <w:fldChar w:fldCharType="begin"/>
      </w:r>
      <w:r>
        <w:instrText xml:space="preserve"> REF tbl5 \h </w:instrText>
      </w:r>
      <w:r>
        <w:fldChar w:fldCharType="separate"/>
      </w:r>
      <w:r>
        <w:rPr>
          <w:noProof/>
        </w:rPr>
        <w:t>5</w:t>
      </w:r>
      <w:r>
        <w:fldChar w:fldCharType="end"/>
      </w:r>
      <w:r>
        <w:t xml:space="preserve"> insert here]</w:t>
      </w:r>
    </w:p>
    <w:p w14:paraId="2370E48E" w14:textId="77777777" w:rsidR="00931732" w:rsidRDefault="00931732" w:rsidP="00931732">
      <w:pPr>
        <w:pStyle w:val="FigureTableCaption"/>
        <w:ind w:firstLine="480"/>
      </w:pPr>
      <w:r>
        <w:t xml:space="preserve">Table </w:t>
      </w:r>
      <w:bookmarkStart w:id="11" w:name="tbl5"/>
      <w:r>
        <w:fldChar w:fldCharType="begin"/>
      </w:r>
      <w:r>
        <w:instrText xml:space="preserve"> SEQ Table \r 5 \* ARABIC </w:instrText>
      </w:r>
      <w:r>
        <w:fldChar w:fldCharType="separate"/>
      </w:r>
      <w:r>
        <w:rPr>
          <w:noProof/>
        </w:rPr>
        <w:t>5</w:t>
      </w:r>
      <w:r>
        <w:fldChar w:fldCharType="end"/>
      </w:r>
      <w:bookmarkEnd w:id="11"/>
      <w:r>
        <w:t>. Selected robust distributional mean gradients</w:t>
      </w:r>
    </w:p>
    <w:p w14:paraId="3CFCE923" w14:textId="77777777" w:rsidR="00931732" w:rsidRDefault="00931732" w:rsidP="00931732">
      <w:pPr>
        <w:ind w:firstLine="480"/>
      </w:pPr>
      <w:r>
        <w:t xml:space="preserve">Snow-related parameter means also showed large environmental gradients in the </w:t>
      </w:r>
      <w:r>
        <w:lastRenderedPageBreak/>
        <w:t xml:space="preserve">distributional formulation. </w:t>
      </w:r>
      <m:oMath>
        <m:r>
          <m:rPr>
            <m:sty m:val="p"/>
          </m:rPr>
          <w:rPr>
            <w:rFonts w:ascii="Cambria Math" w:hAnsi="Cambria Math"/>
          </w:rPr>
          <m:t>CWH</m:t>
        </m:r>
      </m:oMath>
      <w:r>
        <w:t xml:space="preserve"> decreased with snow fraction, with Spearman </w:t>
      </w:r>
      <m:oMath>
        <m:r>
          <w:rPr>
            <w:rFonts w:ascii="Cambria Math" w:hAnsi="Cambria Math"/>
          </w:rPr>
          <m:t>ρ</m:t>
        </m:r>
        <m:r>
          <m:rPr>
            <m:sty m:val="p"/>
          </m:rPr>
          <w:rPr>
            <w:rFonts w:ascii="Cambria Math" w:hAnsi="Cambria Math"/>
          </w:rPr>
          <m:t>=-</m:t>
        </m:r>
        <m:r>
          <w:rPr>
            <w:rFonts w:ascii="Cambria Math" w:hAnsi="Cambria Math"/>
          </w:rPr>
          <m:t>0.90</m:t>
        </m:r>
      </m:oMath>
      <w:r>
        <w:t xml:space="preserve"> and a high-minus-low median difference of -0.34. </w:t>
      </w:r>
      <m:oMath>
        <m:r>
          <m:rPr>
            <m:sty m:val="p"/>
          </m:rPr>
          <w:rPr>
            <w:rFonts w:ascii="Cambria Math" w:hAnsi="Cambria Math"/>
          </w:rPr>
          <m:t>CFR</m:t>
        </m:r>
      </m:oMath>
      <w:r>
        <w:t xml:space="preserve"> also decreased with snow fraction, with </w:t>
      </w:r>
      <m:oMath>
        <m:r>
          <w:rPr>
            <w:rFonts w:ascii="Cambria Math" w:hAnsi="Cambria Math"/>
          </w:rPr>
          <m:t>ρ</m:t>
        </m:r>
        <m:r>
          <m:rPr>
            <m:sty m:val="p"/>
          </m:rPr>
          <w:rPr>
            <w:rFonts w:ascii="Cambria Math" w:hAnsi="Cambria Math"/>
          </w:rPr>
          <m:t>=-</m:t>
        </m:r>
        <m:r>
          <w:rPr>
            <w:rFonts w:ascii="Cambria Math" w:hAnsi="Cambria Math"/>
          </w:rPr>
          <m:t>0.62</m:t>
        </m:r>
      </m:oMath>
      <w:r>
        <w:t xml:space="preserve"> and a high-minus-low difference of -0.08 (Figure </w:t>
      </w:r>
      <w:r>
        <w:fldChar w:fldCharType="begin"/>
      </w:r>
      <w:r>
        <w:instrText xml:space="preserve"> REF fig8 \h </w:instrText>
      </w:r>
      <w:r>
        <w:fldChar w:fldCharType="separate"/>
      </w:r>
      <w:r>
        <w:rPr>
          <w:noProof/>
        </w:rPr>
        <w:t>8</w:t>
      </w:r>
      <w:r>
        <w:fldChar w:fldCharType="end"/>
      </w:r>
      <w:r>
        <w:t xml:space="preserve">). These snow-related relationships were assigned a partially shared, rather than fully shared, cross-formulation evidence class in Table </w:t>
      </w:r>
      <w:r>
        <w:fldChar w:fldCharType="begin"/>
      </w:r>
      <w:r>
        <w:instrText xml:space="preserve"> REF tbl3 \h </w:instrText>
      </w:r>
      <w:r>
        <w:fldChar w:fldCharType="separate"/>
      </w:r>
      <w:r>
        <w:rPr>
          <w:noProof/>
        </w:rPr>
        <w:t>3</w:t>
      </w:r>
      <w:r>
        <w:fldChar w:fldCharType="end"/>
      </w:r>
      <w:r>
        <w:t>. The snow-related tercile panels therefore provide distributional-gradient evidence, while the cross-formulation classification remains more conservative.</w:t>
      </w:r>
    </w:p>
    <w:p w14:paraId="4D88BD7A" w14:textId="77777777" w:rsidR="00931732" w:rsidRDefault="00931732" w:rsidP="00931732">
      <w:pPr>
        <w:ind w:firstLine="480"/>
      </w:pPr>
      <w:r>
        <w:t xml:space="preserve">The detailed gradient panels in Figure </w:t>
      </w:r>
      <w:r>
        <w:fldChar w:fldCharType="begin"/>
      </w:r>
      <w:r>
        <w:instrText xml:space="preserve"> REF fig9 \h </w:instrText>
      </w:r>
      <w:r>
        <w:fldChar w:fldCharType="separate"/>
      </w:r>
      <w:r>
        <w:rPr>
          <w:noProof/>
        </w:rPr>
        <w:t>9</w:t>
      </w:r>
      <w:r>
        <w:fldChar w:fldCharType="end"/>
      </w:r>
      <w:r>
        <w:t xml:space="preserve"> show that several relationships were monotonic but not strictly linear. The </w:t>
      </w:r>
      <m:oMath>
        <m:r>
          <m:rPr>
            <m:sty m:val="p"/>
          </m:rPr>
          <w:rPr>
            <w:rFonts w:ascii="Cambria Math" w:hAnsi="Cambria Math"/>
          </w:rPr>
          <m:t>CWH</m:t>
        </m:r>
      </m:oMath>
      <w:r>
        <w:t xml:space="preserve">-snow fraction relationship declined sharply at low snow fraction and then flattened. The </w:t>
      </w:r>
      <m:oMath>
        <m:r>
          <m:rPr>
            <m:sty m:val="p"/>
          </m:rPr>
          <w:rPr>
            <w:rFonts w:ascii="Cambria Math" w:hAnsi="Cambria Math"/>
          </w:rPr>
          <m:t>BETA</m:t>
        </m:r>
      </m:oMath>
      <w:r>
        <w:t xml:space="preserve">-slope relationship decreased most strongly from low to moderate slopes, while the </w:t>
      </w:r>
      <m:oMath>
        <m:r>
          <m:rPr>
            <m:sty m:val="p"/>
          </m:rPr>
          <w:rPr>
            <w:rFonts w:ascii="Cambria Math" w:hAnsi="Cambria Math"/>
          </w:rPr>
          <m:t>UZL</m:t>
        </m:r>
      </m:oMath>
      <w:r>
        <w:t xml:space="preserve">-soil conductivity relationship increased across the lower and middle parts of the soil-conductivity range. </w:t>
      </w:r>
      <m:oMath>
        <m:r>
          <m:rPr>
            <m:sty m:val="p"/>
          </m:rPr>
          <w:rPr>
            <w:rFonts w:ascii="Cambria Math" w:hAnsi="Cambria Math"/>
          </w:rPr>
          <m:t>FC</m:t>
        </m:r>
      </m:oMath>
      <w:r>
        <w:t xml:space="preserve"> increased with PET, and </w:t>
      </w:r>
      <m:oMath>
        <m:r>
          <m:rPr>
            <m:sty m:val="p"/>
          </m:rPr>
          <w:rPr>
            <w:rFonts w:ascii="Cambria Math" w:hAnsi="Cambria Math"/>
          </w:rPr>
          <m:t>PERC</m:t>
        </m:r>
      </m:oMath>
      <w:r>
        <w:t xml:space="preserve"> decreased with aridity but showed local variation in the binned median curve. Additional panels in Figure </w:t>
      </w:r>
      <w:r>
        <w:fldChar w:fldCharType="begin"/>
      </w:r>
      <w:r>
        <w:instrText xml:space="preserve"> REF fig9 \h </w:instrText>
      </w:r>
      <w:r>
        <w:fldChar w:fldCharType="separate"/>
      </w:r>
      <w:r>
        <w:rPr>
          <w:noProof/>
        </w:rPr>
        <w:t>9</w:t>
      </w:r>
      <w:r>
        <w:fldChar w:fldCharType="end"/>
      </w:r>
      <w:r>
        <w:t xml:space="preserve"> showed secondary gradients for </w:t>
      </w:r>
      <m:oMath>
        <m:sSub>
          <m:sSubPr>
            <m:ctrlPr>
              <w:rPr>
                <w:rFonts w:ascii="Cambria Math" w:hAnsi="Cambria Math"/>
              </w:rPr>
            </m:ctrlPr>
          </m:sSubPr>
          <m:e>
            <m:r>
              <m:rPr>
                <m:sty m:val="p"/>
              </m:rPr>
              <w:rPr>
                <w:rFonts w:ascii="Cambria Math" w:hAnsi="Cambria Math"/>
              </w:rPr>
              <m:t>K</m:t>
            </m:r>
          </m:e>
          <m:sub>
            <m:r>
              <w:rPr>
                <w:rFonts w:ascii="Cambria Math" w:hAnsi="Cambria Math"/>
              </w:rPr>
              <m:t>1</m:t>
            </m:r>
          </m:sub>
        </m:sSub>
      </m:oMath>
      <w:r>
        <w:t xml:space="preserve">, </w:t>
      </w:r>
      <m:oMath>
        <m:sSub>
          <m:sSubPr>
            <m:ctrlPr>
              <w:rPr>
                <w:rFonts w:ascii="Cambria Math" w:hAnsi="Cambria Math"/>
              </w:rPr>
            </m:ctrlPr>
          </m:sSubPr>
          <m:e>
            <m:r>
              <m:rPr>
                <m:sty m:val="p"/>
              </m:rPr>
              <w:rPr>
                <w:rFonts w:ascii="Cambria Math" w:hAnsi="Cambria Math"/>
              </w:rPr>
              <m:t>K</m:t>
            </m:r>
          </m:e>
          <m:sub>
            <m:r>
              <w:rPr>
                <w:rFonts w:ascii="Cambria Math" w:hAnsi="Cambria Math"/>
              </w:rPr>
              <m:t>2</m:t>
            </m:r>
          </m:sub>
        </m:sSub>
      </m:oMath>
      <w:r>
        <w:t xml:space="preserve">, </w:t>
      </w:r>
      <m:oMath>
        <m:sSub>
          <m:sSubPr>
            <m:ctrlPr>
              <w:rPr>
                <w:rFonts w:ascii="Cambria Math" w:hAnsi="Cambria Math"/>
              </w:rPr>
            </m:ctrlPr>
          </m:sSubPr>
          <m:e>
            <m:r>
              <m:rPr>
                <m:sty m:val="p"/>
              </m:rPr>
              <w:rPr>
                <w:rFonts w:ascii="Cambria Math" w:hAnsi="Cambria Math"/>
              </w:rPr>
              <m:t>UH</m:t>
            </m:r>
          </m:e>
          <m:sub>
            <m:r>
              <w:rPr>
                <w:rFonts w:ascii="Cambria Math" w:hAnsi="Cambria Math"/>
              </w:rPr>
              <m:t>b</m:t>
            </m:r>
          </m:sub>
        </m:sSub>
      </m:oMath>
      <w:r>
        <w:t xml:space="preserve">, and </w:t>
      </w:r>
      <m:oMath>
        <m:r>
          <m:rPr>
            <m:sty m:val="p"/>
          </m:rPr>
          <w:rPr>
            <w:rFonts w:ascii="Cambria Math" w:hAnsi="Cambria Math"/>
          </w:rPr>
          <m:t>TT</m:t>
        </m:r>
      </m:oMath>
      <w:r>
        <w:t>. These panels provide detailed visual support for the rank-based and tercile summaries, including relationships that were weaker or less consistently classified across formulations.</w:t>
      </w:r>
    </w:p>
    <w:p w14:paraId="11D9E264" w14:textId="77777777" w:rsidR="00931732" w:rsidRDefault="00931732" w:rsidP="00931732">
      <w:pPr>
        <w:ind w:firstLine="480"/>
      </w:pPr>
      <w:r>
        <w:t xml:space="preserve">Distributional parameter uncertainties also varied along basin attributes (Figures </w:t>
      </w:r>
      <w:r>
        <w:fldChar w:fldCharType="begin"/>
      </w:r>
      <w:r>
        <w:instrText xml:space="preserve"> REF fig7 \h </w:instrText>
      </w:r>
      <w:r>
        <w:fldChar w:fldCharType="separate"/>
      </w:r>
      <w:r>
        <w:rPr>
          <w:noProof/>
        </w:rPr>
        <w:t>7</w:t>
      </w:r>
      <w:r>
        <w:fldChar w:fldCharType="end"/>
      </w:r>
      <w:r>
        <w:t xml:space="preserve">, </w:t>
      </w:r>
      <w:r>
        <w:fldChar w:fldCharType="begin"/>
      </w:r>
      <w:r>
        <w:instrText xml:space="preserve"> REF fig8 \h </w:instrText>
      </w:r>
      <w:r>
        <w:fldChar w:fldCharType="separate"/>
      </w:r>
      <w:r>
        <w:rPr>
          <w:noProof/>
        </w:rPr>
        <w:t>8</w:t>
      </w:r>
      <w:r>
        <w:fldChar w:fldCharType="end"/>
      </w:r>
      <w:r>
        <w:t xml:space="preserve">, and </w:t>
      </w:r>
      <w:r>
        <w:fldChar w:fldCharType="begin"/>
      </w:r>
      <w:r>
        <w:instrText xml:space="preserve"> REF fig10 \h </w:instrText>
      </w:r>
      <w:r>
        <w:fldChar w:fldCharType="separate"/>
      </w:r>
      <w:r>
        <w:rPr>
          <w:noProof/>
        </w:rPr>
        <w:t>10</w:t>
      </w:r>
      <w:r>
        <w:fldChar w:fldCharType="end"/>
      </w:r>
      <w:r>
        <w:t xml:space="preserve">; Table </w:t>
      </w:r>
      <w:r>
        <w:fldChar w:fldCharType="begin"/>
      </w:r>
      <w:r>
        <w:instrText xml:space="preserve"> REF tbl6 \h </w:instrText>
      </w:r>
      <w:r>
        <w:fldChar w:fldCharType="separate"/>
      </w:r>
      <w:r>
        <w:rPr>
          <w:noProof/>
        </w:rPr>
        <w:t>6</w:t>
      </w:r>
      <w:r>
        <w:fldChar w:fldCharType="end"/>
      </w:r>
      <w:r>
        <w:t xml:space="preserve">). The clearest tercile examples were associated with snow-related uncertainty. In Figure </w:t>
      </w:r>
      <w:r>
        <w:fldChar w:fldCharType="begin"/>
      </w:r>
      <w:r>
        <w:instrText xml:space="preserve"> REF fig8 \h </w:instrText>
      </w:r>
      <w:r>
        <w:fldChar w:fldCharType="separate"/>
      </w:r>
      <w:r>
        <w:rPr>
          <w:noProof/>
        </w:rPr>
        <w:t>8</w:t>
      </w:r>
      <w:r>
        <w:fldChar w:fldCharType="end"/>
      </w:r>
      <w:r>
        <w:t xml:space="preserve">, </w:t>
      </w:r>
      <m:oMath>
        <m:r>
          <m:rPr>
            <m:sty m:val="p"/>
          </m:rPr>
          <w:rPr>
            <w:rFonts w:ascii="Cambria Math" w:hAnsi="Cambria Math"/>
          </w:rPr>
          <m:t>CFMAX</m:t>
        </m:r>
      </m:oMath>
      <w:r>
        <w:t xml:space="preserve"> standard deviation decreased with snow fraction, with </w:t>
      </w:r>
      <m:oMath>
        <m:r>
          <w:rPr>
            <w:rFonts w:ascii="Cambria Math" w:hAnsi="Cambria Math"/>
          </w:rPr>
          <m:t>ρ</m:t>
        </m:r>
        <m:r>
          <m:rPr>
            <m:sty m:val="p"/>
          </m:rPr>
          <w:rPr>
            <w:rFonts w:ascii="Cambria Math" w:hAnsi="Cambria Math"/>
          </w:rPr>
          <m:t>=-</m:t>
        </m:r>
        <m:r>
          <w:rPr>
            <w:rFonts w:ascii="Cambria Math" w:hAnsi="Cambria Math"/>
          </w:rPr>
          <m:t>0.92</m:t>
        </m:r>
      </m:oMath>
      <w:r>
        <w:t xml:space="preserve"> and a high-minus-low median difference of -0.04. </w:t>
      </w:r>
      <m:oMath>
        <m:r>
          <m:rPr>
            <m:sty m:val="p"/>
          </m:rPr>
          <w:rPr>
            <w:rFonts w:ascii="Cambria Math" w:hAnsi="Cambria Math"/>
          </w:rPr>
          <m:t>TT</m:t>
        </m:r>
      </m:oMath>
      <w:r>
        <w:t xml:space="preserve"> standard deviation also decreased with snow fraction, with </w:t>
      </w:r>
      <m:oMath>
        <m:r>
          <w:rPr>
            <w:rFonts w:ascii="Cambria Math" w:hAnsi="Cambria Math"/>
          </w:rPr>
          <m:t>ρ</m:t>
        </m:r>
        <m:r>
          <m:rPr>
            <m:sty m:val="p"/>
          </m:rPr>
          <w:rPr>
            <w:rFonts w:ascii="Cambria Math" w:hAnsi="Cambria Math"/>
          </w:rPr>
          <m:t>=-</m:t>
        </m:r>
        <m:r>
          <w:rPr>
            <w:rFonts w:ascii="Cambria Math" w:hAnsi="Cambria Math"/>
          </w:rPr>
          <m:t>0.91</m:t>
        </m:r>
      </m:oMath>
      <w:r>
        <w:t xml:space="preserve"> and a high-minus-low difference of -0.09. Figure </w:t>
      </w:r>
      <w:r>
        <w:fldChar w:fldCharType="begin"/>
      </w:r>
      <w:r>
        <w:instrText xml:space="preserve"> REF fig10 \h </w:instrText>
      </w:r>
      <w:r>
        <w:fldChar w:fldCharType="separate"/>
      </w:r>
      <w:r>
        <w:rPr>
          <w:noProof/>
        </w:rPr>
        <w:t>10</w:t>
      </w:r>
      <w:r>
        <w:fldChar w:fldCharType="end"/>
      </w:r>
      <w:r>
        <w:t xml:space="preserve"> shows similar declining snow-fraction gradients for snow-related uncertainty fields, including </w:t>
      </w:r>
      <m:oMath>
        <m:r>
          <m:rPr>
            <m:sty m:val="p"/>
          </m:rPr>
          <w:rPr>
            <w:rFonts w:ascii="Cambria Math" w:hAnsi="Cambria Math"/>
          </w:rPr>
          <m:t>CFMAX</m:t>
        </m:r>
      </m:oMath>
      <w:r>
        <w:t xml:space="preserve">, </w:t>
      </w:r>
      <m:oMath>
        <m:r>
          <m:rPr>
            <m:sty m:val="p"/>
          </m:rPr>
          <w:rPr>
            <w:rFonts w:ascii="Cambria Math" w:hAnsi="Cambria Math"/>
          </w:rPr>
          <m:t>TT</m:t>
        </m:r>
      </m:oMath>
      <w:r>
        <w:t xml:space="preserve">, and </w:t>
      </w:r>
      <m:oMath>
        <m:r>
          <m:rPr>
            <m:sty m:val="p"/>
          </m:rPr>
          <w:rPr>
            <w:rFonts w:ascii="Cambria Math" w:hAnsi="Cambria Math"/>
          </w:rPr>
          <m:t>CWH</m:t>
        </m:r>
      </m:oMath>
      <w:r>
        <w:t xml:space="preserve">. The uncertainty gradients in Figure </w:t>
      </w:r>
      <w:r>
        <w:fldChar w:fldCharType="begin"/>
      </w:r>
      <w:r>
        <w:instrText xml:space="preserve"> REF fig10 \h </w:instrText>
      </w:r>
      <w:r>
        <w:fldChar w:fldCharType="separate"/>
      </w:r>
      <w:r>
        <w:rPr>
          <w:noProof/>
        </w:rPr>
        <w:t>10</w:t>
      </w:r>
      <w:r>
        <w:fldChar w:fldCharType="end"/>
      </w:r>
      <w:r>
        <w:t xml:space="preserve"> also included associations with aridity, slope, soil conductivity, vegetation, and soil-depth attributes.</w:t>
      </w:r>
    </w:p>
    <w:p w14:paraId="6ECECD79" w14:textId="77777777" w:rsidR="00931732" w:rsidRDefault="00931732" w:rsidP="00931732">
      <w:pPr>
        <w:ind w:firstLine="480"/>
      </w:pPr>
      <w:r>
        <w:t xml:space="preserve">[Figure </w:t>
      </w:r>
      <w:r>
        <w:fldChar w:fldCharType="begin"/>
      </w:r>
      <w:r>
        <w:instrText xml:space="preserve"> REF fig7 \h </w:instrText>
      </w:r>
      <w:r>
        <w:fldChar w:fldCharType="separate"/>
      </w:r>
      <w:r>
        <w:rPr>
          <w:noProof/>
        </w:rPr>
        <w:t>7</w:t>
      </w:r>
      <w:r>
        <w:fldChar w:fldCharType="end"/>
      </w:r>
      <w:r>
        <w:t xml:space="preserve"> insert here]</w:t>
      </w:r>
    </w:p>
    <w:p w14:paraId="0EAD8F2D" w14:textId="77777777" w:rsidR="00931732" w:rsidRDefault="00931732" w:rsidP="00931732">
      <w:pPr>
        <w:pStyle w:val="FigureTableCaption"/>
        <w:ind w:firstLine="480"/>
      </w:pPr>
      <w:r>
        <w:t xml:space="preserve">Figure </w:t>
      </w:r>
      <w:bookmarkStart w:id="12" w:name="fig7"/>
      <w:r>
        <w:fldChar w:fldCharType="begin"/>
      </w:r>
      <w:r>
        <w:instrText xml:space="preserve"> SEQ Figure \r 7 \* ARABIC </w:instrText>
      </w:r>
      <w:r>
        <w:fldChar w:fldCharType="separate"/>
      </w:r>
      <w:r>
        <w:rPr>
          <w:noProof/>
        </w:rPr>
        <w:t>7</w:t>
      </w:r>
      <w:r>
        <w:fldChar w:fldCharType="end"/>
      </w:r>
      <w:bookmarkEnd w:id="12"/>
      <w:r>
        <w:t xml:space="preserve">. Distributional parameter-uncertainty relationships and diagnostics. Panel (a) shows Spearman correlations between normalized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parameter standard deviations and basin attributes, using the same color and size encoding as the mean-relationship matrix. Panel (b) summarizes parameter-level uncertainty-structure strength, and panel (c) compares mean-standard deviation coupling with boundary sensitivity. Grey caution markers identify strong uncertainty relationships affected by these diagnostics, so the figure treats uncertainty gradients as structured diagnostic signals rather than calibrated posterior uncertainty.</w:t>
      </w:r>
    </w:p>
    <w:p w14:paraId="335A5A56" w14:textId="77777777" w:rsidR="00931732" w:rsidRDefault="00931732" w:rsidP="00931732">
      <w:pPr>
        <w:ind w:firstLine="480"/>
      </w:pPr>
      <w:r>
        <w:t xml:space="preserve">[Figure </w:t>
      </w:r>
      <w:r>
        <w:fldChar w:fldCharType="begin"/>
      </w:r>
      <w:r>
        <w:instrText xml:space="preserve"> REF fig10 \h </w:instrText>
      </w:r>
      <w:r>
        <w:fldChar w:fldCharType="separate"/>
      </w:r>
      <w:r>
        <w:rPr>
          <w:noProof/>
        </w:rPr>
        <w:t>10</w:t>
      </w:r>
      <w:r>
        <w:fldChar w:fldCharType="end"/>
      </w:r>
      <w:r>
        <w:t xml:space="preserve"> insert here]</w:t>
      </w:r>
    </w:p>
    <w:p w14:paraId="2C48566E" w14:textId="77777777" w:rsidR="00931732" w:rsidRDefault="00931732" w:rsidP="00931732">
      <w:pPr>
        <w:pStyle w:val="FigureTableCaption"/>
        <w:ind w:firstLine="480"/>
      </w:pPr>
      <w:r>
        <w:lastRenderedPageBreak/>
        <w:t xml:space="preserve">Figure </w:t>
      </w:r>
      <w:bookmarkStart w:id="13" w:name="fig10"/>
      <w:r>
        <w:fldChar w:fldCharType="begin"/>
      </w:r>
      <w:r>
        <w:instrText xml:space="preserve"> SEQ Figure \r 10 \* ARABIC </w:instrText>
      </w:r>
      <w:r>
        <w:fldChar w:fldCharType="separate"/>
      </w:r>
      <w:r>
        <w:rPr>
          <w:noProof/>
        </w:rPr>
        <w:t>10</w:t>
      </w:r>
      <w:r>
        <w:fldChar w:fldCharType="end"/>
      </w:r>
      <w:bookmarkEnd w:id="13"/>
      <w:r>
        <w:t xml:space="preserve">. Detailed distributional parameter-uncertainty gradients. The layout mirrors Figure 9 but uses </w:t>
      </w:r>
      <m:oMath>
        <m:sSub>
          <m:sSubPr>
            <m:ctrlPr>
              <w:rPr>
                <w:rFonts w:ascii="Cambria Math" w:hAnsi="Cambria Math"/>
              </w:rPr>
            </m:ctrlPr>
          </m:sSubPr>
          <m:e>
            <m:r>
              <w:rPr>
                <w:rFonts w:ascii="Cambria Math" w:hAnsi="Cambria Math"/>
              </w:rPr>
              <m:t>δ</m:t>
            </m:r>
          </m:e>
          <m:sub>
            <m:r>
              <m:rPr>
                <m:sty m:val="p"/>
              </m:rPr>
              <w:rPr>
                <w:rFonts w:ascii="Cambria Math" w:hAnsi="Cambria Math"/>
              </w:rPr>
              <m:t>dist</m:t>
            </m:r>
          </m:sub>
        </m:sSub>
      </m:oMath>
      <w:r>
        <w:t xml:space="preserve"> parameter standard deviation, averaged over seeds and losses, as the response variable. Panels show selected uncertainty-attribute relationships across the same process groups using basin points, quantile-binned medians, and interquartile ranges. These gradients show where learned parameter spread is environmentally structured, but interpretation depends on the coupling and boundary diagnostics summarized in Figure 7.</w:t>
      </w:r>
    </w:p>
    <w:p w14:paraId="6E2894D9" w14:textId="77777777" w:rsidR="00931732" w:rsidRDefault="00931732" w:rsidP="00931732">
      <w:pPr>
        <w:ind w:firstLine="480"/>
      </w:pPr>
      <w:r>
        <w:t xml:space="preserve">[Table </w:t>
      </w:r>
      <w:r>
        <w:fldChar w:fldCharType="begin"/>
      </w:r>
      <w:r>
        <w:instrText xml:space="preserve"> REF tbl6 \h </w:instrText>
      </w:r>
      <w:r>
        <w:fldChar w:fldCharType="separate"/>
      </w:r>
      <w:r>
        <w:rPr>
          <w:noProof/>
        </w:rPr>
        <w:t>6</w:t>
      </w:r>
      <w:r>
        <w:fldChar w:fldCharType="end"/>
      </w:r>
      <w:r>
        <w:t xml:space="preserve"> insert here]</w:t>
      </w:r>
    </w:p>
    <w:p w14:paraId="25E32F56" w14:textId="77777777" w:rsidR="00931732" w:rsidRDefault="00931732" w:rsidP="00931732">
      <w:pPr>
        <w:pStyle w:val="FigureTableCaption"/>
        <w:ind w:firstLine="480"/>
      </w:pPr>
      <w:r>
        <w:t xml:space="preserve">Table </w:t>
      </w:r>
      <w:bookmarkStart w:id="14" w:name="tbl6"/>
      <w:r>
        <w:fldChar w:fldCharType="begin"/>
      </w:r>
      <w:r>
        <w:instrText xml:space="preserve"> SEQ Table \r 6 \* ARABIC </w:instrText>
      </w:r>
      <w:r>
        <w:fldChar w:fldCharType="separate"/>
      </w:r>
      <w:r>
        <w:rPr>
          <w:noProof/>
        </w:rPr>
        <w:t>6</w:t>
      </w:r>
      <w:r>
        <w:fldChar w:fldCharType="end"/>
      </w:r>
      <w:bookmarkEnd w:id="14"/>
      <w:r>
        <w:t>. Selected uncertainty gradients and diagnostic flags</w:t>
      </w:r>
    </w:p>
    <w:p w14:paraId="179BBC4E" w14:textId="77777777" w:rsidR="00931732" w:rsidRDefault="00931732" w:rsidP="00931732">
      <w:pPr>
        <w:ind w:firstLine="480"/>
      </w:pPr>
      <w:r>
        <w:t xml:space="preserve">The broader uncertainty matrix in Figure </w:t>
      </w:r>
      <w:r>
        <w:fldChar w:fldCharType="begin"/>
      </w:r>
      <w:r>
        <w:instrText xml:space="preserve"> REF fig7 \h </w:instrText>
      </w:r>
      <w:r>
        <w:fldChar w:fldCharType="separate"/>
      </w:r>
      <w:r>
        <w:rPr>
          <w:noProof/>
        </w:rPr>
        <w:t>7</w:t>
      </w:r>
      <w:r>
        <w:fldChar w:fldCharType="end"/>
      </w:r>
      <w:r>
        <w:t xml:space="preserve"> shows that uncertainty–attribute relationships were structured but uneven in diagnostic clarity. The formal uncertainty-classification diagnostics identified </w:t>
      </w:r>
      <m:oMath>
        <m:r>
          <m:rPr>
            <m:sty m:val="p"/>
          </m:rPr>
          <w:rPr>
            <w:rFonts w:ascii="Cambria Math" w:hAnsi="Cambria Math"/>
          </w:rPr>
          <m:t>CFMAX</m:t>
        </m:r>
      </m:oMath>
      <w:r>
        <w:t xml:space="preserve"> and </w:t>
      </w:r>
      <m:oMath>
        <m:r>
          <m:rPr>
            <m:sty m:val="p"/>
          </m:rPr>
          <w:rPr>
            <w:rFonts w:ascii="Cambria Math" w:hAnsi="Cambria Math"/>
          </w:rPr>
          <m:t>TT</m:t>
        </m:r>
      </m:oMath>
      <w:r>
        <w:t xml:space="preserve"> as the less-confounded uncertainty cases among the selected gradients: </w:t>
      </w:r>
      <m:oMath>
        <m:r>
          <m:rPr>
            <m:sty m:val="p"/>
          </m:rPr>
          <w:rPr>
            <w:rFonts w:ascii="Cambria Math" w:hAnsi="Cambria Math"/>
          </w:rPr>
          <m:t>CFMAX</m:t>
        </m:r>
      </m:oMath>
      <w:r>
        <w:t xml:space="preserve"> standard deviation–snow fraction and </w:t>
      </w:r>
      <m:oMath>
        <m:r>
          <m:rPr>
            <m:sty m:val="p"/>
          </m:rPr>
          <w:rPr>
            <w:rFonts w:ascii="Cambria Math" w:hAnsi="Cambria Math"/>
          </w:rPr>
          <m:t>TT</m:t>
        </m:r>
      </m:oMath>
      <w:r>
        <w:t xml:space="preserve"> standard deviation–snow fraction had low mean–standard deviation coupling and low boundary sensitivity (Figure S15; Table S7). Other selected uncertainty gradients, including </w:t>
      </w:r>
      <m:oMath>
        <m:r>
          <m:rPr>
            <m:sty m:val="p"/>
          </m:rPr>
          <w:rPr>
            <w:rFonts w:ascii="Cambria Math" w:hAnsi="Cambria Math"/>
          </w:rPr>
          <m:t>CWH</m:t>
        </m:r>
      </m:oMath>
      <w:r>
        <w:t xml:space="preserve"> standard deviation–snow fraction, </w:t>
      </w:r>
      <m:oMath>
        <m:r>
          <m:rPr>
            <m:sty m:val="p"/>
          </m:rPr>
          <w:rPr>
            <w:rFonts w:ascii="Cambria Math" w:hAnsi="Cambria Math"/>
          </w:rPr>
          <m:t>PERC</m:t>
        </m:r>
      </m:oMath>
      <w:r>
        <w:t xml:space="preserve"> standard deviation–aridity, </w:t>
      </w:r>
      <m:oMath>
        <m:r>
          <m:rPr>
            <m:sty m:val="p"/>
          </m:rPr>
          <w:rPr>
            <w:rFonts w:ascii="Cambria Math" w:hAnsi="Cambria Math"/>
          </w:rPr>
          <m:t>UZL</m:t>
        </m:r>
      </m:oMath>
      <w:r>
        <w:t xml:space="preserve"> standard deviation–soil conductivity, and </w:t>
      </w:r>
      <m:oMath>
        <m:sSub>
          <m:sSubPr>
            <m:ctrlPr>
              <w:rPr>
                <w:rFonts w:ascii="Cambria Math" w:hAnsi="Cambria Math"/>
              </w:rPr>
            </m:ctrlPr>
          </m:sSubPr>
          <m:e>
            <m:r>
              <m:rPr>
                <m:sty m:val="p"/>
              </m:rPr>
              <w:rPr>
                <w:rFonts w:ascii="Cambria Math" w:hAnsi="Cambria Math"/>
              </w:rPr>
              <m:t>UH</m:t>
            </m:r>
          </m:e>
          <m:sub>
            <m:r>
              <w:rPr>
                <w:rFonts w:ascii="Cambria Math" w:hAnsi="Cambria Math"/>
              </w:rPr>
              <m:t>b</m:t>
            </m:r>
          </m:sub>
        </m:sSub>
      </m:oMath>
      <w:r>
        <w:t xml:space="preserve"> standard deviation–snow fraction, were flagged as mean-coupled and boundary-sensitive. These rows were therefore retained as structured diagnostic patterns rather than interpreted as less-confounded parameter-scale uncertainty signals.</w:t>
      </w:r>
    </w:p>
    <w:p w14:paraId="4C93A971" w14:textId="77777777" w:rsidR="00931732" w:rsidRDefault="00931732" w:rsidP="00931732">
      <w:pPr>
        <w:ind w:firstLine="480"/>
      </w:pPr>
      <w:r>
        <w:t xml:space="preserve">Representative basin cases illustrate how the large-sample gradients appear at the basin scale (Figure </w:t>
      </w:r>
      <w:r>
        <w:fldChar w:fldCharType="begin"/>
      </w:r>
      <w:r>
        <w:instrText xml:space="preserve"> REF fig11 \h </w:instrText>
      </w:r>
      <w:r>
        <w:fldChar w:fldCharType="separate"/>
      </w:r>
      <w:r>
        <w:rPr>
          <w:noProof/>
        </w:rPr>
        <w:t>11</w:t>
      </w:r>
      <w:r>
        <w:fldChar w:fldCharType="end"/>
      </w:r>
      <w:r>
        <w:t xml:space="preserve">). The selected snow, arid, humid, steep, soil/storage, and routing-sensitive basins occupied distinct positions along the full-basin distributions of snow fraction, aridity, slope, soil conductivity, PET, and basin area (Figure </w:t>
      </w:r>
      <w:r>
        <w:fldChar w:fldCharType="begin"/>
      </w:r>
      <w:r>
        <w:instrText xml:space="preserve"> REF fig11 \h </w:instrText>
      </w:r>
      <w:r>
        <w:fldChar w:fldCharType="separate"/>
      </w:r>
      <w:r>
        <w:rPr>
          <w:noProof/>
        </w:rPr>
        <w:t>11</w:t>
      </w:r>
      <w:r>
        <w:fldChar w:fldCharType="end"/>
      </w:r>
      <w:r>
        <w:t xml:space="preserve">b). Their parameter deviations from the all-basin median showed contrasts across snow, production-storage, recession, and routing parameter groups (Figure </w:t>
      </w:r>
      <w:r>
        <w:fldChar w:fldCharType="begin"/>
      </w:r>
      <w:r>
        <w:instrText xml:space="preserve"> REF fig11 \h </w:instrText>
      </w:r>
      <w:r>
        <w:fldChar w:fldCharType="separate"/>
      </w:r>
      <w:r>
        <w:rPr>
          <w:noProof/>
        </w:rPr>
        <w:t>11</w:t>
      </w:r>
      <w:r>
        <w:fldChar w:fldCharType="end"/>
      </w:r>
      <w:r>
        <w:t xml:space="preserve">c). The within-parameter percentile profiles in Figure </w:t>
      </w:r>
      <w:r>
        <w:fldChar w:fldCharType="begin"/>
      </w:r>
      <w:r>
        <w:instrText xml:space="preserve"> REF fig11 \h </w:instrText>
      </w:r>
      <w:r>
        <w:fldChar w:fldCharType="separate"/>
      </w:r>
      <w:r>
        <w:rPr>
          <w:noProof/>
        </w:rPr>
        <w:t>11</w:t>
      </w:r>
      <w:r>
        <w:fldChar w:fldCharType="end"/>
      </w:r>
      <w:r>
        <w:t>d further show that the representative basins differed across the full 14-parameter vector, rather than only in the parameter used to define each case. These basin-level profiles provide examples of how the matrix and gradient summaries appear in individual basins.</w:t>
      </w:r>
    </w:p>
    <w:p w14:paraId="57D83B3A" w14:textId="77777777" w:rsidR="00931732" w:rsidRDefault="00931732" w:rsidP="00931732">
      <w:pPr>
        <w:ind w:firstLine="480"/>
      </w:pPr>
      <w:r>
        <w:t xml:space="preserve">[Figure </w:t>
      </w:r>
      <w:r>
        <w:fldChar w:fldCharType="begin"/>
      </w:r>
      <w:r>
        <w:instrText xml:space="preserve"> REF fig11 \h </w:instrText>
      </w:r>
      <w:r>
        <w:fldChar w:fldCharType="separate"/>
      </w:r>
      <w:r>
        <w:rPr>
          <w:noProof/>
        </w:rPr>
        <w:t>11</w:t>
      </w:r>
      <w:r>
        <w:fldChar w:fldCharType="end"/>
      </w:r>
      <w:r>
        <w:t xml:space="preserve"> insert here]</w:t>
      </w:r>
    </w:p>
    <w:p w14:paraId="1D64FE7B" w14:textId="77777777" w:rsidR="00931732" w:rsidRDefault="00931732" w:rsidP="00931732">
      <w:pPr>
        <w:pStyle w:val="FigureTableCaption"/>
        <w:ind w:firstLine="480"/>
      </w:pPr>
      <w:r>
        <w:t xml:space="preserve">Figure </w:t>
      </w:r>
      <w:bookmarkStart w:id="15" w:name="fig11"/>
      <w:r>
        <w:fldChar w:fldCharType="begin"/>
      </w:r>
      <w:r>
        <w:instrText xml:space="preserve"> SEQ Figure \r 11 \* ARABIC </w:instrText>
      </w:r>
      <w:r>
        <w:fldChar w:fldCharType="separate"/>
      </w:r>
      <w:r>
        <w:rPr>
          <w:noProof/>
        </w:rPr>
        <w:t>11</w:t>
      </w:r>
      <w:r>
        <w:fldChar w:fldCharType="end"/>
      </w:r>
      <w:bookmarkEnd w:id="15"/>
      <w:r>
        <w:t xml:space="preserve">. Representative basin cases and parameter regimes. Panel (a) maps the selected snow, arid, humid, steep, soil/storage, and routing-sensitive case basins. Panel (b) reports attribute percentile ranks for the same cases. Panel (c) compares parameter-mean deviations from the all-basin median, with circle size indicating normalized parameter uncertainty. Panel (d) shows selected case-specific parameter profiles and their NSE and KGE values. The cases illustrate how large-sample </w:t>
      </w:r>
      <w:r>
        <w:lastRenderedPageBreak/>
        <w:t>gradients appear in individual basins and are not used as independent inferential evidence.</w:t>
      </w:r>
    </w:p>
    <w:p w14:paraId="5DF764AB" w14:textId="77777777" w:rsidR="004C0960" w:rsidRDefault="004C0960">
      <w:pPr>
        <w:rPr>
          <w:rFonts w:hint="eastAsia"/>
        </w:rPr>
      </w:pPr>
    </w:p>
    <w:sectPr w:rsidR="004C09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6C916" w14:textId="77777777" w:rsidR="005804A1" w:rsidRDefault="005804A1" w:rsidP="00931732">
      <w:pPr>
        <w:spacing w:after="0" w:line="240" w:lineRule="auto"/>
        <w:rPr>
          <w:rFonts w:hint="eastAsia"/>
        </w:rPr>
      </w:pPr>
      <w:r>
        <w:separator/>
      </w:r>
    </w:p>
  </w:endnote>
  <w:endnote w:type="continuationSeparator" w:id="0">
    <w:p w14:paraId="0A8DCE51" w14:textId="77777777" w:rsidR="005804A1" w:rsidRDefault="005804A1" w:rsidP="0093173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69426" w14:textId="77777777" w:rsidR="005804A1" w:rsidRDefault="005804A1" w:rsidP="00931732">
      <w:pPr>
        <w:spacing w:after="0" w:line="240" w:lineRule="auto"/>
        <w:rPr>
          <w:rFonts w:hint="eastAsia"/>
        </w:rPr>
      </w:pPr>
      <w:r>
        <w:separator/>
      </w:r>
    </w:p>
  </w:footnote>
  <w:footnote w:type="continuationSeparator" w:id="0">
    <w:p w14:paraId="24BFAF9D" w14:textId="77777777" w:rsidR="005804A1" w:rsidRDefault="005804A1" w:rsidP="0093173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67"/>
    <w:rsid w:val="002D75D0"/>
    <w:rsid w:val="003E6969"/>
    <w:rsid w:val="00445F16"/>
    <w:rsid w:val="004C0960"/>
    <w:rsid w:val="005804A1"/>
    <w:rsid w:val="005F0556"/>
    <w:rsid w:val="00901B2E"/>
    <w:rsid w:val="00931732"/>
    <w:rsid w:val="00A91861"/>
    <w:rsid w:val="00BF2EF9"/>
    <w:rsid w:val="00CA5877"/>
    <w:rsid w:val="00D16523"/>
    <w:rsid w:val="00DC3A67"/>
    <w:rsid w:val="00E96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D3EA163-0B19-4476-9FEF-6ED70194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3A6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C3A6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C3A6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C3A6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C3A6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C3A6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C3A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3A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C3A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论文表格"/>
    <w:basedOn w:val="a1"/>
    <w:uiPriority w:val="99"/>
    <w:qFormat/>
    <w:rsid w:val="00901B2E"/>
    <w:pPr>
      <w:spacing w:after="0" w:line="240" w:lineRule="auto"/>
    </w:pPr>
    <w:rPr>
      <w:rFonts w:ascii="Times New Roman" w:eastAsia="宋体" w:hAnsi="Times New Roman" w:cs="Times New Roman"/>
      <w:kern w:val="0"/>
      <w:sz w:val="20"/>
      <w:szCs w:val="20"/>
      <w14:ligatures w14:val="none"/>
    </w:rPr>
    <w:tblPr>
      <w:tblBorders>
        <w:top w:val="single" w:sz="18" w:space="0" w:color="auto"/>
        <w:bottom w:val="single" w:sz="18" w:space="0" w:color="auto"/>
      </w:tblBorders>
    </w:tblPr>
    <w:tcPr>
      <w:vAlign w:val="center"/>
    </w:tcPr>
    <w:tblStylePr w:type="firstRow">
      <w:tblPr/>
      <w:tcPr>
        <w:tcBorders>
          <w:top w:val="single" w:sz="18" w:space="0" w:color="auto"/>
          <w:left w:val="nil"/>
          <w:bottom w:val="single" w:sz="8" w:space="0" w:color="auto"/>
          <w:right w:val="nil"/>
          <w:insideH w:val="nil"/>
          <w:insideV w:val="nil"/>
          <w:tl2br w:val="nil"/>
          <w:tr2bl w:val="nil"/>
        </w:tcBorders>
      </w:tcPr>
    </w:tblStylePr>
  </w:style>
  <w:style w:type="character" w:customStyle="1" w:styleId="10">
    <w:name w:val="标题 1 字符"/>
    <w:basedOn w:val="a0"/>
    <w:link w:val="1"/>
    <w:uiPriority w:val="9"/>
    <w:rsid w:val="00DC3A6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DC3A6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C3A6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C3A67"/>
    <w:rPr>
      <w:rFonts w:cstheme="majorBidi"/>
      <w:color w:val="2F5496" w:themeColor="accent1" w:themeShade="BF"/>
      <w:sz w:val="28"/>
      <w:szCs w:val="28"/>
    </w:rPr>
  </w:style>
  <w:style w:type="character" w:customStyle="1" w:styleId="50">
    <w:name w:val="标题 5 字符"/>
    <w:basedOn w:val="a0"/>
    <w:link w:val="5"/>
    <w:uiPriority w:val="9"/>
    <w:semiHidden/>
    <w:rsid w:val="00DC3A67"/>
    <w:rPr>
      <w:rFonts w:cstheme="majorBidi"/>
      <w:color w:val="2F5496" w:themeColor="accent1" w:themeShade="BF"/>
      <w:sz w:val="24"/>
    </w:rPr>
  </w:style>
  <w:style w:type="character" w:customStyle="1" w:styleId="60">
    <w:name w:val="标题 6 字符"/>
    <w:basedOn w:val="a0"/>
    <w:link w:val="6"/>
    <w:uiPriority w:val="9"/>
    <w:semiHidden/>
    <w:rsid w:val="00DC3A67"/>
    <w:rPr>
      <w:rFonts w:cstheme="majorBidi"/>
      <w:b/>
      <w:bCs/>
      <w:color w:val="2F5496" w:themeColor="accent1" w:themeShade="BF"/>
    </w:rPr>
  </w:style>
  <w:style w:type="character" w:customStyle="1" w:styleId="70">
    <w:name w:val="标题 7 字符"/>
    <w:basedOn w:val="a0"/>
    <w:link w:val="7"/>
    <w:uiPriority w:val="9"/>
    <w:semiHidden/>
    <w:rsid w:val="00DC3A67"/>
    <w:rPr>
      <w:rFonts w:cstheme="majorBidi"/>
      <w:b/>
      <w:bCs/>
      <w:color w:val="595959" w:themeColor="text1" w:themeTint="A6"/>
    </w:rPr>
  </w:style>
  <w:style w:type="character" w:customStyle="1" w:styleId="80">
    <w:name w:val="标题 8 字符"/>
    <w:basedOn w:val="a0"/>
    <w:link w:val="8"/>
    <w:uiPriority w:val="9"/>
    <w:semiHidden/>
    <w:rsid w:val="00DC3A67"/>
    <w:rPr>
      <w:rFonts w:cstheme="majorBidi"/>
      <w:color w:val="595959" w:themeColor="text1" w:themeTint="A6"/>
    </w:rPr>
  </w:style>
  <w:style w:type="character" w:customStyle="1" w:styleId="90">
    <w:name w:val="标题 9 字符"/>
    <w:basedOn w:val="a0"/>
    <w:link w:val="9"/>
    <w:uiPriority w:val="9"/>
    <w:semiHidden/>
    <w:rsid w:val="00DC3A67"/>
    <w:rPr>
      <w:rFonts w:eastAsiaTheme="majorEastAsia" w:cstheme="majorBidi"/>
      <w:color w:val="595959" w:themeColor="text1" w:themeTint="A6"/>
    </w:rPr>
  </w:style>
  <w:style w:type="paragraph" w:styleId="a4">
    <w:name w:val="Title"/>
    <w:basedOn w:val="a"/>
    <w:next w:val="a"/>
    <w:link w:val="a5"/>
    <w:uiPriority w:val="10"/>
    <w:qFormat/>
    <w:rsid w:val="00DC3A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DC3A67"/>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DC3A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DC3A67"/>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DC3A67"/>
    <w:pPr>
      <w:spacing w:before="160"/>
      <w:jc w:val="center"/>
    </w:pPr>
    <w:rPr>
      <w:i/>
      <w:iCs/>
      <w:color w:val="404040" w:themeColor="text1" w:themeTint="BF"/>
    </w:rPr>
  </w:style>
  <w:style w:type="character" w:customStyle="1" w:styleId="a9">
    <w:name w:val="引用 字符"/>
    <w:basedOn w:val="a0"/>
    <w:link w:val="a8"/>
    <w:uiPriority w:val="29"/>
    <w:rsid w:val="00DC3A67"/>
    <w:rPr>
      <w:i/>
      <w:iCs/>
      <w:color w:val="404040" w:themeColor="text1" w:themeTint="BF"/>
    </w:rPr>
  </w:style>
  <w:style w:type="paragraph" w:styleId="aa">
    <w:name w:val="List Paragraph"/>
    <w:basedOn w:val="a"/>
    <w:uiPriority w:val="34"/>
    <w:qFormat/>
    <w:rsid w:val="00DC3A67"/>
    <w:pPr>
      <w:ind w:left="720"/>
      <w:contextualSpacing/>
    </w:pPr>
  </w:style>
  <w:style w:type="character" w:styleId="ab">
    <w:name w:val="Intense Emphasis"/>
    <w:basedOn w:val="a0"/>
    <w:uiPriority w:val="21"/>
    <w:qFormat/>
    <w:rsid w:val="00DC3A67"/>
    <w:rPr>
      <w:i/>
      <w:iCs/>
      <w:color w:val="2F5496" w:themeColor="accent1" w:themeShade="BF"/>
    </w:rPr>
  </w:style>
  <w:style w:type="paragraph" w:styleId="ac">
    <w:name w:val="Intense Quote"/>
    <w:basedOn w:val="a"/>
    <w:next w:val="a"/>
    <w:link w:val="ad"/>
    <w:uiPriority w:val="30"/>
    <w:qFormat/>
    <w:rsid w:val="00DC3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DC3A67"/>
    <w:rPr>
      <w:i/>
      <w:iCs/>
      <w:color w:val="2F5496" w:themeColor="accent1" w:themeShade="BF"/>
    </w:rPr>
  </w:style>
  <w:style w:type="character" w:styleId="ae">
    <w:name w:val="Intense Reference"/>
    <w:basedOn w:val="a0"/>
    <w:uiPriority w:val="32"/>
    <w:qFormat/>
    <w:rsid w:val="00DC3A67"/>
    <w:rPr>
      <w:b/>
      <w:bCs/>
      <w:smallCaps/>
      <w:color w:val="2F5496" w:themeColor="accent1" w:themeShade="BF"/>
      <w:spacing w:val="5"/>
    </w:rPr>
  </w:style>
  <w:style w:type="paragraph" w:styleId="af">
    <w:name w:val="header"/>
    <w:basedOn w:val="a"/>
    <w:link w:val="af0"/>
    <w:uiPriority w:val="99"/>
    <w:unhideWhenUsed/>
    <w:rsid w:val="00931732"/>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931732"/>
    <w:rPr>
      <w:sz w:val="18"/>
      <w:szCs w:val="18"/>
    </w:rPr>
  </w:style>
  <w:style w:type="paragraph" w:styleId="af1">
    <w:name w:val="footer"/>
    <w:basedOn w:val="a"/>
    <w:link w:val="af2"/>
    <w:uiPriority w:val="99"/>
    <w:unhideWhenUsed/>
    <w:rsid w:val="00931732"/>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931732"/>
    <w:rPr>
      <w:sz w:val="18"/>
      <w:szCs w:val="18"/>
    </w:rPr>
  </w:style>
  <w:style w:type="paragraph" w:customStyle="1" w:styleId="FigureTableCaption">
    <w:name w:val="FigureTableCaption"/>
    <w:basedOn w:val="a"/>
    <w:next w:val="a"/>
    <w:uiPriority w:val="30"/>
    <w:qFormat/>
    <w:rsid w:val="00931732"/>
    <w:pPr>
      <w:widowControl/>
      <w:spacing w:before="120" w:after="0" w:line="276" w:lineRule="auto"/>
    </w:pPr>
    <w:rPr>
      <w:rFonts w:ascii="Times New Roman" w:eastAsia="Times New Roman" w:hAnsi="Times New Roman" w:cs="Times New Roman"/>
      <w:kern w:val="0"/>
      <w:sz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3209</Words>
  <Characters>18296</Characters>
  <Application>Microsoft Office Word</Application>
  <DocSecurity>0</DocSecurity>
  <Lines>152</Lines>
  <Paragraphs>42</Paragraphs>
  <ScaleCrop>false</ScaleCrop>
  <Company/>
  <LinksUpToDate>false</LinksUpToDate>
  <CharactersWithSpaces>21463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GG</dc:creator>
  <cp:keywords/>
  <dc:description/>
  <cp:lastModifiedBy>Bo GG</cp:lastModifiedBy>
  <cp:revision>2</cp:revision>
  <dcterms:created xsi:type="dcterms:W3CDTF">2026-05-20T14:41:00Z</dcterms:created>
  <dcterms:modified xsi:type="dcterms:W3CDTF">2026-05-20T14:42:00Z</dcterms:modified>
</cp:coreProperties>
</file>