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CH2 방제취약성지수 산출 및 맞춤형 예산배분 모델링 분석보고서</w:t>
      </w:r>
    </w:p>
    <w:p>
      <w:pPr>
        <w:pStyle w:val="Date"/>
      </w:pPr>
      <w:r>
        <w:t xml:space="preserve">2026-07-30 (v4 — 외부 QA 검토 4건 반영: 누수 수정·2023 제외·평균풍속 재검토·해운대구 검증)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분석-개요"/>
    <w:p>
      <w:pPr>
        <w:pStyle w:val="Heading1"/>
      </w:pPr>
      <w:r>
        <w:t xml:space="preserve">1. 분석 개요</w:t>
      </w:r>
    </w:p>
    <w:p>
      <w:pPr>
        <w:pStyle w:val="FirstParagraph"/>
      </w:pPr>
      <w:r>
        <w:rPr>
          <w:b/>
          <w:bCs/>
        </w:rPr>
        <w:t xml:space="preserve">목적</w:t>
      </w:r>
      <w:r>
        <w:t xml:space="preserve">: 소나무재선충병 방제취약성지수를 산출하고, 이를 바탕으로 맞춤형 예산배분 모형을 구축한다. Model 1(구조적 취약성 진단)과 Model 2(재발위험 조기경보)를 의도적으로 분리한다.</w:t>
      </w:r>
    </w:p>
    <w:p>
      <w:pPr>
        <w:pStyle w:val="BodyText"/>
      </w:pPr>
      <w:r>
        <w:rPr>
          <w:b/>
          <w:bCs/>
        </w:rPr>
        <w:t xml:space="preserve">데이터</w:t>
      </w:r>
      <w:r>
        <w:t xml:space="preserve">: 229개 시군구 × 8개년(2016–2023) 패널.</w:t>
      </w:r>
      <w:r>
        <w:t xml:space="preserve"> </w:t>
      </w:r>
      <w:r>
        <w:rPr>
          <w:rStyle w:val="VerbatimChar"/>
        </w:rPr>
        <w:t xml:space="preserve">CH2_전체병합패널_5도메인_2016_2023_최종보정3.csv</w:t>
      </w:r>
      <w:r>
        <w:t xml:space="preserve">(1,832행 × 98열).</w:t>
      </w:r>
    </w:p>
    <w:p>
      <w:pPr>
        <w:pStyle w:val="BlockText"/>
      </w:pPr>
      <w:r>
        <w:rPr>
          <w:b/>
          <w:bCs/>
        </w:rPr>
        <w:t xml:space="preserve">v4 갱신 사항 — 외부 QA 검토서 4건 재검증 및 반영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Model 2 데이터 누수 수정</w:t>
      </w:r>
      <w:r>
        <w:t xml:space="preserve">:</w:t>
      </w:r>
      <w:r>
        <w:t xml:space="preserve"> </w:t>
      </w:r>
      <w:r>
        <w:rPr>
          <w:rStyle w:val="VerbatimChar"/>
        </w:rPr>
        <w:t xml:space="preserve">_gm</w:t>
      </w:r>
      <w:r>
        <w:t xml:space="preserve">(시군구 평균) 항이 훈련·홀드아웃 분리 이전에 전체기간에서 계산되던 버그를 확인·수정(훈련기간에서만 계산 후 홀드아웃에 고정 적용). 영향은 예상보다 작았다(AUC 0.981→0.976 훈련, 0.962→0.948 홀드아웃).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2023년 데이터 완전성</w:t>
      </w:r>
      <w:r>
        <w:t xml:space="preserve">:</w:t>
      </w:r>
      <w:r>
        <w:t xml:space="preserve"> </w:t>
      </w:r>
      <w:r>
        <w:rPr>
          <w:rStyle w:val="VerbatimChar"/>
        </w:rPr>
        <w:t xml:space="preserve">데이터유형</w:t>
      </w:r>
      <w:r>
        <w:t xml:space="preserve"> </w:t>
      </w:r>
      <w:r>
        <w:t xml:space="preserve">컬럼 확인 결과</w:t>
      </w:r>
      <w:r>
        <w:t xml:space="preserve"> </w:t>
      </w:r>
      <w:r>
        <w:rPr>
          <w:b/>
          <w:bCs/>
        </w:rPr>
        <w:t xml:space="preserve">2016·2023년은</w:t>
      </w:r>
      <w:r>
        <w:rPr>
          <w:b/>
          <w:bCs/>
        </w:rPr>
        <w:t xml:space="preserve"> </w:t>
      </w:r>
      <w:r>
        <w:rPr>
          <w:b/>
          <w:bCs/>
        </w:rPr>
        <w:t xml:space="preserve">“추정”</w:t>
      </w:r>
      <w:r>
        <w:rPr>
          <w:b/>
          <w:bCs/>
        </w:rPr>
        <w:t xml:space="preserve">값</w:t>
      </w:r>
      <w:r>
        <w:t xml:space="preserve">(실측 아님)임을 확인. Model 2 rolling-origin에서 2023을 검증대상으로 쓴 스텝을 제외했다.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평균풍속 재검토</w:t>
      </w:r>
      <w:r>
        <w:t xml:space="preserve">: v3에서</w:t>
      </w:r>
      <w:r>
        <w:t xml:space="preserve"> </w:t>
      </w:r>
      <w:r>
        <w:t xml:space="preserve">“유지”</w:t>
      </w:r>
      <w:r>
        <w:t xml:space="preserve">로 뒤집었던 결정을 다시 검토한 결과, 그 근거였던 Spearman(between)=-0.144가 관측소 대도시권 공유지역(서울/수도권)을 제외하면 완전히 사라짐을 확인(교란효과).</w:t>
      </w:r>
      <w:r>
        <w:t xml:space="preserve"> </w:t>
      </w:r>
      <w:r>
        <w:rPr>
          <w:b/>
          <w:bCs/>
        </w:rPr>
        <w:t xml:space="preserve">평균풍속을 기후위험도 도메인에서 최종 제외</w:t>
      </w:r>
      <w:r>
        <w:t xml:space="preserve">했다(v4).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해운대구 등 도시지역 순위 검증</w:t>
      </w:r>
      <w:r>
        <w:t xml:space="preserve">: 소나무류_면적비율이 전국 5위(31~35%)로 실제 특성임을 확인 — 분모 아티팩트 우려는 기각됐다.</w:t>
      </w:r>
    </w:p>
    <w:p>
      <w:pPr>
        <w:pStyle w:val="BlockText"/>
      </w:pPr>
      <w:r>
        <w:t xml:space="preserve">본 보고서 2~8장 전체가 v4(평균풍속 제외, 누수 수정) 기준으로 통일되어 있다.</w:t>
      </w:r>
    </w:p>
    <w:p>
      <w:pPr>
        <w:pStyle w:val="FirstParagraph"/>
      </w:pPr>
      <w:r>
        <w:rPr>
          <w:b/>
          <w:bCs/>
        </w:rPr>
        <w:t xml:space="preserve">분석 구조</w:t>
      </w:r>
      <w:r>
        <w:t xml:space="preserve">: 표본정의·QA → Model 1(지수산출·모형A) → 배분갭·기여도분해·유형화 → Model 2(조기경보, 누수 수정) → 배분공식 시뮬레이션 → 국가대응수준 보조모형 → 종합결론.</w:t>
      </w:r>
    </w:p>
    <w:p>
      <w:pPr>
        <w:pStyle w:val="BodyText"/>
      </w:pPr>
      <w:r>
        <w:t xml:space="preserve">산출 스크립트:</w:t>
      </w:r>
      <w:r>
        <w:t xml:space="preserve"> </w:t>
      </w:r>
      <w:r>
        <w:rPr>
          <w:rStyle w:val="VerbatimChar"/>
        </w:rPr>
        <w:t xml:space="preserve">fix_climate_domain_qa.py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model1_v4_final.py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model1_windspeed_sensitivity.py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model2_final.py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model_b_stage3_v4.py</w:t>
      </w:r>
      <w:r>
        <w:t xml:space="preserve">,</w:t>
      </w:r>
      <w:r>
        <w:t xml:space="preserve"> </w:t>
      </w:r>
      <w:r>
        <w:rPr>
          <w:rStyle w:val="VerbatimChar"/>
        </w:rPr>
        <w:t xml:space="preserve">national_response_robustness_v4.py</w:t>
      </w:r>
      <w:r>
        <w:t xml:space="preserve">.</w:t>
      </w:r>
    </w:p>
    <w:bookmarkEnd w:id="9"/>
    <w:bookmarkStart w:id="13" w:name="표본-정의-및-qa-검증-이력"/>
    <w:p>
      <w:pPr>
        <w:pStyle w:val="Heading1"/>
      </w:pPr>
      <w:r>
        <w:t xml:space="preserve">2. 표본 정의 및 QA 검증 이력</w:t>
      </w:r>
    </w:p>
    <w:bookmarkStart w:id="10" w:name="표본-정의"/>
    <w:p>
      <w:pPr>
        <w:pStyle w:val="Heading2"/>
      </w:pPr>
      <w:r>
        <w:t xml:space="preserve">2.1 표본 정의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행수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원본</w:t>
            </w:r>
          </w:p>
        </w:tc>
        <w:tc>
          <w:tcPr/>
          <w:p>
            <w:pPr>
              <w:pStyle w:val="Compact"/>
            </w:pPr>
            <w:r>
              <w:t xml:space="preserve">1,832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면적=0 진짜 도심 제외</w:t>
            </w:r>
          </w:p>
        </w:tc>
        <w:tc>
          <w:tcPr/>
          <w:p>
            <w:pPr>
              <w:pStyle w:val="Compact"/>
            </w:pPr>
            <w:r>
              <w:t xml:space="preserve">1,816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임상도 아티팩트 무효구간 제외</w:t>
            </w:r>
          </w:p>
        </w:tc>
        <w:tc>
          <w:tcPr/>
          <w:p>
            <w:pPr>
              <w:pStyle w:val="Compact"/>
            </w:pPr>
            <w:r>
              <w:t xml:space="preserve">1,804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핵심변수 완비</w:t>
            </w:r>
          </w:p>
        </w:tc>
        <w:tc>
          <w:tcPr/>
          <w:p>
            <w:pPr>
              <w:pStyle w:val="Compact"/>
            </w:pPr>
            <w:r>
              <w:t xml:space="preserve">1,749</w:t>
            </w:r>
          </w:p>
        </w:tc>
      </w:tr>
    </w:tbl>
    <w:bookmarkEnd w:id="10"/>
    <w:bookmarkStart w:id="11" w:name="기후위험도-도메인-두-차례-qa로-확정된-최종-구성"/>
    <w:p>
      <w:pPr>
        <w:pStyle w:val="Heading2"/>
      </w:pPr>
      <w:r>
        <w:t xml:space="preserve">2.2 기후위험도 도메인 — 두 차례 QA로 확정된 최종 구성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변수</w:t>
            </w:r>
          </w:p>
        </w:tc>
        <w:tc>
          <w:tcPr/>
          <w:p>
            <w:pPr>
              <w:pStyle w:val="Compact"/>
            </w:pPr>
            <w:r>
              <w:t xml:space="preserve">1차 결정</w:t>
            </w:r>
          </w:p>
        </w:tc>
        <w:tc>
          <w:tcPr/>
          <w:p>
            <w:pPr>
              <w:pStyle w:val="Compact"/>
            </w:pPr>
            <w:r>
              <w:t xml:space="preserve">2차 QA(외부검토)</w:t>
            </w:r>
          </w:p>
        </w:tc>
        <w:tc>
          <w:tcPr/>
          <w:p>
            <w:pPr>
              <w:pStyle w:val="Compact"/>
            </w:pPr>
            <w:r>
              <w:t xml:space="preserve">최종(v4)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SPI3_최저월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ICC≈0, 개념적 결함 확인 →</w:t>
            </w:r>
            <w:r>
              <w:t xml:space="preserve"> </w:t>
            </w:r>
            <w:r>
              <w:rPr>
                <w:b/>
                <w:bCs/>
              </w:rPr>
              <w:t xml:space="preserve">제외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평균풍속</w:t>
            </w:r>
          </w:p>
        </w:tc>
        <w:tc>
          <w:tcPr/>
          <w:p>
            <w:pPr>
              <w:pStyle w:val="Compact"/>
            </w:pPr>
            <w:r>
              <w:t xml:space="preserve">제외/축소 검토</w:t>
            </w:r>
          </w:p>
        </w:tc>
        <w:tc>
          <w:tcPr/>
          <w:p>
            <w:pPr>
              <w:pStyle w:val="Compact"/>
            </w:pPr>
            <w:r>
              <w:t xml:space="preserve">ICC=0.944로</w:t>
            </w:r>
            <w:r>
              <w:t xml:space="preserve"> </w:t>
            </w:r>
            <w:r>
              <w:t xml:space="preserve">“유지”</w:t>
            </w:r>
            <w:r>
              <w:t xml:space="preserve">로 반전 →</w:t>
            </w:r>
            <w:r>
              <w:t xml:space="preserve"> </w:t>
            </w:r>
            <w:r>
              <w:rPr>
                <w:b/>
                <w:bCs/>
              </w:rPr>
              <w:t xml:space="preserve">3차 재검토에서 다시 제외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연강수량, GDD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  <w:tc>
          <w:tcPr/>
          <w:p>
            <w:pPr>
              <w:pStyle w:val="Compact"/>
            </w:pPr>
            <w:r>
              <w:t xml:space="preserve">변동없음</w:t>
            </w:r>
          </w:p>
        </w:tc>
        <w:tc>
          <w:tcPr/>
          <w:p>
            <w:pPr>
              <w:pStyle w:val="Compact"/>
            </w:pPr>
            <w:r>
              <w:t xml:space="preserve">핵심</w:t>
            </w:r>
          </w:p>
        </w:tc>
      </w:tr>
    </w:tbl>
    <w:p>
      <w:pPr>
        <w:pStyle w:val="BodyText"/>
      </w:pPr>
      <w:r>
        <w:rPr>
          <w:b/>
          <w:bCs/>
        </w:rPr>
        <w:t xml:space="preserve">평균풍속 최종 제외 근거(3차 QA)</w:t>
      </w:r>
      <w:r>
        <w:t xml:space="preserve">: v3에서</w:t>
      </w:r>
      <w:r>
        <w:t xml:space="preserve"> </w:t>
      </w:r>
      <w:r>
        <w:t xml:space="preserve">“Pearson은 근사 0이나 Spearman(between)=-0.144로 실신호가 있다”</w:t>
      </w:r>
      <w:r>
        <w:t xml:space="preserve">며 유지를 결정했으나, 외부 검토서가</w:t>
      </w:r>
      <w:r>
        <w:t xml:space="preserve"> </w:t>
      </w:r>
      <w:r>
        <w:t xml:space="preserve">“이 신호가 관측소 배정방식(대도시권 공유)에서 나왔을 가능성”</w:t>
      </w:r>
      <w:r>
        <w:t xml:space="preserve">을 제기했다. 직접 검증한 결과: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표본</w:t>
            </w:r>
          </w:p>
        </w:tc>
        <w:tc>
          <w:tcPr/>
          <w:p>
            <w:pPr>
              <w:pStyle w:val="Compact"/>
            </w:pPr>
            <w:r>
              <w:t xml:space="preserve">ICC</w:t>
            </w:r>
          </w:p>
        </w:tc>
        <w:tc>
          <w:tcPr/>
          <w:p>
            <w:pPr>
              <w:pStyle w:val="Compact"/>
            </w:pPr>
            <w:r>
              <w:t xml:space="preserve">Spearman(풍속, 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전체(n=221)</w:t>
            </w:r>
          </w:p>
        </w:tc>
        <w:tc>
          <w:tcPr/>
          <w:p>
            <w:pPr>
              <w:pStyle w:val="Compact"/>
            </w:pPr>
            <w:r>
              <w:t xml:space="preserve">0.939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−0.144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관측소 대도시권 공유지역 제외(n=169)</w:t>
            </w:r>
          </w:p>
        </w:tc>
        <w:tc>
          <w:tcPr/>
          <w:p>
            <w:pPr>
              <w:pStyle w:val="Compact"/>
            </w:pPr>
            <w:r>
              <w:t xml:space="preserve">0.939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0.005</w:t>
            </w:r>
          </w:p>
        </w:tc>
      </w:tr>
    </w:tbl>
    <w:p>
      <w:pPr>
        <w:pStyle w:val="BodyText"/>
      </w:pPr>
      <w:r>
        <w:t xml:space="preserve">ICC는 안정적이지만(진짜 지자체 고유특성),</w:t>
      </w:r>
      <w:r>
        <w:t xml:space="preserve"> </w:t>
      </w:r>
      <w:r>
        <w:rPr>
          <w:b/>
          <w:bCs/>
        </w:rPr>
        <w:t xml:space="preserve">Y와의 상관은 관측소 공유지역(주로 서울·수도권 30여 곳)을 빼면 완전히 사라진다.</w:t>
      </w:r>
      <w:r>
        <w:t xml:space="preserve"> </w:t>
      </w:r>
      <w:r>
        <w:t xml:space="preserve">즉 v3의</w:t>
      </w:r>
      <w:r>
        <w:t xml:space="preserve"> </w:t>
      </w:r>
      <w:r>
        <w:t xml:space="preserve">“유지”</w:t>
      </w:r>
      <w:r>
        <w:t xml:space="preserve"> </w:t>
      </w:r>
      <w:r>
        <w:t xml:space="preserve">결정은 수도권 교란효과에 근거한 것으로 판단해 최종적으로 제외했다.</w:t>
      </w:r>
    </w:p>
    <w:bookmarkEnd w:id="11"/>
    <w:bookmarkStart w:id="12" w:name="해운대구-등-상위-취약지역-순위-검증"/>
    <w:p>
      <w:pPr>
        <w:pStyle w:val="Heading2"/>
      </w:pPr>
      <w:r>
        <w:t xml:space="preserve">2.3 해운대구 등 상위 취약지역 순위 검증</w:t>
      </w:r>
    </w:p>
    <w:p>
      <w:pPr>
        <w:pStyle w:val="FirstParagraph"/>
      </w:pPr>
      <w:r>
        <w:t xml:space="preserve">외부 검토서는 도시 자치구의 작은 소나무림면적이 비율 변수의 분모 아티팩트를 만들 가능성을 제기했다. 확인 결과</w:t>
      </w:r>
      <w:r>
        <w:t xml:space="preserve"> </w:t>
      </w:r>
      <w:r>
        <w:rPr>
          <w:b/>
          <w:bCs/>
        </w:rPr>
        <w:t xml:space="preserve">해운대구의 소나무류_면적비율은 31~35%로 전국 5위</w:t>
      </w:r>
      <w:r>
        <w:t xml:space="preserve">(전국 평균을 크게 상회)이며, 소나무림면적(1,742ha, 전국 40퍼센타일)도 극단적으로 작지 않다. 도시지역이라는 이유만으로 순위를 의심할 근거는 약하다 — 이 우려는 기각한다.</w:t>
      </w:r>
    </w:p>
    <w:bookmarkEnd w:id="12"/>
    <w:bookmarkEnd w:id="13"/>
    <w:bookmarkStart w:id="16" w:name="방제취약성지수model-1-산출-v4-최종"/>
    <w:p>
      <w:pPr>
        <w:pStyle w:val="Heading1"/>
      </w:pPr>
      <w:r>
        <w:t xml:space="preserve">3. 방제취약성지수(Model 1) 산출 — v4 최종</w:t>
      </w:r>
    </w:p>
    <w:bookmarkStart w:id="14" w:name="도메인-구성"/>
    <w:p>
      <w:pPr>
        <w:pStyle w:val="Heading2"/>
      </w:pPr>
      <w:r>
        <w:t xml:space="preserve">3.1 도메인 구성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t xml:space="preserve">투입 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노출도</w:t>
            </w:r>
          </w:p>
        </w:tc>
        <w:tc>
          <w:tcPr/>
          <w:p>
            <w:pPr>
              <w:pStyle w:val="Compact"/>
            </w:pPr>
            <w:r>
              <w:t xml:space="preserve">소나무류_면적비율(%)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기후위험도</w:t>
            </w:r>
          </w:p>
        </w:tc>
        <w:tc>
          <w:tcPr/>
          <w:p>
            <w:pPr>
              <w:pStyle w:val="Compact"/>
            </w:pPr>
            <w:r>
              <w:t xml:space="preserve">연강수량_mm, GDD_솔수염하늘소 (</w:t>
            </w:r>
            <w:r>
              <w:rPr>
                <w:b/>
                <w:bCs/>
              </w:rPr>
              <w:t xml:space="preserve">평균풍속 제외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지자체대응역량(역방향)</w:t>
            </w:r>
          </w:p>
        </w:tc>
        <w:tc>
          <w:tcPr/>
          <w:p>
            <w:pPr>
              <w:pStyle w:val="Compact"/>
            </w:pPr>
            <w:r>
              <w:t xml:space="preserve">대응자원투입예산_로그, 예찰사업_존재_flag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인위적확산</w:t>
            </w:r>
          </w:p>
        </w:tc>
        <w:tc>
          <w:tcPr/>
          <w:p>
            <w:pPr>
              <w:pStyle w:val="Compact"/>
            </w:pPr>
            <w:r>
              <w:t xml:space="preserve">도로소나무비율(면적통제), 원목생산업체수(면적통제)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구조적취약성지수 = 0.25 × 노출도_점수 + 0.25 × 기후위험도_점수</w:t>
      </w:r>
      <w:r>
        <w:br/>
      </w:r>
      <w:r>
        <w:rPr>
          <w:rStyle w:val="VerbatimChar"/>
        </w:rPr>
        <w:t xml:space="preserve">                  + 0.25 × 지자체대응역량_점수 + 0.25 × 인위적확산_점수</w:t>
      </w:r>
    </w:p>
    <w:bookmarkEnd w:id="14"/>
    <w:bookmarkStart w:id="15" w:name="평균풍속-포함제외-민감도-비교"/>
    <w:p>
      <w:pPr>
        <w:pStyle w:val="Heading2"/>
      </w:pPr>
      <w:r>
        <w:t xml:space="preserve">3.2 평균풍속 포함/제외 민감도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사양</w:t>
            </w:r>
          </w:p>
        </w:tc>
        <w:tc>
          <w:tcPr/>
          <w:p>
            <w:pPr>
              <w:pStyle w:val="Compact"/>
            </w:pPr>
            <w:r>
              <w:t xml:space="preserve">between 계수(훈련)</w:t>
            </w:r>
          </w:p>
        </w:tc>
        <w:tc>
          <w:tcPr/>
          <w:p>
            <w:pPr>
              <w:pStyle w:val="Compact"/>
            </w:pPr>
            <w:r>
              <w:t xml:space="preserve">between 계수(홀드아웃)</w:t>
            </w:r>
          </w:p>
        </w:tc>
        <w:tc>
          <w:tcPr/>
          <w:p>
            <w:pPr>
              <w:pStyle w:val="Compact"/>
            </w:pPr>
            <w:r>
              <w:t xml:space="preserve">AUC(훈련/홀드아웃)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풍속 포함(v3)</w:t>
            </w:r>
          </w:p>
        </w:tc>
        <w:tc>
          <w:tcPr/>
          <w:p>
            <w:pPr>
              <w:pStyle w:val="Compact"/>
            </w:pPr>
            <w:r>
              <w:t xml:space="preserve">+1.713(p&lt;0.001)</w:t>
            </w:r>
          </w:p>
        </w:tc>
        <w:tc>
          <w:tcPr/>
          <w:p>
            <w:pPr>
              <w:pStyle w:val="Compact"/>
            </w:pPr>
            <w:r>
              <w:t xml:space="preserve">+2.077(p=0.003)</w:t>
            </w:r>
          </w:p>
        </w:tc>
        <w:tc>
          <w:tcPr/>
          <w:p>
            <w:pPr>
              <w:pStyle w:val="Compact"/>
            </w:pPr>
            <w:r>
              <w:t xml:space="preserve">0.617 / 0.622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풍속 제외(v4, 최종)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+1.253(p=0.002)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+1.449(p=0.008)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0.600 / 0.594</w:t>
            </w:r>
          </w:p>
        </w:tc>
      </w:tr>
    </w:tbl>
    <w:p>
      <w:pPr>
        <w:pStyle w:val="BodyText"/>
      </w:pPr>
      <w:r>
        <w:t xml:space="preserve">전체 시군구 순위상관(포함 vs 제외)</w:t>
      </w:r>
      <w:r>
        <w:t xml:space="preserve"> </w:t>
      </w:r>
      <w:r>
        <w:rPr>
          <w:b/>
          <w:bCs/>
        </w:rPr>
        <w:t xml:space="preserve">Spearman ρ=0.970</w:t>
      </w:r>
      <w:r>
        <w:t xml:space="preserve">, Top20 중복 15/20(75%). 풍속을 빼도 핵심 결론(between 유의)은 유지되며, 계수·AUC가 소폭 낮아지는 정도다 — 교란효과가 낀 변수를 뺀 대가로는 작다.</w:t>
      </w:r>
    </w:p>
    <w:bookmarkEnd w:id="15"/>
    <w:bookmarkEnd w:id="16"/>
    <w:bookmarkStart w:id="20" w:name="모형-a-model-1-타당성-검증-v4"/>
    <w:p>
      <w:pPr>
        <w:pStyle w:val="Heading1"/>
      </w:pPr>
      <w:r>
        <w:t xml:space="preserve">4. 모형 A — Model 1 타당성 검증 (v4)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항</w:t>
            </w:r>
          </w:p>
        </w:tc>
        <w:tc>
          <w:tcPr/>
          <w:p>
            <w:pPr>
              <w:pStyle w:val="Compact"/>
            </w:pPr>
            <w:r>
              <w:t xml:space="preserve">발생여부 계수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크기(OLS)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훈련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−0.412</w:t>
            </w:r>
          </w:p>
        </w:tc>
        <w:tc>
          <w:tcPr/>
          <w:p>
            <w:pPr>
              <w:pStyle w:val="Compact"/>
            </w:pPr>
            <w:r>
              <w:t xml:space="preserve">0.155</w:t>
            </w:r>
          </w:p>
        </w:tc>
        <w:tc>
          <w:tcPr/>
          <w:p>
            <w:pPr>
              <w:pStyle w:val="Compact"/>
            </w:pPr>
            <w:r>
              <w:t xml:space="preserve">−0.107</w:t>
            </w:r>
          </w:p>
        </w:tc>
        <w:tc>
          <w:tcPr/>
          <w:p>
            <w:pPr>
              <w:pStyle w:val="Compact"/>
            </w:pPr>
            <w:r>
              <w:t xml:space="preserve">0.079</w:t>
            </w:r>
          </w:p>
        </w:tc>
      </w:tr>
      <w:tr>
        <w:tc>
          <w:tcPr/>
          <w:p>
            <w:pPr>
              <w:pStyle w:val="Compact"/>
            </w:pPr>
            <w:r>
              <w:t xml:space="preserve">훈련</w:t>
            </w:r>
          </w:p>
        </w:tc>
        <w:tc>
          <w:tcPr/>
          <w:p>
            <w:pPr>
              <w:pStyle w:val="Compact"/>
            </w:pPr>
            <w:r>
              <w:t xml:space="preserve">between(</w:t>
            </w:r>
            <w:r>
              <w:rPr>
                <w:rStyle w:val="VerbatimChar"/>
              </w:rPr>
              <w:t xml:space="preserve">_gm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+1.253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+0.194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홀드아웃</w:t>
            </w:r>
          </w:p>
        </w:tc>
        <w:tc>
          <w:tcPr/>
          <w:p>
            <w:pPr>
              <w:pStyle w:val="Compact"/>
            </w:pPr>
            <w:r>
              <w:t xml:space="preserve">within</w:t>
            </w:r>
          </w:p>
        </w:tc>
        <w:tc>
          <w:tcPr/>
          <w:p>
            <w:pPr>
              <w:pStyle w:val="Compact"/>
            </w:pPr>
            <w:r>
              <w:t xml:space="preserve">−0.656</w:t>
            </w:r>
          </w:p>
        </w:tc>
        <w:tc>
          <w:tcPr/>
          <w:p>
            <w:pPr>
              <w:pStyle w:val="Compact"/>
            </w:pPr>
            <w:r>
              <w:t xml:space="preserve">0.146</w:t>
            </w:r>
          </w:p>
        </w:tc>
        <w:tc>
          <w:tcPr/>
          <w:p>
            <w:pPr>
              <w:pStyle w:val="Compact"/>
            </w:pPr>
            <w:r>
              <w:t xml:space="preserve">+0.030</w:t>
            </w:r>
          </w:p>
        </w:tc>
        <w:tc>
          <w:tcPr/>
          <w:p>
            <w:pPr>
              <w:pStyle w:val="Compact"/>
            </w:pPr>
            <w:r>
              <w:t xml:space="preserve">0.141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홀드아웃</w:t>
            </w:r>
          </w:p>
        </w:tc>
        <w:tc>
          <w:tcPr/>
          <w:p>
            <w:pPr>
              <w:pStyle w:val="Compact"/>
            </w:pPr>
            <w:r>
              <w:t xml:space="preserve">between(</w:t>
            </w:r>
            <w:r>
              <w:rPr>
                <w:rStyle w:val="VerbatimChar"/>
              </w:rPr>
              <w:t xml:space="preserve">_gm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+1.449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+0.038</w:t>
            </w:r>
          </w:p>
        </w:tc>
        <w:tc>
          <w:tcPr/>
          <w:p>
            <w:pPr>
              <w:pStyle w:val="Compact"/>
            </w:pPr>
            <w:r>
              <w:t xml:space="preserve">0.147</w:t>
            </w:r>
          </w:p>
        </w:tc>
      </w:tr>
    </w:tbl>
    <w:p>
      <w:pPr>
        <w:pStyle w:val="BodyText"/>
      </w:pPr>
      <w:r>
        <w:t xml:space="preserve">AUC: 훈련 0.600 / 홀드아웃 0.594. between만 유의하다는 핵심 결론은 4개 버전(v2·v3·v4, 그리고 풍속포함/제외)에 걸쳐 일관되게 재현됐다.</w:t>
      </w:r>
    </w:p>
    <w:bookmarkStart w:id="17" w:name="배분갭-v4"/>
    <w:p>
      <w:pPr>
        <w:pStyle w:val="Heading2"/>
      </w:pPr>
      <w:r>
        <w:t xml:space="preserve">4.1 배분갭 (v4)</w:t>
      </w:r>
    </w:p>
    <w:p>
      <w:pPr>
        <w:pStyle w:val="FirstParagraph"/>
      </w:pPr>
      <w:r>
        <w:t xml:space="preserve">위험지수(역량도메인 제외) ~ 예산, between 회귀: 계수</w:t>
      </w:r>
      <w:r>
        <w:t xml:space="preserve"> </w:t>
      </w:r>
      <w:r>
        <w:rPr>
          <w:b/>
          <w:bCs/>
        </w:rPr>
        <w:t xml:space="preserve">+1.531(p=0.004), R²=3.40%</w:t>
      </w:r>
      <w:r>
        <w:t xml:space="preserve">. v3(+1.716, R²=3.65%)와 사실상 동일 — 풍속 제외가 이 결론에 영향을 주지 않았다.</w:t>
      </w:r>
    </w:p>
    <w:bookmarkEnd w:id="17"/>
    <w:bookmarkStart w:id="18" w:name="기여도-분해-상위-20개v4"/>
    <w:p>
      <w:pPr>
        <w:pStyle w:val="Heading2"/>
      </w:pPr>
      <w:r>
        <w:t xml:space="preserve">4.2 기여도 분해 — 상위 20개(v4)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시도</w:t>
            </w:r>
          </w:p>
        </w:tc>
        <w:tc>
          <w:tcPr/>
          <w:p>
            <w:pPr>
              <w:pStyle w:val="Compact"/>
            </w:pPr>
            <w:r>
              <w:t xml:space="preserve">시군구</w:t>
            </w:r>
          </w:p>
        </w:tc>
        <w:tc>
          <w:tcPr/>
          <w:p>
            <w:pPr>
              <w:pStyle w:val="Compact"/>
            </w:pPr>
            <w:r>
              <w:t xml:space="preserve">취약성지수</w:t>
            </w:r>
          </w:p>
        </w:tc>
        <w:tc>
          <w:tcPr/>
          <w:p>
            <w:pPr>
              <w:pStyle w:val="Compact"/>
            </w:pPr>
            <w:r>
              <w:t xml:space="preserve">노출도</w:t>
            </w:r>
          </w:p>
        </w:tc>
        <w:tc>
          <w:tcPr/>
          <w:p>
            <w:pPr>
              <w:pStyle w:val="Compact"/>
            </w:pPr>
            <w:r>
              <w:t xml:space="preserve">기후</w:t>
            </w:r>
          </w:p>
        </w:tc>
        <w:tc>
          <w:tcPr/>
          <w:p>
            <w:pPr>
              <w:pStyle w:val="Compact"/>
            </w:pPr>
            <w:r>
              <w:t xml:space="preserve">역량</w:t>
            </w:r>
          </w:p>
        </w:tc>
        <w:tc>
          <w:tcPr/>
          <w:p>
            <w:pPr>
              <w:pStyle w:val="Compact"/>
            </w:pPr>
            <w:r>
              <w:t xml:space="preserve">인위적확산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부산광역시</w:t>
            </w:r>
          </w:p>
        </w:tc>
        <w:tc>
          <w:tcPr/>
          <w:p>
            <w:pPr>
              <w:pStyle w:val="Compact"/>
            </w:pPr>
            <w:r>
              <w:t xml:space="preserve">해운대구</w:t>
            </w:r>
          </w:p>
        </w:tc>
        <w:tc>
          <w:tcPr/>
          <w:p>
            <w:pPr>
              <w:pStyle w:val="Compact"/>
            </w:pPr>
            <w:r>
              <w:t xml:space="preserve">1.136</w:t>
            </w:r>
          </w:p>
        </w:tc>
        <w:tc>
          <w:tcPr/>
          <w:p>
            <w:pPr>
              <w:pStyle w:val="Compact"/>
            </w:pPr>
            <w:r>
              <w:t xml:space="preserve">0.536</w:t>
            </w:r>
          </w:p>
        </w:tc>
        <w:tc>
          <w:tcPr/>
          <w:p>
            <w:pPr>
              <w:pStyle w:val="Compact"/>
            </w:pPr>
            <w:r>
              <w:t xml:space="preserve">0.298</w:t>
            </w:r>
          </w:p>
        </w:tc>
        <w:tc>
          <w:tcPr/>
          <w:p>
            <w:pPr>
              <w:pStyle w:val="Compact"/>
            </w:pPr>
            <w:r>
              <w:t xml:space="preserve">−0.010</w:t>
            </w:r>
          </w:p>
        </w:tc>
        <w:tc>
          <w:tcPr/>
          <w:p>
            <w:pPr>
              <w:pStyle w:val="Compact"/>
            </w:pPr>
            <w:r>
              <w:t xml:space="preserve">0.312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고성군</w:t>
            </w:r>
          </w:p>
        </w:tc>
        <w:tc>
          <w:tcPr/>
          <w:p>
            <w:pPr>
              <w:pStyle w:val="Compact"/>
            </w:pPr>
            <w:r>
              <w:t xml:space="preserve">1.014</w:t>
            </w:r>
          </w:p>
        </w:tc>
        <w:tc>
          <w:tcPr/>
          <w:p>
            <w:pPr>
              <w:pStyle w:val="Compact"/>
            </w:pPr>
            <w:r>
              <w:t xml:space="preserve">0.504</w:t>
            </w:r>
          </w:p>
        </w:tc>
        <w:tc>
          <w:tcPr/>
          <w:p>
            <w:pPr>
              <w:pStyle w:val="Compact"/>
            </w:pPr>
            <w:r>
              <w:t xml:space="preserve">0.312</w:t>
            </w:r>
          </w:p>
        </w:tc>
        <w:tc>
          <w:tcPr/>
          <w:p>
            <w:pPr>
              <w:pStyle w:val="Compact"/>
            </w:pPr>
            <w:r>
              <w:t xml:space="preserve">−0.050</w:t>
            </w:r>
          </w:p>
        </w:tc>
        <w:tc>
          <w:tcPr/>
          <w:p>
            <w:pPr>
              <w:pStyle w:val="Compact"/>
            </w:pPr>
            <w:r>
              <w:t xml:space="preserve">0.247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통영시</w:t>
            </w:r>
          </w:p>
        </w:tc>
        <w:tc>
          <w:tcPr/>
          <w:p>
            <w:pPr>
              <w:pStyle w:val="Compact"/>
            </w:pPr>
            <w:r>
              <w:t xml:space="preserve">0.982</w:t>
            </w:r>
          </w:p>
        </w:tc>
        <w:tc>
          <w:tcPr/>
          <w:p>
            <w:pPr>
              <w:pStyle w:val="Compact"/>
            </w:pPr>
            <w:r>
              <w:t xml:space="preserve">0.602</w:t>
            </w:r>
          </w:p>
        </w:tc>
        <w:tc>
          <w:tcPr/>
          <w:p>
            <w:pPr>
              <w:pStyle w:val="Compact"/>
            </w:pPr>
            <w:r>
              <w:t xml:space="preserve">0.312</w:t>
            </w:r>
          </w:p>
        </w:tc>
        <w:tc>
          <w:tcPr/>
          <w:p>
            <w:pPr>
              <w:pStyle w:val="Compact"/>
            </w:pPr>
            <w:r>
              <w:t xml:space="preserve">−0.086</w:t>
            </w:r>
          </w:p>
        </w:tc>
        <w:tc>
          <w:tcPr/>
          <w:p>
            <w:pPr>
              <w:pStyle w:val="Compact"/>
            </w:pPr>
            <w:r>
              <w:t xml:space="preserve">0.155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거제시</w:t>
            </w:r>
          </w:p>
        </w:tc>
        <w:tc>
          <w:tcPr/>
          <w:p>
            <w:pPr>
              <w:pStyle w:val="Compact"/>
            </w:pPr>
            <w:r>
              <w:t xml:space="preserve">0.942</w:t>
            </w:r>
          </w:p>
        </w:tc>
        <w:tc>
          <w:tcPr/>
          <w:p>
            <w:pPr>
              <w:pStyle w:val="Compact"/>
            </w:pPr>
            <w:r>
              <w:t xml:space="preserve">0.428</w:t>
            </w:r>
          </w:p>
        </w:tc>
        <w:tc>
          <w:tcPr/>
          <w:p>
            <w:pPr>
              <w:pStyle w:val="Compact"/>
            </w:pPr>
            <w:r>
              <w:t xml:space="preserve">0.487</w:t>
            </w:r>
          </w:p>
        </w:tc>
        <w:tc>
          <w:tcPr/>
          <w:p>
            <w:pPr>
              <w:pStyle w:val="Compact"/>
            </w:pPr>
            <w:r>
              <w:t xml:space="preserve">−0.085</w:t>
            </w:r>
          </w:p>
        </w:tc>
        <w:tc>
          <w:tcPr/>
          <w:p>
            <w:pPr>
              <w:pStyle w:val="Compact"/>
            </w:pPr>
            <w:r>
              <w:t xml:space="preserve">0.113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부산광역시</w:t>
            </w:r>
          </w:p>
        </w:tc>
        <w:tc>
          <w:tcPr/>
          <w:p>
            <w:pPr>
              <w:pStyle w:val="Compact"/>
            </w:pPr>
            <w:r>
              <w:t xml:space="preserve">금정구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0.393</w:t>
            </w:r>
          </w:p>
        </w:tc>
        <w:tc>
          <w:tcPr/>
          <w:p>
            <w:pPr>
              <w:pStyle w:val="Compact"/>
            </w:pPr>
            <w:r>
              <w:t xml:space="preserve">0.250</w:t>
            </w:r>
          </w:p>
        </w:tc>
        <w:tc>
          <w:tcPr/>
          <w:p>
            <w:pPr>
              <w:pStyle w:val="Compact"/>
            </w:pPr>
            <w:r>
              <w:t xml:space="preserve">−0.072</w:t>
            </w:r>
          </w:p>
        </w:tc>
        <w:tc>
          <w:tcPr/>
          <w:p>
            <w:pPr>
              <w:pStyle w:val="Compact"/>
            </w:pPr>
            <w:r>
              <w:t xml:space="preserve">0.364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경상남도</w:t>
            </w:r>
          </w:p>
        </w:tc>
        <w:tc>
          <w:tcPr/>
          <w:p>
            <w:pPr>
              <w:pStyle w:val="Compact"/>
            </w:pPr>
            <w:r>
              <w:t xml:space="preserve">남해군</w:t>
            </w:r>
          </w:p>
        </w:tc>
        <w:tc>
          <w:tcPr/>
          <w:p>
            <w:pPr>
              <w:pStyle w:val="Compact"/>
            </w:pPr>
            <w:r>
              <w:t xml:space="preserve">0.928</w:t>
            </w:r>
          </w:p>
        </w:tc>
        <w:tc>
          <w:tcPr/>
          <w:p>
            <w:pPr>
              <w:pStyle w:val="Compact"/>
            </w:pPr>
            <w:r>
              <w:t xml:space="preserve">0.407</w:t>
            </w:r>
          </w:p>
        </w:tc>
        <w:tc>
          <w:tcPr/>
          <w:p>
            <w:pPr>
              <w:pStyle w:val="Compact"/>
            </w:pPr>
            <w:r>
              <w:t xml:space="preserve">0.390</w:t>
            </w:r>
          </w:p>
        </w:tc>
        <w:tc>
          <w:tcPr/>
          <w:p>
            <w:pPr>
              <w:pStyle w:val="Compact"/>
            </w:pPr>
            <w:r>
              <w:t xml:space="preserve">−0.050</w:t>
            </w:r>
          </w:p>
        </w:tc>
        <w:tc>
          <w:tcPr/>
          <w:p>
            <w:pPr>
              <w:pStyle w:val="Compact"/>
            </w:pPr>
            <w:r>
              <w:t xml:space="preserve">0.181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전라남도</w:t>
            </w:r>
          </w:p>
        </w:tc>
        <w:tc>
          <w:tcPr/>
          <w:p>
            <w:pPr>
              <w:pStyle w:val="Compact"/>
            </w:pPr>
            <w:r>
              <w:t xml:space="preserve">완도군</w:t>
            </w:r>
          </w:p>
        </w:tc>
        <w:tc>
          <w:tcPr/>
          <w:p>
            <w:pPr>
              <w:pStyle w:val="Compact"/>
            </w:pPr>
            <w:r>
              <w:t xml:space="preserve">0.919</w:t>
            </w:r>
          </w:p>
        </w:tc>
        <w:tc>
          <w:tcPr/>
          <w:p>
            <w:pPr>
              <w:pStyle w:val="Compact"/>
            </w:pPr>
            <w:r>
              <w:t xml:space="preserve">0.422</w:t>
            </w:r>
          </w:p>
        </w:tc>
        <w:tc>
          <w:tcPr/>
          <w:p>
            <w:pPr>
              <w:pStyle w:val="Compact"/>
            </w:pPr>
            <w:r>
              <w:t xml:space="preserve">0.138</w:t>
            </w:r>
          </w:p>
        </w:tc>
        <w:tc>
          <w:tcPr/>
          <w:p>
            <w:pPr>
              <w:pStyle w:val="Compact"/>
            </w:pPr>
            <w:r>
              <w:t xml:space="preserve">0.171</w:t>
            </w:r>
          </w:p>
        </w:tc>
        <w:tc>
          <w:tcPr/>
          <w:p>
            <w:pPr>
              <w:pStyle w:val="Compact"/>
            </w:pPr>
            <w:r>
              <w:t xml:space="preserve">0.189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부산광역시</w:t>
            </w:r>
          </w:p>
        </w:tc>
        <w:tc>
          <w:tcPr/>
          <w:p>
            <w:pPr>
              <w:pStyle w:val="Compact"/>
            </w:pPr>
            <w:r>
              <w:t xml:space="preserve">기장군</w:t>
            </w:r>
          </w:p>
        </w:tc>
        <w:tc>
          <w:tcPr/>
          <w:p>
            <w:pPr>
              <w:pStyle w:val="Compact"/>
            </w:pPr>
            <w:r>
              <w:t xml:space="preserve">0.863</w:t>
            </w:r>
          </w:p>
        </w:tc>
        <w:tc>
          <w:tcPr/>
          <w:p>
            <w:pPr>
              <w:pStyle w:val="Compact"/>
            </w:pPr>
            <w:r>
              <w:t xml:space="preserve">0.270</w:t>
            </w:r>
          </w:p>
        </w:tc>
        <w:tc>
          <w:tcPr/>
          <w:p>
            <w:pPr>
              <w:pStyle w:val="Compact"/>
            </w:pPr>
            <w:r>
              <w:t xml:space="preserve">0.250</w:t>
            </w:r>
          </w:p>
        </w:tc>
        <w:tc>
          <w:tcPr/>
          <w:p>
            <w:pPr>
              <w:pStyle w:val="Compact"/>
            </w:pPr>
            <w:r>
              <w:t xml:space="preserve">−0.079</w:t>
            </w:r>
          </w:p>
        </w:tc>
        <w:tc>
          <w:tcPr/>
          <w:p>
            <w:pPr>
              <w:pStyle w:val="Compact"/>
            </w:pPr>
            <w:r>
              <w:t xml:space="preserve">0.422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경상북도</w:t>
            </w:r>
          </w:p>
        </w:tc>
        <w:tc>
          <w:tcPr/>
          <w:p>
            <w:pPr>
              <w:pStyle w:val="Compact"/>
            </w:pPr>
            <w:r>
              <w:t xml:space="preserve">울진군</w:t>
            </w:r>
          </w:p>
        </w:tc>
        <w:tc>
          <w:tcPr/>
          <w:p>
            <w:pPr>
              <w:pStyle w:val="Compact"/>
            </w:pPr>
            <w:r>
              <w:t xml:space="preserve">0.779</w:t>
            </w:r>
          </w:p>
        </w:tc>
        <w:tc>
          <w:tcPr/>
          <w:p>
            <w:pPr>
              <w:pStyle w:val="Compact"/>
            </w:pPr>
            <w:r>
              <w:t xml:space="preserve">0.693</w:t>
            </w:r>
          </w:p>
        </w:tc>
        <w:tc>
          <w:tcPr/>
          <w:p>
            <w:pPr>
              <w:pStyle w:val="Compact"/>
            </w:pPr>
            <w:r>
              <w:t xml:space="preserve">−0.165</w:t>
            </w:r>
          </w:p>
        </w:tc>
        <w:tc>
          <w:tcPr/>
          <w:p>
            <w:pPr>
              <w:pStyle w:val="Compact"/>
            </w:pPr>
            <w:r>
              <w:t xml:space="preserve">0.062</w:t>
            </w:r>
          </w:p>
        </w:tc>
        <w:tc>
          <w:tcPr/>
          <w:p>
            <w:pPr>
              <w:pStyle w:val="Compact"/>
            </w:pPr>
            <w:r>
              <w:t xml:space="preserve">0.189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전라남도</w:t>
            </w:r>
          </w:p>
        </w:tc>
        <w:tc>
          <w:tcPr/>
          <w:p>
            <w:pPr>
              <w:pStyle w:val="Compact"/>
            </w:pPr>
            <w:r>
              <w:t xml:space="preserve">여수시</w:t>
            </w:r>
          </w:p>
        </w:tc>
        <w:tc>
          <w:tcPr/>
          <w:p>
            <w:pPr>
              <w:pStyle w:val="Compact"/>
            </w:pPr>
            <w:r>
              <w:t xml:space="preserve">0.740</w:t>
            </w:r>
          </w:p>
        </w:tc>
        <w:tc>
          <w:tcPr/>
          <w:p>
            <w:pPr>
              <w:pStyle w:val="Compact"/>
            </w:pPr>
            <w:r>
              <w:t xml:space="preserve">0.208</w:t>
            </w:r>
          </w:p>
        </w:tc>
        <w:tc>
          <w:tcPr/>
          <w:p>
            <w:pPr>
              <w:pStyle w:val="Compact"/>
            </w:pPr>
            <w:r>
              <w:t xml:space="preserve">0.192</w:t>
            </w:r>
          </w:p>
        </w:tc>
        <w:tc>
          <w:tcPr/>
          <w:p>
            <w:pPr>
              <w:pStyle w:val="Compact"/>
            </w:pPr>
            <w:r>
              <w:t xml:space="preserve">0.089</w:t>
            </w:r>
          </w:p>
        </w:tc>
        <w:tc>
          <w:tcPr/>
          <w:p>
            <w:pPr>
              <w:pStyle w:val="Compact"/>
            </w:pPr>
            <w:r>
              <w:t xml:space="preserve">0.251</w:t>
            </w:r>
          </w:p>
        </w:tc>
      </w:tr>
    </w:tbl>
    <w:p>
      <w:pPr>
        <w:pStyle w:val="BodyText"/>
      </w:pPr>
      <w:r>
        <w:t xml:space="preserve">부산 자치구(해운대·금정·남·북·동래·영도)가 다수 상위권에 재확인됐으나, 해운대구 사례에서 확인했듯 이는 실제 소나무비율이 높은 지역 특성이다.</w:t>
      </w:r>
    </w:p>
    <w:bookmarkEnd w:id="18"/>
    <w:bookmarkStart w:id="19" w:name="유형화-매트릭스-v4"/>
    <w:p>
      <w:pPr>
        <w:pStyle w:val="Heading2"/>
      </w:pPr>
      <w:r>
        <w:t xml:space="preserve">4.3 2×3 유형화 매트릭스 (v4)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부족</w:t>
            </w:r>
          </w:p>
        </w:tc>
        <w:tc>
          <w:tcPr/>
          <w:p>
            <w:pPr>
              <w:pStyle w:val="Compact"/>
            </w:pPr>
            <w:r>
              <w:t xml:space="preserve">적정</w:t>
            </w:r>
          </w:p>
        </w:tc>
        <w:tc>
          <w:tcPr/>
          <w:p>
            <w:pPr>
              <w:pStyle w:val="Compact"/>
            </w:pPr>
            <w:r>
              <w:t xml:space="preserve">과다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노출도-우세형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복합형</w:t>
            </w:r>
          </w:p>
        </w:tc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인위적확산-우세형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</w:tbl>
    <w:p>
      <w:pPr>
        <w:pStyle w:val="BodyText"/>
      </w:pPr>
      <w:r>
        <w:rPr>
          <w:b/>
          <w:bCs/>
        </w:rPr>
        <w:t xml:space="preserve">“부족”</w:t>
      </w:r>
      <w:r>
        <w:rPr>
          <w:b/>
          <w:bCs/>
        </w:rPr>
        <w:t xml:space="preserve"> </w:t>
      </w:r>
      <w:r>
        <w:rPr>
          <w:b/>
          <w:bCs/>
        </w:rPr>
        <w:t xml:space="preserve">열 대표 사례</w:t>
      </w:r>
      <w:r>
        <w:t xml:space="preserve">: 노출도-우세형 → 완도군·대구 동구·고령군·영양군·옹진군(예찰·모니터링). 인위적확산-우세형 → 서울 종로구·관악구·광주 북구·성북구·용산구(도로변/원목유통 관리). 복합형 → 광주 동구·전남 신안군·경북 포항시·진도군·영광군(기본 대응체계).</w:t>
      </w:r>
    </w:p>
    <w:bookmarkEnd w:id="19"/>
    <w:bookmarkEnd w:id="20"/>
    <w:bookmarkStart w:id="26" w:name="model-2-조기경보모형-누수-수정-최종판"/>
    <w:p>
      <w:pPr>
        <w:pStyle w:val="Heading1"/>
      </w:pPr>
      <w:r>
        <w:t xml:space="preserve">5. Model 2 — 조기경보모형 (누수 수정 최종판)</w:t>
      </w:r>
    </w:p>
    <w:bookmarkStart w:id="21" w:name="누수-수정-내역"/>
    <w:p>
      <w:pPr>
        <w:pStyle w:val="Heading2"/>
      </w:pPr>
      <w:r>
        <w:t xml:space="preserve">5.1 누수 수정 내역</w:t>
      </w:r>
    </w:p>
    <w:p>
      <w:pPr>
        <w:pStyle w:val="FirstParagraph"/>
      </w:pPr>
      <w:r>
        <w:t xml:space="preserve">외부 검토서가 지적한 대로, v1 구현은</w:t>
      </w:r>
      <w:r>
        <w:t xml:space="preserve"> </w:t>
      </w:r>
      <w:r>
        <w:rPr>
          <w:rStyle w:val="VerbatimChar"/>
        </w:rPr>
        <w:t xml:space="preserve">_gm</w:t>
      </w:r>
      <w:r>
        <w:t xml:space="preserve">을 훈련·홀드아웃 분리</w:t>
      </w:r>
      <w:r>
        <w:t xml:space="preserve"> </w:t>
      </w:r>
      <w:r>
        <w:rPr>
          <w:b/>
          <w:bCs/>
        </w:rPr>
        <w:t xml:space="preserve">이전</w:t>
      </w:r>
      <w:r>
        <w:t xml:space="preserve">에 전체기간(2017–2023)에서 계산해 홀드아웃 평가에 미래정보가 섞여 있었다.</w:t>
      </w:r>
      <w:r>
        <w:t xml:space="preserve"> </w:t>
      </w:r>
      <w:r>
        <w:rPr>
          <w:b/>
          <w:bCs/>
        </w:rPr>
        <w:t xml:space="preserve">훈련기간(2017–2020)에서만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_gm</w:t>
      </w:r>
      <w:r>
        <w:rPr>
          <w:b/>
          <w:bCs/>
        </w:rPr>
        <w:t xml:space="preserve">을 계산하고 그 값을 홀드아웃에 고정 적용</w:t>
      </w:r>
      <w:r>
        <w:t xml:space="preserve">하도록 수정했다.</w:t>
      </w:r>
    </w:p>
    <w:bookmarkEnd w:id="21"/>
    <w:bookmarkStart w:id="22" w:name="수정-전후-auc-비교"/>
    <w:p>
      <w:pPr>
        <w:pStyle w:val="Heading2"/>
      </w:pPr>
      <w:r>
        <w:t xml:space="preserve">5.2 수정 전후 AUC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훈련</w:t>
            </w:r>
          </w:p>
        </w:tc>
        <w:tc>
          <w:tcPr/>
          <w:p>
            <w:pPr>
              <w:pStyle w:val="Compact"/>
            </w:pPr>
            <w:r>
              <w:t xml:space="preserve">홀드아웃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1(구조적지수만)</w:t>
            </w:r>
          </w:p>
        </w:tc>
        <w:tc>
          <w:tcPr/>
          <w:p>
            <w:pPr>
              <w:pStyle w:val="Compact"/>
            </w:pPr>
            <w:r>
              <w:t xml:space="preserve">0.600</w:t>
            </w:r>
          </w:p>
        </w:tc>
        <w:tc>
          <w:tcPr/>
          <w:p>
            <w:pPr>
              <w:pStyle w:val="Compact"/>
            </w:pPr>
            <w:r>
              <w:t xml:space="preserve">0.633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2 — 누수판(v1)</w:t>
            </w:r>
          </w:p>
        </w:tc>
        <w:tc>
          <w:tcPr/>
          <w:p>
            <w:pPr>
              <w:pStyle w:val="Compact"/>
            </w:pPr>
            <w:r>
              <w:t xml:space="preserve">0.981</w:t>
            </w:r>
          </w:p>
        </w:tc>
        <w:tc>
          <w:tcPr/>
          <w:p>
            <w:pPr>
              <w:pStyle w:val="Compact"/>
            </w:pPr>
            <w:r>
              <w:t xml:space="preserve">0.962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2 — 수정판(최종)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0.948</w:t>
            </w:r>
          </w:p>
        </w:tc>
      </w:tr>
    </w:tbl>
    <w:p>
      <w:pPr>
        <w:pStyle w:val="BodyText"/>
      </w:pPr>
      <w:r>
        <w:rPr>
          <w:b/>
          <w:bCs/>
        </w:rPr>
        <w:t xml:space="preserve">영향은 예상보다 작았다</w:t>
      </w:r>
      <w:r>
        <w:t xml:space="preserve">(훈련 −0.005, 홀드아웃 −0.014). 즉 Model 2의 높은 성능이 주로 누수 때문이라는 우려는 과도했지만, 수정 자체는 반드시 필요했다.</w:t>
      </w:r>
    </w:p>
    <w:bookmarkEnd w:id="22"/>
    <w:bookmarkStart w:id="23" w:name="단순-재발-기준모형과의-비교-외부검토-권고-반영"/>
    <w:p>
      <w:pPr>
        <w:pStyle w:val="Heading2"/>
      </w:pPr>
      <w:r>
        <w:t xml:space="preserve">5.3 단순 재발 기준모형과의 비교 (외부검토 권고 반영)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기준모형</w:t>
            </w:r>
          </w:p>
        </w:tc>
        <w:tc>
          <w:tcPr/>
          <w:p>
            <w:pPr>
              <w:pStyle w:val="Compact"/>
            </w:pPr>
            <w:r>
              <w:t xml:space="preserve">홀드아웃 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전년도 발생여부만</w:t>
            </w:r>
          </w:p>
        </w:tc>
        <w:tc>
          <w:tcPr/>
          <w:p>
            <w:pPr>
              <w:pStyle w:val="Compact"/>
            </w:pPr>
            <w:r>
              <w:t xml:space="preserve">0.772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연속발생연수 단독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0.918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2(전체변수, 누수 수정)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0.948</w:t>
            </w:r>
          </w:p>
        </w:tc>
      </w:tr>
    </w:tbl>
    <w:p>
      <w:pPr>
        <w:pStyle w:val="BodyText"/>
      </w:pPr>
      <w:r>
        <w:t xml:space="preserve">핵심 변수 하나(연속발생연수)만으로도 AUC 0.918까지 나온다 — Model 2의 복잡한 구성이 단순 재발규칙 대비 추가로 얻는 성능은 약 3%p(0.918→0.948)로, 전년도 발생여부 단독(0.772) 대비 얻는 이득(18%p)보다는 작다.</w:t>
      </w:r>
      <w:r>
        <w:t xml:space="preserve"> </w:t>
      </w:r>
      <w:r>
        <w:rPr>
          <w:b/>
          <w:bCs/>
        </w:rPr>
        <w:t xml:space="preserve">AUC 상승의 대부분은</w:t>
      </w:r>
      <w:r>
        <w:rPr>
          <w:b/>
          <w:bCs/>
        </w:rPr>
        <w:t xml:space="preserve"> </w:t>
      </w:r>
      <w:r>
        <w:rPr>
          <w:b/>
          <w:bCs/>
        </w:rPr>
        <w:t xml:space="preserve">“상습발생 여부”</w:t>
      </w:r>
      <w:r>
        <w:rPr>
          <w:b/>
          <w:bCs/>
        </w:rPr>
        <w:t xml:space="preserve">라는 단일 신호에서 나온다</w:t>
      </w:r>
      <w:r>
        <w:t xml:space="preserve">는 점을 발표에서 명확히 해야 한다.</w:t>
      </w:r>
    </w:p>
    <w:bookmarkEnd w:id="23"/>
    <w:bookmarkStart w:id="24" w:name="rolling-origin-2023-제외"/>
    <w:p>
      <w:pPr>
        <w:pStyle w:val="Heading2"/>
      </w:pPr>
      <w:r>
        <w:t xml:space="preserve">5.4 Rolling-origin (2023 제외)</w:t>
      </w:r>
    </w:p>
    <w:p>
      <w:pPr>
        <w:pStyle w:val="FirstParagraph"/>
      </w:pPr>
      <w:r>
        <w:rPr>
          <w:rStyle w:val="VerbatimChar"/>
        </w:rPr>
        <w:t xml:space="preserve">데이터유형</w:t>
      </w:r>
      <w:r>
        <w:t xml:space="preserve"> </w:t>
      </w:r>
      <w:r>
        <w:t xml:space="preserve">확인 결과</w:t>
      </w:r>
      <w:r>
        <w:t xml:space="preserve"> </w:t>
      </w:r>
      <w:r>
        <w:rPr>
          <w:b/>
          <w:bCs/>
        </w:rPr>
        <w:t xml:space="preserve">2016·2023년은 실측이 아니라 추정값</w:t>
      </w:r>
      <w:r>
        <w:t xml:space="preserve">이라 2023을 검증대상으로 쓴 스텝은 제외했다.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훈련 종료</w:t>
            </w:r>
          </w:p>
        </w:tc>
        <w:tc>
          <w:tcPr/>
          <w:p>
            <w:pPr>
              <w:pStyle w:val="Compact"/>
            </w:pPr>
            <w:r>
              <w:t xml:space="preserve">검증연도</w:t>
            </w:r>
          </w:p>
        </w:tc>
        <w:tc>
          <w:tcPr/>
          <w:p>
            <w:pPr>
              <w:pStyle w:val="Compact"/>
            </w:pPr>
            <w:r>
              <w:t xml:space="preserve">Model 1 AUC</w:t>
            </w:r>
          </w:p>
        </w:tc>
        <w:tc>
          <w:tcPr/>
          <w:p>
            <w:pPr>
              <w:pStyle w:val="Compact"/>
            </w:pPr>
            <w:r>
              <w:t xml:space="preserve">Model 2 AUC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≤2020</w:t>
            </w:r>
          </w:p>
        </w:tc>
        <w:tc>
          <w:tcPr/>
          <w:p>
            <w:pPr>
              <w:pStyle w:val="Compact"/>
            </w:pPr>
            <w:r>
              <w:t xml:space="preserve">2021</w:t>
            </w:r>
          </w:p>
        </w:tc>
        <w:tc>
          <w:tcPr/>
          <w:p>
            <w:pPr>
              <w:pStyle w:val="Compact"/>
            </w:pPr>
            <w:r>
              <w:t xml:space="preserve">0.617</w:t>
            </w:r>
          </w:p>
        </w:tc>
        <w:tc>
          <w:tcPr/>
          <w:p>
            <w:pPr>
              <w:pStyle w:val="Compact"/>
            </w:pPr>
            <w:r>
              <w:t xml:space="preserve">0.936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≤2021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0.547</w:t>
            </w:r>
          </w:p>
        </w:tc>
        <w:tc>
          <w:tcPr/>
          <w:p>
            <w:pPr>
              <w:pStyle w:val="Compact"/>
            </w:pPr>
            <w:r>
              <w:t xml:space="preserve">0.942</w:t>
            </w:r>
          </w:p>
        </w:tc>
      </w:tr>
    </w:tbl>
    <w:p>
      <w:pPr>
        <w:pStyle w:val="BodyText"/>
      </w:pPr>
      <w:r>
        <w:rPr>
          <w:strike/>
        </w:rPr>
        <w:t xml:space="preserve">≤2022 → 2023</w:t>
      </w:r>
      <w:r>
        <w:t xml:space="preserve"> </w:t>
      </w:r>
      <w:r>
        <w:t xml:space="preserve">(제외: 2023 Y는 추정치)</w:t>
      </w:r>
    </w:p>
    <w:bookmarkEnd w:id="24"/>
    <w:bookmarkStart w:id="25" w:name="두-모형의-역할-분담-유지"/>
    <w:p>
      <w:pPr>
        <w:pStyle w:val="Heading2"/>
      </w:pPr>
      <w:r>
        <w:t xml:space="preserve">5.5 두 모형의 역할 분담 (유지)</w:t>
      </w:r>
    </w:p>
    <w:p>
      <w:pPr>
        <w:pStyle w:val="FirstParagraph"/>
      </w:pPr>
      <w:r>
        <w:t xml:space="preserve">Model 1은</w:t>
      </w:r>
      <w:r>
        <w:t xml:space="preserve"> </w:t>
      </w:r>
      <w:r>
        <w:t xml:space="preserve">“왜 취약한가”</w:t>
      </w:r>
      <w:r>
        <w:t xml:space="preserve">(예산배분 근거), Model 2는</w:t>
      </w:r>
      <w:r>
        <w:t xml:space="preserve"> </w:t>
      </w:r>
      <w:r>
        <w:t xml:space="preserve">“어디서 다음에 터질 가능성이 높은가”</w:t>
      </w:r>
      <w:r>
        <w:t xml:space="preserve">(예찰자원 배치 근거)에 답한다. 공간전파 항(인접시군 피해밀도_L1)은 모든 사양에서 유의하지 않아(p=0.30~0.92), AUC 상승은 공간전파가 아니라 자체 발생 관성에서 나온다는 결론은 유지된다.</w:t>
      </w:r>
    </w:p>
    <w:bookmarkEnd w:id="25"/>
    <w:bookmarkEnd w:id="26"/>
    <w:bookmarkStart w:id="29" w:name="배분공식-시뮬레이션-v4"/>
    <w:p>
      <w:pPr>
        <w:pStyle w:val="Heading1"/>
      </w:pPr>
      <w:r>
        <w:t xml:space="preserve">6. 배분공식 시뮬레이션 (v4)</w:t>
      </w:r>
    </w:p>
    <w:bookmarkStart w:id="27" w:name="재배분-규모-및-타겟팅-v3와-실질적으로-동일"/>
    <w:p>
      <w:pPr>
        <w:pStyle w:val="Heading2"/>
      </w:pPr>
      <w:r>
        <w:t xml:space="preserve">6.1 재배분 규모 및 타겟팅 (v3와 실질적으로 동일)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실제 배분</w:t>
            </w:r>
          </w:p>
        </w:tc>
        <w:tc>
          <w:tcPr/>
          <w:p>
            <w:pPr>
              <w:pStyle w:val="Compact"/>
            </w:pPr>
            <w:r>
              <w:t xml:space="preserve">시뮬레이션 배분(v4)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피해발생지역 예산 포착률</w:t>
            </w:r>
          </w:p>
        </w:tc>
        <w:tc>
          <w:tcPr/>
          <w:p>
            <w:pPr>
              <w:pStyle w:val="Compact"/>
            </w:pPr>
            <w:r>
              <w:t xml:space="preserve">93.8%</w:t>
            </w:r>
          </w:p>
        </w:tc>
        <w:tc>
          <w:tcPr/>
          <w:p>
            <w:pPr>
              <w:pStyle w:val="Compact"/>
            </w:pPr>
            <w:r>
              <w:t xml:space="preserve">53.7%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Spearman(예산 vs 실제피해밀도)</w:t>
            </w:r>
          </w:p>
        </w:tc>
        <w:tc>
          <w:tcPr/>
          <w:p>
            <w:pPr>
              <w:pStyle w:val="Compact"/>
            </w:pPr>
            <w:r>
              <w:t xml:space="preserve">0.662</w:t>
            </w:r>
          </w:p>
        </w:tc>
        <w:tc>
          <w:tcPr/>
          <w:p>
            <w:pPr>
              <w:pStyle w:val="Compact"/>
            </w:pPr>
            <w:r>
              <w:t xml:space="preserve">0.326</w:t>
            </w:r>
          </w:p>
        </w:tc>
      </w:tr>
    </w:tbl>
    <w:p>
      <w:pPr>
        <w:pStyle w:val="BodyText"/>
      </w:pPr>
      <w:r>
        <w:t xml:space="preserve">풍속 제외가 이 결론에 미친 영향은 미미하다. 해석은 동일하다: 실제 배분은 사후대응적이고, 위험지수 기반 공식은 의도적으로 선행적이다.</w:t>
      </w:r>
    </w:p>
    <w:bookmarkEnd w:id="27"/>
    <w:bookmarkStart w:id="28" w:name="년-기준-승자요약"/>
    <w:p>
      <w:pPr>
        <w:pStyle w:val="Heading2"/>
      </w:pPr>
      <w:r>
        <w:t xml:space="preserve">6.2 2022년 기준 승자(요약)</w:t>
      </w:r>
    </w:p>
    <w:p>
      <w:pPr>
        <w:pStyle w:val="FirstParagraph"/>
      </w:pPr>
      <w:r>
        <w:t xml:space="preserve">부산 해운대구·금정구·전남 완도군·부산 북구·남구·동래구, 경북 포항시·영덕군 — 부산 자치구가 다수 포함된 점이 v3와의 차이다(기후위험도 도메인 재구성의 영향). 감액 상위(경남 밀양시·울주군 등)는 v3와 거의 동일하게 재현됐다.</w:t>
      </w:r>
    </w:p>
    <w:bookmarkEnd w:id="28"/>
    <w:bookmarkEnd w:id="29"/>
    <w:bookmarkStart w:id="30" w:name="국가대응수준-보조모형-v4"/>
    <w:p>
      <w:pPr>
        <w:pStyle w:val="Heading1"/>
      </w:pPr>
      <w:r>
        <w:t xml:space="preserve">7. 국가대응수준 보조모형 (v4)</w:t>
      </w:r>
    </w:p>
    <w:p>
      <w:pPr>
        <w:pStyle w:val="FirstParagraph"/>
      </w:pPr>
      <w:r>
        <w:t xml:space="preserve">Selection-on-outcome(t=11.53, p&lt;0.0001), 표본(n=150, 26개 시군구), 군집 페어 부트스트랩 결과 모두 v3와 동일한 결론을 재확인했다 — 모든 계수가 부트스트랩에서 유의성을 상실(p&gt;0.2)했고,</w:t>
      </w:r>
      <w:r>
        <w:t xml:space="preserve"> </w:t>
      </w:r>
      <w:r>
        <w:rPr>
          <w:b/>
          <w:bCs/>
        </w:rPr>
        <w:t xml:space="preserve">“표본력 부족으로 결론을 낼 수 없다”</w:t>
      </w:r>
      <w:r>
        <w:t xml:space="preserve">는 정직한 결론이 유지된다.</w:t>
      </w:r>
    </w:p>
    <w:bookmarkEnd w:id="30"/>
    <w:bookmarkStart w:id="35" w:name="종합-결론"/>
    <w:p>
      <w:pPr>
        <w:pStyle w:val="Heading1"/>
      </w:pPr>
      <w:r>
        <w:t xml:space="preserve">8. 종합 결론</w:t>
      </w:r>
    </w:p>
    <w:bookmarkStart w:id="31" w:name="외부-qa-검토-4건-처리-결과"/>
    <w:p>
      <w:pPr>
        <w:pStyle w:val="Heading2"/>
      </w:pPr>
      <w:r>
        <w:t xml:space="preserve">8.1 외부 QA 검토 4건 처리 결과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검토 지적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2 데이터 누수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확인(버그)</w:t>
            </w:r>
          </w:p>
        </w:tc>
        <w:tc>
          <w:tcPr/>
          <w:p>
            <w:pPr>
              <w:pStyle w:val="Compact"/>
            </w:pPr>
            <w:r>
              <w:t xml:space="preserve">훈련기간 고정</w:t>
            </w:r>
            <w:r>
              <w:t xml:space="preserve"> </w:t>
            </w:r>
            <w:r>
              <w:rPr>
                <w:rStyle w:val="VerbatimChar"/>
              </w:rPr>
              <w:t xml:space="preserve">_gm</w:t>
            </w:r>
            <w:r>
              <w:t xml:space="preserve">으로 수정, 영향은 작았음(−0.5~1.4%p)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2023년 데이터 완전성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확인(더 심각)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데이터유형=추정</w:t>
            </w:r>
            <w:r>
              <w:t xml:space="preserve"> </w:t>
            </w:r>
            <w:r>
              <w:t xml:space="preserve">확인, rolling-origin 2023 스텝 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평균풍속 관측소 교란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확인, 결정 반전</w:t>
            </w:r>
          </w:p>
        </w:tc>
        <w:tc>
          <w:tcPr/>
          <w:p>
            <w:pPr>
              <w:pStyle w:val="Compact"/>
            </w:pPr>
            <w:r>
              <w:t xml:space="preserve">관측소 공유지역 제외 시 Y와의 상관 소실 확인 → 최종 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해운대구 분모 아티팩트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기각</w:t>
            </w:r>
          </w:p>
        </w:tc>
        <w:tc>
          <w:tcPr/>
          <w:p>
            <w:pPr>
              <w:pStyle w:val="Compact"/>
            </w:pPr>
            <w:r>
              <w:t xml:space="preserve">소나무비율 전국 5위로 실제 특성 확인</w:t>
            </w:r>
          </w:p>
        </w:tc>
      </w:tr>
    </w:tbl>
    <w:bookmarkEnd w:id="31"/>
    <w:bookmarkStart w:id="32" w:name="주요-발견"/>
    <w:p>
      <w:pPr>
        <w:pStyle w:val="Heading2"/>
      </w:pPr>
      <w:r>
        <w:t xml:space="preserve">8.2 주요 발견</w:t>
      </w:r>
    </w:p>
    <w:p>
      <w:pPr>
        <w:pStyle w:val="Compact"/>
        <w:numPr>
          <w:ilvl w:val="0"/>
          <w:numId w:val="1001"/>
        </w:numPr>
      </w:pPr>
      <w:r>
        <w:t xml:space="preserve">4건 중 3건이 실제 문제로 확인됐고, 특히 평균풍속은</w:t>
      </w:r>
      <w:r>
        <w:t xml:space="preserve"> </w:t>
      </w:r>
      <w:r>
        <w:rPr>
          <w:b/>
          <w:bCs/>
        </w:rPr>
        <w:t xml:space="preserve">두 차례 결정이 뒤집힌 사례</w:t>
      </w:r>
      <w:r>
        <w:t xml:space="preserve">다 — 매번 더 엄밀한 검증(원시상관→Spearman→관측소 교란검정)이 앞선 결정의 허점을 드러냈다.</w:t>
      </w:r>
    </w:p>
    <w:p>
      <w:pPr>
        <w:pStyle w:val="Compact"/>
        <w:numPr>
          <w:ilvl w:val="0"/>
          <w:numId w:val="1001"/>
        </w:numPr>
      </w:pPr>
      <w:r>
        <w:t xml:space="preserve">이 모든 수정에도 핵심 결론(between만 유의, 배분갭 낮은 설명력, 배분 사후반응성, Model 2의 진짜 동력은 상습발생 여부)은 전부 재현됐다 — 분석 프레임워크 자체는 강건하다.</w:t>
      </w:r>
    </w:p>
    <w:p>
      <w:pPr>
        <w:pStyle w:val="Compact"/>
        <w:numPr>
          <w:ilvl w:val="0"/>
          <w:numId w:val="1001"/>
        </w:numPr>
      </w:pPr>
      <w:r>
        <w:t xml:space="preserve">Model 2의 실제 추가가치는</w:t>
      </w:r>
      <w:r>
        <w:t xml:space="preserve"> </w:t>
      </w:r>
      <w:r>
        <w:t xml:space="preserve">“복잡한 모형”</w:t>
      </w:r>
      <w:r>
        <w:t xml:space="preserve"> </w:t>
      </w:r>
      <w:r>
        <w:t xml:space="preserve">자체가 아니라</w:t>
      </w:r>
      <w:r>
        <w:t xml:space="preserve"> </w:t>
      </w:r>
      <w:r>
        <w:t xml:space="preserve">“상습발생 이력”</w:t>
      </w:r>
      <w:r>
        <w:t xml:space="preserve">이라는 단일 정보에 있다는 것이 기준모형 비교로 정량화됐다.</w:t>
      </w:r>
    </w:p>
    <w:bookmarkEnd w:id="32"/>
    <w:bookmarkStart w:id="33" w:name="한계-외부검토-반영-추가"/>
    <w:p>
      <w:pPr>
        <w:pStyle w:val="Heading2"/>
      </w:pPr>
      <w:r>
        <w:t xml:space="preserve">8.3 한계 (외부검토 반영 추가)</w:t>
      </w:r>
    </w:p>
    <w:p>
      <w:pPr>
        <w:pStyle w:val="Compact"/>
        <w:numPr>
          <w:ilvl w:val="0"/>
          <w:numId w:val="1002"/>
        </w:numPr>
      </w:pPr>
      <w:r>
        <w:t xml:space="preserve">축A 임계값(±0.5) 민감도 분석은 아직 수행하지 않았다.</w:t>
      </w:r>
    </w:p>
    <w:p>
      <w:pPr>
        <w:pStyle w:val="Compact"/>
        <w:numPr>
          <w:ilvl w:val="0"/>
          <w:numId w:val="1002"/>
        </w:numPr>
      </w:pPr>
      <w:r>
        <w:t xml:space="preserve">배분공식의 하한(30%)·상한(±30%)은 임의 설정값이다.</w:t>
      </w:r>
    </w:p>
    <w:p>
      <w:pPr>
        <w:pStyle w:val="Compact"/>
        <w:numPr>
          <w:ilvl w:val="0"/>
          <w:numId w:val="1002"/>
        </w:numPr>
      </w:pPr>
      <w:r>
        <w:t xml:space="preserve">예산 시뮬레이션은</w:t>
      </w:r>
      <w:r>
        <w:t xml:space="preserve"> </w:t>
      </w:r>
      <w:r>
        <w:t xml:space="preserve">“최적 배분”</w:t>
      </w:r>
      <w:r>
        <w:t xml:space="preserve">이 아니라 정책 시나리오로만 제시해야 한다(실제 피해규모, 긴급사업, 방제단가 등 미관측 요인이 현재 예산에 반영돼 있을 수 있음).</w:t>
      </w:r>
    </w:p>
    <w:p>
      <w:pPr>
        <w:pStyle w:val="Compact"/>
        <w:numPr>
          <w:ilvl w:val="0"/>
          <w:numId w:val="1002"/>
        </w:numPr>
      </w:pPr>
      <w:r>
        <w:t xml:space="preserve">Model 2는 원시 카운트가 없어 진짜 count 모형이 아닌 근사 구현이다.</w:t>
      </w:r>
    </w:p>
    <w:bookmarkEnd w:id="33"/>
    <w:bookmarkStart w:id="34" w:name="향후-과제"/>
    <w:p>
      <w:pPr>
        <w:pStyle w:val="Heading2"/>
      </w:pPr>
      <w:r>
        <w:t xml:space="preserve">8.4 향후 과제</w:t>
      </w:r>
    </w:p>
    <w:p>
      <w:pPr>
        <w:pStyle w:val="Compact"/>
        <w:numPr>
          <w:ilvl w:val="0"/>
          <w:numId w:val="1003"/>
        </w:numPr>
      </w:pPr>
      <w:r>
        <w:t xml:space="preserve">축A 임계값 민감도 분석(±0.3/±0.5/±0.7)</w:t>
      </w:r>
    </w:p>
    <w:p>
      <w:pPr>
        <w:pStyle w:val="Compact"/>
        <w:numPr>
          <w:ilvl w:val="0"/>
          <w:numId w:val="1003"/>
        </w:numPr>
      </w:pPr>
      <w:r>
        <w:t xml:space="preserve">예산 이원화 시나리오(예방 30~40% Model 1 / 긴급 60~70% Model 2) 구체화</w:t>
      </w:r>
    </w:p>
    <w:p>
      <w:pPr>
        <w:pStyle w:val="Compact"/>
        <w:numPr>
          <w:ilvl w:val="0"/>
          <w:numId w:val="1003"/>
        </w:numPr>
      </w:pPr>
      <w:r>
        <w:t xml:space="preserve">CH3에서</w:t>
      </w:r>
      <w:r>
        <w:t xml:space="preserve"> </w:t>
      </w:r>
      <w:r>
        <w:t xml:space="preserve">“지원효과 시뮬레이션”</w:t>
      </w:r>
      <w:r>
        <w:t xml:space="preserve">(정책개입 가능 변수만 조정한 지수 개선폭 시나리오)으로 연결</w:t>
      </w:r>
    </w:p>
    <w:p>
      <w:pPr>
        <w:pStyle w:val="Compact"/>
        <w:numPr>
          <w:ilvl w:val="0"/>
          <w:numId w:val="1003"/>
        </w:numPr>
      </w:pPr>
      <w:r>
        <w:t xml:space="preserve">표현 정리:</w:t>
      </w:r>
      <w:r>
        <w:t xml:space="preserve"> </w:t>
      </w:r>
      <w:r>
        <w:t xml:space="preserve">“예산 부족/과다”</w:t>
      </w:r>
      <w:r>
        <w:t xml:space="preserve">→</w:t>
      </w:r>
      <w:r>
        <w:t xml:space="preserve">“구조위험 대비 저/고배분”</w:t>
      </w:r>
      <w:r>
        <w:t xml:space="preserve">,</w:t>
      </w:r>
      <w:r>
        <w:t xml:space="preserve"> </w:t>
      </w:r>
      <w:r>
        <w:t xml:space="preserve">“정확한 예측”</w:t>
      </w:r>
      <w:r>
        <w:t xml:space="preserve">→</w:t>
      </w:r>
      <w:r>
        <w:t xml:space="preserve">“연관성 확인”</w:t>
      </w:r>
      <w:r>
        <w:t xml:space="preserve"> </w:t>
      </w:r>
      <w:r>
        <w:t xml:space="preserve">등</w:t>
      </w:r>
    </w:p>
    <w:bookmarkEnd w:id="34"/>
    <w:bookmarkEnd w:id="35"/>
    <w:bookmarkStart w:id="36" w:name="부록.-산출물-파일-목록"/>
    <w:p>
      <w:pPr>
        <w:pStyle w:val="Heading1"/>
      </w:pPr>
      <w:r>
        <w:t xml:space="preserve">부록. 산출물 파일 목록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scripts/model1_v4_final.py</w:t>
            </w:r>
          </w:p>
        </w:tc>
        <w:tc>
          <w:tcPr/>
          <w:p>
            <w:pPr>
              <w:pStyle w:val="Compact"/>
            </w:pPr>
            <w:r>
              <w:t xml:space="preserve">Model 1 최종(평균풍속 제외) — 지수·모형A·배분갭·기여도·유형화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scripts/model1_windspeed_sensitivity.py</w:t>
            </w:r>
          </w:p>
        </w:tc>
        <w:tc>
          <w:tcPr/>
          <w:p>
            <w:pPr>
              <w:pStyle w:val="Compact"/>
            </w:pPr>
            <w:r>
              <w:t xml:space="preserve">평균풍속 포함/제외 민감도 분석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scripts/model2_final.py</w:t>
            </w:r>
          </w:p>
        </w:tc>
        <w:tc>
          <w:tcPr/>
          <w:p>
            <w:pPr>
              <w:pStyle w:val="Compact"/>
            </w:pPr>
            <w:r>
              <w:t xml:space="preserve">Model 2 누수 수정 최종판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scripts/model_b_stage3_v4.py</w:t>
            </w:r>
          </w:p>
        </w:tc>
        <w:tc>
          <w:tcPr/>
          <w:p>
            <w:pPr>
              <w:pStyle w:val="Compact"/>
            </w:pPr>
            <w:r>
              <w:t xml:space="preserve">배분공식 시뮬레이션 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scripts/national_response_robustness_v4.py</w:t>
            </w:r>
          </w:p>
        </w:tc>
        <w:tc>
          <w:tcPr/>
          <w:p>
            <w:pPr>
              <w:pStyle w:val="Compact"/>
            </w:pPr>
            <w:r>
              <w:t xml:space="preserve">국가대응수준 보조모형 v4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output/모델링/구조적취약성지수_v4.csv</w:t>
            </w:r>
          </w:p>
        </w:tc>
        <w:tc>
          <w:tcPr/>
          <w:p>
            <w:pPr>
              <w:pStyle w:val="Compact"/>
            </w:pPr>
            <w:r>
              <w:t xml:space="preserve">Model 1 최종 지수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output/모델링/Model1_기여도분해_유형화_v4.csv</w:t>
            </w:r>
          </w:p>
        </w:tc>
        <w:tc>
          <w:tcPr/>
          <w:p>
            <w:pPr>
              <w:pStyle w:val="Compact"/>
            </w:pPr>
            <w:r>
              <w:t xml:space="preserve">221개 시군구 기여도·유형화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output/모델링/Model2_최종_로그.txt</w:t>
            </w:r>
          </w:p>
        </w:tc>
        <w:tc>
          <w:tcPr/>
          <w:p>
            <w:pPr>
              <w:pStyle w:val="Compact"/>
            </w:pPr>
            <w:r>
              <w:t xml:space="preserve">Model 2 누수 수정 전체 로그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output/모델링/평균풍속_민감도분석_로그.txt</w:t>
            </w:r>
          </w:p>
        </w:tc>
        <w:tc>
          <w:tcPr/>
          <w:p>
            <w:pPr>
              <w:pStyle w:val="Compact"/>
            </w:pPr>
            <w:r>
              <w:t xml:space="preserve">풍속 포함/제외 비교 로그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output/모델링/배분공식_시뮬레이션결과_v4.csv</w:t>
            </w:r>
            <w:r>
              <w:t xml:space="preserve"> </w:t>
            </w:r>
            <w:r>
              <w:rPr>
                <w:rStyle w:val="VerbatimChar"/>
              </w:rPr>
              <w:t xml:space="preserve">국가대응수준_보조모형_로그_v4.txt</w:t>
            </w:r>
          </w:p>
        </w:tc>
        <w:tc>
          <w:tcPr/>
          <w:p>
            <w:pPr>
              <w:pStyle w:val="Compact"/>
            </w:pPr>
            <w:r>
              <w:t xml:space="preserve">v4 배분공식·국가대응수준 결과</w:t>
            </w:r>
          </w:p>
        </w:tc>
      </w:tr>
    </w:tbl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CH2 방제취약성지수 산출 및 맞춤형 예산배분 모델링 분석보고서</dc:title>
  <dc:creator/>
  <cp:keywords/>
  <dcterms:created xsi:type="dcterms:W3CDTF">2026-07-29T20:06:46Z</dcterms:created>
  <dcterms:modified xsi:type="dcterms:W3CDTF">2026-07-29T20:06:46Z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2026-07-30 (v4 — 외부 QA 검토 4건 반영: 누수 수정·2023 제외·평균풍속 재검토·해운대구 검증)</vt:lpwstr>
  </property>
</Properties>
</file>