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</w:t>
      </w:r>
    </w:p>
    <w:p>
      <w:pPr>
        <w:pStyle w:val="Date"/>
      </w:pPr>
      <w:r>
        <w:t xml:space="preserve">2026-07-29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국가대응수준 도메인은 커버리지 한계(31/229개 시군구, 13.5%)로 메인 분석에서 제외하고 로버스트니스 전용 보조모형으로 별도 유지한다.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패널(원본 1,832행 × 94열). 5개 도메인(노출도·기후위험도·지자체대응역량·인위적확산·국가대응수준)을 병합. 변수별 역할은 팀 공식 변수사전(</w:t>
      </w:r>
      <w:r>
        <w:rPr>
          <w:rStyle w:val="VerbatimChar"/>
        </w:rPr>
        <w:t xml:space="preserve">변수사전_역할태그.csv</w:t>
      </w:r>
      <w:r>
        <w:t xml:space="preserve">)의 핵심/보조/제외/품질/검산/민감도/보류 태그를 그대로 따랐다.</w:t>
      </w:r>
    </w:p>
    <w:p>
      <w:pPr>
        <w:pStyle w:val="BodyText"/>
      </w:pPr>
      <w:r>
        <w:rPr>
          <w:b/>
          <w:bCs/>
        </w:rPr>
        <w:t xml:space="preserve">분석 구조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표본 정의 및 결측치 처리</w:t>
      </w:r>
    </w:p>
    <w:p>
      <w:pPr>
        <w:pStyle w:val="Compact"/>
        <w:numPr>
          <w:ilvl w:val="0"/>
          <w:numId w:val="1001"/>
        </w:numPr>
      </w:pPr>
      <w:r>
        <w:t xml:space="preserve">방제취약성지수 산출(도메인 표준화·가중합)</w:t>
      </w:r>
    </w:p>
    <w:p>
      <w:pPr>
        <w:pStyle w:val="Compact"/>
        <w:numPr>
          <w:ilvl w:val="0"/>
          <w:numId w:val="1001"/>
        </w:numPr>
      </w:pPr>
      <w:r>
        <w:t xml:space="preserve">모형 A — 지수 타당성 검증(패널 CRE 2부문모형)</w:t>
      </w:r>
    </w:p>
    <w:p>
      <w:pPr>
        <w:pStyle w:val="Compact"/>
        <w:numPr>
          <w:ilvl w:val="0"/>
          <w:numId w:val="1001"/>
        </w:numPr>
      </w:pPr>
      <w:r>
        <w:t xml:space="preserve">모형 B — 맞춤형 예산배분(1단계 배분갭 진단, 3단계 배분공식 시뮬레이션)</w:t>
      </w:r>
    </w:p>
    <w:p>
      <w:pPr>
        <w:pStyle w:val="Compact"/>
        <w:numPr>
          <w:ilvl w:val="0"/>
          <w:numId w:val="1001"/>
        </w:numPr>
      </w:pPr>
      <w:r>
        <w:t xml:space="preserve">국가대응수준 보조모형(로버스트니스 전용)</w:t>
      </w:r>
    </w:p>
    <w:p>
      <w:pPr>
        <w:pStyle w:val="FirstParagraph"/>
      </w:pPr>
      <w:r>
        <w:t xml:space="preserve">각 단계의 산출 스크립트는</w:t>
      </w:r>
      <w:r>
        <w:t xml:space="preserve"> </w:t>
      </w:r>
      <w:r>
        <w:rPr>
          <w:rStyle w:val="VerbatimChar"/>
        </w:rPr>
        <w:t xml:space="preserve">병합패널/scripts/</w:t>
      </w:r>
      <w:r>
        <w:t xml:space="preserve">(</w:t>
      </w:r>
      <w:r>
        <w:rPr>
          <w:rStyle w:val="VerbatimChar"/>
        </w:rPr>
        <w:t xml:space="preserve">final_modeling.py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model_b_stage1.py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national_response_robustness.py</w:t>
      </w:r>
      <w:r>
        <w:t xml:space="preserve">)에, 산출물은</w:t>
      </w:r>
      <w:r>
        <w:t xml:space="preserve"> </w:t>
      </w:r>
      <w:r>
        <w:rPr>
          <w:rStyle w:val="VerbatimChar"/>
        </w:rPr>
        <w:t xml:space="preserve">병합패널/output/모델링/</w:t>
      </w:r>
      <w:r>
        <w:t xml:space="preserve">에 저장되어 있다.</w:t>
      </w:r>
    </w:p>
    <w:bookmarkEnd w:id="9"/>
    <w:bookmarkStart w:id="13" w:name="표본-정의-및-결측치-처리"/>
    <w:p>
      <w:pPr>
        <w:pStyle w:val="Heading1"/>
      </w:pPr>
      <w:r>
        <w:t xml:space="preserve">2. 표본 정의 및 결측치 처리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  <w:tc>
          <w:tcPr/>
          <w:p>
            <w:pPr>
              <w:pStyle w:val="Compact"/>
            </w:pPr>
            <w:r>
              <w:t xml:space="preserve">229개 시군구 × 8개년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면적=0 표본 제외 후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  <w:tc>
          <w:tcPr/>
          <w:p>
            <w:pPr>
              <w:pStyle w:val="Compact"/>
            </w:pPr>
            <w:r>
              <w:t xml:space="preserve">대구 중구(8행)·서울 영등포구(8행)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완비(listwise deletion)</w:t>
            </w:r>
          </w:p>
        </w:tc>
        <w:tc>
          <w:tcPr/>
          <w:p>
            <w:pPr>
              <w:pStyle w:val="Compact"/>
            </w:pPr>
            <w:r>
              <w:t xml:space="preserve">1,758</w:t>
            </w:r>
          </w:p>
        </w:tc>
        <w:tc>
          <w:tcPr/>
          <w:p>
            <w:pPr>
              <w:pStyle w:val="Compact"/>
            </w:pPr>
            <w:r>
              <w:t xml:space="preserve">3.2% 손실</w:t>
            </w:r>
          </w:p>
        </w:tc>
      </w:tr>
    </w:tbl>
    <w:p>
      <w:pPr>
        <w:pStyle w:val="BodyText"/>
      </w:pPr>
      <w:r>
        <w:t xml:space="preserve">대구 중구·영등포구는 GIS 원본 임상도 재매칭으로</w:t>
      </w:r>
      <w:r>
        <w:t xml:space="preserve"> </w:t>
      </w:r>
      <w:r>
        <w:rPr>
          <w:b/>
          <w:bCs/>
        </w:rPr>
        <w:t xml:space="preserve">소나무림면적이 실제로 0에 가깝다고 확인된 순수 도심 지역</w:t>
      </w:r>
      <w:r>
        <w:t xml:space="preserve">이다(인천 동구·강화군은 같은 재매칭으로 실제 면적이 복원되어 정상 처리됨). 종속변수가</w:t>
      </w:r>
      <w:r>
        <w:t xml:space="preserve"> </w:t>
      </w:r>
      <w:r>
        <w:t xml:space="preserve">“소나무림 ha당 피해밀도”</w:t>
      </w:r>
      <w:r>
        <w:t xml:space="preserve">로 정의되어 분모=0에서 미정의이고, 산림 자체가 없는 지역은 재선충 위험 모집단 밖이므로 추정표본에서 제외했다(전체의 0.9%, 정보손실 미미).</w:t>
      </w:r>
    </w:p>
    <w:bookmarkEnd w:id="10"/>
    <w:bookmarkStart w:id="11" w:name="핵심-결측치-이슈-해소"/>
    <w:p>
      <w:pPr>
        <w:pStyle w:val="Heading2"/>
      </w:pPr>
      <w:r>
        <w:t xml:space="preserve">2.2 핵심 결측치 이슈 해소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2016년 예찰진단예산</w:t>
      </w:r>
      <w:r>
        <w:t xml:space="preserve">: 구버전 변수(</w:t>
      </w:r>
      <w:r>
        <w:rPr>
          <w:rStyle w:val="VerbatimChar"/>
        </w:rPr>
        <w:t xml:space="preserve">예찰진단예산_소나무림ha당_log</w:t>
      </w:r>
      <w:r>
        <w:t xml:space="preserve">)는 2016년 100% 결측 버그가 있었으나, 팀 공식 분류에서</w:t>
      </w:r>
      <w:r>
        <w:t xml:space="preserve"> </w:t>
      </w:r>
      <w:r>
        <w:rPr>
          <w:b/>
          <w:bCs/>
        </w:rPr>
        <w:t xml:space="preserve">재선충 명시 예산 계열</w:t>
      </w:r>
      <w:r>
        <w:t xml:space="preserve">(</w:t>
      </w:r>
      <w:r>
        <w:rPr>
          <w:rStyle w:val="VerbatimChar"/>
        </w:rPr>
        <w:t xml:space="preserve">대응자원투입예산_소나무림ha당_log_재선충명시</w:t>
      </w:r>
      <w:r>
        <w:t xml:space="preserve">,</w:t>
      </w:r>
      <w:r>
        <w:t xml:space="preserve"> </w:t>
      </w:r>
      <w:r>
        <w:rPr>
          <w:rStyle w:val="VerbatimChar"/>
        </w:rPr>
        <w:t xml:space="preserve">예찰사업_재선충명시_존재_flag</w:t>
      </w:r>
      <w:r>
        <w:t xml:space="preserve">)로 대체되어 이 문제가 해소되었다(2016년 결측 8/229건으로 다른 연도와 비슷한 수준). 별도 대입(비율 이월법 등) 없이 재선충명시 변수를 그대로 사용했다.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종속변수의 0값 구조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log_피해밀도_본per_ha</w:t>
      </w:r>
      <w:r>
        <w:t xml:space="preserve">의</w:t>
      </w:r>
      <w:r>
        <w:t xml:space="preserve"> </w:t>
      </w:r>
      <w:r>
        <w:rPr>
          <w:b/>
          <w:bCs/>
        </w:rPr>
        <w:t xml:space="preserve">51.3%가 정확히 0</w:t>
      </w:r>
      <w:r>
        <w:t xml:space="preserve">이다. 원시 피해목 개수가 패널에 없어(역변환 시 56.7%만 정수에 근접해 신뢰 불가) Poisson-offset 모형은 채택하지 않고,</w:t>
      </w:r>
      <w:r>
        <w:t xml:space="preserve"> </w:t>
      </w:r>
      <w:r>
        <w:rPr>
          <w:b/>
          <w:bCs/>
        </w:rPr>
        <w:t xml:space="preserve">2부문모형(hurdle: 발생여부 로지스틱 + 발생 시 크기 조건부 OLS)</w:t>
      </w:r>
      <w:r>
        <w:t xml:space="preserve">을 주 사양으로 채택했다.</w:t>
      </w:r>
    </w:p>
    <w:bookmarkEnd w:id="11"/>
    <w:bookmarkStart w:id="12" w:name="핵심변수-방향성-확인-vs-y-상관"/>
    <w:p>
      <w:pPr>
        <w:pStyle w:val="Heading2"/>
      </w:pPr>
      <w:r>
        <w:t xml:space="preserve">2.3 핵심변수 방향성 확인 (vs Y 상관)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r (vs log_피해밀도)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  <w:tc>
          <w:tcPr/>
          <w:p>
            <w:pPr>
              <w:pStyle w:val="Compact"/>
            </w:pPr>
            <w:r>
              <w:t xml:space="preserve">+0.252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연강수량_mm</w:t>
            </w:r>
          </w:p>
        </w:tc>
        <w:tc>
          <w:tcPr/>
          <w:p>
            <w:pPr>
              <w:pStyle w:val="Compact"/>
            </w:pPr>
            <w:r>
              <w:t xml:space="preserve">+0.038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평균풍속_ms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GDD_솔수염하늘소_base11.9</w:t>
            </w:r>
          </w:p>
        </w:tc>
        <w:tc>
          <w:tcPr/>
          <w:p>
            <w:pPr>
              <w:pStyle w:val="Compact"/>
            </w:pPr>
            <w:r>
              <w:t xml:space="preserve">+0.154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SPI3_최저월(최심가뭄)</w:t>
            </w:r>
          </w:p>
        </w:tc>
        <w:tc>
          <w:tcPr/>
          <w:p>
            <w:pPr>
              <w:pStyle w:val="Compact"/>
            </w:pPr>
            <w:r>
              <w:t xml:space="preserve">+0.088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대응자원투입예산_로그(재선충명시)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예찰사업_존재_flag(재선충명시)</w:t>
            </w:r>
          </w:p>
        </w:tc>
        <w:tc>
          <w:tcPr/>
          <w:p>
            <w:pPr>
              <w:pStyle w:val="Compact"/>
            </w:pPr>
            <w:r>
              <w:t xml:space="preserve">−0.053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도로소나무비율_500m(면적통제 잔차)</w:t>
            </w:r>
          </w:p>
        </w:tc>
        <w:tc>
          <w:tcPr/>
          <w:p>
            <w:pPr>
              <w:pStyle w:val="Compact"/>
            </w:pPr>
            <w:r>
              <w:t xml:space="preserve">+0.175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log1p_원목생산업체수(면적통제 잔차)</w:t>
            </w:r>
          </w:p>
        </w:tc>
        <w:tc>
          <w:tcPr/>
          <w:p>
            <w:pPr>
              <w:pStyle w:val="Compact"/>
            </w:pPr>
            <w:r>
              <w:t xml:space="preserve">−0.190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: 대응자원투입예산의 원시 상관이</w:t>
      </w:r>
      <w:r>
        <w:t xml:space="preserve"> </w:t>
      </w:r>
      <w:r>
        <w:rPr>
          <w:b/>
          <w:bCs/>
        </w:rPr>
        <w:t xml:space="preserve">+0.254(강한 양의 상관)</w:t>
      </w:r>
      <w:r>
        <w:t xml:space="preserve">로, 이론(예산↑→피해↓)과 정반대다. 이는</w:t>
      </w:r>
      <w:r>
        <w:t xml:space="preserve"> </w:t>
      </w:r>
      <w:r>
        <w:t xml:space="preserve">“예산이 피해에 반응해 배정된다”</w:t>
      </w:r>
      <w:r>
        <w:t xml:space="preserve">는 역인과가 실제 데이터에서 확인된 것으로, 이 도메인의 지수 방향은 데이터가 아니라</w:t>
      </w:r>
      <w:r>
        <w:t xml:space="preserve"> </w:t>
      </w:r>
      <w:r>
        <w:rPr>
          <w:b/>
          <w:bCs/>
        </w:rPr>
        <w:t xml:space="preserve">이론에 따라 강제(음수)</w:t>
      </w:r>
      <w:r>
        <w:t xml:space="preserve">했다. 평균풍속(r=−0.019)·SPI3(r=+0.088)는 상관이 매우 약해 방향이 표본에 따라 불안정할 수 있음에 유의.</w:t>
      </w:r>
    </w:p>
    <w:bookmarkEnd w:id="12"/>
    <w:bookmarkEnd w:id="13"/>
    <w:bookmarkStart w:id="17" w:name="방제취약성지수-산출"/>
    <w:p>
      <w:pPr>
        <w:pStyle w:val="Heading1"/>
      </w:pPr>
      <w:r>
        <w:t xml:space="preserve">3. 방제취약성지수 산출</w:t>
      </w:r>
    </w:p>
    <w:bookmarkStart w:id="14" w:name="도메인-구성"/>
    <w:p>
      <w:pPr>
        <w:pStyle w:val="Heading2"/>
      </w:pPr>
      <w:r>
        <w:t xml:space="preserve">3.1 도메인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  <w:tc>
          <w:tcPr/>
          <w:p>
            <w:pPr>
              <w:pStyle w:val="Compact"/>
            </w:pPr>
            <w:r>
              <w:t xml:space="preserve">지수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연강수량·풍속·GDD·SPI3</w:t>
            </w:r>
          </w:p>
        </w:tc>
        <w:tc>
          <w:tcPr/>
          <w:p>
            <w:pPr>
              <w:pStyle w:val="Compact"/>
            </w:pPr>
            <w:r>
              <w:t xml:space="preserve">상관 부호 기준(약함, 주의)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이론적 강제 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도로소나무비율(면적통제), 원목생산업체수(면적통제)</w:t>
            </w:r>
          </w:p>
        </w:tc>
        <w:tc>
          <w:tcPr/>
          <w:p>
            <w:pPr>
              <w:pStyle w:val="Compact"/>
            </w:pPr>
            <w:r>
              <w:t xml:space="preserve">+/− (면적통제 후 재해석)</w:t>
            </w:r>
          </w:p>
        </w:tc>
      </w:tr>
    </w:tbl>
    <w:p>
      <w:pPr>
        <w:pStyle w:val="BodyText"/>
      </w:pPr>
      <w:r>
        <w:t xml:space="preserve">도메인 내 변수는 연도 내(within-year) z-score로 표준화 후 도메인 평균으로 합산했다. 인위적확산 도메인은</w:t>
      </w:r>
      <w:r>
        <w:t xml:space="preserve"> </w:t>
      </w:r>
      <w:r>
        <w:rPr>
          <w:rStyle w:val="VerbatimChar"/>
        </w:rPr>
        <w:t xml:space="preserve">log_소나무림면적</w:t>
      </w:r>
      <w:r>
        <w:t xml:space="preserve">에 대한 잔차화(residualize) 후 표준화하여 면적 규모 효과를 통제했다.</w:t>
      </w:r>
    </w:p>
    <w:bookmarkEnd w:id="14"/>
    <w:bookmarkStart w:id="15" w:name="도메인-점수-상호상관"/>
    <w:p>
      <w:pPr>
        <w:pStyle w:val="Heading2"/>
      </w:pPr>
      <w:r>
        <w:t xml:space="preserve">3.2 도메인 점수 상호상관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−0.076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−0.076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노출도-인위적확산 상관이 0.400으로 다소 높으나(개념적으로 일부 겹침) 다중공선성 수준은 아니다.</w:t>
      </w:r>
    </w:p>
    <w:bookmarkEnd w:id="15"/>
    <w:bookmarkStart w:id="16" w:name="가중치-동일가중주-지수-vs-실증가중lmg-강건성"/>
    <w:p>
      <w:pPr>
        <w:pStyle w:val="Heading2"/>
      </w:pPr>
      <w:r>
        <w:t xml:space="preserve">3.3 가중치 — 동일가중(주 지수) vs 실증가중(LMG, 강건성)</w:t>
      </w:r>
    </w:p>
    <w:p>
      <w:pPr>
        <w:pStyle w:val="FirstParagraph"/>
      </w:pPr>
      <w:r>
        <w:t xml:space="preserve">지자체대응역량 도메인은 역인과 위험 때문에</w:t>
      </w:r>
      <w:r>
        <w:t xml:space="preserve"> </w:t>
      </w:r>
      <w:r>
        <w:rPr>
          <w:b/>
          <w:bCs/>
        </w:rPr>
        <w:t xml:space="preserve">데이터기반 가중치 추정에서 제외</w:t>
      </w:r>
      <w:r>
        <w:t xml:space="preserve">하고, 나머지 3개 도메인(노출도·기후위험도·인위적확산)만 훈련표본(2017–2020, n=880)에서 LMG(Lindeman-Merenda-Gold) R² 분해로 실증 가중치를 산출했다.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R² 기여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0.0360</w:t>
            </w:r>
          </w:p>
        </w:tc>
        <w:tc>
          <w:tcPr/>
          <w:p>
            <w:pPr>
              <w:pStyle w:val="Compact"/>
            </w:pPr>
            <w:r>
              <w:t xml:space="preserve">45.5%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0.0426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R²</w:t>
            </w:r>
          </w:p>
        </w:tc>
        <w:tc>
          <w:tcPr/>
          <w:p>
            <w:pPr>
              <w:pStyle w:val="Compact"/>
            </w:pPr>
            <w:r>
              <w:t xml:space="preserve">0.0792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기후위험도 도메인의 실증 기여가 거의 0에 가깝다. 이는</w:t>
      </w:r>
      <w:r>
        <w:t xml:space="preserve"> </w:t>
      </w:r>
      <w:r>
        <w:t xml:space="preserve">“기후가 중요하지 않다”</w:t>
      </w:r>
      <w:r>
        <w:t xml:space="preserve">기보다 이 선형결합 방식이 기후효과를 포착하지 못한다는 신호로 해석해야 하며,</w:t>
      </w:r>
      <w:r>
        <w:t xml:space="preserve"> </w:t>
      </w:r>
      <w:r>
        <w:rPr>
          <w:b/>
          <w:bCs/>
        </w:rPr>
        <w:t xml:space="preserve">동일가중 지수를 주 지수로 유지</w:t>
      </w:r>
      <w:r>
        <w:t xml:space="preserve">하는 근거가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실증가중</w:t>
            </w:r>
          </w:p>
        </w:tc>
        <w:tc>
          <w:tcPr/>
          <w:p>
            <w:pPr>
              <w:pStyle w:val="Compact"/>
            </w:pPr>
            <w:r>
              <w:t xml:space="preserve">34.1%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40.4%</w:t>
            </w:r>
          </w:p>
        </w:tc>
        <w:tc>
          <w:tcPr/>
          <w:p>
            <w:pPr>
              <w:pStyle w:val="Compact"/>
            </w:pPr>
            <w:r>
              <w:t xml:space="preserve">25.0%(이론고정)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지수(동일가중 vs 실증가중)의 시군구 순위상관 Spearman ρ = 0.950</w:t>
      </w:r>
      <w:r>
        <w:t xml:space="preserve"> </w:t>
      </w:r>
      <w:r>
        <w:t xml:space="preserve">— 가중치가 크게 다름에도 순위는 거의 동일하여 지수가 안정적임을 시사한다.</w:t>
      </w:r>
    </w:p>
    <w:bookmarkEnd w:id="16"/>
    <w:bookmarkEnd w:id="17"/>
    <w:bookmarkStart w:id="22" w:name="모형-a-지수-타당성-검증"/>
    <w:p>
      <w:pPr>
        <w:pStyle w:val="Heading1"/>
      </w:pPr>
      <w:r>
        <w:t xml:space="preserve">4. 모형 A — 지수 타당성 검증</w:t>
      </w:r>
    </w:p>
    <w:bookmarkStart w:id="18" w:name="설계"/>
    <w:p>
      <w:pPr>
        <w:pStyle w:val="Heading2"/>
      </w:pPr>
      <w:r>
        <w:t xml:space="preserve">4.1 설계</w:t>
      </w:r>
    </w:p>
    <w:p>
      <w:pPr>
        <w:pStyle w:val="FirstParagraph"/>
      </w:pPr>
      <w:r>
        <w:t xml:space="preserve">Two-way 고정효과 대신</w:t>
      </w:r>
      <w:r>
        <w:t xml:space="preserve"> </w:t>
      </w:r>
      <w:r>
        <w:rPr>
          <w:b/>
          <w:bCs/>
        </w:rPr>
        <w:t xml:space="preserve">Mundlak/CRE(상관확률효과)</w:t>
      </w:r>
      <w:r>
        <w:t xml:space="preserve">를 주 사양으로 채택했다. 이유: 시군구 고정효과는 지수의 횡단면 변이(=검증 대상인</w:t>
      </w:r>
      <w:r>
        <w:t xml:space="preserve"> </w:t>
      </w:r>
      <w:r>
        <w:t xml:space="preserve">“취약도 줄세우기 성능”</w:t>
      </w:r>
      <w:r>
        <w:t xml:space="preserve">)를 통째로 흡수해버리기 때문이다. CRE는 지수의 지자체별 평균(between,</w:t>
      </w:r>
      <w:r>
        <w:t xml:space="preserve"> </w:t>
      </w:r>
      <w:r>
        <w:rPr>
          <w:rStyle w:val="VerbatimChar"/>
        </w:rPr>
        <w:t xml:space="preserve">_gm</w:t>
      </w:r>
      <w:r>
        <w:t xml:space="preserve"> </w:t>
      </w:r>
      <w:r>
        <w:t xml:space="preserve">항)과 연도별 편차(within)를 분리 추정한다. 훈련(2017–2020, n=880)과 홀드아웃(2021–2022, n=442)으로 분리 검증했다.</w:t>
      </w:r>
    </w:p>
    <w:bookmarkEnd w:id="18"/>
    <w:bookmarkStart w:id="19" w:name="핵심-결과-동일가중지수-기준"/>
    <w:p>
      <w:pPr>
        <w:pStyle w:val="Heading2"/>
      </w:pPr>
      <w:r>
        <w:t xml:space="preserve">4.2 핵심 결과 (동일가중지수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발생여부(로지스틱)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within(연도별 변동)</w:t>
            </w:r>
          </w:p>
        </w:tc>
        <w:tc>
          <w:tcPr/>
          <w:p>
            <w:pPr>
              <w:pStyle w:val="Compact"/>
            </w:pPr>
            <w:r>
              <w:t xml:space="preserve">−0.244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−0.122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between(지자체 평균,</w:t>
            </w:r>
            <w:r>
              <w:t xml:space="preserve"> 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+1.347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−0.374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  <w:r>
              <w:t xml:space="preserve">+0.004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</w:t>
      </w:r>
      <w:r>
        <w:t xml:space="preserve">: between(지자체 고유수준) 항은 훈련·홀드아웃 모두에서 강하게 유의하고 부호도 이론과 일치한다. 반면 within(연도별 변동) 항은 거의 모든 사양에서 유의하지 않다. 즉 이 지수는</w:t>
      </w:r>
      <w:r>
        <w:t xml:space="preserve"> </w:t>
      </w:r>
      <w:r>
        <w:rPr>
          <w:b/>
          <w:bCs/>
        </w:rPr>
        <w:t xml:space="preserve">“어느 지자체가 만성적으로 취약한가”</w:t>
      </w:r>
      <w:r>
        <w:rPr>
          <w:b/>
          <w:bCs/>
        </w:rPr>
        <w:t xml:space="preserve">는 잘 잡아내지만,</w:t>
      </w:r>
      <w:r>
        <w:rPr>
          <w:b/>
          <w:bCs/>
        </w:rPr>
        <w:t xml:space="preserve"> </w:t>
      </w:r>
      <w:r>
        <w:rPr>
          <w:b/>
          <w:bCs/>
        </w:rPr>
        <w:t xml:space="preserve">“같은 지자체 안에서 올해 왜 더/덜 취약해졌나”</w:t>
      </w:r>
      <w:r>
        <w:rPr>
          <w:b/>
          <w:bCs/>
        </w:rPr>
        <w:t xml:space="preserve">는 설명하지 못한다.</w:t>
      </w:r>
      <w:r>
        <w:t xml:space="preserve"> </w:t>
      </w:r>
      <w:r>
        <w:t xml:space="preserve">맞춤형 예산배분은 본질적으로 지자체 간(between) 우선순위 문제이므로, 지수가 검증에 통과해야 할 바로 그 차원에서 통과했다.</w:t>
      </w:r>
    </w:p>
    <w:bookmarkEnd w:id="19"/>
    <w:bookmarkStart w:id="20" w:name="판별력-지표"/>
    <w:p>
      <w:pPr>
        <w:pStyle w:val="Heading2"/>
      </w:pPr>
      <w:r>
        <w:t xml:space="preserve">4.3 판별력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AUC(발생여부 판별, 동일가중)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AUC(발생여부 판별, 실증가중)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ρ(지수 vs Y, 동일가중)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ρ(지수 vs Y, 실증가중)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</w:tr>
    </w:tbl>
    <w:p>
      <w:pPr>
        <w:pStyle w:val="BodyText"/>
      </w:pPr>
      <w:r>
        <w:t xml:space="preserve">십분위 실적표(훈련, 동일가중)는 1분위 발생률 33.0% → 10분위 70.5%로 대체로 우상향하나 완전히 단조롭지는 않다.</w:t>
      </w:r>
    </w:p>
    <w:bookmarkEnd w:id="20"/>
    <w:bookmarkStart w:id="21" w:name="rolling-origin-표본외-검증"/>
    <w:p>
      <w:pPr>
        <w:pStyle w:val="Heading2"/>
      </w:pPr>
      <w:r>
        <w:t xml:space="preserve">4.4 Rolling-origin 표본외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훈련 종료</w:t>
            </w:r>
          </w:p>
        </w:tc>
        <w:tc>
          <w:tcPr/>
          <w:p>
            <w:pPr>
              <w:pStyle w:val="Compact"/>
            </w:pPr>
            <w:r>
              <w:t xml:space="preserve">검증연도</w:t>
            </w:r>
          </w:p>
        </w:tc>
        <w:tc>
          <w:tcPr/>
          <w:p>
            <w:pPr>
              <w:pStyle w:val="Compact"/>
            </w:pPr>
            <w:r>
              <w:t xml:space="preserve">AUC(동일가중)</w:t>
            </w:r>
          </w:p>
        </w:tc>
        <w:tc>
          <w:tcPr/>
          <w:p>
            <w:pPr>
              <w:pStyle w:val="Compact"/>
            </w:pPr>
            <w:r>
              <w:t xml:space="preserve">AUC(실증가중)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</w:tr>
    </w:tbl>
    <w:p>
      <w:pPr>
        <w:pStyle w:val="BodyText"/>
      </w:pPr>
      <w:r>
        <w:rPr>
          <w:b/>
          <w:bCs/>
        </w:rPr>
        <w:t xml:space="preserve">종합 판단</w:t>
      </w:r>
      <w:r>
        <w:t xml:space="preserve">: 판별력(AUC 0.54–0.64, Spearman 0.23–0.29)은 통계적으로 유의하나 크지 않다. 4개 도메인만으로 피해 변이의 대부분을 설명하지 못하는 것은(총 R²≈0.08) 확산이력·공간전파 등 순환위험 변수를 의도적으로 제외했기 때문이기도 하다.</w:t>
      </w:r>
      <w:r>
        <w:t xml:space="preserve"> </w:t>
      </w:r>
      <w:r>
        <w:rPr>
          <w:b/>
          <w:bCs/>
        </w:rPr>
        <w:t xml:space="preserve">모형 A는 between 차원에서 조건부 통과</w:t>
      </w:r>
      <w:r>
        <w:t xml:space="preserve">로 판단하고 모형 B로 진행했다.</w:t>
      </w:r>
    </w:p>
    <w:bookmarkEnd w:id="21"/>
    <w:bookmarkEnd w:id="22"/>
    <w:bookmarkStart w:id="27" w:name="모형-b-1단계-배분갭-진단"/>
    <w:p>
      <w:pPr>
        <w:pStyle w:val="Heading1"/>
      </w:pPr>
      <w:r>
        <w:t xml:space="preserve">5. 모형 B 1단계 — 배분갭 진단</w:t>
      </w:r>
    </w:p>
    <w:bookmarkStart w:id="23" w:name="설계-1"/>
    <w:p>
      <w:pPr>
        <w:pStyle w:val="Heading2"/>
      </w:pPr>
      <w:r>
        <w:t xml:space="preserve">5.1 설계</w:t>
      </w:r>
    </w:p>
    <w:p>
      <w:pPr>
        <w:pStyle w:val="FirstParagraph"/>
      </w:pPr>
      <w:r>
        <w:t xml:space="preserve">예산 변수가 지자체대응역량 도메인의 구성요소이므로, 취약성지수를 그대로 설명변수로 쓰면 예산이 예산을 설명하는 순환논리가 발생한다. 따라서</w:t>
      </w:r>
      <w:r>
        <w:t xml:space="preserve"> </w:t>
      </w:r>
      <w:r>
        <w:rPr>
          <w:b/>
          <w:bCs/>
        </w:rPr>
        <w:t xml:space="preserve">“위험지수”</w:t>
      </w:r>
      <w:r>
        <w:t xml:space="preserve">(노출도+기후위험도+인위적확산, 역량도메인 제외)를 진단용 설명변수로 별도 구성했다. 위험지수는 원 취약성지수와 상관 0.916(동일가중)/0.951(실증가중)로 매우 유사하다.</w:t>
      </w:r>
    </w:p>
    <w:bookmarkEnd w:id="23"/>
    <w:bookmarkStart w:id="24" w:name="지자체-평균between-20172022-n221-회귀"/>
    <w:p>
      <w:pPr>
        <w:pStyle w:val="Heading2"/>
      </w:pPr>
      <w:r>
        <w:t xml:space="preserve">5.2 지자체 평균(between, 2017–2022, n=221) 회귀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위험지수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동일가중</w:t>
            </w:r>
          </w:p>
        </w:tc>
        <w:tc>
          <w:tcPr/>
          <w:p>
            <w:pPr>
              <w:pStyle w:val="Compact"/>
            </w:pPr>
            <w:r>
              <w:t xml:space="preserve">+1.934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실증가중(LMG)</w:t>
            </w:r>
          </w:p>
        </w:tc>
        <w:tc>
          <w:tcPr/>
          <w:p>
            <w:pPr>
              <w:pStyle w:val="Compact"/>
            </w:pPr>
            <w:r>
              <w:t xml:space="preserve">+1.112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</w:tbl>
    <w:p>
      <w:pPr>
        <w:pStyle w:val="BodyText"/>
      </w:pPr>
      <w:r>
        <w:t xml:space="preserve">방향은 맞다(위험 높을수록 예산도 다소 높음). 그러나 R²=3–4%로</w:t>
      </w:r>
      <w:r>
        <w:t xml:space="preserve"> </w:t>
      </w:r>
      <w:r>
        <w:rPr>
          <w:b/>
          <w:bCs/>
        </w:rPr>
        <w:t xml:space="preserve">현재 배분관행은 위험도를 거의 설명하지 못한다</w:t>
      </w:r>
      <w:r>
        <w:t xml:space="preserve"> </w:t>
      </w:r>
      <w:r>
        <w:t xml:space="preserve">— 실제 배정은 위험보다 다른 요인(행정관행·재정여력 등)에 압도적으로 좌우된다. 연도FE+군집표준오차 패널 보조분석에서도 계수 1.757(p=0.002)로 재확인되어 특정 연도의 우연이 아니다.</w:t>
      </w:r>
    </w:p>
    <w:bookmarkEnd w:id="24"/>
    <w:bookmarkStart w:id="25" w:name="배분갭-위험-대비-예산-부족-후보-상위-15개"/>
    <w:p>
      <w:pPr>
        <w:pStyle w:val="Heading2"/>
      </w:pPr>
      <w:r>
        <w:t xml:space="preserve">5.3 배분갭 — 위험 대비 예산</w:t>
      </w:r>
      <w:r>
        <w:t xml:space="preserve"> </w:t>
      </w:r>
      <w:r>
        <w:t xml:space="preserve">“부족”</w:t>
      </w:r>
      <w:r>
        <w:t xml:space="preserve"> </w:t>
      </w:r>
      <w:r>
        <w:t xml:space="preserve">후보 상위 15개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평균위험지수</w:t>
            </w:r>
          </w:p>
        </w:tc>
        <w:tc>
          <w:tcPr/>
          <w:p>
            <w:pPr>
              <w:pStyle w:val="Compact"/>
            </w:pPr>
            <w:r>
              <w:t xml:space="preserve">평균예산(log)</w:t>
            </w:r>
          </w:p>
        </w:tc>
        <w:tc>
          <w:tcPr/>
          <w:p>
            <w:pPr>
              <w:pStyle w:val="Compact"/>
            </w:pPr>
            <w:r>
              <w:t xml:space="preserve">배분갭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−7.272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삼척시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광주광역시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−6.744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동해시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진도군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영광군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−6.315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구례군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광주광역시</w:t>
            </w:r>
          </w:p>
        </w:tc>
        <w:tc>
          <w:tcPr/>
          <w:p>
            <w:pPr>
              <w:pStyle w:val="Compact"/>
            </w:pPr>
            <w:r>
              <w:t xml:space="preserve">북구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남구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속초시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서울특별시</w:t>
            </w:r>
          </w:p>
        </w:tc>
        <w:tc>
          <w:tcPr/>
          <w:p>
            <w:pPr>
              <w:pStyle w:val="Compact"/>
            </w:pPr>
            <w:r>
              <w:t xml:space="preserve">관악구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−6.033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담양군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−5.997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전북특별자치도</w:t>
            </w:r>
          </w:p>
        </w:tc>
        <w:tc>
          <w:tcPr/>
          <w:p>
            <w:pPr>
              <w:pStyle w:val="Compact"/>
            </w:pPr>
            <w:r>
              <w:t xml:space="preserve">고창군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−5.963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서울특별시</w:t>
            </w:r>
          </w:p>
        </w:tc>
        <w:tc>
          <w:tcPr/>
          <w:p>
            <w:pPr>
              <w:pStyle w:val="Compact"/>
            </w:pPr>
            <w:r>
              <w:t xml:space="preserve">용산구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−5.891</w:t>
            </w:r>
          </w:p>
        </w:tc>
      </w:tr>
    </w:tbl>
    <w:bookmarkEnd w:id="25"/>
    <w:bookmarkStart w:id="26" w:name="배분갭-과다-후보-상위-15개"/>
    <w:p>
      <w:pPr>
        <w:pStyle w:val="Heading2"/>
      </w:pPr>
      <w:r>
        <w:t xml:space="preserve">5.4 배분갭 —</w:t>
      </w:r>
      <w:r>
        <w:t xml:space="preserve"> </w:t>
      </w:r>
      <w:r>
        <w:t xml:space="preserve">“과다”</w:t>
      </w:r>
      <w:r>
        <w:t xml:space="preserve"> </w:t>
      </w:r>
      <w:r>
        <w:t xml:space="preserve">후보 상위 15개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평균위험지수</w:t>
            </w:r>
          </w:p>
        </w:tc>
        <w:tc>
          <w:tcPr/>
          <w:p>
            <w:pPr>
              <w:pStyle w:val="Compact"/>
            </w:pPr>
            <w:r>
              <w:t xml:space="preserve">평균예산(log)</w:t>
            </w:r>
          </w:p>
        </w:tc>
        <w:tc>
          <w:tcPr/>
          <w:p>
            <w:pPr>
              <w:pStyle w:val="Compact"/>
            </w:pPr>
            <w:r>
              <w:t xml:space="preserve">배분갭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광주시</w:t>
            </w:r>
          </w:p>
        </w:tc>
        <w:tc>
          <w:tcPr/>
          <w:p>
            <w:pPr>
              <w:pStyle w:val="Compact"/>
            </w:pPr>
            <w:r>
              <w:t xml:space="preserve">−0.525</w:t>
            </w:r>
          </w:p>
        </w:tc>
        <w:tc>
          <w:tcPr/>
          <w:p>
            <w:pPr>
              <w:pStyle w:val="Compact"/>
            </w:pPr>
            <w:r>
              <w:t xml:space="preserve">13.913</w:t>
            </w:r>
          </w:p>
        </w:tc>
        <w:tc>
          <w:tcPr/>
          <w:p>
            <w:pPr>
              <w:pStyle w:val="Compact"/>
            </w:pPr>
            <w:r>
              <w:t xml:space="preserve">+9.256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성남시</w:t>
            </w:r>
          </w:p>
        </w:tc>
        <w:tc>
          <w:tcPr/>
          <w:p>
            <w:pPr>
              <w:pStyle w:val="Compact"/>
            </w:pPr>
            <w:r>
              <w:t xml:space="preserve">−0.410</w:t>
            </w:r>
          </w:p>
        </w:tc>
        <w:tc>
          <w:tcPr/>
          <w:p>
            <w:pPr>
              <w:pStyle w:val="Compact"/>
            </w:pPr>
            <w:r>
              <w:t xml:space="preserve">13.833</w:t>
            </w:r>
          </w:p>
        </w:tc>
        <w:tc>
          <w:tcPr/>
          <w:p>
            <w:pPr>
              <w:pStyle w:val="Compact"/>
            </w:pPr>
            <w:r>
              <w:t xml:space="preserve">+8.953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파주시</w:t>
            </w:r>
          </w:p>
        </w:tc>
        <w:tc>
          <w:tcPr/>
          <w:p>
            <w:pPr>
              <w:pStyle w:val="Compact"/>
            </w:pPr>
            <w:r>
              <w:t xml:space="preserve">−0.908</w:t>
            </w:r>
          </w:p>
        </w:tc>
        <w:tc>
          <w:tcPr/>
          <w:p>
            <w:pPr>
              <w:pStyle w:val="Compact"/>
            </w:pPr>
            <w:r>
              <w:t xml:space="preserve">12.398</w:t>
            </w:r>
          </w:p>
        </w:tc>
        <w:tc>
          <w:tcPr/>
          <w:p>
            <w:pPr>
              <w:pStyle w:val="Compact"/>
            </w:pPr>
            <w:r>
              <w:t xml:space="preserve">+8.480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연천군</w:t>
            </w:r>
          </w:p>
        </w:tc>
        <w:tc>
          <w:tcPr/>
          <w:p>
            <w:pPr>
              <w:pStyle w:val="Compact"/>
            </w:pPr>
            <w:r>
              <w:t xml:space="preserve">−0.640</w:t>
            </w:r>
          </w:p>
        </w:tc>
        <w:tc>
          <w:tcPr/>
          <w:p>
            <w:pPr>
              <w:pStyle w:val="Compact"/>
            </w:pPr>
            <w:r>
              <w:t xml:space="preserve">12.910</w:t>
            </w:r>
          </w:p>
        </w:tc>
        <w:tc>
          <w:tcPr/>
          <w:p>
            <w:pPr>
              <w:pStyle w:val="Compact"/>
            </w:pPr>
            <w:r>
              <w:t xml:space="preserve">+8.475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하남시</w:t>
            </w:r>
          </w:p>
        </w:tc>
        <w:tc>
          <w:tcPr/>
          <w:p>
            <w:pPr>
              <w:pStyle w:val="Compact"/>
            </w:pPr>
            <w:r>
              <w:t xml:space="preserve">−0.466</w:t>
            </w:r>
          </w:p>
        </w:tc>
        <w:tc>
          <w:tcPr/>
          <w:p>
            <w:pPr>
              <w:pStyle w:val="Compact"/>
            </w:pPr>
            <w:r>
              <w:t xml:space="preserve">13.234</w:t>
            </w:r>
          </w:p>
        </w:tc>
        <w:tc>
          <w:tcPr/>
          <w:p>
            <w:pPr>
              <w:pStyle w:val="Compact"/>
            </w:pPr>
            <w:r>
              <w:t xml:space="preserve">+8.463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서구</w:t>
            </w:r>
          </w:p>
        </w:tc>
        <w:tc>
          <w:tcPr/>
          <w:p>
            <w:pPr>
              <w:pStyle w:val="Compact"/>
            </w:pPr>
            <w:r>
              <w:t xml:space="preserve">−0.231</w:t>
            </w:r>
          </w:p>
        </w:tc>
        <w:tc>
          <w:tcPr/>
          <w:p>
            <w:pPr>
              <w:pStyle w:val="Compact"/>
            </w:pPr>
            <w:r>
              <w:t xml:space="preserve">13.406</w:t>
            </w:r>
          </w:p>
        </w:tc>
        <w:tc>
          <w:tcPr/>
          <w:p>
            <w:pPr>
              <w:pStyle w:val="Compact"/>
            </w:pPr>
            <w:r>
              <w:t xml:space="preserve">+8.179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전북특별자치도</w:t>
            </w:r>
          </w:p>
        </w:tc>
        <w:tc>
          <w:tcPr/>
          <w:p>
            <w:pPr>
              <w:pStyle w:val="Compact"/>
            </w:pPr>
            <w:r>
              <w:t xml:space="preserve">전주시</w:t>
            </w:r>
          </w:p>
        </w:tc>
        <w:tc>
          <w:tcPr/>
          <w:p>
            <w:pPr>
              <w:pStyle w:val="Compact"/>
            </w:pPr>
            <w:r>
              <w:t xml:space="preserve">−0.945</w:t>
            </w:r>
          </w:p>
        </w:tc>
        <w:tc>
          <w:tcPr/>
          <w:p>
            <w:pPr>
              <w:pStyle w:val="Compact"/>
            </w:pPr>
            <w:r>
              <w:t xml:space="preserve">11.933</w:t>
            </w:r>
          </w:p>
        </w:tc>
        <w:tc>
          <w:tcPr/>
          <w:p>
            <w:pPr>
              <w:pStyle w:val="Compact"/>
            </w:pPr>
            <w:r>
              <w:t xml:space="preserve">+8.089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동두천시</w:t>
            </w:r>
          </w:p>
        </w:tc>
        <w:tc>
          <w:tcPr/>
          <w:p>
            <w:pPr>
              <w:pStyle w:val="Compact"/>
            </w:pPr>
            <w:r>
              <w:t xml:space="preserve">−0.419</w:t>
            </w:r>
          </w:p>
        </w:tc>
        <w:tc>
          <w:tcPr/>
          <w:p>
            <w:pPr>
              <w:pStyle w:val="Compact"/>
            </w:pPr>
            <w:r>
              <w:t xml:space="preserve">12.810</w:t>
            </w:r>
          </w:p>
        </w:tc>
        <w:tc>
          <w:tcPr/>
          <w:p>
            <w:pPr>
              <w:pStyle w:val="Compact"/>
            </w:pPr>
            <w:r>
              <w:t xml:space="preserve">+7.948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평택시</w:t>
            </w:r>
          </w:p>
        </w:tc>
        <w:tc>
          <w:tcPr/>
          <w:p>
            <w:pPr>
              <w:pStyle w:val="Compact"/>
            </w:pPr>
            <w:r>
              <w:t xml:space="preserve">−0.717</w:t>
            </w:r>
          </w:p>
        </w:tc>
        <w:tc>
          <w:tcPr/>
          <w:p>
            <w:pPr>
              <w:pStyle w:val="Compact"/>
            </w:pPr>
            <w:r>
              <w:t xml:space="preserve">12.131</w:t>
            </w:r>
          </w:p>
        </w:tc>
        <w:tc>
          <w:tcPr/>
          <w:p>
            <w:pPr>
              <w:pStyle w:val="Compact"/>
            </w:pPr>
            <w:r>
              <w:t xml:space="preserve">+7.844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이천시</w:t>
            </w:r>
          </w:p>
        </w:tc>
        <w:tc>
          <w:tcPr/>
          <w:p>
            <w:pPr>
              <w:pStyle w:val="Compact"/>
            </w:pPr>
            <w:r>
              <w:t xml:space="preserve">−0.802</w:t>
            </w:r>
          </w:p>
        </w:tc>
        <w:tc>
          <w:tcPr/>
          <w:p>
            <w:pPr>
              <w:pStyle w:val="Compact"/>
            </w:pPr>
            <w:r>
              <w:t xml:space="preserve">11.918</w:t>
            </w:r>
          </w:p>
        </w:tc>
        <w:tc>
          <w:tcPr/>
          <w:p>
            <w:pPr>
              <w:pStyle w:val="Compact"/>
            </w:pPr>
            <w:r>
              <w:t xml:space="preserve">+7.796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남양주시</w:t>
            </w:r>
          </w:p>
        </w:tc>
        <w:tc>
          <w:tcPr/>
          <w:p>
            <w:pPr>
              <w:pStyle w:val="Compact"/>
            </w:pPr>
            <w:r>
              <w:t xml:space="preserve">−0.267</w:t>
            </w:r>
          </w:p>
        </w:tc>
        <w:tc>
          <w:tcPr/>
          <w:p>
            <w:pPr>
              <w:pStyle w:val="Compact"/>
            </w:pPr>
            <w:r>
              <w:t xml:space="preserve">12.826</w:t>
            </w:r>
          </w:p>
        </w:tc>
        <w:tc>
          <w:tcPr/>
          <w:p>
            <w:pPr>
              <w:pStyle w:val="Compact"/>
            </w:pPr>
            <w:r>
              <w:t xml:space="preserve">+7.670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의왕시</w:t>
            </w:r>
          </w:p>
        </w:tc>
        <w:tc>
          <w:tcPr/>
          <w:p>
            <w:pPr>
              <w:pStyle w:val="Compact"/>
            </w:pPr>
            <w:r>
              <w:t xml:space="preserve">−0.528</w:t>
            </w:r>
          </w:p>
        </w:tc>
        <w:tc>
          <w:tcPr/>
          <w:p>
            <w:pPr>
              <w:pStyle w:val="Compact"/>
            </w:pPr>
            <w:r>
              <w:t xml:space="preserve">12.236</w:t>
            </w:r>
          </w:p>
        </w:tc>
        <w:tc>
          <w:tcPr/>
          <w:p>
            <w:pPr>
              <w:pStyle w:val="Compact"/>
            </w:pPr>
            <w:r>
              <w:t xml:space="preserve">+7.585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전북특별자치도</w:t>
            </w:r>
          </w:p>
        </w:tc>
        <w:tc>
          <w:tcPr/>
          <w:p>
            <w:pPr>
              <w:pStyle w:val="Compact"/>
            </w:pPr>
            <w:r>
              <w:t xml:space="preserve">군산시</w:t>
            </w:r>
          </w:p>
        </w:tc>
        <w:tc>
          <w:tcPr/>
          <w:p>
            <w:pPr>
              <w:pStyle w:val="Compact"/>
            </w:pPr>
            <w:r>
              <w:t xml:space="preserve">−0.509</w:t>
            </w:r>
          </w:p>
        </w:tc>
        <w:tc>
          <w:tcPr/>
          <w:p>
            <w:pPr>
              <w:pStyle w:val="Compact"/>
            </w:pPr>
            <w:r>
              <w:t xml:space="preserve">12.080</w:t>
            </w:r>
          </w:p>
        </w:tc>
        <w:tc>
          <w:tcPr/>
          <w:p>
            <w:pPr>
              <w:pStyle w:val="Compact"/>
            </w:pPr>
            <w:r>
              <w:t xml:space="preserve">+7.391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안성시</w:t>
            </w:r>
          </w:p>
        </w:tc>
        <w:tc>
          <w:tcPr/>
          <w:p>
            <w:pPr>
              <w:pStyle w:val="Compact"/>
            </w:pPr>
            <w:r>
              <w:t xml:space="preserve">−0.638</w:t>
            </w:r>
          </w:p>
        </w:tc>
        <w:tc>
          <w:tcPr/>
          <w:p>
            <w:pPr>
              <w:pStyle w:val="Compact"/>
            </w:pPr>
            <w:r>
              <w:t xml:space="preserve">11.709</w:t>
            </w:r>
          </w:p>
        </w:tc>
        <w:tc>
          <w:tcPr/>
          <w:p>
            <w:pPr>
              <w:pStyle w:val="Compact"/>
            </w:pPr>
            <w:r>
              <w:t xml:space="preserve">+7.270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경기도</w:t>
            </w:r>
          </w:p>
        </w:tc>
        <w:tc>
          <w:tcPr/>
          <w:p>
            <w:pPr>
              <w:pStyle w:val="Compact"/>
            </w:pPr>
            <w:r>
              <w:t xml:space="preserve">용인시</w:t>
            </w:r>
          </w:p>
        </w:tc>
        <w:tc>
          <w:tcPr/>
          <w:p>
            <w:pPr>
              <w:pStyle w:val="Compact"/>
            </w:pPr>
            <w:r>
              <w:t xml:space="preserve">−0.390</w:t>
            </w:r>
          </w:p>
        </w:tc>
        <w:tc>
          <w:tcPr/>
          <w:p>
            <w:pPr>
              <w:pStyle w:val="Compact"/>
            </w:pPr>
            <w:r>
              <w:t xml:space="preserve">12.047</w:t>
            </w:r>
          </w:p>
        </w:tc>
        <w:tc>
          <w:tcPr/>
          <w:p>
            <w:pPr>
              <w:pStyle w:val="Compact"/>
            </w:pPr>
            <w:r>
              <w:t xml:space="preserve">+7.129</w:t>
            </w:r>
          </w:p>
        </w:tc>
      </w:tr>
    </w:tbl>
    <w:p>
      <w:pPr>
        <w:pStyle w:val="BodyText"/>
      </w:pPr>
      <w:r>
        <w:t xml:space="preserve">과다 후보 중</w:t>
      </w:r>
      <w:r>
        <w:t xml:space="preserve"> </w:t>
      </w:r>
      <w:r>
        <w:rPr>
          <w:b/>
          <w:bCs/>
        </w:rPr>
        <w:t xml:space="preserve">성남시·용인시·전주시는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집계구분_지자체대응역량=통합시_시본청예산</w:t>
      </w:r>
      <w:r>
        <w:t xml:space="preserve">(다구시 시본청 예산 집계방식)이라 원값이 아니라 상위 행정단위 예산이 배분된 값이다. 이 3곳은 진짜 과다배정이 아니라 집계방식 아티팩트일 수 있어 해석에서 유의하고, 나머지 경기도 단독단위 지역은 데이터 자체는 신뢰할 만하다.</w:t>
      </w:r>
    </w:p>
    <w:p>
      <w:pPr>
        <w:pStyle w:val="BodyText"/>
      </w:pPr>
      <w:r>
        <w:rPr>
          <w:b/>
          <w:bCs/>
        </w:rPr>
        <w:t xml:space="preserve">해석 주의</w:t>
      </w:r>
      <w:r>
        <w:t xml:space="preserve">: 이 잔차는</w:t>
      </w:r>
      <w:r>
        <w:t xml:space="preserve"> </w:t>
      </w:r>
      <w:r>
        <w:t xml:space="preserve">“현행 평균 배분관행 대비 편차”</w:t>
      </w:r>
      <w:r>
        <w:t xml:space="preserve">이지</w:t>
      </w:r>
      <w:r>
        <w:t xml:space="preserve"> </w:t>
      </w:r>
      <w:r>
        <w:t xml:space="preserve">“최적 대비 부족”</w:t>
      </w:r>
      <w:r>
        <w:t xml:space="preserve">이 아니다. R²가 4%도 안 되는 상황에서</w:t>
      </w:r>
      <w:r>
        <w:t xml:space="preserve"> </w:t>
      </w:r>
      <w:r>
        <w:t xml:space="preserve">“이 지자체가 얼마나 더 받아야 한다”</w:t>
      </w:r>
      <w:r>
        <w:t xml:space="preserve">는 규범적 주장은 근거가 약하며, 상대적 우선순위 신호로만 사용해야 한다.</w:t>
      </w:r>
    </w:p>
    <w:bookmarkEnd w:id="26"/>
    <w:bookmarkEnd w:id="27"/>
    <w:bookmarkStart w:id="32" w:name="모형-b-3단계-배분공식-시뮬레이션"/>
    <w:p>
      <w:pPr>
        <w:pStyle w:val="Heading1"/>
      </w:pPr>
      <w:r>
        <w:t xml:space="preserve">6. 모형 B 3단계 — 배분공식 시뮬레이션</w:t>
      </w:r>
    </w:p>
    <w:bookmarkStart w:id="28" w:name="설계-2"/>
    <w:p>
      <w:pPr>
        <w:pStyle w:val="Heading2"/>
      </w:pPr>
      <w:r>
        <w:t xml:space="preserve">6.1 설계</w:t>
      </w:r>
    </w:p>
    <w:p>
      <w:pPr>
        <w:pStyle w:val="FirstParagraph"/>
      </w:pPr>
      <w:r>
        <w:t xml:space="preserve">2017–2022년 매년 pool(그 해 실제 총지출액)을 유지한 채</w:t>
      </w:r>
      <w:r>
        <w:t xml:space="preserve"> </w:t>
      </w:r>
      <w:r>
        <w:rPr>
          <w:b/>
          <w:bCs/>
        </w:rPr>
        <w:t xml:space="preserve">위험지수(역량도메인 제외)</w:t>
      </w:r>
      <w:r>
        <w:t xml:space="preserve">에 비례해 재배분을 시뮬레이션했다. 실무 제약: 하한=균등배분액(1/N)의 30%, 상한=전년 대비 ±30%.</w:t>
      </w:r>
    </w:p>
    <w:bookmarkEnd w:id="28"/>
    <w:bookmarkStart w:id="29" w:name="제약-발동-및-재배분-규모"/>
    <w:p>
      <w:pPr>
        <w:pStyle w:val="Heading2"/>
      </w:pPr>
      <w:r>
        <w:t xml:space="preserve">6.2 제약 발동 및 재배분 규모</w:t>
      </w:r>
    </w:p>
    <w:p>
      <w:pPr>
        <w:pStyle w:val="Compact"/>
        <w:numPr>
          <w:ilvl w:val="0"/>
          <w:numId w:val="1003"/>
        </w:numPr>
      </w:pPr>
      <w:r>
        <w:t xml:space="preserve">하한(floor) 발동: 36/1,322건(2.7%) — 거의 문제되지 않음</w:t>
      </w:r>
    </w:p>
    <w:p>
      <w:pPr>
        <w:pStyle w:val="Compact"/>
        <w:numPr>
          <w:ilvl w:val="0"/>
          <w:numId w:val="1003"/>
        </w:numPr>
      </w:pPr>
      <w:r>
        <w:t xml:space="preserve">상한(cap) 발동:</w:t>
      </w:r>
      <w:r>
        <w:t xml:space="preserve"> </w:t>
      </w:r>
      <w:r>
        <w:rPr>
          <w:b/>
          <w:bCs/>
        </w:rPr>
        <w:t xml:space="preserve">496/1,322건(37.5%)</w:t>
      </w:r>
      <w:r>
        <w:t xml:space="preserve"> </w:t>
      </w:r>
      <w:r>
        <w:t xml:space="preserve">— 완만한 전환을 위한 제약이 실제로 강하게 작동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이동액</w:t>
            </w:r>
          </w:p>
        </w:tc>
        <w:tc>
          <w:tcPr/>
          <w:p>
            <w:pPr>
              <w:pStyle w:val="Compact"/>
            </w:pPr>
            <w:r>
              <w:t xml:space="preserve">총액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248억원</w:t>
            </w:r>
          </w:p>
        </w:tc>
        <w:tc>
          <w:tcPr/>
          <w:p>
            <w:pPr>
              <w:pStyle w:val="Compact"/>
            </w:pPr>
            <w:r>
              <w:t xml:space="preserve">421억원</w:t>
            </w:r>
          </w:p>
        </w:tc>
        <w:tc>
          <w:tcPr/>
          <w:p>
            <w:pPr>
              <w:pStyle w:val="Compact"/>
            </w:pPr>
            <w:r>
              <w:t xml:space="preserve">58.9%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290억원</w:t>
            </w:r>
          </w:p>
        </w:tc>
        <w:tc>
          <w:tcPr/>
          <w:p>
            <w:pPr>
              <w:pStyle w:val="Compact"/>
            </w:pPr>
            <w:r>
              <w:t xml:space="preserve">449억원</w:t>
            </w:r>
          </w:p>
        </w:tc>
        <w:tc>
          <w:tcPr/>
          <w:p>
            <w:pPr>
              <w:pStyle w:val="Compact"/>
            </w:pPr>
            <w:r>
              <w:t xml:space="preserve">64.7%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363억원</w:t>
            </w:r>
          </w:p>
        </w:tc>
        <w:tc>
          <w:tcPr/>
          <w:p>
            <w:pPr>
              <w:pStyle w:val="Compact"/>
            </w:pPr>
            <w:r>
              <w:t xml:space="preserve">557억원</w:t>
            </w:r>
          </w:p>
        </w:tc>
        <w:tc>
          <w:tcPr/>
          <w:p>
            <w:pPr>
              <w:pStyle w:val="Compact"/>
            </w:pPr>
            <w:r>
              <w:t xml:space="preserve">65.2%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262억원</w:t>
            </w:r>
          </w:p>
        </w:tc>
        <w:tc>
          <w:tcPr/>
          <w:p>
            <w:pPr>
              <w:pStyle w:val="Compact"/>
            </w:pPr>
            <w:r>
              <w:t xml:space="preserve">404억원</w:t>
            </w:r>
          </w:p>
        </w:tc>
        <w:tc>
          <w:tcPr/>
          <w:p>
            <w:pPr>
              <w:pStyle w:val="Compact"/>
            </w:pPr>
            <w:r>
              <w:t xml:space="preserve">64.7%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196억원</w:t>
            </w:r>
          </w:p>
        </w:tc>
        <w:tc>
          <w:tcPr/>
          <w:p>
            <w:pPr>
              <w:pStyle w:val="Compact"/>
            </w:pPr>
            <w:r>
              <w:t xml:space="preserve">297억원</w:t>
            </w:r>
          </w:p>
        </w:tc>
        <w:tc>
          <w:tcPr/>
          <w:p>
            <w:pPr>
              <w:pStyle w:val="Compact"/>
            </w:pPr>
            <w:r>
              <w:t xml:space="preserve">66.0%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279억원</w:t>
            </w:r>
          </w:p>
        </w:tc>
        <w:tc>
          <w:tcPr/>
          <w:p>
            <w:pPr>
              <w:pStyle w:val="Compact"/>
            </w:pPr>
            <w:r>
              <w:t xml:space="preserve">408억원</w:t>
            </w:r>
          </w:p>
        </w:tc>
        <w:tc>
          <w:tcPr/>
          <w:p>
            <w:pPr>
              <w:pStyle w:val="Compact"/>
            </w:pPr>
            <w:r>
              <w:t xml:space="preserve">68.3%</w:t>
            </w:r>
          </w:p>
        </w:tc>
      </w:tr>
    </w:tbl>
    <w:p>
      <w:pPr>
        <w:pStyle w:val="BodyText"/>
      </w:pPr>
      <w:r>
        <w:t xml:space="preserve">매년 pool의</w:t>
      </w:r>
      <w:r>
        <w:t xml:space="preserve"> </w:t>
      </w:r>
      <w:r>
        <w:rPr>
          <w:b/>
          <w:bCs/>
        </w:rPr>
        <w:t xml:space="preserve">59–68%가 이동</w:t>
      </w:r>
      <w:r>
        <w:t xml:space="preserve"> </w:t>
      </w:r>
      <w:r>
        <w:t xml:space="preserve">— 매우 급격한 재편이며, 실제 역사적 배분이 위험구조와 크게 어긋나 있었다는 방증이자 실무 적용 시 정치적·행정적 충격이 클 것이라는 경고다.</w:t>
      </w:r>
    </w:p>
    <w:bookmarkEnd w:id="29"/>
    <w:bookmarkStart w:id="30" w:name="핵심-발견-타겟팅-지표의-역전-안면타당성-검증-인과주장-아님"/>
    <w:p>
      <w:pPr>
        <w:pStyle w:val="Heading2"/>
      </w:pPr>
      <w:r>
        <w:t xml:space="preserve">6.3 핵심 발견 — 타겟팅 지표의 역전 (안면타당성 검증, 인과주장 아님)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피해발생지역(Y_bin=1) 예산 포착률(전체기간)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93.7%</w:t>
            </w:r>
          </w:p>
        </w:tc>
        <w:tc>
          <w:tcPr/>
          <w:p>
            <w:pPr>
              <w:pStyle w:val="Compact"/>
            </w:pPr>
            <w:r>
              <w:t xml:space="preserve">54.9%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0.369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이 결과는 공식이 잘못됐다는 뜻이 아니다. 위험지수는 순환논리를 피하려고 그 해 실제 발생한 피해·확산 변수를 의도적으로 제외한</w:t>
      </w:r>
      <w:r>
        <w:t xml:space="preserve"> </w:t>
      </w:r>
      <w:r>
        <w:t xml:space="preserve">“구조적·선행적”</w:t>
      </w:r>
      <w:r>
        <w:t xml:space="preserve"> </w:t>
      </w:r>
      <w:r>
        <w:t xml:space="preserve">지표인 반면,</w:t>
      </w:r>
      <w:r>
        <w:t xml:space="preserve"> </w:t>
      </w:r>
      <w:r>
        <w:rPr>
          <w:b/>
          <w:bCs/>
        </w:rPr>
        <w:t xml:space="preserve">실제 역사적 배분은 그 해 실제 피해가 난 곳에 사후적으로 몰아주는 방식</w:t>
      </w:r>
      <w:r>
        <w:t xml:space="preserve">이라 같은 해 피해지역 포착률에서 당연히 실제 배분이 높게 나온다. 이는 이전 단계에서 우려했던</w:t>
      </w:r>
      <w:r>
        <w:t xml:space="preserve"> </w:t>
      </w:r>
      <w:r>
        <w:t xml:space="preserve">“예산이 피해에 반응해 배정된다(역인과)”</w:t>
      </w:r>
      <w:r>
        <w:t xml:space="preserve">는 가설이</w:t>
      </w:r>
      <w:r>
        <w:t xml:space="preserve"> </w:t>
      </w:r>
      <w:r>
        <w:rPr>
          <w:b/>
          <w:bCs/>
        </w:rPr>
        <w:t xml:space="preserve">가장 강력한 형태로 실증된 것</w:t>
      </w:r>
      <w:r>
        <w:t xml:space="preserve">이며, 선제적(예방적) 배분과 사후대응적 배분의 철학 차이를 정량적으로 보여주는 정책적 발견으로 해석해야 한다.</w:t>
      </w:r>
    </w:p>
    <w:bookmarkEnd w:id="30"/>
    <w:bookmarkStart w:id="31" w:name="년-기준-승자패자-top-10"/>
    <w:p>
      <w:pPr>
        <w:pStyle w:val="Heading2"/>
      </w:pPr>
      <w:r>
        <w:t xml:space="preserve">6.4 2022년 기준 승자/패자 Top 10</w:t>
      </w:r>
    </w:p>
    <w:p>
      <w:pPr>
        <w:pStyle w:val="FirstParagraph"/>
      </w:pPr>
      <w:r>
        <w:rPr>
          <w:b/>
          <w:bCs/>
        </w:rPr>
        <w:t xml:space="preserve">증액 상위</w:t>
      </w:r>
      <w:r>
        <w:t xml:space="preserve">: 완도군·경북 의성군·고령군·강원 삼척시·광주 동구 등 — 위험지수 최고(1.0)인데 실제예산이 0원에 가까웠던 지역.</w:t>
      </w:r>
      <w:r>
        <w:t xml:space="preserve"> </w:t>
      </w:r>
      <w:r>
        <w:rPr>
          <w:b/>
          <w:bCs/>
        </w:rPr>
        <w:t xml:space="preserve">1단계 배분갭</w:t>
      </w:r>
      <w:r>
        <w:rPr>
          <w:b/>
          <w:bCs/>
        </w:rPr>
        <w:t xml:space="preserve"> </w:t>
      </w:r>
      <w:r>
        <w:rPr>
          <w:b/>
          <w:bCs/>
        </w:rPr>
        <w:t xml:space="preserve">“부족”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목록과 정확히 겹쳐</w:t>
      </w:r>
      <w:r>
        <w:t xml:space="preserve"> </w:t>
      </w:r>
      <w:r>
        <w:t xml:space="preserve">서로 다른 방법으로 같은 결론에 도달한 교차검증이다.</w:t>
      </w:r>
    </w:p>
    <w:p>
      <w:pPr>
        <w:pStyle w:val="BodyText"/>
      </w:pPr>
      <w:r>
        <w:rPr>
          <w:b/>
          <w:bCs/>
        </w:rPr>
        <w:t xml:space="preserve">감액 상위</w:t>
      </w:r>
      <w:r>
        <w:t xml:space="preserve">: 경남 밀양시(−69.5억원)·울주군·하동군·진주시, 경기 광주시·남양주시 등 — 그 해 실제로 거액을 받았지만(밀양시 72.9억원) 구조적 위험지수 기준으로는 과다배정. 밀양시가 위험지수 1.0(최고위험)임에도 크게 감액되는 것은 상한(±30%) 제약 때문으로, 시뮬레이션이 낮은 초기치(2016년 실제예산)에서 매년 최대 30%씩만 조정되며 목표치에 아직 도달하지 못한 상태다.</w:t>
      </w:r>
    </w:p>
    <w:bookmarkEnd w:id="31"/>
    <w:bookmarkEnd w:id="32"/>
    <w:bookmarkStart w:id="36" w:name="국가대응수준-보조모형-로버스트니스-전용"/>
    <w:p>
      <w:pPr>
        <w:pStyle w:val="Heading1"/>
      </w:pPr>
      <w:r>
        <w:t xml:space="preserve">7. 국가대응수준 보조모형 (로버스트니스 전용)</w:t>
      </w:r>
    </w:p>
    <w:bookmarkStart w:id="33" w:name="selection-on-outcome-확인"/>
    <w:p>
      <w:pPr>
        <w:pStyle w:val="Heading2"/>
      </w:pPr>
      <w:r>
        <w:t xml:space="preserve">7.1 Selection-on-outcome 확인</w:t>
      </w:r>
    </w:p>
    <w:p>
      <w:pPr>
        <w:pStyle w:val="FirstParagraph"/>
      </w:pPr>
      <w:r>
        <w:t xml:space="preserve">국가대응수준 관측포함 지역(31개 시군구)의 피해발생률은</w:t>
      </w:r>
      <w:r>
        <w:t xml:space="preserve"> </w:t>
      </w:r>
      <w:r>
        <w:rPr>
          <w:b/>
          <w:bCs/>
        </w:rPr>
        <w:t xml:space="preserve">77.8%</w:t>
      </w:r>
      <w:r>
        <w:t xml:space="preserve">, 미포함 지역은</w:t>
      </w:r>
      <w:r>
        <w:t xml:space="preserve"> </w:t>
      </w:r>
      <w:r>
        <w:rPr>
          <w:b/>
          <w:bCs/>
        </w:rPr>
        <w:t xml:space="preserve">44.1%</w:t>
      </w:r>
      <w:r>
        <w:t xml:space="preserve">(t=11.53, p&lt;0.0001). 이 표본은 무작위 결측이 아니라</w:t>
      </w:r>
      <w:r>
        <w:t xml:space="preserve"> </w:t>
      </w:r>
      <w:r>
        <w:rPr>
          <w:b/>
          <w:bCs/>
        </w:rPr>
        <w:t xml:space="preserve">피해가 심해 국가관리 대상이 된 곳으로 선택된(selection-on-outcome) 표본</w:t>
      </w:r>
      <w:r>
        <w:t xml:space="preserve">이며, 대표성이 없다. 아래 결과는 정책결론이 아니라 강건성 확인용으로만 사용한다.</w:t>
      </w:r>
    </w:p>
    <w:bookmarkEnd w:id="33"/>
    <w:bookmarkStart w:id="34" w:name="동일-표본n153-26개-시군구-내-비교"/>
    <w:p>
      <w:pPr>
        <w:pStyle w:val="Heading2"/>
      </w:pPr>
      <w:r>
        <w:t xml:space="preserve">7.2 동일 표본(n=153, 26개 시군구) 내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취약성지수_between 계수(발생여부)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취약성지수_between 계수(크기)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취약성지수만</w:t>
            </w:r>
          </w:p>
        </w:tc>
        <w:tc>
          <w:tcPr/>
          <w:p>
            <w:pPr>
              <w:pStyle w:val="Compact"/>
            </w:pPr>
            <w:r>
              <w:t xml:space="preserve">1.632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+ 국가대응수준</w:t>
            </w:r>
          </w:p>
        </w:tc>
        <w:tc>
          <w:tcPr/>
          <w:p>
            <w:pPr>
              <w:pStyle w:val="Compact"/>
            </w:pPr>
            <w:r>
              <w:t xml:space="preserve">−0.664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</w:tbl>
    <w:bookmarkEnd w:id="34"/>
    <w:bookmarkStart w:id="35" w:name="군집-페어-부트스트랩-b999-31개-단위-재추출"/>
    <w:p>
      <w:pPr>
        <w:pStyle w:val="Heading2"/>
      </w:pPr>
      <w:r>
        <w:t xml:space="preserve">7.3 군집 페어 부트스트랩 (B=999, 31개 단위 재추출)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계수</w:t>
            </w:r>
          </w:p>
        </w:tc>
        <w:tc>
          <w:tcPr/>
          <w:p>
            <w:pPr>
              <w:pStyle w:val="Compact"/>
            </w:pPr>
            <w:r>
              <w:t xml:space="preserve">점추정</w:t>
            </w:r>
          </w:p>
        </w:tc>
        <w:tc>
          <w:tcPr/>
          <w:p>
            <w:pPr>
              <w:pStyle w:val="Compact"/>
            </w:pPr>
            <w:r>
              <w:t xml:space="preserve">부트스트랩 95% CI</w:t>
            </w:r>
          </w:p>
        </w:tc>
        <w:tc>
          <w:tcPr/>
          <w:p>
            <w:pPr>
              <w:pStyle w:val="Compact"/>
            </w:pPr>
            <w:r>
              <w:t xml:space="preserve">부트스트랩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취약성지수_between</w:t>
            </w:r>
          </w:p>
        </w:tc>
        <w:tc>
          <w:tcPr/>
          <w:p>
            <w:pPr>
              <w:pStyle w:val="Compact"/>
            </w:pPr>
            <w:r>
              <w:t xml:space="preserve">1.632</w:t>
            </w:r>
          </w:p>
        </w:tc>
        <w:tc>
          <w:tcPr/>
          <w:p>
            <w:pPr>
              <w:pStyle w:val="Compact"/>
            </w:pPr>
            <w:r>
              <w:t xml:space="preserve">[−2.209, 7.929]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취약성지수_between</w:t>
            </w:r>
          </w:p>
        </w:tc>
        <w:tc>
          <w:tcPr/>
          <w:p>
            <w:pPr>
              <w:pStyle w:val="Compact"/>
            </w:pPr>
            <w:r>
              <w:t xml:space="preserve">−0.664</w:t>
            </w:r>
          </w:p>
        </w:tc>
        <w:tc>
          <w:tcPr/>
          <w:p>
            <w:pPr>
              <w:pStyle w:val="Compact"/>
            </w:pPr>
            <w:r>
              <w:t xml:space="preserve">[−9.302, 6.098]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국가대응수준_between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  <w:tc>
          <w:tcPr/>
          <w:p>
            <w:pPr>
              <w:pStyle w:val="Compact"/>
            </w:pPr>
            <w:r>
              <w:t xml:space="preserve">[−0.968, 1.944]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</w:tr>
    </w:tbl>
    <w:p>
      <w:pPr>
        <w:pStyle w:val="BodyText"/>
      </w:pPr>
      <w:r>
        <w:t xml:space="preserve">로지스틱 모형에서 부트스트랩 재표집 시 완전분리(perfect separation) 경고가 반복적으로 발생했다.</w:t>
      </w:r>
    </w:p>
    <w:p>
      <w:pPr>
        <w:pStyle w:val="BodyText"/>
      </w:pPr>
      <w:r>
        <w:rPr>
          <w:b/>
          <w:bCs/>
        </w:rPr>
        <w:t xml:space="preserve">판단</w:t>
      </w:r>
      <w:r>
        <w:t xml:space="preserve">: 나이브 군집표준오차로는 일부 계수가 유의(p&lt;0.05)하게 나왔으나, 군집 페어 부트스트랩으로 재확인하면 그 유의성이 완전히 사라진다(모든 부트스트랩 p&gt;0.4) — 31개 군집에서 표준 cluster-robust SE가 과소평가된다는 우려가 실제로 확인된 것이다.</w:t>
      </w:r>
      <w:r>
        <w:t xml:space="preserve"> </w:t>
      </w:r>
      <w:r>
        <w:rPr>
          <w:b/>
          <w:bCs/>
        </w:rPr>
        <w:t xml:space="preserve">이 보조모형은</w:t>
      </w:r>
      <w:r>
        <w:rPr>
          <w:b/>
          <w:bCs/>
        </w:rPr>
        <w:t xml:space="preserve"> </w:t>
      </w:r>
      <w:r>
        <w:rPr>
          <w:b/>
          <w:bCs/>
        </w:rPr>
        <w:t xml:space="preserve">“메인 결과가 왜곡되지 않았음을 확인”</w:t>
      </w:r>
      <w:r>
        <w:rPr>
          <w:b/>
          <w:bCs/>
        </w:rPr>
        <w:t xml:space="preserve">하는 원래 목적을 통계적으로 뒷받침하지 못한다.</w:t>
      </w:r>
      <w:r>
        <w:t xml:space="preserve"> </w:t>
      </w:r>
      <w:r>
        <w:t xml:space="preserve">이는 실패가 아니라 정직한 결과로,</w:t>
      </w:r>
      <w:r>
        <w:t xml:space="preserve"> </w:t>
      </w:r>
      <w:r>
        <w:t xml:space="preserve">“31개 시군구로는 이 질문에 답할 표본력이 안 된다”</w:t>
      </w:r>
      <w:r>
        <w:t xml:space="preserve">는 것 자체가 결론이다. 발생시 크기(OLS) 모형에서만 취약성지수 계수가 두 사양에서 방향·크기가 유사(0.082→0.058)해 최소한의 비모순 근거는 있으나, 통계적으로 유의하지는 않다.</w:t>
      </w:r>
    </w:p>
    <w:bookmarkEnd w:id="35"/>
    <w:bookmarkEnd w:id="36"/>
    <w:bookmarkStart w:id="40" w:name="종합-결론"/>
    <w:p>
      <w:pPr>
        <w:pStyle w:val="Heading1"/>
      </w:pPr>
      <w:r>
        <w:t xml:space="preserve">8. 종합 결론</w:t>
      </w:r>
    </w:p>
    <w:bookmarkStart w:id="37" w:name="주요-발견"/>
    <w:p>
      <w:pPr>
        <w:pStyle w:val="Heading2"/>
      </w:pPr>
      <w:r>
        <w:t xml:space="preserve">8.1 주요 발견</w:t>
      </w:r>
    </w:p>
    <w:p>
      <w:pPr>
        <w:pStyle w:val="Compact"/>
        <w:numPr>
          <w:ilvl w:val="0"/>
          <w:numId w:val="1004"/>
        </w:numPr>
      </w:pPr>
      <w:r>
        <w:t xml:space="preserve">소나무림면적=0인 16행(대구 중구·영등포구)은 GIS 재검증된 진짜 도심 무산림 지역으로 표본에서 제외했고, 2016년 예찰진단예산 결측 문제는 재선충명시 예산 계열 도입으로 해소되었다.</w:t>
      </w:r>
    </w:p>
    <w:p>
      <w:pPr>
        <w:pStyle w:val="Compact"/>
        <w:numPr>
          <w:ilvl w:val="0"/>
          <w:numId w:val="1004"/>
        </w:numPr>
      </w:pPr>
      <w:r>
        <w:t xml:space="preserve">종속변수의 51.3%가 0이라 2부문모형(발생여부+크기)을 채택했다.</w:t>
      </w:r>
    </w:p>
    <w:p>
      <w:pPr>
        <w:pStyle w:val="Compact"/>
        <w:numPr>
          <w:ilvl w:val="0"/>
          <w:numId w:val="1004"/>
        </w:numPr>
      </w:pPr>
      <w:r>
        <w:t xml:space="preserve">지자체대응역량(예산) 변수는 원시 상관이 이론과 반대 방향(+0.254)으로 나타나 역인과가 실증되었고, 지수 방향을 이론에 따라 강제했다.</w:t>
      </w:r>
    </w:p>
    <w:p>
      <w:pPr>
        <w:pStyle w:val="Compact"/>
        <w:numPr>
          <w:ilvl w:val="0"/>
          <w:numId w:val="1004"/>
        </w:numPr>
      </w:pPr>
      <w:r>
        <w:t xml:space="preserve">방제취약성지수는 동일가중·실증가중(LMG) 두 버전의 순위상관이 0.950으로 매우 안정적이다. 기후위험도 도메인의 실증 기여는 거의 0에 가까워, 동일가중을 주 지수로 유지한다.</w:t>
      </w:r>
    </w:p>
    <w:p>
      <w:pPr>
        <w:pStyle w:val="Compact"/>
        <w:numPr>
          <w:ilvl w:val="0"/>
          <w:numId w:val="1004"/>
        </w:numPr>
      </w:pPr>
      <w:r>
        <w:t xml:space="preserve">모형 A(CRE)는</w:t>
      </w:r>
      <w:r>
        <w:t xml:space="preserve"> </w:t>
      </w:r>
      <w:r>
        <w:rPr>
          <w:b/>
          <w:bCs/>
        </w:rPr>
        <w:t xml:space="preserve">지자체 간(between) 취약도 줄세우기에서만 유의한 신호</w:t>
      </w:r>
      <w:r>
        <w:t xml:space="preserve">를 보이며, 이는 맞춤형 예산배분(지자체 간 우선순위 결정)이라는 목적에 정확히 부합하는 검증 결과다.</w:t>
      </w:r>
    </w:p>
    <w:p>
      <w:pPr>
        <w:pStyle w:val="Compact"/>
        <w:numPr>
          <w:ilvl w:val="0"/>
          <w:numId w:val="1004"/>
        </w:numPr>
      </w:pPr>
      <w:r>
        <w:t xml:space="preserve">배분갭 진단(모형 B 1단계)은 현재 배분이 위험도를 거의 설명하지 못함(R²=3–4%)을 보였고, 배분공식 시뮬레이션(3단계)은 완도군·경북 의성군·강원 삼척시 등 고위험·무예산 지역을 일관되게 재확인했다.</w:t>
      </w:r>
    </w:p>
    <w:p>
      <w:pPr>
        <w:pStyle w:val="Compact"/>
        <w:numPr>
          <w:ilvl w:val="0"/>
          <w:numId w:val="1004"/>
        </w:numPr>
      </w:pPr>
      <w:r>
        <w:t xml:space="preserve">배분공식 시뮬레이션에서</w:t>
      </w:r>
      <w:r>
        <w:t xml:space="preserve"> </w:t>
      </w:r>
      <w:r>
        <w:t xml:space="preserve">“피해발생지역 포착률”</w:t>
      </w:r>
      <w:r>
        <w:t xml:space="preserve">이 실제 배분(93.7%)보다 시뮬레이션 배분(54.9%)에서 낮게 나온 것은 공식의 결함이 아니라,</w:t>
      </w:r>
      <w:r>
        <w:t xml:space="preserve"> </w:t>
      </w:r>
      <w:r>
        <w:rPr>
          <w:b/>
          <w:bCs/>
        </w:rPr>
        <w:t xml:space="preserve">현재 배분이 사후대응적임을 실증하는 정책적 발견</w:t>
      </w:r>
      <w:r>
        <w:t xml:space="preserve">이다.</w:t>
      </w:r>
    </w:p>
    <w:p>
      <w:pPr>
        <w:pStyle w:val="Compact"/>
        <w:numPr>
          <w:ilvl w:val="0"/>
          <w:numId w:val="1004"/>
        </w:numPr>
      </w:pPr>
      <w:r>
        <w:t xml:space="preserve">국가대응수준 보조모형은 표본력 부족(26–31개 군집)으로 결론을 낼 수 없었으며, 이 자체를 한계로 명시한다.</w:t>
      </w:r>
    </w:p>
    <w:bookmarkEnd w:id="37"/>
    <w:bookmarkStart w:id="38" w:name="한계"/>
    <w:p>
      <w:pPr>
        <w:pStyle w:val="Heading2"/>
      </w:pPr>
      <w:r>
        <w:t xml:space="preserve">8.2 한계</w:t>
      </w:r>
    </w:p>
    <w:p>
      <w:pPr>
        <w:pStyle w:val="Compact"/>
        <w:numPr>
          <w:ilvl w:val="0"/>
          <w:numId w:val="1005"/>
        </w:numPr>
      </w:pPr>
      <w:r>
        <w:t xml:space="preserve">평균풍속·SPI3의 지수 방향을 raw 상관 부호로 결정해 표본에 따라 불안정할 수 있다(이론 기반 고정 또는 부트스트랩 안정성 점검 필요).</w:t>
      </w:r>
    </w:p>
    <w:p>
      <w:pPr>
        <w:pStyle w:val="Compact"/>
        <w:numPr>
          <w:ilvl w:val="0"/>
          <w:numId w:val="1005"/>
        </w:numPr>
      </w:pPr>
      <w:r>
        <w:t xml:space="preserve">모형 B 2단계(예산의 인과적 한계효과)는 역인과·탐지편의 문제로 IV/event study 없이는 추정하지 않았다(향후 과제).</w:t>
      </w:r>
    </w:p>
    <w:p>
      <w:pPr>
        <w:pStyle w:val="Compact"/>
        <w:numPr>
          <w:ilvl w:val="0"/>
          <w:numId w:val="1005"/>
        </w:numPr>
      </w:pPr>
      <w:r>
        <w:t xml:space="preserve">배분공식의 하한(30%)·상한(±30%) 파라미터는 임의 설정값으로, 민감도 분석이 필요하다.</w:t>
      </w:r>
    </w:p>
    <w:p>
      <w:pPr>
        <w:pStyle w:val="Compact"/>
        <w:numPr>
          <w:ilvl w:val="0"/>
          <w:numId w:val="1005"/>
        </w:numPr>
      </w:pPr>
      <w:r>
        <w:t xml:space="preserve">총 R²(약 0.08)가 낮아 4개 도메인만으로 피해 변이의 대부분을 설명하지 못한다 — 확산이력 등 순환위험 변수를 의도적으로 제외한 결과이기도 하다.</w:t>
      </w:r>
    </w:p>
    <w:bookmarkEnd w:id="38"/>
    <w:bookmarkStart w:id="39" w:name="향후-과제"/>
    <w:p>
      <w:pPr>
        <w:pStyle w:val="Heading2"/>
      </w:pPr>
      <w:r>
        <w:t xml:space="preserve">8.3 향후 과제</w:t>
      </w:r>
    </w:p>
    <w:p>
      <w:pPr>
        <w:pStyle w:val="Compact"/>
        <w:numPr>
          <w:ilvl w:val="0"/>
          <w:numId w:val="1006"/>
        </w:numPr>
      </w:pPr>
      <w:r>
        <w:t xml:space="preserve">기후위험도 변수 방향 안정화(이론 고정/부트스트랩)</w:t>
      </w:r>
    </w:p>
    <w:p>
      <w:pPr>
        <w:pStyle w:val="Compact"/>
        <w:numPr>
          <w:ilvl w:val="0"/>
          <w:numId w:val="1006"/>
        </w:numPr>
      </w:pPr>
      <w:r>
        <w:t xml:space="preserve">배분공식 하한·상한 파라미터 민감도 분석</w:t>
      </w:r>
    </w:p>
    <w:p>
      <w:pPr>
        <w:pStyle w:val="Compact"/>
        <w:numPr>
          <w:ilvl w:val="0"/>
          <w:numId w:val="1006"/>
        </w:numPr>
      </w:pPr>
      <w:r>
        <w:t xml:space="preserve">IV 또는 특별방제구역 지정 event study를 통한 예산의 인과적 한계효과 추정(모형 B 2단계)</w:t>
      </w:r>
    </w:p>
    <w:p>
      <w:pPr>
        <w:pStyle w:val="Compact"/>
        <w:numPr>
          <w:ilvl w:val="0"/>
          <w:numId w:val="1006"/>
        </w:numPr>
      </w:pPr>
      <w:r>
        <w:t xml:space="preserve">성남시·용인시·전주시 등 다구시 집계방식 아티팩트 원자료 재확인</w:t>
      </w:r>
    </w:p>
    <w:bookmarkEnd w:id="39"/>
    <w:bookmarkEnd w:id="40"/>
    <w:bookmarkStart w:id="41" w:name="부록.-산출물-파일-목록"/>
    <w:p>
      <w:pPr>
        <w:pStyle w:val="Heading1"/>
      </w:pPr>
      <w:r>
        <w:t xml:space="preserve">부록.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scripts/final_modeling.py</w:t>
            </w:r>
          </w:p>
        </w:tc>
        <w:tc>
          <w:tcPr/>
          <w:p>
            <w:pPr>
              <w:pStyle w:val="Compact"/>
            </w:pPr>
            <w:r>
              <w:t xml:space="preserve">표본정의·지수산출·모형A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scripts/model_b_stage1.py</w:t>
            </w:r>
          </w:p>
        </w:tc>
        <w:tc>
          <w:tcPr/>
          <w:p>
            <w:pPr>
              <w:pStyle w:val="Compact"/>
            </w:pPr>
            <w:r>
              <w:t xml:space="preserve">배분갭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scripts/model_b_stage3.py</w:t>
            </w:r>
          </w:p>
        </w:tc>
        <w:tc>
          <w:tcPr/>
          <w:p>
            <w:pPr>
              <w:pStyle w:val="Compact"/>
            </w:pPr>
            <w:r>
              <w:t xml:space="preserve">배분공식 시뮬레이션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scripts/national_response_robustness.py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output/모델링/방제취약성지수_산출결과.csv</w:t>
            </w:r>
          </w:p>
        </w:tc>
        <w:tc>
          <w:tcPr/>
          <w:p>
            <w:pPr>
              <w:pStyle w:val="Compact"/>
            </w:pPr>
            <w:r>
              <w:t xml:space="preserve">시군구·연도별 도메인점수 및 두 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output/모델링/배분갭_진단결과.csv</w:t>
            </w:r>
          </w:p>
        </w:tc>
        <w:tc>
          <w:tcPr/>
          <w:p>
            <w:pPr>
              <w:pStyle w:val="Compact"/>
            </w:pPr>
            <w:r>
              <w:t xml:space="preserve">221개 시군구 배분갭 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output/모델링/배분공식_시뮬레이션결과.csv</w:t>
            </w:r>
          </w:p>
        </w:tc>
        <w:tc>
          <w:tcPr/>
          <w:p>
            <w:pPr>
              <w:pStyle w:val="Compact"/>
            </w:pPr>
            <w:r>
              <w:t xml:space="preserve">연도별 실제/시뮬 예산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output/모델링/모형A_로그.txt</w:t>
            </w:r>
            <w:r>
              <w:t xml:space="preserve"> </w:t>
            </w:r>
            <w:r>
              <w:rPr>
                <w:rStyle w:val="VerbatimChar"/>
              </w:rPr>
              <w:t xml:space="preserve">배분갭_로그.txt</w:t>
            </w:r>
            <w:r>
              <w:t xml:space="preserve"> </w:t>
            </w:r>
            <w:r>
              <w:rPr>
                <w:rStyle w:val="VerbatimChar"/>
              </w:rPr>
              <w:t xml:space="preserve">배분공식_로그.txt</w:t>
            </w:r>
            <w:r>
              <w:t xml:space="preserve"> </w:t>
            </w:r>
            <w:r>
              <w:rPr>
                <w:rStyle w:val="VerbatimChar"/>
              </w:rPr>
              <w:t xml:space="preserve">국가대응수준_보조모형_로그.txt</w:t>
            </w:r>
          </w:p>
        </w:tc>
        <w:tc>
          <w:tcPr/>
          <w:p>
            <w:pPr>
              <w:pStyle w:val="Compact"/>
            </w:pPr>
            <w:r>
              <w:t xml:space="preserve">전체 회귀결과 로그</w:t>
            </w:r>
          </w:p>
        </w:tc>
      </w:tr>
    </w:tbl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</dc:title>
  <dc:creator/>
  <cp:keywords/>
  <dcterms:created xsi:type="dcterms:W3CDTF">2026-07-29T09:54:25Z</dcterms:created>
  <dcterms:modified xsi:type="dcterms:W3CDTF">2026-07-29T09:54:25Z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2026-07-29</vt:lpwstr>
  </property>
</Properties>
</file>