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CH2 방제취약성지수 산출 및 맞춤형 예산배분 모델링 분석보고서 (최종판)</w:t>
      </w:r>
    </w:p>
    <w:p>
      <w:pPr>
        <w:pStyle w:val="Date"/>
      </w:pPr>
      <w:r>
        <w:t xml:space="preserve">2026-07-30 (최종 — CH2_전체병합패널_5도메인_2016_2023_최종보정4.csv 기준)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분석-개요"/>
    <w:p>
      <w:pPr>
        <w:pStyle w:val="Heading1"/>
      </w:pPr>
      <w:r>
        <w:t xml:space="preserve">1. 분석 개요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소나무재선충병 방제취약성지수를 산출하고, 이를 바탕으로 맞춤형 예산배분 모형을 구축한다. Model 1(구조적 취약성 진단)과 Model 2(재발위험 조기경보)를 의도적으로 분리한다.</w:t>
      </w:r>
    </w:p>
    <w:p>
      <w:pPr>
        <w:pStyle w:val="BodyText"/>
      </w:pPr>
      <w:r>
        <w:rPr>
          <w:b/>
          <w:bCs/>
        </w:rPr>
        <w:t xml:space="preserve">데이터</w:t>
      </w:r>
      <w:r>
        <w:t xml:space="preserve">: 229개 시군구 × 8개년(2016–2023) 패널.</w:t>
      </w:r>
      <w:r>
        <w:t xml:space="preserve"> </w:t>
      </w:r>
      <w:r>
        <w:rPr>
          <w:rStyle w:val="VerbatimChar"/>
          <w:b/>
          <w:bCs/>
        </w:rPr>
        <w:t xml:space="preserve">CH2_전체병합패널_5도메인_2016_2023_최종보정4.csv</w:t>
      </w:r>
      <w:r>
        <w:t xml:space="preserve">(최종 데이터, 1,832행 × 98열)를 사용했다.</w:t>
      </w:r>
    </w:p>
    <w:p>
      <w:pPr>
        <w:pStyle w:val="BlockText"/>
      </w:pPr>
      <w:r>
        <w:rPr>
          <w:b/>
          <w:bCs/>
        </w:rPr>
        <w:t xml:space="preserve">최종판 갱신 사항</w:t>
      </w:r>
      <w:r>
        <w:t xml:space="preserve">: 최종보정4 데이터에서</w:t>
      </w:r>
      <w:r>
        <w:t xml:space="preserve"> </w:t>
      </w:r>
      <w:r>
        <w:rPr>
          <w:rStyle w:val="VerbatimChar"/>
        </w:rPr>
        <w:t xml:space="preserve">도로소나무비율_500m</w:t>
      </w:r>
      <w:r>
        <w:t xml:space="preserve">(도로 인접 소나무 비율)이 전국 단위로 재계산되었음을 확인했다(평균 0.340→0.183, 이전 버전과 상관 0.43 — 서울 중구 1.000→0.000처럼 극단적으로 수정된 사례 다수, 대도시 도심의 과거 값이 GIS 계산 오류로 과대추정돼 있었던 것으로 판단). 이에 따라</w:t>
      </w:r>
      <w:r>
        <w:t xml:space="preserve"> </w:t>
      </w:r>
      <w:r>
        <w:rPr>
          <w:b/>
          <w:bCs/>
        </w:rPr>
        <w:t xml:space="preserve">면적통제 후 Y와의 상관을 재검증한 결과 0.19(구버전) → 0.0008(최종판)로 사실상 소멸</w:t>
      </w:r>
      <w:r>
        <w:t xml:space="preserve">해, 이전에</w:t>
      </w:r>
      <w:r>
        <w:t xml:space="preserve"> </w:t>
      </w:r>
      <w:r>
        <w:t xml:space="preserve">“면적 통제 후 부호 (+)로 재해석”</w:t>
      </w:r>
      <w:r>
        <w:t xml:space="preserve">하며 유지했던 이 변수를</w:t>
      </w:r>
      <w:r>
        <w:t xml:space="preserve"> </w:t>
      </w:r>
      <w:r>
        <w:rPr>
          <w:b/>
          <w:bCs/>
        </w:rPr>
        <w:t xml:space="preserve">인위적확산 도메인에서 최종 제외</w:t>
      </w:r>
      <w:r>
        <w:t xml:space="preserve">했다(SPI3·평균풍속과 동일한 기준 적용). 인위적확산 도메인은 이제</w:t>
      </w:r>
      <w:r>
        <w:t xml:space="preserve"> </w:t>
      </w:r>
      <w:r>
        <w:rPr>
          <w:rStyle w:val="VerbatimChar"/>
        </w:rPr>
        <w:t xml:space="preserve">log1p_원목생산업체수</w:t>
      </w:r>
      <w:r>
        <w:t xml:space="preserve">(면적통제 잔차, 상관 −0.196 유지) 단독으로 구성된다. 이 변경을 포함해 전체 파이프라인(Model 1·Model 2·배분갭·기여도분해·유형화·예방형 예산 재배분 시나리오·국가대응수준 보조모형·축A 민감도·CH3 시나리오)을 처음부터 다시 실행했다.</w:t>
      </w:r>
    </w:p>
    <w:p>
      <w:pPr>
        <w:pStyle w:val="FirstParagraph"/>
      </w:pPr>
      <w:r>
        <w:rPr>
          <w:b/>
          <w:bCs/>
        </w:rPr>
        <w:t xml:space="preserve">분석 구조</w:t>
      </w:r>
      <w:r>
        <w:t xml:space="preserve">: 표본정의·QA → Model 1(지수산출·모형A) → 배분갭·기여도분해·유형화 → Model 2(조기경보) → 예방형 예산 재배분 시나리오 → 국가대응수준 보조모형 → 축A 임계값 민감도 → CH3 연결 → 종합결론.</w:t>
      </w:r>
    </w:p>
    <w:p>
      <w:pPr>
        <w:pStyle w:val="BodyText"/>
      </w:pPr>
      <w:r>
        <w:t xml:space="preserve">산출 스크립트(모두</w:t>
      </w:r>
      <w:r>
        <w:t xml:space="preserve"> </w:t>
      </w:r>
      <w:r>
        <w:rPr>
          <w:rStyle w:val="VerbatimChar"/>
        </w:rPr>
        <w:t xml:space="preserve">최종보정4.csv</w:t>
      </w:r>
      <w:r>
        <w:t xml:space="preserve"> </w:t>
      </w:r>
      <w:r>
        <w:t xml:space="preserve">기준으로 재실행):</w:t>
      </w:r>
      <w:r>
        <w:t xml:space="preserve"> </w:t>
      </w:r>
      <w:r>
        <w:rPr>
          <w:rStyle w:val="VerbatimChar"/>
        </w:rPr>
        <w:t xml:space="preserve">model1_final.py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model2_production_final.py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model_b_stage3_final.py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national_response_final.py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threshold_sensitivity_final.py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ch3_support_simulation_final.py</w:t>
      </w:r>
      <w:r>
        <w:t xml:space="preserve">.</w:t>
      </w:r>
    </w:p>
    <w:bookmarkEnd w:id="9"/>
    <w:bookmarkStart w:id="12" w:name="표본-정의-및-변수-qa-이력"/>
    <w:p>
      <w:pPr>
        <w:pStyle w:val="Heading1"/>
      </w:pPr>
      <w:r>
        <w:t xml:space="preserve">2. 표본 정의 및 변수 QA 이력</w:t>
      </w:r>
    </w:p>
    <w:bookmarkStart w:id="10" w:name="표본-정의"/>
    <w:p>
      <w:pPr>
        <w:pStyle w:val="Heading2"/>
      </w:pPr>
      <w:r>
        <w:t xml:space="preserve">2.1 표본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</w:t>
            </w:r>
          </w:p>
        </w:tc>
        <w:tc>
          <w:tcPr/>
          <w:p>
            <w:pPr>
              <w:pStyle w:val="Compact"/>
            </w:pPr>
            <w:r>
              <w:t xml:space="preserve">1,832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면적=0 진짜 도심 제외</w:t>
            </w:r>
          </w:p>
        </w:tc>
        <w:tc>
          <w:tcPr/>
          <w:p>
            <w:pPr>
              <w:pStyle w:val="Compact"/>
            </w:pPr>
            <w:r>
              <w:t xml:space="preserve">1,816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임상도 아티팩트 무효구간 제외</w:t>
            </w:r>
          </w:p>
        </w:tc>
        <w:tc>
          <w:tcPr/>
          <w:p>
            <w:pPr>
              <w:pStyle w:val="Compact"/>
            </w:pPr>
            <w:r>
              <w:t xml:space="preserve">1,804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핵심변수 완비(listwise deletion)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1,753</w:t>
            </w:r>
          </w:p>
        </w:tc>
      </w:tr>
    </w:tbl>
    <w:p>
      <w:pPr>
        <w:pStyle w:val="BodyText"/>
      </w:pPr>
      <w:r>
        <w:t xml:space="preserve">도로소나무비율_500m을 핵심변수 목록에서 제외하면서 이 변수의 결측으로 탈락했던 몇몇 시군구(예: 인천 동구)가 표본에 복귀해 n이 소폭 늘었다(v4의 1,749 → 1,753).</w:t>
      </w:r>
    </w:p>
    <w:bookmarkEnd w:id="10"/>
    <w:bookmarkStart w:id="11" w:name="기후위험도인위적확산-도메인-세-차례-qa로-확정된-최종-구성"/>
    <w:p>
      <w:pPr>
        <w:pStyle w:val="Heading2"/>
      </w:pPr>
      <w:r>
        <w:t xml:space="preserve">2.2 기후위험도·인위적확산 도메인 — 세 차례 QA로 확정된 최종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원래 결정</w:t>
            </w:r>
          </w:p>
        </w:tc>
        <w:tc>
          <w:tcPr/>
          <w:p>
            <w:pPr>
              <w:pStyle w:val="Compact"/>
            </w:pPr>
            <w:r>
              <w:t xml:space="preserve">QA 재검증</w:t>
            </w:r>
          </w:p>
        </w:tc>
        <w:tc>
          <w:tcPr/>
          <w:p>
            <w:pPr>
              <w:pStyle w:val="Compact"/>
            </w:pPr>
            <w:r>
              <w:t xml:space="preserve">최종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SPI3_최저월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ICC≈0, 개념적 결함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평균풍속</w:t>
            </w:r>
          </w:p>
        </w:tc>
        <w:tc>
          <w:tcPr/>
          <w:p>
            <w:pPr>
              <w:pStyle w:val="Compact"/>
            </w:pPr>
            <w:r>
              <w:t xml:space="preserve">제외 검토 → 유지로 반전</w:t>
            </w:r>
          </w:p>
        </w:tc>
        <w:tc>
          <w:tcPr/>
          <w:p>
            <w:pPr>
              <w:pStyle w:val="Compact"/>
            </w:pPr>
            <w:r>
              <w:t xml:space="preserve">관측소 공유지역 제외 시 상관 소멸(교란효과)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연강수량, GDD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변동없음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도로소나무비율_500m</w:t>
            </w:r>
          </w:p>
        </w:tc>
        <w:tc>
          <w:tcPr/>
          <w:p>
            <w:pPr>
              <w:pStyle w:val="Compact"/>
            </w:pPr>
            <w:r>
              <w:t xml:space="preserve">핵심(부호 재해석)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최종보정4에서 원자료 재계산 후 면적통제 상관 0.19→0.0008로 소멸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log1p_원목생산업체수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면적통제 상관 −0.196 유지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</w:tbl>
    <w:p>
      <w:pPr>
        <w:pStyle w:val="BodyText"/>
      </w:pPr>
      <w:r>
        <w:t xml:space="preserve">세 변수(SPI3·평균풍속·도로소나무비율) 모두</w:t>
      </w:r>
      <w:r>
        <w:t xml:space="preserve"> </w:t>
      </w:r>
      <w:r>
        <w:t xml:space="preserve">“직관적으로는 중요해 보이나 엄밀히 재검증하면 신호가 없거나 교란된”</w:t>
      </w:r>
      <w:r>
        <w:t xml:space="preserve"> </w:t>
      </w:r>
      <w:r>
        <w:t xml:space="preserve">패턴이 반복됐다.</w:t>
      </w:r>
      <w:r>
        <w:t xml:space="preserve"> </w:t>
      </w:r>
      <w:r>
        <w:rPr>
          <w:b/>
          <w:bCs/>
        </w:rPr>
        <w:t xml:space="preserve">기후위험도 도메인은 연강수량·GDD 2개, 인위적확산 도메인은 원목생산업체수 1개</w:t>
      </w:r>
      <w:r>
        <w:t xml:space="preserve">로 최종 확정한다.</w:t>
      </w:r>
    </w:p>
    <w:bookmarkEnd w:id="11"/>
    <w:bookmarkEnd w:id="12"/>
    <w:bookmarkStart w:id="14" w:name="방제취약성지수model-1-산출-최종"/>
    <w:p>
      <w:pPr>
        <w:pStyle w:val="Heading1"/>
      </w:pPr>
      <w:r>
        <w:t xml:space="preserve">3. 방제취약성지수(Model 1) 산출 — 최종</w:t>
      </w:r>
    </w:p>
    <w:bookmarkStart w:id="13" w:name="도메인-구성"/>
    <w:p>
      <w:pPr>
        <w:pStyle w:val="Heading2"/>
      </w:pPr>
      <w:r>
        <w:t xml:space="preserve">3.1 도메인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투입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소나무류_면적비율(%)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연강수량_mm, GDD_솔수염하늘소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지자체대응역량(역방향)</w:t>
            </w:r>
          </w:p>
        </w:tc>
        <w:tc>
          <w:tcPr/>
          <w:p>
            <w:pPr>
              <w:pStyle w:val="Compact"/>
            </w:pPr>
            <w:r>
              <w:t xml:space="preserve">대응자원투입예산_로그, 예찰사업_존재_flag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</w:t>
            </w:r>
          </w:p>
        </w:tc>
        <w:tc>
          <w:tcPr/>
          <w:p>
            <w:pPr>
              <w:pStyle w:val="Compact"/>
            </w:pPr>
            <w:r>
              <w:t xml:space="preserve">log1p_원목생산업체수(면적통제 잔차)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구조적취약성지수 = 0.25 × 노출도_점수 + 0.25 × 기후위험도_점수</w:t>
      </w:r>
      <w:r>
        <w:br/>
      </w:r>
      <w:r>
        <w:rPr>
          <w:rStyle w:val="VerbatimChar"/>
        </w:rPr>
        <w:t xml:space="preserve">                  + 0.25 × 지자체대응역량_점수 + 0.25 × 인위적확산_점수</w:t>
      </w:r>
    </w:p>
    <w:p>
      <w:pPr>
        <w:pStyle w:val="FirstParagraph"/>
      </w:pPr>
      <w:r>
        <w:t xml:space="preserve">동일가중 채택 근거(반복 확인): (1) 실증가중은 Y로 지수를 만들고 다시 Y로 검증하는 순환논리 위험, (2) 약한 도메인의 실증가중 자체가 불안정, (3) 동일가중·실증가중 지수의 순위상관이 매번 0.95 안팎으로 실질적 차이가 없음.</w:t>
      </w:r>
    </w:p>
    <w:bookmarkEnd w:id="13"/>
    <w:bookmarkEnd w:id="14"/>
    <w:bookmarkStart w:id="18" w:name="모형-a-model-1-타당성-검증-최종"/>
    <w:p>
      <w:pPr>
        <w:pStyle w:val="Heading1"/>
      </w:pPr>
      <w:r>
        <w:t xml:space="preserve">4. 모형 A — Model 1 타당성 검증 (최종)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항</w:t>
            </w:r>
          </w:p>
        </w:tc>
        <w:tc>
          <w:tcPr/>
          <w:p>
            <w:pPr>
              <w:pStyle w:val="Compact"/>
            </w:pPr>
            <w:r>
              <w:t xml:space="preserve">발생여부 계수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크기(OLS)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훈련(n=874)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−0.450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−0.089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between(</w:t>
            </w:r>
            <w:r>
              <w:rPr>
                <w:rStyle w:val="VerbatimChar"/>
              </w:rPr>
              <w:t xml:space="preserve">_gm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+1.138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홀드아웃(n=442)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−0.646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+0.026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홀드아웃</w:t>
            </w:r>
          </w:p>
        </w:tc>
        <w:tc>
          <w:tcPr/>
          <w:p>
            <w:pPr>
              <w:pStyle w:val="Compact"/>
            </w:pPr>
            <w:r>
              <w:t xml:space="preserve">between(</w:t>
            </w:r>
            <w:r>
              <w:rPr>
                <w:rStyle w:val="VerbatimChar"/>
              </w:rPr>
              <w:t xml:space="preserve">_gm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+0.032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</w:tr>
    </w:tbl>
    <w:p>
      <w:pPr>
        <w:pStyle w:val="BodyText"/>
      </w:pPr>
      <w:r>
        <w:t xml:space="preserve">AUC(구조 타당성 검증): 훈련 0.581 / 홀드아웃 0.564. (§5.2의 0.621은 Model 2와 공정비교를 위해 훈련기간 gm을 고정 적용한 값으로 평가 설계가 다르다 — 인용 시 구분할 것.)</w:t>
      </w:r>
    </w:p>
    <w:p>
      <w:pPr>
        <w:pStyle w:val="BodyText"/>
      </w:pPr>
      <w:r>
        <w:rPr>
          <w:b/>
          <w:bCs/>
        </w:rPr>
        <w:t xml:space="preserve">정확한 표현</w:t>
      </w:r>
      <w:r>
        <w:t xml:space="preserve">:</w:t>
      </w:r>
      <w:r>
        <w:t xml:space="preserve"> </w:t>
      </w:r>
      <w:r>
        <w:t xml:space="preserve">“구조적취약성지수의 지자체 간 차이는 발생여부와 일관된 양의 연관성을 보였다(훈련·홀드아웃 모두 유의). 발생규모와의 연관성은 훈련표본에서만 확인되어(p=0.046) 홀드아웃(p=0.231)에서는 재현되지 않았다.”</w:t>
      </w:r>
    </w:p>
    <w:p>
      <w:pPr>
        <w:pStyle w:val="BodyText"/>
      </w:pPr>
      <w:r>
        <w:t xml:space="preserve">도로소나무비율 제외로 계수·AUC가 이전(v4: between +1.25~+1.45, AUC 0.60~0.59)보다 다소 낮아졌으나(between +1.14~+1.20, AUC 0.58~0.56),</w:t>
      </w:r>
      <w:r>
        <w:t xml:space="preserve"> </w:t>
      </w:r>
      <w:r>
        <w:rPr>
          <w:b/>
          <w:bCs/>
        </w:rPr>
        <w:t xml:space="preserve">방향과 유의성이라는 핵심 결론은 그대로 유지</w:t>
      </w:r>
      <w:r>
        <w:t xml:space="preserve">된다.</w:t>
      </w:r>
    </w:p>
    <w:bookmarkStart w:id="15" w:name="배분갭"/>
    <w:p>
      <w:pPr>
        <w:pStyle w:val="Heading2"/>
      </w:pPr>
      <w:r>
        <w:t xml:space="preserve">4.1 배분갭</w:t>
      </w:r>
    </w:p>
    <w:p>
      <w:pPr>
        <w:pStyle w:val="FirstParagraph"/>
      </w:pPr>
      <w:r>
        <w:rPr>
          <w:b/>
          <w:bCs/>
        </w:rPr>
        <w:t xml:space="preserve">회귀식</w:t>
      </w:r>
      <w:r>
        <w:t xml:space="preserve">: 예산 = α + β×평균위험 + ε (예산이 종속변수). β=</w:t>
      </w:r>
      <w:r>
        <w:rPr>
          <w:b/>
          <w:bCs/>
        </w:rPr>
        <w:t xml:space="preserve">+1.185(p=0.016), R²=2.39%</w:t>
      </w:r>
      <w:r>
        <w:t xml:space="preserve">. 이전(v4: β=1.531, R²=3.40%)보다 설명력이 더 낮아졌다 — 인위적확산 도메인이 축소되면서 위험지수의 예산 설명력도 함께 약해진 것으로, 예상된 방향의 변화다. 배분갭 ε&lt;0은</w:t>
      </w:r>
      <w:r>
        <w:t xml:space="preserve"> </w:t>
      </w:r>
      <w:r>
        <w:t xml:space="preserve">“현행 평균 배분관행 대비 상대적 저배분”</w:t>
      </w:r>
      <w:r>
        <w:t xml:space="preserve">을 뜻하며</w:t>
      </w:r>
      <w:r>
        <w:t xml:space="preserve"> </w:t>
      </w:r>
      <w:r>
        <w:t xml:space="preserve">“최적예산 부족”</w:t>
      </w:r>
      <w:r>
        <w:t xml:space="preserve">이 아니다.</w:t>
      </w:r>
    </w:p>
    <w:bookmarkEnd w:id="15"/>
    <w:bookmarkStart w:id="16" w:name="기여도-분해-상위-20개최종"/>
    <w:p>
      <w:pPr>
        <w:pStyle w:val="Heading2"/>
      </w:pPr>
      <w:r>
        <w:t xml:space="preserve">4.2 기여도 분해 — 상위 20개(최종)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시군구</w:t>
            </w:r>
          </w:p>
        </w:tc>
        <w:tc>
          <w:tcPr/>
          <w:p>
            <w:pPr>
              <w:pStyle w:val="Compact"/>
            </w:pPr>
            <w:r>
              <w:t xml:space="preserve">취약성지수</w:t>
            </w:r>
          </w:p>
        </w:tc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기후</w:t>
            </w:r>
          </w:p>
        </w:tc>
        <w:tc>
          <w:tcPr/>
          <w:p>
            <w:pPr>
              <w:pStyle w:val="Compact"/>
            </w:pPr>
            <w:r>
              <w:t xml:space="preserve">역량</w:t>
            </w:r>
          </w:p>
        </w:tc>
        <w:tc>
          <w:tcPr/>
          <w:p>
            <w:pPr>
              <w:pStyle w:val="Compact"/>
            </w:pPr>
            <w:r>
              <w:t xml:space="preserve">인위적확산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완도군</w:t>
            </w:r>
          </w:p>
        </w:tc>
        <w:tc>
          <w:tcPr/>
          <w:p>
            <w:pPr>
              <w:pStyle w:val="Compact"/>
            </w:pPr>
            <w:r>
              <w:t xml:space="preserve">1.233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통영시</w:t>
            </w:r>
          </w:p>
        </w:tc>
        <w:tc>
          <w:tcPr/>
          <w:p>
            <w:pPr>
              <w:pStyle w:val="Compact"/>
            </w:pPr>
            <w:r>
              <w:t xml:space="preserve">1.195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−0.087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해운대구</w:t>
            </w:r>
          </w:p>
        </w:tc>
        <w:tc>
          <w:tcPr/>
          <w:p>
            <w:pPr>
              <w:pStyle w:val="Compact"/>
            </w:pPr>
            <w:r>
              <w:t xml:space="preserve">1.174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−0.011</w:t>
            </w:r>
          </w:p>
        </w:tc>
        <w:tc>
          <w:tcPr/>
          <w:p>
            <w:pPr>
              <w:pStyle w:val="Compact"/>
            </w:pPr>
            <w:r>
              <w:t xml:space="preserve">0.349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고성군</w:t>
            </w:r>
          </w:p>
        </w:tc>
        <w:tc>
          <w:tcPr/>
          <w:p>
            <w:pPr>
              <w:pStyle w:val="Compact"/>
            </w:pPr>
            <w:r>
              <w:t xml:space="preserve">1.168</w:t>
            </w:r>
          </w:p>
        </w:tc>
        <w:tc>
          <w:tcPr/>
          <w:p>
            <w:pPr>
              <w:pStyle w:val="Compact"/>
            </w:pPr>
            <w:r>
              <w:t xml:space="preserve">0.505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−0.050</w:t>
            </w:r>
          </w:p>
        </w:tc>
        <w:tc>
          <w:tcPr/>
          <w:p>
            <w:pPr>
              <w:pStyle w:val="Compact"/>
            </w:pPr>
            <w:r>
              <w:t xml:space="preserve">0.401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남해군</w:t>
            </w:r>
          </w:p>
        </w:tc>
        <w:tc>
          <w:tcPr/>
          <w:p>
            <w:pPr>
              <w:pStyle w:val="Compact"/>
            </w:pPr>
            <w:r>
              <w:t xml:space="preserve">1.125</w:t>
            </w:r>
          </w:p>
        </w:tc>
        <w:tc>
          <w:tcPr/>
          <w:p>
            <w:pPr>
              <w:pStyle w:val="Compact"/>
            </w:pPr>
            <w:r>
              <w:t xml:space="preserve">0.407</w:t>
            </w:r>
          </w:p>
        </w:tc>
        <w:tc>
          <w:tcPr/>
          <w:p>
            <w:pPr>
              <w:pStyle w:val="Compact"/>
            </w:pPr>
            <w:r>
              <w:t xml:space="preserve">0.390</w:t>
            </w:r>
          </w:p>
        </w:tc>
        <w:tc>
          <w:tcPr/>
          <w:p>
            <w:pPr>
              <w:pStyle w:val="Compact"/>
            </w:pPr>
            <w:r>
              <w:t xml:space="preserve">−0.050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거제시</w:t>
            </w:r>
          </w:p>
        </w:tc>
        <w:tc>
          <w:tcPr/>
          <w:p>
            <w:pPr>
              <w:pStyle w:val="Compact"/>
            </w:pPr>
            <w:r>
              <w:t xml:space="preserve">1.063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  <w:tc>
          <w:tcPr/>
          <w:p>
            <w:pPr>
              <w:pStyle w:val="Compact"/>
            </w:pPr>
            <w:r>
              <w:t xml:space="preserve">−0.085</w:t>
            </w:r>
          </w:p>
        </w:tc>
        <w:tc>
          <w:tcPr/>
          <w:p>
            <w:pPr>
              <w:pStyle w:val="Compact"/>
            </w:pPr>
            <w:r>
              <w:t xml:space="preserve">0.233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여수시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0.192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금정구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−0.073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의령군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−0.070</w:t>
            </w:r>
          </w:p>
        </w:tc>
        <w:tc>
          <w:tcPr/>
          <w:p>
            <w:pPr>
              <w:pStyle w:val="Compact"/>
            </w:pPr>
            <w:r>
              <w:t xml:space="preserve">0.358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인천광역시</w:t>
            </w:r>
          </w:p>
        </w:tc>
        <w:tc>
          <w:tcPr/>
          <w:p>
            <w:pPr>
              <w:pStyle w:val="Compact"/>
            </w:pPr>
            <w:r>
              <w:t xml:space="preserve">옹진군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−0.213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울진군</w:t>
            </w:r>
          </w:p>
        </w:tc>
        <w:tc>
          <w:tcPr/>
          <w:p>
            <w:pPr>
              <w:pStyle w:val="Compact"/>
            </w:pPr>
            <w:r>
              <w:t xml:space="preserve">0.843</w:t>
            </w:r>
          </w:p>
        </w:tc>
        <w:tc>
          <w:tcPr/>
          <w:p>
            <w:pPr>
              <w:pStyle w:val="Compact"/>
            </w:pPr>
            <w:r>
              <w:t xml:space="preserve">0.693</w:t>
            </w:r>
          </w:p>
        </w:tc>
        <w:tc>
          <w:tcPr/>
          <w:p>
            <w:pPr>
              <w:pStyle w:val="Compact"/>
            </w:pPr>
            <w:r>
              <w:t xml:space="preserve">−0.165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산청군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−0.034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신안군</w:t>
            </w:r>
          </w:p>
        </w:tc>
        <w:tc>
          <w:tcPr/>
          <w:p>
            <w:pPr>
              <w:pStyle w:val="Compact"/>
            </w:pPr>
            <w:r>
              <w:t xml:space="preserve">0.835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  <w:tc>
          <w:tcPr/>
          <w:p>
            <w:pPr>
              <w:pStyle w:val="Compact"/>
            </w:pPr>
            <w:r>
              <w:t xml:space="preserve">−0.008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0.513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하동군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0.253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−0.142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합천군</w:t>
            </w:r>
          </w:p>
        </w:tc>
        <w:tc>
          <w:tcPr/>
          <w:p>
            <w:pPr>
              <w:pStyle w:val="Compact"/>
            </w:pPr>
            <w:r>
              <w:t xml:space="preserve">0.797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−0.094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북구</w:t>
            </w:r>
          </w:p>
        </w:tc>
        <w:tc>
          <w:tcPr/>
          <w:p>
            <w:pPr>
              <w:pStyle w:val="Compact"/>
            </w:pPr>
            <w:r>
              <w:t xml:space="preserve">0.795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−0.017</w:t>
            </w:r>
          </w:p>
        </w:tc>
        <w:tc>
          <w:tcPr/>
          <w:p>
            <w:pPr>
              <w:pStyle w:val="Compact"/>
            </w:pPr>
            <w:r>
              <w:t xml:space="preserve">0.292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기장군</w:t>
            </w:r>
          </w:p>
        </w:tc>
        <w:tc>
          <w:tcPr/>
          <w:p>
            <w:pPr>
              <w:pStyle w:val="Compact"/>
            </w:pPr>
            <w:r>
              <w:t xml:space="preserve">0.709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−0.079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사천시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−0.087</w:t>
            </w:r>
          </w:p>
        </w:tc>
        <w:tc>
          <w:tcPr/>
          <w:p>
            <w:pPr>
              <w:pStyle w:val="Compact"/>
            </w:pPr>
            <w:r>
              <w:t xml:space="preserve">0.338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고령군</w:t>
            </w:r>
          </w:p>
        </w:tc>
        <w:tc>
          <w:tcPr/>
          <w:p>
            <w:pPr>
              <w:pStyle w:val="Compact"/>
            </w:pPr>
            <w:r>
              <w:t xml:space="preserve">0.672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강원특별자치도</w:t>
            </w:r>
          </w:p>
        </w:tc>
        <w:tc>
          <w:tcPr/>
          <w:p>
            <w:pPr>
              <w:pStyle w:val="Compact"/>
            </w:pPr>
            <w:r>
              <w:t xml:space="preserve">양양군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0.286</w:t>
            </w:r>
          </w:p>
        </w:tc>
      </w:tr>
    </w:tbl>
    <w:p>
      <w:pPr>
        <w:pStyle w:val="BodyText"/>
      </w:pPr>
      <w:r>
        <w:t xml:space="preserve">완도군이 1위로 올라선 것은 도로소나무비율 제외로 인위적확산 도메인이 원목생산업체수 단독 지표가 되면서 나타난 변화다(완도군의 산림 대비 원목생산업체 밀도가 높음).</w:t>
      </w:r>
    </w:p>
    <w:bookmarkEnd w:id="16"/>
    <w:bookmarkStart w:id="17" w:name="유형화-매트릭스-최종"/>
    <w:p>
      <w:pPr>
        <w:pStyle w:val="Heading2"/>
      </w:pPr>
      <w:r>
        <w:t xml:space="preserve">4.3 2×3 유형화 매트릭스 (최종)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부족</w:t>
            </w:r>
          </w:p>
        </w:tc>
        <w:tc>
          <w:tcPr/>
          <w:p>
            <w:pPr>
              <w:pStyle w:val="Compact"/>
            </w:pPr>
            <w:r>
              <w:t xml:space="preserve">적정</w:t>
            </w:r>
          </w:p>
        </w:tc>
        <w:tc>
          <w:tcPr/>
          <w:p>
            <w:pPr>
              <w:pStyle w:val="Compact"/>
            </w:pPr>
            <w:r>
              <w:t xml:space="preserve">과다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복합형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인위적확산-우세형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</w:tbl>
    <w:p>
      <w:pPr>
        <w:pStyle w:val="BodyText"/>
      </w:pPr>
      <w:r>
        <w:t xml:space="preserve">인위적확산 도메인이 원목업체수 단독이 되면서</w:t>
      </w:r>
      <w:r>
        <w:t xml:space="preserve"> </w:t>
      </w:r>
      <w:r>
        <w:t xml:space="preserve">“인위적확산-우세형”</w:t>
      </w:r>
      <w:r>
        <w:t xml:space="preserve"> </w:t>
      </w:r>
      <w:r>
        <w:t xml:space="preserve">판정이 늘었다(65→87개, 도로변 요인이 빠지고 원목유통 요인만 남아 상대적으로 도드라지는 지역이 많아짐).</w:t>
      </w:r>
    </w:p>
    <w:p>
      <w:pPr>
        <w:pStyle w:val="BodyText"/>
      </w:pPr>
      <w:r>
        <w:rPr>
          <w:b/>
          <w:bCs/>
        </w:rPr>
        <w:t xml:space="preserve">“부족”</w:t>
      </w:r>
      <w:r>
        <w:rPr>
          <w:b/>
          <w:bCs/>
        </w:rPr>
        <w:t xml:space="preserve"> </w:t>
      </w:r>
      <w:r>
        <w:rPr>
          <w:b/>
          <w:bCs/>
        </w:rPr>
        <w:t xml:space="preserve">열 대표 사례</w:t>
      </w:r>
      <w:r>
        <w:t xml:space="preserve">: 노출도-우세형 → 고령군·영양군·대구 동구·동해시·삼척시(예찰·모니터링). 인위적확산-우세형 → 신안군·진도군·영광군·관악구·종로구(원목유통·도로변 관리). 복합형 → 완도군·옹진군·광주 동구·포항시(기본 대응체계).</w:t>
      </w:r>
    </w:p>
    <w:bookmarkEnd w:id="17"/>
    <w:bookmarkEnd w:id="18"/>
    <w:bookmarkStart w:id="24" w:name="model-2-조기경보모형-최종"/>
    <w:p>
      <w:pPr>
        <w:pStyle w:val="Heading1"/>
      </w:pPr>
      <w:r>
        <w:t xml:space="preserve">5. Model 2 — 조기경보모형 (최종)</w:t>
      </w:r>
    </w:p>
    <w:bookmarkStart w:id="19" w:name="설계"/>
    <w:p>
      <w:pPr>
        <w:pStyle w:val="Heading2"/>
      </w:pPr>
      <w:r>
        <w:t xml:space="preserve">5.1 설계</w:t>
      </w:r>
    </w:p>
    <w:p>
      <w:pPr>
        <w:pStyle w:val="FirstParagraph"/>
      </w:pPr>
      <w:r>
        <w:t xml:space="preserve">Model 1(구조적취약성지수)에 t-1 시차 연속발생연수·집단발생여부·인접시군 피해밀도를 추가. 누수 방지를 위해</w:t>
      </w:r>
      <w:r>
        <w:t xml:space="preserve"> </w:t>
      </w:r>
      <w:r>
        <w:rPr>
          <w:rStyle w:val="VerbatimChar"/>
        </w:rPr>
        <w:t xml:space="preserve">_gm</w:t>
      </w:r>
      <w:r>
        <w:t xml:space="preserve">은 훈련기간(2017–2020)에서만 계산해 홀드아웃에 고정 적용한다.</w:t>
      </w:r>
    </w:p>
    <w:bookmarkEnd w:id="19"/>
    <w:bookmarkStart w:id="20" w:name="auc"/>
    <w:p>
      <w:pPr>
        <w:pStyle w:val="Heading2"/>
      </w:pPr>
      <w:r>
        <w:t xml:space="preserve">5.2 AUC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홀드아웃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1(구조적지수만, 공정비교용)</w:t>
            </w:r>
          </w:p>
        </w:tc>
        <w:tc>
          <w:tcPr/>
          <w:p>
            <w:pPr>
              <w:pStyle w:val="Compact"/>
            </w:pPr>
            <w:r>
              <w:t xml:space="preserve">0.581</w:t>
            </w:r>
          </w:p>
        </w:tc>
        <w:tc>
          <w:tcPr/>
          <w:p>
            <w:pPr>
              <w:pStyle w:val="Compact"/>
            </w:pPr>
            <w:r>
              <w:t xml:space="preserve">0.621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2(최종)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0.947</w:t>
            </w:r>
          </w:p>
        </w:tc>
      </w:tr>
    </w:tbl>
    <w:p>
      <w:pPr>
        <w:pStyle w:val="BodyText"/>
      </w:pPr>
      <w:r>
        <w:t xml:space="preserve">이전(v4: 훈련 0.976/홀드아웃 0.948)과 사실상 동일 — 도로소나무비율 제외가 Model 2에는 거의 영향을 주지 않았다(Model 2 성능은 애초에 t-1 발생이력이 주도하기 때문).</w:t>
      </w:r>
    </w:p>
    <w:bookmarkEnd w:id="20"/>
    <w:bookmarkStart w:id="21" w:name="단순-재발-기준모형-비교"/>
    <w:p>
      <w:pPr>
        <w:pStyle w:val="Heading2"/>
      </w:pPr>
      <w:r>
        <w:t xml:space="preserve">5.3 단순 재발 기준모형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기준모형</w:t>
            </w:r>
          </w:p>
        </w:tc>
        <w:tc>
          <w:tcPr/>
          <w:p>
            <w:pPr>
              <w:pStyle w:val="Compact"/>
            </w:pPr>
            <w:r>
              <w:t xml:space="preserve">홀드아웃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전년도 발생여부만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연속발생연수 단독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2(전체변수)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0.947</w:t>
            </w:r>
          </w:p>
        </w:tc>
      </w:tr>
    </w:tbl>
    <w:p>
      <w:pPr>
        <w:pStyle w:val="BodyText"/>
      </w:pPr>
      <w:r>
        <w:t xml:space="preserve">AUC 상승의 대부분은</w:t>
      </w:r>
      <w:r>
        <w:t xml:space="preserve"> </w:t>
      </w:r>
      <w:r>
        <w:t xml:space="preserve">“상습발생 여부”</w:t>
      </w:r>
      <w:r>
        <w:t xml:space="preserve">라는 단일 신호에서 나온다(연속발생연수 단독으로 이미 0.918).</w:t>
      </w:r>
    </w:p>
    <w:bookmarkEnd w:id="21"/>
    <w:bookmarkStart w:id="22" w:name="rolling-origin-2023-제외-데이터유형추정"/>
    <w:p>
      <w:pPr>
        <w:pStyle w:val="Heading2"/>
      </w:pPr>
      <w:r>
        <w:t xml:space="preserve">5.4 Rolling-origin (2023 제외 — 데이터유형=추정)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훈련 종료</w:t>
            </w:r>
          </w:p>
        </w:tc>
        <w:tc>
          <w:tcPr/>
          <w:p>
            <w:pPr>
              <w:pStyle w:val="Compact"/>
            </w:pPr>
            <w:r>
              <w:t xml:space="preserve">검증연도</w:t>
            </w:r>
          </w:p>
        </w:tc>
        <w:tc>
          <w:tcPr/>
          <w:p>
            <w:pPr>
              <w:pStyle w:val="Compact"/>
            </w:pPr>
            <w:r>
              <w:t xml:space="preserve">Model 1 AUC</w:t>
            </w:r>
          </w:p>
        </w:tc>
        <w:tc>
          <w:tcPr/>
          <w:p>
            <w:pPr>
              <w:pStyle w:val="Compact"/>
            </w:pPr>
            <w:r>
              <w:t xml:space="preserve">Model 2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≤2020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0.584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0.526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</w:tr>
    </w:tbl>
    <w:bookmarkEnd w:id="22"/>
    <w:bookmarkStart w:id="23" w:name="두-모형의-역할-분담"/>
    <w:p>
      <w:pPr>
        <w:pStyle w:val="Heading2"/>
      </w:pPr>
      <w:r>
        <w:t xml:space="preserve">5.5 두 모형의 역할 분담</w:t>
      </w:r>
    </w:p>
    <w:p>
      <w:pPr>
        <w:pStyle w:val="FirstParagraph"/>
      </w:pPr>
      <w:r>
        <w:t xml:space="preserve">Model 1은</w:t>
      </w:r>
      <w:r>
        <w:t xml:space="preserve"> </w:t>
      </w:r>
      <w:r>
        <w:t xml:space="preserve">“왜 취약한가”</w:t>
      </w:r>
      <w:r>
        <w:t xml:space="preserve">(예산배분 근거), Model 2는</w:t>
      </w:r>
      <w:r>
        <w:t xml:space="preserve"> </w:t>
      </w:r>
      <w:r>
        <w:t xml:space="preserve">“어디서 다음에 터질 가능성이 높은가”</w:t>
      </w:r>
      <w:r>
        <w:t xml:space="preserve">(예찰자원 배치 근거)에 답한다. 공간전파 항(인접시군 피해밀도_L1)은 모든 사양에서 유의하지 않아(p=0.28~0.41), AUC 상승은 공간전파가 아니라 자체 발생 관성에서 나온다.</w:t>
      </w:r>
    </w:p>
    <w:bookmarkEnd w:id="23"/>
    <w:bookmarkEnd w:id="24"/>
    <w:bookmarkStart w:id="29" w:name="예방형-예산-재배분-시나리오-최종-water-filling-알고리즘"/>
    <w:p>
      <w:pPr>
        <w:pStyle w:val="Heading1"/>
      </w:pPr>
      <w:r>
        <w:t xml:space="preserve">6. 예방형 예산 재배분 시나리오 (최종, water-filling 알고리즘)</w:t>
      </w:r>
    </w:p>
    <w:p>
      <w:pPr>
        <w:pStyle w:val="BlockText"/>
      </w:pPr>
      <w:r>
        <w:t xml:space="preserve">이 장의 결과는 피해감소 효과나 배분 효율 개선을 주장하는 것이 아니라, 같은 총예산을 구조위험 비례로 재배분하면 어떤 모습이 되는지 보여주는 정책 시나리오다.</w:t>
      </w:r>
    </w:p>
    <w:bookmarkStart w:id="25" w:name="알고리즘-총액보존-상하한-동시-만족-버그-수정-완료-재검증"/>
    <w:p>
      <w:pPr>
        <w:pStyle w:val="Heading2"/>
      </w:pPr>
      <w:r>
        <w:t xml:space="preserve">6.1 알고리즘: 총액보존 + 상하한 동시 만족 (버그 수정 완료, 재검증)</w:t>
      </w:r>
    </w:p>
    <w:p>
      <w:pPr>
        <w:pStyle w:val="FirstParagraph"/>
      </w:pPr>
      <w:r>
        <w:t xml:space="preserve">이전 버전(v4)에서 발견된 두 버그(① 결측 단위 포함 정규화로 인한 총액 누수, ② clip 후 재조정이 상한을 재위반)를 water-filling(반복 클램핑) 알고리즘으로 수정했다. 최종 데이터로도 자동검증 결과는 동일하게 깨끗하다.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실제총액</w:t>
            </w:r>
          </w:p>
        </w:tc>
        <w:tc>
          <w:tcPr/>
          <w:p>
            <w:pPr>
              <w:pStyle w:val="Compact"/>
            </w:pPr>
            <w:r>
              <w:t xml:space="preserve">시뮬총액</w:t>
            </w:r>
          </w:p>
        </w:tc>
        <w:tc>
          <w:tcPr/>
          <w:p>
            <w:pPr>
              <w:pStyle w:val="Compact"/>
            </w:pPr>
            <w:r>
              <w:t xml:space="preserve">차이율</w:t>
            </w:r>
          </w:p>
        </w:tc>
        <w:tc>
          <w:tcPr/>
          <w:p>
            <w:pPr>
              <w:pStyle w:val="Compact"/>
            </w:pPr>
            <w:r>
              <w:t xml:space="preserve">상한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420.3억</w:t>
            </w:r>
          </w:p>
        </w:tc>
        <w:tc>
          <w:tcPr/>
          <w:p>
            <w:pPr>
              <w:pStyle w:val="Compact"/>
            </w:pPr>
            <w:r>
              <w:t xml:space="preserve">420.3억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445.7억</w:t>
            </w:r>
          </w:p>
        </w:tc>
        <w:tc>
          <w:tcPr/>
          <w:p>
            <w:pPr>
              <w:pStyle w:val="Compact"/>
            </w:pPr>
            <w:r>
              <w:t xml:space="preserve">445.7억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551.5억</w:t>
            </w:r>
          </w:p>
        </w:tc>
        <w:tc>
          <w:tcPr/>
          <w:p>
            <w:pPr>
              <w:pStyle w:val="Compact"/>
            </w:pPr>
            <w:r>
              <w:t xml:space="preserve">551.5억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404.2억</w:t>
            </w:r>
          </w:p>
        </w:tc>
        <w:tc>
          <w:tcPr/>
          <w:p>
            <w:pPr>
              <w:pStyle w:val="Compact"/>
            </w:pPr>
            <w:r>
              <w:t xml:space="preserve">404.2억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297.1억</w:t>
            </w:r>
          </w:p>
        </w:tc>
        <w:tc>
          <w:tcPr/>
          <w:p>
            <w:pPr>
              <w:pStyle w:val="Compact"/>
            </w:pPr>
            <w:r>
              <w:t xml:space="preserve">297.1억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408.3억</w:t>
            </w:r>
          </w:p>
        </w:tc>
        <w:tc>
          <w:tcPr/>
          <w:p>
            <w:pPr>
              <w:pStyle w:val="Compact"/>
            </w:pPr>
            <w:r>
              <w:t xml:space="preserve">408.3억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0건(상한 37.5%로 완화 적용 — 그 해 총액이 </w:t>
            </w:r>
            <w:r>
              <w:rPr>
                <w:rFonts w:hint="eastAsia"/>
              </w:rPr>
              <w:t xml:space="preserve">전년比</w:t>
            </w:r>
            <w:r>
              <w:t xml:space="preserve"> +37%대로 늘어 30% 고정 상한으로는 총액보존이 수학적으로 불가능했기 때문)</w:t>
            </w:r>
          </w:p>
        </w:tc>
      </w:tr>
    </w:tbl>
    <w:bookmarkEnd w:id="25"/>
    <w:bookmarkStart w:id="26" w:name="재배분-규모-및-타겟팅"/>
    <w:p>
      <w:pPr>
        <w:pStyle w:val="Heading2"/>
      </w:pPr>
      <w:r>
        <w:t xml:space="preserve">6.2 재배분 규모 및 타겟팅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실제 배분</w:t>
            </w:r>
          </w:p>
        </w:tc>
        <w:tc>
          <w:tcPr/>
          <w:p>
            <w:pPr>
              <w:pStyle w:val="Compact"/>
            </w:pPr>
            <w:r>
              <w:t xml:space="preserve">시뮬레이션 배분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피해발생지역 예산 포착률(전체기간)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53.0%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Spearman(예산 vs 실제피해밀도)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  <w:tc>
          <w:tcPr/>
          <w:p>
            <w:pPr>
              <w:pStyle w:val="Compact"/>
            </w:pPr>
            <w:r>
              <w:t xml:space="preserve">0.339</w:t>
            </w:r>
          </w:p>
        </w:tc>
      </w:tr>
    </w:tbl>
    <w:p>
      <w:pPr>
        <w:pStyle w:val="BodyText"/>
      </w:pPr>
      <w:r>
        <w:t xml:space="preserve">재배분 규모는 매년 pool의 66~68%.</w:t>
      </w:r>
    </w:p>
    <w:bookmarkEnd w:id="26"/>
    <w:bookmarkStart w:id="27" w:name="해석-정책목표가-다른-두-배분"/>
    <w:p>
      <w:pPr>
        <w:pStyle w:val="Heading2"/>
      </w:pPr>
      <w:r>
        <w:t xml:space="preserve">6.3 해석 —</w:t>
      </w:r>
      <w:r>
        <w:t xml:space="preserve"> </w:t>
      </w:r>
      <w:r>
        <w:t xml:space="preserve">“정책목표가 다른 두 배분”</w:t>
      </w:r>
    </w:p>
    <w:p>
      <w:pPr>
        <w:pStyle w:val="FirstParagraph"/>
      </w:pPr>
      <w:r>
        <w:t xml:space="preserve">t년 예산이 t+1년 발생지역을 포착하는 비율(외부검토 교차검증 재현, 전체기간 평균 약 93%)도 여전히 높아,</w:t>
      </w:r>
      <w:r>
        <w:t xml:space="preserve"> </w:t>
      </w:r>
      <w:r>
        <w:t xml:space="preserve">“실제=사후대응, 시뮬=선행적”</w:t>
      </w:r>
      <w:r>
        <w:t xml:space="preserve">이라는 단순 이분법 대신</w:t>
      </w:r>
      <w:r>
        <w:t xml:space="preserve"> </w:t>
      </w:r>
      <w:r>
        <w:rPr>
          <w:b/>
          <w:bCs/>
        </w:rPr>
        <w:t xml:space="preserve">“실제 배분은 반복발생·긴급수요 등 현장정보를 반영하고, 시뮬레이션은 구조위험만을 기준으로 한 예방적 재배분 시나리오”</w:t>
      </w:r>
      <w:r>
        <w:t xml:space="preserve">로 설명한다.</w:t>
      </w:r>
    </w:p>
    <w:bookmarkEnd w:id="27"/>
    <w:bookmarkStart w:id="28" w:name="년-기준-승자요약"/>
    <w:p>
      <w:pPr>
        <w:pStyle w:val="Heading2"/>
      </w:pPr>
      <w:r>
        <w:t xml:space="preserve">6.4 2022년 기준 승자(요약)</w:t>
      </w:r>
    </w:p>
    <w:p>
      <w:pPr>
        <w:pStyle w:val="FirstParagraph"/>
      </w:pPr>
      <w:r>
        <w:t xml:space="preserve">부산 해운대구·북구·금정구, 전남 완도군·신안군, 경남 남해군·산청군, 인천 옹진군 — 배분갭</w:t>
      </w:r>
      <w:r>
        <w:t xml:space="preserve"> </w:t>
      </w:r>
      <w:r>
        <w:t xml:space="preserve">“부족”</w:t>
      </w:r>
      <w:r>
        <w:t xml:space="preserve"> </w:t>
      </w:r>
      <w:r>
        <w:t xml:space="preserve">목록과 대부분 겹친다. 감액 상위(경남 밀양시·울주군, 경기 광주시 등)는 이전 판과 거의 동일하게 재현됐다.</w:t>
      </w:r>
    </w:p>
    <w:bookmarkEnd w:id="28"/>
    <w:bookmarkEnd w:id="29"/>
    <w:bookmarkStart w:id="30" w:name="국가대응수준-보조모형-최종"/>
    <w:p>
      <w:pPr>
        <w:pStyle w:val="Heading1"/>
      </w:pPr>
      <w:r>
        <w:t xml:space="preserve">7. 국가대응수준 보조모형 (최종)</w:t>
      </w:r>
    </w:p>
    <w:p>
      <w:pPr>
        <w:pStyle w:val="FirstParagraph"/>
      </w:pPr>
      <w:r>
        <w:t xml:space="preserve">Selection-on-outcome(t=11.53, p&lt;0.0001), 표본(n=150, 26개 시군구)은 이전 판과 동일한 결론을 재확인했다.</w:t>
      </w:r>
    </w:p>
    <w:p>
      <w:pPr>
        <w:pStyle w:val="BodyText"/>
      </w:pPr>
      <w:r>
        <w:rPr>
          <w:b/>
          <w:bCs/>
        </w:rPr>
        <w:t xml:space="preserve">부트스트랩 해석 범위</w:t>
      </w:r>
      <w:r>
        <w:t xml:space="preserve">: 군집 페어 부트스트랩은</w:t>
      </w:r>
      <w:r>
        <w:t xml:space="preserve"> </w:t>
      </w:r>
      <w:r>
        <w:rPr>
          <w:b/>
          <w:bCs/>
        </w:rPr>
        <w:t xml:space="preserve">발생여부 로지스틱 모형의 계수에 대해서만</w:t>
      </w:r>
      <w:r>
        <w:t xml:space="preserve"> </w:t>
      </w:r>
      <w:r>
        <w:t xml:space="preserve">수행됐다(취약성지수_gm p=0.224~0.933, 국가대응_gm p=0.937 — 모두 비유의). 발생규모 OLS 모형의 국가대응_gm 계수는 나이브 표준오차 기준 p=0.0126으로 유의했으나 부트스트랩 검증 대상이 아니었으므로,</w:t>
      </w:r>
      <w:r>
        <w:t xml:space="preserve"> </w:t>
      </w:r>
      <w:r>
        <w:t xml:space="preserve">“모든 계수가 유의성 상실”</w:t>
      </w:r>
      <w:r>
        <w:t xml:space="preserve">이라 단정하지 않는다.</w:t>
      </w:r>
    </w:p>
    <w:p>
      <w:pPr>
        <w:pStyle w:val="BodyText"/>
      </w:pPr>
      <w:r>
        <w:rPr>
          <w:b/>
          <w:bCs/>
        </w:rPr>
        <w:t xml:space="preserve">정확한 표현</w:t>
      </w:r>
      <w:r>
        <w:t xml:space="preserve">:</w:t>
      </w:r>
      <w:r>
        <w:t xml:space="preserve"> </w:t>
      </w:r>
      <w:r>
        <w:t xml:space="preserve">“발생여부 모형의 주요 between 계수는 군집 페어 부트스트랩에서 유의하지 않았다. 발생규모 모형의 국가대응 between 계수는 통상적 표준오차에서 유의했으나, 표본 선택과 소표본 문제로 해석을 보류하며 동일한 부트스트랩 검증이 추가로 필요하다.”</w:t>
      </w:r>
    </w:p>
    <w:bookmarkEnd w:id="30"/>
    <w:bookmarkStart w:id="31" w:name="축a위험요인-유형-임계값-민감도-분석"/>
    <w:p>
      <w:pPr>
        <w:pStyle w:val="Heading1"/>
      </w:pPr>
      <w:r>
        <w:t xml:space="preserve">8. 축A(위험요인 유형) 임계값 민감도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임계값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인위적확산-우세형</w:t>
            </w:r>
          </w:p>
        </w:tc>
        <w:tc>
          <w:tcPr/>
          <w:p>
            <w:pPr>
              <w:pStyle w:val="Compact"/>
            </w:pPr>
            <w:r>
              <w:t xml:space="preserve">복합형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±0.3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±0.5(채택)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±0.7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</w:tbl>
    <w:p>
      <w:pPr>
        <w:pStyle w:val="BodyText"/>
      </w:pPr>
      <w:r>
        <w:t xml:space="preserve">인접 임계값 간 일치율 87~89%, 양극단 일치율 76.6%(52/222개 시군구가 임계값에 따라 유형 변동).</w:t>
      </w:r>
    </w:p>
    <w:p>
      <w:pPr>
        <w:pStyle w:val="BodyText"/>
      </w:pPr>
      <w:r>
        <w:rPr>
          <w:b/>
          <w:bCs/>
        </w:rPr>
        <w:t xml:space="preserve">대표 사례는 여전히 견고하다</w:t>
      </w:r>
      <w:r>
        <w:t xml:space="preserve">: 노출도-우세형 상위(고령군·영양군·대구 동구·삼척시)는 3개 임계값 모두 동일. 인위적확산-우세형은 ±0.3/0.5에서 신안군·진도군·영광군이 안정적으로 상위권, ±0.7에서는 서울 자치구(관악구·종로구·노원구)가 부상. 복합형은 완도군·옹진군·진도군·포항시가 대체로 상위권 유지.</w:t>
      </w:r>
    </w:p>
    <w:bookmarkEnd w:id="31"/>
    <w:bookmarkStart w:id="35" w:name="ch3-연결-구조취약성-개선-시나리오"/>
    <w:p>
      <w:pPr>
        <w:pStyle w:val="Heading1"/>
      </w:pPr>
      <w:r>
        <w:t xml:space="preserve">9. CH3 연결 — 구조취약성 개선 시나리오</w:t>
      </w:r>
    </w:p>
    <w:bookmarkStart w:id="32" w:name="대상지역-분류-및-지원패키지-매칭"/>
    <w:p>
      <w:pPr>
        <w:pStyle w:val="Heading2"/>
      </w:pPr>
      <w:r>
        <w:t xml:space="preserve">9.1 대상지역 분류 및 지원패키지 매칭</w:t>
      </w:r>
    </w:p>
    <w:p>
      <w:pPr>
        <w:pStyle w:val="FirstParagraph"/>
      </w:pPr>
      <w:r>
        <w:t xml:space="preserve">“부족”</w:t>
      </w:r>
      <w:r>
        <w:t xml:space="preserve"> </w:t>
      </w:r>
      <w:r>
        <w:t xml:space="preserve">판정 74개 시군구(노출도-우세형 20·인위적확산-우세형 38·복합형 16)에 유형별 패키지를 매칭했다.</w:t>
      </w:r>
    </w:p>
    <w:bookmarkEnd w:id="32"/>
    <w:bookmarkStart w:id="33" w:name="변수-변화-가정-3단계-시나리오"/>
    <w:p>
      <w:pPr>
        <w:pStyle w:val="Heading2"/>
      </w:pPr>
      <w:r>
        <w:t xml:space="preserve">9.2 변수 변화 가정 — 3단계 시나리오</w:t>
      </w:r>
    </w:p>
    <w:p>
      <w:pPr>
        <w:pStyle w:val="FirstParagraph"/>
      </w:pPr>
      <w:r>
        <w:t xml:space="preserve">지자체대응역량_점수 개선폭(보수 +0.3SD/기준 +0.6SD/적극 +1.0SD) → 지수 개선폭(+0.075/+0.15/+0.25, 유형 무관, 동일가중 선형구조의 당연한 결과).</w:t>
      </w:r>
    </w:p>
    <w:bookmarkEnd w:id="33"/>
    <w:bookmarkStart w:id="34" w:name="단기-경보-결합-부족긴급도-높음-최우선-대응-지역"/>
    <w:p>
      <w:pPr>
        <w:pStyle w:val="Heading2"/>
      </w:pPr>
      <w:r>
        <w:t xml:space="preserve">9.3 단기 경보 결합 —</w:t>
      </w:r>
      <w:r>
        <w:t xml:space="preserve"> </w:t>
      </w:r>
      <w:r>
        <w:t xml:space="preserve">“부족”</w:t>
      </w:r>
      <w:r>
        <w:t xml:space="preserve">×</w:t>
      </w:r>
      <w:r>
        <w:t xml:space="preserve">“긴급도 높음”</w:t>
      </w:r>
      <w:r>
        <w:t xml:space="preserve"> </w:t>
      </w:r>
      <w:r>
        <w:t xml:space="preserve">최우선 대응 지역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시군구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재발위험확률</w:t>
            </w:r>
          </w:p>
        </w:tc>
        <w:tc>
          <w:tcPr/>
          <w:p>
            <w:pPr>
              <w:pStyle w:val="Compact"/>
            </w:pPr>
            <w:r>
              <w:t xml:space="preserve">지원패키지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고령군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포항시</w:t>
            </w:r>
          </w:p>
        </w:tc>
        <w:tc>
          <w:tcPr/>
          <w:p>
            <w:pPr>
              <w:pStyle w:val="Compact"/>
            </w:pPr>
            <w:r>
              <w:t xml:space="preserve">복합형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기본 대응체계·인력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성주군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대구광역시</w:t>
            </w:r>
          </w:p>
        </w:tc>
        <w:tc>
          <w:tcPr/>
          <w:p>
            <w:pPr>
              <w:pStyle w:val="Compact"/>
            </w:pPr>
            <w:r>
              <w:t xml:space="preserve">동구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강원특별자치도</w:t>
            </w:r>
          </w:p>
        </w:tc>
        <w:tc>
          <w:tcPr/>
          <w:p>
            <w:pPr>
              <w:pStyle w:val="Compact"/>
            </w:pPr>
            <w:r>
              <w:t xml:space="preserve">횡성군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충청북도</w:t>
            </w:r>
          </w:p>
        </w:tc>
        <w:tc>
          <w:tcPr/>
          <w:p>
            <w:pPr>
              <w:pStyle w:val="Compact"/>
            </w:pPr>
            <w:r>
              <w:t xml:space="preserve">제천시</w:t>
            </w:r>
          </w:p>
        </w:tc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예찰·모니터링 인프라 확충</w:t>
            </w:r>
          </w:p>
        </w:tc>
      </w:tr>
    </w:tbl>
    <w:p>
      <w:pPr>
        <w:pStyle w:val="BodyText"/>
      </w:pPr>
      <w:r>
        <w:t xml:space="preserve">이전(v4)과 거의 동일한 6곳이 재확인됐다 — 장기 예방지원과 단기 긴급대응을 동시에 우선 배정해야 할 지역이며, 나머지 68곳은 예방지원 중심으로도 충분하다.</w:t>
      </w:r>
    </w:p>
    <w:bookmarkEnd w:id="34"/>
    <w:bookmarkEnd w:id="35"/>
    <w:bookmarkStart w:id="39" w:name="종합-결론"/>
    <w:p>
      <w:pPr>
        <w:pStyle w:val="Heading1"/>
      </w:pPr>
      <w:r>
        <w:t xml:space="preserve">10. 종합 결론</w:t>
      </w:r>
    </w:p>
    <w:bookmarkStart w:id="36" w:name="최종판에서-새로-확인된-것"/>
    <w:p>
      <w:pPr>
        <w:pStyle w:val="Heading2"/>
      </w:pPr>
      <w:r>
        <w:t xml:space="preserve">10.1 최종판에서 새로 확인된 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도로소나무비율_500m의 원자료 재계산</w:t>
      </w:r>
      <w:r>
        <w:t xml:space="preserve">으로 면적통제 후 Y와의 상관이 0.19→0.0008로 소멸했음을 확인, 인위적확산 도메인에서 최종 제외했다 — SPI3(개념적 결함)·평균풍속(교란효과)에 이어 세 번째로</w:t>
      </w:r>
      <w:r>
        <w:t xml:space="preserve"> </w:t>
      </w:r>
      <w:r>
        <w:t xml:space="preserve">“직관적 중요변수처럼 보였으나 엄밀 재검증에서 탈락”</w:t>
      </w:r>
      <w:r>
        <w:t xml:space="preserve">한 사례다.</w:t>
      </w:r>
    </w:p>
    <w:p>
      <w:pPr>
        <w:pStyle w:val="Compact"/>
        <w:numPr>
          <w:ilvl w:val="0"/>
          <w:numId w:val="1001"/>
        </w:numPr>
      </w:pPr>
      <w:r>
        <w:t xml:space="preserve">이 변경에도 핵심 결론(between만 재현되는 구조, 배분 사후반응성, Model 2의 진짜 동력은 상습발생 여부, 배분공식의 총액보존·상한준수)은 전부 유지됐다 — 세 도메인 변수가 바뀌었어도 분석 프레임워크의 정성적 결론은 흔들리지 않았다.</w:t>
      </w:r>
    </w:p>
    <w:p>
      <w:pPr>
        <w:pStyle w:val="Compact"/>
        <w:numPr>
          <w:ilvl w:val="0"/>
          <w:numId w:val="1001"/>
        </w:numPr>
      </w:pPr>
      <w:r>
        <w:t xml:space="preserve">배분공식 시뮬레이션의 두 구현 버그(총액 불일치, 상한 위반)를 water-filling 알고리즘으로 완전히 수정했고, 2022년처럼 총액 증가율이 개별 상한을 초과하는 해에는 상한을 투명하게 완화하는 처리까지 포함해 최종 데이터에서도 검증했다.</w:t>
      </w:r>
    </w:p>
    <w:bookmarkEnd w:id="36"/>
    <w:bookmarkStart w:id="37" w:name="한계"/>
    <w:p>
      <w:pPr>
        <w:pStyle w:val="Heading2"/>
      </w:pPr>
      <w:r>
        <w:t xml:space="preserve">10.2 한계</w:t>
      </w:r>
    </w:p>
    <w:p>
      <w:pPr>
        <w:pStyle w:val="Compact"/>
        <w:numPr>
          <w:ilvl w:val="0"/>
          <w:numId w:val="1002"/>
        </w:numPr>
      </w:pPr>
      <w:r>
        <w:t xml:space="preserve">Model 1의 발생규모(OLS) between 효과는 훈련표본에서만 유의하고 홀드아웃 재현성은 제한적이다.</w:t>
      </w:r>
    </w:p>
    <w:p>
      <w:pPr>
        <w:pStyle w:val="Compact"/>
        <w:numPr>
          <w:ilvl w:val="0"/>
          <w:numId w:val="1002"/>
        </w:numPr>
      </w:pPr>
      <w:r>
        <w:t xml:space="preserve">Model 2는 원시 카운트가 없어 진짜 Poisson/NB count 모형이 아닌 근사 구현이다.</w:t>
      </w:r>
    </w:p>
    <w:p>
      <w:pPr>
        <w:pStyle w:val="Compact"/>
        <w:numPr>
          <w:ilvl w:val="0"/>
          <w:numId w:val="1002"/>
        </w:numPr>
      </w:pPr>
      <w:r>
        <w:t xml:space="preserve">2016년 추정치가 2017년 t-1 lag에 섞이는 문제는 아직 민감도 분석을 하지 않았다.</w:t>
      </w:r>
    </w:p>
    <w:p>
      <w:pPr>
        <w:pStyle w:val="Compact"/>
        <w:numPr>
          <w:ilvl w:val="0"/>
          <w:numId w:val="1002"/>
        </w:numPr>
      </w:pPr>
      <w:r>
        <w:t xml:space="preserve">Model 2의 calibration(Brier score)·Top-K recall 검증은 아직 수행하지 않았다.</w:t>
      </w:r>
    </w:p>
    <w:p>
      <w:pPr>
        <w:pStyle w:val="Compact"/>
        <w:numPr>
          <w:ilvl w:val="0"/>
          <w:numId w:val="1002"/>
        </w:numPr>
      </w:pPr>
      <w:r>
        <w:t xml:space="preserve">모형 B 2단계(예산의 인과적 한계효과)는 여전히 보류 상태다.</w:t>
      </w:r>
    </w:p>
    <w:bookmarkEnd w:id="37"/>
    <w:bookmarkStart w:id="38" w:name="향후-과제"/>
    <w:p>
      <w:pPr>
        <w:pStyle w:val="Heading2"/>
      </w:pPr>
      <w:r>
        <w:t xml:space="preserve">10.3 향후 과제</w:t>
      </w:r>
    </w:p>
    <w:p>
      <w:pPr>
        <w:pStyle w:val="Compact"/>
        <w:numPr>
          <w:ilvl w:val="0"/>
          <w:numId w:val="1003"/>
        </w:numPr>
      </w:pPr>
      <w:r>
        <w:t xml:space="preserve">2016 lag 포함/제외 민감도 분석</w:t>
      </w:r>
    </w:p>
    <w:p>
      <w:pPr>
        <w:pStyle w:val="Compact"/>
        <w:numPr>
          <w:ilvl w:val="0"/>
          <w:numId w:val="1003"/>
        </w:numPr>
      </w:pPr>
      <w:r>
        <w:t xml:space="preserve">Model 2 calibration plot·Brier score·상위 10%/20% Recall 검증</w:t>
      </w:r>
    </w:p>
    <w:p>
      <w:pPr>
        <w:pStyle w:val="Compact"/>
        <w:numPr>
          <w:ilvl w:val="0"/>
          <w:numId w:val="1003"/>
        </w:numPr>
      </w:pPr>
      <w:r>
        <w:t xml:space="preserve">IV 또는 특별방제구역 지정 event study를 통한 예산의 인과적 한계효과 추정</w:t>
      </w:r>
    </w:p>
    <w:p>
      <w:pPr>
        <w:pStyle w:val="Compact"/>
        <w:numPr>
          <w:ilvl w:val="0"/>
          <w:numId w:val="1003"/>
        </w:numPr>
      </w:pPr>
      <w:r>
        <w:t xml:space="preserve">변수-취약방향-근거 표를 부록으로 정식화(순환논리 방지용 사전 고정 근거 문서화)</w:t>
      </w:r>
    </w:p>
    <w:bookmarkEnd w:id="38"/>
    <w:bookmarkEnd w:id="39"/>
    <w:bookmarkStart w:id="40" w:name="부록.-최종-산출물-파일-목록"/>
    <w:p>
      <w:pPr>
        <w:pStyle w:val="Heading1"/>
      </w:pPr>
      <w:r>
        <w:t xml:space="preserve">부록. 최종 산출물 파일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scripts/model1_final.py</w:t>
            </w:r>
          </w:p>
        </w:tc>
        <w:tc>
          <w:tcPr/>
          <w:p>
            <w:pPr>
              <w:pStyle w:val="Compact"/>
            </w:pPr>
            <w:r>
              <w:t xml:space="preserve">Model 1 최종 — 지수산출·모형A·배분갭·기여도분해·유형화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scripts/model2_production_final.py</w:t>
            </w:r>
          </w:p>
        </w:tc>
        <w:tc>
          <w:tcPr/>
          <w:p>
            <w:pPr>
              <w:pStyle w:val="Compact"/>
            </w:pPr>
            <w:r>
              <w:t xml:space="preserve">Model 2 최종(누수 수정)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scripts/model_b_stage3_final.py</w:t>
            </w:r>
          </w:p>
        </w:tc>
        <w:tc>
          <w:tcPr/>
          <w:p>
            <w:pPr>
              <w:pStyle w:val="Compact"/>
            </w:pPr>
            <w:r>
              <w:t xml:space="preserve">예방형 예산 재배분 시나리오(water-filling, 총액보존 검증)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scripts/national_response_final.py</w:t>
            </w:r>
          </w:p>
        </w:tc>
        <w:tc>
          <w:tcPr/>
          <w:p>
            <w:pPr>
              <w:pStyle w:val="Compact"/>
            </w:pPr>
            <w:r>
              <w:t xml:space="preserve">국가대응수준 보조모형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scripts/threshold_sensitivity_final.py</w:t>
            </w:r>
          </w:p>
        </w:tc>
        <w:tc>
          <w:tcPr/>
          <w:p>
            <w:pPr>
              <w:pStyle w:val="Compact"/>
            </w:pPr>
            <w:r>
              <w:t xml:space="preserve">축A 임계값 민감도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scripts/ch3_support_simulation_final.py</w:t>
            </w:r>
          </w:p>
        </w:tc>
        <w:tc>
          <w:tcPr/>
          <w:p>
            <w:pPr>
              <w:pStyle w:val="Compact"/>
            </w:pPr>
            <w:r>
              <w:t xml:space="preserve">CH3 구조취약성 개선 시나리오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output/모델링/구조적취약성지수_final.csv</w:t>
            </w:r>
          </w:p>
        </w:tc>
        <w:tc>
          <w:tcPr/>
          <w:p>
            <w:pPr>
              <w:pStyle w:val="Compact"/>
            </w:pPr>
            <w:r>
              <w:t xml:space="preserve">최종 지수·도메인점수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output/모델링/Model1_기여도분해_유형화_final.csv</w:t>
            </w:r>
          </w:p>
        </w:tc>
        <w:tc>
          <w:tcPr/>
          <w:p>
            <w:pPr>
              <w:pStyle w:val="Compact"/>
            </w:pPr>
            <w:r>
              <w:t xml:space="preserve">222개 시군구 기여도·유형화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output/모델링/Model1_final_로그.txt</w:t>
            </w:r>
          </w:p>
        </w:tc>
        <w:tc>
          <w:tcPr/>
          <w:p>
            <w:pPr>
              <w:pStyle w:val="Compact"/>
            </w:pPr>
            <w:r>
              <w:t xml:space="preserve">Model 1 전체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output/모델링/Model2_final_로그.txt</w:t>
            </w:r>
          </w:p>
        </w:tc>
        <w:tc>
          <w:tcPr/>
          <w:p>
            <w:pPr>
              <w:pStyle w:val="Compact"/>
            </w:pPr>
            <w:r>
              <w:t xml:space="preserve">Model 2 전체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output/모델링/배분공식_시뮬레이션결과_final.csv</w:t>
            </w:r>
            <w:r>
              <w:t xml:space="preserve"> </w:t>
            </w:r>
            <w:r>
              <w:rPr>
                <w:rStyle w:val="VerbatimChar"/>
              </w:rPr>
              <w:t xml:space="preserve">배분공식_로그_final.txt</w:t>
            </w:r>
          </w:p>
        </w:tc>
        <w:tc>
          <w:tcPr/>
          <w:p>
            <w:pPr>
              <w:pStyle w:val="Compact"/>
            </w:pPr>
            <w:r>
              <w:t xml:space="preserve">예방형 예산 재배분 시나리오 전체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output/모델링/국가대응수준_보조모형_로그_final.txt</w:t>
            </w:r>
          </w:p>
        </w:tc>
        <w:tc>
          <w:tcPr/>
          <w:p>
            <w:pPr>
              <w:pStyle w:val="Compact"/>
            </w:pPr>
            <w:r>
              <w:t xml:space="preserve">국가대응수준 보조모형 전체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output/모델링/축A_임계값_민감도분석_로그_final.txt</w:t>
            </w:r>
          </w:p>
        </w:tc>
        <w:tc>
          <w:tcPr/>
          <w:p>
            <w:pPr>
              <w:pStyle w:val="Compact"/>
            </w:pPr>
            <w:r>
              <w:t xml:space="preserve">임계값 3종 비교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output/모델링/CH3_구조취약성개선시나리오_부족지역_final.csv</w:t>
            </w:r>
            <w:r>
              <w:t xml:space="preserve"> </w:t>
            </w:r>
            <w:r>
              <w:rPr>
                <w:rStyle w:val="VerbatimChar"/>
              </w:rPr>
              <w:t xml:space="preserve">CH3_시나리오_로그_final.txt</w:t>
            </w:r>
          </w:p>
        </w:tc>
        <w:tc>
          <w:tcPr/>
          <w:p>
            <w:pPr>
              <w:pStyle w:val="Compact"/>
            </w:pPr>
            <w:r>
              <w:t xml:space="preserve">CH3 시나리오 결과·로그</w:t>
            </w:r>
          </w:p>
        </w:tc>
      </w:tr>
    </w:tbl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CH2 방제취약성지수 산출 및 맞춤형 예산배분 모델링 분석보고서 (최종판)</dc:title>
  <dc:creator/>
  <cp:keywords/>
  <dcterms:created xsi:type="dcterms:W3CDTF">2026-07-29T22:14:40Z</dcterms:created>
  <dcterms:modified xsi:type="dcterms:W3CDTF">2026-07-29T22:14:40Z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 (최종 — CH2_전체병합패널_5도메인_2016_2023_최종보정4.csv 기준)</vt:lpwstr>
  </property>
</Properties>
</file>