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240"/>
        <w:jc w:val="center"/>
      </w:pPr>
      <w:r>
        <w:rPr>
          <w:rFonts w:ascii="NanumSquare" w:hAnsi="NanumSquare" w:eastAsia="NanumSquare"/>
          <w:b/>
          <w:color w:val="5C1C10"/>
          <w:sz w:val="56"/>
        </w:rPr>
        <w:t>I'mPine</w:t>
      </w:r>
    </w:p>
    <w:p>
      <w:pPr>
        <w:spacing w:after="160"/>
        <w:jc w:val="center"/>
      </w:pPr>
      <w:r>
        <w:rPr>
          <w:rFonts w:ascii="NanumSquare" w:hAnsi="NanumSquare" w:eastAsia="NanumSquare"/>
          <w:b/>
          <w:color w:val="8A2C1A"/>
          <w:sz w:val="42"/>
        </w:rPr>
        <w:t>CH3 우선지원 전략 및 지원효과 시뮬레이션</w:t>
      </w:r>
    </w:p>
    <w:p>
      <w:pPr>
        <w:spacing w:after="560"/>
        <w:jc w:val="center"/>
      </w:pPr>
      <w:r>
        <w:rPr>
          <w:rFonts w:ascii="NanumSquare" w:hAnsi="NanumSquare" w:eastAsia="NanumSquare"/>
          <w:b/>
          <w:color w:val="2C1E1A"/>
          <w:sz w:val="36"/>
        </w:rPr>
        <w:t>분석계획서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8A2C1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분석 목적</w:t>
            </w:r>
          </w:p>
        </w:tc>
        <w:tc>
          <w:tcPr>
            <w:tcW w:type="dxa" w:w="4986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C1E1A"/>
                <w:sz w:val="19"/>
              </w:rPr>
              <w:t>동일한 총예산 안에서 취약·과소배분 지역을 우선 지원할 때 예산 타겟팅이 얼마나 개선되는지 검증</w:t>
            </w:r>
          </w:p>
        </w:tc>
      </w:tr>
      <w:tr>
        <w:tc>
          <w:tcPr>
            <w:tcW w:type="dxa" w:w="4986"/>
            <w:shd w:fill="F7ECE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5C1C10"/>
                <w:sz w:val="19"/>
              </w:rPr>
              <w:t>핵심 질문</w:t>
            </w:r>
          </w:p>
        </w:tc>
        <w:tc>
          <w:tcPr>
            <w:tcW w:type="dxa" w:w="4986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C1E1A"/>
                <w:sz w:val="19"/>
              </w:rPr>
              <w:t>어디를, 무엇으로, 어떤 방식으로 지원하며, 현행 배분보다 위험지역 포착력이 좋아지는가?</w:t>
            </w:r>
          </w:p>
        </w:tc>
      </w:tr>
      <w:tr>
        <w:tc>
          <w:tcPr>
            <w:tcW w:type="dxa" w:w="4986"/>
            <w:shd w:fill="F7ECE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5C1C10"/>
                <w:sz w:val="19"/>
              </w:rPr>
              <w:t>분석 단위</w:t>
            </w:r>
          </w:p>
        </w:tc>
        <w:tc>
          <w:tcPr>
            <w:tcW w:type="dxa" w:w="4986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C1E1A"/>
                <w:sz w:val="19"/>
              </w:rPr>
              <w:t>시군구-연도 패널(2017~2022), 2016년은 초기 예산 기준</w:t>
            </w:r>
          </w:p>
        </w:tc>
      </w:tr>
      <w:tr>
        <w:tc>
          <w:tcPr>
            <w:tcW w:type="dxa" w:w="4986"/>
            <w:shd w:fill="F7ECE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5C1C10"/>
                <w:sz w:val="19"/>
              </w:rPr>
              <w:t>작성 기준</w:t>
            </w:r>
          </w:p>
        </w:tc>
        <w:tc>
          <w:tcPr>
            <w:tcW w:type="dxa" w:w="4986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C1E1A"/>
                <w:sz w:val="19"/>
              </w:rPr>
              <w:t>GitHub 저장소 main 브랜치 및 업로드된 ch3.html·data.js 구조</w:t>
            </w:r>
          </w:p>
        </w:tc>
      </w:tr>
    </w:tbl>
    <w:p>
      <w:pPr>
        <w:spacing w:before="720"/>
        <w:jc w:val="center"/>
      </w:pPr>
      <w:r>
        <w:rPr>
          <w:rFonts w:ascii="NanumSquare" w:hAnsi="NanumSquare" w:eastAsia="NanumSquare"/>
          <w:b w:val="0"/>
          <w:color w:val="6B5A54"/>
          <w:sz w:val="20"/>
        </w:rPr>
        <w:t>작성일 2026. 07. 30.</w:t>
      </w:r>
    </w:p>
    <w:p>
      <w:pPr>
        <w:jc w:val="center"/>
      </w:pPr>
      <w:r>
        <w:rPr>
          <w:rFonts w:ascii="NanumSquare" w:hAnsi="NanumSquare" w:eastAsia="NanumSquare"/>
          <w:b/>
          <w:color w:val="2C1E1A"/>
          <w:sz w:val="21"/>
        </w:rPr>
        <w:t>팀 아임파인</w:t>
      </w:r>
    </w:p>
    <w:p>
      <w:r>
        <w:br w:type="page"/>
      </w:r>
    </w:p>
    <w:p>
      <w:pPr>
        <w:pStyle w:val="Heading1"/>
        <w:spacing w:before="200" w:after="100"/>
        <w:pBdr>
          <w:left w:val="single" w:sz="18" w:space="5" w:color="8A2C1A"/>
        </w:pBdr>
      </w:pPr>
      <w:r>
        <w:rPr>
          <w:rFonts w:ascii="NanumSquare" w:hAnsi="NanumSquare" w:eastAsia="NanumSquare"/>
          <w:b/>
          <w:color w:val="5C1C10"/>
          <w:sz w:val="34"/>
        </w:rPr>
        <w:t>0. 요약 결론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"/>
        <w:gridCol w:w="9184"/>
      </w:tblGrid>
      <w:tr>
        <w:tc>
          <w:tcPr>
            <w:tcW w:type="dxa" w:w="4986"/>
            <w:shd w:fill="8A2C1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ECDCD6"/>
              <w:left w:val="single" w:sz="4" w:color="ECDCD6"/>
              <w:bottom w:val="single" w:sz="4" w:color="ECDCD6"/>
              <w:right w:val="single" w:sz="4" w:color="ECDCD6"/>
            </w:tcBorders>
          </w:tcPr>
          <w:p/>
        </w:tc>
        <w:tc>
          <w:tcPr>
            <w:tcW w:type="dxa" w:w="4986"/>
            <w:shd w:fill="FBE9E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ECDCD6"/>
              <w:left w:val="single" w:sz="4" w:color="ECDCD6"/>
              <w:bottom w:val="single" w:sz="4" w:color="ECDCD6"/>
              <w:right w:val="single" w:sz="4" w:color="ECDCD6"/>
            </w:tcBorders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C1C10"/>
                <w:sz w:val="21"/>
              </w:rPr>
              <w:t>최종 방향</w:t>
            </w:r>
          </w:p>
          <w:p>
            <w:pPr>
              <w:spacing w:after="0" w:line="300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9"/>
              </w:rPr>
              <w:t>CH3의 04번은 “피해 감소 효과”를 직접 추정하는 분석이 아니라, 같은 총예산을 위험·과소배분 지역에 재배분했을 때 피해발생 지역 및 고위험 지역에 도달하는 예산 비중이 얼마나 개선되는지를 검증하는 타겟팅 시뮬레이션으로 설계한다.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644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3515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현행 구조</w:t>
            </w:r>
          </w:p>
        </w:tc>
        <w:tc>
          <w:tcPr>
            <w:tcW w:type="dxa" w:w="4365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최종 권장안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04번 제목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지원효과 시뮬레이션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위험기반 예산 재배분 시뮬레이션</w:t>
            </w:r>
          </w:p>
        </w:tc>
      </w:tr>
      <w:tr>
        <w:trPr>
          <w:cantSplit/>
        </w:trPr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효과의 의미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지원 후 피해 감소로 오해 가능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위험지역 예산 포착률·상위 위험지역 포착률 개선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배분 기준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취약성지수 - 배분갭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위험백분위 60% + 과소배분백분위 40%</w:t>
            </w:r>
          </w:p>
        </w:tc>
      </w:tr>
      <w:tr>
        <w:trPr>
          <w:cantSplit/>
        </w:trPr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대응역량 변수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취약도·배분 우선순위에 혼입 가능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배분 기준에서 제외하고 지원 방식 결정에 사용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산업기반 부족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기존 추천정책을 대체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주 정책은 유지하고 실행지원 태그로 병기</w:t>
            </w:r>
          </w:p>
        </w:tc>
      </w:tr>
      <w:tr>
        <w:trPr>
          <w:cantSplit/>
        </w:trPr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검증 방식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같은 연도 정보로 평가 가능성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t-1 정보로 t년 배분 후 t년 피해로 rolling-origin 평가</w:t>
            </w:r>
          </w:p>
        </w:tc>
      </w:tr>
    </w:tbl>
    <w:p>
      <w:pPr>
        <w:spacing w:after="0"/>
      </w:pPr>
    </w:p>
    <w:p>
      <w:pPr>
        <w:spacing w:before="80" w:after="80" w:line="300" w:lineRule="auto"/>
      </w:pPr>
      <w:r>
        <w:rPr>
          <w:rFonts w:ascii="NanumSquare" w:hAnsi="NanumSquare" w:eastAsia="NanumSquare"/>
          <w:b/>
          <w:color w:val="8A2C1A"/>
          <w:sz w:val="22"/>
        </w:rPr>
        <w:t>핵심 산출물</w:t>
      </w:r>
    </w:p>
    <w:p>
      <w:pPr>
        <w:pStyle w:val="ListBullet"/>
        <w:spacing w:after="40" w:line="288" w:lineRule="auto"/>
      </w:pPr>
      <w:r>
        <w:rPr>
          <w:rFonts w:ascii="NanumSquare" w:hAnsi="NanumSquare" w:eastAsia="NanumSquare"/>
          <w:b w:val="0"/>
          <w:color w:val="2C1E1A"/>
          <w:sz w:val="20"/>
        </w:rPr>
        <w:t>시군구별 우선지원점수와 우선지원 등급</w:t>
      </w:r>
    </w:p>
    <w:p>
      <w:pPr>
        <w:pStyle w:val="ListBullet"/>
        <w:spacing w:after="40" w:line="288" w:lineRule="auto"/>
      </w:pPr>
      <w:r>
        <w:rPr>
          <w:rFonts w:ascii="NanumSquare" w:hAnsi="NanumSquare" w:eastAsia="NanumSquare"/>
          <w:b w:val="0"/>
          <w:color w:val="2C1E1A"/>
          <w:sz w:val="20"/>
        </w:rPr>
        <w:t>우세 위험 도메인 기반 주 정책 + 대응역량·산업기반 실행지원 태그</w:t>
      </w:r>
    </w:p>
    <w:p>
      <w:pPr>
        <w:pStyle w:val="ListBullet"/>
        <w:spacing w:after="40" w:line="288" w:lineRule="auto"/>
      </w:pPr>
      <w:r>
        <w:rPr>
          <w:rFonts w:ascii="NanumSquare" w:hAnsi="NanumSquare" w:eastAsia="NanumSquare"/>
          <w:b w:val="0"/>
          <w:color w:val="2C1E1A"/>
          <w:sz w:val="20"/>
        </w:rPr>
        <w:t>보수적·기준·적극적 재배분 시나리오별 지역 예산 변화</w:t>
      </w:r>
    </w:p>
    <w:p>
      <w:pPr>
        <w:pStyle w:val="ListBullet"/>
        <w:spacing w:after="40" w:line="288" w:lineRule="auto"/>
      </w:pPr>
      <w:r>
        <w:rPr>
          <w:rFonts w:ascii="NanumSquare" w:hAnsi="NanumSquare" w:eastAsia="NanumSquare"/>
          <w:b w:val="0"/>
          <w:color w:val="2C1E1A"/>
          <w:sz w:val="20"/>
        </w:rPr>
        <w:t>실제배분 대비 피해발생지역 포착률, 상위 20% 피해지역 포착률, 재배분율 및 행정충격 지표</w:t>
      </w:r>
    </w:p>
    <w:p>
      <w:pPr>
        <w:pStyle w:val="ListBullet"/>
        <w:spacing w:after="40" w:line="288" w:lineRule="auto"/>
      </w:pPr>
      <w:r>
        <w:rPr>
          <w:rFonts w:ascii="NanumSquare" w:hAnsi="NanumSquare" w:eastAsia="NanumSquare"/>
          <w:b w:val="0"/>
          <w:color w:val="2C1E1A"/>
          <w:sz w:val="20"/>
        </w:rPr>
        <w:t>CH3 대시보드 04번에 바로 연결 가능한 yearlySummary·regionResults 데이터 구조</w:t>
      </w:r>
    </w:p>
    <w:p>
      <w:pPr>
        <w:pStyle w:val="Heading1"/>
        <w:spacing w:before="200" w:after="100"/>
        <w:pBdr>
          <w:left w:val="single" w:sz="18" w:space="5" w:color="8A2C1A"/>
        </w:pBdr>
      </w:pPr>
      <w:r>
        <w:rPr>
          <w:rFonts w:ascii="NanumSquare" w:hAnsi="NanumSquare" w:eastAsia="NanumSquare"/>
          <w:b/>
          <w:color w:val="5C1C10"/>
          <w:sz w:val="34"/>
        </w:rPr>
        <w:t>1. 현재 프로젝트 구조와 CH3 위치</w:t>
      </w:r>
    </w:p>
    <w:p>
      <w:pPr>
        <w:spacing w:before="0" w:after="80" w:line="300" w:lineRule="auto"/>
      </w:pPr>
      <w:r>
        <w:rPr>
          <w:rFonts w:ascii="NanumSquare" w:hAnsi="NanumSquare" w:eastAsia="NanumSquare"/>
          <w:b w:val="0"/>
          <w:color w:val="2C1E1A"/>
          <w:sz w:val="21"/>
        </w:rPr>
        <w:t>저장소는 EDA, Modeling/1차, ch1~ch4, 통합대시보드로 분리되어 있다. CH3는 CH2 결과를 받아 우선지원 대상 선정, 맞춤형 정책 매칭, 산업기반·실행가능성 진단, 지원효과 시뮬레이션으로 연결하는 정책 활용 단계다.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417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구성</w:t>
            </w:r>
          </w:p>
        </w:tc>
        <w:tc>
          <w:tcPr>
            <w:tcW w:type="dxa" w:w="3685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역할</w:t>
            </w:r>
          </w:p>
        </w:tc>
        <w:tc>
          <w:tcPr>
            <w:tcW w:type="dxa" w:w="4422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CH3와의 연결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EDA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발생·기후·산림·예산·산업 자료의 전처리 및 진단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CH3 입력변수의 신뢰성·해상도·결측 기준 제공</w:t>
            </w:r>
          </w:p>
        </w:tc>
      </w:tr>
      <w:tr>
        <w:trPr>
          <w:cantSplit/>
        </w:trPr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Modeling/1차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취약성지수, 배분갭, 배분공식 시뮬레이션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CH3 우선순위와 04번 시뮬레이션의 핵심 계산부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CH1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발생 현황과 반복·연속 피해 분포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지원 필요성 및 외부 타당성의 배경</w:t>
            </w:r>
          </w:p>
        </w:tc>
      </w:tr>
      <w:tr>
        <w:trPr>
          <w:cantSplit/>
        </w:trPr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CH2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구조적 취약성, 도메인별 원인, 예산 배분갭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CH3의 어디·왜·얼마나 부족한가 입력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CH3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우선지원, 정책 매칭, 실행가능성, 재배분 효과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정책 의사결정 결과물</w:t>
            </w:r>
          </w:p>
        </w:tc>
      </w:tr>
      <w:tr>
        <w:trPr>
          <w:cantSplit/>
        </w:trPr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CH4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현장 방제비·작업량 계산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CH3 정책 실행 후 현장 단가·수행량 참고</w:t>
            </w:r>
          </w:p>
        </w:tc>
      </w:tr>
    </w:tbl>
    <w:p>
      <w:pPr>
        <w:spacing w:after="0"/>
      </w:pPr>
    </w:p>
    <w:p>
      <w:pPr>
        <w:pStyle w:val="Heading2"/>
        <w:spacing w:before="140" w:after="100"/>
      </w:pPr>
      <w:r>
        <w:rPr>
          <w:rFonts w:ascii="NanumSquare" w:hAnsi="NanumSquare" w:eastAsia="NanumSquare"/>
          <w:b/>
          <w:color w:val="8A2C1A"/>
          <w:sz w:val="27"/>
        </w:rPr>
        <w:t>1.1 현행 CH3 화면 진단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84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화면</w:t>
            </w:r>
          </w:p>
        </w:tc>
        <w:tc>
          <w:tcPr>
            <w:tcW w:type="dxa" w:w="4139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현재 내용</w:t>
            </w:r>
          </w:p>
        </w:tc>
        <w:tc>
          <w:tcPr>
            <w:tcW w:type="dxa" w:w="3402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판단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01 우선지원 대상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취약성지수와 배분갭을 결합한 순위·지도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구조는 적절하나 단위가 다른 값을 직접 빼는 공식은 수정 필요</w:t>
            </w:r>
          </w:p>
        </w:tc>
      </w:tr>
      <w:tr>
        <w:trPr>
          <w:cantSplit/>
        </w:trPr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02 맞춤형 정책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4개 도메인과 산업기반 부족형의 정책 카탈로그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원인 정책과 실행여건을 분리하면 해석력이 높아짐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03 산업기반·실행가능성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2025 산림산업조사 시도 단위 값을 시군구에 적용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실측이라는 장점이 있으나 17개 시도 값을 229개 시군구에 동일 적용하는 한계 명시</w:t>
            </w:r>
          </w:p>
        </w:tc>
      </w:tr>
      <w:tr>
        <w:trPr>
          <w:cantSplit/>
        </w:trPr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04 지원효과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CH2 모형 B 3단계 결과 대기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피해감소가 아니라 예산 타겟팅 개선으로 명확히 정의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"/>
        <w:gridCol w:w="9184"/>
      </w:tblGrid>
      <w:tr>
        <w:tc>
          <w:tcPr>
            <w:tcW w:type="dxa" w:w="4986"/>
            <w:shd w:fill="E67E2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ECDCD6"/>
              <w:left w:val="single" w:sz="4" w:color="ECDCD6"/>
              <w:bottom w:val="single" w:sz="4" w:color="ECDCD6"/>
              <w:right w:val="single" w:sz="4" w:color="ECDCD6"/>
            </w:tcBorders>
          </w:tcPr>
          <w:p/>
        </w:tc>
        <w:tc>
          <w:tcPr>
            <w:tcW w:type="dxa" w:w="4986"/>
            <w:shd w:fill="FFF3E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ECDCD6"/>
              <w:left w:val="single" w:sz="4" w:color="ECDCD6"/>
              <w:bottom w:val="single" w:sz="4" w:color="ECDCD6"/>
              <w:right w:val="single" w:sz="4" w:color="ECDCD6"/>
            </w:tcBorders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C1C10"/>
                <w:sz w:val="21"/>
              </w:rPr>
              <w:t>현재 상태 해석</w:t>
            </w:r>
          </w:p>
          <w:p>
            <w:pPr>
              <w:spacing w:after="0" w:line="300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9"/>
              </w:rPr>
              <w:t>업로드된 CH3 파일은 01·02·04를 CH2 결과 연동 목업으로, 03을 산림산업조사 실측으로 구분하고 있으며, 04는 모형 B 3단계 배분공식 결과 연결을 대기하도록 구성되어 있다. 따라서 화면을 새로 만들기보다 계산 논리와 결과 데이터 스키마를 확정하는 작업이 우선이다.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200" w:after="100"/>
        <w:pBdr>
          <w:left w:val="single" w:sz="18" w:space="5" w:color="8A2C1A"/>
        </w:pBdr>
      </w:pPr>
      <w:r>
        <w:rPr>
          <w:rFonts w:ascii="NanumSquare" w:hAnsi="NanumSquare" w:eastAsia="NanumSquare"/>
          <w:b/>
          <w:color w:val="5C1C10"/>
          <w:sz w:val="34"/>
        </w:rPr>
        <w:t>2. 분석 목적과 연구질문</w:t>
      </w:r>
    </w:p>
    <w:p>
      <w:pPr>
        <w:spacing w:before="0" w:after="80" w:line="300" w:lineRule="auto"/>
      </w:pPr>
      <w:r>
        <w:rPr>
          <w:rFonts w:ascii="NanumSquare" w:hAnsi="NanumSquare" w:eastAsia="NanumSquare"/>
          <w:b/>
          <w:color w:val="8A2C1A"/>
          <w:sz w:val="22"/>
        </w:rPr>
        <w:t>분석 목적</w:t>
      </w:r>
    </w:p>
    <w:p>
      <w:pPr>
        <w:spacing w:before="0" w:after="80" w:line="300" w:lineRule="auto"/>
      </w:pPr>
      <w:r>
        <w:rPr>
          <w:rFonts w:ascii="NanumSquare" w:hAnsi="NanumSquare" w:eastAsia="NanumSquare"/>
          <w:b w:val="0"/>
          <w:color w:val="2C1E1A"/>
          <w:sz w:val="21"/>
        </w:rPr>
        <w:t>구조적 피해위험과 현행 예산배분의 불일치를 진단하고, 동일한 총예산을 유지하면서 취약·과소배분 지역에 우선 배정하는 대안이 현행 배분보다 위험지역을 더 잘 포착하는지 검증한다.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061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연구질문</w:t>
            </w:r>
          </w:p>
        </w:tc>
        <w:tc>
          <w:tcPr>
            <w:tcW w:type="dxa" w:w="3458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판정 결과</w:t>
            </w:r>
          </w:p>
        </w:tc>
        <w:tc>
          <w:tcPr>
            <w:tcW w:type="dxa" w:w="3005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핵심 지표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RQ1. 어디부터 지원해야 하는가?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시군구별 우선지원점수·등급·TOP K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위험백분위, 과소배분백분위, 우선지원점수</w:t>
            </w:r>
          </w:p>
        </w:tc>
      </w:tr>
      <w:tr>
        <w:trPr>
          <w:cantSplit/>
        </w:trPr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RQ2. 무엇을 지원해야 하는가?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우세 도메인별 주 정책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노출도·기후위험도·인위적확산·대응역량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RQ3. 어떤 방식으로 지원해야 하는가?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직접집행·역량보강·산업기반 연계 태그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대응역량, 시도 산업지원필요도, 참여경험</w:t>
            </w:r>
          </w:p>
        </w:tc>
      </w:tr>
      <w:tr>
        <w:trPr>
          <w:cantSplit/>
        </w:trPr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RQ4. 같은 예산으로 더 잘 지원할 수 있는가?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현행 대비 타겟팅 개선 여부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피해지역 예산 포착률, 상위 피해지역 recall, 재배분율</w:t>
            </w:r>
          </w:p>
        </w:tc>
      </w:tr>
    </w:tbl>
    <w:p>
      <w:pPr>
        <w:spacing w:after="0"/>
      </w:pPr>
    </w:p>
    <w:p>
      <w:pPr>
        <w:pStyle w:val="Heading2"/>
        <w:spacing w:before="140" w:after="100"/>
      </w:pPr>
      <w:r>
        <w:rPr>
          <w:rFonts w:ascii="NanumSquare" w:hAnsi="NanumSquare" w:eastAsia="NanumSquare"/>
          <w:b/>
          <w:color w:val="8A2C1A"/>
          <w:sz w:val="27"/>
        </w:rPr>
        <w:t>2.1 분석 범위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381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143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계획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분석 단위</w:t>
            </w:r>
          </w:p>
        </w:tc>
        <w:tc>
          <w:tcPr>
            <w:tcW w:type="dxa" w:w="498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시군구-피해연도 패널</w:t>
            </w:r>
          </w:p>
        </w:tc>
      </w:tr>
      <w:tr>
        <w:trPr>
          <w:cantSplit/>
        </w:trPr>
        <w:tc>
          <w:tcPr>
            <w:tcW w:type="dxa" w:w="4986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주 분석기간</w:t>
            </w:r>
          </w:p>
        </w:tc>
        <w:tc>
          <w:tcPr>
            <w:tcW w:type="dxa" w:w="4986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2017~2022년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초기 기준</w:t>
            </w:r>
          </w:p>
        </w:tc>
        <w:tc>
          <w:tcPr>
            <w:tcW w:type="dxa" w:w="498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2016년 실제예산을 2017년 증감 상한의 기준으로 사용</w:t>
            </w:r>
          </w:p>
        </w:tc>
      </w:tr>
      <w:tr>
        <w:trPr>
          <w:cantSplit/>
        </w:trPr>
        <w:tc>
          <w:tcPr>
            <w:tcW w:type="dxa" w:w="4986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예측·배분 시점</w:t>
            </w:r>
          </w:p>
        </w:tc>
        <w:tc>
          <w:tcPr>
            <w:tcW w:type="dxa" w:w="4986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t-1년까지 확보 가능한 정보로 t년 우선순위·배분안 산출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평가 시점</w:t>
            </w:r>
          </w:p>
        </w:tc>
        <w:tc>
          <w:tcPr>
            <w:tcW w:type="dxa" w:w="498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t년 실제 피해발생 여부·피해밀도와 비교</w:t>
            </w:r>
          </w:p>
        </w:tc>
      </w:tr>
      <w:tr>
        <w:trPr>
          <w:cantSplit/>
        </w:trPr>
        <w:tc>
          <w:tcPr>
            <w:tcW w:type="dxa" w:w="4986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제외 기준</w:t>
            </w:r>
          </w:p>
        </w:tc>
        <w:tc>
          <w:tcPr>
            <w:tcW w:type="dxa" w:w="4986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소나무림 면적 하한 미달 지역, 예산 결측 지역, 코드 불일치 지역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해석 범위</w:t>
            </w:r>
          </w:p>
        </w:tc>
        <w:tc>
          <w:tcPr>
            <w:tcW w:type="dxa" w:w="498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예산 타겟팅·정합성 평가. 인과적 피해감소 효과는 주장하지 않음</w:t>
            </w:r>
          </w:p>
        </w:tc>
      </w:tr>
    </w:tbl>
    <w:p>
      <w:pPr>
        <w:spacing w:after="0"/>
      </w:pPr>
    </w:p>
    <w:p>
      <w:pPr>
        <w:pStyle w:val="Heading2"/>
        <w:spacing w:before="140" w:after="100"/>
      </w:pPr>
      <w:r>
        <w:rPr>
          <w:rFonts w:ascii="NanumSquare" w:hAnsi="NanumSquare" w:eastAsia="NanumSquare"/>
          <w:b/>
          <w:color w:val="8A2C1A"/>
          <w:sz w:val="27"/>
        </w:rPr>
        <w:t>2.2 분석 입력자료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11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자료군</w:t>
            </w:r>
          </w:p>
        </w:tc>
        <w:tc>
          <w:tcPr>
            <w:tcW w:type="dxa" w:w="4139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핵심 변수</w:t>
            </w:r>
          </w:p>
        </w:tc>
        <w:tc>
          <w:tcPr>
            <w:tcW w:type="dxa" w:w="3175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CH3 역할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CH2 취약성 결과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노출도, 기후위험도, 인위적확산, 대응역량, 종합지수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우선지원·정책 매칭</w:t>
            </w:r>
          </w:p>
        </w:tc>
      </w:tr>
      <w:tr>
        <w:trPr>
          <w:cantSplit/>
        </w:trPr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CH2 배분갭 결과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실제 예산, 기대 예산, 배분갭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과소배분 정도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피해 결과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Y_bin, 피해밀도, 피해본수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rolling-origin 성과 평가</w:t>
            </w:r>
          </w:p>
        </w:tc>
      </w:tr>
      <w:tr>
        <w:trPr>
          <w:cantSplit/>
        </w:trPr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산업기반 자료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정부지원필요도, 사업 참여경험, 판로개척 희망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실행지원 태그와 보조 진단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공간 경계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시군구코드, 시도·시군구명, GeoJSON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지도 시각화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  <w:pBdr>
          <w:left w:val="single" w:sz="18" w:space="5" w:color="8A2C1A"/>
        </w:pBdr>
      </w:pPr>
      <w:r>
        <w:rPr>
          <w:rFonts w:ascii="NanumSquare" w:hAnsi="NanumSquare" w:eastAsia="NanumSquare"/>
          <w:b/>
          <w:color w:val="5C1C10"/>
          <w:sz w:val="34"/>
        </w:rPr>
        <w:t>3. 최종 분석 프레임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1814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질문</w:t>
            </w:r>
          </w:p>
        </w:tc>
        <w:tc>
          <w:tcPr>
            <w:tcW w:type="dxa" w:w="4082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계산</w:t>
            </w:r>
          </w:p>
        </w:tc>
        <w:tc>
          <w:tcPr>
            <w:tcW w:type="dxa" w:w="2721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출력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A. 우선지원 대상</w:t>
            </w:r>
          </w:p>
        </w:tc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어디부터?</w:t>
            </w:r>
          </w:p>
        </w:tc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위험백분위 + 과소배분백분위</w:t>
            </w:r>
          </w:p>
        </w:tc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우선지원점수·등급·TOP K</w:t>
            </w:r>
          </w:p>
        </w:tc>
      </w:tr>
      <w:tr>
        <w:trPr>
          <w:cantSplit/>
        </w:trPr>
        <w:tc>
          <w:tcPr>
            <w:tcW w:type="dxa" w:w="2493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B. 정책 매칭</w:t>
            </w:r>
          </w:p>
        </w:tc>
        <w:tc>
          <w:tcPr>
            <w:tcW w:type="dxa" w:w="2493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무엇을?</w:t>
            </w:r>
          </w:p>
        </w:tc>
        <w:tc>
          <w:tcPr>
            <w:tcW w:type="dxa" w:w="2493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우세 위험 도메인 판정</w:t>
            </w:r>
          </w:p>
        </w:tc>
        <w:tc>
          <w:tcPr>
            <w:tcW w:type="dxa" w:w="2493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예찰·사전방제·확산차단 등 주 정책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C. 실행방식 판정</w:t>
            </w:r>
          </w:p>
        </w:tc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어떻게?</w:t>
            </w:r>
          </w:p>
        </w:tc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대응역량 + 산업기반 여건</w:t>
            </w:r>
          </w:p>
        </w:tc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직접지원·역량보강·산업연계 태그</w:t>
            </w:r>
          </w:p>
        </w:tc>
      </w:tr>
      <w:tr>
        <w:trPr>
          <w:cantSplit/>
        </w:trPr>
        <w:tc>
          <w:tcPr>
            <w:tcW w:type="dxa" w:w="2493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D. 예산 재배분</w:t>
            </w:r>
          </w:p>
        </w:tc>
        <w:tc>
          <w:tcPr>
            <w:tcW w:type="dxa" w:w="2493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얼마를?</w:t>
            </w:r>
          </w:p>
        </w:tc>
        <w:tc>
          <w:tcPr>
            <w:tcW w:type="dxa" w:w="2493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총액 고정 + 하한·증감상한 제약</w:t>
            </w:r>
          </w:p>
        </w:tc>
        <w:tc>
          <w:tcPr>
            <w:tcW w:type="dxa" w:w="2493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시나리오별 시군구 예산안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E. 효과 평가</w:t>
            </w:r>
          </w:p>
        </w:tc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더 잘 포착했나?</w:t>
            </w:r>
          </w:p>
        </w:tc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rolling-origin 실제 vs 시뮬 비교</w:t>
            </w:r>
          </w:p>
        </w:tc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타겟팅 리프트·재배분율·행정충격</w:t>
            </w:r>
          </w:p>
        </w:tc>
      </w:tr>
    </w:tbl>
    <w:p>
      <w:pPr>
        <w:spacing w:after="0"/>
      </w:pPr>
    </w:p>
    <w:p>
      <w:pPr>
        <w:pStyle w:val="Heading2"/>
        <w:spacing w:before="140" w:after="100"/>
      </w:pPr>
      <w:r>
        <w:rPr>
          <w:rFonts w:ascii="NanumSquare" w:hAnsi="NanumSquare" w:eastAsia="NanumSquare"/>
          <w:b/>
          <w:color w:val="8A2C1A"/>
          <w:sz w:val="27"/>
        </w:rPr>
        <w:t>3.1 변수 역할 분리 원칙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757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변수군</w:t>
            </w:r>
          </w:p>
        </w:tc>
        <w:tc>
          <w:tcPr>
            <w:tcW w:type="dxa" w:w="2154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우선순위 계산</w:t>
            </w:r>
          </w:p>
        </w:tc>
        <w:tc>
          <w:tcPr>
            <w:tcW w:type="dxa" w:w="2211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정책 매칭</w:t>
            </w:r>
          </w:p>
        </w:tc>
        <w:tc>
          <w:tcPr>
            <w:tcW w:type="dxa" w:w="1928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실행방식</w:t>
            </w:r>
          </w:p>
        </w:tc>
        <w:tc>
          <w:tcPr>
            <w:tcW w:type="dxa" w:w="3402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이유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노출도</w:t>
            </w:r>
          </w:p>
        </w:tc>
        <w:tc>
          <w:tcPr>
            <w:tcW w:type="dxa" w:w="199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포함</w:t>
            </w:r>
          </w:p>
        </w:tc>
        <w:tc>
          <w:tcPr>
            <w:tcW w:type="dxa" w:w="199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주 정책 결정</w:t>
            </w:r>
          </w:p>
        </w:tc>
        <w:tc>
          <w:tcPr>
            <w:tcW w:type="dxa" w:w="199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-</w:t>
            </w:r>
          </w:p>
        </w:tc>
        <w:tc>
          <w:tcPr>
            <w:tcW w:type="dxa" w:w="199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피해 노출의 구조적 규모</w:t>
            </w:r>
          </w:p>
        </w:tc>
      </w:tr>
      <w:tr>
        <w:trPr>
          <w:cantSplit/>
        </w:trPr>
        <w:tc>
          <w:tcPr>
            <w:tcW w:type="dxa" w:w="199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기후위험도</w:t>
            </w:r>
          </w:p>
        </w:tc>
        <w:tc>
          <w:tcPr>
            <w:tcW w:type="dxa" w:w="199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포함</w:t>
            </w:r>
          </w:p>
        </w:tc>
        <w:tc>
          <w:tcPr>
            <w:tcW w:type="dxa" w:w="199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주 정책 결정</w:t>
            </w:r>
          </w:p>
        </w:tc>
        <w:tc>
          <w:tcPr>
            <w:tcW w:type="dxa" w:w="199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-</w:t>
            </w:r>
          </w:p>
        </w:tc>
        <w:tc>
          <w:tcPr>
            <w:tcW w:type="dxa" w:w="199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매개충 생활사·고온·가뭄 위험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인위적확산</w:t>
            </w:r>
          </w:p>
        </w:tc>
        <w:tc>
          <w:tcPr>
            <w:tcW w:type="dxa" w:w="199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포함</w:t>
            </w:r>
          </w:p>
        </w:tc>
        <w:tc>
          <w:tcPr>
            <w:tcW w:type="dxa" w:w="199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주 정책 결정</w:t>
            </w:r>
          </w:p>
        </w:tc>
        <w:tc>
          <w:tcPr>
            <w:tcW w:type="dxa" w:w="199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-</w:t>
            </w:r>
          </w:p>
        </w:tc>
        <w:tc>
          <w:tcPr>
            <w:tcW w:type="dxa" w:w="199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도로·원목 이동을 통한 확산 가능성</w:t>
            </w:r>
          </w:p>
        </w:tc>
      </w:tr>
      <w:tr>
        <w:trPr>
          <w:cantSplit/>
        </w:trPr>
        <w:tc>
          <w:tcPr>
            <w:tcW w:type="dxa" w:w="199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지자체대응역량</w:t>
            </w:r>
          </w:p>
        </w:tc>
        <w:tc>
          <w:tcPr>
            <w:tcW w:type="dxa" w:w="199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배분용 위험지수에서는 제외</w:t>
            </w:r>
          </w:p>
        </w:tc>
        <w:tc>
          <w:tcPr>
            <w:tcW w:type="dxa" w:w="199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보조 정책 결정</w:t>
            </w:r>
          </w:p>
        </w:tc>
        <w:tc>
          <w:tcPr>
            <w:tcW w:type="dxa" w:w="199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핵심</w:t>
            </w:r>
          </w:p>
        </w:tc>
        <w:tc>
          <w:tcPr>
            <w:tcW w:type="dxa" w:w="199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현재 예산·역량이 다시 미래 예산을 결정하는 순환 방지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배분갭</w:t>
            </w:r>
          </w:p>
        </w:tc>
        <w:tc>
          <w:tcPr>
            <w:tcW w:type="dxa" w:w="199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포함</w:t>
            </w:r>
          </w:p>
        </w:tc>
        <w:tc>
          <w:tcPr>
            <w:tcW w:type="dxa" w:w="199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-</w:t>
            </w:r>
          </w:p>
        </w:tc>
        <w:tc>
          <w:tcPr>
            <w:tcW w:type="dxa" w:w="199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핵심</w:t>
            </w:r>
          </w:p>
        </w:tc>
        <w:tc>
          <w:tcPr>
            <w:tcW w:type="dxa" w:w="199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현행 관행 대비 과소배분 정도</w:t>
            </w:r>
          </w:p>
        </w:tc>
      </w:tr>
      <w:tr>
        <w:trPr>
          <w:cantSplit/>
        </w:trPr>
        <w:tc>
          <w:tcPr>
            <w:tcW w:type="dxa" w:w="199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산업기반</w:t>
            </w:r>
          </w:p>
        </w:tc>
        <w:tc>
          <w:tcPr>
            <w:tcW w:type="dxa" w:w="199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제외</w:t>
            </w:r>
          </w:p>
        </w:tc>
        <w:tc>
          <w:tcPr>
            <w:tcW w:type="dxa" w:w="199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주 정책을 대체하지 않음</w:t>
            </w:r>
          </w:p>
        </w:tc>
        <w:tc>
          <w:tcPr>
            <w:tcW w:type="dxa" w:w="199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실행지원 태그</w:t>
            </w:r>
          </w:p>
        </w:tc>
        <w:tc>
          <w:tcPr>
            <w:tcW w:type="dxa" w:w="199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발생 원인이 아니라 집행 여건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"/>
        <w:gridCol w:w="9184"/>
      </w:tblGrid>
      <w:tr>
        <w:tc>
          <w:tcPr>
            <w:tcW w:type="dxa" w:w="4986"/>
            <w:shd w:fill="E67E2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ECDCD6"/>
              <w:left w:val="single" w:sz="4" w:color="ECDCD6"/>
              <w:bottom w:val="single" w:sz="4" w:color="ECDCD6"/>
              <w:right w:val="single" w:sz="4" w:color="ECDCD6"/>
            </w:tcBorders>
          </w:tcPr>
          <w:p/>
        </w:tc>
        <w:tc>
          <w:tcPr>
            <w:tcW w:type="dxa" w:w="4986"/>
            <w:shd w:fill="FFF3E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ECDCD6"/>
              <w:left w:val="single" w:sz="4" w:color="ECDCD6"/>
              <w:bottom w:val="single" w:sz="4" w:color="ECDCD6"/>
              <w:right w:val="single" w:sz="4" w:color="ECDCD6"/>
            </w:tcBorders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C1C10"/>
                <w:sz w:val="21"/>
              </w:rPr>
              <w:t>중요</w:t>
            </w:r>
          </w:p>
          <w:p>
            <w:pPr>
              <w:spacing w:after="0" w:line="300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9"/>
              </w:rPr>
              <w:t>대응자원·예찰진단 예산이 포함된 대응역량 도메인을 배분용 위험지수에 다시 넣으면 “기존 예산이 적다 → 취약점수 상승 → 추가 예산 배분”의 순환이 생긴다. 따라서 위험지수는 노출도·기후위험도·인위적확산으로 구성하고, 대응역량은 지원 방식 판정에 사용한다.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200" w:after="100"/>
        <w:pBdr>
          <w:left w:val="single" w:sz="18" w:space="5" w:color="8A2C1A"/>
        </w:pBdr>
      </w:pPr>
      <w:r>
        <w:rPr>
          <w:rFonts w:ascii="NanumSquare" w:hAnsi="NanumSquare" w:eastAsia="NanumSquare"/>
          <w:b/>
          <w:color w:val="5C1C10"/>
          <w:sz w:val="34"/>
        </w:rPr>
        <w:t>4. 우선지원 대상 선정 방법</w:t>
      </w:r>
    </w:p>
    <w:p>
      <w:pPr>
        <w:pStyle w:val="Heading2"/>
        <w:spacing w:before="140" w:after="100"/>
      </w:pPr>
      <w:r>
        <w:rPr>
          <w:rFonts w:ascii="NanumSquare" w:hAnsi="NanumSquare" w:eastAsia="NanumSquare"/>
          <w:b/>
          <w:color w:val="8A2C1A"/>
          <w:sz w:val="27"/>
        </w:rPr>
        <w:t>4.1 표준화된 우선지원점수</w:t>
      </w:r>
    </w:p>
    <w:p>
      <w:pPr>
        <w:spacing w:before="0" w:after="80" w:line="300" w:lineRule="auto"/>
      </w:pPr>
      <w:r>
        <w:rPr>
          <w:rFonts w:ascii="NanumSquare" w:hAnsi="NanumSquare" w:eastAsia="NanumSquare"/>
          <w:b w:val="0"/>
          <w:color w:val="2C1E1A"/>
          <w:sz w:val="21"/>
        </w:rPr>
        <w:t>현재의 “취약성지수 - 배분갭”은 0~1 지수와 로그예산 잔차처럼 단위가 다른 값을 직접 결합한다. 두 지표를 같은 0~1 백분위 척도로 변환한 뒤 가중합한다.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EC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Mono CJK KR" w:hAnsi="Noto Sans Mono CJK KR" w:eastAsia="Noto Sans Mono CJK KR"/>
                <w:b/>
                <w:color w:val="5C1C10"/>
                <w:sz w:val="20"/>
              </w:rPr>
              <w:t>Priorityᵢₜ = 0.60 × RiskPctᵢ,ₜ₋₁ + 0.40 × UnderfundPctᵢ,ₜ₋₁</w:t>
            </w:r>
          </w:p>
        </w:tc>
      </w:tr>
    </w:tbl>
    <w:p>
      <w:pPr>
        <w:spacing w:after="80"/>
        <w:jc w:val="center"/>
      </w:pPr>
      <w:r>
        <w:rPr>
          <w:rFonts w:ascii="NanumSquare" w:hAnsi="NanumSquare" w:eastAsia="NanumSquare"/>
          <w:b w:val="0"/>
          <w:color w:val="6B5A54"/>
          <w:sz w:val="17"/>
        </w:rPr>
        <w:t>RiskPct: 역량 제외 위험지수 백분위 / UnderfundPct: -배분갭 백분위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84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구성요소</w:t>
            </w:r>
          </w:p>
        </w:tc>
        <w:tc>
          <w:tcPr>
            <w:tcW w:type="dxa" w:w="5216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정의</w:t>
            </w:r>
          </w:p>
        </w:tc>
        <w:tc>
          <w:tcPr>
            <w:tcW w:type="dxa" w:w="2324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방향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RiskPct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노출도·기후위험도·인위적확산 점수 평균의 연도 내 백분위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높을수록 우선지원</w:t>
            </w:r>
          </w:p>
        </w:tc>
      </w:tr>
      <w:tr>
        <w:trPr>
          <w:cantSplit/>
        </w:trPr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UnderfundPct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배분갭의 부호를 반전한 값의 연도 내 백분위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과소배분일수록 우선지원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Priority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두 백분위의 가중합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높을수록 최우선</w:t>
            </w:r>
          </w:p>
        </w:tc>
      </w:tr>
    </w:tbl>
    <w:p>
      <w:pPr>
        <w:spacing w:after="0"/>
      </w:pPr>
    </w:p>
    <w:p>
      <w:pPr>
        <w:spacing w:before="80" w:after="80" w:line="300" w:lineRule="auto"/>
      </w:pPr>
      <w:r>
        <w:rPr>
          <w:rFonts w:ascii="NanumSquare" w:hAnsi="NanumSquare" w:eastAsia="NanumSquare"/>
          <w:b/>
          <w:color w:val="8A2C1A"/>
          <w:sz w:val="22"/>
        </w:rPr>
        <w:t>가중치 민감도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84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안</w:t>
            </w:r>
          </w:p>
        </w:tc>
        <w:tc>
          <w:tcPr>
            <w:tcW w:type="dxa" w:w="2551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위험 : 과소배분</w:t>
            </w:r>
          </w:p>
        </w:tc>
        <w:tc>
          <w:tcPr>
            <w:tcW w:type="dxa" w:w="4989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용도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균형안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0.5 : 0.5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두 요소를 동일하게 반영</w:t>
            </w:r>
          </w:p>
        </w:tc>
      </w:tr>
      <w:tr>
        <w:trPr>
          <w:cantSplit/>
        </w:trPr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기준안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0.6 : 0.4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피해위험을 조금 더 중시하는 본 분석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위험중심안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0.7 : 0.3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예방원칙을 강하게 적용한 민감도 분석</w:t>
            </w:r>
          </w:p>
        </w:tc>
      </w:tr>
    </w:tbl>
    <w:p>
      <w:pPr>
        <w:spacing w:after="0"/>
      </w:pPr>
    </w:p>
    <w:p>
      <w:pPr>
        <w:pStyle w:val="Heading2"/>
        <w:spacing w:before="140" w:after="100"/>
      </w:pPr>
      <w:r>
        <w:rPr>
          <w:rFonts w:ascii="NanumSquare" w:hAnsi="NanumSquare" w:eastAsia="NanumSquare"/>
          <w:b/>
          <w:color w:val="8A2C1A"/>
          <w:sz w:val="27"/>
        </w:rPr>
        <w:t>4.2 우선지원 등급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84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등급</w:t>
            </w:r>
          </w:p>
        </w:tc>
        <w:tc>
          <w:tcPr>
            <w:tcW w:type="dxa" w:w="3118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기준</w:t>
            </w:r>
          </w:p>
        </w:tc>
        <w:tc>
          <w:tcPr>
            <w:tcW w:type="dxa" w:w="4422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정책 사용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S 최우선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우선지원점수 상위 5%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즉시 예산 재검토·정밀진단</w:t>
            </w:r>
          </w:p>
        </w:tc>
      </w:tr>
      <w:tr>
        <w:trPr>
          <w:cantSplit/>
        </w:trPr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A 우선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상위 5~10%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차년도 우선지원 후보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B 주의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상위 10~20%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예찰 강화·모니터링</w:t>
            </w:r>
          </w:p>
        </w:tc>
      </w:tr>
      <w:tr>
        <w:trPr>
          <w:cantSplit/>
        </w:trPr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C 일반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20~80%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현행 관리 유지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D 후순위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하위 20%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최소 보장액 유지</w:t>
            </w:r>
          </w:p>
        </w:tc>
      </w:tr>
    </w:tbl>
    <w:p>
      <w:pPr>
        <w:spacing w:after="0"/>
      </w:pPr>
    </w:p>
    <w:p>
      <w:pPr>
        <w:spacing w:before="0" w:after="80" w:line="300" w:lineRule="auto"/>
      </w:pPr>
      <w:r>
        <w:rPr>
          <w:rFonts w:ascii="NanumSquare" w:hAnsi="NanumSquare" w:eastAsia="NanumSquare"/>
          <w:b w:val="0"/>
          <w:color w:val="2C1E1A"/>
          <w:sz w:val="21"/>
        </w:rPr>
        <w:t>상위 10%를 한 번에 고정하지 않고 상위 5·10·20%를 함께 제공하면 예산 규모와 정책 강도에 따라 대상을 조절할 수 있다.</w:t>
      </w:r>
    </w:p>
    <w:p>
      <w:pPr>
        <w:pStyle w:val="Heading2"/>
        <w:spacing w:before="140" w:after="100"/>
      </w:pPr>
      <w:r>
        <w:rPr>
          <w:rFonts w:ascii="NanumSquare" w:hAnsi="NanumSquare" w:eastAsia="NanumSquare"/>
          <w:b/>
          <w:color w:val="8A2C1A"/>
          <w:sz w:val="27"/>
        </w:rPr>
        <w:t>4.3 정책 매칭 규칙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154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우세 도메인</w:t>
            </w:r>
          </w:p>
        </w:tc>
        <w:tc>
          <w:tcPr>
            <w:tcW w:type="dxa" w:w="3345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주 정책</w:t>
            </w:r>
          </w:p>
        </w:tc>
        <w:tc>
          <w:tcPr>
            <w:tcW w:type="dxa" w:w="4025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세부 조치 예시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노출도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예찰 강화 및 조기발견 체계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예찰 인력·주기 확대, 집단발생지 정밀예찰</w:t>
            </w:r>
          </w:p>
        </w:tc>
      </w:tr>
      <w:tr>
        <w:trPr>
          <w:cantSplit/>
        </w:trPr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기후위험도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예측기반 사전방제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GDD 기반 시기 조정, 가뭄·고온 경보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인위적확산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확산차단 조치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도로변 완충방제, 반출금지·이동통제 재검토</w:t>
            </w:r>
          </w:p>
        </w:tc>
      </w:tr>
      <w:tr>
        <w:trPr>
          <w:cantSplit/>
        </w:trPr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대응역량 취약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역량보강 보조 정책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예찰진단 예산, 인력·방제법인 확충</w:t>
            </w:r>
          </w:p>
        </w:tc>
      </w:tr>
    </w:tbl>
    <w:p>
      <w:pPr>
        <w:spacing w:after="0"/>
      </w:pPr>
    </w:p>
    <w:p>
      <w:pPr>
        <w:spacing w:before="0" w:after="80" w:line="300" w:lineRule="auto"/>
      </w:pPr>
      <w:r>
        <w:rPr>
          <w:rFonts w:ascii="NanumSquare" w:hAnsi="NanumSquare" w:eastAsia="NanumSquare"/>
          <w:b/>
          <w:color w:val="2C1E1A"/>
          <w:sz w:val="20"/>
        </w:rPr>
        <w:t>산업기반 부족형은 주 정책을 덮어쓰지 않고 다음 실행지원 태그로 병기한다.</w:t>
      </w:r>
    </w:p>
    <w:p>
      <w:pPr>
        <w:pStyle w:val="ListBullet"/>
        <w:spacing w:after="40" w:line="288" w:lineRule="auto"/>
      </w:pPr>
      <w:r>
        <w:rPr>
          <w:rFonts w:ascii="NanumSquare" w:hAnsi="NanumSquare" w:eastAsia="NanumSquare"/>
          <w:b w:val="0"/>
          <w:color w:val="2C1E1A"/>
          <w:sz w:val="20"/>
        </w:rPr>
        <w:t>직접집행 필요: 지자체 대응역량이 낮고 민간 수행기반도 취약</w:t>
      </w:r>
    </w:p>
    <w:p>
      <w:pPr>
        <w:pStyle w:val="ListBullet"/>
        <w:spacing w:after="40" w:line="288" w:lineRule="auto"/>
      </w:pPr>
      <w:r>
        <w:rPr>
          <w:rFonts w:ascii="NanumSquare" w:hAnsi="NanumSquare" w:eastAsia="NanumSquare"/>
          <w:b w:val="0"/>
          <w:color w:val="2C1E1A"/>
          <w:sz w:val="20"/>
        </w:rPr>
        <w:t>업체·인력 매칭 필요: 지원사업 참여경험이 낮거나 사업체 기반이 부족</w:t>
      </w:r>
    </w:p>
    <w:p>
      <w:pPr>
        <w:pStyle w:val="ListBullet"/>
        <w:spacing w:after="40" w:line="288" w:lineRule="auto"/>
      </w:pPr>
      <w:r>
        <w:rPr>
          <w:rFonts w:ascii="NanumSquare" w:hAnsi="NanumSquare" w:eastAsia="NanumSquare"/>
          <w:b w:val="0"/>
          <w:color w:val="2C1E1A"/>
          <w:sz w:val="20"/>
        </w:rPr>
        <w:t>산업연계 지원: 판로개척·채용·사업 안내가 함께 필요한 지역</w:t>
      </w:r>
    </w:p>
    <w:p>
      <w:pPr>
        <w:pStyle w:val="Heading1"/>
        <w:spacing w:before="200" w:after="100"/>
        <w:pBdr>
          <w:left w:val="single" w:sz="18" w:space="5" w:color="8A2C1A"/>
        </w:pBdr>
      </w:pPr>
      <w:r>
        <w:rPr>
          <w:rFonts w:ascii="NanumSquare" w:hAnsi="NanumSquare" w:eastAsia="NanumSquare"/>
          <w:b/>
          <w:color w:val="5C1C10"/>
          <w:sz w:val="34"/>
        </w:rPr>
        <w:t>5. 위험기반 예산 재배분 시뮬레이션</w:t>
      </w:r>
    </w:p>
    <w:p>
      <w:pPr>
        <w:pStyle w:val="Heading2"/>
        <w:spacing w:before="140" w:after="100"/>
      </w:pPr>
      <w:r>
        <w:rPr>
          <w:rFonts w:ascii="NanumSquare" w:hAnsi="NanumSquare" w:eastAsia="NanumSquare"/>
          <w:b/>
          <w:color w:val="8A2C1A"/>
          <w:sz w:val="27"/>
        </w:rPr>
        <w:t>5.1 분석 정의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"/>
        <w:gridCol w:w="9184"/>
      </w:tblGrid>
      <w:tr>
        <w:tc>
          <w:tcPr>
            <w:tcW w:type="dxa" w:w="4986"/>
            <w:shd w:fill="1BAF7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ECDCD6"/>
              <w:left w:val="single" w:sz="4" w:color="ECDCD6"/>
              <w:bottom w:val="single" w:sz="4" w:color="ECDCD6"/>
              <w:right w:val="single" w:sz="4" w:color="ECDCD6"/>
            </w:tcBorders>
          </w:tcPr>
          <w:p/>
        </w:tc>
        <w:tc>
          <w:tcPr>
            <w:tcW w:type="dxa" w:w="4986"/>
            <w:shd w:fill="DCF4E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ECDCD6"/>
              <w:left w:val="single" w:sz="4" w:color="ECDCD6"/>
              <w:bottom w:val="single" w:sz="4" w:color="ECDCD6"/>
              <w:right w:val="single" w:sz="4" w:color="ECDCD6"/>
            </w:tcBorders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C1C10"/>
                <w:sz w:val="21"/>
              </w:rPr>
              <w:t>해석 범위</w:t>
            </w:r>
          </w:p>
          <w:p>
            <w:pPr>
              <w:spacing w:after="0" w:line="300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9"/>
              </w:rPr>
              <w:t>총예산을 늘리지 않고 지역별 배분만 바꾸어, 실제 피해발생 지역과 다음해 고피해 지역에 예산이 더 집중되는지를 평가한다. 결과는 타겟팅 개선 가능성이며, 예산 투입으로 피해가 몇 % 감소한다고 해석하지 않는다.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EC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Mono CJK KR" w:hAnsi="Noto Sans Mono CJK KR" w:eastAsia="Noto Sans Mono CJK KR"/>
                <w:b/>
                <w:color w:val="5C1C10"/>
                <w:sz w:val="20"/>
              </w:rPr>
              <w:t>Σ SimBudgetᵢₜ = Σ ActualBudgetᵢₜ</w:t>
            </w:r>
          </w:p>
        </w:tc>
      </w:tr>
    </w:tbl>
    <w:p>
      <w:pPr>
        <w:spacing w:after="80"/>
        <w:jc w:val="center"/>
      </w:pPr>
      <w:r>
        <w:rPr>
          <w:rFonts w:ascii="NanumSquare" w:hAnsi="NanumSquare" w:eastAsia="NanumSquare"/>
          <w:b w:val="0"/>
          <w:color w:val="6B5A54"/>
          <w:sz w:val="17"/>
        </w:rPr>
        <w:t>연도별 총예산은 실제 총액과 동일하게 유지</w:t>
      </w:r>
    </w:p>
    <w:p>
      <w:pPr>
        <w:pStyle w:val="Heading2"/>
        <w:spacing w:before="140" w:after="100"/>
      </w:pPr>
      <w:r>
        <w:rPr>
          <w:rFonts w:ascii="NanumSquare" w:hAnsi="NanumSquare" w:eastAsia="NanumSquare"/>
          <w:b/>
          <w:color w:val="8A2C1A"/>
          <w:sz w:val="27"/>
        </w:rPr>
        <w:t>5.2 시나리오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871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시나리오</w:t>
            </w:r>
          </w:p>
        </w:tc>
        <w:tc>
          <w:tcPr>
            <w:tcW w:type="dxa" w:w="2438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최소 보장액</w:t>
            </w:r>
          </w:p>
        </w:tc>
        <w:tc>
          <w:tcPr>
            <w:tcW w:type="dxa" w:w="2665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전년 대비 증감 상한</w:t>
            </w:r>
          </w:p>
        </w:tc>
        <w:tc>
          <w:tcPr>
            <w:tcW w:type="dxa" w:w="2551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정책적 의미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보수적</w:t>
            </w:r>
          </w:p>
        </w:tc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균등배분액의 50%</w:t>
            </w:r>
          </w:p>
        </w:tc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±10%</w:t>
            </w:r>
          </w:p>
        </w:tc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행정 충격 최소화, 점진적 조정</w:t>
            </w:r>
          </w:p>
        </w:tc>
      </w:tr>
      <w:tr>
        <w:trPr>
          <w:cantSplit/>
        </w:trPr>
        <w:tc>
          <w:tcPr>
            <w:tcW w:type="dxa" w:w="2493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기준</w:t>
            </w:r>
          </w:p>
        </w:tc>
        <w:tc>
          <w:tcPr>
            <w:tcW w:type="dxa" w:w="2493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균등배분액의 30%</w:t>
            </w:r>
          </w:p>
        </w:tc>
        <w:tc>
          <w:tcPr>
            <w:tcW w:type="dxa" w:w="2493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±20%</w:t>
            </w:r>
          </w:p>
        </w:tc>
        <w:tc>
          <w:tcPr>
            <w:tcW w:type="dxa" w:w="2493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현실성과 타겟팅의 균형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적극적</w:t>
            </w:r>
          </w:p>
        </w:tc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균등배분액의 20%</w:t>
            </w:r>
          </w:p>
        </w:tc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±30%</w:t>
            </w:r>
          </w:p>
        </w:tc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고위험 지역 집중도가 높은 대안</w:t>
            </w:r>
          </w:p>
        </w:tc>
      </w:tr>
    </w:tbl>
    <w:p>
      <w:pPr>
        <w:spacing w:after="0"/>
      </w:pPr>
    </w:p>
    <w:p>
      <w:pPr>
        <w:spacing w:before="0" w:after="80" w:line="300" w:lineRule="auto"/>
      </w:pPr>
      <w:r>
        <w:rPr>
          <w:rFonts w:ascii="NanumSquare" w:hAnsi="NanumSquare" w:eastAsia="NanumSquare"/>
          <w:b w:val="0"/>
          <w:color w:val="2C1E1A"/>
          <w:sz w:val="21"/>
        </w:rPr>
        <w:t>본 결과는 기준 시나리오를 중심으로 제시하고, 보수적·적극적 시나리오는 강건성 및 정책 선택 범위로 제공한다.</w:t>
      </w:r>
    </w:p>
    <w:p>
      <w:pPr>
        <w:pStyle w:val="Heading2"/>
        <w:spacing w:before="140" w:after="100"/>
      </w:pPr>
      <w:r>
        <w:rPr>
          <w:rFonts w:ascii="NanumSquare" w:hAnsi="NanumSquare" w:eastAsia="NanumSquare"/>
          <w:b/>
          <w:color w:val="8A2C1A"/>
          <w:sz w:val="27"/>
        </w:rPr>
        <w:t>5.3 계산 절차</w:t>
      </w:r>
    </w:p>
    <w:p>
      <w:pPr>
        <w:pStyle w:val="ListNumber"/>
        <w:spacing w:after="40" w:line="288" w:lineRule="auto"/>
      </w:pPr>
      <w:r>
        <w:rPr>
          <w:rFonts w:ascii="NanumSquare" w:hAnsi="NanumSquare" w:eastAsia="NanumSquare"/>
          <w:b w:val="0"/>
          <w:color w:val="2C1E1A"/>
          <w:sz w:val="20"/>
        </w:rPr>
        <w:t>t-1년 자료로 시군구별 RiskPct와 UnderfundPct를 계산한다.</w:t>
      </w:r>
    </w:p>
    <w:p>
      <w:pPr>
        <w:pStyle w:val="ListNumber"/>
        <w:spacing w:after="40" w:line="288" w:lineRule="auto"/>
      </w:pPr>
      <w:r>
        <w:rPr>
          <w:rFonts w:ascii="NanumSquare" w:hAnsi="NanumSquare" w:eastAsia="NanumSquare"/>
          <w:b w:val="0"/>
          <w:color w:val="2C1E1A"/>
          <w:sz w:val="20"/>
        </w:rPr>
        <w:t>우선지원점수를 이용해 연도별 총예산의 1차 목표 배분액을 산출한다.</w:t>
      </w:r>
    </w:p>
    <w:p>
      <w:pPr>
        <w:pStyle w:val="ListNumber"/>
        <w:spacing w:after="40" w:line="288" w:lineRule="auto"/>
      </w:pPr>
      <w:r>
        <w:rPr>
          <w:rFonts w:ascii="NanumSquare" w:hAnsi="NanumSquare" w:eastAsia="NanumSquare"/>
          <w:b w:val="0"/>
          <w:color w:val="2C1E1A"/>
          <w:sz w:val="20"/>
        </w:rPr>
        <w:t>시군구별 최소 보장액을 적용한다.</w:t>
      </w:r>
    </w:p>
    <w:p>
      <w:pPr>
        <w:pStyle w:val="ListNumber"/>
        <w:spacing w:after="40" w:line="288" w:lineRule="auto"/>
      </w:pPr>
      <w:r>
        <w:rPr>
          <w:rFonts w:ascii="NanumSquare" w:hAnsi="NanumSquare" w:eastAsia="NanumSquare"/>
          <w:b w:val="0"/>
          <w:color w:val="2C1E1A"/>
          <w:sz w:val="20"/>
        </w:rPr>
        <w:t>전년도 시뮬레이션 예산 대비 증감률 하한·상한을 적용한다.</w:t>
      </w:r>
    </w:p>
    <w:p>
      <w:pPr>
        <w:pStyle w:val="ListNumber"/>
        <w:spacing w:after="40" w:line="288" w:lineRule="auto"/>
      </w:pPr>
      <w:r>
        <w:rPr>
          <w:rFonts w:ascii="NanumSquare" w:hAnsi="NanumSquare" w:eastAsia="NanumSquare"/>
          <w:b w:val="0"/>
          <w:color w:val="2C1E1A"/>
          <w:sz w:val="20"/>
        </w:rPr>
        <w:t>총액 보존과 개별 제약을 동시에 만족하도록 제약 최적화한다.</w:t>
      </w:r>
    </w:p>
    <w:p>
      <w:pPr>
        <w:pStyle w:val="ListNumber"/>
        <w:spacing w:after="40" w:line="288" w:lineRule="auto"/>
      </w:pPr>
      <w:r>
        <w:rPr>
          <w:rFonts w:ascii="NanumSquare" w:hAnsi="NanumSquare" w:eastAsia="NanumSquare"/>
          <w:b w:val="0"/>
          <w:color w:val="2C1E1A"/>
          <w:sz w:val="20"/>
        </w:rPr>
        <w:t>t년 실제 피해 결과로 현행배분과 시뮬배분의 포착력을 비교한다.</w:t>
      </w:r>
    </w:p>
    <w:p>
      <w:pPr>
        <w:pStyle w:val="Heading2"/>
        <w:spacing w:before="140" w:after="100"/>
      </w:pPr>
      <w:r>
        <w:rPr>
          <w:rFonts w:ascii="NanumSquare" w:hAnsi="NanumSquare" w:eastAsia="NanumSquare"/>
          <w:b/>
          <w:color w:val="8A2C1A"/>
          <w:sz w:val="27"/>
        </w:rPr>
        <w:t>5.4 제약 최적화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EC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Mono CJK KR" w:hAnsi="Noto Sans Mono CJK KR" w:eastAsia="Noto Sans Mono CJK KR"/>
                <w:b/>
                <w:color w:val="5C1C10"/>
                <w:sz w:val="20"/>
              </w:rPr>
              <w:t>min Σᵢ (Bᵢₜ - Targetᵢₜ)²</w:t>
            </w:r>
          </w:p>
        </w:tc>
      </w:tr>
    </w:tbl>
    <w:p>
      <w:pPr>
        <w:spacing w:after="80"/>
        <w:jc w:val="center"/>
      </w:pPr>
      <w:r>
        <w:rPr>
          <w:rFonts w:ascii="NanumSquare" w:hAnsi="NanumSquare" w:eastAsia="NanumSquare"/>
          <w:b w:val="0"/>
          <w:color w:val="6B5A54"/>
          <w:sz w:val="17"/>
        </w:rPr>
        <w:t>제약: 총액 보존, 최소 보장액, 전년 대비 증감 상·하한</w:t>
      </w:r>
    </w:p>
    <w:p>
      <w:pPr>
        <w:spacing w:before="0" w:after="80" w:line="300" w:lineRule="auto"/>
      </w:pPr>
      <w:r>
        <w:rPr>
          <w:rFonts w:ascii="NanumSquare" w:hAnsi="NanumSquare" w:eastAsia="NanumSquare"/>
          <w:b w:val="0"/>
          <w:color w:val="2C1E1A"/>
          <w:sz w:val="21"/>
        </w:rPr>
        <w:t>단순 clip 후 전체를 다시 비례조정하면 앞서 적용한 하한이나 증감 상한을 다시 위반할 수 있다. 따라서 scipy.optimize 또는 이차계획 방식으로 모든 제약을 동시에 만족시키는 배분액을 구한다.</w:t>
      </w:r>
    </w:p>
    <w:p>
      <w:r>
        <w:br w:type="page"/>
      </w:r>
    </w:p>
    <w:p>
      <w:pPr>
        <w:pStyle w:val="Heading1"/>
        <w:spacing w:before="200" w:after="100"/>
        <w:pBdr>
          <w:left w:val="single" w:sz="18" w:space="5" w:color="8A2C1A"/>
        </w:pBdr>
      </w:pPr>
      <w:r>
        <w:rPr>
          <w:rFonts w:ascii="NanumSquare" w:hAnsi="NanumSquare" w:eastAsia="NanumSquare"/>
          <w:b/>
          <w:color w:val="5C1C10"/>
          <w:sz w:val="34"/>
        </w:rPr>
        <w:t>6. Rolling-origin 평가 설계</w:t>
      </w:r>
    </w:p>
    <w:p>
      <w:pPr>
        <w:spacing w:before="0" w:after="80" w:line="300" w:lineRule="auto"/>
      </w:pPr>
      <w:r>
        <w:rPr>
          <w:rFonts w:ascii="NanumSquare" w:hAnsi="NanumSquare" w:eastAsia="NanumSquare"/>
          <w:b w:val="0"/>
          <w:color w:val="2C1E1A"/>
          <w:sz w:val="21"/>
        </w:rPr>
        <w:t>같은 연도의 피해·기후 결과를 알고 예산을 배분하는 사후적 구조를 피하기 위해, 각 연도의 예산은 직전 연도까지의 정보만 사용해 산출한다.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118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정보 사용 시점</w:t>
            </w:r>
          </w:p>
        </w:tc>
        <w:tc>
          <w:tcPr>
            <w:tcW w:type="dxa" w:w="3118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배분 대상</w:t>
            </w:r>
          </w:p>
        </w:tc>
        <w:tc>
          <w:tcPr>
            <w:tcW w:type="dxa" w:w="3288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성과 평가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2016년까지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2017년 예산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2017년 피해</w:t>
            </w:r>
          </w:p>
        </w:tc>
      </w:tr>
      <w:tr>
        <w:trPr>
          <w:cantSplit/>
        </w:trPr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2017년까지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2018년 예산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2018년 피해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2018년까지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2019년 예산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2019년 피해</w:t>
            </w:r>
          </w:p>
        </w:tc>
      </w:tr>
      <w:tr>
        <w:trPr>
          <w:cantSplit/>
        </w:trPr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2019년까지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2020년 예산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2020년 피해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2020년까지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2021년 예산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2021년 피해</w:t>
            </w:r>
          </w:p>
        </w:tc>
      </w:tr>
      <w:tr>
        <w:trPr>
          <w:cantSplit/>
        </w:trPr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2021년까지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2022년 예산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2022년 피해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"/>
        <w:gridCol w:w="9184"/>
      </w:tblGrid>
      <w:tr>
        <w:tc>
          <w:tcPr>
            <w:tcW w:type="dxa" w:w="4986"/>
            <w:shd w:fill="E67E2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ECDCD6"/>
              <w:left w:val="single" w:sz="4" w:color="ECDCD6"/>
              <w:bottom w:val="single" w:sz="4" w:color="ECDCD6"/>
              <w:right w:val="single" w:sz="4" w:color="ECDCD6"/>
            </w:tcBorders>
          </w:tcPr>
          <w:p/>
        </w:tc>
        <w:tc>
          <w:tcPr>
            <w:tcW w:type="dxa" w:w="4986"/>
            <w:shd w:fill="FFF3E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ECDCD6"/>
              <w:left w:val="single" w:sz="4" w:color="ECDCD6"/>
              <w:bottom w:val="single" w:sz="4" w:color="ECDCD6"/>
              <w:right w:val="single" w:sz="4" w:color="ECDCD6"/>
            </w:tcBorders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C1C10"/>
                <w:sz w:val="21"/>
              </w:rPr>
              <w:t>주의</w:t>
            </w:r>
          </w:p>
          <w:p>
            <w:pPr>
              <w:spacing w:after="0" w:line="300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9"/>
              </w:rPr>
              <w:t>도로망과 소나무림처럼 구조적 특성으로 고정 적용하는 변수는 기준연도 속성으로 명시할 수 있지만, 피해·기후·예산처럼 연도별로 갱신되는 정보는 반드시 t-1 시차를 적용한다.</w:t>
            </w:r>
          </w:p>
        </w:tc>
      </w:tr>
    </w:tbl>
    <w:p>
      <w:pPr>
        <w:spacing w:after="0"/>
      </w:pPr>
    </w:p>
    <w:p>
      <w:pPr>
        <w:pStyle w:val="Heading2"/>
        <w:spacing w:before="140" w:after="100"/>
      </w:pPr>
      <w:r>
        <w:rPr>
          <w:rFonts w:ascii="NanumSquare" w:hAnsi="NanumSquare" w:eastAsia="NanumSquare"/>
          <w:b/>
          <w:color w:val="8A2C1A"/>
          <w:sz w:val="27"/>
        </w:rPr>
        <w:t>6.1 성과지표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11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3912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계산</w:t>
            </w:r>
          </w:p>
        </w:tc>
        <w:tc>
          <w:tcPr>
            <w:tcW w:type="dxa" w:w="3402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의미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피해발생지역 예산 포착률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Y_bin=1 지역 예산 ÷ 전체 예산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예산이 발생지역에 얼마나 배정됐는가</w:t>
            </w:r>
          </w:p>
        </w:tc>
      </w:tr>
      <w:tr>
        <w:trPr>
          <w:cantSplit/>
        </w:trPr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타겟팅 리프트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시뮬 포착률 - 실제 포착률(%p)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현행 대비 개선 폭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피해 상위 20% Recall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상위 피해지역 중 증액·우선지원 지역 비율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고피해 지역 선별력</w:t>
            </w:r>
          </w:p>
        </w:tc>
      </w:tr>
      <w:tr>
        <w:trPr>
          <w:cantSplit/>
        </w:trPr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예산-피해 Spearman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예산과 실제 피해밀도의 순위상관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위험 정렬의 정합성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재배분율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증액액 합계 ÷ 총예산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정책 변경 규모</w:t>
            </w:r>
          </w:p>
        </w:tc>
      </w:tr>
      <w:tr>
        <w:trPr>
          <w:cantSplit/>
        </w:trPr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행정 충격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상·하한 발동률, 큰 폭 증감 지역 수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실행 가능성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지역 최소보장 충족률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하한 이상 배분 지역 비율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지역 형평성</w:t>
            </w:r>
          </w:p>
        </w:tc>
      </w:tr>
    </w:tbl>
    <w:p>
      <w:pPr>
        <w:spacing w:after="0"/>
      </w:pPr>
    </w:p>
    <w:p>
      <w:pPr>
        <w:pStyle w:val="Heading2"/>
        <w:spacing w:before="140" w:after="100"/>
      </w:pPr>
      <w:r>
        <w:rPr>
          <w:rFonts w:ascii="NanumSquare" w:hAnsi="NanumSquare" w:eastAsia="NanumSquare"/>
          <w:b/>
          <w:color w:val="8A2C1A"/>
          <w:sz w:val="27"/>
        </w:rPr>
        <w:t>6.2 최종 판정 기준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984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7540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조건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효과 있음</w:t>
            </w:r>
          </w:p>
        </w:tc>
        <w:tc>
          <w:tcPr>
            <w:tcW w:type="dxa" w:w="498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기준 시나리오에서 다수 연도 및 전체기간의 피해지역 포착률이 현행보다 높고, 상위 20% Recall도 개선</w:t>
            </w:r>
          </w:p>
        </w:tc>
      </w:tr>
      <w:tr>
        <w:trPr>
          <w:cantSplit/>
        </w:trPr>
        <w:tc>
          <w:tcPr>
            <w:tcW w:type="dxa" w:w="4986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조건부 효과</w:t>
            </w:r>
          </w:p>
        </w:tc>
        <w:tc>
          <w:tcPr>
            <w:tcW w:type="dxa" w:w="4986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포착률은 개선되지만 재배분율·상한 발동률이 과도함. 보수적 시나리오 채택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효과 불명확</w:t>
            </w:r>
          </w:p>
        </w:tc>
        <w:tc>
          <w:tcPr>
            <w:tcW w:type="dxa" w:w="498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연도별 개선 방향이 불안정하거나 상위 피해지역 포착력이 현행보다 낮음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  <w:pBdr>
          <w:left w:val="single" w:sz="18" w:space="5" w:color="8A2C1A"/>
        </w:pBdr>
      </w:pPr>
      <w:r>
        <w:rPr>
          <w:rFonts w:ascii="NanumSquare" w:hAnsi="NanumSquare" w:eastAsia="NanumSquare"/>
          <w:b/>
          <w:color w:val="5C1C10"/>
          <w:sz w:val="34"/>
        </w:rPr>
        <w:t>7. 민감도·강건성 검증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154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검증 항목</w:t>
            </w:r>
          </w:p>
        </w:tc>
        <w:tc>
          <w:tcPr>
            <w:tcW w:type="dxa" w:w="4025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비교안</w:t>
            </w:r>
          </w:p>
        </w:tc>
        <w:tc>
          <w:tcPr>
            <w:tcW w:type="dxa" w:w="3345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확인 기준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우선순위 가중치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0.5:0.5 / 0.6:0.4 / 0.7:0.3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순위 Spearman, TOP10·20% 중복률</w:t>
            </w:r>
          </w:p>
        </w:tc>
      </w:tr>
      <w:tr>
        <w:trPr>
          <w:cantSplit/>
        </w:trPr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예산 제약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보수적 / 기준 / 적극적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포착률 개선과 재배분율의 trade-off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위험지수 구성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3도메인 평균 / 가중평균 / PCA 보조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상위지역 안정성</w:t>
            </w:r>
          </w:p>
        </w:tc>
      </w:tr>
      <w:tr>
        <w:trPr>
          <w:cantSplit/>
        </w:trPr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배분갭 처리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백분위 / z점수 / 음수갭만 반영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과소배분 정의의 민감도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표본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전체 / 면적 하한 강화 / 예산연속관측 지역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결측·소규모 지역 영향</w:t>
            </w:r>
          </w:p>
        </w:tc>
      </w:tr>
      <w:tr>
        <w:trPr>
          <w:cantSplit/>
        </w:trPr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도로망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기준연도 고정 / 연도별 도로망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구조적 접근성 가정의 민감도</w:t>
            </w:r>
          </w:p>
        </w:tc>
      </w:tr>
    </w:tbl>
    <w:p>
      <w:pPr>
        <w:spacing w:after="0"/>
      </w:pPr>
    </w:p>
    <w:p>
      <w:pPr>
        <w:spacing w:before="0" w:after="80" w:line="300" w:lineRule="auto"/>
      </w:pPr>
      <w:r>
        <w:rPr>
          <w:rFonts w:ascii="NanumSquare" w:hAnsi="NanumSquare" w:eastAsia="NanumSquare"/>
          <w:b w:val="0"/>
          <w:color w:val="2C1E1A"/>
          <w:sz w:val="21"/>
        </w:rPr>
        <w:t>권장 보고 기준: 본 결과는 기준안을 사용하되, 가중치별 순위상관이 높고 TOP20 중복률이 안정적이라는 표를 부록에 제시한다.</w:t>
      </w:r>
    </w:p>
    <w:p>
      <w:pPr>
        <w:pStyle w:val="Heading1"/>
        <w:spacing w:before="200" w:after="100"/>
        <w:pBdr>
          <w:left w:val="single" w:sz="18" w:space="5" w:color="8A2C1A"/>
        </w:pBdr>
      </w:pPr>
      <w:r>
        <w:rPr>
          <w:rFonts w:ascii="NanumSquare" w:hAnsi="NanumSquare" w:eastAsia="NanumSquare"/>
          <w:b/>
          <w:color w:val="5C1C10"/>
          <w:sz w:val="34"/>
        </w:rPr>
        <w:t>8. 현행 코드 수정 계획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551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현재 로직</w:t>
            </w:r>
          </w:p>
        </w:tc>
        <w:tc>
          <w:tcPr>
            <w:tcW w:type="dxa" w:w="3118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문제</w:t>
            </w:r>
          </w:p>
        </w:tc>
        <w:tc>
          <w:tcPr>
            <w:tcW w:type="dxa" w:w="3628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수정안</w:t>
            </w:r>
          </w:p>
        </w:tc>
        <w:tc>
          <w:tcPr>
            <w:tcW w:type="dxa" w:w="1361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우선순위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5"/>
              </w:rPr>
              <w:t>index_main - 배분갭</w:t>
            </w:r>
          </w:p>
        </w:tc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5"/>
              </w:rPr>
              <w:t>서로 다른 척도 직접 결합</w:t>
            </w:r>
          </w:p>
        </w:tc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5"/>
              </w:rPr>
              <w:t>두 값을 연도별 백분위로 변환 후 가중합</w:t>
            </w:r>
          </w:p>
        </w:tc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5"/>
              </w:rPr>
              <w:t>필수</w:t>
            </w:r>
          </w:p>
        </w:tc>
      </w:tr>
      <w:tr>
        <w:trPr>
          <w:cantSplit/>
        </w:trPr>
        <w:tc>
          <w:tcPr>
            <w:tcW w:type="dxa" w:w="2493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5"/>
              </w:rPr>
              <w:t>t년 위험으로 t년 배분</w:t>
            </w:r>
          </w:p>
        </w:tc>
        <w:tc>
          <w:tcPr>
            <w:tcW w:type="dxa" w:w="2493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5"/>
              </w:rPr>
              <w:t>사후정보 사용 가능성</w:t>
            </w:r>
          </w:p>
        </w:tc>
        <w:tc>
          <w:tcPr>
            <w:tcW w:type="dxa" w:w="2493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5"/>
              </w:rPr>
              <w:t>t-1 위험·배분갭으로 t년 배분</w:t>
            </w:r>
          </w:p>
        </w:tc>
        <w:tc>
          <w:tcPr>
            <w:tcW w:type="dxa" w:w="2493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5"/>
              </w:rPr>
              <w:t>필수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5"/>
              </w:rPr>
              <w:t>전체 시군구 재색인 후 결측 제거</w:t>
            </w:r>
          </w:p>
        </w:tc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5"/>
              </w:rPr>
              <w:t>배분 후 제거 시 총액 보존이 출력표에서 깨질 수 있음</w:t>
            </w:r>
          </w:p>
        </w:tc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5"/>
              </w:rPr>
              <w:t>해당 연도 예산 관측 active 표본 안에서만 최적화</w:t>
            </w:r>
          </w:p>
        </w:tc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5"/>
              </w:rPr>
              <w:t>필수</w:t>
            </w:r>
          </w:p>
        </w:tc>
      </w:tr>
      <w:tr>
        <w:trPr>
          <w:cantSplit/>
        </w:trPr>
        <w:tc>
          <w:tcPr>
            <w:tcW w:type="dxa" w:w="2493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5"/>
              </w:rPr>
              <w:t>clip 후 일괄 비례조정</w:t>
            </w:r>
          </w:p>
        </w:tc>
        <w:tc>
          <w:tcPr>
            <w:tcW w:type="dxa" w:w="2493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5"/>
              </w:rPr>
              <w:t>하한·상한을 다시 위반 가능</w:t>
            </w:r>
          </w:p>
        </w:tc>
        <w:tc>
          <w:tcPr>
            <w:tcW w:type="dxa" w:w="2493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5"/>
              </w:rPr>
              <w:t>제약 최적화로 동시 해결</w:t>
            </w:r>
          </w:p>
        </w:tc>
        <w:tc>
          <w:tcPr>
            <w:tcW w:type="dxa" w:w="2493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5"/>
              </w:rPr>
              <w:t>필수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5"/>
              </w:rPr>
              <w:t>산업기반 부족 시 정책 대체</w:t>
            </w:r>
          </w:p>
        </w:tc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5"/>
              </w:rPr>
              <w:t>발생 원인 정책이 사라짐</w:t>
            </w:r>
          </w:p>
        </w:tc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5"/>
              </w:rPr>
              <w:t>주 정책 + 실행지원 태그로 분리</w:t>
            </w:r>
          </w:p>
        </w:tc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5"/>
              </w:rPr>
              <w:t>필수</w:t>
            </w:r>
          </w:p>
        </w:tc>
      </w:tr>
      <w:tr>
        <w:trPr>
          <w:cantSplit/>
        </w:trPr>
        <w:tc>
          <w:tcPr>
            <w:tcW w:type="dxa" w:w="2493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5"/>
              </w:rPr>
              <w:t>단일 floor 30%, cap 30%</w:t>
            </w:r>
          </w:p>
        </w:tc>
        <w:tc>
          <w:tcPr>
            <w:tcW w:type="dxa" w:w="2493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5"/>
              </w:rPr>
              <w:t>정책 선택 범위가 없음</w:t>
            </w:r>
          </w:p>
        </w:tc>
        <w:tc>
          <w:tcPr>
            <w:tcW w:type="dxa" w:w="2493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5"/>
              </w:rPr>
              <w:t>3개 시나리오로 확장</w:t>
            </w:r>
          </w:p>
        </w:tc>
        <w:tc>
          <w:tcPr>
            <w:tcW w:type="dxa" w:w="2493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5"/>
              </w:rPr>
              <w:t>권장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5"/>
              </w:rPr>
              <w:t>04번 대기 문구</w:t>
            </w:r>
          </w:p>
        </w:tc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5"/>
              </w:rPr>
              <w:t>성과 전달이 없음</w:t>
            </w:r>
          </w:p>
        </w:tc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5"/>
              </w:rPr>
              <w:t>yearlySummary·regionResults 연결</w:t>
            </w:r>
          </w:p>
        </w:tc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5"/>
              </w:rPr>
              <w:t>필수</w:t>
            </w:r>
          </w:p>
        </w:tc>
      </w:tr>
    </w:tbl>
    <w:p>
      <w:pPr>
        <w:spacing w:after="0"/>
      </w:pPr>
    </w:p>
    <w:p>
      <w:pPr>
        <w:pStyle w:val="Heading2"/>
        <w:spacing w:before="140" w:after="100"/>
      </w:pPr>
      <w:r>
        <w:rPr>
          <w:rFonts w:ascii="NanumSquare" w:hAnsi="NanumSquare" w:eastAsia="NanumSquare"/>
          <w:b/>
          <w:color w:val="8A2C1A"/>
          <w:sz w:val="27"/>
        </w:rPr>
        <w:t>8.1 권장 파일 구성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082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파일</w:t>
            </w:r>
          </w:p>
        </w:tc>
        <w:tc>
          <w:tcPr>
            <w:tcW w:type="dxa" w:w="5443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역할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Modeling/1차/code/ch3_priority.py</w:t>
            </w:r>
          </w:p>
        </w:tc>
        <w:tc>
          <w:tcPr>
            <w:tcW w:type="dxa" w:w="498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백분위 기반 우선지원점수·정책 태그 산출</w:t>
            </w:r>
          </w:p>
        </w:tc>
      </w:tr>
      <w:tr>
        <w:trPr>
          <w:cantSplit/>
        </w:trPr>
        <w:tc>
          <w:tcPr>
            <w:tcW w:type="dxa" w:w="4986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Modeling/1차/code/ch3_budget_simulation.py</w:t>
            </w:r>
          </w:p>
        </w:tc>
        <w:tc>
          <w:tcPr>
            <w:tcW w:type="dxa" w:w="4986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3개 시나리오 제약 최적화·rolling-origin 평가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Modeling/1차/output/ch3_priority_results.csv</w:t>
            </w:r>
          </w:p>
        </w:tc>
        <w:tc>
          <w:tcPr>
            <w:tcW w:type="dxa" w:w="498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시군구별 우선지원 결과</w:t>
            </w:r>
          </w:p>
        </w:tc>
      </w:tr>
      <w:tr>
        <w:trPr>
          <w:cantSplit/>
        </w:trPr>
        <w:tc>
          <w:tcPr>
            <w:tcW w:type="dxa" w:w="4986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Modeling/1차/output/ch3_sim_region.csv</w:t>
            </w:r>
          </w:p>
        </w:tc>
        <w:tc>
          <w:tcPr>
            <w:tcW w:type="dxa" w:w="4986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연도·시나리오·시군구별 예산 변화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Modeling/1차/output/ch3_sim_summary.csv</w:t>
            </w:r>
          </w:p>
        </w:tc>
        <w:tc>
          <w:tcPr>
            <w:tcW w:type="dxa" w:w="498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연도·시나리오별 KPI</w:t>
            </w:r>
          </w:p>
        </w:tc>
      </w:tr>
      <w:tr>
        <w:trPr>
          <w:cantSplit/>
        </w:trPr>
        <w:tc>
          <w:tcPr>
            <w:tcW w:type="dxa" w:w="4986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ch3/data.js</w:t>
            </w:r>
          </w:p>
        </w:tc>
        <w:tc>
          <w:tcPr>
            <w:tcW w:type="dxa" w:w="4986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CSV 결과를 CH3_DATA 스키마로 변환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ch3/ch3.html</w:t>
            </w:r>
          </w:p>
        </w:tc>
        <w:tc>
          <w:tcPr>
            <w:tcW w:type="dxa" w:w="498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04번 KPI·지도·추세·증감 TOP10 렌더링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200" w:after="100"/>
        <w:pBdr>
          <w:left w:val="single" w:sz="18" w:space="5" w:color="8A2C1A"/>
        </w:pBdr>
      </w:pPr>
      <w:r>
        <w:rPr>
          <w:rFonts w:ascii="NanumSquare" w:hAnsi="NanumSquare" w:eastAsia="NanumSquare"/>
          <w:b/>
          <w:color w:val="5C1C10"/>
          <w:sz w:val="34"/>
        </w:rPr>
        <w:t>9. CH3 대시보드 04번 화면 설계</w:t>
      </w:r>
    </w:p>
    <w:p>
      <w:pPr>
        <w:pStyle w:val="Heading2"/>
        <w:spacing w:before="140" w:after="100"/>
      </w:pPr>
      <w:r>
        <w:rPr>
          <w:rFonts w:ascii="NanumSquare" w:hAnsi="NanumSquare" w:eastAsia="NanumSquare"/>
          <w:b/>
          <w:color w:val="8A2C1A"/>
          <w:sz w:val="27"/>
        </w:rPr>
        <w:t>9.1 제목과 메시지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381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143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최종 문구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탭 제목</w:t>
            </w:r>
          </w:p>
        </w:tc>
        <w:tc>
          <w:tcPr>
            <w:tcW w:type="dxa" w:w="498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04. 위험기반 예산 재배분 시뮬레이션</w:t>
            </w:r>
          </w:p>
        </w:tc>
      </w:tr>
      <w:tr>
        <w:trPr>
          <w:cantSplit/>
        </w:trPr>
        <w:tc>
          <w:tcPr>
            <w:tcW w:type="dxa" w:w="4986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질문</w:t>
            </w:r>
          </w:p>
        </w:tc>
        <w:tc>
          <w:tcPr>
            <w:tcW w:type="dxa" w:w="4986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같은 총예산으로 피해 위험지역을 더 잘 지원할 수 있을까?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상단 주의문</w:t>
            </w:r>
          </w:p>
        </w:tc>
        <w:tc>
          <w:tcPr>
            <w:tcW w:type="dxa" w:w="498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8"/>
              </w:rPr>
              <w:t>본 결과는 피해감소의 인과효과가 아니라 예산 타겟팅 개선 가능성을 보여줍니다.</w:t>
            </w:r>
          </w:p>
        </w:tc>
      </w:tr>
    </w:tbl>
    <w:p>
      <w:pPr>
        <w:spacing w:after="0"/>
      </w:pPr>
    </w:p>
    <w:p>
      <w:pPr>
        <w:pStyle w:val="Heading2"/>
        <w:spacing w:before="140" w:after="100"/>
      </w:pPr>
      <w:r>
        <w:rPr>
          <w:rFonts w:ascii="NanumSquare" w:hAnsi="NanumSquare" w:eastAsia="NanumSquare"/>
          <w:b/>
          <w:color w:val="8A2C1A"/>
          <w:sz w:val="27"/>
        </w:rPr>
        <w:t>9.2 화면 구성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041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블록</w:t>
            </w:r>
          </w:p>
        </w:tc>
        <w:tc>
          <w:tcPr>
            <w:tcW w:type="dxa" w:w="4479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내용</w:t>
            </w:r>
          </w:p>
        </w:tc>
        <w:tc>
          <w:tcPr>
            <w:tcW w:type="dxa" w:w="3005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시각화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시나리오 선택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보수적·기준·적극적, 평가연도 선택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버튼·드롭다운</w:t>
            </w:r>
          </w:p>
        </w:tc>
      </w:tr>
      <w:tr>
        <w:trPr>
          <w:cantSplit/>
        </w:trPr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핵심 KPI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재배분율, 피해지역 포착률 리프트, 상위20% Recall, 증액 대상 수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KPI 카드 4개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재배분 지도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시군구별 증감액·증감률·제약 발동 여부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발산형 색상 지도</w:t>
            </w:r>
          </w:p>
        </w:tc>
      </w:tr>
      <w:tr>
        <w:trPr>
          <w:cantSplit/>
        </w:trPr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연도별 성과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실제 vs 시뮬 포착률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2개 선 그래프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증액·감액 지역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시나리오별 TOP10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양쪽 표</w:t>
            </w:r>
          </w:p>
        </w:tc>
      </w:tr>
      <w:tr>
        <w:trPr>
          <w:cantSplit/>
        </w:trPr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행정충격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상한·하한 발동률, 큰 폭 감액 지역 수</w:t>
            </w:r>
          </w:p>
        </w:tc>
        <w:tc>
          <w:tcPr>
            <w:tcW w:type="dxa" w:w="3324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막대·수치 카드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해석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효과 범위와 한계</w:t>
            </w:r>
          </w:p>
        </w:tc>
        <w:tc>
          <w:tcPr>
            <w:tcW w:type="dxa" w:w="332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7"/>
              </w:rPr>
              <w:t>결론 문장</w:t>
            </w:r>
          </w:p>
        </w:tc>
      </w:tr>
    </w:tbl>
    <w:p>
      <w:pPr>
        <w:spacing w:after="0"/>
      </w:pPr>
    </w:p>
    <w:p>
      <w:pPr>
        <w:pStyle w:val="Heading2"/>
        <w:spacing w:before="140" w:after="100"/>
      </w:pPr>
      <w:r>
        <w:rPr>
          <w:rFonts w:ascii="NanumSquare" w:hAnsi="NanumSquare" w:eastAsia="NanumSquare"/>
          <w:b/>
          <w:color w:val="8A2C1A"/>
          <w:sz w:val="27"/>
        </w:rPr>
        <w:t>9.3 CH3_DATA 권장 스키마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EC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Mono CJK KR" w:hAnsi="Noto Sans Mono CJK KR" w:eastAsia="Noto Sans Mono CJK KR"/>
                <w:b/>
                <w:color w:val="5C1C10"/>
                <w:sz w:val="20"/>
              </w:rPr>
              <w:t>simulation = { meta, scenarios, yearlySummary, regionResults }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381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객체</w:t>
            </w:r>
          </w:p>
        </w:tc>
        <w:tc>
          <w:tcPr>
            <w:tcW w:type="dxa" w:w="7143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필수 필드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meta</w:t>
            </w:r>
          </w:p>
        </w:tc>
        <w:tc>
          <w:tcPr>
            <w:tcW w:type="dxa" w:w="498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causal_effect=false, evaluation=rolling-origin, period, unit</w:t>
            </w:r>
          </w:p>
        </w:tc>
      </w:tr>
      <w:tr>
        <w:trPr>
          <w:cantSplit/>
        </w:trPr>
        <w:tc>
          <w:tcPr>
            <w:tcW w:type="dxa" w:w="4986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scenarios</w:t>
            </w:r>
          </w:p>
        </w:tc>
        <w:tc>
          <w:tcPr>
            <w:tcW w:type="dxa" w:w="4986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key, name, floor_ratio, cap_rate, risk_weight, gap_weight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yearlySummary</w:t>
            </w:r>
          </w:p>
        </w:tc>
        <w:tc>
          <w:tcPr>
            <w:tcW w:type="dxa" w:w="4986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year, scenario, total_budget, moved_pct, capture_actual, capture_sim, lift_pp, top20_recall</w:t>
            </w:r>
          </w:p>
        </w:tc>
      </w:tr>
      <w:tr>
        <w:trPr>
          <w:cantSplit/>
        </w:trPr>
        <w:tc>
          <w:tcPr>
            <w:tcW w:type="dxa" w:w="4986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regionResults</w:t>
            </w:r>
          </w:p>
        </w:tc>
        <w:tc>
          <w:tcPr>
            <w:tcW w:type="dxa" w:w="4986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year, scenario, sgg_cd, actual_budget, simulated_budget, diff, diff_pct, priority_pct, floor_binding, cap_binding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  <w:pBdr>
          <w:left w:val="single" w:sz="18" w:space="5" w:color="8A2C1A"/>
        </w:pBdr>
      </w:pPr>
      <w:r>
        <w:rPr>
          <w:rFonts w:ascii="NanumSquare" w:hAnsi="NanumSquare" w:eastAsia="NanumSquare"/>
          <w:b/>
          <w:color w:val="5C1C10"/>
          <w:sz w:val="34"/>
        </w:rPr>
        <w:t>10. 결과 해석 문장 템플릿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"/>
        <w:gridCol w:w="9184"/>
      </w:tblGrid>
      <w:tr>
        <w:tc>
          <w:tcPr>
            <w:tcW w:type="dxa" w:w="4986"/>
            <w:shd w:fill="8A2C1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ECDCD6"/>
              <w:left w:val="single" w:sz="4" w:color="ECDCD6"/>
              <w:bottom w:val="single" w:sz="4" w:color="ECDCD6"/>
              <w:right w:val="single" w:sz="4" w:color="ECDCD6"/>
            </w:tcBorders>
          </w:tcPr>
          <w:p/>
        </w:tc>
        <w:tc>
          <w:tcPr>
            <w:tcW w:type="dxa" w:w="4986"/>
            <w:shd w:fill="FBE9E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ECDCD6"/>
              <w:left w:val="single" w:sz="4" w:color="ECDCD6"/>
              <w:bottom w:val="single" w:sz="4" w:color="ECDCD6"/>
              <w:right w:val="single" w:sz="4" w:color="ECDCD6"/>
            </w:tcBorders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C1C10"/>
                <w:sz w:val="21"/>
              </w:rPr>
              <w:t>주 결과</w:t>
            </w:r>
          </w:p>
          <w:p>
            <w:pPr>
              <w:spacing w:after="0" w:line="300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9"/>
              </w:rPr>
              <w:t>동일한 총예산을 유지한 상태에서 위험기반 배분공식을 적용한 결과, 실제 피해 발생지역에 배정되는 예산 비중이 현행 배분보다 높게 나타났다. 이는 피해 감소의 인과효과가 아니라, 한정된 예산을 위험지역에 더 정합적으로 배분할 가능성을 보여주는 타겟팅 시뮬레이션이다.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"/>
        <w:gridCol w:w="9184"/>
      </w:tblGrid>
      <w:tr>
        <w:tc>
          <w:tcPr>
            <w:tcW w:type="dxa" w:w="4986"/>
            <w:shd w:fill="E67E2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ECDCD6"/>
              <w:left w:val="single" w:sz="4" w:color="ECDCD6"/>
              <w:bottom w:val="single" w:sz="4" w:color="ECDCD6"/>
              <w:right w:val="single" w:sz="4" w:color="ECDCD6"/>
            </w:tcBorders>
          </w:tcPr>
          <w:p/>
        </w:tc>
        <w:tc>
          <w:tcPr>
            <w:tcW w:type="dxa" w:w="4986"/>
            <w:shd w:fill="FFF3E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ECDCD6"/>
              <w:left w:val="single" w:sz="4" w:color="ECDCD6"/>
              <w:bottom w:val="single" w:sz="4" w:color="ECDCD6"/>
              <w:right w:val="single" w:sz="4" w:color="ECDCD6"/>
            </w:tcBorders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C1C10"/>
                <w:sz w:val="21"/>
              </w:rPr>
              <w:t>개선이 제한적인 경우</w:t>
            </w:r>
          </w:p>
          <w:p>
            <w:pPr>
              <w:spacing w:after="0" w:line="300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9"/>
              </w:rPr>
              <w:t>위험기반 배분은 일부 연도에서 피해지역 포착률을 높였으나 연도별 변동성이 확인되었다. 따라서 전면 적용보다는 보수적 증감 상한을 적용한 시범 배분과 지속적인 성과 모니터링이 적절하다.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"/>
        <w:gridCol w:w="9184"/>
      </w:tblGrid>
      <w:tr>
        <w:tc>
          <w:tcPr>
            <w:tcW w:type="dxa" w:w="4986"/>
            <w:shd w:fill="2A78D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ECDCD6"/>
              <w:left w:val="single" w:sz="4" w:color="ECDCD6"/>
              <w:bottom w:val="single" w:sz="4" w:color="ECDCD6"/>
              <w:right w:val="single" w:sz="4" w:color="ECDCD6"/>
            </w:tcBorders>
          </w:tcPr>
          <w:p/>
        </w:tc>
        <w:tc>
          <w:tcPr>
            <w:tcW w:type="dxa" w:w="4986"/>
            <w:shd w:fill="EAF2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ECDCD6"/>
              <w:left w:val="single" w:sz="4" w:color="ECDCD6"/>
              <w:bottom w:val="single" w:sz="4" w:color="ECDCD6"/>
              <w:right w:val="single" w:sz="4" w:color="ECDCD6"/>
            </w:tcBorders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C1C10"/>
                <w:sz w:val="21"/>
              </w:rPr>
              <w:t>산업기반 해석</w:t>
            </w:r>
          </w:p>
          <w:p>
            <w:pPr>
              <w:spacing w:after="0" w:line="300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9"/>
              </w:rPr>
              <w:t>산업기반 지표는 시도 단위 실측치를 관할 시군구에 동일 적용한 근사치이므로 시군구 내부의 세부 차이를 의미하지 않는다. 해당 지표는 우선지원 순위가 아니라 집행 방식과 보조 지원 필요성을 판정하는 참고자료로 사용한다.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  <w:pBdr>
          <w:left w:val="single" w:sz="18" w:space="5" w:color="8A2C1A"/>
        </w:pBdr>
      </w:pPr>
      <w:r>
        <w:rPr>
          <w:rFonts w:ascii="NanumSquare" w:hAnsi="NanumSquare" w:eastAsia="NanumSquare"/>
          <w:b/>
          <w:color w:val="5C1C10"/>
          <w:sz w:val="34"/>
        </w:rPr>
        <w:t>11. 실행 일정과 완료 기준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587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작업</w:t>
            </w:r>
          </w:p>
        </w:tc>
        <w:tc>
          <w:tcPr>
            <w:tcW w:type="dxa" w:w="3685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세부 내용</w:t>
            </w:r>
          </w:p>
        </w:tc>
        <w:tc>
          <w:tcPr>
            <w:tcW w:type="dxa" w:w="2438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산출물</w:t>
            </w:r>
          </w:p>
        </w:tc>
        <w:tc>
          <w:tcPr>
            <w:tcW w:type="dxa" w:w="2608"/>
            <w:shd w:fill="8A2C1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완료 기준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1. 입력 확정</w:t>
            </w:r>
          </w:p>
        </w:tc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CH2 실측 결과·배분갭·예산·피해 병합</w:t>
            </w:r>
          </w:p>
        </w:tc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분석용 패널</w:t>
            </w:r>
          </w:p>
        </w:tc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연도·지역 코드·결측 검증 완료</w:t>
            </w:r>
          </w:p>
        </w:tc>
      </w:tr>
      <w:tr>
        <w:trPr>
          <w:cantSplit/>
        </w:trPr>
        <w:tc>
          <w:tcPr>
            <w:tcW w:type="dxa" w:w="2493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2. 우선순위 산출</w:t>
            </w:r>
          </w:p>
        </w:tc>
        <w:tc>
          <w:tcPr>
            <w:tcW w:type="dxa" w:w="2493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백분위 변환·3개 가중치 민감도</w:t>
            </w:r>
          </w:p>
        </w:tc>
        <w:tc>
          <w:tcPr>
            <w:tcW w:type="dxa" w:w="2493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priority_results.csv</w:t>
            </w:r>
          </w:p>
        </w:tc>
        <w:tc>
          <w:tcPr>
            <w:tcW w:type="dxa" w:w="2493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TOP20 안정성 표 확보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3. 재배분 구현</w:t>
            </w:r>
          </w:p>
        </w:tc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3개 시나리오·제약 최적화</w:t>
            </w:r>
          </w:p>
        </w:tc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sim_region.csv</w:t>
            </w:r>
          </w:p>
        </w:tc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연도별 총액 오차 0, 제약 위반 0</w:t>
            </w:r>
          </w:p>
        </w:tc>
      </w:tr>
      <w:tr>
        <w:trPr>
          <w:cantSplit/>
        </w:trPr>
        <w:tc>
          <w:tcPr>
            <w:tcW w:type="dxa" w:w="2493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4. rolling-origin 평가</w:t>
            </w:r>
          </w:p>
        </w:tc>
        <w:tc>
          <w:tcPr>
            <w:tcW w:type="dxa" w:w="2493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2017~2022 실제 vs 시뮬 비교</w:t>
            </w:r>
          </w:p>
        </w:tc>
        <w:tc>
          <w:tcPr>
            <w:tcW w:type="dxa" w:w="2493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sim_summary.csv</w:t>
            </w:r>
          </w:p>
        </w:tc>
        <w:tc>
          <w:tcPr>
            <w:tcW w:type="dxa" w:w="2493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핵심 KPI 연도별·전체 산출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5. 대시보드 연결</w:t>
            </w:r>
          </w:p>
        </w:tc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04번 KPI·지도·그래프·표</w:t>
            </w:r>
          </w:p>
        </w:tc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data.js, ch3.html</w:t>
            </w:r>
          </w:p>
        </w:tc>
        <w:tc>
          <w:tcPr>
            <w:tcW w:type="dxa" w:w="249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시나리오 선택 시 모든 요소 동기화</w:t>
            </w:r>
          </w:p>
        </w:tc>
      </w:tr>
      <w:tr>
        <w:trPr>
          <w:cantSplit/>
        </w:trPr>
        <w:tc>
          <w:tcPr>
            <w:tcW w:type="dxa" w:w="2493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6. 보고서 정리</w:t>
            </w:r>
          </w:p>
        </w:tc>
        <w:tc>
          <w:tcPr>
            <w:tcW w:type="dxa" w:w="2493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결과·한계·정책 제언</w:t>
            </w:r>
          </w:p>
        </w:tc>
        <w:tc>
          <w:tcPr>
            <w:tcW w:type="dxa" w:w="2493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CH3 결과문</w:t>
            </w:r>
          </w:p>
        </w:tc>
        <w:tc>
          <w:tcPr>
            <w:tcW w:type="dxa" w:w="2493"/>
            <w:shd w:fill="FAF6F4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6"/>
              </w:rPr>
              <w:t>인과표현 및 해상도 한계 점검</w:t>
            </w:r>
          </w:p>
        </w:tc>
      </w:tr>
    </w:tbl>
    <w:p>
      <w:pPr>
        <w:spacing w:after="0"/>
      </w:pPr>
    </w:p>
    <w:p>
      <w:pPr>
        <w:pStyle w:val="Heading2"/>
        <w:spacing w:before="140" w:after="100"/>
      </w:pPr>
      <w:r>
        <w:rPr>
          <w:rFonts w:ascii="NanumSquare" w:hAnsi="NanumSquare" w:eastAsia="NanumSquare"/>
          <w:b/>
          <w:color w:val="8A2C1A"/>
          <w:sz w:val="27"/>
        </w:rPr>
        <w:t>11.1 필수 품질점검 체크리스트</w:t>
      </w:r>
    </w:p>
    <w:p>
      <w:pPr>
        <w:pStyle w:val="ListBullet"/>
        <w:spacing w:after="40" w:line="288" w:lineRule="auto"/>
      </w:pPr>
      <w:r>
        <w:rPr>
          <w:rFonts w:ascii="NanumSquare" w:hAnsi="NanumSquare" w:eastAsia="NanumSquare"/>
          <w:b w:val="0"/>
          <w:color w:val="2C1E1A"/>
          <w:sz w:val="20"/>
        </w:rPr>
        <w:t>각 연도에서 실제 총예산과 시뮬레이션 총예산이 원 단위까지 일치한다.</w:t>
      </w:r>
    </w:p>
    <w:p>
      <w:pPr>
        <w:pStyle w:val="ListBullet"/>
        <w:spacing w:after="40" w:line="288" w:lineRule="auto"/>
      </w:pPr>
      <w:r>
        <w:rPr>
          <w:rFonts w:ascii="NanumSquare" w:hAnsi="NanumSquare" w:eastAsia="NanumSquare"/>
          <w:b w:val="0"/>
          <w:color w:val="2C1E1A"/>
          <w:sz w:val="20"/>
        </w:rPr>
        <w:t>최소 보장액·전년 대비 증감 상한을 위반한 지역이 없다.</w:t>
      </w:r>
    </w:p>
    <w:p>
      <w:pPr>
        <w:pStyle w:val="ListBullet"/>
        <w:spacing w:after="40" w:line="288" w:lineRule="auto"/>
      </w:pPr>
      <w:r>
        <w:rPr>
          <w:rFonts w:ascii="NanumSquare" w:hAnsi="NanumSquare" w:eastAsia="NanumSquare"/>
          <w:b w:val="0"/>
          <w:color w:val="2C1E1A"/>
          <w:sz w:val="20"/>
        </w:rPr>
        <w:t>t년 배분에 t년 피해·기후 결과가 포함되지 않는다.</w:t>
      </w:r>
    </w:p>
    <w:p>
      <w:pPr>
        <w:pStyle w:val="ListBullet"/>
        <w:spacing w:after="40" w:line="288" w:lineRule="auto"/>
      </w:pPr>
      <w:r>
        <w:rPr>
          <w:rFonts w:ascii="NanumSquare" w:hAnsi="NanumSquare" w:eastAsia="NanumSquare"/>
          <w:b w:val="0"/>
          <w:color w:val="2C1E1A"/>
          <w:sz w:val="20"/>
        </w:rPr>
        <w:t>면적 하한 미달·예산 결측 지역의 제외 기준이 모든 단계에서 동일하다.</w:t>
      </w:r>
    </w:p>
    <w:p>
      <w:pPr>
        <w:pStyle w:val="ListBullet"/>
        <w:spacing w:after="40" w:line="288" w:lineRule="auto"/>
      </w:pPr>
      <w:r>
        <w:rPr>
          <w:rFonts w:ascii="NanumSquare" w:hAnsi="NanumSquare" w:eastAsia="NanumSquare"/>
          <w:b w:val="0"/>
          <w:color w:val="2C1E1A"/>
          <w:sz w:val="20"/>
        </w:rPr>
        <w:t>우선지원점수의 구성 요소가 모두 같은 0~1 척도다.</w:t>
      </w:r>
    </w:p>
    <w:p>
      <w:pPr>
        <w:pStyle w:val="ListBullet"/>
        <w:spacing w:after="40" w:line="288" w:lineRule="auto"/>
      </w:pPr>
      <w:r>
        <w:rPr>
          <w:rFonts w:ascii="NanumSquare" w:hAnsi="NanumSquare" w:eastAsia="NanumSquare"/>
          <w:b w:val="0"/>
          <w:color w:val="2C1E1A"/>
          <w:sz w:val="20"/>
        </w:rPr>
        <w:t>대응역량과 산업기반이 배분용 위험지수에 혼입되지 않는다.</w:t>
      </w:r>
    </w:p>
    <w:p>
      <w:pPr>
        <w:pStyle w:val="ListBullet"/>
        <w:spacing w:after="40" w:line="288" w:lineRule="auto"/>
      </w:pPr>
      <w:r>
        <w:rPr>
          <w:rFonts w:ascii="NanumSquare" w:hAnsi="NanumSquare" w:eastAsia="NanumSquare"/>
          <w:b w:val="0"/>
          <w:color w:val="2C1E1A"/>
          <w:sz w:val="20"/>
        </w:rPr>
        <w:t>결과 문장에서 “피해 감소”가 아니라 “포착률·타겟팅 개선”으로 표현한다.</w:t>
      </w:r>
    </w:p>
    <w:p>
      <w:pPr>
        <w:pStyle w:val="ListBullet"/>
        <w:spacing w:after="40" w:line="288" w:lineRule="auto"/>
      </w:pPr>
      <w:r>
        <w:rPr>
          <w:rFonts w:ascii="NanumSquare" w:hAnsi="NanumSquare" w:eastAsia="NanumSquare"/>
          <w:b w:val="0"/>
          <w:color w:val="2C1E1A"/>
          <w:sz w:val="20"/>
        </w:rPr>
        <w:t>시도 단위 산업자료를 시군구 값처럼 과도하게 해석하지 않는다.</w:t>
      </w:r>
    </w:p>
    <w:p>
      <w:pPr>
        <w:pStyle w:val="Heading1"/>
        <w:spacing w:before="200" w:after="100"/>
        <w:pBdr>
          <w:left w:val="single" w:sz="18" w:space="5" w:color="8A2C1A"/>
        </w:pBdr>
      </w:pPr>
      <w:r>
        <w:rPr>
          <w:rFonts w:ascii="NanumSquare" w:hAnsi="NanumSquare" w:eastAsia="NanumSquare"/>
          <w:b/>
          <w:color w:val="5C1C10"/>
          <w:sz w:val="34"/>
        </w:rPr>
        <w:t>12. 최종 의사결정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"/>
        <w:gridCol w:w="9184"/>
      </w:tblGrid>
      <w:tr>
        <w:tc>
          <w:tcPr>
            <w:tcW w:type="dxa" w:w="4986"/>
            <w:shd w:fill="1BAF7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ECDCD6"/>
              <w:left w:val="single" w:sz="4" w:color="ECDCD6"/>
              <w:bottom w:val="single" w:sz="4" w:color="ECDCD6"/>
              <w:right w:val="single" w:sz="4" w:color="ECDCD6"/>
            </w:tcBorders>
          </w:tcPr>
          <w:p/>
        </w:tc>
        <w:tc>
          <w:tcPr>
            <w:tcW w:type="dxa" w:w="4986"/>
            <w:shd w:fill="DCF4E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ECDCD6"/>
              <w:left w:val="single" w:sz="4" w:color="ECDCD6"/>
              <w:bottom w:val="single" w:sz="4" w:color="ECDCD6"/>
              <w:right w:val="single" w:sz="4" w:color="ECDCD6"/>
            </w:tcBorders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C1C10"/>
                <w:sz w:val="21"/>
              </w:rPr>
              <w:t>채택안</w:t>
            </w:r>
          </w:p>
          <w:p>
            <w:pPr>
              <w:spacing w:after="0" w:line="300" w:lineRule="auto"/>
            </w:pPr>
            <w:r>
              <w:rPr>
                <w:rFonts w:ascii="NanumSquare" w:hAnsi="NanumSquare" w:eastAsia="NanumSquare"/>
                <w:b w:val="0"/>
                <w:color w:val="2C1E1A"/>
                <w:sz w:val="19"/>
              </w:rPr>
              <w:t>CH3는 ① 백분위 기반 우선지원 대상 선정, ② 우세 위험 도메인별 주 정책, ③ 대응역량·산업기반에 따른 실행지원 태그, ④ t-1 정보와 총액·행정 제약을 적용한 위험기반 예산 재배분, ⑤ rolling-origin 타겟팅 검증의 5단계로 확정한다.</w:t>
            </w:r>
          </w:p>
        </w:tc>
      </w:tr>
    </w:tbl>
    <w:p>
      <w:pPr>
        <w:spacing w:after="0"/>
      </w:pPr>
    </w:p>
    <w:p>
      <w:pPr>
        <w:spacing w:before="0" w:after="80" w:line="300" w:lineRule="auto"/>
      </w:pPr>
      <w:r>
        <w:rPr>
          <w:rFonts w:ascii="NanumSquare" w:hAnsi="NanumSquare" w:eastAsia="NanumSquare"/>
          <w:b/>
          <w:color w:val="5C1C10"/>
          <w:sz w:val="21"/>
        </w:rPr>
        <w:t>이 구조를 사용하면 CH1의 문제 규모, CH2의 취약성·배분 불일치, CH3의 우선지원·예산 재배분이 한 문장으로 연결된다.</w:t>
      </w:r>
    </w:p>
    <w:p>
      <w:pPr>
        <w:spacing w:before="0" w:after="80" w:line="300" w:lineRule="auto"/>
      </w:pPr>
      <w:r>
        <w:rPr>
          <w:rFonts w:ascii="NanumSquare" w:hAnsi="NanumSquare" w:eastAsia="NanumSquare"/>
          <w:b w:val="0"/>
          <w:color w:val="2C1E1A"/>
          <w:sz w:val="21"/>
        </w:rPr>
        <w:t>“어디가 취약한가”를 진단하는 데서 끝나지 않고, “같은 예산을 어디에 얼마나 옮기면 위험지역 지원 정합성이 개선되는가”까지 제시하는 것이 CH3의 최종 가치다.</w:t>
      </w:r>
    </w:p>
    <w:p>
      <w:pPr>
        <w:pStyle w:val="Heading1"/>
        <w:spacing w:before="200" w:after="100"/>
        <w:pBdr>
          <w:left w:val="single" w:sz="18" w:space="5" w:color="8A2C1A"/>
        </w:pBdr>
      </w:pPr>
      <w:r>
        <w:rPr>
          <w:rFonts w:ascii="NanumSquare" w:hAnsi="NanumSquare" w:eastAsia="NanumSquare"/>
          <w:b/>
          <w:color w:val="5C1C10"/>
          <w:sz w:val="34"/>
        </w:rPr>
        <w:t>참고자료</w:t>
      </w:r>
    </w:p>
    <w:p>
      <w:pPr>
        <w:spacing w:after="60"/>
      </w:pPr>
      <w:r>
        <w:rPr>
          <w:rFonts w:ascii="NanumSquare" w:hAnsi="NanumSquare" w:eastAsia="NanumSquare"/>
          <w:b w:val="0"/>
          <w:color w:val="2C1E1A"/>
          <w:sz w:val="19"/>
        </w:rPr>
        <w:t xml:space="preserve">1. GitHub 저장소: </w:t>
      </w:r>
      <w:hyperlink r:id="rId11">
        <w:r>
          <w:rPr>
            <w:color w:val="2A78D6"/>
            <w:u w:val="single"/>
          </w:rPr>
          <w:t>choosooa/I-mPine</w:t>
        </w:r>
      </w:hyperlink>
    </w:p>
    <w:p>
      <w:pPr>
        <w:spacing w:after="60"/>
      </w:pPr>
      <w:r>
        <w:rPr>
          <w:rFonts w:ascii="NanumSquare" w:hAnsi="NanumSquare" w:eastAsia="NanumSquare"/>
          <w:b w:val="0"/>
          <w:color w:val="2C1E1A"/>
          <w:sz w:val="19"/>
        </w:rPr>
        <w:t>2. CH3 화면 구조: 업로드 파일 ch3.html</w:t>
      </w:r>
    </w:p>
    <w:p>
      <w:pPr>
        <w:spacing w:after="60"/>
      </w:pPr>
      <w:r>
        <w:rPr>
          <w:rFonts w:ascii="NanumSquare" w:hAnsi="NanumSquare" w:eastAsia="NanumSquare"/>
          <w:b w:val="0"/>
          <w:color w:val="2C1E1A"/>
          <w:sz w:val="19"/>
        </w:rPr>
        <w:t>3. CH3 데이터 스키마: 업로드 파일 data.js 및 저장소 ch3/data.js</w:t>
      </w:r>
    </w:p>
    <w:p>
      <w:pPr>
        <w:spacing w:after="60"/>
      </w:pPr>
      <w:r>
        <w:rPr>
          <w:rFonts w:ascii="NanumSquare" w:hAnsi="NanumSquare" w:eastAsia="NanumSquare"/>
          <w:b w:val="0"/>
          <w:color w:val="2C1E1A"/>
          <w:sz w:val="19"/>
        </w:rPr>
        <w:t xml:space="preserve">4. 모형 B 3단계 배분공식 코드: </w:t>
      </w:r>
      <w:hyperlink r:id="rId12">
        <w:r>
          <w:rPr>
            <w:color w:val="2A78D6"/>
            <w:u w:val="single"/>
          </w:rPr>
          <w:t>model_b_stage3.txt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6B5A54"/>
        <w:sz w:val="16"/>
      </w:rPr>
      <w:t>2026 임업통계 활용 경진대회 | 팀 아임파인</w:t>
    </w:r>
  </w:p>
  <w:p>
    <w:pPr>
      <w:jc w:val="center"/>
    </w:pPr>
    <w:r>
      <w:rPr>
        <w:rFonts w:ascii="NanumSquare" w:hAnsi="NanumSquare" w:eastAsia="NanumSquare"/>
        <w:b w:val="0"/>
        <w:color w:val="6B5A54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b/>
        <w:color w:val="6B5A54"/>
        <w:sz w:val="17"/>
      </w:rPr>
      <w:t>I'mPine · CH3 분석계획서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color w:val="2C1E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anumSquare" w:hAnsi="NanumSquare" w:eastAsia="NanumSquare"/>
      <w:color w:val="2C1E1A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  <w:color w:val="2C1E1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anumSquare" w:hAnsi="NanumSquare" w:eastAsia="NanumSquare"/>
      <w:color w:val="2C1E1A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  <w:color w:val="2C1E1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anumSquare" w:hAnsi="NanumSquare" w:eastAsia="NanumSquare"/>
      <w:color w:val="2C1E1A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choosooa/I-mPine" TargetMode="External"/><Relationship Id="rId12" Type="http://schemas.openxmlformats.org/officeDocument/2006/relationships/hyperlink" Target="https://github.com/choosooa/I-mPine/blob/main/Modeling/1%EC%B0%A8/code/model_b_stage3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I'mPine CH3 우선지원 전략 및 지원효과 시뮬레이션 분석계획서</dc:title>
  <dc:subject>2026 임업통계 활용 경진대회</dc:subject>
  <dc:creator>팀 아임파인</dc:creator>
  <cp:keywords>소나무재선충병, 취약성, 예산 재배분, rolling-origin, CH3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