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목차</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 아이디어 기획 세부 내용</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3) 데이터 분석 방법</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4) 분석 내용 및 결과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5) 주요 성과 및 기대효과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6) 결론</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기후변화 시나리오 기반 발생가능지역 예측이나 GIS 공간자기상관 분석은 “어디가 위험해질 것인가”를 보여주는 데는 강점이 있으나, 그 위험도를 실제 예산·인력이라는 자원 배분 문제로 연결하는 단계는 대부분 후속 과제로 남겨둔다. 본 연구는 이 지점, 즉 진단에서 배분까지 이어지는 마지막 구간을 데이터로 메우는 데 초점을 둔다.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60" w:before="0" w:line="300"/>
        <w:jc w:val="left"/>
      </w:pPr>
      <w:r>
        <w:rPr>
          <w:rFonts w:ascii="맑은 고딕" w:cs="맑은 고딕" w:eastAsia="맑은 고딕" w:hAnsi="맑은 고딕"/>
          <w:b/>
          <w:bCs/>
          <w:i w:val="false"/>
          <w:iCs w:val="false"/>
          <w:color w:val="1B1B1B"/>
          <w:sz w:val="18"/>
          <w:szCs w:val="18"/>
        </w:rPr>
        <w:t xml:space="preserve">표1. 연도별 소나무재선충병 피해고사목 발생 추이(산림청 공식통계)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600"/>
      </w:tblGrid>
      <w:tr>
        <w:tc>
          <w:tcPr>
            <w:tcW w:type="dxa" w:w="1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연도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조사기간</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피해고사목(만 그루)</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 시군구 수</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2016.5~2017.4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99.2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2017.5~2018.4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2018.5~2019.4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2019.5~2020.4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2020.5~2021.4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30.8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2021.5~2022.4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37.8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2022.5~2023.4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106.6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2023.5~2024.4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89.9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2024.5~2025.5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154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2025.6~2026.5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177.0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166</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2014년 제2차 대발생 정점 이후 감소하던 피해고사목은 2021년 약 31만 그루까지 줄었으나 2022년을 기점으로 다시 증가해 2026년 177만 그루로 늘었다. 2026년 기준 27개 시군구가 피해 규모 '심(甚)' 이상 등급으로 분류되어, 재선충병 피해가 특정 지역의 국지적 현상을 넘어섰음을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R²=2.39%에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0.91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60" w:before="0" w:line="300"/>
        <w:jc w:val="left"/>
      </w:pPr>
      <w:r>
        <w:rPr>
          <w:rFonts w:ascii="맑은 고딕" w:cs="맑은 고딕" w:eastAsia="맑은 고딕" w:hAnsi="맑은 고딕"/>
          <w:b/>
          <w:bCs/>
          <w:i w:val="false"/>
          <w:iCs w:val="false"/>
          <w:color w:val="1B1B1B"/>
          <w:sz w:val="18"/>
          <w:szCs w:val="18"/>
        </w:rPr>
        <w:t xml:space="preserve">표2. 위험요인 유형(축A) × 배분적정성(축B) 교차표(222개 시군구)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유형(축A)</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부족(축B)</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적정(축B)</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과다(축B)</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29</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23</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27</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38</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25</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24</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인위적확산-우세형(87곳)이 가장 큰 비중을 차지하며, 이 중 38곳은 예산까지 부족한 상태로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방법론적 정합성 확보: </w:t>
      </w:r>
      <w:r>
        <w:rPr>
          <w:rFonts w:ascii="맑은 고딕" w:cs="맑은 고딕" w:eastAsia="맑은 고딕" w:hAnsi="맑은 고딕"/>
          <w:b w:val="false"/>
          <w:bCs w:val="false"/>
          <w:i w:val="false"/>
          <w:iCs w:val="false"/>
          <w:color w:val="1B1B1B"/>
          <w:sz w:val="20"/>
          <w:szCs w:val="20"/>
        </w:rPr>
        <w:t xml:space="preserve">인위적확산 도메인은 원목생산업체 수의 면적통제 잔차로 만들어지며, 부호는 실측 상관 방향(원목업체가 적을수록 피해가 컸던 관측 패턴)에 맞춰 정했다. 다만 이 도메인이 유형 분류를 주도하는 시군구 중에는 원목업체 자체가 거의 없어 표준 처방(원목유통·이동경로 관리)이 실효성을 갖기 어려운 경우가 있어, 이런 사례는 '산업기반부족형'으로 별도 재분류해 산업기반·업계 육성 연계 지원으로 처방을 대체했다. 진단지수(왜 취약한가)와 정책처방(무엇을 지원할까)이 어긋나지 않도록 교차검증하는 절차를 유형화 설계에 반영한 것이다.</w:t>
      </w:r>
    </w:p>
    <w:p>
      <w:pPr>
        <w:spacing w:after="60" w:before="0" w:line="300"/>
        <w:jc w:val="left"/>
      </w:pPr>
      <w:r>
        <w:rPr>
          <w:rFonts w:ascii="맑은 고딕" w:cs="맑은 고딕" w:eastAsia="맑은 고딕" w:hAnsi="맑은 고딕"/>
          <w:b/>
          <w:bCs/>
          <w:i w:val="false"/>
          <w:iCs w:val="false"/>
          <w:color w:val="1B1B1B"/>
          <w:sz w:val="18"/>
          <w:szCs w:val="18"/>
        </w:rPr>
        <w:t xml:space="preserve">표3. 취약 유형별 맞춤 정책 카탈로그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7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주요 처방 수단</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예찰·모니터링 인프라 확충 (예찰인력 증원, 드론·위성 모니터링, 조기발견 신고체계 강화)</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원목유통·도로변 관리·이동경로 차단 (원목생산업체 방제점검 의무화, 이동통제구역 지정 검토)</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기본 대응체계·인력 확충 (방제인력 기본정원 확충, 지자체 대응예산 최소 하한선 보장, 인접 지자체 공동대응)</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산업기반부족형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산업기반·업계 육성 연계 지원 (정부지원사업 접근성 개선, 판로개척 지원, 원목생산업체 방제 인센티브)</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표3의 유형·처방은 대시보드(ch3/data.js)의 policyCatalog와 동일하며, 축A·축B 조합에 따라 자동 매칭된다. 재발위험확률이 높은 시군구는 별도의 urgentList로 묶여 단기 예찰자원 배치 우선순위로 교차 활용된다.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산출·검증(면적통제 후 상관 0.0008 수준으로 붕괴해 최종모형에서는 제외)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60" w:before="0" w:line="300"/>
        <w:jc w:val="left"/>
      </w:pPr>
      <w:r>
        <w:rPr>
          <w:rFonts w:ascii="맑은 고딕" w:cs="맑은 고딕" w:eastAsia="맑은 고딕" w:hAnsi="맑은 고딕"/>
          <w:b/>
          <w:bCs/>
          <w:i w:val="false"/>
          <w:iCs w:val="false"/>
          <w:color w:val="1B1B1B"/>
          <w:sz w:val="18"/>
          <w:szCs w:val="18"/>
        </w:rPr>
        <w:t xml:space="preserve">표4. 도메인별 세부 변수 정의 및 부호 처리 방식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c>
          <w:tcPr>
            <w:tcW w:type="dxa" w:w="2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도메인</w:t>
            </w:r>
          </w:p>
        </w:tc>
        <w:tc>
          <w:tcPr>
            <w:tcW w:type="dxa" w:w="4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세부 변수</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부호/처리 방식</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소나무류 면적비율(%)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+1(원값)</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기후위험도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연강수량(mm), GDD(솔수염하늘소 발육적산온도, 기준 11.9℃)</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실측 상관 방향에 맞춰 자동 정렬</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소나무림ha당 대응예산(로그), 예찰사업 존재 여부</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-1(역량이 높을수록 위험 감소)</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원목생산업체수(면적통제 잔차)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-1(실측 상관 방향)</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기후위험도의 SPI3(표준강수지수), 지자체대응역량의 평균풍속은 개념적 결함 또는 관측소 공유로 인한 교란이 확인돼 최종모형에서 제외했다.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분석 표본은 229개 시군구 × 8개년(2016~2023) 원자료 1,832건에서, 소나무림면적이 0인 순수 도심(대구 중구·영등포구·인천 동구 등)과 임상도 자료무효 관측치를 순차 제외해 1,816건→1,804건으로 정제하고, 핵심변수 완비 기준(listwise deletion)을 적용해 최종 1,753건(222개 시군구)으로 확정했다.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검증은 훈련 데이터를 연도별로 한 해씩 확장하며 다음 해 발생을 예측하는 rolling-origin 방식으로 수행해, 매년 최신 데이터로 다음 해를 예측하는 실제 운영 시나리오를 그대로 재현했다.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60" w:before="0" w:line="300"/>
        <w:jc w:val="left"/>
      </w:pPr>
      <w:r>
        <w:rPr>
          <w:rFonts w:ascii="맑은 고딕" w:cs="맑은 고딕" w:eastAsia="맑은 고딕" w:hAnsi="맑은 고딕"/>
          <w:b/>
          <w:bCs/>
          <w:i w:val="false"/>
          <w:iCs w:val="false"/>
          <w:color w:val="1B1B1B"/>
          <w:sz w:val="18"/>
          <w:szCs w:val="18"/>
        </w:rPr>
        <w:t xml:space="preserve">표5. 구조적 취약성지수 10분위별 실제 발생률·피해밀도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지수 분위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지수값</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발생률</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피해밀도(로그)</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1(최저)</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-0.87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47.2%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0.022</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42.9%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0.020</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43.4%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0.039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44.6%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0.073</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58.3%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0.085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10(최고)</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0.93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80.7%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0.105</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지수 상위 9~10분위에서 발생률(58.3%→80.7%)과 평균 피해밀도가 뚜렷하게 높아, 지수가 극단적 고위험군을 안정적으로 식별함을 보여준다. 지수와 실제 피해밀도의 순위상관은 Spearman ρ=0.277이며, 지수 상위 44개 시군구 중 20곳(45%)이 실제 고피해 상위 목록과 일치했다. 연도를 하나씩 밀어 검증하는 rolling-origin 방식에서도 AUC가 0.53~0.58 범위에서 안정적으로 유지돼, 지수가 특정 연도에 우연히 맞아떨어진 결과가 아님을 확인했다.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0.911로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R²=2.39%로, 현재 예산 배분이 구조적 위험을 거의 반영하지 못하고 있음을 확인했다. 구조적 위험은 높지만 예산이 과소배정된 시군구가 74곳, 반대로 위험 대비 예산이 과다배정된 시군구도 74곳으로 나타나, 전체 222개 시군구의 약 3분의 2가 위험도와 예산 배정이 어긋난 사각지대에 놓여 있었다.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00" w:before="200" w:line="300"/>
        <w:jc w:val="left"/>
      </w:pPr>
      <w:r>
        <w:rPr>
          <w:rFonts w:ascii="맑은 고딕" w:cs="맑은 고딕" w:eastAsia="맑은 고딕" w:hAnsi="맑은 고딕"/>
          <w:b/>
          <w:bCs/>
          <w:i w:val="false"/>
          <w:iCs w:val="false"/>
          <w:color w:val="1B1B1B"/>
          <w:sz w:val="24"/>
          <w:szCs w:val="24"/>
        </w:rPr>
        <w:t xml:space="preserve">우선지원 대상 선정 및 정책 매칭</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취약성지수와 조기경보모형의 결과는 최종적으로 시군구별 우선지원 순위로 통합된다. 순위는 위험지수(대응역량을 제외한 3개 도메인 평균)의 백분위로 산출하며, 배분갭과 재발위험확률은 순위 산식에서 제외하고 참고·교차조건용으로만 병기한다. 이미 예산이 반영된 배분갭이나 상습발생 이력에 좌우되는 재발확률을 우선순위 산식에 직접 넣으면 '이미 지원받은 곳이 다시 우선순위가 되는' 순환 논리에 빠지기 때문이다.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유형화 매트릭스에서 도출된 유형은 정책 카탈로그(표3)와 자동으로 연결되어 대응 처방을 제시하되, 원목생산업체 수 자체가 절대적으로 적어 유통관리 처방이 실효성을 갖기 어려운 시군구는 산업기반부족형으로 재분류해 처방을 대체한다. 산업기반 진단은 시군구 단위 자료가 없어 소속 시도의 산림산업조사(2025년, 2024년 기준) 정부지원필요도·참여경험 지표를 근사치로 적용했다.</w:t>
      </w:r>
    </w:p>
    <w:p>
      <w:pPr>
        <w:spacing w:after="120" w:before="0" w:line="300"/>
        <w:jc w:val="left"/>
      </w:pPr>
      <w:r>
        <w:rPr>
          <w:rFonts w:ascii="맑은 고딕" w:cs="맑은 고딕" w:eastAsia="맑은 고딕" w:hAnsi="맑은 고딕"/>
          <w:b/>
          <w:bCs/>
          <w:i w:val="false"/>
          <w:iCs w:val="false"/>
          <w:color w:val="1B1B1B"/>
          <w:sz w:val="20"/>
          <w:szCs w:val="20"/>
        </w:rPr>
        <w:t xml:space="preserve">사례(완도군): </w:t>
      </w:r>
      <w:r>
        <w:rPr>
          <w:rFonts w:ascii="맑은 고딕" w:cs="맑은 고딕" w:eastAsia="맑은 고딕" w:hAnsi="맑은 고딕"/>
          <w:b w:val="false"/>
          <w:bCs w:val="false"/>
          <w:i w:val="false"/>
          <w:iCs w:val="false"/>
          <w:color w:val="1B1B1B"/>
          <w:sz w:val="20"/>
          <w:szCs w:val="20"/>
        </w:rPr>
        <w:t xml:space="preserve">완도군은 구조적 취약성지수 1위(index_main=1.233)이자 CH3 우선지원 순위 6위(등급 S)로, 두 결과가 정합적으로 연결된다. 다만 취약성의 주된 요인이 인위적확산 도메인(원목생산업체 저조)인데, 실제로는 단속·점검할 원목업체 자체가 거의 없어 표준 처방(원목유통·도로변 관리)은 실효성이 낮다. 이에 따라 순위는 그대로 두되 유형만 산업기반부족형으로 재분류해, 처방을 산업기반·업계 육성 연계 지원으로 대체했다. 순위(무엇이 급한가)와 처방(무엇을 지원할까)을 분리해 다루었기에 가능한 결과다.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지원효과 시뮬레이션은 정책 개입이 가능한 지자체대응역량 변수를 보수적·기준·적극적 3단계 시나리오(+0.3SD/+0.6SD/+1.0SD)로 개선했을 때 구조적 취약성지수가 각각 +0.075/+0.15/+0.25만큼 개선되는 것으로 나타났다. 이는 실제 피해 감소 효과에 대한 인과적 추정치가 아니라 정책 개입이 지수 산식에 미치는 산술적 효과이며, 예산·인력 투입이 지수를 통해 어느 정도 크기로 반영되는지를 가늠하는 참고 지표로 활용한다.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(R²=2.39%)</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0.91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p>
      <w:pPr>
        <w:spacing w:after="100" w:before="300" w:line="300"/>
        <w:jc w:val="left"/>
      </w:pPr>
      <w:r>
        <w:rPr>
          <w:rFonts w:ascii="맑은 고딕" w:cs="맑은 고딕" w:eastAsia="맑은 고딕" w:hAnsi="맑은 고딕"/>
          <w:b/>
          <w:bCs/>
          <w:i w:val="false"/>
          <w:iCs w:val="false"/>
          <w:color w:val="1A56DB"/>
          <w:sz w:val="28"/>
          <w:szCs w:val="28"/>
        </w:rPr>
        <w:t xml:space="preserve">6) 결론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소나무재선충병 3차 대발생이라는 위기 국면에서, 한정된 방제예산을 어디에 먼저 투입할지를 데이터로 판단할 수 있는 실행형 의사결정 체계를 제시했다. 구조적 취약성지수(Model 1)는 낮은 예측력에도 불구하고 지역 간 만성적 위험 차이를 안정적으로 포착했고, 재발위험 조기경보모형(Model 2)은 상습발생 이력을 활용해 단기 예찰자원 배치에 필요한 신뢰도를 확보했다. 두 모형을 결합한 유형화·재배분 시나리오는 현행 예산 배분의 사각지대(위험 대비 과소·과다배정 각 74곳)를 구체적으로 드러냈다.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분석 결과를 다듬는 과정에서 방법론 자체의 정합성을 반복적으로 검증했다는 점에서도 신뢰할 수 있다. 도메인 부호 처리, 진단지수와 정책처방 간 매핑, 홀드아웃·rolling-origin 교차검증을 거치며 발견된 불일치를 그때그때 바로잡았고, 그 과정 자체가 분석 결과의 재현성과 견고성을 뒷받침한다.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앞으로 국가방제전략(2026~2030)이 요구하는 지역방제전략 수립과 거버넌스 심사에 본 분석의 취약성지수·유형화 매트릭스·재배분 시나리오가 실질적인 정량적 근거로 활용되기를 기대한다.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