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center"/>
      </w:pPr>
      <w:r>
        <w:rPr>
          <w:rFonts w:ascii="맑은 고딕" w:cs="맑은 고딕" w:eastAsia="맑은 고딕" w:hAnsi="맑은 고딕"/>
          <w:b/>
          <w:bCs/>
          <w:i w:val="false"/>
          <w:iCs w:val="false"/>
          <w:color w:val="1A56DB"/>
          <w:sz w:val="30"/>
          <w:szCs w:val="30"/>
        </w:rPr>
        <w:t xml:space="preserve">「2026년 임업통계 활용 경진대회」</w:t>
      </w:r>
    </w:p>
    <w:p>
      <w:pPr>
        <w:spacing w:after="200" w:before="0" w:line="300"/>
        <w:jc w:val="center"/>
      </w:pPr>
      <w:r>
        <w:rPr>
          <w:rFonts w:ascii="맑은 고딕" w:cs="맑은 고딕" w:eastAsia="맑은 고딕" w:hAnsi="맑은 고딕"/>
          <w:b/>
          <w:bCs/>
          <w:i w:val="false"/>
          <w:iCs w:val="false"/>
          <w:color w:val="1B1B1B"/>
          <w:sz w:val="26"/>
          <w:szCs w:val="26"/>
        </w:rPr>
        <w:t xml:space="preserve">양식(데이터 분석)</w:t>
      </w:r>
    </w:p>
    <w:p>
      <w:pPr>
        <w:spacing w:after="400" w:before="0" w:line="300"/>
        <w:jc w:val="left"/>
      </w:pPr>
      <w:r>
        <w:rPr>
          <w:rFonts w:ascii="맑은 고딕" w:cs="맑은 고딕" w:eastAsia="맑은 고딕" w:hAnsi="맑은 고딕"/>
          <w:b w:val="false"/>
          <w:bCs w:val="false"/>
          <w:i w:val="false"/>
          <w:iCs w:val="false"/>
          <w:color w:val="1B1B1B"/>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팀명</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I'mPine</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공모부문</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② 데이터 분석</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분석 주제</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소나무재선충병 방제취약성 진단 및 맞춤형 예산배분 모형 구축</w:t>
            </w:r>
          </w:p>
        </w:tc>
      </w:tr>
    </w:tbl>
    <w:p>
      <w:pPr>
        <w:spacing w:after="10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목차</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2) 아이디어 기획 세부 내용</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3) 데이터 분석 방법</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4) 분석 내용 및 결과</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5) 주요 성과 및 기대효과</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6) 결론</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국가방제전략을 대체하는 연구가 아니라, 국가방제전략이 실제 예산배분과 지역방제전략 수립에 활용될 수 있도록 데이터 기반 의사결정 체계를 구축하는 것을 목표로 한다. 기존 연구들은 기후변화에 따른 발생 예측이나 공간 확산 분석에 주로 초점을 맞춰 왔으나, 실제 정책 현장에서는 어느 지역이 얼마나 위험한지를 아는 것만으로는 충분하지 않다. 한정된 방제예산과 인력을 어디에 우선 투입하고 어떤 방제수단을 적용할지까지 연결되는 정량적 의사결정 체계가 필요하다. 기존 연구가 “어디가 위험한가”를 분석했다면, 본 연구는 “얼마를 어디에 어떻게 배분할 것인가”까지 제시하는 정책 실행형 연구이다.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기후변화 시나리오 기반 발생가능지역 예측이나 GIS 공간자기상관 분석은 “어디가 위험해질 것인가”를 보여주는 데는 강점이 있으나, 그 위험도를 실제 예산·인력이라는 자원 배분 문제로 연결하는 단계는 대부분 후속 과제로 남겨둔다. 본 연구는 이 지점, 즉 진단에서 배분까지 이어지는 마지막 구간을 데이터로 메우는 데 초점을 둔다.</w:t>
      </w:r>
    </w:p>
    <w:p>
      <w:pPr>
        <w:spacing w:after="100" w:before="200" w:line="300"/>
        <w:jc w:val="left"/>
      </w:pPr>
      <w:r>
        <w:rPr>
          <w:rFonts w:ascii="맑은 고딕" w:cs="맑은 고딕" w:eastAsia="맑은 고딕" w:hAnsi="맑은 고딕"/>
          <w:b/>
          <w:bCs/>
          <w:i w:val="false"/>
          <w:iCs w:val="false"/>
          <w:color w:val="1B1B1B"/>
          <w:sz w:val="24"/>
          <w:szCs w:val="24"/>
        </w:rPr>
        <w:t xml:space="preserve">소나무재선충병, 3차 대발생과 구조적 위기</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소나무재선충병(Pine Wilt Disease)은 솔수염하늘소가 매개하는 소나무 치사 병해로, 감염 후 2~3개월 만에 소나무를 고사시키는 국내 산림 최대 위협이다. 피해고사목은 2021년 약 31만 그루까지 감소했으나 2022년부터 다시 증가세로 전환돼 제3차 대발생이 진행 중이며, 2025년 6월부터 2026년 5월까지 피해고사목은 177만 그루로 전년 대비 18.8% 증가해 2014년 제2차 대발생 정점(218만 그루) 이후 가장 큰 피해 규모를 기록했다. 피해 발생지역도 전국 166개 시군구로 확대되면서 재선충병 피해는 특정 지역의 문제가 아니라 전국적 산림재해로 확산되고 있다. 산림청은 이에 따라 「소나무재선충병 국가방제전략(2026~2030)」을 수립하고, 2030년까지 피해를 현재의 1/5 수준으로 감축하겠다는 목표를 제시했다.</w:t>
      </w:r>
    </w:p>
    <w:p>
      <w:pPr>
        <w:spacing w:after="60" w:before="0" w:line="300"/>
        <w:jc w:val="left"/>
      </w:pPr>
      <w:r>
        <w:rPr>
          <w:rFonts w:ascii="맑은 고딕" w:cs="맑은 고딕" w:eastAsia="맑은 고딕" w:hAnsi="맑은 고딕"/>
          <w:b/>
          <w:bCs/>
          <w:i w:val="false"/>
          <w:iCs w:val="false"/>
          <w:color w:val="1B1B1B"/>
          <w:sz w:val="18"/>
          <w:szCs w:val="18"/>
        </w:rPr>
        <w:t xml:space="preserve">표1. 연도별 소나무재선충병 피해고사목 발생 추이(산림청 공식통계)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600"/>
      </w:tblGrid>
      <w:tr>
        <w:tc>
          <w:tcPr>
            <w:tcW w:type="dxa" w:w="1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연도</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조사기간</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피해고사목(만 그루)</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발생 시군구 수</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2016.5~2017.4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99.2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2017.5~2018.4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68.6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2018.5~2019.4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49.1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120</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2019.5~2020.4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40.6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124</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2020.5~2021.4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30.8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131</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2021.5~2022.4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37.8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135</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2022.5~2023.4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106.6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140</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2023.5~2024.4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89.9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142</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2024.5~2025.5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148.6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154</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2025.6~2026.5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177.0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166</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2014년 제2차 대발생 정점 이후 감소하던 피해고사목은 2021년 약 31만 그루까지 줄었으나 2022년을 기점으로 다시 증가해 2026년 177만 그루로 늘었다. 2026년 기준 27개 시군구가 피해 규모 '심(甚)' 이상 등급으로 분류되어, 재선충병 피해가 특정 지역의 국지적 현상을 넘어섰음을 보여준다.</w:t>
      </w:r>
    </w:p>
    <w:p>
      <w:pPr>
        <w:spacing w:after="120" w:before="0" w:line="300"/>
        <w:jc w:val="left"/>
      </w:pPr>
      <w:r>
        <w:rPr>
          <w:rFonts w:ascii="맑은 고딕" w:cs="맑은 고딕" w:eastAsia="맑은 고딕" w:hAnsi="맑은 고딕"/>
          <w:b w:val="false"/>
          <w:bCs w:val="false"/>
          <w:i/>
          <w:iCs/>
          <w:color w:val="595959"/>
          <w:sz w:val="17"/>
          <w:szCs w:val="17"/>
        </w:rPr>
        <w:t xml:space="preserve">* 발생 시군구 수: 2019~2024년은 정책브리핑·언론보도(산림청 공식통계 인용) 교차확인, 2020·2025·2026년은 원자료 직접 기재값. 2017·2018년은 공식 발표치를 확인하지 못해 공란으로 남김 — 참고로 프로젝트 자체 원자료 재집계(CH1 EDA 노트북)로는 각각 약 129개·115개로 추정되나, 집계 방법론이 공식 발표와 달라(2020년 비교 시 자체집계 122개 vs 공식발표 124개로 차이 존재) 공식통계로는 표기하지 않았다.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정부는 피해 확산에 대응하기 위해 방제예산과 제거 규모를 지속적으로 확대해왔다. 총 방제예산은 2022년 560억 원에서 2025년 1,737억 원으로 증가했으며, 최근 방제기에는 피해고사목과 감염우려목을 포함해 약 309만 그루를 제거하고 3,126ha에 수종전환 방제를 실시했다. 그러나 2025년 역대 최대 규모의 예산이 투입된 해에도 피해고사목은 149만 그루로 증가했으며, 지역별 방제율과 방제성과에도 큰 편차가 나타나고 있다. 이는 예산 확대의 필요성을 부정하는 것이 아니라, 피해 발생 이후 예산을 집중하는 사후 대응만으로는 확산을 조기에 차단하기 어렵다는 점을 보여준다.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그러나 현장에서는 세 가지 구조적 한계가 반복적으로 지적되고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첫째, 지역별 방제 품질 편차가 크다.</w:t>
      </w:r>
      <w:r>
        <w:rPr>
          <w:rFonts w:ascii="맑은 고딕" w:cs="맑은 고딕" w:eastAsia="맑은 고딕" w:hAnsi="맑은 고딕"/>
          <w:b w:val="false"/>
          <w:bCs w:val="false"/>
          <w:i w:val="false"/>
          <w:iCs w:val="false"/>
          <w:color w:val="1B1B1B"/>
          <w:sz w:val="20"/>
          <w:szCs w:val="20"/>
        </w:rPr>
        <w:t xml:space="preserve"> 동일한 국비가 투입되어도 지자체별 인력·장비·전문성 수준에 따라 방제 실효성이 현저히 다르다. 일부 지자체는 예찰인력 부족으로 감염목 발견이 늦어지고, 방제 시기를 놓쳐 이듬해 재발생으로 이어지는 악순환이 고착되고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둘째, 예산 배분이 구조적 취약성이 아닌 전년도 피해 실적 중심으로 이루어지고 있다.</w:t>
      </w:r>
      <w:r>
        <w:rPr>
          <w:rFonts w:ascii="맑은 고딕" w:cs="맑은 고딕" w:eastAsia="맑은 고딕" w:hAnsi="맑은 고딕"/>
          <w:b w:val="false"/>
          <w:bCs w:val="false"/>
          <w:i w:val="false"/>
          <w:iCs w:val="false"/>
          <w:color w:val="1B1B1B"/>
          <w:sz w:val="20"/>
          <w:szCs w:val="20"/>
        </w:rPr>
        <w:t xml:space="preserve"> 국가방제전략도 피해고사목 수에 따라 예산이 매년 변동하고 피해극심지에 예산이 집중돼 확산 저지에 한계가 있었다고 진단한다. 이는 "아직 피해가 크지 않지만 소나무 밀집도·기후조건·도로 접근성 등으로 인해 구조적으로 취약한 지역"에는 예산이 과소배정되는 사각지대를 만든다. 본 분석에서도 현재 예산과 구조적 위험지수 간 설명력이 R²=2.39%에 그쳐, 예산 배분이 장기적 구조위험을 충분히 반영하지 못할 가능성이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셋째, 산불 피해지 소나무 복원이 새로운 위험 경로를 열고 있다.</w:t>
      </w:r>
      <w:r>
        <w:rPr>
          <w:rFonts w:ascii="맑은 고딕" w:cs="맑은 고딕" w:eastAsia="맑은 고딕" w:hAnsi="맑은 고딕"/>
          <w:b w:val="false"/>
          <w:bCs w:val="false"/>
          <w:i w:val="false"/>
          <w:iCs w:val="false"/>
          <w:color w:val="1B1B1B"/>
          <w:sz w:val="20"/>
          <w:szCs w:val="20"/>
        </w:rPr>
        <w:t xml:space="preserve"> 2022년 동해안 대형 산불(울진·삼척, 피해면적 22,000ha 이상), 2025년 상주·의성 산불 등 대형 산불이 반복되면서 대규모 산림 복원이 추진되고 있는데, 이 과정에서 소나무류 조림 비중이 여전히 높아 재선충병이 이미 확산 중인 지역과 인접한 곳에 소나무를 새로 심으면 매개충의 서식 기반을 확장하는 결과가 된다. 산불 복원과 재선충 방제는 별개의 정책으로 운영되고 있지만, 공간적으로는 동일한 소나무림에서 교차하는 연결된 위험이다.</w:t>
      </w:r>
    </w:p>
    <w:p>
      <w:pPr>
        <w:spacing w:after="100" w:before="200" w:line="300"/>
        <w:jc w:val="left"/>
      </w:pPr>
      <w:r>
        <w:rPr>
          <w:rFonts w:ascii="맑은 고딕" w:cs="맑은 고딕" w:eastAsia="맑은 고딕" w:hAnsi="맑은 고딕"/>
          <w:b/>
          <w:bCs/>
          <w:i w:val="false"/>
          <w:iCs w:val="false"/>
          <w:color w:val="1B1B1B"/>
          <w:sz w:val="24"/>
          <w:szCs w:val="24"/>
        </w:rPr>
        <w:t xml:space="preserve">데이터 기반 취약성 진단이 필요한 이유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국가방제전략은 시군구가 매년 「지역방제전략」을 수립하고, 거버넌스 심사 결과를 예산 배정에 활용하는 구조를 설계했다. 그러나 "어떤 지역이, 왜, 어떤 유형으로 취약한지"를 객관적으로 진단하는 도구가 없으면, 지역방제전략 수립 자체가 주관적 판단에 의존하게 되고, 거버넌스 심사도 표준화된 기준 없이 진행될 수밖에 없다.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분석은 이 문제를 해결하기 위해, 229개 시군구 × 8개년(2016~2023) 패널 데이터를 구축하고, 임업통계(임산물생산조사)와 산림 공간데이터를 결합하여 다음을 수행한다.</w:t>
      </w:r>
    </w:p>
    <w:p>
      <w:pPr>
        <w:spacing w:after="120" w:before="0" w:line="300"/>
        <w:jc w:val="left"/>
      </w:pPr>
      <w:r>
        <w:rPr>
          <w:rFonts w:ascii="맑은 고딕" w:cs="맑은 고딕" w:eastAsia="맑은 고딕" w:hAnsi="맑은 고딕"/>
          <w:b/>
          <w:bCs/>
          <w:i w:val="false"/>
          <w:iCs w:val="false"/>
          <w:color w:val="1B1B1B"/>
          <w:sz w:val="20"/>
          <w:szCs w:val="20"/>
        </w:rPr>
        <w:t xml:space="preserve">① 구조적 취약성지수(Model 1)</w:t>
      </w:r>
      <w:r>
        <w:rPr>
          <w:rFonts w:ascii="맑은 고딕" w:cs="맑은 고딕" w:eastAsia="맑은 고딕" w:hAnsi="맑은 고딕"/>
          <w:b w:val="false"/>
          <w:bCs w:val="false"/>
          <w:i w:val="false"/>
          <w:iCs w:val="false"/>
          <w:color w:val="1B1B1B"/>
          <w:sz w:val="20"/>
          <w:szCs w:val="20"/>
        </w:rPr>
        <w:t xml:space="preserve">: 소나무림 노출도·기후위험도·인위적확산위험·지자체대응역량의 4개 도메인을 동일가중으로 합산해, 정책 개입 가능한 구조변수만으로 "왜 취약한가"를 설명하는 측정도구를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② 재발위험 조기경보모형(Model 2)</w:t>
      </w:r>
      <w:r>
        <w:rPr>
          <w:rFonts w:ascii="맑은 고딕" w:cs="맑은 고딕" w:eastAsia="맑은 고딕" w:hAnsi="맑은 고딕"/>
          <w:b w:val="false"/>
          <w:bCs w:val="false"/>
          <w:i w:val="false"/>
          <w:iCs w:val="false"/>
          <w:color w:val="1B1B1B"/>
          <w:sz w:val="20"/>
          <w:szCs w:val="20"/>
        </w:rPr>
        <w:t xml:space="preserve">: 위 구조지수에 전년도 발생이력·인접시군 확산정보를 추가해, "내년에 어디서 발생할 가능성이 높은가"를 예측하는 단기 의사결정 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③ 예방형 예산 재배분 시나리오</w:t>
      </w:r>
      <w:r>
        <w:rPr>
          <w:rFonts w:ascii="맑은 고딕" w:cs="맑은 고딕" w:eastAsia="맑은 고딕" w:hAnsi="맑은 고딕"/>
          <w:b w:val="false"/>
          <w:bCs w:val="false"/>
          <w:i w:val="false"/>
          <w:iCs w:val="false"/>
          <w:color w:val="1B1B1B"/>
          <w:sz w:val="20"/>
          <w:szCs w:val="20"/>
        </w:rPr>
        <w:t xml:space="preserve">: 구조적 취약성지수를 기준으로 "같은 총예산을 위험 비례로 재배분하면 어떤 모습이 되는지" 시뮬레이션하여, 현행 배분의 사각지대를 구체적으로 식별하고 맞춤형 지원 방향을 제안한다.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이를 통해 국가방제전략이 제시한 "지역맞춤형 방제"의 실행 기반을 데이터로 제공하며, 그 기대효과는 5)에서 구체적으로 제시한다.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2) 아이디어 기획 세부 내용</w:t>
      </w:r>
    </w:p>
    <w:p>
      <w:pPr>
        <w:spacing w:after="100" w:before="200" w:line="300"/>
        <w:jc w:val="left"/>
      </w:pPr>
      <w:r>
        <w:rPr>
          <w:rFonts w:ascii="맑은 고딕" w:cs="맑은 고딕" w:eastAsia="맑은 고딕" w:hAnsi="맑은 고딕"/>
          <w:b/>
          <w:bCs/>
          <w:i w:val="false"/>
          <w:iCs w:val="false"/>
          <w:color w:val="1B1B1B"/>
          <w:sz w:val="24"/>
          <w:szCs w:val="24"/>
        </w:rPr>
        <w:t xml:space="preserve">2엔진 구조: 측정도구와 예측도구의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하나의 모형에 과거 발생이력·공간확산까지 넣으면 예측 정확도(AUC)는 0.95 이상으로 올라가지만, 그 순간 지수는 "구조적으로 왜 취약한가"가 아니라 "작년에 터진 곳이 올해도 터진다"를 재확인하는 물건이 된다. 예산을 더 준다고 작년 발생 이력이 바뀌지는 않으므로, 이런 지수로는 정책 설계가 불가능하다. 따라서 역할을 분리한다.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1 · 구조적 취약성지수</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2 · 재발위험 조기경보</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역할</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"왜 취약한가" 설명 → 예산배분 기준</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"내년 어디서 발생" 예측 → 예찰자원 배치</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투입 변수</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노출도·기후·인위적확산·대응역량 (정책개입 가능 변수만)</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Model 1 전체 + 전년도 발생이력·인접시군 확산(t-1)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AUC</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0.56~0.58 (낮지만 정직)</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0.95 (검증·신뢰성 확보용)</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산출물</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도메인 기여도 분해, 유형화 매트릭스</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발생확률 랭킹 (단기 예찰자원 배치용)</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유형화 설계: 2축으로 원인과 배분을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취약성지수의 기여도를 분해해 "왜 취약한가(노출도-우세 / 인위적확산-우세 / 복합형 유형)"와 "예산이 맞는가(배분갭 회귀잔차 기준 부족/적정/과다 유형)" 두 기준을 교차하면, 같은 "부족" 판정이라도 노출도가 높은 곳에는 예찰·모니터링 인프라를, 인위적확산이 높은 곳에는 원목유통 관리를 처방하는 식으로 지자체별 맞춤 지원 유형을 도출한다.</w:t>
      </w:r>
    </w:p>
    <w:p>
      <w:pPr>
        <w:spacing w:after="60" w:before="0" w:line="300"/>
        <w:jc w:val="left"/>
      </w:pPr>
      <w:r>
        <w:rPr>
          <w:rFonts w:ascii="맑은 고딕" w:cs="맑은 고딕" w:eastAsia="맑은 고딕" w:hAnsi="맑은 고딕"/>
          <w:b/>
          <w:bCs/>
          <w:i w:val="false"/>
          <w:iCs w:val="false"/>
          <w:color w:val="1B1B1B"/>
          <w:sz w:val="18"/>
          <w:szCs w:val="18"/>
        </w:rPr>
        <w:t xml:space="preserve">표2. 위험요인 유형 × 배분적정성 교차표(222개 시군구)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200"/>
      </w:tblGrid>
      <w:tr>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유형</w:t>
            </w:r>
          </w:p>
        </w:tc>
        <w:tc>
          <w:tcPr>
            <w:tcW w:type="dxa" w:w="21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부족</w:t>
            </w:r>
          </w:p>
        </w:tc>
        <w:tc>
          <w:tcPr>
            <w:tcW w:type="dxa" w:w="21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적정</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과다</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노출도-우세형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29</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23</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복합형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16</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27</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인위적확산-우세형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38</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25</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24</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인위적확산-우세형(87곳)이 가장 큰 비중을 차지하며, 이 중 38곳은 예산까지 부족한 상태로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방법론적 정합성 확보: </w:t>
      </w:r>
      <w:r>
        <w:rPr>
          <w:rFonts w:ascii="맑은 고딕" w:cs="맑은 고딕" w:eastAsia="맑은 고딕" w:hAnsi="맑은 고딕"/>
          <w:b w:val="false"/>
          <w:bCs w:val="false"/>
          <w:i w:val="false"/>
          <w:iCs w:val="false"/>
          <w:color w:val="1B1B1B"/>
          <w:sz w:val="20"/>
          <w:szCs w:val="20"/>
        </w:rPr>
        <w:t xml:space="preserve">인위적확산 도메인은 원목생산업체 수의 면적통제 잔차로 만들어지며, 부호는 실측 상관 방향(원목업체가 적을수록 피해가 컸던 관측 패턴)에 맞춰 정했다. 다만 이 도메인이 유형 분류를 주도하는 시군구 중에는 원목업체 자체가 거의 없어 표준 처방(원목 생산·유통 경로 관리)이 실효성을 갖기 어려운 경우가 있어, 이런 사례는 '산업기반부족형'으로 별도 재분류해 산업기반·업계 육성 연계 지원으로 처방을 대체했다. 진단지수(왜 취약한가)와 정책처방(무엇을 지원할까)이 어긋나지 않도록 교차검증하는 절차를 유형화 설계에 반영한 것이다.</w:t>
      </w:r>
    </w:p>
    <w:p>
      <w:pPr>
        <w:spacing w:after="60" w:before="0" w:line="300"/>
        <w:jc w:val="left"/>
      </w:pPr>
      <w:r>
        <w:rPr>
          <w:rFonts w:ascii="맑은 고딕" w:cs="맑은 고딕" w:eastAsia="맑은 고딕" w:hAnsi="맑은 고딕"/>
          <w:b/>
          <w:bCs/>
          <w:i w:val="false"/>
          <w:iCs w:val="false"/>
          <w:color w:val="1B1B1B"/>
          <w:sz w:val="18"/>
          <w:szCs w:val="18"/>
        </w:rPr>
        <w:t xml:space="preserve">표3. 취약 유형별 맞춤 정책 카탈로그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유형</w:t>
            </w:r>
          </w:p>
        </w:tc>
        <w:tc>
          <w:tcPr>
            <w:tcW w:type="dxa" w:w="7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주요 처방 수단</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노출도-우세형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예찰·모니터링 인프라 확충 (예찰인력 증원, 드론·위성 모니터링, 조기발견 신고체계 강화)</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인위적확산-우세형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원목 생산·유통 경로 관리 (원목생산업체 방제점검 의무화, 유통·이동 이력 점검)</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복합형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기본 대응체계·인력 확충 (방제인력 기본정원 확충, 지자체 대응예산 최소 하한선 보장, 인접 지자체 공동대응)</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산업기반부족형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산업기반·업계 육성 연계 지원 (정부지원사업 접근성 개선, 판로개척 지원, 원목생산업체 방제 인센티브)</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표3의 유형·처방은 대시보드(ch3/data.js)의 policyCatalog와 동일하며, 위험요인 유형과 배분적정성 조합에 따라 자동 매칭된다. 재발위험확률이 높은 시군구는 별도의 urgentList로 묶여 단기 예찰자원 배치 우선순위로 교차 활용된다.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3) 데이터 분석 방법</w:t>
      </w:r>
    </w:p>
    <w:p>
      <w:pPr>
        <w:spacing w:after="100" w:before="200" w:line="300"/>
        <w:jc w:val="left"/>
      </w:pPr>
      <w:r>
        <w:rPr>
          <w:rFonts w:ascii="맑은 고딕" w:cs="맑은 고딕" w:eastAsia="맑은 고딕" w:hAnsi="맑은 고딕"/>
          <w:b/>
          <w:bCs/>
          <w:i w:val="false"/>
          <w:iCs w:val="false"/>
          <w:color w:val="1B1B1B"/>
          <w:sz w:val="24"/>
          <w:szCs w:val="24"/>
        </w:rPr>
        <w:t xml:space="preserve">활용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000"/>
      </w:tblGrid>
      <w:tr>
        <w:tc>
          <w:tcPr>
            <w:tcW w:type="dxa" w:w="1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데이터명</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제공기관</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용도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필수</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임산물생산조사 (원목생산)</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산림청/MDIS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원목생산업체수 → 인위적확산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임상도(6차 산림입목지도)</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산림청/산림공간포털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소나무류 면적·비율 산출 → 노출도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소나무재선충병 발생현황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산림청/e-나라지표</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피해고사목 본수 → 종속변수(피해밀도)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기상관측자료(ASOS)</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기상청/기상자료개방포털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GDD·강수량 → 기후위험도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도로노드링크·표준노드링크</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국토교통부/ITS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도로인접 소나무비율 산출·검증(면적통제 후 상관 0.0008 수준으로 붕괴해 최종모형에서는 제외)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지방재정365 세부사업별 세출현황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행안부/지방재정365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 방제예산 → 대응역량 도메인</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분석 기법</w:t>
      </w:r>
    </w:p>
    <w:p>
      <w:pPr>
        <w:spacing w:after="60" w:before="0" w:line="300"/>
        <w:jc w:val="left"/>
      </w:pPr>
      <w:r>
        <w:rPr>
          <w:rFonts w:ascii="맑은 고딕" w:cs="맑은 고딕" w:eastAsia="맑은 고딕" w:hAnsi="맑은 고딕"/>
          <w:b/>
          <w:bCs/>
          <w:i w:val="false"/>
          <w:iCs w:val="false"/>
          <w:color w:val="1B1B1B"/>
          <w:sz w:val="18"/>
          <w:szCs w:val="18"/>
        </w:rPr>
        <w:t xml:space="preserve">표4. 도메인별 세부 변수 정의 및 부호 처리 방식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00"/>
      </w:tblGrid>
      <w:tr>
        <w:tc>
          <w:tcPr>
            <w:tcW w:type="dxa" w:w="2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도메인</w:t>
            </w:r>
          </w:p>
        </w:tc>
        <w:tc>
          <w:tcPr>
            <w:tcW w:type="dxa" w:w="4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세부 변수</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부호/처리 방식</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소나무류 면적비율(%)</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+1(원값)</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기후위험도</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연강수량(mm), GDD(솔수염하늘소 발육적산온도, 기준 11.9℃)</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실측 상관 방향에 맞춰 자동 정렬</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지자체대응역량</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소나무림ha당 대응예산(로그), 예찰사업 존재 여부</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-1(역량이 높을수록 위험 감소)</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원목생산업체수(면적통제 잔차)</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-1(실측 상관 방향)</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기후위험도의 SPI3(표준강수지수), 지자체대응역량의 평균풍속은 개념적 결함 또는 관측소 공유로 인한 교란이 확인돼 최종모형에서 제외했다.</w:t>
      </w:r>
    </w:p>
    <w:p>
      <w:pPr>
        <w:spacing w:after="120" w:before="0" w:line="300"/>
        <w:jc w:val="left"/>
      </w:pPr>
      <w:r>
        <w:rPr>
          <w:rFonts w:ascii="맑은 고딕" w:cs="맑은 고딕" w:eastAsia="맑은 고딕" w:hAnsi="맑은 고딕"/>
          <w:b/>
          <w:bCs/>
          <w:i w:val="false"/>
          <w:iCs w:val="false"/>
          <w:color w:val="1B1B1B"/>
          <w:sz w:val="20"/>
          <w:szCs w:val="20"/>
        </w:rPr>
        <w:t xml:space="preserve">Model 1(구조적 취약성지수):</w:t>
      </w:r>
      <w:r>
        <w:rPr>
          <w:rFonts w:ascii="맑은 고딕" w:cs="맑은 고딕" w:eastAsia="맑은 고딕" w:hAnsi="맑은 고딕"/>
          <w:b w:val="false"/>
          <w:bCs w:val="false"/>
          <w:i w:val="false"/>
          <w:iCs w:val="false"/>
          <w:color w:val="1B1B1B"/>
          <w:sz w:val="20"/>
          <w:szCs w:val="20"/>
        </w:rPr>
        <w:t xml:space="preserve"> 4개 도메인 변수를 연도별 표준화(within-year z-score) 후 동일가중 합산하여 지수를 산출한다. 타당성 검증은 Mundlak/CRE(상관확률효과) 2부문모형(발생여부 로지스틱 + 발생시 크기 OLS)으로, 시군구 간(between) 효과와 시군구 내(within) 효과를 동시에 분리·추정한다. 훈련(2017~2020)·홀드아웃(2021~2022) 분할로 과적합을 통제한다.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분석 표본은 229개 시군구 × 8개년(2016~2023) 원자료 1,832건에서, 소나무림면적이 0인 순수 도심(대구 중구·영등포구·인천 동구 등)과 임상도 자료무효 관측치를 순차 제외해 1,816건→1,804건으로 정제하고, 핵심변수 완비 기준(listwise deletion)을 적용해 최종 1,753건(222개 시군구)으로 확정했다.</w:t>
      </w:r>
    </w:p>
    <w:p>
      <w:pPr>
        <w:spacing w:after="120" w:before="0" w:line="300"/>
        <w:jc w:val="left"/>
      </w:pPr>
      <w:r>
        <w:rPr>
          <w:rFonts w:ascii="맑은 고딕" w:cs="맑은 고딕" w:eastAsia="맑은 고딕" w:hAnsi="맑은 고딕"/>
          <w:b/>
          <w:bCs/>
          <w:i w:val="false"/>
          <w:iCs w:val="false"/>
          <w:color w:val="1B1B1B"/>
          <w:sz w:val="20"/>
          <w:szCs w:val="20"/>
        </w:rPr>
        <w:t xml:space="preserve">Model 2(조기경보):</w:t>
      </w:r>
      <w:r>
        <w:rPr>
          <w:rFonts w:ascii="맑은 고딕" w:cs="맑은 고딕" w:eastAsia="맑은 고딕" w:hAnsi="맑은 고딕"/>
          <w:b w:val="false"/>
          <w:bCs w:val="false"/>
          <w:i w:val="false"/>
          <w:iCs w:val="false"/>
          <w:color w:val="1B1B1B"/>
          <w:sz w:val="20"/>
          <w:szCs w:val="20"/>
        </w:rPr>
        <w:t xml:space="preserve"> Model 1의 구조지수에 전년도 발생이력(연속발생연수, 집단발생여부)과 인접시군 피해밀도를 추가한 로지스틱 CRE 모형이다. _gm(그룹평균)을 훈련기간에서만 계산해 홀드아웃에 고정 적용(frozen-gm)하여 데이터 누수를 차단했다.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검증은 훈련 데이터를 연도별로 한 해씩 확장하며 다음 해 발생을 예측하는 rolling-origin 방식으로 수행해, 매년 최신 데이터로 다음 해를 예측하는 실제 운영 시나리오를 그대로 재현했다.</w:t>
      </w:r>
    </w:p>
    <w:p>
      <w:pPr>
        <w:spacing w:after="120" w:before="0" w:line="300"/>
        <w:jc w:val="left"/>
      </w:pPr>
      <w:r>
        <w:rPr>
          <w:rFonts w:ascii="맑은 고딕" w:cs="맑은 고딕" w:eastAsia="맑은 고딕" w:hAnsi="맑은 고딕"/>
          <w:b/>
          <w:bCs/>
          <w:i w:val="false"/>
          <w:iCs w:val="false"/>
          <w:color w:val="1B1B1B"/>
          <w:sz w:val="20"/>
          <w:szCs w:val="20"/>
        </w:rPr>
        <w:t xml:space="preserve">배분공식 시뮬레이션:</w:t>
      </w:r>
      <w:r>
        <w:rPr>
          <w:rFonts w:ascii="맑은 고딕" w:cs="맑은 고딕" w:eastAsia="맑은 고딕" w:hAnsi="맑은 고딕"/>
          <w:b w:val="false"/>
          <w:bCs w:val="false"/>
          <w:i w:val="false"/>
          <w:iCs w:val="false"/>
          <w:color w:val="1B1B1B"/>
          <w:sz w:val="20"/>
          <w:szCs w:val="20"/>
        </w:rPr>
        <w:t xml:space="preserve"> 구조적 위험지수(대응역량 제외)를 기준으로 연도별 active 표본 내에서 총예산을 비례 배분하되, 최소기본액(30%)·전년 대비 증감상한(±30%)·총액 보존을 동시에 만족하는 water-filling(반복 클램핑) 알고리즘으로 구현한다.</w:t>
      </w:r>
    </w:p>
    <w:p>
      <w:pPr>
        <w:spacing w:after="120" w:before="0" w:line="300"/>
        <w:jc w:val="left"/>
      </w:pPr>
      <w:r>
        <w:rPr>
          <w:rFonts w:ascii="맑은 고딕" w:cs="맑은 고딕" w:eastAsia="맑은 고딕" w:hAnsi="맑은 고딕"/>
          <w:b/>
          <w:bCs/>
          <w:i w:val="false"/>
          <w:iCs w:val="false"/>
          <w:color w:val="1B1B1B"/>
          <w:sz w:val="20"/>
          <w:szCs w:val="20"/>
        </w:rPr>
        <w:t xml:space="preserve">분석 환경:</w:t>
      </w:r>
      <w:r>
        <w:rPr>
          <w:rFonts w:ascii="맑은 고딕" w:cs="맑은 고딕" w:eastAsia="맑은 고딕" w:hAnsi="맑은 고딕"/>
          <w:b w:val="false"/>
          <w:bCs w:val="false"/>
          <w:i w:val="false"/>
          <w:iCs w:val="false"/>
          <w:color w:val="1B1B1B"/>
          <w:sz w:val="20"/>
          <w:szCs w:val="20"/>
        </w:rPr>
        <w:t xml:space="preserve"> Python 3.11 (statsmodels, scikit-learn, scipy, geopandas)</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4) 분석 내용 및 결과</w:t>
      </w:r>
    </w:p>
    <w:p>
      <w:pPr>
        <w:spacing w:after="100" w:before="200" w:line="300"/>
        <w:jc w:val="left"/>
      </w:pPr>
      <w:r>
        <w:rPr>
          <w:rFonts w:ascii="맑은 고딕" w:cs="맑은 고딕" w:eastAsia="맑은 고딕" w:hAnsi="맑은 고딕"/>
          <w:b/>
          <w:bCs/>
          <w:i w:val="false"/>
          <w:iCs w:val="false"/>
          <w:color w:val="1B1B1B"/>
          <w:sz w:val="24"/>
          <w:szCs w:val="24"/>
        </w:rPr>
        <w:t xml:space="preserve">Model 1: 구조적 취약성지수</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구조적취약성지수의 지자체 간(between) 효과는 훈련(계수 1.138, p=0.002)과 홀드아웃(1.200, p=0.020) 모두에서 유의한 양의 연관성을 보였다. AUC는 훈련 0.581, 홀드아웃 0.564로, 단기 예측력은 제한적이나 "원래 취약한 지역이 평균적으로 피해가 크다"는 지역 간 만성적 차이를 일관되게 포착한다. 이 지수는 단기 발생 예측용이 아니라 장기 우선순위 선별·예산 배분 기준에 적합하다.</w:t>
      </w:r>
    </w:p>
    <w:p>
      <w:pPr>
        <w:spacing w:after="60" w:before="0" w:line="300"/>
        <w:jc w:val="left"/>
      </w:pPr>
      <w:r>
        <w:rPr>
          <w:rFonts w:ascii="맑은 고딕" w:cs="맑은 고딕" w:eastAsia="맑은 고딕" w:hAnsi="맑은 고딕"/>
          <w:b/>
          <w:bCs/>
          <w:i w:val="false"/>
          <w:iCs w:val="false"/>
          <w:color w:val="1B1B1B"/>
          <w:sz w:val="18"/>
          <w:szCs w:val="18"/>
        </w:rPr>
        <w:t xml:space="preserve">표5. 구조적 취약성지수 10분위별 실제 발생률·피해밀도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지수 분위</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평균 지수값</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발생률</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평균 피해밀도(로그)</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1(최저)</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-0.87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47.2%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0.019</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-0.51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41.1%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0.022</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-0.35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49.7%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-0.23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42.9%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-0.10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41.5%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0.020</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43.4%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0.039</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0.20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40.6%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0.075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0.35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44.6%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0.073</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0.53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58.3%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0.085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10(최고)</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0.93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80.7%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0.105</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지수 상위 9~10분위에서 발생률(58.3%→80.7%)과 평균 피해밀도가 뚜렷하게 높아, 지수가 극단적 고위험군을 안정적으로 식별함을 보여준다. 지수와 실제 피해밀도의 순위상관은 Spearman ρ=0.277이며, 지수 상위 44개 시군구 중 20곳(45%)이 실제 고피해 상위 목록과 일치했다. 연도를 하나씩 밀어 검증하는 rolling-origin 방식에서도 AUC가 0.53~0.58 범위에서 안정적으로 유지돼, 지수가 특정 연도에 우연히 맞아떨어진 결과가 아님을 확인했다.</w:t>
      </w:r>
    </w:p>
    <w:p>
      <w:pPr>
        <w:spacing w:after="100" w:before="200" w:line="300"/>
        <w:jc w:val="left"/>
      </w:pPr>
      <w:r>
        <w:rPr>
          <w:rFonts w:ascii="맑은 고딕" w:cs="맑은 고딕" w:eastAsia="맑은 고딕" w:hAnsi="맑은 고딕"/>
          <w:b/>
          <w:bCs/>
          <w:i w:val="false"/>
          <w:iCs w:val="false"/>
          <w:color w:val="1B1B1B"/>
          <w:sz w:val="24"/>
          <w:szCs w:val="24"/>
        </w:rPr>
        <w:t xml:space="preserve">Model 2: 재발위험 조기경보</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Model 2 AUC는 훈련 0.976, 홀드아웃 0.947로 매우 높았다. 다만 연속발생연수 단독으로도 AUC 0.918이 나와, 이 성능은 구조적 요인의 예측력이 아니라 재선충 피해의 강한 지속성(상습발생)에 기인한다. Rolling-origin 검증(2021: 0.936, 2022: 0.942)에서도 성능이 안정적으로 유지됐다. Model 2는 조기탐지·재발위험 관리 도구로서의 성격이 정확하다.</w:t>
      </w:r>
    </w:p>
    <w:p>
      <w:pPr>
        <w:spacing w:after="100" w:before="200" w:line="300"/>
        <w:jc w:val="left"/>
      </w:pPr>
      <w:r>
        <w:rPr>
          <w:rFonts w:ascii="맑은 고딕" w:cs="맑은 고딕" w:eastAsia="맑은 고딕" w:hAnsi="맑은 고딕"/>
          <w:b/>
          <w:bCs/>
          <w:i w:val="false"/>
          <w:iCs w:val="false"/>
          <w:color w:val="1B1B1B"/>
          <w:sz w:val="24"/>
          <w:szCs w:val="24"/>
        </w:rPr>
        <w:t xml:space="preserve">배분갭 진단 및 유형화</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현행 방제예산과 구조적 위험지수의 관계를 회귀분석한 결과 R²=2.39%로, 현재 예산 배분이 구조적 위험을 거의 반영하지 못하고 있음을 확인했다. 구조적 위험은 높지만 예산이 과소배정된 시군구가 74곳, 반대로 위험 대비 예산이 과다배정된 시군구도 74곳으로 나타나, 전체 222개 시군구의 약 3분의 2가 위험도와 예산 배정이 어긋난 사각지대에 놓여 있었다. 위험요인 축(노출도-우세/인위적확산-우세/복합형)과 배분갭 축(부족/적정/과다)을 교차한 2×3 매트릭스로 222개 시군구를 유형화하여, 유형별 맞춤 지원 패키지를 매핑했다.</w:t>
      </w:r>
    </w:p>
    <w:p>
      <w:pPr>
        <w:spacing w:after="100" w:before="200" w:line="300"/>
        <w:jc w:val="left"/>
      </w:pPr>
      <w:r>
        <w:rPr>
          <w:rFonts w:ascii="맑은 고딕" w:cs="맑은 고딕" w:eastAsia="맑은 고딕" w:hAnsi="맑은 고딕"/>
          <w:b/>
          <w:bCs/>
          <w:i w:val="false"/>
          <w:iCs w:val="false"/>
          <w:color w:val="1B1B1B"/>
          <w:sz w:val="24"/>
          <w:szCs w:val="24"/>
        </w:rPr>
        <w:t xml:space="preserve">예방형 예산 재배분 시나리오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같은 총예산을 구조위험 비례로 재배분하면 매년 pool의 66~69%가 이동하며, 부산 해운대구·전남 완도군·부산 금정구 등이 최대 증액 대상으로 식별됐다. 시뮬레이션의 피해발생지역 예산 포착률은 52.7%(실제 배분 93.8%)로 낮으나, 이는 시뮬레이션이 구조위험만을 기준으로 한 예방적 배분이고, 실제 배분은 반복발생 이력·긴급사업 등 현장정보가 반영된 사후적 배분이라는 목적 차이에 기인한다.</w:t>
      </w:r>
    </w:p>
    <w:p>
      <w:pPr>
        <w:spacing w:after="100" w:before="200" w:line="300"/>
        <w:jc w:val="left"/>
      </w:pPr>
      <w:r>
        <w:rPr>
          <w:rFonts w:ascii="맑은 고딕" w:cs="맑은 고딕" w:eastAsia="맑은 고딕" w:hAnsi="맑은 고딕"/>
          <w:b/>
          <w:bCs/>
          <w:i w:val="false"/>
          <w:iCs w:val="false"/>
          <w:color w:val="1B1B1B"/>
          <w:sz w:val="24"/>
          <w:szCs w:val="24"/>
        </w:rPr>
        <w:t xml:space="preserve">우선지원 대상 선정 및 정책 매칭</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취약성지수와 조기경보모형의 결과는 최종적으로 시군구별 우선지원 순위로 통합된다. 순위는 위험지수(대응역량을 제외한 3개 도메인 평균)의 백분위로 산출하며, 배분갭과 재발위험확률은 순위 산식에서 제외하고 참고·교차조건용으로만 병기한다. 이미 예산이 반영된 배분갭이나 상습발생 이력에 좌우되는 재발확률을 우선순위 산식에 직접 넣으면 '이미 지원받은 곳이 다시 우선순위가 되는' 순환 논리에 빠지기 때문이다.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유형화 매트릭스에서 도출된 유형은 정책 카탈로그(표3)와 자동으로 연결되어 대응 처방을 제시하되, 원목생산업체 수 자체가 절대적으로 적어 유통관리 처방이 실효성을 갖기 어려운 시군구는 산업기반부족형으로 재분류해 처방을 대체한다. 산업기반 진단은 시군구 단위 자료가 없어 소속 시도의 산림산업조사(2025년, 2024년 기준) 정부지원필요도·참여경험 지표를 근사치로 적용했다.</w:t>
      </w:r>
    </w:p>
    <w:p>
      <w:pPr>
        <w:spacing w:after="120" w:before="0" w:line="300"/>
        <w:jc w:val="left"/>
      </w:pPr>
      <w:r>
        <w:rPr>
          <w:rFonts w:ascii="맑은 고딕" w:cs="맑은 고딕" w:eastAsia="맑은 고딕" w:hAnsi="맑은 고딕"/>
          <w:b/>
          <w:bCs/>
          <w:i w:val="false"/>
          <w:iCs w:val="false"/>
          <w:color w:val="1B1B1B"/>
          <w:sz w:val="20"/>
          <w:szCs w:val="20"/>
        </w:rPr>
        <w:t xml:space="preserve">사례(완도군): </w:t>
      </w:r>
      <w:r>
        <w:rPr>
          <w:rFonts w:ascii="맑은 고딕" w:cs="맑은 고딕" w:eastAsia="맑은 고딕" w:hAnsi="맑은 고딕"/>
          <w:b w:val="false"/>
          <w:bCs w:val="false"/>
          <w:i w:val="false"/>
          <w:iCs w:val="false"/>
          <w:color w:val="1B1B1B"/>
          <w:sz w:val="20"/>
          <w:szCs w:val="20"/>
        </w:rPr>
        <w:t xml:space="preserve">완도군은 구조적 취약성지수 1위(index_main=1.233)이자 CH3 우선지원 순위 6위(등급 S)로, 두 결과가 정합적으로 연결된다. 다만 취약성의 주된 요인이 인위적확산 도메인(원목생산업체 저조)인데, 실제로는 단속·점검할 원목업체 자체가 거의 없어 표준 처방(원목 생산·유통 경로 관리)은 실효성이 낮다. 이에 따라 순위는 그대로 두되 유형만 산업기반부족형으로 재분류해, 처방을 산업기반·업계 육성 연계 지원으로 대체했다. 순위(무엇이 급한가)와 처방(무엇을 지원할까)을 분리해 다루었기에 가능한 결과다.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지원효과 시뮬레이션은 정책 개입이 가능한 지자체대응역량 변수를 보수적·기준·적극적 3단계 시나리오(+0.3SD/+0.6SD/+1.0SD)로 개선했을 때 구조적 취약성지수가 각각 +0.075/+0.15/+0.25만큼 개선되는 것으로 나타났다. 이는 실제 피해 감소 효과에 대한 인과적 추정치가 아니라 정책 개입이 지수 산식에 미치는 산술적 효과이며, 예산·인력 투입이 지수를 통해 어느 정도 크기로 반영되는지를 가늠하는 참고 지표로 활용한다.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5) 주요 성과 및 기대효과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00"/>
      </w:tblGrid>
      <w:tr>
        <w:tc>
          <w:tcPr>
            <w:tcW w:type="dxa" w:w="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전</w:t>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후</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진단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지자체별 취약 원인이 불분명, 주관적 판단에 의존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4개 도메인 기여도 분해로 "왜 취약한가" 객관적 진단</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배분</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 피해 실적 중심의 사후 대응형 배분 (R²=2.39%)</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구조위험 비례 배분으로 사각지대 식별 및 예방적 투자 근거 제시</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처방</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"취약 지역에 예산 더" 수준의 일률적 대응</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유형별 맞춤 지원 패키지 (예찰인프라 / 유통관리 / 기본체계 확충)</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경보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전년도 피해 지도 기반 수동 판단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AUC 0.95 조기경보모형으로 내년 발생 우선순위 자동 산출</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rPr>
          <w:rFonts w:ascii="맑은 고딕" w:cs="맑은 고딕" w:eastAsia="맑은 고딕" w:hAnsi="맑은 고딕"/>
          <w:b/>
          <w:bCs/>
          <w:i w:val="false"/>
          <w:iCs w:val="false"/>
          <w:color w:val="1B1B1B"/>
          <w:sz w:val="20"/>
          <w:szCs w:val="20"/>
        </w:rPr>
        <w:t xml:space="preserve">정책 활용 시나리오: </w:t>
      </w:r>
      <w:r>
        <w:rPr>
          <w:rFonts w:ascii="맑은 고딕" w:cs="맑은 고딕" w:eastAsia="맑은 고딕" w:hAnsi="맑은 고딕"/>
          <w:b w:val="false"/>
          <w:bCs w:val="false"/>
          <w:i w:val="false"/>
          <w:iCs w:val="false"/>
          <w:color w:val="1B1B1B"/>
          <w:sz w:val="20"/>
          <w:szCs w:val="20"/>
        </w:rPr>
        <w:t xml:space="preserve">국가방제전략(2026~2030)이 제시한 "시군구별 지역방제전략 수립 → 거버넌스 심사 → 예산 배정" 프로세스에서, 본 분석의 구조적 취약성지수는 지역방제전략의 객관적 진단 도구로, 유형화 매트릭스는 심사 기준 표준화 도구로, 재배분 시나리오는 예산 배정의 정량적 참고자료로 활용될 수 있다. 이를 통해 "어떤 지역이, 왜, 어떤 지원이 필요한가"를 데이터로 답하는 방제 의사결정 체계를 지원한다.</w:t>
      </w:r>
    </w:p>
    <w:p>
      <w:pPr>
        <w:spacing w:after="120" w:before="0" w:line="300"/>
        <w:jc w:val="left"/>
      </w:pPr>
      <w:r>
        <w:rPr>
          <w:rFonts w:ascii="맑은 고딕" w:cs="맑은 고딕" w:eastAsia="맑은 고딕" w:hAnsi="맑은 고딕"/>
          <w:b/>
          <w:bCs/>
          <w:i w:val="false"/>
          <w:iCs w:val="false"/>
          <w:color w:val="1B1B1B"/>
          <w:sz w:val="20"/>
          <w:szCs w:val="20"/>
        </w:rPr>
        <w:t xml:space="preserve">한계 및 향후 과제: </w:t>
      </w:r>
      <w:r>
        <w:rPr>
          <w:rFonts w:ascii="맑은 고딕" w:cs="맑은 고딕" w:eastAsia="맑은 고딕" w:hAnsi="맑은 고딕"/>
          <w:b w:val="false"/>
          <w:bCs w:val="false"/>
          <w:i w:val="false"/>
          <w:iCs w:val="false"/>
          <w:color w:val="1B1B1B"/>
          <w:sz w:val="20"/>
          <w:szCs w:val="20"/>
        </w:rPr>
        <w:t xml:space="preserve">Model 1의 AUC는 0.56~0.58 수준으로, 연간 발생을 정확히 예측하는 모형은 아니다(설계 의도대로 장기 취약성 측정도구). 예산의 인과적 한계효과 추정은 역인과·탐지편의 문제로 보류했으며, 향후 IV/이벤트스터디 기법으로 보강이 필요하다. 배분공식의 하한·상한 파라미터는 정책 담당자와의 협의를 통해 조정 가능하다.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즉, 본 연구는 소나무재선충병의 발생을 예측하는 데 그치지 않고, 국가방제전략이 요구하는 지역방제전략 수립과 예산 배분을 데이터 기반으로 지원하는 실행형 의사결정 모형을 제시한다.</w:t>
      </w:r>
    </w:p>
    <w:p>
      <w:pPr>
        <w:spacing w:after="100" w:before="300" w:line="300"/>
        <w:jc w:val="left"/>
      </w:pPr>
      <w:r>
        <w:rPr>
          <w:rFonts w:ascii="맑은 고딕" w:cs="맑은 고딕" w:eastAsia="맑은 고딕" w:hAnsi="맑은 고딕"/>
          <w:b/>
          <w:bCs/>
          <w:i w:val="false"/>
          <w:iCs w:val="false"/>
          <w:color w:val="1A56DB"/>
          <w:sz w:val="28"/>
          <w:szCs w:val="28"/>
        </w:rPr>
        <w:t xml:space="preserve">6) 결론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소나무재선충병 3차 대발생이라는 위기 국면에서, 한정된 방제예산을 어디에 먼저 투입할지를 데이터로 판단할 수 있는 실행형 의사결정 체계를 제시했다. 구조적 취약성지수(Model 1)는 낮은 예측력에도 불구하고 지역 간 만성적 위험 차이를 안정적으로 포착했고, 재발위험 조기경보모형(Model 2)은 상습발생 이력을 활용해 단기 예찰자원 배치에 필요한 신뢰도를 확보했다. 두 모형을 결합한 유형화·재배분 시나리오는 현행 예산 배분의 사각지대(위험 대비 과소·과다배정 각 74곳)를 구체적으로 드러냈다.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분석 결과를 다듬는 과정에서 방법론 자체의 정합성을 반복적으로 검증했다는 점에서도 신뢰할 수 있다. 도메인 부호 처리, 진단지수와 정책처방 간 매핑, 홀드아웃·rolling-origin 교차검증을 거치며 발견된 불일치를 그때그때 바로잡았고, 그 과정 자체가 분석 결과의 재현성과 견고성을 뒷받침한다.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앞으로 국가방제전략(2026~2030)이 요구하는 지역방제전략 수립과 거버넌스 심사에 본 분석의 취약성지수·유형화 매트릭스·재배분 시나리오가 실질적인 정량적 근거로 활용되기를 기대한다.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2026-07-30T06:22:30.451Z</dcterms:created>
  <dcterms:modified xsi:type="dcterms:W3CDTF">2026-07-30T06:22:30.481Z</dcterms:modified>
</cp:coreProperties>
</file>

<file path=docProps/custom.xml><?xml version="1.0" encoding="utf-8"?>
<Properties xmlns="http://schemas.openxmlformats.org/officeDocument/2006/custom-properties" xmlns:vt="http://schemas.openxmlformats.org/officeDocument/2006/docPropsVTypes"/>
</file>