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R²=3.4%에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0.95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(GIS 버퍼분석)</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0.947로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R²=3.4%로, 현재 예산 배분이 구조적 위험을 거의 반영하지 못하고 있음을 확인했다.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(R²=3.4%)</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0.95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