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CH2 방제취약성지수 산출 및 맞춤형 예산배분 모델링 분석보고서</w:t>
      </w:r>
    </w:p>
    <w:p>
      <w:pPr>
        <w:jc w:val="center"/>
      </w:pPr>
      <w:r>
        <w:rPr>
          <w:i/>
        </w:rPr>
        <w:t>2026-07-30 (7차 — Model 2 조기경보모형 재구현 및 2022년 기준 재발위험확률 산출, CH3 연동용)</w:t>
      </w:r>
    </w:p>
    <w:p>
      <w:pPr>
        <w:pStyle w:val="Heading1"/>
      </w:pPr>
      <w:r>
        <w:t>1. 분석 개요</w:t>
      </w:r>
    </w:p>
    <w:p>
      <w:r>
        <w:t>목적: 6차(최종판)에서 확정된 구조적취약성지수(Model 1) 위에, 전년도 발생이력·인접시군 확산정보를 결합한 재발위험 조기경보모형(Model 2)을 재구현하고, 2022년 기준 시군구별 재발위험확률을 산출해 CH3(우선지원 전략 설계)의 "단기 경보 결합(긴급도 분류)"에 연결한다.</w:t>
      </w:r>
    </w:p>
    <w:p>
      <w:r>
        <w:t>배경: 6차 폴더에 model2_production_final.py 등 원본 스크립트가 확보되지 않은 상태다(이전 세션 확인). 6차 보고서 §5(Model 2)에 기재된 검증된 방법론(t-1 lag, frozen-gm 누수 차단)을 그대로 재구현해 동일한 산출물을 만드는 방식으로 진행했다.</w:t>
      </w:r>
    </w:p>
    <w:p>
      <w:r>
        <w:t>산출 스크립트: model2_final_재구현.py</w:t>
      </w:r>
    </w:p>
    <w:p>
      <w:pPr>
        <w:pStyle w:val="Heading1"/>
      </w:pPr>
      <w:r>
        <w:t>2. 표본 및 방법론</w:t>
      </w:r>
    </w:p>
    <w:p>
      <w:r>
        <w:t>표본: Model 1과 동일한 검증된 카스케이드를 그대로 사용한다.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행수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전체 패널</w:t>
            </w:r>
          </w:p>
        </w:tc>
        <w:tc>
          <w:tcPr>
            <w:tcW w:type="dxa" w:w="2880"/>
          </w:tcPr>
          <w:p>
            <w:r>
              <w:t>1,832</w:t>
            </w:r>
          </w:p>
        </w:tc>
        <w:tc>
          <w:tcPr>
            <w:tcW w:type="dxa" w:w="2880"/>
          </w:tcPr>
          <w:p>
            <w:r>
              <w:t>229 시군구 × 8개년(2016–2023)</w:t>
            </w:r>
          </w:p>
        </w:tc>
      </w:tr>
      <w:tr>
        <w:tc>
          <w:tcPr>
            <w:tcW w:type="dxa" w:w="2880"/>
          </w:tcPr>
          <w:p>
            <w:r>
              <w:t>소나무림면적=0 제외</w:t>
            </w:r>
          </w:p>
        </w:tc>
        <w:tc>
          <w:tcPr>
            <w:tcW w:type="dxa" w:w="2880"/>
          </w:tcPr>
          <w:p>
            <w:r>
              <w:t>1,816</w:t>
            </w:r>
          </w:p>
        </w:tc>
        <w:tc>
          <w:tcPr>
            <w:tcW w:type="dxa" w:w="2880"/>
          </w:tcPr>
          <w:p>
            <w:r>
              <w:t>대구 중구·영등포구 등</w:t>
            </w:r>
          </w:p>
        </w:tc>
      </w:tr>
      <w:tr>
        <w:tc>
          <w:tcPr>
            <w:tcW w:type="dxa" w:w="2880"/>
          </w:tcPr>
          <w:p>
            <w:r>
              <w:t>임상도 판전환 자료무효 제외</w:t>
            </w:r>
          </w:p>
        </w:tc>
        <w:tc>
          <w:tcPr>
            <w:tcW w:type="dxa" w:w="2880"/>
          </w:tcPr>
          <w:p>
            <w:r>
              <w:t>1,804</w:t>
            </w:r>
          </w:p>
        </w:tc>
        <w:tc>
          <w:tcPr>
            <w:tcW w:type="dxa" w:w="2880"/>
          </w:tcPr>
          <w:p>
            <w:r>
              <w:t>소나무림면적_자료유효_flag=0 제외</w:t>
            </w:r>
          </w:p>
        </w:tc>
      </w:tr>
      <w:tr>
        <w:tc>
          <w:tcPr>
            <w:tcW w:type="dxa" w:w="2880"/>
          </w:tcPr>
          <w:p>
            <w:r>
              <w:t>핵심변수 완비(listwise)</w:t>
            </w:r>
          </w:p>
        </w:tc>
        <w:tc>
          <w:tcPr>
            <w:tcW w:type="dxa" w:w="2880"/>
          </w:tcPr>
          <w:p>
            <w:r>
              <w:t>1,753</w:t>
            </w:r>
          </w:p>
        </w:tc>
        <w:tc>
          <w:tcPr>
            <w:tcW w:type="dxa" w:w="2880"/>
          </w:tcPr>
          <w:p>
            <w:r>
              <w:t>222개 시군구</w:t>
            </w:r>
          </w:p>
        </w:tc>
      </w:tr>
    </w:tbl>
    <w:p/>
    <w:p>
      <w:r>
        <w:t>t-1 확산이력 변수: 연속발생연수, 집단발생여부, log_인접시군_피해밀도_본per_ha를 시군구별로 연도 정렬 후 1년 시차(shift)로 생성했다. 2016년은 2017년의 시차값 공급용으로만 쓰고, 2016년 자체 행은 분석표본에 포함하지 않는다.</w:t>
      </w:r>
    </w:p>
    <w:p>
      <w:r>
        <w:t>2023년 제외: 데이터유형 컬럼 확인 결과 2023년은 "추정"값(실측 아님)이라, 6차 §5.4와 동일한 기준으로 Model 2 적합·검증 전 구간에서 2023년을 제외했다.</w:t>
      </w:r>
    </w:p>
    <w:p>
      <w:r>
        <w:t>데이터 누수 차단(frozen-gm): CRE 구조의 _gm(지자체 그룹평균) 항을 훈련기간(2017–2020)에서만 계산해 그 값을 홀드아웃(2021–2022)에 고정 적용한다. 훈련기간에 관측되지 않은 신규 시군구가 있을 경우 훈련기간 전체 평균으로 대체한다.</w:t>
      </w:r>
    </w:p>
    <w:p>
      <w:r>
        <w:t>투입 변수: 구조적취약성지수(Model 1의 최종 지수) 및 그 _gm, 그리고 연속발생연수_L1·집단발생여부_L1·log_인접시군_피해밀도_본per_ha_L1 및 각각의 _gm — 총 8개 변수의 CRE 로지스틱 모형.</w:t>
      </w:r>
    </w:p>
    <w:p>
      <w:pPr>
        <w:pStyle w:val="Heading1"/>
      </w:pPr>
      <w:r>
        <w:t>3. 훈련/홀드아웃 검증 결과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구간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6차 보고서 원문</w:t>
            </w:r>
          </w:p>
        </w:tc>
      </w:tr>
      <w:tr>
        <w:tc>
          <w:tcPr>
            <w:tcW w:type="dxa" w:w="2160"/>
          </w:tcPr>
          <w:p>
            <w:r>
              <w:t>훈련(2017–2020)</w:t>
            </w:r>
          </w:p>
        </w:tc>
        <w:tc>
          <w:tcPr>
            <w:tcW w:type="dxa" w:w="2160"/>
          </w:tcPr>
          <w:p>
            <w:r>
              <w:t>874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  <w:tc>
          <w:tcPr>
            <w:tcW w:type="dxa" w:w="2160"/>
          </w:tcPr>
          <w:p>
            <w:r>
              <w:t>0.976 — 정확히 일치</w:t>
            </w:r>
          </w:p>
        </w:tc>
      </w:tr>
      <w:tr>
        <w:tc>
          <w:tcPr>
            <w:tcW w:type="dxa" w:w="2160"/>
          </w:tcPr>
          <w:p>
            <w:r>
              <w:t>홀드아웃(2021–2022)</w:t>
            </w:r>
          </w:p>
        </w:tc>
        <w:tc>
          <w:tcPr>
            <w:tcW w:type="dxa" w:w="2160"/>
          </w:tcPr>
          <w:p>
            <w:r>
              <w:t>442</w:t>
            </w:r>
          </w:p>
        </w:tc>
        <w:tc>
          <w:tcPr>
            <w:tcW w:type="dxa" w:w="2160"/>
          </w:tcPr>
          <w:p>
            <w:r>
              <w:t>0.911</w:t>
            </w:r>
          </w:p>
        </w:tc>
        <w:tc>
          <w:tcPr>
            <w:tcW w:type="dxa" w:w="2160"/>
          </w:tcPr>
          <w:p>
            <w:r>
              <w:t>0.947 — 재현 시도했으나 3.6%p 낮음(§5 한계 참고)</w:t>
            </w:r>
          </w:p>
        </w:tc>
      </w:tr>
    </w:tbl>
    <w:p/>
    <w:p>
      <w:r>
        <w:t>훈련 표본의 계수(발췌):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변수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계수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</w:t>
            </w:r>
          </w:p>
        </w:tc>
      </w:tr>
      <w:tr>
        <w:tc>
          <w:tcPr>
            <w:tcW w:type="dxa" w:w="2880"/>
          </w:tcPr>
          <w:p>
            <w:r>
              <w:t>구조적취약성지수</w:t>
            </w:r>
          </w:p>
        </w:tc>
        <w:tc>
          <w:tcPr>
            <w:tcW w:type="dxa" w:w="2880"/>
          </w:tcPr>
          <w:p>
            <w:r>
              <w:t>−2.182</w:t>
            </w:r>
          </w:p>
        </w:tc>
        <w:tc>
          <w:tcPr>
            <w:tcW w:type="dxa" w:w="2880"/>
          </w:tcPr>
          <w:p>
            <w:r>
              <w:t>0.053</w:t>
            </w:r>
          </w:p>
        </w:tc>
      </w:tr>
      <w:tr>
        <w:tc>
          <w:tcPr>
            <w:tcW w:type="dxa" w:w="2880"/>
          </w:tcPr>
          <w:p>
            <w:r>
              <w:t>연속발생연수_L1</w:t>
            </w:r>
          </w:p>
        </w:tc>
        <w:tc>
          <w:tcPr>
            <w:tcW w:type="dxa" w:w="2880"/>
          </w:tcPr>
          <w:p>
            <w:r>
              <w:t>−0.546</w:t>
            </w:r>
          </w:p>
        </w:tc>
        <w:tc>
          <w:tcPr>
            <w:tcW w:type="dxa" w:w="2880"/>
          </w:tcPr>
          <w:p>
            <w:r>
              <w:t>0.007</w:t>
            </w:r>
          </w:p>
        </w:tc>
      </w:tr>
      <w:tr>
        <w:tc>
          <w:tcPr>
            <w:tcW w:type="dxa" w:w="2880"/>
          </w:tcPr>
          <w:p>
            <w:r>
              <w:t>집단발생여부_L1</w:t>
            </w:r>
          </w:p>
        </w:tc>
        <w:tc>
          <w:tcPr>
            <w:tcW w:type="dxa" w:w="2880"/>
          </w:tcPr>
          <w:p>
            <w:r>
              <w:t>1.387</w:t>
            </w:r>
          </w:p>
        </w:tc>
        <w:tc>
          <w:tcPr>
            <w:tcW w:type="dxa" w:w="2880"/>
          </w:tcPr>
          <w:p>
            <w:r>
              <w:t>0.444</w:t>
            </w:r>
          </w:p>
        </w:tc>
      </w:tr>
      <w:tr>
        <w:tc>
          <w:tcPr>
            <w:tcW w:type="dxa" w:w="2880"/>
          </w:tcPr>
          <w:p>
            <w:r>
              <w:t>log_인접시군_피해밀도_본per_ha_L1</w:t>
            </w:r>
          </w:p>
        </w:tc>
        <w:tc>
          <w:tcPr>
            <w:tcW w:type="dxa" w:w="2880"/>
          </w:tcPr>
          <w:p>
            <w:r>
              <w:t>−0.550</w:t>
            </w:r>
          </w:p>
        </w:tc>
        <w:tc>
          <w:tcPr>
            <w:tcW w:type="dxa" w:w="2880"/>
          </w:tcPr>
          <w:p>
            <w:r>
              <w:t>0.943</w:t>
            </w:r>
          </w:p>
        </w:tc>
      </w:tr>
      <w:tr>
        <w:tc>
          <w:tcPr>
            <w:tcW w:type="dxa" w:w="2880"/>
          </w:tcPr>
          <w:p>
            <w:r>
              <w:t>구조적취약성지수_gm</w:t>
            </w:r>
          </w:p>
        </w:tc>
        <w:tc>
          <w:tcPr>
            <w:tcW w:type="dxa" w:w="2880"/>
          </w:tcPr>
          <w:p>
            <w:r>
              <w:t>2.716</w:t>
            </w:r>
          </w:p>
        </w:tc>
        <w:tc>
          <w:tcPr>
            <w:tcW w:type="dxa" w:w="2880"/>
          </w:tcPr>
          <w:p>
            <w:r>
              <w:t>0.016</w:t>
            </w:r>
          </w:p>
        </w:tc>
      </w:tr>
      <w:tr>
        <w:tc>
          <w:tcPr>
            <w:tcW w:type="dxa" w:w="2880"/>
          </w:tcPr>
          <w:p>
            <w:r>
              <w:t>연속발생연수_L1_gm</w:t>
            </w:r>
          </w:p>
        </w:tc>
        <w:tc>
          <w:tcPr>
            <w:tcW w:type="dxa" w:w="2880"/>
          </w:tcPr>
          <w:p>
            <w:r>
              <w:t>2.744</w:t>
            </w:r>
          </w:p>
        </w:tc>
        <w:tc>
          <w:tcPr>
            <w:tcW w:type="dxa" w:w="2880"/>
          </w:tcPr>
          <w:p>
            <w:r>
              <w:t>&lt;0.001</w:t>
            </w:r>
          </w:p>
        </w:tc>
      </w:tr>
      <w:tr>
        <w:tc>
          <w:tcPr>
            <w:tcW w:type="dxa" w:w="2880"/>
          </w:tcPr>
          <w:p>
            <w:r>
              <w:t>집단발생여부_L1_gm</w:t>
            </w:r>
          </w:p>
        </w:tc>
        <w:tc>
          <w:tcPr>
            <w:tcW w:type="dxa" w:w="2880"/>
          </w:tcPr>
          <w:p>
            <w:r>
              <w:t>2.944</w:t>
            </w:r>
          </w:p>
        </w:tc>
        <w:tc>
          <w:tcPr>
            <w:tcW w:type="dxa" w:w="2880"/>
          </w:tcPr>
          <w:p>
            <w:r>
              <w:t>0.156</w:t>
            </w:r>
          </w:p>
        </w:tc>
      </w:tr>
      <w:tr>
        <w:tc>
          <w:tcPr>
            <w:tcW w:type="dxa" w:w="2880"/>
          </w:tcPr>
          <w:p>
            <w:r>
              <w:t>log_인접시군_피해밀도_본per_ha_L1_gm</w:t>
            </w:r>
          </w:p>
        </w:tc>
        <w:tc>
          <w:tcPr>
            <w:tcW w:type="dxa" w:w="2880"/>
          </w:tcPr>
          <w:p>
            <w:r>
              <w:t>2.482</w:t>
            </w:r>
          </w:p>
        </w:tc>
        <w:tc>
          <w:tcPr>
            <w:tcW w:type="dxa" w:w="2880"/>
          </w:tcPr>
          <w:p>
            <w:r>
              <w:t>0.775</w:t>
            </w:r>
          </w:p>
        </w:tc>
      </w:tr>
    </w:tbl>
    <w:p/>
    <w:p>
      <w:r>
        <w:t>공간전파 항(인접시군 피해밀도_L1, 그 gm 포함)은 모든 사양(훈련/롤링오리진/최종 프로덕션)에서 p=0.36~0.94로 일관되게 비유의했다 — "AUC 상승은 공간전파가 아니라 자체 발생 관성(연속발생연수)에서 나온다"는 6차 §5.5 결론과 일치한다.</w:t>
      </w:r>
    </w:p>
    <w:p>
      <w:r>
        <w:t>단순 재발 기준모형과의 비교: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기준모형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홀드아웃 AUC</w:t>
            </w:r>
          </w:p>
        </w:tc>
      </w:tr>
      <w:tr>
        <w:tc>
          <w:tcPr>
            <w:tcW w:type="dxa" w:w="4320"/>
          </w:tcPr>
          <w:p>
            <w:r>
              <w:t>연속발생연수 단독</w:t>
            </w:r>
          </w:p>
        </w:tc>
        <w:tc>
          <w:tcPr>
            <w:tcW w:type="dxa" w:w="4320"/>
          </w:tcPr>
          <w:p>
            <w:r>
              <w:t>0.918</w:t>
            </w:r>
          </w:p>
        </w:tc>
      </w:tr>
      <w:tr>
        <w:tc>
          <w:tcPr>
            <w:tcW w:type="dxa" w:w="4320"/>
          </w:tcPr>
          <w:p>
            <w:r>
              <w:t>Model 2(전체변수)</w:t>
            </w:r>
          </w:p>
        </w:tc>
        <w:tc>
          <w:tcPr>
            <w:tcW w:type="dxa" w:w="4320"/>
          </w:tcPr>
          <w:p>
            <w:r>
              <w:t>0.911</w:t>
            </w:r>
          </w:p>
        </w:tc>
      </w:tr>
    </w:tbl>
    <w:p/>
    <w:p>
      <w:r>
        <w:t>6차 보고서는 이 비교에서 "연속발생연수 단독 0.918 → Model2 전체 0.947"로 약 3%p 개선을 보고했으나, 이번 재구현에서는 오히려 단독모형이 근소하게 더 높게 나왔다. AUC 상승분의 대부분이 상습발생 이력 단일 변수에서 나온다는 핵심 결론 자체는 두 결과 모두에서 동일하게 확인된다.</w:t>
      </w:r>
    </w:p>
    <w:p>
      <w:pPr>
        <w:pStyle w:val="Heading1"/>
      </w:pPr>
      <w:r>
        <w:t>4. Rolling-origin 검증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훈련 종료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검증연도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AUC(재구현)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6차 보고서 원문</w:t>
            </w:r>
          </w:p>
        </w:tc>
      </w:tr>
      <w:tr>
        <w:tc>
          <w:tcPr>
            <w:tcW w:type="dxa" w:w="2160"/>
          </w:tcPr>
          <w:p>
            <w:r>
              <w:t>≤2020</w:t>
            </w:r>
          </w:p>
        </w:tc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0.926</w:t>
            </w:r>
          </w:p>
        </w:tc>
        <w:tc>
          <w:tcPr>
            <w:tcW w:type="dxa" w:w="2160"/>
          </w:tcPr>
          <w:p>
            <w:r>
              <w:t>0.934</w:t>
            </w:r>
          </w:p>
        </w:tc>
      </w:tr>
      <w:tr>
        <w:tc>
          <w:tcPr>
            <w:tcW w:type="dxa" w:w="2160"/>
          </w:tcPr>
          <w:p>
            <w:r>
              <w:t>≤2021</w:t>
            </w:r>
          </w:p>
        </w:tc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0.913</w:t>
            </w:r>
          </w:p>
        </w:tc>
        <w:tc>
          <w:tcPr>
            <w:tcW w:type="dxa" w:w="2160"/>
          </w:tcPr>
          <w:p>
            <w:r>
              <w:t>0.933</w:t>
            </w:r>
          </w:p>
        </w:tc>
      </w:tr>
    </w:tbl>
    <w:p/>
    <w:p>
      <w:pPr>
        <w:pStyle w:val="Heading1"/>
      </w:pPr>
      <w:r>
        <w:t>5. 재현성 관련 한계 — 반드시 읽을 것</w:t>
      </w:r>
    </w:p>
    <w:p>
      <w:r>
        <w:t>훈련 AUC(0.976)는 6차 보고서 원문과 소수점까지 정확히 일치했으나, 홀드아웃·rolling-origin AUC는 2~4%p 낮게 나왔다(0.911~0.926 vs 보고서 0.933~0.947). 대안으로 "구조적취약성지수" 하나 대신 4개 도메인 점수를 개별 투입하는 사양도 시도했으나(6차 신청서 초안의 "Model 1 전체" 표현 근거), 개선 폭이 미미했고 오히려 일부 계수의 표준오차가 크게 불안정해져(예: 노출도_점수 SE=5.8) 채택하지 않았다.</w:t>
      </w:r>
    </w:p>
    <w:p>
      <w:r>
        <w:t>원인은 원본 model2_production_final.py를 확보하지 못해 다음과 같은 세부사양 차이가 있을 가능성이 있다: (1) frozen-gm 결측(신규 시군구) 대체 방식, (2) 군집표준오차 계산 방식의 미세한 차이, (3) t-1 변수 외 추가 통제변수 존재 가능성.</w:t>
      </w:r>
    </w:p>
    <w:p>
      <w:r>
        <w:t>정성적 교차검증: 6차 §9.3이 "부족×긴급도 높음" 최우선 대응지역으로 지목한 7개 시군구(경북 고령군·포항시·성주군, 대구 동구, 경북 영주시, 강원 횡성군, 충북 제천시)를 이번 재구현 모형으로 확인한 결과, 7곳 전부 전체 222개 시군구 중 상위 24~37%(순위 28~82위) 안에서 재발위험확률 0.83 이상으로 높게 나타났다. 즉 절대 수치(AUC, 확률값)는 원본과 차이가 있지만, "어느 지역이 위험한가"라는 방향성·순위는 6차와 일관된다.</w:t>
      </w:r>
    </w:p>
    <w:p>
      <w:r>
        <w:t>권고: 이 재구현 결과의 정밀한 확률값(예: 0.999963)을 그대로 발표자료에 인용하지 말고, 상대적 순위 또는 구간(예: 상위 20%/40%)으로 표현할 것을 권장한다.</w:t>
      </w:r>
    </w:p>
    <w:p>
      <w:pPr>
        <w:pStyle w:val="Heading1"/>
      </w:pPr>
      <w:r>
        <w:t>6. 최종 프로덕션 모형 및 2022년 기준 재발위험확률</w:t>
      </w:r>
    </w:p>
    <w:p>
      <w:r>
        <w:t>2017–2022년 전체 표본(n=1,316)으로 최종 적합한 모형의 AUC는 0.971이다. 이 모형으로 2022년 단면 데이터에 대해 시군구별 재발위험확률을 산출했다.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시군구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구조적취약성지수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재발위험확률</w:t>
            </w:r>
          </w:p>
        </w:tc>
      </w:tr>
      <w:tr>
        <w:tc>
          <w:tcPr>
            <w:tcW w:type="dxa" w:w="2160"/>
          </w:tcPr>
          <w:p>
            <w:r>
              <w:t>울산광역시</w:t>
            </w:r>
          </w:p>
        </w:tc>
        <w:tc>
          <w:tcPr>
            <w:tcW w:type="dxa" w:w="2160"/>
          </w:tcPr>
          <w:p>
            <w:r>
              <w:t>동구</w:t>
            </w:r>
          </w:p>
        </w:tc>
        <w:tc>
          <w:tcPr>
            <w:tcW w:type="dxa" w:w="2160"/>
          </w:tcPr>
          <w:p>
            <w:r>
              <w:t>0.505</w:t>
            </w:r>
          </w:p>
        </w:tc>
        <w:tc>
          <w:tcPr>
            <w:tcW w:type="dxa" w:w="2160"/>
          </w:tcPr>
          <w:p>
            <w:r>
              <w:t>0.99996</w:t>
            </w:r>
          </w:p>
        </w:tc>
      </w:tr>
      <w:tr>
        <w:tc>
          <w:tcPr>
            <w:tcW w:type="dxa" w:w="2160"/>
          </w:tcPr>
          <w:p>
            <w:r>
              <w:t>울산광역시</w:t>
            </w:r>
          </w:p>
        </w:tc>
        <w:tc>
          <w:tcPr>
            <w:tcW w:type="dxa" w:w="2160"/>
          </w:tcPr>
          <w:p>
            <w:r>
              <w:t>남구</w:t>
            </w:r>
          </w:p>
        </w:tc>
        <w:tc>
          <w:tcPr>
            <w:tcW w:type="dxa" w:w="2160"/>
          </w:tcPr>
          <w:p>
            <w:r>
              <w:t>−0.268</w:t>
            </w:r>
          </w:p>
        </w:tc>
        <w:tc>
          <w:tcPr>
            <w:tcW w:type="dxa" w:w="2160"/>
          </w:tcPr>
          <w:p>
            <w:r>
              <w:t>0.99995</w:t>
            </w:r>
          </w:p>
        </w:tc>
      </w:tr>
      <w:tr>
        <w:tc>
          <w:tcPr>
            <w:tcW w:type="dxa" w:w="2160"/>
          </w:tcPr>
          <w:p>
            <w:r>
              <w:t>울산광역시</w:t>
            </w:r>
          </w:p>
        </w:tc>
        <w:tc>
          <w:tcPr>
            <w:tcW w:type="dxa" w:w="2160"/>
          </w:tcPr>
          <w:p>
            <w:r>
              <w:t>북구</w:t>
            </w:r>
          </w:p>
        </w:tc>
        <w:tc>
          <w:tcPr>
            <w:tcW w:type="dxa" w:w="2160"/>
          </w:tcPr>
          <w:p>
            <w:r>
              <w:t>0.483</w:t>
            </w:r>
          </w:p>
        </w:tc>
        <w:tc>
          <w:tcPr>
            <w:tcW w:type="dxa" w:w="2160"/>
          </w:tcPr>
          <w:p>
            <w:r>
              <w:t>0.99994</w:t>
            </w:r>
          </w:p>
        </w:tc>
      </w:tr>
      <w:tr>
        <w:tc>
          <w:tcPr>
            <w:tcW w:type="dxa" w:w="2160"/>
          </w:tcPr>
          <w:p>
            <w:r>
              <w:t>울산광역시</w:t>
            </w:r>
          </w:p>
        </w:tc>
        <w:tc>
          <w:tcPr>
            <w:tcW w:type="dxa" w:w="2160"/>
          </w:tcPr>
          <w:p>
            <w:r>
              <w:t>중구</w:t>
            </w:r>
          </w:p>
        </w:tc>
        <w:tc>
          <w:tcPr>
            <w:tcW w:type="dxa" w:w="2160"/>
          </w:tcPr>
          <w:p>
            <w:r>
              <w:t>0.341</w:t>
            </w:r>
          </w:p>
        </w:tc>
        <w:tc>
          <w:tcPr>
            <w:tcW w:type="dxa" w:w="2160"/>
          </w:tcPr>
          <w:p>
            <w:r>
              <w:t>0.99991</w:t>
            </w:r>
          </w:p>
        </w:tc>
      </w:tr>
      <w:tr>
        <w:tc>
          <w:tcPr>
            <w:tcW w:type="dxa" w:w="2160"/>
          </w:tcPr>
          <w:p>
            <w:r>
              <w:t>경상북도</w:t>
            </w:r>
          </w:p>
        </w:tc>
        <w:tc>
          <w:tcPr>
            <w:tcW w:type="dxa" w:w="2160"/>
          </w:tcPr>
          <w:p>
            <w:r>
              <w:t>경주시</w:t>
            </w:r>
          </w:p>
        </w:tc>
        <w:tc>
          <w:tcPr>
            <w:tcW w:type="dxa" w:w="2160"/>
          </w:tcPr>
          <w:p>
            <w:r>
              <w:t>0.144</w:t>
            </w:r>
          </w:p>
        </w:tc>
        <w:tc>
          <w:tcPr>
            <w:tcW w:type="dxa" w:w="2160"/>
          </w:tcPr>
          <w:p>
            <w:r>
              <w:t>0.99980</w:t>
            </w:r>
          </w:p>
        </w:tc>
      </w:tr>
      <w:tr>
        <w:tc>
          <w:tcPr>
            <w:tcW w:type="dxa" w:w="2160"/>
          </w:tcPr>
          <w:p>
            <w:r>
              <w:t>울산광역시</w:t>
            </w:r>
          </w:p>
        </w:tc>
        <w:tc>
          <w:tcPr>
            <w:tcW w:type="dxa" w:w="2160"/>
          </w:tcPr>
          <w:p>
            <w:r>
              <w:t>울주군</w:t>
            </w:r>
          </w:p>
        </w:tc>
        <w:tc>
          <w:tcPr>
            <w:tcW w:type="dxa" w:w="2160"/>
          </w:tcPr>
          <w:p>
            <w:r>
              <w:t>0.077</w:t>
            </w:r>
          </w:p>
        </w:tc>
        <w:tc>
          <w:tcPr>
            <w:tcW w:type="dxa" w:w="2160"/>
          </w:tcPr>
          <w:p>
            <w:r>
              <w:t>0.99974</w:t>
            </w:r>
          </w:p>
        </w:tc>
      </w:tr>
      <w:tr>
        <w:tc>
          <w:tcPr>
            <w:tcW w:type="dxa" w:w="2160"/>
          </w:tcPr>
          <w:p>
            <w:r>
              <w:t>경상남도</w:t>
            </w:r>
          </w:p>
        </w:tc>
        <w:tc>
          <w:tcPr>
            <w:tcW w:type="dxa" w:w="2160"/>
          </w:tcPr>
          <w:p>
            <w:r>
              <w:t>고성군</w:t>
            </w:r>
          </w:p>
        </w:tc>
        <w:tc>
          <w:tcPr>
            <w:tcW w:type="dxa" w:w="2160"/>
          </w:tcPr>
          <w:p>
            <w:r>
              <w:t>0.724</w:t>
            </w:r>
          </w:p>
        </w:tc>
        <w:tc>
          <w:tcPr>
            <w:tcW w:type="dxa" w:w="2160"/>
          </w:tcPr>
          <w:p>
            <w:r>
              <w:t>0.99972</w:t>
            </w:r>
          </w:p>
        </w:tc>
      </w:tr>
      <w:tr>
        <w:tc>
          <w:tcPr>
            <w:tcW w:type="dxa" w:w="2160"/>
          </w:tcPr>
          <w:p>
            <w:r>
              <w:t>경상남도</w:t>
            </w:r>
          </w:p>
        </w:tc>
        <w:tc>
          <w:tcPr>
            <w:tcW w:type="dxa" w:w="2160"/>
          </w:tcPr>
          <w:p>
            <w:r>
              <w:t>거제시</w:t>
            </w:r>
          </w:p>
        </w:tc>
        <w:tc>
          <w:tcPr>
            <w:tcW w:type="dxa" w:w="2160"/>
          </w:tcPr>
          <w:p>
            <w:r>
              <w:t>0.492</w:t>
            </w:r>
          </w:p>
        </w:tc>
        <w:tc>
          <w:tcPr>
            <w:tcW w:type="dxa" w:w="2160"/>
          </w:tcPr>
          <w:p>
            <w:r>
              <w:t>0.99971</w:t>
            </w:r>
          </w:p>
        </w:tc>
      </w:tr>
      <w:tr>
        <w:tc>
          <w:tcPr>
            <w:tcW w:type="dxa" w:w="2160"/>
          </w:tcPr>
          <w:p>
            <w:r>
              <w:t>부산광역시</w:t>
            </w:r>
          </w:p>
        </w:tc>
        <w:tc>
          <w:tcPr>
            <w:tcW w:type="dxa" w:w="2160"/>
          </w:tcPr>
          <w:p>
            <w:r>
              <w:t>기장군</w:t>
            </w:r>
          </w:p>
        </w:tc>
        <w:tc>
          <w:tcPr>
            <w:tcW w:type="dxa" w:w="2160"/>
          </w:tcPr>
          <w:p>
            <w:r>
              <w:t>0.603</w:t>
            </w:r>
          </w:p>
        </w:tc>
        <w:tc>
          <w:tcPr>
            <w:tcW w:type="dxa" w:w="2160"/>
          </w:tcPr>
          <w:p>
            <w:r>
              <w:t>0.99966</w:t>
            </w:r>
          </w:p>
        </w:tc>
      </w:tr>
      <w:tr>
        <w:tc>
          <w:tcPr>
            <w:tcW w:type="dxa" w:w="2160"/>
          </w:tcPr>
          <w:p>
            <w:r>
              <w:t>경상남도</w:t>
            </w:r>
          </w:p>
        </w:tc>
        <w:tc>
          <w:tcPr>
            <w:tcW w:type="dxa" w:w="2160"/>
          </w:tcPr>
          <w:p>
            <w:r>
              <w:t>양산시</w:t>
            </w:r>
          </w:p>
        </w:tc>
        <w:tc>
          <w:tcPr>
            <w:tcW w:type="dxa" w:w="2160"/>
          </w:tcPr>
          <w:p>
            <w:r>
              <w:t>0.158</w:t>
            </w:r>
          </w:p>
        </w:tc>
        <w:tc>
          <w:tcPr>
            <w:tcW w:type="dxa" w:w="2160"/>
          </w:tcPr>
          <w:p>
            <w:r>
              <w:t>0.99962</w:t>
            </w:r>
          </w:p>
        </w:tc>
      </w:tr>
    </w:tbl>
    <w:p/>
    <w:p>
      <w:r>
        <w:t>상위 10개가 울산·부산·경남 해안지역에 쏠려있는 점이 6차 §9.3의 목록(경북 내륙 중심)과 달라 보이나, 이는 "절대 top-10" 기준 차이일 뿐 — §5의 정성적 교차검증에서 확인했듯 6차가 지목한 지역들도 이 모형에서 상위 24~37% 구간에 든다.</w:t>
      </w:r>
    </w:p>
    <w:p>
      <w:pPr>
        <w:pStyle w:val="Heading1"/>
      </w:pPr>
      <w:r>
        <w:t>7. CH3 연동 방안</w:t>
      </w:r>
    </w:p>
    <w:p>
      <w:r>
        <w:t>산출물 CSV(Model2_재발위험확률_2022기준_final.csv, 222개 시군구)를 CH3 대시보드 04번 섹션(지원효과 시뮬레이션)의 "단기 경보 결합" 로직에 사용한다. CH2의 배분갭 "부족" 판정(74개 시군구)과 교차해 재발위험확률이 높은 곳을 "부족×긴급도 높음"으로 우선 분류하는 6차 §9.3 방식을 그대로 따른다. 다만 §5의 한계에 따라 확률 절대값이 아닌 상대 순위/구간으로 긴급도를 나눌 것을 권장한다.</w:t>
      </w:r>
    </w:p>
    <w:p>
      <w:pPr>
        <w:pStyle w:val="Heading1"/>
      </w:pPr>
      <w:r>
        <w:t>부록. 산출물 파일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model2_final_재구현.py</w:t>
            </w:r>
          </w:p>
        </w:tc>
        <w:tc>
          <w:tcPr>
            <w:tcW w:type="dxa" w:w="4320"/>
          </w:tcPr>
          <w:p>
            <w:r>
              <w:t>Model 2 재구현 스크립트(훈련/홀드아웃, rolling-origin, 최종 프로덕션 모형 전부 포함)</w:t>
            </w:r>
          </w:p>
        </w:tc>
      </w:tr>
      <w:tr>
        <w:tc>
          <w:tcPr>
            <w:tcW w:type="dxa" w:w="4320"/>
          </w:tcPr>
          <w:p>
            <w:r>
              <w:t>Model2_final_로그.txt</w:t>
            </w:r>
          </w:p>
        </w:tc>
        <w:tc>
          <w:tcPr>
            <w:tcW w:type="dxa" w:w="4320"/>
          </w:tcPr>
          <w:p>
            <w:r>
              <w:t>전체 실행 로그(계수표, AUC, 교차검증 포함)</w:t>
            </w:r>
          </w:p>
        </w:tc>
      </w:tr>
      <w:tr>
        <w:tc>
          <w:tcPr>
            <w:tcW w:type="dxa" w:w="4320"/>
          </w:tcPr>
          <w:p>
            <w:r>
              <w:t>Model2_재발위험확률_2022기준_final.csv</w:t>
            </w:r>
          </w:p>
        </w:tc>
        <w:tc>
          <w:tcPr>
            <w:tcW w:type="dxa" w:w="4320"/>
          </w:tcPr>
          <w:p>
            <w:r>
              <w:t>222개 시군구별 2022년 기준 재발위험확률 — CH3 연동용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