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CH2 방제취약성지수 산출 및 맞춤형 예산배분 모델링 분석보고서</w:t>
      </w:r>
    </w:p>
    <w:p>
      <w:pPr>
        <w:pStyle w:val="Date"/>
      </w:pPr>
      <w:r>
        <w:t xml:space="preserve">2026-07-30 (v3 — 기후위험도 QA 반영, Model 1·2 전체 파이프라인 재실행)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분석-개요"/>
    <w:p>
      <w:pPr>
        <w:pStyle w:val="Heading1"/>
      </w:pPr>
      <w:r>
        <w:t xml:space="preserve">1. 분석 개요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소나무재선충병 방제취약성지수를 산출하고, 이를 바탕으로 맞춤형 예산배분 모형을 구축한다. 국가대응수준 도메인은 커버리지 한계(31/229개 시군구, 13.5%)로 메인 분석에서 제외하고 로버스트니스 전용 보조모형으로 별도 유지한다.</w:t>
      </w:r>
    </w:p>
    <w:p>
      <w:pPr>
        <w:pStyle w:val="BodyText"/>
      </w:pPr>
      <w:r>
        <w:rPr>
          <w:b/>
          <w:bCs/>
        </w:rPr>
        <w:t xml:space="preserve">데이터</w:t>
      </w:r>
      <w:r>
        <w:t xml:space="preserve">: 229개 시군구 × 8개년(2016–2023) 패널.</w:t>
      </w:r>
      <w:r>
        <w:t xml:space="preserve"> </w:t>
      </w:r>
      <w:r>
        <w:rPr>
          <w:rStyle w:val="VerbatimChar"/>
        </w:rPr>
        <w:t xml:space="preserve">CH2_전체병합패널_5도메인_2016_2023_최종보정3.csv</w:t>
      </w:r>
      <w:r>
        <w:t xml:space="preserve">(1,832행 × 98열)를 사용했다.</w:t>
      </w:r>
    </w:p>
    <w:p>
      <w:pPr>
        <w:pStyle w:val="BlockText"/>
      </w:pPr>
      <w:r>
        <w:rPr>
          <w:b/>
          <w:bCs/>
        </w:rPr>
        <w:t xml:space="preserve">v3 갱신 사항</w:t>
      </w:r>
      <w:r>
        <w:t xml:space="preserve">: 기후위험도 도메인 QA 피드백을 검증·반영했다. (1) ICC(ANOVA)를 독립 재계산한 결과 원문서 수치와 불일치가 확인되어 정정, (2) SPI3_최저월(최심가뭄)을 도메인에서 완전 제외, (3) 평균풍속_ms는 제외/축소 결정을 철회하고 핵심 변수로 유지, (4) 결측·관측소 이슈 각주를 분리 정정했다. 이 갱신을 반영해</w:t>
      </w:r>
      <w:r>
        <w:t xml:space="preserve"> </w:t>
      </w:r>
      <w:r>
        <w:rPr>
          <w:b/>
          <w:bCs/>
        </w:rPr>
        <w:t xml:space="preserve">Model 1(구조적 취약성지수)과 Model 2(조기경보모형)를 모두 구축</w:t>
      </w:r>
      <w:r>
        <w:t xml:space="preserve">했고, 모형 B 3단계(배분공식 시뮬레이션)와 국가대응수준 보조모형도 최종보정3 데이터로 전부 재실행했다. 본 보고서 전체가 v3 기준으로 통일되어 있다.</w:t>
      </w:r>
    </w:p>
    <w:p>
      <w:pPr>
        <w:pStyle w:val="FirstParagraph"/>
      </w:pPr>
      <w:r>
        <w:rPr>
          <w:b/>
          <w:bCs/>
        </w:rPr>
        <w:t xml:space="preserve">분석 구조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표본 정의 및 결측치 처리, 기후위험도 도메인 QA</w:t>
      </w:r>
    </w:p>
    <w:p>
      <w:pPr>
        <w:pStyle w:val="Compact"/>
        <w:numPr>
          <w:ilvl w:val="0"/>
          <w:numId w:val="1001"/>
        </w:numPr>
      </w:pPr>
      <w:r>
        <w:t xml:space="preserve">방제취약성지수(Model 1) 산출 — 가중치 최종 확정(동일가중)</w:t>
      </w:r>
    </w:p>
    <w:p>
      <w:pPr>
        <w:pStyle w:val="Compact"/>
        <w:numPr>
          <w:ilvl w:val="0"/>
          <w:numId w:val="1001"/>
        </w:numPr>
      </w:pPr>
      <w:r>
        <w:t xml:space="preserve">모형 A — Model 1 타당성 검증(패널 CRE 2부문모형)</w:t>
      </w:r>
    </w:p>
    <w:p>
      <w:pPr>
        <w:pStyle w:val="Compact"/>
        <w:numPr>
          <w:ilvl w:val="0"/>
          <w:numId w:val="1001"/>
        </w:numPr>
      </w:pPr>
      <w:r>
        <w:t xml:space="preserve">배분갭 진단 및 시군구별 기여도 분해·2축 유형화</w:t>
      </w:r>
    </w:p>
    <w:p>
      <w:pPr>
        <w:pStyle w:val="Compact"/>
        <w:numPr>
          <w:ilvl w:val="0"/>
          <w:numId w:val="1001"/>
        </w:numPr>
      </w:pPr>
      <w:r>
        <w:t xml:space="preserve">Model 2 — 조기경보모형(Model 1 + t-1 확산이력·공간시차)</w:t>
      </w:r>
    </w:p>
    <w:p>
      <w:pPr>
        <w:pStyle w:val="Compact"/>
        <w:numPr>
          <w:ilvl w:val="0"/>
          <w:numId w:val="1001"/>
        </w:numPr>
      </w:pPr>
      <w:r>
        <w:t xml:space="preserve">배분공식 시뮬레이션</w:t>
      </w:r>
    </w:p>
    <w:p>
      <w:pPr>
        <w:pStyle w:val="Compact"/>
        <w:numPr>
          <w:ilvl w:val="0"/>
          <w:numId w:val="1001"/>
        </w:numPr>
      </w:pPr>
      <w:r>
        <w:t xml:space="preserve">국가대응수준 보조모형(로버스트니스 전용)</w:t>
      </w:r>
    </w:p>
    <w:p>
      <w:pPr>
        <w:pStyle w:val="FirstParagraph"/>
      </w:pPr>
      <w:r>
        <w:t xml:space="preserve">산출 스크립트는</w:t>
      </w:r>
      <w:r>
        <w:t xml:space="preserve"> </w:t>
      </w:r>
      <w:r>
        <w:rPr>
          <w:rStyle w:val="VerbatimChar"/>
        </w:rPr>
        <w:t xml:space="preserve">병합패널/scripts/</w:t>
      </w:r>
      <w:r>
        <w:t xml:space="preserve">(</w:t>
      </w:r>
      <w:r>
        <w:rPr>
          <w:rStyle w:val="VerbatimChar"/>
        </w:rPr>
        <w:t xml:space="preserve">fix_climate_domain_qa.py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model1_v3_climate_fixed.py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model2_early_warning.py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model_b_stage3_v3.py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national_response_robustness_v3.py</w:t>
      </w:r>
      <w:r>
        <w:t xml:space="preserve">)에, 산출물은</w:t>
      </w:r>
      <w:r>
        <w:t xml:space="preserve"> </w:t>
      </w:r>
      <w:r>
        <w:rPr>
          <w:rStyle w:val="VerbatimChar"/>
        </w:rPr>
        <w:t xml:space="preserve">병합패널/output/모델링/</w:t>
      </w:r>
      <w:r>
        <w:t xml:space="preserve">에 저장되어 있다.</w:t>
      </w:r>
    </w:p>
    <w:bookmarkEnd w:id="9"/>
    <w:bookmarkStart w:id="13" w:name="표본-정의-및-결측치-처리-기후위험도-도메인-qa"/>
    <w:p>
      <w:pPr>
        <w:pStyle w:val="Heading1"/>
      </w:pPr>
      <w:r>
        <w:t xml:space="preserve">2. 표본 정의 및 결측치 처리, 기후위험도 도메인 QA</w:t>
      </w:r>
    </w:p>
    <w:bookmarkStart w:id="10" w:name="표본-정의"/>
    <w:p>
      <w:pPr>
        <w:pStyle w:val="Heading2"/>
      </w:pPr>
      <w:r>
        <w:t xml:space="preserve">2.1 표본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</w:t>
            </w:r>
          </w:p>
        </w:tc>
        <w:tc>
          <w:tcPr/>
          <w:p>
            <w:pPr>
              <w:pStyle w:val="Compact"/>
            </w:pPr>
            <w:r>
              <w:t xml:space="preserve">1,832</w:t>
            </w:r>
          </w:p>
        </w:tc>
        <w:tc>
          <w:tcPr/>
          <w:p>
            <w:pPr>
              <w:pStyle w:val="Compact"/>
            </w:pPr>
            <w:r>
              <w:t xml:space="preserve">229개 시군구 × 8개년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제외1: 면적=0 진짜 도심</w:t>
            </w:r>
          </w:p>
        </w:tc>
        <w:tc>
          <w:tcPr/>
          <w:p>
            <w:pPr>
              <w:pStyle w:val="Compact"/>
            </w:pPr>
            <w:r>
              <w:t xml:space="preserve">1,816</w:t>
            </w:r>
          </w:p>
        </w:tc>
        <w:tc>
          <w:tcPr/>
          <w:p>
            <w:pPr>
              <w:pStyle w:val="Compact"/>
            </w:pPr>
            <w:r>
              <w:t xml:space="preserve">대구 중구·서울 영등포구(16행)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제외2: 임상도 아티팩트 무효 구간</w:t>
            </w:r>
          </w:p>
        </w:tc>
        <w:tc>
          <w:tcPr/>
          <w:p>
            <w:pPr>
              <w:pStyle w:val="Compact"/>
            </w:pPr>
            <w:r>
              <w:t xml:space="preserve">1,804</w:t>
            </w:r>
          </w:p>
        </w:tc>
        <w:tc>
          <w:tcPr/>
          <w:p>
            <w:pPr>
              <w:pStyle w:val="Compact"/>
            </w:pPr>
            <w:r>
              <w:t xml:space="preserve">연천군·파주시·옹진군 2016–2019년(12행)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핵심변수 완비(listwise deletion)</w:t>
            </w:r>
          </w:p>
        </w:tc>
        <w:tc>
          <w:tcPr/>
          <w:p>
            <w:pPr>
              <w:pStyle w:val="Compact"/>
            </w:pPr>
            <w:r>
              <w:t xml:space="preserve">1,749</w:t>
            </w:r>
          </w:p>
        </w:tc>
        <w:tc>
          <w:tcPr/>
          <w:p>
            <w:pPr>
              <w:pStyle w:val="Compact"/>
            </w:pPr>
            <w:r>
              <w:t xml:space="preserve">SPI3 제외로 v2(1,746) 대비 3행 회복</w:t>
            </w:r>
          </w:p>
        </w:tc>
      </w:tr>
    </w:tbl>
    <w:bookmarkEnd w:id="10"/>
    <w:bookmarkStart w:id="11" w:name="기후위험도-도메인-qa-검증-결과"/>
    <w:p>
      <w:pPr>
        <w:pStyle w:val="Heading2"/>
      </w:pPr>
      <w:r>
        <w:t xml:space="preserve">2.2 기후위험도 도메인 QA — 검증 결과</w:t>
      </w:r>
    </w:p>
    <w:p>
      <w:pPr>
        <w:pStyle w:val="FirstParagraph"/>
      </w:pPr>
      <w:r>
        <w:t xml:space="preserve">원본 진단 문서의 ICC(ANOVA) 수치를 최종보정3 표본(n=1,746)에서 독립적으로 재계산한 결과, 평균풍속을 중심으로 유의미한 불일치가 발견되어 결정을 두 가지 뒤집었다.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원문서 ICC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재계산 ICC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SPI3_최저월(최심가뭄)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도메인에서 완전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연강수량_mm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평균풍속_ms</w:t>
            </w:r>
          </w:p>
        </w:tc>
        <w:tc>
          <w:tcPr/>
          <w:p>
            <w:pPr>
              <w:pStyle w:val="Compact"/>
            </w:pPr>
            <w:r>
              <w:t xml:space="preserve">0.826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제외/축소 결정 철회, 핵심 변수로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GDD_솔수염하늘소</w:t>
            </w:r>
          </w:p>
        </w:tc>
        <w:tc>
          <w:tcPr/>
          <w:p>
            <w:pPr>
              <w:pStyle w:val="Compact"/>
            </w:pPr>
            <w:r>
              <w:t xml:space="preserve">0.781</w:t>
            </w:r>
          </w:p>
        </w:tc>
        <w:tc>
          <w:tcPr/>
          <w:p>
            <w:pPr>
              <w:pStyle w:val="Compact"/>
            </w:pPr>
            <w:r>
              <w:t xml:space="preserve">0.808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SPI3 완전 제외</w:t>
      </w:r>
      <w:r>
        <w:t xml:space="preserve">: SPI(표준강수지수)는 정의상 장기평균이 0에 수렴하는 이상치지수라 between 신호가 구조적으로 회복 불가능하다(ICC≈0, 오히려 근소하게 음수).</w:t>
      </w:r>
      <w:r>
        <w:t xml:space="preserve"> </w:t>
      </w:r>
      <w:r>
        <w:t xml:space="preserve">“도메인 제외 또는 별도 통제변수로 분리”</w:t>
      </w:r>
      <w:r>
        <w:t xml:space="preserve"> </w:t>
      </w:r>
      <w:r>
        <w:t xml:space="preserve">중 후자는 논리적 결함이 있다 — within-year 표준화를 유지한 채 도메인 밖에 두면 신호 소실 문제가 그대로 재발하고, raw값으로 예외처리해도 애초에 신뢰할 수 없는 소표본 between 추정치를 쓰는 문제는 해결되지 않는다. 완전 제외로 단일화했다.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평균풍속 유지</w:t>
      </w:r>
      <w:r>
        <w:t xml:space="preserve">: ICC=0.944로 4개 기후변수 중 가장 강한</w:t>
      </w:r>
      <w:r>
        <w:t xml:space="preserve"> </w:t>
      </w:r>
      <w:r>
        <w:t xml:space="preserve">“지자체 고유특성”</w:t>
      </w:r>
      <w:r>
        <w:t xml:space="preserve">이다. Y와의 원시 Pearson 상관은 근사 0(−0.020)이지만, 지자체 8년평균 기준 Spearman 상관은</w:t>
      </w:r>
      <w:r>
        <w:t xml:space="preserve"> </w:t>
      </w:r>
      <w:r>
        <w:rPr>
          <w:b/>
          <w:bCs/>
        </w:rPr>
        <w:t xml:space="preserve">−0.144</w:t>
      </w:r>
      <w:r>
        <w:t xml:space="preserve">로 뚜렷한 단조관계가 있다 — Pearson만으로</w:t>
      </w:r>
      <w:r>
        <w:t xml:space="preserve"> </w:t>
      </w:r>
      <w:r>
        <w:t xml:space="preserve">“무관하다”</w:t>
      </w:r>
      <w:r>
        <w:t xml:space="preserve">고 판단한 원래 결정은 근거가 부족했다.</w:t>
      </w:r>
    </w:p>
    <w:bookmarkEnd w:id="11"/>
    <w:bookmarkStart w:id="12" w:name="결측관측소-이슈-각주-분리-신규-플래그-추가"/>
    <w:p>
      <w:pPr>
        <w:pStyle w:val="Heading2"/>
      </w:pPr>
      <w:r>
        <w:t xml:space="preserve">2.3 결측·관측소 이슈 각주 분리 (신규 플래그 추가)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신규 컬럼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기후자료_결측사유</w:t>
            </w:r>
          </w:p>
        </w:tc>
        <w:tc>
          <w:tcPr/>
          <w:p>
            <w:pPr>
              <w:pStyle w:val="Compact"/>
            </w:pPr>
            <w:r>
              <w:t xml:space="preserve">세종·공주(8행, 관측소 미개설/신규개설 2016–2019) vs 화천군(1행, 기존관측소 2016년 부분연도관측 92일) — 서로 다른 사유로 각주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관측소_원거리_도서지역_flag</w:t>
            </w:r>
          </w:p>
        </w:tc>
        <w:tc>
          <w:tcPr/>
          <w:p>
            <w:pPr>
              <w:pStyle w:val="Compact"/>
            </w:pPr>
            <w:r>
              <w:t xml:space="preserve">옹진군만 1 (관측소까지 73.94km, 전국평균 11.9km)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관측소_대도시권_재사용_flag</w:t>
            </w:r>
          </w:p>
        </w:tc>
        <w:tc>
          <w:tcPr/>
          <w:p>
            <w:pPr>
              <w:pStyle w:val="Compact"/>
            </w:pPr>
            <w:r>
              <w:t xml:space="preserve">동일 관측소를 10개 이상 시군구가 공유(예: stnId=108 → 서울 25개구+경기 5개시 30곳)하면 1</w:t>
            </w:r>
          </w:p>
        </w:tc>
      </w:tr>
    </w:tbl>
    <w:p>
      <w:pPr>
        <w:pStyle w:val="BodyText"/>
      </w:pPr>
      <w:r>
        <w:t xml:space="preserve">옹진군의</w:t>
      </w:r>
      <w:r>
        <w:t xml:space="preserve"> </w:t>
      </w:r>
      <w:r>
        <w:t xml:space="preserve">“도서지역 관측공백”</w:t>
      </w:r>
      <w:r>
        <w:t xml:space="preserve">과 stnId=108의</w:t>
      </w:r>
      <w:r>
        <w:t xml:space="preserve"> </w:t>
      </w:r>
      <w:r>
        <w:t xml:space="preserve">“대도시권 관측소 공유”</w:t>
      </w:r>
      <w:r>
        <w:t xml:space="preserve">는 원인이 전혀 다른 별개 현상이라 하나의 서사로 섞지 않고 플래그를 분리했다.</w:t>
      </w:r>
    </w:p>
    <w:bookmarkEnd w:id="12"/>
    <w:bookmarkEnd w:id="13"/>
    <w:bookmarkStart w:id="17" w:name="방제취약성지수model-1-산출"/>
    <w:p>
      <w:pPr>
        <w:pStyle w:val="Heading1"/>
      </w:pPr>
      <w:r>
        <w:t xml:space="preserve">3. 방제취약성지수(Model 1) 산출</w:t>
      </w:r>
    </w:p>
    <w:bookmarkStart w:id="14" w:name="도메인-구성-v3-기후위험도-3개-변수로-확정"/>
    <w:p>
      <w:pPr>
        <w:pStyle w:val="Heading2"/>
      </w:pPr>
      <w:r>
        <w:t xml:space="preserve">3.1 도메인 구성 (v3 — 기후위험도 3개 변수로 확정)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투입 변수</w:t>
            </w:r>
          </w:p>
        </w:tc>
        <w:tc>
          <w:tcPr/>
          <w:p>
            <w:pPr>
              <w:pStyle w:val="Compact"/>
            </w:pPr>
            <w:r>
              <w:t xml:space="preserve">지수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소나무류_면적비율(%)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연강수량·</w:t>
            </w:r>
            <w:r>
              <w:rPr>
                <w:b/>
                <w:bCs/>
              </w:rPr>
              <w:t xml:space="preserve">평균풍속</w:t>
            </w:r>
            <w:r>
              <w:t xml:space="preserve">·GDD (SPI3 제외)</w:t>
            </w:r>
          </w:p>
        </w:tc>
        <w:tc>
          <w:tcPr/>
          <w:p>
            <w:pPr>
              <w:pStyle w:val="Compact"/>
            </w:pPr>
            <w:r>
              <w:t xml:space="preserve">상관 부호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지자체대응역량(역방향)</w:t>
            </w:r>
          </w:p>
        </w:tc>
        <w:tc>
          <w:tcPr/>
          <w:p>
            <w:pPr>
              <w:pStyle w:val="Compact"/>
            </w:pPr>
            <w:r>
              <w:t xml:space="preserve">대응자원투입예산_로그, 예찰사업_존재_flag</w:t>
            </w:r>
          </w:p>
        </w:tc>
        <w:tc>
          <w:tcPr/>
          <w:p>
            <w:pPr>
              <w:pStyle w:val="Compact"/>
            </w:pPr>
            <w:r>
              <w:t xml:space="preserve">이론적 강제 음수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도로소나무비율(면적통제), 원목생산업체수(면적통제)</w:t>
            </w:r>
          </w:p>
        </w:tc>
        <w:tc>
          <w:tcPr/>
          <w:p>
            <w:pPr>
              <w:pStyle w:val="Compact"/>
            </w:pPr>
            <w:r>
              <w:t xml:space="preserve">+/−</w:t>
            </w:r>
          </w:p>
        </w:tc>
      </w:tr>
    </w:tbl>
    <w:bookmarkEnd w:id="14"/>
    <w:bookmarkStart w:id="15" w:name="도메인-점수-상호상관"/>
    <w:p>
      <w:pPr>
        <w:pStyle w:val="Heading2"/>
      </w:pPr>
      <w:r>
        <w:t xml:space="preserve">3.2 도메인 점수 상호상관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지자체대응역량</w:t>
            </w:r>
          </w:p>
        </w:tc>
        <w:tc>
          <w:tcPr/>
          <w:p>
            <w:pPr>
              <w:pStyle w:val="Compact"/>
            </w:pPr>
            <w:r>
              <w:t xml:space="preserve">인위적확산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−0.135</w:t>
            </w:r>
          </w:p>
        </w:tc>
        <w:tc>
          <w:tcPr/>
          <w:p>
            <w:pPr>
              <w:pStyle w:val="Compact"/>
            </w:pPr>
            <w:r>
              <w:t xml:space="preserve">0.416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−0.110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지자체대응역량</w:t>
            </w:r>
          </w:p>
        </w:tc>
        <w:tc>
          <w:tcPr/>
          <w:p>
            <w:pPr>
              <w:pStyle w:val="Compact"/>
            </w:pPr>
            <w:r>
              <w:t xml:space="preserve">−0.135</w:t>
            </w:r>
          </w:p>
        </w:tc>
        <w:tc>
          <w:tcPr/>
          <w:p>
            <w:pPr>
              <w:pStyle w:val="Compact"/>
            </w:pPr>
            <w:r>
              <w:t xml:space="preserve">−0.110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0.416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bookmarkEnd w:id="15"/>
    <w:bookmarkStart w:id="16" w:name="가중치-동일가중-최종-확정"/>
    <w:p>
      <w:pPr>
        <w:pStyle w:val="Heading2"/>
      </w:pPr>
      <w:r>
        <w:t xml:space="preserve">3.3 가중치 — 동일가중 (최종 확정)</w:t>
      </w:r>
    </w:p>
    <w:p>
      <w:pPr>
        <w:pStyle w:val="SourceCode"/>
      </w:pPr>
      <w:r>
        <w:rPr>
          <w:rStyle w:val="VerbatimChar"/>
        </w:rPr>
        <w:t xml:space="preserve">구조적취약성지수 = 0.25 × 노출도_점수 + 0.25 × 기후위험도_점수</w:t>
      </w:r>
      <w:r>
        <w:br/>
      </w:r>
      <w:r>
        <w:rPr>
          <w:rStyle w:val="VerbatimChar"/>
        </w:rPr>
        <w:t xml:space="preserve">                  + 0.25 × 지자체대응역량_점수 + 0.25 × 인위적확산_점수</w:t>
      </w:r>
    </w:p>
    <w:p>
      <w:pPr>
        <w:pStyle w:val="FirstParagraph"/>
      </w:pPr>
      <w:r>
        <w:t xml:space="preserve">동일가중 채택 근거: (1) 실증가중(LMG)은 Y에 맞춰 가중치를 추정하므로 모형 A 검증과 부분적으로 순환논리가 되고, (2) 기후위험도 도메인의 LMG 기여가 0.5~0.7%로 불안정하며, (3) 동일가중과 실증가중 지수의 순위상관이 Spearman ρ=0.950으로 실질적 결론 차이가 없다. 지자체대응역량_점수는 산출 시 이미 방향(-1) 반영이 완료된 값이므로 최종 합산에서 추가 부호반전을 하지 않는다.</w:t>
      </w:r>
    </w:p>
    <w:bookmarkEnd w:id="16"/>
    <w:bookmarkEnd w:id="17"/>
    <w:bookmarkStart w:id="21" w:name="모형-a-model-1-타당성-검증"/>
    <w:p>
      <w:pPr>
        <w:pStyle w:val="Heading1"/>
      </w:pPr>
      <w:r>
        <w:t xml:space="preserve">4. 모형 A — Model 1 타당성 검증</w:t>
      </w:r>
    </w:p>
    <w:bookmarkStart w:id="18" w:name="설계"/>
    <w:p>
      <w:pPr>
        <w:pStyle w:val="Heading2"/>
      </w:pPr>
      <w:r>
        <w:t xml:space="preserve">4.1 설계</w:t>
      </w:r>
    </w:p>
    <w:p>
      <w:pPr>
        <w:pStyle w:val="FirstParagraph"/>
      </w:pPr>
      <w:r>
        <w:t xml:space="preserve">Mundlak/CRE로 지수의 지자체별 평균(between,</w:t>
      </w:r>
      <w:r>
        <w:t xml:space="preserve"> </w:t>
      </w:r>
      <w:r>
        <w:rPr>
          <w:rStyle w:val="VerbatimChar"/>
        </w:rPr>
        <w:t xml:space="preserve">_gm</w:t>
      </w:r>
      <w:r>
        <w:t xml:space="preserve">)과 연도별 편차(within)를 분리 추정했다. 훈련(2017–2020, n=871), 홀드아웃(2021–2022, n=442).</w:t>
      </w:r>
    </w:p>
    <w:bookmarkEnd w:id="18"/>
    <w:bookmarkStart w:id="19" w:name="핵심-결과"/>
    <w:p>
      <w:pPr>
        <w:pStyle w:val="Heading2"/>
      </w:pPr>
      <w:r>
        <w:t xml:space="preserve">4.2 핵심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항</w:t>
            </w:r>
          </w:p>
        </w:tc>
        <w:tc>
          <w:tcPr/>
          <w:p>
            <w:pPr>
              <w:pStyle w:val="Compact"/>
            </w:pPr>
            <w:r>
              <w:t xml:space="preserve">발생여부(로지스틱)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크기(OLS)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−0.688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−0.113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between(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+1.713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+0.213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−0.968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+0.039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</w:t>
            </w:r>
          </w:p>
        </w:tc>
        <w:tc>
          <w:tcPr/>
          <w:p>
            <w:pPr>
              <w:pStyle w:val="Compact"/>
            </w:pPr>
            <w:r>
              <w:t xml:space="preserve">between(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+2.077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+0.039</w:t>
            </w:r>
          </w:p>
        </w:tc>
        <w:tc>
          <w:tcPr/>
          <w:p>
            <w:pPr>
              <w:pStyle w:val="Compact"/>
            </w:pPr>
            <w:r>
              <w:t xml:space="preserve">0.236</w:t>
            </w:r>
          </w:p>
        </w:tc>
      </w:tr>
    </w:tbl>
    <w:p>
      <w:pPr>
        <w:pStyle w:val="BodyText"/>
      </w:pPr>
      <w:r>
        <w:t xml:space="preserve">between 항은 훈련·홀드아웃 모두 유의하고 방향이 이론과 일치한다(v2 대비 계수가 오히려 더 커졌다: +1.71/+2.08 vs 이전 +1.43/+1.26). within 항은 훈련에서 근소하게 유의(p=0.063, 음수)해졌는데, 방향이 between과 반대라</w:t>
      </w:r>
      <w:r>
        <w:t xml:space="preserve"> </w:t>
      </w:r>
      <w:r>
        <w:t xml:space="preserve">“연도 내 일시적 상승은 오히려 그 해 피해가 낮다”</w:t>
      </w:r>
      <w:r>
        <w:t xml:space="preserve">는 잡음에 가까운 신호로 해석하며 핵심 결론(between만 신뢰할 만함)을 바꾸지 않는다.</w:t>
      </w:r>
    </w:p>
    <w:bookmarkEnd w:id="19"/>
    <w:bookmarkStart w:id="20" w:name="판별력"/>
    <w:p>
      <w:pPr>
        <w:pStyle w:val="Heading2"/>
      </w:pPr>
      <w:r>
        <w:t xml:space="preserve">4.3 판별력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홀드아웃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0.617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배분갭 회귀 R²</w:t>
            </w:r>
          </w:p>
        </w:tc>
        <w:tc>
          <w:tcPr/>
          <w:p>
            <w:pPr>
              <w:pStyle w:val="Compact"/>
            </w:pPr>
            <w:r>
              <w:t xml:space="preserve">3.65%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End w:id="21"/>
    <w:bookmarkStart w:id="25" w:name="배분갭-진단-및-시군구별-기여도-분해유형화"/>
    <w:p>
      <w:pPr>
        <w:pStyle w:val="Heading1"/>
      </w:pPr>
      <w:r>
        <w:t xml:space="preserve">5. 배분갭 진단 및 시군구별 기여도 분해·유형화</w:t>
      </w:r>
    </w:p>
    <w:bookmarkStart w:id="22" w:name="배분갭"/>
    <w:p>
      <w:pPr>
        <w:pStyle w:val="Heading2"/>
      </w:pPr>
      <w:r>
        <w:t xml:space="preserve">5.1 배분갭</w:t>
      </w:r>
    </w:p>
    <w:p>
      <w:pPr>
        <w:pStyle w:val="FirstParagraph"/>
      </w:pPr>
      <w:r>
        <w:t xml:space="preserve">위험지수(노출도+기후위험도+인위적확산, 역량도메인 제외) ~ 예산, between(2017–2022) 회귀: 계수</w:t>
      </w:r>
      <w:r>
        <w:t xml:space="preserve"> </w:t>
      </w:r>
      <w:r>
        <w:rPr>
          <w:b/>
          <w:bCs/>
        </w:rPr>
        <w:t xml:space="preserve">+1.716(p=0.003), R²=3.65%</w:t>
      </w:r>
      <w:r>
        <w:t xml:space="preserve">. v2(+1.848, R²=3.9%)와 거의 동일 — 기후위험도 도메인 변경이 이 결론에 영향을 주지 않았다.</w:t>
      </w:r>
    </w:p>
    <w:bookmarkEnd w:id="22"/>
    <w:bookmarkStart w:id="23" w:name="시군구별-기여도-분해-상위-20개-v3"/>
    <w:p>
      <w:pPr>
        <w:pStyle w:val="Heading2"/>
      </w:pPr>
      <w:r>
        <w:t xml:space="preserve">5.2 시군구별 기여도 분해 — 상위 20개 (v3)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시군구</w:t>
            </w:r>
          </w:p>
        </w:tc>
        <w:tc>
          <w:tcPr/>
          <w:p>
            <w:pPr>
              <w:pStyle w:val="Compact"/>
            </w:pPr>
            <w:r>
              <w:t xml:space="preserve">취약성지수</w:t>
            </w:r>
          </w:p>
        </w:tc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기후</w:t>
            </w:r>
          </w:p>
        </w:tc>
        <w:tc>
          <w:tcPr/>
          <w:p>
            <w:pPr>
              <w:pStyle w:val="Compact"/>
            </w:pPr>
            <w:r>
              <w:t xml:space="preserve">역량</w:t>
            </w:r>
          </w:p>
        </w:tc>
        <w:tc>
          <w:tcPr/>
          <w:p>
            <w:pPr>
              <w:pStyle w:val="Compact"/>
            </w:pPr>
            <w:r>
              <w:t xml:space="preserve">인위적확산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해운대구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−0.010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남해군</w:t>
            </w:r>
          </w:p>
        </w:tc>
        <w:tc>
          <w:tcPr/>
          <w:p>
            <w:pPr>
              <w:pStyle w:val="Compact"/>
            </w:pPr>
            <w:r>
              <w:t xml:space="preserve">0.872</w:t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−0.050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고성군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−0.050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거제시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0.363</w:t>
            </w:r>
          </w:p>
        </w:tc>
        <w:tc>
          <w:tcPr/>
          <w:p>
            <w:pPr>
              <w:pStyle w:val="Compact"/>
            </w:pPr>
            <w:r>
              <w:t xml:space="preserve">−0.085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통영시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−0.086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완도군</w:t>
            </w:r>
          </w:p>
        </w:tc>
        <w:tc>
          <w:tcPr/>
          <w:p>
            <w:pPr>
              <w:pStyle w:val="Compact"/>
            </w:pPr>
            <w:r>
              <w:t xml:space="preserve">0.817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금정구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−0.072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합천군</w:t>
            </w:r>
          </w:p>
        </w:tc>
        <w:tc>
          <w:tcPr/>
          <w:p>
            <w:pPr>
              <w:pStyle w:val="Compact"/>
            </w:pPr>
            <w:r>
              <w:t xml:space="preserve">0.765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−0.094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울진군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  <w:tc>
          <w:tcPr/>
          <w:p>
            <w:pPr>
              <w:pStyle w:val="Compact"/>
            </w:pPr>
            <w:r>
              <w:t xml:space="preserve">−0.186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기장군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−0.079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의령군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−0.070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고령군</w:t>
            </w:r>
          </w:p>
        </w:tc>
        <w:tc>
          <w:tcPr/>
          <w:p>
            <w:pPr>
              <w:pStyle w:val="Compact"/>
            </w:pPr>
            <w:r>
              <w:t xml:space="preserve">0.692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사천시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−0.087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진주시</w:t>
            </w:r>
          </w:p>
        </w:tc>
        <w:tc>
          <w:tcPr/>
          <w:p>
            <w:pPr>
              <w:pStyle w:val="Compact"/>
            </w:pPr>
            <w:r>
              <w:t xml:space="preserve">0.621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0.142</w:t>
            </w:r>
          </w:p>
        </w:tc>
        <w:tc>
          <w:tcPr/>
          <w:p>
            <w:pPr>
              <w:pStyle w:val="Compact"/>
            </w:pPr>
            <w:r>
              <w:t xml:space="preserve">−0.094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강원특별자치도</w:t>
            </w:r>
          </w:p>
        </w:tc>
        <w:tc>
          <w:tcPr/>
          <w:p>
            <w:pPr>
              <w:pStyle w:val="Compact"/>
            </w:pPr>
            <w:r>
              <w:t xml:space="preserve">삼척시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  <w:tc>
          <w:tcPr/>
          <w:p>
            <w:pPr>
              <w:pStyle w:val="Compact"/>
            </w:pPr>
            <w:r>
              <w:t xml:space="preserve">−0.253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산청군</w:t>
            </w:r>
          </w:p>
        </w:tc>
        <w:tc>
          <w:tcPr/>
          <w:p>
            <w:pPr>
              <w:pStyle w:val="Compact"/>
            </w:pPr>
            <w:r>
              <w:t xml:space="preserve">0.619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−0.034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강원특별자치도</w:t>
            </w:r>
          </w:p>
        </w:tc>
        <w:tc>
          <w:tcPr/>
          <w:p>
            <w:pPr>
              <w:pStyle w:val="Compact"/>
            </w:pPr>
            <w:r>
              <w:t xml:space="preserve">양양군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  <w:tc>
          <w:tcPr/>
          <w:p>
            <w:pPr>
              <w:pStyle w:val="Compact"/>
            </w:pPr>
            <w:r>
              <w:t xml:space="preserve">0.280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대구광역시</w:t>
            </w:r>
          </w:p>
        </w:tc>
        <w:tc>
          <w:tcPr/>
          <w:p>
            <w:pPr>
              <w:pStyle w:val="Compact"/>
            </w:pPr>
            <w:r>
              <w:t xml:space="preserve">동구</w:t>
            </w:r>
          </w:p>
        </w:tc>
        <w:tc>
          <w:tcPr/>
          <w:p>
            <w:pPr>
              <w:pStyle w:val="Compact"/>
            </w:pPr>
            <w:r>
              <w:t xml:space="preserve">0.607</w:t>
            </w:r>
          </w:p>
        </w:tc>
        <w:tc>
          <w:tcPr/>
          <w:p>
            <w:pPr>
              <w:pStyle w:val="Compact"/>
            </w:pPr>
            <w:r>
              <w:t xml:space="preserve">0.386</w:t>
            </w:r>
          </w:p>
        </w:tc>
        <w:tc>
          <w:tcPr/>
          <w:p>
            <w:pPr>
              <w:pStyle w:val="Compact"/>
            </w:pPr>
            <w:r>
              <w:t xml:space="preserve">−0.042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광주광역시</w:t>
            </w:r>
          </w:p>
        </w:tc>
        <w:tc>
          <w:tcPr/>
          <w:p>
            <w:pPr>
              <w:pStyle w:val="Compact"/>
            </w:pPr>
            <w:r>
              <w:t xml:space="preserve">동구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인천광역시</w:t>
            </w:r>
          </w:p>
        </w:tc>
        <w:tc>
          <w:tcPr/>
          <w:p>
            <w:pPr>
              <w:pStyle w:val="Compact"/>
            </w:pPr>
            <w:r>
              <w:t xml:space="preserve">옹진군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−0.135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</w:tr>
    </w:tbl>
    <w:p>
      <w:pPr>
        <w:pStyle w:val="BodyText"/>
      </w:pPr>
      <w:r>
        <w:t xml:space="preserve">경남·부산 해안지역의 순위가 v2보다 다소 상승했다 — 평균풍속(해안지역이 강한 지자체 고유특성을 갖는 변수)이 기후위험도 도메인에서 유지된 결과로 자연스럽다.</w:t>
      </w:r>
    </w:p>
    <w:bookmarkEnd w:id="23"/>
    <w:bookmarkStart w:id="24" w:name="유형화-매트릭스"/>
    <w:p>
      <w:pPr>
        <w:pStyle w:val="Heading2"/>
      </w:pPr>
      <w:r>
        <w:t xml:space="preserve">5.3 2×3 유형화 매트릭스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부족</w:t>
            </w:r>
          </w:p>
        </w:tc>
        <w:tc>
          <w:tcPr/>
          <w:p>
            <w:pPr>
              <w:pStyle w:val="Compact"/>
            </w:pPr>
            <w:r>
              <w:t xml:space="preserve">적정</w:t>
            </w:r>
          </w:p>
        </w:tc>
        <w:tc>
          <w:tcPr/>
          <w:p>
            <w:pPr>
              <w:pStyle w:val="Compact"/>
            </w:pPr>
            <w:r>
              <w:t xml:space="preserve">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복합형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인위적확산-우세형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“부족”</w:t>
      </w:r>
      <w:r>
        <w:rPr>
          <w:b/>
          <w:bCs/>
        </w:rPr>
        <w:t xml:space="preserve"> </w:t>
      </w:r>
      <w:r>
        <w:rPr>
          <w:b/>
          <w:bCs/>
        </w:rPr>
        <w:t xml:space="preserve">열 대표 사례</w:t>
      </w:r>
      <w:r>
        <w:t xml:space="preserve">: 노출도-우세형×부족 → 완도군·고령군·삼척시·대구 동구·옹진군(예찰·모니터링 인프라). 인위적확산-우세형×부족 → 서울 종로구·광주 북구·서울 관악구·성북구·용산구(도로변/원목유통 관리, 서울 자치구 밀집 패턴 v2와 동일하게 재확인). 복합형×부족 → 광주 동구·진도군·영광군·포항시·신안군(기본 대응체계 확충).</w:t>
      </w:r>
    </w:p>
    <w:bookmarkEnd w:id="24"/>
    <w:bookmarkEnd w:id="25"/>
    <w:bookmarkStart w:id="31" w:name="model-2-조기경보모형"/>
    <w:p>
      <w:pPr>
        <w:pStyle w:val="Heading1"/>
      </w:pPr>
      <w:r>
        <w:t xml:space="preserve">6. Model 2 — 조기경보모형</w:t>
      </w:r>
    </w:p>
    <w:bookmarkStart w:id="26" w:name="설계-1"/>
    <w:p>
      <w:pPr>
        <w:pStyle w:val="Heading2"/>
      </w:pPr>
      <w:r>
        <w:t xml:space="preserve">6.1 설계</w:t>
      </w:r>
    </w:p>
    <w:p>
      <w:pPr>
        <w:pStyle w:val="FirstParagraph"/>
      </w:pPr>
      <w:r>
        <w:t xml:space="preserve">Model 1(구조적취약성지수)에</w:t>
      </w:r>
      <w:r>
        <w:t xml:space="preserve"> </w:t>
      </w:r>
      <w:r>
        <w:rPr>
          <w:b/>
          <w:bCs/>
        </w:rPr>
        <w:t xml:space="preserve">t-1 시차</w:t>
      </w:r>
      <w:r>
        <w:t xml:space="preserve"> </w:t>
      </w:r>
      <w:r>
        <w:t xml:space="preserve">연속발생연수·집단발생여부·인접시군 피해밀도를 추가했다. 동시기(t) 값이 아니라 전년도 값을 쓰므로 순환논리가 아니라 표준적 시계열 예측이다. 원시 피해목 카운트가 패널에 없어 진짜 Poisson-offset 모형은 채택하지 않고, Model 1과 동일한 CRE 2부문모형 틀에 t-1 변수를 추가하는 방식으로 구현했다(참고이론: Held-Höhle-Hofmann endemic-epidemic 분해의 정신을 근사 — 엄밀한 count 분해는 원시카운트 확보 후 향후 과제).</w:t>
      </w:r>
    </w:p>
    <w:bookmarkEnd w:id="26"/>
    <w:bookmarkStart w:id="27" w:name="model-1-vs-model-2-성능-비교"/>
    <w:p>
      <w:pPr>
        <w:pStyle w:val="Heading2"/>
      </w:pPr>
      <w:r>
        <w:t xml:space="preserve">6.2 Model 1 vs Model 2 성능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홀드아웃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1 AUC</w:t>
            </w:r>
          </w:p>
        </w:tc>
        <w:tc>
          <w:tcPr/>
          <w:p>
            <w:pPr>
              <w:pStyle w:val="Compact"/>
            </w:pPr>
            <w:r>
              <w:t xml:space="preserve">0.617</w:t>
            </w:r>
          </w:p>
        </w:tc>
        <w:tc>
          <w:tcPr/>
          <w:p>
            <w:pPr>
              <w:pStyle w:val="Compact"/>
            </w:pPr>
            <w:r>
              <w:t xml:space="preserve">0.639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2 AUC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0.962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Rolling-origin</w:t>
      </w:r>
      <w:r>
        <w:t xml:space="preserve">: train≤2020→2021 AUC=0.935, train≤2021→2022 AUC=0.937, train≤2022→2023 AUC=0.955 — 매우 안정적이다.</w:t>
      </w:r>
    </w:p>
    <w:bookmarkEnd w:id="27"/>
    <w:bookmarkStart w:id="28" w:name="핵심-발견-auc-상승의-원천"/>
    <w:p>
      <w:pPr>
        <w:pStyle w:val="Heading2"/>
      </w:pPr>
      <w:r>
        <w:t xml:space="preserve">6.3 핵심 발견 — AUC 상승의 원천</w:t>
      </w:r>
    </w:p>
    <w:p>
      <w:pPr>
        <w:pStyle w:val="FirstParagraph"/>
      </w:pPr>
      <w:r>
        <w:t xml:space="preserve">Model 2의 회귀계수를 보면, AUC 상승은 주로</w:t>
      </w:r>
      <w:r>
        <w:t xml:space="preserve"> </w:t>
      </w:r>
      <w:r>
        <w:rPr>
          <w:b/>
          <w:bCs/>
        </w:rPr>
        <w:t xml:space="preserve">자체 발생 관성</w:t>
      </w:r>
      <w:r>
        <w:t xml:space="preserve">(집단발생여부_gm 계수 +5.37~+1.31, 연속발생연수_gm 계수 +1.74~+1.83, 대부분 p&lt;0.01)에서 나온다.</w:t>
      </w:r>
      <w:r>
        <w:t xml:space="preserve"> </w:t>
      </w:r>
      <w:r>
        <w:rPr>
          <w:b/>
          <w:bCs/>
        </w:rPr>
        <w:t xml:space="preserve">공간전파 항(인접시군 피해밀도_L1)은 유의하지 않았다</w:t>
      </w:r>
      <w:r>
        <w:t xml:space="preserve">(p=0.36~0.94, 표준오차가 매우 큼). 즉 조기경보의 핵심 동력은</w:t>
      </w:r>
      <w:r>
        <w:t xml:space="preserve"> </w:t>
      </w:r>
      <w:r>
        <w:t xml:space="preserve">“이웃이 터지면 나도 터진다”</w:t>
      </w:r>
      <w:r>
        <w:t xml:space="preserve">가 아니라</w:t>
      </w:r>
      <w:r>
        <w:t xml:space="preserve"> </w:t>
      </w:r>
      <w:r>
        <w:t xml:space="preserve">“우리 지역이 만성적 상습발생지인가”</w:t>
      </w:r>
      <w:r>
        <w:t xml:space="preserve">이다 — 예찰자원을 인접확산 감시보다 상습발생지 집중관리에 우선 배정하는 것이 데이터에 더 부합한다.</w:t>
      </w:r>
    </w:p>
    <w:bookmarkEnd w:id="28"/>
    <w:bookmarkStart w:id="29" w:name="십분위-실적표-model-2-전체기간"/>
    <w:p>
      <w:pPr>
        <w:pStyle w:val="Heading2"/>
      </w:pPr>
      <w:r>
        <w:t xml:space="preserve">6.4 십분위 실적표 (Model 2, 전체기간)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십분위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발생률</w:t>
            </w:r>
          </w:p>
        </w:tc>
        <w:tc>
          <w:tcPr/>
          <w:p>
            <w:pPr>
              <w:pStyle w:val="Compact"/>
            </w:pPr>
            <w:r>
              <w:t xml:space="preserve">평균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9.7%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54.9%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98.7%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</w:tr>
    </w:tbl>
    <w:p>
      <w:pPr>
        <w:pStyle w:val="BodyText"/>
      </w:pPr>
      <w:r>
        <w:t xml:space="preserve">거의 완벽한 계단형 분리를 보인다 — Model 2는 발생여부 예측에 매우 강력하다.</w:t>
      </w:r>
    </w:p>
    <w:bookmarkEnd w:id="29"/>
    <w:bookmarkStart w:id="30" w:name="두-모형의-역할-분담"/>
    <w:p>
      <w:pPr>
        <w:pStyle w:val="Heading2"/>
      </w:pPr>
      <w:r>
        <w:t xml:space="preserve">6.5 두 모형의 역할 분담</w:t>
      </w:r>
    </w:p>
    <w:p>
      <w:pPr>
        <w:pStyle w:val="FirstParagraph"/>
      </w:pPr>
      <w:r>
        <w:rPr>
          <w:b/>
          <w:bCs/>
        </w:rPr>
        <w:t xml:space="preserve">Model 1</w:t>
      </w:r>
      <w:r>
        <w:t xml:space="preserve">은</w:t>
      </w:r>
      <w:r>
        <w:t xml:space="preserve"> </w:t>
      </w:r>
      <w:r>
        <w:t xml:space="preserve">“왜 취약한가”</w:t>
      </w:r>
      <w:r>
        <w:t xml:space="preserve">(정책개입 가능한 구조변수)를 설명하고 맞춤형 예산배분(§5, §7)의 근거로 쓰인다.</w:t>
      </w:r>
      <w:r>
        <w:t xml:space="preserve"> </w:t>
      </w:r>
      <w:r>
        <w:rPr>
          <w:b/>
          <w:bCs/>
        </w:rPr>
        <w:t xml:space="preserve">Model 2</w:t>
      </w:r>
      <w:r>
        <w:t xml:space="preserve">는</w:t>
      </w:r>
      <w:r>
        <w:t xml:space="preserve"> </w:t>
      </w:r>
      <w:r>
        <w:t xml:space="preserve">“어디서 다음에 터질 가능성이 높은가”</w:t>
      </w:r>
      <w:r>
        <w:t xml:space="preserve">를 예측하며, 단기 예찰자원 배치·조기경보 알림에 적합하다. 두 모형을 하나로 합치지 않은 이유는, Model 2의 핵심 변수(과거 발생이력)를 예산배분 근거로 쓰면</w:t>
      </w:r>
      <w:r>
        <w:t xml:space="preserve"> </w:t>
      </w:r>
      <w:r>
        <w:t xml:space="preserve">“작년에 터진 곳에 예산을 더 준다”</w:t>
      </w:r>
      <w:r>
        <w:t xml:space="preserve">는 순환적·사후반응적 배분이 되어 §6(배분공식 시뮬레이션)에서 이미 비판한 현재의 문제를 재생산하기 때문이다.</w:t>
      </w:r>
    </w:p>
    <w:bookmarkEnd w:id="30"/>
    <w:bookmarkEnd w:id="31"/>
    <w:bookmarkStart w:id="36" w:name="배분공식-시뮬레이션-v3"/>
    <w:p>
      <w:pPr>
        <w:pStyle w:val="Heading1"/>
      </w:pPr>
      <w:r>
        <w:t xml:space="preserve">7. 배분공식 시뮬레이션 (v3)</w:t>
      </w:r>
    </w:p>
    <w:bookmarkStart w:id="32" w:name="설계-2"/>
    <w:p>
      <w:pPr>
        <w:pStyle w:val="Heading2"/>
      </w:pPr>
      <w:r>
        <w:t xml:space="preserve">7.1 설계</w:t>
      </w:r>
    </w:p>
    <w:p>
      <w:pPr>
        <w:pStyle w:val="FirstParagraph"/>
      </w:pPr>
      <w:r>
        <w:t xml:space="preserve">2017–2022년 매년 pool(그 해 실제 총지출액)을 유지한 채 Model 1의 위험지수(v3, 역량도메인 제외)에 비례해 재배분을 시뮬레이션했다. 하한=균등배분액의 30%, 상한=전년 대비 ±30%.</w:t>
      </w:r>
    </w:p>
    <w:bookmarkEnd w:id="32"/>
    <w:bookmarkStart w:id="33" w:name="제약-발동-및-재배분-규모"/>
    <w:p>
      <w:pPr>
        <w:pStyle w:val="Heading2"/>
      </w:pPr>
      <w:r>
        <w:t xml:space="preserve">7.2 제약 발동 및 재배분 규모</w:t>
      </w:r>
    </w:p>
    <w:p>
      <w:pPr>
        <w:pStyle w:val="Compact"/>
        <w:numPr>
          <w:ilvl w:val="0"/>
          <w:numId w:val="1003"/>
        </w:numPr>
      </w:pPr>
      <w:r>
        <w:t xml:space="preserve">하한 발동: 25/1,313건(1.9%), 상한 발동: 438/1,313건(33.4%)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이동액</w:t>
            </w:r>
          </w:p>
        </w:tc>
        <w:tc>
          <w:tcPr/>
          <w:p>
            <w:pPr>
              <w:pStyle w:val="Compact"/>
            </w:pPr>
            <w:r>
              <w:t xml:space="preserve">총액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245억원</w:t>
            </w:r>
          </w:p>
        </w:tc>
        <w:tc>
          <w:tcPr/>
          <w:p>
            <w:pPr>
              <w:pStyle w:val="Compact"/>
            </w:pPr>
            <w:r>
              <w:t xml:space="preserve">420억원</w:t>
            </w:r>
          </w:p>
        </w:tc>
        <w:tc>
          <w:tcPr/>
          <w:p>
            <w:pPr>
              <w:pStyle w:val="Compact"/>
            </w:pPr>
            <w:r>
              <w:t xml:space="preserve">58.2%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285억원</w:t>
            </w:r>
          </w:p>
        </w:tc>
        <w:tc>
          <w:tcPr/>
          <w:p>
            <w:pPr>
              <w:pStyle w:val="Compact"/>
            </w:pPr>
            <w:r>
              <w:t xml:space="preserve">446억원</w:t>
            </w:r>
          </w:p>
        </w:tc>
        <w:tc>
          <w:tcPr/>
          <w:p>
            <w:pPr>
              <w:pStyle w:val="Compact"/>
            </w:pPr>
            <w:r>
              <w:t xml:space="preserve">64.0%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358억원</w:t>
            </w:r>
          </w:p>
        </w:tc>
        <w:tc>
          <w:tcPr/>
          <w:p>
            <w:pPr>
              <w:pStyle w:val="Compact"/>
            </w:pPr>
            <w:r>
              <w:t xml:space="preserve">552억원</w:t>
            </w:r>
          </w:p>
        </w:tc>
        <w:tc>
          <w:tcPr/>
          <w:p>
            <w:pPr>
              <w:pStyle w:val="Compact"/>
            </w:pPr>
            <w:r>
              <w:t xml:space="preserve">64.9%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260억원</w:t>
            </w:r>
          </w:p>
        </w:tc>
        <w:tc>
          <w:tcPr/>
          <w:p>
            <w:pPr>
              <w:pStyle w:val="Compact"/>
            </w:pPr>
            <w:r>
              <w:t xml:space="preserve">404억원</w:t>
            </w:r>
          </w:p>
        </w:tc>
        <w:tc>
          <w:tcPr/>
          <w:p>
            <w:pPr>
              <w:pStyle w:val="Compact"/>
            </w:pPr>
            <w:r>
              <w:t xml:space="preserve">64.2%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194억원</w:t>
            </w:r>
          </w:p>
        </w:tc>
        <w:tc>
          <w:tcPr/>
          <w:p>
            <w:pPr>
              <w:pStyle w:val="Compact"/>
            </w:pPr>
            <w:r>
              <w:t xml:space="preserve">297억원</w:t>
            </w:r>
          </w:p>
        </w:tc>
        <w:tc>
          <w:tcPr/>
          <w:p>
            <w:pPr>
              <w:pStyle w:val="Compact"/>
            </w:pPr>
            <w:r>
              <w:t xml:space="preserve">65.3%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277억원</w:t>
            </w:r>
          </w:p>
        </w:tc>
        <w:tc>
          <w:tcPr/>
          <w:p>
            <w:pPr>
              <w:pStyle w:val="Compact"/>
            </w:pPr>
            <w:r>
              <w:t xml:space="preserve">408억원</w:t>
            </w:r>
          </w:p>
        </w:tc>
        <w:tc>
          <w:tcPr/>
          <w:p>
            <w:pPr>
              <w:pStyle w:val="Compact"/>
            </w:pPr>
            <w:r>
              <w:t xml:space="preserve">67.8%</w:t>
            </w:r>
          </w:p>
        </w:tc>
      </w:tr>
    </w:tbl>
    <w:p>
      <w:pPr>
        <w:pStyle w:val="BodyText"/>
      </w:pPr>
      <w:r>
        <w:t xml:space="preserve">v2(58.9~68.3%)와 사실상 동일 — 기후위험도 도메인 변경이 재배분 규모에 미치는 영향은 미미하다.</w:t>
      </w:r>
    </w:p>
    <w:bookmarkEnd w:id="33"/>
    <w:bookmarkStart w:id="34" w:name="타겟팅-지표-안면타당성-인과주장-아님"/>
    <w:p>
      <w:pPr>
        <w:pStyle w:val="Heading2"/>
      </w:pPr>
      <w:r>
        <w:t xml:space="preserve">7.3 타겟팅 지표 (안면타당성, 인과주장 아님)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실제 배분</w:t>
            </w:r>
          </w:p>
        </w:tc>
        <w:tc>
          <w:tcPr/>
          <w:p>
            <w:pPr>
              <w:pStyle w:val="Compact"/>
            </w:pPr>
            <w:r>
              <w:t xml:space="preserve">시뮬레이션 배분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피해발생지역 예산 포착률(전체기간)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54.4%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Spearman(예산 vs 실제피해밀도)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0.662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</w:tr>
    </w:tbl>
    <w:p>
      <w:pPr>
        <w:pStyle w:val="BodyText"/>
      </w:pPr>
      <w:r>
        <w:t xml:space="preserve">v2(93.7%/54.9%, 0.663/0.369)와 거의 동일하다. 해석은 동일: 실제 배분은 사후대응적이고, 위험지수 기반 공식은 의도적으로 구조적·선행적이라 같은 해 피해지역 포착률에서 낮게 나오는 것이 당연하다.</w:t>
      </w:r>
    </w:p>
    <w:bookmarkEnd w:id="34"/>
    <w:bookmarkStart w:id="35" w:name="년-기준-승자패자-요약"/>
    <w:p>
      <w:pPr>
        <w:pStyle w:val="Heading2"/>
      </w:pPr>
      <w:r>
        <w:t xml:space="preserve">7.4 2022년 기준 승자/패자 (요약)</w:t>
      </w:r>
    </w:p>
    <w:p>
      <w:pPr>
        <w:pStyle w:val="FirstParagraph"/>
      </w:pPr>
      <w:r>
        <w:rPr>
          <w:b/>
          <w:bCs/>
        </w:rPr>
        <w:t xml:space="preserve">증액 상위</w:t>
      </w:r>
      <w:r>
        <w:t xml:space="preserve">: 부산 해운대구·전남 완도군·부산 금정구·경북 고령군·경북 의성군 — v2의 배분갭</w:t>
      </w:r>
      <w:r>
        <w:t xml:space="preserve"> </w:t>
      </w:r>
      <w:r>
        <w:t xml:space="preserve">“부족”</w:t>
      </w:r>
      <w:r>
        <w:t xml:space="preserve"> </w:t>
      </w:r>
      <w:r>
        <w:t xml:space="preserve">목록과 일관된다.</w:t>
      </w:r>
    </w:p>
    <w:p>
      <w:pPr>
        <w:pStyle w:val="BodyText"/>
      </w:pPr>
      <w:r>
        <w:rPr>
          <w:b/>
          <w:bCs/>
        </w:rPr>
        <w:t xml:space="preserve">감액 상위</w:t>
      </w:r>
      <w:r>
        <w:t xml:space="preserve">: 경남 밀양시(−69.4억원)·울주군·경기 광주시·하동군·진주시 — v2와 순서까지 거의 동일하게 재현됐다.</w:t>
      </w:r>
    </w:p>
    <w:bookmarkEnd w:id="35"/>
    <w:bookmarkEnd w:id="36"/>
    <w:bookmarkStart w:id="39" w:name="국가대응수준-보조모형-v3"/>
    <w:p>
      <w:pPr>
        <w:pStyle w:val="Heading1"/>
      </w:pPr>
      <w:r>
        <w:t xml:space="preserve">8. 국가대응수준 보조모형 (v3)</w:t>
      </w:r>
    </w:p>
    <w:bookmarkStart w:id="37" w:name="selection-on-outcome"/>
    <w:p>
      <w:pPr>
        <w:pStyle w:val="Heading2"/>
      </w:pPr>
      <w:r>
        <w:t xml:space="preserve">8.1 Selection-on-outcome</w:t>
      </w:r>
    </w:p>
    <w:p>
      <w:pPr>
        <w:pStyle w:val="FirstParagraph"/>
      </w:pPr>
      <w:r>
        <w:t xml:space="preserve">국가대응수준 관측포함 지역(31개 시군구)의 피해발생률</w:t>
      </w:r>
      <w:r>
        <w:t xml:space="preserve"> </w:t>
      </w:r>
      <w:r>
        <w:rPr>
          <w:b/>
          <w:bCs/>
        </w:rPr>
        <w:t xml:space="preserve">77.8%</w:t>
      </w:r>
      <w:r>
        <w:t xml:space="preserve"> </w:t>
      </w:r>
      <w:r>
        <w:t xml:space="preserve">vs 미포함</w:t>
      </w:r>
      <w:r>
        <w:t xml:space="preserve"> </w:t>
      </w:r>
      <w:r>
        <w:rPr>
          <w:b/>
          <w:bCs/>
        </w:rPr>
        <w:t xml:space="preserve">44.1%</w:t>
      </w:r>
      <w:r>
        <w:t xml:space="preserve">(t=11.53, p&lt;0.0001) — v2와 동일하게 재확인됐다. 대표성 없는 selection-on-outcome 표본이다.</w:t>
      </w:r>
    </w:p>
    <w:bookmarkEnd w:id="37"/>
    <w:bookmarkStart w:id="38" w:name="동일-표본n150-26개-시군구-비교-및-부트스트랩"/>
    <w:p>
      <w:pPr>
        <w:pStyle w:val="Heading2"/>
      </w:pPr>
      <w:r>
        <w:t xml:space="preserve">8.2 동일 표본(n=150, 26개 시군구) 비교 및 부트스트랩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사양</w:t>
            </w:r>
          </w:p>
        </w:tc>
        <w:tc>
          <w:tcPr/>
          <w:p>
            <w:pPr>
              <w:pStyle w:val="Compact"/>
            </w:pPr>
            <w:r>
              <w:t xml:space="preserve">취약성지수_between 계수</w:t>
            </w:r>
          </w:p>
        </w:tc>
        <w:tc>
          <w:tcPr/>
          <w:p>
            <w:pPr>
              <w:pStyle w:val="Compact"/>
            </w:pPr>
            <w:r>
              <w:t xml:space="preserve">나이브 p</w:t>
            </w:r>
          </w:p>
        </w:tc>
        <w:tc>
          <w:tcPr/>
          <w:p>
            <w:pPr>
              <w:pStyle w:val="Compact"/>
            </w:pPr>
            <w:r>
              <w:t xml:space="preserve">부트스트랩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(i) 취약성지수만</w:t>
            </w:r>
          </w:p>
        </w:tc>
        <w:tc>
          <w:tcPr/>
          <w:p>
            <w:pPr>
              <w:pStyle w:val="Compact"/>
            </w:pPr>
            <w:r>
              <w:t xml:space="preserve">2.679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(ii) + 국가대응수준</w:t>
            </w:r>
          </w:p>
        </w:tc>
        <w:tc>
          <w:tcPr/>
          <w:p>
            <w:pPr>
              <w:pStyle w:val="Compact"/>
            </w:pPr>
            <w:r>
              <w:t xml:space="preserve">−0.956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0.639</w:t>
            </w:r>
          </w:p>
        </w:tc>
      </w:tr>
    </w:tbl>
    <w:p>
      <w:pPr>
        <w:pStyle w:val="BodyText"/>
      </w:pPr>
      <w:r>
        <w:t xml:space="preserve">로지스틱 완전분리 경고가 반복 발생했고, 모든 계수가 부트스트랩에서 유의성을 상실했다(p&gt;0.2).</w:t>
      </w:r>
      <w:r>
        <w:t xml:space="preserve"> </w:t>
      </w:r>
      <w:r>
        <w:rPr>
          <w:b/>
          <w:bCs/>
        </w:rPr>
        <w:t xml:space="preserve">v2와 동일한 결론</w:t>
      </w:r>
      <w:r>
        <w:t xml:space="preserve">: 이 보조모형은 표본력 부족(26~31개 군집)으로 결론을 낼 수 없으며, 이 자체가 정직한 결론이다.</w:t>
      </w:r>
    </w:p>
    <w:bookmarkEnd w:id="38"/>
    <w:bookmarkEnd w:id="39"/>
    <w:bookmarkStart w:id="43" w:name="종합-결론"/>
    <w:p>
      <w:pPr>
        <w:pStyle w:val="Heading1"/>
      </w:pPr>
      <w:r>
        <w:t xml:space="preserve">9. 종합 결론</w:t>
      </w:r>
    </w:p>
    <w:bookmarkStart w:id="40" w:name="주요-발견"/>
    <w:p>
      <w:pPr>
        <w:pStyle w:val="Heading2"/>
      </w:pPr>
      <w:r>
        <w:t xml:space="preserve">9.1 주요 발견</w:t>
      </w:r>
    </w:p>
    <w:p>
      <w:pPr>
        <w:pStyle w:val="Compact"/>
        <w:numPr>
          <w:ilvl w:val="0"/>
          <w:numId w:val="1004"/>
        </w:numPr>
      </w:pPr>
      <w:r>
        <w:t xml:space="preserve">기후위험도 도메인 QA를 통해 원문서의 ICC 계산 오류(평균풍속 0.826→0.944)를 발견·정정했고, 이에 따라</w:t>
      </w:r>
      <w:r>
        <w:t xml:space="preserve"> </w:t>
      </w:r>
      <w:r>
        <w:rPr>
          <w:b/>
          <w:bCs/>
        </w:rPr>
        <w:t xml:space="preserve">SPI3를 완전 제외, 평균풍속을 유지</w:t>
      </w:r>
      <w:r>
        <w:t xml:space="preserve">하는 방향으로 결정을 뒤집었다.</w:t>
      </w:r>
    </w:p>
    <w:p>
      <w:pPr>
        <w:pStyle w:val="Compact"/>
        <w:numPr>
          <w:ilvl w:val="0"/>
          <w:numId w:val="1004"/>
        </w:numPr>
      </w:pPr>
      <w:r>
        <w:t xml:space="preserve">이 변경 이후에도 Model 1의 핵심 결론(between만 유의, AUC~0.62, 배분갭 R²~3.7%, 재배분 규모 58~68%, 타겟팅 역전 현상)은 전부 재현됐다 — 기후위험도 도메인 재구성이 결과의 강건성을 훼손하지 않았다.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2(조기경보모형)를 정식 구축</w:t>
      </w:r>
      <w:r>
        <w:t xml:space="preserve">했다 — AUC 0.96~0.98로 매우 강력하며, 상승의 원천은 공간전파가 아니라 자체 발생 관성(상습발생 여부)임을 확인했다.</w:t>
      </w:r>
    </w:p>
    <w:p>
      <w:pPr>
        <w:pStyle w:val="Compact"/>
        <w:numPr>
          <w:ilvl w:val="0"/>
          <w:numId w:val="1004"/>
        </w:numPr>
      </w:pPr>
      <w:r>
        <w:t xml:space="preserve">Model 1(구조적 취약성지수)과 Model 2(조기경보모형)는 의도적으로 분리된 채 유지된다 — 전자는</w:t>
      </w:r>
      <w:r>
        <w:t xml:space="preserve"> </w:t>
      </w:r>
      <w:r>
        <w:t xml:space="preserve">“왜 취약한가”</w:t>
      </w:r>
      <w:r>
        <w:t xml:space="preserve">(예산배분 근거), 후자는</w:t>
      </w:r>
      <w:r>
        <w:t xml:space="preserve"> </w:t>
      </w:r>
      <w:r>
        <w:t xml:space="preserve">“어디서 다음에 터지는가”</w:t>
      </w:r>
      <w:r>
        <w:t xml:space="preserve">(예찰자원 배치 근거)에 답한다.</w:t>
      </w:r>
    </w:p>
    <w:p>
      <w:pPr>
        <w:pStyle w:val="Compact"/>
        <w:numPr>
          <w:ilvl w:val="0"/>
          <w:numId w:val="1004"/>
        </w:numPr>
      </w:pPr>
      <w:r>
        <w:t xml:space="preserve">배분갭·배분공식 시뮬레이션·국가대응수준 보조모형 전부 v3 데이터로 재실행했고, v2와 실질적으로 동일한 결론을 재확인했다.</w:t>
      </w:r>
    </w:p>
    <w:bookmarkEnd w:id="40"/>
    <w:bookmarkStart w:id="41" w:name="한계"/>
    <w:p>
      <w:pPr>
        <w:pStyle w:val="Heading2"/>
      </w:pPr>
      <w:r>
        <w:t xml:space="preserve">9.2 한계</w:t>
      </w:r>
    </w:p>
    <w:p>
      <w:pPr>
        <w:pStyle w:val="Compact"/>
        <w:numPr>
          <w:ilvl w:val="0"/>
          <w:numId w:val="1005"/>
        </w:numPr>
      </w:pPr>
      <w:r>
        <w:t xml:space="preserve">축A(위험요인 유형)의 ±0.5 임계값은 임의 설정값으로, 민감도 분석이 필요하다.</w:t>
      </w:r>
    </w:p>
    <w:p>
      <w:pPr>
        <w:pStyle w:val="Compact"/>
        <w:numPr>
          <w:ilvl w:val="0"/>
          <w:numId w:val="1005"/>
        </w:numPr>
      </w:pPr>
      <w:r>
        <w:t xml:space="preserve">Model 2는 원시 피해목 카운트가 없어 진짜 Poisson/NB count 모형이 아니라 CRE 2부문모형에 t-1 변수를 추가한 근사 구현이다.</w:t>
      </w:r>
    </w:p>
    <w:p>
      <w:pPr>
        <w:pStyle w:val="Compact"/>
        <w:numPr>
          <w:ilvl w:val="0"/>
          <w:numId w:val="1005"/>
        </w:numPr>
      </w:pPr>
      <w:r>
        <w:t xml:space="preserve">모형 B 2단계(예산의 인과적 한계효과)는 역인과·탐지편의 문제로 IV/event study 없이는 추정하지 않았다(여전히 보류).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관측소_대도시권_재사용_flag</w:t>
      </w:r>
      <w:r>
        <w:t xml:space="preserve">는 검증된 stnId=108(정확히 30개 시군구)보다 넓은 일반 기준(공유 10개 이상)으로 정의되어 있어, 필요시 임계값 재검토가 가능하다.</w:t>
      </w:r>
    </w:p>
    <w:bookmarkEnd w:id="41"/>
    <w:bookmarkStart w:id="42" w:name="향후-과제"/>
    <w:p>
      <w:pPr>
        <w:pStyle w:val="Heading2"/>
      </w:pPr>
      <w:r>
        <w:t xml:space="preserve">9.3 향후 과제</w:t>
      </w:r>
    </w:p>
    <w:p>
      <w:pPr>
        <w:pStyle w:val="Compact"/>
        <w:numPr>
          <w:ilvl w:val="0"/>
          <w:numId w:val="1006"/>
        </w:numPr>
      </w:pPr>
      <w:r>
        <w:t xml:space="preserve">축A 임계값(±0.5) 민감도 분석</w:t>
      </w:r>
    </w:p>
    <w:p>
      <w:pPr>
        <w:pStyle w:val="Compact"/>
        <w:numPr>
          <w:ilvl w:val="0"/>
          <w:numId w:val="1006"/>
        </w:numPr>
      </w:pPr>
      <w:r>
        <w:t xml:space="preserve">IV 또는 특별방제구역 지정 event study를 통한 예산의 인과적 한계효과 추정</w:t>
      </w:r>
    </w:p>
    <w:p>
      <w:pPr>
        <w:pStyle w:val="Compact"/>
        <w:numPr>
          <w:ilvl w:val="0"/>
          <w:numId w:val="1006"/>
        </w:numPr>
      </w:pPr>
      <w:r>
        <w:t xml:space="preserve">원시 피해목 카운트 확보 시 Model 2를 진짜 Poisson/NB endemic-epidemic 분해로 고도화</w:t>
      </w:r>
    </w:p>
    <w:bookmarkEnd w:id="42"/>
    <w:bookmarkEnd w:id="43"/>
    <w:bookmarkStart w:id="44" w:name="부록.-산출물-파일-목록"/>
    <w:p>
      <w:pPr>
        <w:pStyle w:val="Heading1"/>
      </w:pPr>
      <w:r>
        <w:t xml:space="preserve">부록. 산출물 파일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scripts/fix_climate_domain_qa.py</w:t>
            </w:r>
          </w:p>
        </w:tc>
        <w:tc>
          <w:tcPr/>
          <w:p>
            <w:pPr>
              <w:pStyle w:val="Compact"/>
            </w:pPr>
            <w:r>
              <w:t xml:space="preserve">기후위험도 QA 반영, 최종보정3 CSV·변수사전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scripts/model1_v3_climate_fixed.py</w:t>
            </w:r>
          </w:p>
        </w:tc>
        <w:tc>
          <w:tcPr/>
          <w:p>
            <w:pPr>
              <w:pStyle w:val="Compact"/>
            </w:pPr>
            <w:r>
              <w:t xml:space="preserve">Model 1 v3(SPI3 제외) — 지수산출·모형A·배분갭·기여도분해·유형화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scripts/model2_early_warning.py</w:t>
            </w:r>
          </w:p>
        </w:tc>
        <w:tc>
          <w:tcPr/>
          <w:p>
            <w:pPr>
              <w:pStyle w:val="Compact"/>
            </w:pPr>
            <w:r>
              <w:t xml:space="preserve">Model 2 — 조기경보모형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scripts/model_b_stage3_v3.py</w:t>
            </w:r>
          </w:p>
        </w:tc>
        <w:tc>
          <w:tcPr/>
          <w:p>
            <w:pPr>
              <w:pStyle w:val="Compact"/>
            </w:pPr>
            <w:r>
              <w:t xml:space="preserve">배분공식 시뮬레이션 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scripts/national_response_robustness_v3.py</w:t>
            </w:r>
          </w:p>
        </w:tc>
        <w:tc>
          <w:tcPr/>
          <w:p>
            <w:pPr>
              <w:pStyle w:val="Compact"/>
            </w:pPr>
            <w:r>
              <w:t xml:space="preserve">국가대응수준 보조모형 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output/CH2_전체병합패널_5도메인_2016_2023_최종보정3.csv</w:t>
            </w:r>
          </w:p>
        </w:tc>
        <w:tc>
          <w:tcPr/>
          <w:p>
            <w:pPr>
              <w:pStyle w:val="Compact"/>
            </w:pPr>
            <w:r>
              <w:t xml:space="preserve">최신 병합패널(98열)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output/변수사전_역할태그.csv</w:t>
            </w:r>
          </w:p>
        </w:tc>
        <w:tc>
          <w:tcPr/>
          <w:p>
            <w:pPr>
              <w:pStyle w:val="Compact"/>
            </w:pPr>
            <w:r>
              <w:t xml:space="preserve">최신 변수사전(SPI3 제외 반영)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output/모델링/구조적취약성지수_v3.csv</w:t>
            </w:r>
          </w:p>
        </w:tc>
        <w:tc>
          <w:tcPr/>
          <w:p>
            <w:pPr>
              <w:pStyle w:val="Compact"/>
            </w:pPr>
            <w:r>
              <w:t xml:space="preserve">Model 1 v3 지수·도메인점수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output/모델링/Model1_기여도분해_유형화_v3.csv</w:t>
            </w:r>
          </w:p>
        </w:tc>
        <w:tc>
          <w:tcPr/>
          <w:p>
            <w:pPr>
              <w:pStyle w:val="Compact"/>
            </w:pPr>
            <w:r>
              <w:t xml:space="preserve">221개 시군구 기여도분해·유형화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output/모델링/Model2_조기경보_예측결과.csv</w:t>
            </w:r>
          </w:p>
        </w:tc>
        <w:tc>
          <w:tcPr/>
          <w:p>
            <w:pPr>
              <w:pStyle w:val="Compact"/>
            </w:pPr>
            <w:r>
              <w:t xml:space="preserve">Model 2 예측확률·십분위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output/모델링/배분공식_시뮬레이션결과_v3.csv</w:t>
            </w:r>
          </w:p>
        </w:tc>
        <w:tc>
          <w:tcPr/>
          <w:p>
            <w:pPr>
              <w:pStyle w:val="Compact"/>
            </w:pPr>
            <w:r>
              <w:t xml:space="preserve">배분공식 시뮬레이션 v3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output/모델링/Model1_v3_로그.txt</w:t>
            </w:r>
            <w:r>
              <w:t xml:space="preserve"> </w:t>
            </w:r>
            <w:r>
              <w:rPr>
                <w:rStyle w:val="VerbatimChar"/>
              </w:rPr>
              <w:t xml:space="preserve">Model2_로그.txt</w:t>
            </w:r>
            <w:r>
              <w:t xml:space="preserve"> </w:t>
            </w:r>
            <w:r>
              <w:rPr>
                <w:rStyle w:val="VerbatimChar"/>
              </w:rPr>
              <w:t xml:space="preserve">배분공식_로그_v3.txt</w:t>
            </w:r>
            <w:r>
              <w:t xml:space="preserve"> </w:t>
            </w:r>
            <w:r>
              <w:rPr>
                <w:rStyle w:val="VerbatimChar"/>
              </w:rPr>
              <w:t xml:space="preserve">국가대응수준_보조모형_로그_v3.txt</w:t>
            </w:r>
          </w:p>
        </w:tc>
        <w:tc>
          <w:tcPr/>
          <w:p>
            <w:pPr>
              <w:pStyle w:val="Compact"/>
            </w:pPr>
            <w:r>
              <w:t xml:space="preserve">전체 회귀결과 로그</w:t>
            </w:r>
          </w:p>
        </w:tc>
      </w:tr>
    </w:tbl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CH2 방제취약성지수 산출 및 맞춤형 예산배분 모델링 분석보고서</dc:title>
  <dc:creator/>
  <cp:keywords/>
  <dcterms:created xsi:type="dcterms:W3CDTF">2026-07-29T19:21:44Z</dcterms:created>
  <dcterms:modified xsi:type="dcterms:W3CDTF">2026-07-29T19:21:44Z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 (v3 — 기후위험도 QA 반영, Model 1·2 전체 파이프라인 재실행)</vt:lpwstr>
  </property>
</Properties>
</file>