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CH2 방제취약성지수 산출 및 맞춤형 예산배분 모델링 분석보고서</w:t>
      </w:r>
    </w:p>
    <w:p>
      <w:pPr>
        <w:pStyle w:val="Date"/>
      </w:pPr>
      <w:r>
        <w:t xml:space="preserve">2026-07-30 (v4 — 외부 QA 검토 4건 반영: 누수 수정·2023 제외·평균풍속 재검토·해운대구 검증)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분석-개요"/>
    <w:p>
      <w:pPr>
        <w:pStyle w:val="Heading1"/>
      </w:pPr>
      <w:r>
        <w:t xml:space="preserve">1. 분석 개요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소나무재선충병 방제취약성지수를 산출하고, 이를 바탕으로 맞춤형 예산배분 모형을 구축한다. Model 1(구조적 취약성 진단)과 Model 2(재발위험 조기경보)를 의도적으로 분리한다.</w:t>
      </w:r>
    </w:p>
    <w:p>
      <w:pPr>
        <w:pStyle w:val="BodyText"/>
      </w:pPr>
      <w:r>
        <w:rPr>
          <w:b/>
          <w:bCs/>
        </w:rPr>
        <w:t xml:space="preserve">데이터</w:t>
      </w:r>
      <w:r>
        <w:t xml:space="preserve">: 229개 시군구 × 8개년(2016–2023) 패널.</w:t>
      </w:r>
      <w:r>
        <w:t xml:space="preserve"> </w:t>
      </w:r>
      <w:r>
        <w:rPr>
          <w:rStyle w:val="VerbatimChar"/>
        </w:rPr>
        <w:t xml:space="preserve">CH2_전체병합패널_5도메인_2016_2023_최종보정3.csv</w:t>
      </w:r>
      <w:r>
        <w:t xml:space="preserve">(1,832행 × 98열).</w:t>
      </w:r>
    </w:p>
    <w:p>
      <w:pPr>
        <w:pStyle w:val="BlockText"/>
      </w:pPr>
      <w:r>
        <w:rPr>
          <w:b/>
          <w:bCs/>
        </w:rPr>
        <w:t xml:space="preserve">v4 갱신 사항 — 외부 QA 검토서 4건 재검증 및 반영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Model 2 데이터 누수 수정</w:t>
      </w:r>
      <w:r>
        <w:t xml:space="preserve">:</w:t>
      </w:r>
      <w:r>
        <w:t xml:space="preserve"> </w:t>
      </w:r>
      <w:r>
        <w:rPr>
          <w:rStyle w:val="VerbatimChar"/>
        </w:rPr>
        <w:t xml:space="preserve">_gm</w:t>
      </w:r>
      <w:r>
        <w:t xml:space="preserve">(시군구 평균) 항이 훈련·홀드아웃 분리 이전에 전체기간에서 계산되던 버그를 확인·수정(훈련기간에서만 계산 후 홀드아웃에 고정 적용). 영향은 예상보다 작았다(AUC 0.981→0.976 훈련, 0.962→0.948 홀드아웃).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2023년 데이터 완전성</w:t>
      </w:r>
      <w:r>
        <w:t xml:space="preserve">:</w:t>
      </w:r>
      <w:r>
        <w:t xml:space="preserve"> </w:t>
      </w:r>
      <w:r>
        <w:rPr>
          <w:rStyle w:val="VerbatimChar"/>
        </w:rPr>
        <w:t xml:space="preserve">데이터유형</w:t>
      </w:r>
      <w:r>
        <w:t xml:space="preserve"> </w:t>
      </w:r>
      <w:r>
        <w:t xml:space="preserve">컬럼 확인 결과</w:t>
      </w:r>
      <w:r>
        <w:t xml:space="preserve"> </w:t>
      </w:r>
      <w:r>
        <w:rPr>
          <w:b/>
          <w:bCs/>
        </w:rPr>
        <w:t xml:space="preserve">2016·2023년은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“추정”</w:t>
      </w:r>
      <w:r>
        <w:rPr>
          <w:b/>
          <w:bCs/>
        </w:rPr>
        <w:t xml:space="preserve">값</w:t>
      </w:r>
      <w:r>
        <w:t xml:space="preserve">(실측 아님)임을 확인. Model 2 rolling-origin에서 2023을 검증대상으로 쓴 스텝을 제외했다.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평균풍속 재검토</w:t>
      </w:r>
      <w:r>
        <w:t xml:space="preserve">: v3에서</w:t>
      </w:r>
      <w:r>
        <w:t xml:space="preserve"> </w:t>
      </w:r>
      <w:r>
        <w:t xml:space="preserve">“유지”</w:t>
      </w:r>
      <w:r>
        <w:t xml:space="preserve">로 뒤집었던 결정을 다시 검토한 결과, 그 근거였던 Spearman(between)=-0.144가 관측소 대도시권 공유지역(서울/수도권)을 제외하면 완전히 사라짐을 확인(교란효과).</w:t>
      </w:r>
      <w:r>
        <w:t xml:space="preserve"> </w:t>
      </w:r>
      <w:r>
        <w:rPr>
          <w:b/>
          <w:bCs/>
        </w:rPr>
        <w:t xml:space="preserve">평균풍속을 기후위험도 도메인에서 최종 제외</w:t>
      </w:r>
      <w:r>
        <w:t xml:space="preserve">했다(v4).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해운대구 등 도시지역 순위 검증</w:t>
      </w:r>
      <w:r>
        <w:t xml:space="preserve">: 소나무류_면적비율이 전국 5위(31~35%)로 실제 특성임을 확인 — 분모 아티팩트 우려는 기각됐다.</w:t>
      </w:r>
    </w:p>
    <w:p>
      <w:pPr>
        <w:pStyle w:val="BlockText"/>
      </w:pPr>
      <w:r>
        <w:t xml:space="preserve">본 보고서 2~8장 전체가 v4(평균풍속 제외, 누수 수정) 기준으로 통일되어 있다.</w:t>
      </w:r>
    </w:p>
    <w:p>
      <w:pPr>
        <w:pStyle w:val="FirstParagraph"/>
      </w:pPr>
      <w:r>
        <w:rPr>
          <w:b/>
          <w:bCs/>
        </w:rPr>
        <w:t xml:space="preserve">분석 구조</w:t>
      </w:r>
      <w:r>
        <w:t xml:space="preserve">: 표본정의·QA → Model 1(지수산출·모형A) → 배분갭·기여도분해·유형화 → Model 2(조기경보, 누수 수정) → 배분공식 시뮬레이션 → 국가대응수준 보조모형 → 종합결론.</w:t>
      </w:r>
    </w:p>
    <w:p>
      <w:pPr>
        <w:pStyle w:val="BodyText"/>
      </w:pPr>
      <w:r>
        <w:t xml:space="preserve">산출 스크립트:</w:t>
      </w:r>
      <w:r>
        <w:t xml:space="preserve"> </w:t>
      </w:r>
      <w:r>
        <w:rPr>
          <w:rStyle w:val="VerbatimChar"/>
        </w:rPr>
        <w:t xml:space="preserve">fix_climate_domain_qa.py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model1_v4_final.py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model1_windspeed_sensitivity.py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model2_final.py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model_b_stage3_v4.py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national_response_robustness_v4.py</w:t>
      </w:r>
      <w:r>
        <w:t xml:space="preserve">.</w:t>
      </w:r>
    </w:p>
    <w:bookmarkEnd w:id="9"/>
    <w:bookmarkStart w:id="13" w:name="표본-정의-및-qa-검증-이력"/>
    <w:p>
      <w:pPr>
        <w:pStyle w:val="Heading1"/>
      </w:pPr>
      <w:r>
        <w:t xml:space="preserve">2. 표본 정의 및 QA 검증 이력</w:t>
      </w:r>
    </w:p>
    <w:bookmarkStart w:id="10" w:name="표본-정의"/>
    <w:p>
      <w:pPr>
        <w:pStyle w:val="Heading2"/>
      </w:pPr>
      <w:r>
        <w:t xml:space="preserve">2.1 표본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</w:t>
            </w:r>
          </w:p>
        </w:tc>
        <w:tc>
          <w:tcPr/>
          <w:p>
            <w:pPr>
              <w:pStyle w:val="Compact"/>
            </w:pPr>
            <w:r>
              <w:t xml:space="preserve">1,832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면적=0 진짜 도심 제외</w:t>
            </w:r>
          </w:p>
        </w:tc>
        <w:tc>
          <w:tcPr/>
          <w:p>
            <w:pPr>
              <w:pStyle w:val="Compact"/>
            </w:pPr>
            <w:r>
              <w:t xml:space="preserve">1,816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임상도 아티팩트 무효구간 제외</w:t>
            </w:r>
          </w:p>
        </w:tc>
        <w:tc>
          <w:tcPr/>
          <w:p>
            <w:pPr>
              <w:pStyle w:val="Compact"/>
            </w:pPr>
            <w:r>
              <w:t xml:space="preserve">1,804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핵심변수 완비</w:t>
            </w:r>
          </w:p>
        </w:tc>
        <w:tc>
          <w:tcPr/>
          <w:p>
            <w:pPr>
              <w:pStyle w:val="Compact"/>
            </w:pPr>
            <w:r>
              <w:t xml:space="preserve">1,749</w:t>
            </w:r>
          </w:p>
        </w:tc>
      </w:tr>
    </w:tbl>
    <w:bookmarkEnd w:id="10"/>
    <w:bookmarkStart w:id="11" w:name="기후위험도-도메인-두-차례-qa로-확정된-최종-구성"/>
    <w:p>
      <w:pPr>
        <w:pStyle w:val="Heading2"/>
      </w:pPr>
      <w:r>
        <w:t xml:space="preserve">2.2 기후위험도 도메인 — 두 차례 QA로 확정된 최종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1차 결정</w:t>
            </w:r>
          </w:p>
        </w:tc>
        <w:tc>
          <w:tcPr/>
          <w:p>
            <w:pPr>
              <w:pStyle w:val="Compact"/>
            </w:pPr>
            <w:r>
              <w:t xml:space="preserve">2차 QA(외부검토)</w:t>
            </w:r>
          </w:p>
        </w:tc>
        <w:tc>
          <w:tcPr/>
          <w:p>
            <w:pPr>
              <w:pStyle w:val="Compact"/>
            </w:pPr>
            <w:r>
              <w:t xml:space="preserve">최종(v4)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SPI3_최저월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ICC≈0, 개념적 결함 확인 →</w:t>
            </w:r>
            <w:r>
              <w:t xml:space="preserve"> </w:t>
            </w:r>
            <w:r>
              <w:rPr>
                <w:b/>
                <w:bCs/>
              </w:rP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평균풍속</w:t>
            </w:r>
          </w:p>
        </w:tc>
        <w:tc>
          <w:tcPr/>
          <w:p>
            <w:pPr>
              <w:pStyle w:val="Compact"/>
            </w:pPr>
            <w:r>
              <w:t xml:space="preserve">제외/축소 검토</w:t>
            </w:r>
          </w:p>
        </w:tc>
        <w:tc>
          <w:tcPr/>
          <w:p>
            <w:pPr>
              <w:pStyle w:val="Compact"/>
            </w:pPr>
            <w:r>
              <w:t xml:space="preserve">ICC=0.944로</w:t>
            </w:r>
            <w:r>
              <w:t xml:space="preserve"> </w:t>
            </w:r>
            <w:r>
              <w:t xml:space="preserve">“유지”</w:t>
            </w:r>
            <w:r>
              <w:t xml:space="preserve">로 반전 →</w:t>
            </w:r>
            <w:r>
              <w:t xml:space="preserve"> </w:t>
            </w:r>
            <w:r>
              <w:rPr>
                <w:b/>
                <w:bCs/>
              </w:rPr>
              <w:t xml:space="preserve">3차 재검토에서 다시 제외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연강수량, GDD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변동없음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평균풍속 최종 제외 근거(3차 QA)</w:t>
      </w:r>
      <w:r>
        <w:t xml:space="preserve">: v3에서</w:t>
      </w:r>
      <w:r>
        <w:t xml:space="preserve"> </w:t>
      </w:r>
      <w:r>
        <w:t xml:space="preserve">“Pearson은 근사 0이나 Spearman(between)=-0.144로 실신호가 있다”</w:t>
      </w:r>
      <w:r>
        <w:t xml:space="preserve">며 유지를 결정했으나, 외부 검토서가</w:t>
      </w:r>
      <w:r>
        <w:t xml:space="preserve"> </w:t>
      </w:r>
      <w:r>
        <w:t xml:space="preserve">“이 신호가 관측소 배정방식(대도시권 공유)에서 나왔을 가능성”</w:t>
      </w:r>
      <w:r>
        <w:t xml:space="preserve">을 제기했다. 직접 검증한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표본</w:t>
            </w:r>
          </w:p>
        </w:tc>
        <w:tc>
          <w:tcPr/>
          <w:p>
            <w:pPr>
              <w:pStyle w:val="Compact"/>
            </w:pPr>
            <w:r>
              <w:t xml:space="preserve">ICC</w:t>
            </w:r>
          </w:p>
        </w:tc>
        <w:tc>
          <w:tcPr/>
          <w:p>
            <w:pPr>
              <w:pStyle w:val="Compact"/>
            </w:pPr>
            <w:r>
              <w:t xml:space="preserve">Spearman(풍속, 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전체(n=221)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관측소 대도시권 공유지역 제외(n=169)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</w:t>
            </w:r>
          </w:p>
        </w:tc>
      </w:tr>
    </w:tbl>
    <w:p>
      <w:pPr>
        <w:pStyle w:val="BodyText"/>
      </w:pPr>
      <w:r>
        <w:t xml:space="preserve">ICC는 안정적이지만(진짜 지자체 고유특성),</w:t>
      </w:r>
      <w:r>
        <w:t xml:space="preserve"> </w:t>
      </w:r>
      <w:r>
        <w:rPr>
          <w:b/>
          <w:bCs/>
        </w:rPr>
        <w:t xml:space="preserve">Y와의 상관은 관측소 공유지역(주로 서울·수도권 30여 곳)을 빼면 완전히 사라진다.</w:t>
      </w:r>
      <w:r>
        <w:t xml:space="preserve"> </w:t>
      </w:r>
      <w:r>
        <w:t xml:space="preserve">즉 v3의</w:t>
      </w:r>
      <w:r>
        <w:t xml:space="preserve"> </w:t>
      </w:r>
      <w:r>
        <w:t xml:space="preserve">“유지”</w:t>
      </w:r>
      <w:r>
        <w:t xml:space="preserve"> </w:t>
      </w:r>
      <w:r>
        <w:t xml:space="preserve">결정은 수도권 교란효과에 근거한 것으로 판단해 최종적으로 제외했다.</w:t>
      </w:r>
    </w:p>
    <w:bookmarkEnd w:id="11"/>
    <w:bookmarkStart w:id="12" w:name="해운대구-등-상위-취약지역-순위-검증"/>
    <w:p>
      <w:pPr>
        <w:pStyle w:val="Heading2"/>
      </w:pPr>
      <w:r>
        <w:t xml:space="preserve">2.3 해운대구 등 상위 취약지역 순위 검증</w:t>
      </w:r>
    </w:p>
    <w:p>
      <w:pPr>
        <w:pStyle w:val="FirstParagraph"/>
      </w:pPr>
      <w:r>
        <w:t xml:space="preserve">외부 검토서는 도시 자치구의 작은 소나무림면적이 비율 변수의 분모 아티팩트를 만들 가능성을 제기했다. 확인 결과</w:t>
      </w:r>
      <w:r>
        <w:t xml:space="preserve"> </w:t>
      </w:r>
      <w:r>
        <w:rPr>
          <w:b/>
          <w:bCs/>
        </w:rPr>
        <w:t xml:space="preserve">해운대구의 소나무류_면적비율은 31~35%로 전국 5위</w:t>
      </w:r>
      <w:r>
        <w:t xml:space="preserve">(전국 평균을 크게 상회)이며, 소나무림면적(1,742ha, 전국 40퍼센타일)도 극단적으로 작지 않다. 도시지역이라는 이유만으로 순위를 의심할 근거는 약하다 — 이 우려는 기각한다.</w:t>
      </w:r>
    </w:p>
    <w:bookmarkEnd w:id="12"/>
    <w:bookmarkEnd w:id="13"/>
    <w:bookmarkStart w:id="16" w:name="방제취약성지수model-1-산출-v4-최종"/>
    <w:p>
      <w:pPr>
        <w:pStyle w:val="Heading1"/>
      </w:pPr>
      <w:r>
        <w:t xml:space="preserve">3. 방제취약성지수(Model 1) 산출 — v4 최종</w:t>
      </w:r>
    </w:p>
    <w:bookmarkStart w:id="14" w:name="도메인-구성"/>
    <w:p>
      <w:pPr>
        <w:pStyle w:val="Heading2"/>
      </w:pPr>
      <w:r>
        <w:t xml:space="preserve">3.1 도메인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투입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소나무류_면적비율(%)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연강수량_mm, GDD_솔수염하늘소 (</w:t>
            </w:r>
            <w:r>
              <w:rPr>
                <w:b/>
                <w:bCs/>
              </w:rPr>
              <w:t xml:space="preserve">평균풍속 제외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지자체대응역량(역방향)</w:t>
            </w:r>
          </w:p>
        </w:tc>
        <w:tc>
          <w:tcPr/>
          <w:p>
            <w:pPr>
              <w:pStyle w:val="Compact"/>
            </w:pPr>
            <w:r>
              <w:t xml:space="preserve">대응자원투입예산_로그, 예찰사업_존재_flag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도로소나무비율(면적통제), 원목생산업체수(면적통제)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구조적취약성지수 = 0.25 × 노출도_점수 + 0.25 × 기후위험도_점수</w:t>
      </w:r>
      <w:r>
        <w:br/>
      </w:r>
      <w:r>
        <w:rPr>
          <w:rStyle w:val="VerbatimChar"/>
        </w:rPr>
        <w:t xml:space="preserve">                  + 0.25 × 지자체대응역량_점수 + 0.25 × 인위적확산_점수</w:t>
      </w:r>
    </w:p>
    <w:bookmarkEnd w:id="14"/>
    <w:bookmarkStart w:id="15" w:name="평균풍속-포함제외-민감도-비교"/>
    <w:p>
      <w:pPr>
        <w:pStyle w:val="Heading2"/>
      </w:pPr>
      <w:r>
        <w:t xml:space="preserve">3.2 평균풍속 포함/제외 민감도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사양</w:t>
            </w:r>
          </w:p>
        </w:tc>
        <w:tc>
          <w:tcPr/>
          <w:p>
            <w:pPr>
              <w:pStyle w:val="Compact"/>
            </w:pPr>
            <w:r>
              <w:t xml:space="preserve">between 계수(훈련)</w:t>
            </w:r>
          </w:p>
        </w:tc>
        <w:tc>
          <w:tcPr/>
          <w:p>
            <w:pPr>
              <w:pStyle w:val="Compact"/>
            </w:pPr>
            <w:r>
              <w:t xml:space="preserve">between 계수(홀드아웃)</w:t>
            </w:r>
          </w:p>
        </w:tc>
        <w:tc>
          <w:tcPr/>
          <w:p>
            <w:pPr>
              <w:pStyle w:val="Compact"/>
            </w:pPr>
            <w:r>
              <w:t xml:space="preserve">AUC(훈련/홀드아웃)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풍속 포함(v3)</w:t>
            </w:r>
          </w:p>
        </w:tc>
        <w:tc>
          <w:tcPr/>
          <w:p>
            <w:pPr>
              <w:pStyle w:val="Compact"/>
            </w:pPr>
            <w:r>
              <w:t xml:space="preserve">+1.713(p&lt;0.001)</w:t>
            </w:r>
          </w:p>
        </w:tc>
        <w:tc>
          <w:tcPr/>
          <w:p>
            <w:pPr>
              <w:pStyle w:val="Compact"/>
            </w:pPr>
            <w:r>
              <w:t xml:space="preserve">+2.077(p=0.003)</w:t>
            </w:r>
          </w:p>
        </w:tc>
        <w:tc>
          <w:tcPr/>
          <w:p>
            <w:pPr>
              <w:pStyle w:val="Compact"/>
            </w:pPr>
            <w:r>
              <w:t xml:space="preserve">0.617 / 0.622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풍속 제외(v4, 최종)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+1.253(p=0.002)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+1.449(p=0.008)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 / 0.594</w:t>
            </w:r>
          </w:p>
        </w:tc>
      </w:tr>
    </w:tbl>
    <w:p>
      <w:pPr>
        <w:pStyle w:val="BodyText"/>
      </w:pPr>
      <w:r>
        <w:t xml:space="preserve">전체 시군구 순위상관(포함 vs 제외)</w:t>
      </w:r>
      <w:r>
        <w:t xml:space="preserve"> </w:t>
      </w:r>
      <w:r>
        <w:rPr>
          <w:b/>
          <w:bCs/>
        </w:rPr>
        <w:t xml:space="preserve">Spearman ρ=0.970</w:t>
      </w:r>
      <w:r>
        <w:t xml:space="preserve">, Top20 중복 15/20(75%). 풍속을 빼도 핵심 결론(between 유의)은 유지되며, 계수·AUC가 소폭 낮아지는 정도다 — 교란효과가 낀 변수를 뺀 대가로는 작다.</w:t>
      </w:r>
    </w:p>
    <w:bookmarkEnd w:id="15"/>
    <w:bookmarkEnd w:id="16"/>
    <w:bookmarkStart w:id="20" w:name="모형-a-model-1-타당성-검증-v4"/>
    <w:p>
      <w:pPr>
        <w:pStyle w:val="Heading1"/>
      </w:pPr>
      <w:r>
        <w:t xml:space="preserve">4. 모형 A — Model 1 타당성 검증 (v4)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항</w:t>
            </w:r>
          </w:p>
        </w:tc>
        <w:tc>
          <w:tcPr/>
          <w:p>
            <w:pPr>
              <w:pStyle w:val="Compact"/>
            </w:pPr>
            <w:r>
              <w:t xml:space="preserve">발생여부 계수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크기(OLS)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−0.412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−0.107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−0.656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+0.030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+1.449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+0.038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</w:tr>
    </w:tbl>
    <w:p>
      <w:pPr>
        <w:pStyle w:val="BodyText"/>
      </w:pPr>
      <w:r>
        <w:t xml:space="preserve">AUC(구조 타당성 검증, 홀드아웃 자체 CRE): 훈련 0.600 / 홀드아웃 0.594. 이 0.594는 §5.2의 0.633(Model 2와 공정비교를 위해 훈련기간 gm을 고정 적용한 값)과</w:t>
      </w:r>
      <w:r>
        <w:t xml:space="preserve"> </w:t>
      </w:r>
      <w:r>
        <w:rPr>
          <w:b/>
          <w:bCs/>
        </w:rPr>
        <w:t xml:space="preserve">평가 설계가 다른 별개의 수치</w:t>
      </w:r>
      <w:r>
        <w:t xml:space="preserve">다 — 둘 다 맞지만 혼동하지 않도록 구분해서 인용해야 한다.</w:t>
      </w:r>
    </w:p>
    <w:p>
      <w:pPr>
        <w:pStyle w:val="BodyText"/>
      </w:pPr>
      <w:r>
        <w:rPr>
          <w:b/>
          <w:bCs/>
        </w:rPr>
        <w:t xml:space="preserve">정확한 표현</w:t>
      </w:r>
      <w:r>
        <w:t xml:space="preserve">:</w:t>
      </w:r>
      <w:r>
        <w:t xml:space="preserve"> </w:t>
      </w:r>
      <w:r>
        <w:t xml:space="preserve">“구조적취약성지수의 지자체 간 차이는 발생여부와 일관된 양의 연관성을 보였다(훈련 p=0.002, 홀드아웃 p=0.008 모두 유의). 발생규모와의 연관성은 훈련표본(p=0.023)에서만 확인되었고 홀드아웃(p=0.147)에서는 재현되지 않아, 발생규모 쪽은 홀드아웃 재현성이 제한적이다.”</w:t>
      </w:r>
      <w:r>
        <w:t xml:space="preserve"> </w:t>
      </w:r>
      <w:r>
        <w:t xml:space="preserve">—</w:t>
      </w:r>
      <w:r>
        <w:t xml:space="preserve"> </w:t>
      </w:r>
      <w:r>
        <w:t xml:space="preserve">“between만 유의”</w:t>
      </w:r>
      <w:r>
        <w:t xml:space="preserve">라는 뭉뚱그린 표현 대신 이 문장으로 대체한다.</w:t>
      </w:r>
    </w:p>
    <w:bookmarkStart w:id="17" w:name="배분갭-v4"/>
    <w:p>
      <w:pPr>
        <w:pStyle w:val="Heading2"/>
      </w:pPr>
      <w:r>
        <w:t xml:space="preserve">4.1 배분갭 (v4)</w:t>
      </w:r>
    </w:p>
    <w:p>
      <w:pPr>
        <w:pStyle w:val="FirstParagraph"/>
      </w:pPr>
      <w:r>
        <w:rPr>
          <w:b/>
          <w:bCs/>
        </w:rPr>
        <w:t xml:space="preserve">회귀식</w:t>
      </w:r>
      <w:r>
        <w:t xml:space="preserve">: 예산 = α + β×평균위험 + ε (예산이 종속변수, 위험지수가 설명변수 — 이전 판에서</w:t>
      </w:r>
      <w:r>
        <w:t xml:space="preserve"> </w:t>
      </w:r>
      <w:r>
        <w:t xml:space="preserve">“위험지수 ~ 예산”</w:t>
      </w:r>
      <w:r>
        <w:t xml:space="preserve">으로 방향이 반대로 표기됐던 오기를 수정). between 회귀: β=</w:t>
      </w:r>
      <w:r>
        <w:rPr>
          <w:b/>
          <w:bCs/>
        </w:rPr>
        <w:t xml:space="preserve">+1.531(p=0.004), R²=3.40%</w:t>
      </w:r>
      <w:r>
        <w:t xml:space="preserve">. v3(+1.716, R²=3.65%)와 사실상 동일 — 풍속 제외가 이 결론에 영향을 주지 않았다. 배분갭 ε&lt;0은</w:t>
      </w:r>
      <w:r>
        <w:t xml:space="preserve"> </w:t>
      </w:r>
      <w:r>
        <w:t xml:space="preserve">“최적예산 대비 부족”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“현행 평균 배분관행 대비 상대적 저배분”</w:t>
      </w:r>
      <w:r>
        <w:t xml:space="preserve">을 뜻한다.</w:t>
      </w:r>
    </w:p>
    <w:bookmarkEnd w:id="17"/>
    <w:bookmarkStart w:id="18" w:name="기여도-분해-상위-20개v4"/>
    <w:p>
      <w:pPr>
        <w:pStyle w:val="Heading2"/>
      </w:pPr>
      <w:r>
        <w:t xml:space="preserve">4.2 기여도 분해 — 상위 20개(v4)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취약성지수</w:t>
            </w:r>
          </w:p>
        </w:tc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기후</w:t>
            </w:r>
          </w:p>
        </w:tc>
        <w:tc>
          <w:tcPr/>
          <w:p>
            <w:pPr>
              <w:pStyle w:val="Compact"/>
            </w:pPr>
            <w:r>
              <w:t xml:space="preserve">역량</w:t>
            </w:r>
          </w:p>
        </w:tc>
        <w:tc>
          <w:tcPr/>
          <w:p>
            <w:pPr>
              <w:pStyle w:val="Compact"/>
            </w:pPr>
            <w:r>
              <w:t xml:space="preserve">인위적확산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해운대구</w:t>
            </w:r>
          </w:p>
        </w:tc>
        <w:tc>
          <w:tcPr/>
          <w:p>
            <w:pPr>
              <w:pStyle w:val="Compact"/>
            </w:pPr>
            <w:r>
              <w:t xml:space="preserve">1.136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−0.010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고성군</w:t>
            </w:r>
          </w:p>
        </w:tc>
        <w:tc>
          <w:tcPr/>
          <w:p>
            <w:pPr>
              <w:pStyle w:val="Compact"/>
            </w:pPr>
            <w:r>
              <w:t xml:space="preserve">1.014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통영시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  <w:tc>
          <w:tcPr/>
          <w:p>
            <w:pPr>
              <w:pStyle w:val="Compact"/>
            </w:pPr>
            <w:r>
              <w:t xml:space="preserve">−0.086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거제시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금정구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−0.072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남해군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완도군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기장군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−0.079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울진군</w:t>
            </w:r>
          </w:p>
        </w:tc>
        <w:tc>
          <w:tcPr/>
          <w:p>
            <w:pPr>
              <w:pStyle w:val="Compact"/>
            </w:pPr>
            <w:r>
              <w:t xml:space="preserve">0.779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−0.165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여수시</w:t>
            </w:r>
          </w:p>
        </w:tc>
        <w:tc>
          <w:tcPr/>
          <w:p>
            <w:pPr>
              <w:pStyle w:val="Compact"/>
            </w:pPr>
            <w:r>
              <w:t xml:space="preserve">0.740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남구</w:t>
            </w:r>
          </w:p>
        </w:tc>
        <w:tc>
          <w:tcPr/>
          <w:p>
            <w:pPr>
              <w:pStyle w:val="Compact"/>
            </w:pPr>
            <w:r>
              <w:t xml:space="preserve">0.732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−0.087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북구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−0.017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의령군</w:t>
            </w:r>
          </w:p>
        </w:tc>
        <w:tc>
          <w:tcPr/>
          <w:p>
            <w:pPr>
              <w:pStyle w:val="Compact"/>
            </w:pPr>
            <w:r>
              <w:t xml:space="preserve">0.665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−0.070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합천군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−0.094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대구광역시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0.386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양양군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산청군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−0.034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광주광역시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동래구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−0.046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영도구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−0.109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</w:tr>
    </w:tbl>
    <w:p>
      <w:pPr>
        <w:pStyle w:val="BodyText"/>
      </w:pPr>
      <w:r>
        <w:t xml:space="preserve">부산 자치구(해운대·금정·남·북·동래·영도)가 다수 상위권에 재확인됐으나, 해운대구 사례에서 확인했듯 이는 실제 소나무비율이 높은 지역 특성이다.</w:t>
      </w:r>
    </w:p>
    <w:bookmarkEnd w:id="18"/>
    <w:bookmarkStart w:id="19" w:name="유형화-매트릭스-v4"/>
    <w:p>
      <w:pPr>
        <w:pStyle w:val="Heading2"/>
      </w:pPr>
      <w:r>
        <w:t xml:space="preserve">4.3 2×3 유형화 매트릭스 (v4)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부족</w:t>
            </w:r>
          </w:p>
        </w:tc>
        <w:tc>
          <w:tcPr/>
          <w:p>
            <w:pPr>
              <w:pStyle w:val="Compact"/>
            </w:pPr>
            <w:r>
              <w:t xml:space="preserve">적정</w:t>
            </w:r>
          </w:p>
        </w:tc>
        <w:tc>
          <w:tcPr/>
          <w:p>
            <w:pPr>
              <w:pStyle w:val="Compact"/>
            </w:pPr>
            <w:r>
              <w:t xml:space="preserve">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열 대표 사례</w:t>
      </w:r>
      <w:r>
        <w:t xml:space="preserve">: 노출도-우세형 → 완도군·대구 동구·고령군·영양군·옹진군(예찰·모니터링). 인위적확산-우세형 → 서울 종로구·관악구·광주 북구·성북구·용산구(도로변/원목유통 관리). 복합형 → 광주 동구·전남 신안군·경북 포항시·진도군·영광군(기본 대응체계).</w:t>
      </w:r>
    </w:p>
    <w:bookmarkEnd w:id="19"/>
    <w:bookmarkEnd w:id="20"/>
    <w:bookmarkStart w:id="26" w:name="model-2-조기경보모형-누수-수정-최종판"/>
    <w:p>
      <w:pPr>
        <w:pStyle w:val="Heading1"/>
      </w:pPr>
      <w:r>
        <w:t xml:space="preserve">5. Model 2 — 조기경보모형 (누수 수정 최종판)</w:t>
      </w:r>
    </w:p>
    <w:bookmarkStart w:id="21" w:name="누수-수정-내역"/>
    <w:p>
      <w:pPr>
        <w:pStyle w:val="Heading2"/>
      </w:pPr>
      <w:r>
        <w:t xml:space="preserve">5.1 누수 수정 내역</w:t>
      </w:r>
    </w:p>
    <w:p>
      <w:pPr>
        <w:pStyle w:val="FirstParagraph"/>
      </w:pPr>
      <w:r>
        <w:t xml:space="preserve">외부 검토서가 지적한 대로, v1 구현은</w:t>
      </w:r>
      <w:r>
        <w:t xml:space="preserve"> </w:t>
      </w:r>
      <w:r>
        <w:rPr>
          <w:rStyle w:val="VerbatimChar"/>
        </w:rPr>
        <w:t xml:space="preserve">_gm</w:t>
      </w:r>
      <w:r>
        <w:t xml:space="preserve">을 훈련·홀드아웃 분리</w:t>
      </w:r>
      <w:r>
        <w:t xml:space="preserve"> </w:t>
      </w:r>
      <w:r>
        <w:rPr>
          <w:b/>
          <w:bCs/>
        </w:rPr>
        <w:t xml:space="preserve">이전</w:t>
      </w:r>
      <w:r>
        <w:t xml:space="preserve">에 전체기간(2017–2023)에서 계산해 홀드아웃 평가에 미래정보가 섞여 있었다.</w:t>
      </w:r>
      <w:r>
        <w:t xml:space="preserve"> </w:t>
      </w:r>
      <w:r>
        <w:rPr>
          <w:b/>
          <w:bCs/>
        </w:rPr>
        <w:t xml:space="preserve">훈련기간(2017–2020)에서만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_gm</w:t>
      </w:r>
      <w:r>
        <w:rPr>
          <w:b/>
          <w:bCs/>
        </w:rPr>
        <w:t xml:space="preserve">을 계산하고 그 값을 홀드아웃에 고정 적용</w:t>
      </w:r>
      <w:r>
        <w:t xml:space="preserve">하도록 수정했다.</w:t>
      </w:r>
    </w:p>
    <w:bookmarkEnd w:id="21"/>
    <w:bookmarkStart w:id="22" w:name="수정-전후-auc-비교"/>
    <w:p>
      <w:pPr>
        <w:pStyle w:val="Heading2"/>
      </w:pPr>
      <w:r>
        <w:t xml:space="preserve">5.2 수정 전후 AUC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홀드아웃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1(구조적지수만)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0.633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2 — 누수판(v1)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 — 수정판(최종)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0.948</w:t>
            </w:r>
          </w:p>
        </w:tc>
      </w:tr>
    </w:tbl>
    <w:p>
      <w:pPr>
        <w:pStyle w:val="BodyText"/>
      </w:pPr>
      <w:r>
        <w:rPr>
          <w:b/>
          <w:bCs/>
        </w:rPr>
        <w:t xml:space="preserve">영향은 예상보다 작았다</w:t>
      </w:r>
      <w:r>
        <w:t xml:space="preserve">(훈련 −0.005, 홀드아웃 −0.014). 즉 Model 2의 높은 성능이 주로 누수 때문이라는 우려는 과도했지만, 수정 자체는 반드시 필요했다.</w:t>
      </w:r>
    </w:p>
    <w:p>
      <w:pPr>
        <w:pStyle w:val="BlockText"/>
      </w:pPr>
      <w:r>
        <w:rPr>
          <w:b/>
          <w:bCs/>
        </w:rPr>
        <w:t xml:space="preserve">0.594 vs 0.633 표기 안내</w:t>
      </w:r>
      <w:r>
        <w:t xml:space="preserve">: 이 표의</w:t>
      </w:r>
      <w:r>
        <w:t xml:space="preserve"> </w:t>
      </w:r>
      <w:r>
        <w:t xml:space="preserve">“Model 1(구조적지수만)”</w:t>
      </w:r>
      <w:r>
        <w:t xml:space="preserve"> </w:t>
      </w:r>
      <w:r>
        <w:t xml:space="preserve">홀드아웃 AUC=0.633은 Model 2와 동일 조건(훈련기간에서 계산한</w:t>
      </w:r>
      <w:r>
        <w:t xml:space="preserve"> </w:t>
      </w:r>
      <w:r>
        <w:rPr>
          <w:rStyle w:val="VerbatimChar"/>
        </w:rPr>
        <w:t xml:space="preserve">_gm</w:t>
      </w:r>
      <w:r>
        <w:t xml:space="preserve">을 홀드아웃에 고정 적용)으로 맞춘 기준모형 값이다. §4.3의 0.594는 Model 1 자체의 CRE 구조 타당성 검증(홀드아웃 구간에서 자체</w:t>
      </w:r>
      <w:r>
        <w:t xml:space="preserve"> </w:t>
      </w:r>
      <w:r>
        <w:rPr>
          <w:rStyle w:val="VerbatimChar"/>
        </w:rPr>
        <w:t xml:space="preserve">_gm</w:t>
      </w:r>
      <w:r>
        <w:t xml:space="preserve"> </w:t>
      </w:r>
      <w:r>
        <w:t xml:space="preserve">재계산)값으로 평가 목적이 다르다. 인용 시 반드시</w:t>
      </w:r>
      <w:r>
        <w:t xml:space="preserve"> </w:t>
      </w:r>
      <w:r>
        <w:t xml:space="preserve">“구조 타당성 검증 AUC”</w:t>
      </w:r>
      <w:r>
        <w:t xml:space="preserve">와</w:t>
      </w:r>
      <w:r>
        <w:t xml:space="preserve"> </w:t>
      </w:r>
      <w:r>
        <w:t xml:space="preserve">“Model 2 대비용 기준모형 AUC”</w:t>
      </w:r>
      <w:r>
        <w:t xml:space="preserve">를 구분해서 표기한다.</w:t>
      </w:r>
    </w:p>
    <w:bookmarkEnd w:id="22"/>
    <w:bookmarkStart w:id="23" w:name="단순-재발-기준모형과의-비교-외부검토-권고-반영"/>
    <w:p>
      <w:pPr>
        <w:pStyle w:val="Heading2"/>
      </w:pPr>
      <w:r>
        <w:t xml:space="preserve">5.3 단순 재발 기준모형과의 비교 (외부검토 권고 반영)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기준모형</w:t>
            </w:r>
          </w:p>
        </w:tc>
        <w:tc>
          <w:tcPr/>
          <w:p>
            <w:pPr>
              <w:pStyle w:val="Compact"/>
            </w:pPr>
            <w:r>
              <w:t xml:space="preserve">홀드아웃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전년도 발생여부만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연속발생연수 단독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2(전체변수, 누수 수정)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0.948</w:t>
            </w:r>
          </w:p>
        </w:tc>
      </w:tr>
    </w:tbl>
    <w:p>
      <w:pPr>
        <w:pStyle w:val="BodyText"/>
      </w:pPr>
      <w:r>
        <w:t xml:space="preserve">핵심 변수 하나(연속발생연수)만으로도 AUC 0.918까지 나온다 — Model 2의 복잡한 구성이 단순 재발규칙 대비 추가로 얻는 성능은 약 3%p(0.918→0.948)로, 전년도 발생여부 단독(0.772) 대비 얻는 이득(18%p)보다는 작다.</w:t>
      </w:r>
      <w:r>
        <w:t xml:space="preserve"> </w:t>
      </w:r>
      <w:r>
        <w:rPr>
          <w:b/>
          <w:bCs/>
        </w:rPr>
        <w:t xml:space="preserve">AUC 상승의 대부분은</w:t>
      </w:r>
      <w:r>
        <w:rPr>
          <w:b/>
          <w:bCs/>
        </w:rPr>
        <w:t xml:space="preserve"> </w:t>
      </w:r>
      <w:r>
        <w:rPr>
          <w:b/>
          <w:bCs/>
        </w:rPr>
        <w:t xml:space="preserve">“상습발생 여부”</w:t>
      </w:r>
      <w:r>
        <w:rPr>
          <w:b/>
          <w:bCs/>
        </w:rPr>
        <w:t xml:space="preserve">라는 단일 신호에서 나온다</w:t>
      </w:r>
      <w:r>
        <w:t xml:space="preserve">는 점을 발표에서 명확히 해야 한다.</w:t>
      </w:r>
    </w:p>
    <w:bookmarkEnd w:id="23"/>
    <w:bookmarkStart w:id="24" w:name="rolling-origin-2023-제외"/>
    <w:p>
      <w:pPr>
        <w:pStyle w:val="Heading2"/>
      </w:pPr>
      <w:r>
        <w:t xml:space="preserve">5.4 Rolling-origin (2023 제외)</w:t>
      </w:r>
    </w:p>
    <w:p>
      <w:pPr>
        <w:pStyle w:val="FirstParagraph"/>
      </w:pPr>
      <w:r>
        <w:rPr>
          <w:rStyle w:val="VerbatimChar"/>
        </w:rPr>
        <w:t xml:space="preserve">데이터유형</w:t>
      </w:r>
      <w:r>
        <w:t xml:space="preserve"> </w:t>
      </w:r>
      <w:r>
        <w:t xml:space="preserve">확인 결과</w:t>
      </w:r>
      <w:r>
        <w:t xml:space="preserve"> </w:t>
      </w:r>
      <w:r>
        <w:rPr>
          <w:b/>
          <w:bCs/>
        </w:rPr>
        <w:t xml:space="preserve">2016·2023년은 실측이 아니라 추정값</w:t>
      </w:r>
      <w:r>
        <w:t xml:space="preserve">이라 2023을 검증대상으로 쓴 스텝은 제외했다.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훈련 종료</w:t>
            </w:r>
          </w:p>
        </w:tc>
        <w:tc>
          <w:tcPr/>
          <w:p>
            <w:pPr>
              <w:pStyle w:val="Compact"/>
            </w:pPr>
            <w:r>
              <w:t xml:space="preserve">검증연도</w:t>
            </w:r>
          </w:p>
        </w:tc>
        <w:tc>
          <w:tcPr/>
          <w:p>
            <w:pPr>
              <w:pStyle w:val="Compact"/>
            </w:pPr>
            <w:r>
              <w:t xml:space="preserve">Model 1 AUC</w:t>
            </w:r>
          </w:p>
        </w:tc>
        <w:tc>
          <w:tcPr/>
          <w:p>
            <w:pPr>
              <w:pStyle w:val="Compact"/>
            </w:pPr>
            <w:r>
              <w:t xml:space="preserve">Model 2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0.617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0.547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</w:tr>
    </w:tbl>
    <w:p>
      <w:pPr>
        <w:pStyle w:val="BodyText"/>
      </w:pPr>
      <w:r>
        <w:rPr>
          <w:strike/>
        </w:rPr>
        <w:t xml:space="preserve">≤2022 → 2023</w:t>
      </w:r>
      <w:r>
        <w:t xml:space="preserve"> </w:t>
      </w:r>
      <w:r>
        <w:t xml:space="preserve">(제외: 2023 Y는 추정치)</w:t>
      </w:r>
    </w:p>
    <w:bookmarkEnd w:id="24"/>
    <w:bookmarkStart w:id="25" w:name="두-모형의-역할-분담-유지"/>
    <w:p>
      <w:pPr>
        <w:pStyle w:val="Heading2"/>
      </w:pPr>
      <w:r>
        <w:t xml:space="preserve">5.5 두 모형의 역할 분담 (유지)</w:t>
      </w:r>
    </w:p>
    <w:p>
      <w:pPr>
        <w:pStyle w:val="FirstParagraph"/>
      </w:pPr>
      <w:r>
        <w:t xml:space="preserve">Model 1은</w:t>
      </w:r>
      <w:r>
        <w:t xml:space="preserve"> </w:t>
      </w:r>
      <w:r>
        <w:t xml:space="preserve">“왜 취약한가”</w:t>
      </w:r>
      <w:r>
        <w:t xml:space="preserve">(예산배분 근거), Model 2는</w:t>
      </w:r>
      <w:r>
        <w:t xml:space="preserve"> </w:t>
      </w:r>
      <w:r>
        <w:t xml:space="preserve">“어디서 다음에 터질 가능성이 높은가”</w:t>
      </w:r>
      <w:r>
        <w:t xml:space="preserve">(예찰자원 배치 근거)에 답한다. 공간전파 항(인접시군 피해밀도_L1)은 모든 사양에서 유의하지 않아(p=0.30~0.92), AUC 상승은 공간전파가 아니라 자체 발생 관성에서 나온다는 결론은 유지된다.</w:t>
      </w:r>
    </w:p>
    <w:bookmarkEnd w:id="25"/>
    <w:bookmarkEnd w:id="26"/>
    <w:bookmarkStart w:id="31" w:name="예방형-예산-재배분-시나리오-v5-총액보존상한위반-버그-수정"/>
    <w:p>
      <w:pPr>
        <w:pStyle w:val="Heading1"/>
      </w:pPr>
      <w:r>
        <w:t xml:space="preserve">6. 예방형 예산 재배분 시나리오 (v5 — 총액보존·상한위반 버그 수정)</w:t>
      </w:r>
    </w:p>
    <w:p>
      <w:pPr>
        <w:pStyle w:val="BlockText"/>
      </w:pPr>
      <w:r>
        <w:rPr>
          <w:b/>
          <w:bCs/>
        </w:rPr>
        <w:t xml:space="preserve">명칭 변경</w:t>
      </w:r>
      <w:r>
        <w:t xml:space="preserve">:</w:t>
      </w:r>
      <w:r>
        <w:t xml:space="preserve"> </w:t>
      </w:r>
      <w:r>
        <w:t xml:space="preserve">“배분공식 시뮬레이션”</w:t>
      </w:r>
      <w:r>
        <w:t xml:space="preserve">·</w:t>
      </w:r>
      <w:r>
        <w:t xml:space="preserve">“지원효과 시뮬레이션”</w:t>
      </w:r>
      <w:r>
        <w:t xml:space="preserve">이라는 이름은 마치 실제 효과를 측정한 것처럼 오해될 수 있어, 외부검토 권고에 따라</w:t>
      </w:r>
      <w:r>
        <w:t xml:space="preserve"> </w:t>
      </w:r>
      <w:r>
        <w:rPr>
          <w:b/>
          <w:bCs/>
        </w:rPr>
        <w:t xml:space="preserve">“예방형 예산 재배분 시나리오”</w:t>
      </w:r>
      <w:r>
        <w:t xml:space="preserve">로 통일한다. 이 장의 결과는 피해감소 효과나 배분 효율 개선을 주장하는 것이 아니라, 같은 총예산을 구조위험 비례로 재배분하면 어떤 모습이 되는지 보여주는 정책 시나리오다.</w:t>
      </w:r>
    </w:p>
    <w:bookmarkStart w:id="27" w:name="v4에서-발견수정된-구현-버그-2건"/>
    <w:p>
      <w:pPr>
        <w:pStyle w:val="Heading2"/>
      </w:pPr>
      <w:r>
        <w:t xml:space="preserve">6.1 v4에서 발견·수정된 구현 버그 2건</w:t>
      </w:r>
    </w:p>
    <w:p>
      <w:pPr>
        <w:pStyle w:val="FirstParagraph"/>
      </w:pPr>
      <w:r>
        <w:t xml:space="preserve">외부 QA 교차검증에서 다음 두 버그가 확인됐다.</w:t>
      </w:r>
    </w:p>
    <w:p>
      <w:pPr>
        <w:pStyle w:val="BodyText"/>
      </w:pPr>
      <w:r>
        <w:rPr>
          <w:b/>
          <w:bCs/>
        </w:rPr>
        <w:t xml:space="preserve">① 총예산 불일치(2017–2019, −1.8~2.1%)</w:t>
      </w:r>
      <w:r>
        <w:t xml:space="preserve">: 그 해 예산 데이터가 없는 시군구까지 포함해 위험지수 비중을 정규화한 뒤, 그 결측 단위를 출력 단계에서 제거하면서 그 몫만큼 총액이 사라졌다. →</w:t>
      </w:r>
      <w:r>
        <w:t xml:space="preserve"> </w:t>
      </w:r>
      <w:r>
        <w:rPr>
          <w:b/>
          <w:bCs/>
        </w:rPr>
        <w:t xml:space="preserve">수정</w:t>
      </w:r>
      <w:r>
        <w:t xml:space="preserve">: 매년 실제 예산자료가 있는 단위(active set)만으로 비중을 정규화하도록 재구현.</w:t>
      </w:r>
    </w:p>
    <w:p>
      <w:pPr>
        <w:pStyle w:val="BodyText"/>
      </w:pPr>
      <w:r>
        <w:rPr>
          <w:b/>
          <w:bCs/>
        </w:rPr>
        <w:t xml:space="preserve">② ±30% 상한 위반(2019년 110개, 2022년 186개 등)</w:t>
      </w:r>
      <w:r>
        <w:t xml:space="preserve">: 상하한 clip 이후 총액을 pool로 재조정하는 단일 곱셈 스케일링이 방금 적용한 clip 경계를 다시 깨뜨렸다. →</w:t>
      </w:r>
      <w:r>
        <w:t xml:space="preserve"> </w:t>
      </w:r>
      <w:r>
        <w:rPr>
          <w:b/>
          <w:bCs/>
        </w:rPr>
        <w:t xml:space="preserve">수정</w:t>
      </w:r>
      <w:r>
        <w:t xml:space="preserve">: water-filling(반복 클램핑) 알고리즘으로 전면 재구현 — 경계에 걸린 단위를 그 값에 고정하고 남은 pool을 자유단위끼리만 재배분하는 과정을 위반이 사라질 때까지 반복한다. 이 방식은 총액 보존과 경계 준수를 수학적으로 동시에 보장한다.</w:t>
      </w:r>
    </w:p>
    <w:p>
      <w:pPr>
        <w:pStyle w:val="BodyText"/>
      </w:pPr>
      <w:r>
        <w:rPr>
          <w:b/>
          <w:bCs/>
        </w:rPr>
        <w:t xml:space="preserve">수정 후 자동검증 결과</w:t>
      </w:r>
      <w:r>
        <w:t xml:space="preserve">(모든 연도):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실제총액</w:t>
            </w:r>
          </w:p>
        </w:tc>
        <w:tc>
          <w:tcPr/>
          <w:p>
            <w:pPr>
              <w:pStyle w:val="Compact"/>
            </w:pPr>
            <w:r>
              <w:t xml:space="preserve">시뮬총액</w:t>
            </w:r>
          </w:p>
        </w:tc>
        <w:tc>
          <w:tcPr/>
          <w:p>
            <w:pPr>
              <w:pStyle w:val="Compact"/>
            </w:pPr>
            <w:r>
              <w:t xml:space="preserve">차이율</w:t>
            </w:r>
          </w:p>
        </w:tc>
        <w:tc>
          <w:tcPr/>
          <w:p>
            <w:pPr>
              <w:pStyle w:val="Compact"/>
            </w:pPr>
            <w:r>
              <w:t xml:space="preserve">상한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420.3억</w:t>
            </w:r>
          </w:p>
        </w:tc>
        <w:tc>
          <w:tcPr/>
          <w:p>
            <w:pPr>
              <w:pStyle w:val="Compact"/>
            </w:pPr>
            <w:r>
              <w:t xml:space="preserve">420.3억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445.7억</w:t>
            </w:r>
          </w:p>
        </w:tc>
        <w:tc>
          <w:tcPr/>
          <w:p>
            <w:pPr>
              <w:pStyle w:val="Compact"/>
            </w:pPr>
            <w:r>
              <w:t xml:space="preserve">445.7억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551.5억</w:t>
            </w:r>
          </w:p>
        </w:tc>
        <w:tc>
          <w:tcPr/>
          <w:p>
            <w:pPr>
              <w:pStyle w:val="Compact"/>
            </w:pPr>
            <w:r>
              <w:t xml:space="preserve">551.5억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404.2억</w:t>
            </w:r>
          </w:p>
        </w:tc>
        <w:tc>
          <w:tcPr/>
          <w:p>
            <w:pPr>
              <w:pStyle w:val="Compact"/>
            </w:pPr>
            <w:r>
              <w:t xml:space="preserve">404.2억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297.1억</w:t>
            </w:r>
          </w:p>
        </w:tc>
        <w:tc>
          <w:tcPr/>
          <w:p>
            <w:pPr>
              <w:pStyle w:val="Compact"/>
            </w:pPr>
            <w:r>
              <w:t xml:space="preserve">297.1억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408.3억</w:t>
            </w:r>
          </w:p>
        </w:tc>
        <w:tc>
          <w:tcPr/>
          <w:p>
            <w:pPr>
              <w:pStyle w:val="Compact"/>
            </w:pPr>
            <w:r>
              <w:t xml:space="preserve">408.3억</w:t>
            </w:r>
          </w:p>
        </w:tc>
        <w:tc>
          <w:tcPr/>
          <w:p>
            <w:pPr>
              <w:pStyle w:val="Compact"/>
            </w:pPr>
            <w:r>
              <w:t xml:space="preserve">−0.0%(0.06원)</w:t>
            </w:r>
          </w:p>
        </w:tc>
        <w:tc>
          <w:tcPr/>
          <w:p>
            <w:pPr>
              <w:pStyle w:val="Compact"/>
            </w:pPr>
            <w:r>
              <w:t xml:space="preserve">0건(상한 37.8%로 완화 적용)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2022년 상한 완화에 대한 설명</w:t>
      </w:r>
      <w:r>
        <w:t xml:space="preserve">: 2022년 총예산이 전년 대비 +37.4% 증가했는데, 개별 상한을 30%로 고정하면 모든 시군구가 최대치(+30%)만큼 늘어도 새 총액을 다 채울 수 없다(수학적으로 불가능). 이 경우에만 그 해 상한을 총액 증가율 수준(37.8%)까지 최소한으로 완화했다 — 이렇게 해야</w:t>
      </w:r>
      <w:r>
        <w:t xml:space="preserve"> </w:t>
      </w:r>
      <w:r>
        <w:t xml:space="preserve">“총액 보존”</w:t>
      </w:r>
      <w:r>
        <w:t xml:space="preserve">과</w:t>
      </w:r>
      <w:r>
        <w:t xml:space="preserve"> </w:t>
      </w:r>
      <w:r>
        <w:t xml:space="preserve">“상한 준수”</w:t>
      </w:r>
      <w:r>
        <w:t xml:space="preserve">가 동시에 성립한다. 이 완화는 그 해에만, 그것도 필요한 최소폭으로만 적용됐다.</w:t>
      </w:r>
    </w:p>
    <w:bookmarkEnd w:id="27"/>
    <w:bookmarkStart w:id="28" w:name="재배분-규모-및-타겟팅"/>
    <w:p>
      <w:pPr>
        <w:pStyle w:val="Heading2"/>
      </w:pPr>
      <w:r>
        <w:t xml:space="preserve">6.2 재배분 규모 및 타겟팅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실제 배분</w:t>
            </w:r>
          </w:p>
        </w:tc>
        <w:tc>
          <w:tcPr/>
          <w:p>
            <w:pPr>
              <w:pStyle w:val="Compact"/>
            </w:pPr>
            <w:r>
              <w:t xml:space="preserve">시뮬레이션 배분(v5)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피해발생지역 예산 포착률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52.7%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Spearman(예산 vs 실제피해밀도)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</w:tr>
    </w:tbl>
    <w:p>
      <w:pPr>
        <w:pStyle w:val="BodyText"/>
      </w:pPr>
      <w:r>
        <w:t xml:space="preserve">재배분 규모는 매년 pool의 66~69%(v4의 58~68%보다 다소 커짐 — 제약이 정확해지면서 실제 이동 규모가 더 정직하게 드러남).</w:t>
      </w:r>
    </w:p>
    <w:bookmarkEnd w:id="28"/>
    <w:bookmarkStart w:id="29" w:name="해석-재정립-실제사후대응-시뮬선행적이라는-이분법은-과했다"/>
    <w:p>
      <w:pPr>
        <w:pStyle w:val="Heading2"/>
      </w:pPr>
      <w:r>
        <w:t xml:space="preserve">6.3 해석 재정립 —</w:t>
      </w:r>
      <w:r>
        <w:t xml:space="preserve"> </w:t>
      </w:r>
      <w:r>
        <w:t xml:space="preserve">“실제=사후대응, 시뮬=선행적”</w:t>
      </w:r>
      <w:r>
        <w:t xml:space="preserve">이라는 이분법은 과했다</w:t>
      </w:r>
    </w:p>
    <w:p>
      <w:pPr>
        <w:pStyle w:val="FirstParagraph"/>
      </w:pPr>
      <w:r>
        <w:t xml:space="preserve">외부검토가 추가로 수행한 교차검증(t년 예산 → t+1년 발생지역 포착률)을 그대로 재현했다.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예산→평가</w:t>
            </w:r>
          </w:p>
        </w:tc>
        <w:tc>
          <w:tcPr/>
          <w:p>
            <w:pPr>
              <w:pStyle w:val="Compact"/>
            </w:pPr>
            <w:r>
              <w:t xml:space="preserve">실제 포착</w:t>
            </w:r>
          </w:p>
        </w:tc>
        <w:tc>
          <w:tcPr/>
          <w:p>
            <w:pPr>
              <w:pStyle w:val="Compact"/>
            </w:pPr>
            <w:r>
              <w:t xml:space="preserve">시뮬 포착</w:t>
            </w:r>
          </w:p>
        </w:tc>
        <w:tc>
          <w:tcPr/>
          <w:p>
            <w:pPr>
              <w:pStyle w:val="Compact"/>
            </w:pPr>
            <w:r>
              <w:t xml:space="preserve">실제 rho</w:t>
            </w:r>
          </w:p>
        </w:tc>
        <w:tc>
          <w:tcPr/>
          <w:p>
            <w:pPr>
              <w:pStyle w:val="Compact"/>
            </w:pPr>
            <w:r>
              <w:t xml:space="preserve">시뮬 rho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2017→2018</w:t>
            </w:r>
          </w:p>
        </w:tc>
        <w:tc>
          <w:tcPr/>
          <w:p>
            <w:pPr>
              <w:pStyle w:val="Compact"/>
            </w:pPr>
            <w:r>
              <w:t xml:space="preserve">94.4%</w:t>
            </w:r>
          </w:p>
        </w:tc>
        <w:tc>
          <w:tcPr/>
          <w:p>
            <w:pPr>
              <w:pStyle w:val="Compact"/>
            </w:pPr>
            <w:r>
              <w:t xml:space="preserve">52.3%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2018→2019</w:t>
            </w:r>
          </w:p>
        </w:tc>
        <w:tc>
          <w:tcPr/>
          <w:p>
            <w:pPr>
              <w:pStyle w:val="Compact"/>
            </w:pPr>
            <w:r>
              <w:t xml:space="preserve">94.5%</w:t>
            </w:r>
          </w:p>
        </w:tc>
        <w:tc>
          <w:tcPr/>
          <w:p>
            <w:pPr>
              <w:pStyle w:val="Compact"/>
            </w:pPr>
            <w:r>
              <w:t xml:space="preserve">53.7%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2019→2020</w:t>
            </w:r>
          </w:p>
        </w:tc>
        <w:tc>
          <w:tcPr/>
          <w:p>
            <w:pPr>
              <w:pStyle w:val="Compact"/>
            </w:pPr>
            <w:r>
              <w:t xml:space="preserve">93.9%</w:t>
            </w:r>
          </w:p>
        </w:tc>
        <w:tc>
          <w:tcPr/>
          <w:p>
            <w:pPr>
              <w:pStyle w:val="Compact"/>
            </w:pPr>
            <w:r>
              <w:t xml:space="preserve">52.9%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2020→2021</w:t>
            </w:r>
          </w:p>
        </w:tc>
        <w:tc>
          <w:tcPr/>
          <w:p>
            <w:pPr>
              <w:pStyle w:val="Compact"/>
            </w:pPr>
            <w:r>
              <w:t xml:space="preserve">88.0%</w:t>
            </w:r>
          </w:p>
        </w:tc>
        <w:tc>
          <w:tcPr/>
          <w:p>
            <w:pPr>
              <w:pStyle w:val="Compact"/>
            </w:pPr>
            <w:r>
              <w:t xml:space="preserve">52.7%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2021→2022</w:t>
            </w:r>
          </w:p>
        </w:tc>
        <w:tc>
          <w:tcPr/>
          <w:p>
            <w:pPr>
              <w:pStyle w:val="Compact"/>
            </w:pPr>
            <w:r>
              <w:t xml:space="preserve">94.3%</w:t>
            </w:r>
          </w:p>
        </w:tc>
        <w:tc>
          <w:tcPr/>
          <w:p>
            <w:pPr>
              <w:pStyle w:val="Compact"/>
            </w:pPr>
            <w:r>
              <w:t xml:space="preserve">57.5%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</w:tr>
    </w:tbl>
    <w:p>
      <w:pPr>
        <w:pStyle w:val="BodyText"/>
      </w:pPr>
      <w:r>
        <w:t xml:space="preserve">같은 해가 아니라</w:t>
      </w:r>
      <w:r>
        <w:t xml:space="preserve"> </w:t>
      </w:r>
      <w:r>
        <w:rPr>
          <w:b/>
          <w:bCs/>
        </w:rPr>
        <w:t xml:space="preserve">다음 해</w:t>
      </w:r>
      <w:r>
        <w:t xml:space="preserve"> </w:t>
      </w:r>
      <w:r>
        <w:t xml:space="preserve">발생지역 기준으로 봐도 실제 배분의 포착률은 여전히 93% 수준으로 높다. 즉 실제 배분이 단지</w:t>
      </w:r>
      <w:r>
        <w:t xml:space="preserve"> </w:t>
      </w:r>
      <w:r>
        <w:t xml:space="preserve">“이미 터진 곳에 사후적으로 반응”</w:t>
      </w:r>
      <w:r>
        <w:t xml:space="preserve">하는 것만은 아니고, 반복발생 이력·긴급사업·현장수요처럼 구조지수에 없는 정보를 반영해</w:t>
      </w:r>
      <w:r>
        <w:t xml:space="preserve"> </w:t>
      </w:r>
      <w:r>
        <w:rPr>
          <w:b/>
          <w:bCs/>
        </w:rPr>
        <w:t xml:space="preserve">지속적으로 발생가능성이 높은 곳을 짚어내는 능력</w:t>
      </w:r>
      <w:r>
        <w:t xml:space="preserve">이 있다고 봐야 한다. 균등배분 기준선(발생지역 비율 46.0%) 대비 시뮬레이션 배분의 lift는 +6.7%p 수준으로, 균등배분보다는 낫지만 실제 배분에는 크게 못 미친다 — 이는 구조지수 자체의 발생 판별력이 AUC 0.594~0.633 수준으로 제한적이라는 결과와도 일치한다.</w:t>
      </w:r>
    </w:p>
    <w:p>
      <w:pPr>
        <w:pStyle w:val="BodyText"/>
      </w:pPr>
      <w:r>
        <w:rPr>
          <w:b/>
          <w:bCs/>
        </w:rPr>
        <w:t xml:space="preserve">수정된 해석</w:t>
      </w:r>
      <w:r>
        <w:t xml:space="preserve">:</w:t>
      </w:r>
      <w:r>
        <w:t xml:space="preserve"> </w:t>
      </w:r>
      <w:r>
        <w:t xml:space="preserve">“실제=사후, 시뮬=선행”</w:t>
      </w:r>
      <w:r>
        <w:t xml:space="preserve">이라는 이분법 대신,</w:t>
      </w:r>
      <w:r>
        <w:t xml:space="preserve"> </w:t>
      </w:r>
      <w:r>
        <w:rPr>
          <w:b/>
          <w:bCs/>
        </w:rPr>
        <w:t xml:space="preserve">정책목표가 다른 두 배분 방식</w:t>
      </w:r>
      <w:r>
        <w:t xml:space="preserve">으로 설명한다 — 실제 배분은 반복발생·긴급수요 등 다양한 현장정보를 반영한 결과이고, 시뮬레이션은 구조위험만을 기준으로 한 예방적 재배분 시나리오다.</w:t>
      </w:r>
    </w:p>
    <w:bookmarkEnd w:id="29"/>
    <w:bookmarkStart w:id="30" w:name="년-기준-승자요약"/>
    <w:p>
      <w:pPr>
        <w:pStyle w:val="Heading2"/>
      </w:pPr>
      <w:r>
        <w:t xml:space="preserve">6.4 2022년 기준 승자(요약)</w:t>
      </w:r>
    </w:p>
    <w:p>
      <w:pPr>
        <w:pStyle w:val="FirstParagraph"/>
      </w:pPr>
      <w:r>
        <w:t xml:space="preserve">부산 해운대구·금정구·전남 완도군·부산 북구·남구·동래구 등 — 배분갭</w:t>
      </w:r>
      <w:r>
        <w:t xml:space="preserve"> </w:t>
      </w:r>
      <w:r>
        <w:t xml:space="preserve">“부족”</w:t>
      </w:r>
      <w:r>
        <w:t xml:space="preserve"> </w:t>
      </w:r>
      <w:r>
        <w:t xml:space="preserve">목록과 겹친다. 감액 상위(경남 밀양시·울주군 등)는 이전 판과 거의 동일하게 재현됐다.</w:t>
      </w:r>
    </w:p>
    <w:bookmarkEnd w:id="30"/>
    <w:bookmarkEnd w:id="31"/>
    <w:bookmarkStart w:id="32" w:name="국가대응수준-보조모형-v4"/>
    <w:p>
      <w:pPr>
        <w:pStyle w:val="Heading1"/>
      </w:pPr>
      <w:r>
        <w:t xml:space="preserve">7. 국가대응수준 보조모형 (v4)</w:t>
      </w:r>
    </w:p>
    <w:p>
      <w:pPr>
        <w:pStyle w:val="FirstParagraph"/>
      </w:pPr>
      <w:r>
        <w:t xml:space="preserve">Selection-on-outcome(t=11.53, p&lt;0.0001), 표본(n=150, 26개 시군구)은 v3와 동일한 결론을 재확인했다.</w:t>
      </w:r>
    </w:p>
    <w:p>
      <w:pPr>
        <w:pStyle w:val="BodyText"/>
      </w:pPr>
      <w:r>
        <w:rPr>
          <w:b/>
          <w:bCs/>
        </w:rPr>
        <w:t xml:space="preserve">부트스트랩 해석 범위 수정</w:t>
      </w:r>
      <w:r>
        <w:t xml:space="preserve">: 군집 페어 부트스트랩은</w:t>
      </w:r>
      <w:r>
        <w:t xml:space="preserve"> </w:t>
      </w:r>
      <w:r>
        <w:rPr>
          <w:b/>
          <w:bCs/>
        </w:rPr>
        <w:t xml:space="preserve">발생여부 로지스틱 모형의 계수(취약성지수_gm, 국가대응_gm)에 대해서만</w:t>
      </w:r>
      <w:r>
        <w:t xml:space="preserve"> </w:t>
      </w:r>
      <w:r>
        <w:t xml:space="preserve">수행됐다. 발생규모 OLS 모형에서 국가대응_gm 계수는 나이브 표준오차 기준 p=0.0112로 유의했으나, 이 계수는 부트스트랩 검증 대상이 아니었다. 따라서</w:t>
      </w:r>
      <w:r>
        <w:t xml:space="preserve"> </w:t>
      </w:r>
      <w:r>
        <w:t xml:space="preserve">“모든 계수가 부트스트랩에서 유의성을 상실했다”</w:t>
      </w:r>
      <w:r>
        <w:t xml:space="preserve">는 이전 표현은 검증 범위를 넘어선 과장이다.</w:t>
      </w:r>
    </w:p>
    <w:p>
      <w:pPr>
        <w:pStyle w:val="BodyText"/>
      </w:pPr>
      <w:r>
        <w:rPr>
          <w:b/>
          <w:bCs/>
        </w:rPr>
        <w:t xml:space="preserve">정확한 표현</w:t>
      </w:r>
      <w:r>
        <w:t xml:space="preserve">:</w:t>
      </w:r>
      <w:r>
        <w:t xml:space="preserve"> </w:t>
      </w:r>
      <w:r>
        <w:t xml:space="preserve">“발생여부 모형의 주요 between 계수는 군집 페어 부트스트랩에서 유의하지 않았다. 발생규모 모형의 국가대응 between 계수는 통상적 표준오차에서 유의했으나, 표본 선택과 소표본 문제로 해석을 보류하며 동일한 부트스트랩 검증이 추가로 필요하다.”</w:t>
      </w:r>
    </w:p>
    <w:bookmarkEnd w:id="32"/>
    <w:bookmarkStart w:id="35" w:name="축a위험요인-유형-임계값-민감도-분석"/>
    <w:p>
      <w:pPr>
        <w:pStyle w:val="Heading1"/>
      </w:pPr>
      <w:r>
        <w:t xml:space="preserve">8. 축A(위험요인 유형) 임계값 민감도 분석</w:t>
      </w:r>
    </w:p>
    <w:p>
      <w:pPr>
        <w:pStyle w:val="FirstParagraph"/>
      </w:pPr>
      <w:r>
        <w:t xml:space="preserve">외부 검토서 권고에 따라 노출도-우세형/인위적확산-우세형/복합형을 가르는 임계값(|노출도_점수−인위적확산_점수|)을 ±0.3, ±0.5(기존 채택), ±0.7로 바꿔가며 유형화 안정성을 확인했다.</w:t>
      </w:r>
    </w:p>
    <w:bookmarkStart w:id="33" w:name="임계값별-유형-분포"/>
    <w:p>
      <w:pPr>
        <w:pStyle w:val="Heading2"/>
      </w:pPr>
      <w:r>
        <w:t xml:space="preserve">8.1 임계값별 유형 분포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임계값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복합형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±0.3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±0.5(채택)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±0.7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</w:tr>
    </w:tbl>
    <w:p>
      <w:pPr>
        <w:pStyle w:val="BodyText"/>
      </w:pPr>
      <w:r>
        <w:t xml:space="preserve">임계값이 커질수록</w:t>
      </w:r>
      <w:r>
        <w:t xml:space="preserve"> </w:t>
      </w:r>
      <w:r>
        <w:t xml:space="preserve">“복합형”</w:t>
      </w:r>
      <w:r>
        <w:t xml:space="preserve">(경계가 모호한 지역)이 늘어나는 것은 당연한 결과다. 인접 임계값 간 일치율은 86~88%, 양극단(±0.3 vs ±0.7) 일치율은 74.2%로,</w:t>
      </w:r>
      <w:r>
        <w:t xml:space="preserve"> </w:t>
      </w:r>
      <w:r>
        <w:rPr>
          <w:b/>
          <w:bCs/>
        </w:rPr>
        <w:t xml:space="preserve">57/221개(25.8%) 시군구가 임계값에 따라 유형이 바뀐다.</w:t>
      </w:r>
    </w:p>
    <w:bookmarkEnd w:id="33"/>
    <w:bookmarkStart w:id="34" w:name="대표-사례정책-서사는-임계값에-거의-영향받지-않는다"/>
    <w:p>
      <w:pPr>
        <w:pStyle w:val="Heading2"/>
      </w:pPr>
      <w:r>
        <w:t xml:space="preserve">8.2 대표 사례(정책 서사)는 임계값에 거의 영향받지 않는다</w:t>
      </w:r>
    </w:p>
    <w:p>
      <w:pPr>
        <w:pStyle w:val="FirstParagraph"/>
      </w:pPr>
      <w:r>
        <w:t xml:space="preserve">핵심 확인 사항:</w:t>
      </w:r>
      <w:r>
        <w:t xml:space="preserve"> </w:t>
      </w:r>
      <w:r>
        <w:t xml:space="preserve">“부족”</w:t>
      </w:r>
      <w:r>
        <w:t xml:space="preserve"> </w:t>
      </w:r>
      <w:r>
        <w:t xml:space="preserve">열의 유형별 상위 5개 대표 시군구는 세 임계값 모두에서 사실상 동일하다.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노출도-우세형</w:t>
      </w:r>
      <w:r>
        <w:t xml:space="preserve">: 완도군·대구 동구·고령군·영양군·옹진군 —</w:t>
      </w:r>
      <w:r>
        <w:t xml:space="preserve"> </w:t>
      </w:r>
      <w:r>
        <w:rPr>
          <w:b/>
          <w:bCs/>
        </w:rPr>
        <w:t xml:space="preserve">3개 임계값 전부 동일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인위적확산-우세형</w:t>
      </w:r>
      <w:r>
        <w:t xml:space="preserve">: 서울 종로구·관악구가 모든 임계값에서 1·2위, 그 외 순위만 소폭 변동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복합형</w:t>
      </w:r>
      <w:r>
        <w:t xml:space="preserve">: 광주 동구·신안군·포항시·진도군이 모든 임계값에서 상위권 유지</w:t>
      </w:r>
    </w:p>
    <w:p>
      <w:pPr>
        <w:pStyle w:val="FirstParagraph"/>
      </w:pPr>
      <w:r>
        <w:rPr>
          <w:b/>
          <w:bCs/>
        </w:rPr>
        <w:t xml:space="preserve">결론</w:t>
      </w:r>
      <w:r>
        <w:t xml:space="preserve">: 임계값은</w:t>
      </w:r>
      <w:r>
        <w:t xml:space="preserve"> </w:t>
      </w:r>
      <w:r>
        <w:t xml:space="preserve">“경계선 근처의 중간 사례”</w:t>
      </w:r>
      <w:r>
        <w:t xml:space="preserve">(창원시·칠곡군·화성시 등 57곳)의 분류에는 영향을 주지만, 발표에서 실제로 인용할 대표 사례·정책 서사는 임계값 선택에 견고하다. ±0.5를 계속 채택하되, 경계선 근처 지역은</w:t>
      </w:r>
      <w:r>
        <w:t xml:space="preserve"> </w:t>
      </w:r>
      <w:r>
        <w:t xml:space="preserve">“복합형에 가까운 노출도형”</w:t>
      </w:r>
      <w:r>
        <w:t xml:space="preserve"> </w:t>
      </w:r>
      <w:r>
        <w:t xml:space="preserve">등으로 유보적으로 표현하는 것을 권장한다.</w:t>
      </w:r>
    </w:p>
    <w:bookmarkEnd w:id="34"/>
    <w:bookmarkEnd w:id="35"/>
    <w:bookmarkStart w:id="40" w:name="ch3-연결-구조취약성-개선-시나리오-구-지원효과-시뮬레이션"/>
    <w:p>
      <w:pPr>
        <w:pStyle w:val="Heading1"/>
      </w:pPr>
      <w:r>
        <w:t xml:space="preserve">9. CH3 연결 — 구조취약성 개선 시나리오 (구</w:t>
      </w:r>
      <w:r>
        <w:t xml:space="preserve"> </w:t>
      </w:r>
      <w:r>
        <w:t xml:space="preserve">“지원효과 시뮬레이션”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명칭 정정</w:t>
      </w:r>
      <w:r>
        <w:t xml:space="preserve">: §6과 같은 이유로</w:t>
      </w:r>
      <w:r>
        <w:t xml:space="preserve"> </w:t>
      </w:r>
      <w:r>
        <w:t xml:space="preserve">“지원효과 시뮬레이션”</w:t>
      </w:r>
      <w:r>
        <w:t xml:space="preserve">이라는 이름을 쓰지 않는다. 이 장은 지원의 인과적 효과를 추정한 것이 아니라, 정책개입 가능한 변수를 특정 폭만큼 조정했을 때 지수가 산식상 얼마나 바뀌는지 보여주는 시나리오다.</w:t>
      </w:r>
    </w:p>
    <w:p>
      <w:pPr>
        <w:pStyle w:val="FirstParagraph"/>
      </w:pPr>
      <w:r>
        <w:t xml:space="preserve">외부 검토서 8장의 5단계 구조(①대상지역분류 ②지원패키지매칭 ③변수변화가정 ④단기경보결합 ⑤민감도범위)를 그대로 구현했다.</w:t>
      </w:r>
      <w:r>
        <w:t xml:space="preserve"> </w:t>
      </w:r>
      <w:r>
        <w:rPr>
          <w:b/>
          <w:bCs/>
        </w:rPr>
        <w:t xml:space="preserve">원칙</w:t>
      </w:r>
      <w:r>
        <w:t xml:space="preserve">:</w:t>
      </w:r>
      <w:r>
        <w:t xml:space="preserve"> </w:t>
      </w:r>
      <w:r>
        <w:t xml:space="preserve">“예산을 투입하면 피해가 몇 % 감소한다”</w:t>
      </w:r>
      <w:r>
        <w:t xml:space="preserve">가 아니라</w:t>
      </w:r>
      <w:r>
        <w:t xml:space="preserve"> </w:t>
      </w:r>
      <w:r>
        <w:t xml:space="preserve">“정책개입 가능한 구조취약성 점수가 얼마나 개선되는지”</w:t>
      </w:r>
      <w:r>
        <w:t xml:space="preserve">만 시뮬레이션하며, 소나무면적·기후 등 단기간에 바꾸기 어려운 변수는 고정하고 지자체대응역량(예산·예찰사업)만 조정 대상으로 삼는다.</w:t>
      </w:r>
    </w:p>
    <w:bookmarkStart w:id="36" w:name="대상지역-분류-및-지원패키지-매칭"/>
    <w:p>
      <w:pPr>
        <w:pStyle w:val="Heading2"/>
      </w:pPr>
      <w:r>
        <w:t xml:space="preserve">9.1 ①②: 대상지역 분류 및 지원패키지 매칭</w:t>
      </w:r>
    </w:p>
    <w:p>
      <w:pPr>
        <w:pStyle w:val="FirstParagraph"/>
      </w:pPr>
      <w:r>
        <w:t xml:space="preserve">“부족”</w:t>
      </w:r>
      <w:r>
        <w:t xml:space="preserve"> </w:t>
      </w:r>
      <w:r>
        <w:t xml:space="preserve">판정 74개 시군구(노출도-우세형 23·인위적확산-우세형 25·복합형 26)에 유형별 패키지를 매칭했다(§8.2의 3개 패키지와 동일).</w:t>
      </w:r>
    </w:p>
    <w:bookmarkEnd w:id="36"/>
    <w:bookmarkStart w:id="37" w:name="변수-변화-가정-3단계-시나리오"/>
    <w:p>
      <w:pPr>
        <w:pStyle w:val="Heading2"/>
      </w:pPr>
      <w:r>
        <w:t xml:space="preserve">9.2 ③: 변수 변화 가정 — 3단계 시나리오</w:t>
      </w:r>
    </w:p>
    <w:p>
      <w:pPr>
        <w:pStyle w:val="FirstParagraph"/>
      </w:pPr>
      <w:r>
        <w:t xml:space="preserve">동일가중 지수 구조(각 도메인 0.25 가중)상, 지자체대응역량_점수를 Δ만큼 개선하면 전체 지수는 정확히 0.25Δ만큼 개선된다(인과추정이 아니라 산식에 의한 계산).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역량점수 개선폭</w:t>
            </w:r>
          </w:p>
        </w:tc>
        <w:tc>
          <w:tcPr/>
          <w:p>
            <w:pPr>
              <w:pStyle w:val="Compact"/>
            </w:pPr>
            <w:r>
              <w:t xml:space="preserve">지수 개선폭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</w:t>
            </w:r>
          </w:p>
        </w:tc>
        <w:tc>
          <w:tcPr/>
          <w:p>
            <w:pPr>
              <w:pStyle w:val="Compact"/>
            </w:pPr>
            <w:r>
              <w:t xml:space="preserve">+0.3 SD</w:t>
            </w:r>
          </w:p>
        </w:tc>
        <w:tc>
          <w:tcPr/>
          <w:p>
            <w:pPr>
              <w:pStyle w:val="Compact"/>
            </w:pPr>
            <w:r>
              <w:t xml:space="preserve">+0.075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+0.6 SD</w:t>
            </w:r>
          </w:p>
        </w:tc>
        <w:tc>
          <w:tcPr/>
          <w:p>
            <w:pPr>
              <w:pStyle w:val="Compact"/>
            </w:pPr>
            <w:r>
              <w:t xml:space="preserve">+0.150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적극</w:t>
            </w:r>
          </w:p>
        </w:tc>
        <w:tc>
          <w:tcPr/>
          <w:p>
            <w:pPr>
              <w:pStyle w:val="Compact"/>
            </w:pPr>
            <w:r>
              <w:t xml:space="preserve">+1.0 SD</w:t>
            </w:r>
          </w:p>
        </w:tc>
        <w:tc>
          <w:tcPr/>
          <w:p>
            <w:pPr>
              <w:pStyle w:val="Compact"/>
            </w:pPr>
            <w:r>
              <w:t xml:space="preserve">+0.250</w:t>
            </w:r>
          </w:p>
        </w:tc>
      </w:tr>
    </w:tbl>
    <w:p>
      <w:pPr>
        <w:pStyle w:val="BodyText"/>
      </w:pPr>
      <w:r>
        <w:t xml:space="preserve">개선폭은 유형과 무관하게 동일(선형 구조의 당연한 결과)하다 — 실제 불확실성은</w:t>
      </w:r>
      <w:r>
        <w:t xml:space="preserve"> </w:t>
      </w:r>
      <w:r>
        <w:t xml:space="preserve">“역량 개선폭 가정 자체”</w:t>
      </w:r>
      <w:r>
        <w:t xml:space="preserve">(0.3~1.0 SD가 현실적으로 달성 가능한 예산·예찰사업 확충 수준인지)에 있으므로, 이 세 시나리오 폭을 그대로 발표에 노출하는 것이 핵심이다.</w:t>
      </w:r>
    </w:p>
    <w:bookmarkEnd w:id="37"/>
    <w:bookmarkStart w:id="38" w:name="단기-경보-결합-model-2-현재-재발위험과-교차"/>
    <w:p>
      <w:pPr>
        <w:pStyle w:val="Heading2"/>
      </w:pPr>
      <w:r>
        <w:t xml:space="preserve">9.3 ④: 단기 경보 결합 — Model 2 현재 재발위험과 교차</w:t>
      </w:r>
    </w:p>
    <w:p>
      <w:pPr>
        <w:pStyle w:val="FirstParagraph"/>
      </w:pPr>
      <w:r>
        <w:t xml:space="preserve">“부족”</w:t>
      </w:r>
      <w:r>
        <w:t xml:space="preserve"> </w:t>
      </w:r>
      <w:r>
        <w:t xml:space="preserve">판정 74개 지역에 Model 2(2017–2022 실측 데이터로 적합, 2022년 기준)의 현재 재발위험확률을 결합했다.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긴급도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지역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낮음(예방중심)</w:t>
            </w:r>
          </w:p>
        </w:tc>
        <w:tc>
          <w:tcPr/>
          <w:p>
            <w:pPr>
              <w:pStyle w:val="Compact"/>
            </w:pPr>
            <w:r>
              <w:t xml:space="preserve">재발위험확률 &lt;0.3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0.3~0.7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높음(긴급대응 병행 필요)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“부족”</w:t>
      </w:r>
      <w:r>
        <w:rPr>
          <w:b/>
          <w:bCs/>
        </w:rPr>
        <w:t xml:space="preserve">×</w:t>
      </w:r>
      <w:r>
        <w:rPr>
          <w:b/>
          <w:bCs/>
        </w:rPr>
        <w:t xml:space="preserve">“긴급도 높음”</w:t>
      </w:r>
      <w:r>
        <w:rPr>
          <w:b/>
          <w:bCs/>
        </w:rPr>
        <w:t xml:space="preserve"> </w:t>
      </w:r>
      <w:r>
        <w:rPr>
          <w:b/>
          <w:bCs/>
        </w:rPr>
        <w:t xml:space="preserve">동시 해당 — 최우선 대응 대상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재발위험확률</w:t>
            </w:r>
          </w:p>
        </w:tc>
        <w:tc>
          <w:tcPr/>
          <w:p>
            <w:pPr>
              <w:pStyle w:val="Compact"/>
            </w:pPr>
            <w:r>
              <w:t xml:space="preserve">지원패키지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고령군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포항시</w:t>
            </w:r>
          </w:p>
        </w:tc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기본 대응체계·인력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성주군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대구광역시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영주시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횡성군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충청북도</w:t>
            </w:r>
          </w:p>
        </w:tc>
        <w:tc>
          <w:tcPr/>
          <w:p>
            <w:pPr>
              <w:pStyle w:val="Compact"/>
            </w:pPr>
            <w:r>
              <w:t xml:space="preserve">제천시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</w:tbl>
    <w:p>
      <w:pPr>
        <w:pStyle w:val="BodyText"/>
      </w:pPr>
      <w:r>
        <w:t xml:space="preserve">이 7곳은 장기 예방지원(Model 1 기반)과 단기 긴급대응(Model 2 기반)을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우선 배정해야 하는 지역이다. 나머지 66곳은 현재 재발위험이 낮아 예방지원 중심으로도 충분하다는 근거가 된다.</w:t>
      </w:r>
    </w:p>
    <w:bookmarkEnd w:id="38"/>
    <w:bookmarkStart w:id="39" w:name="민감도-범위-요약"/>
    <w:p>
      <w:pPr>
        <w:pStyle w:val="Heading2"/>
      </w:pPr>
      <w:r>
        <w:t xml:space="preserve">9.4 ⑤: 민감도 범위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현재지수</w:t>
            </w:r>
          </w:p>
        </w:tc>
        <w:tc>
          <w:tcPr/>
          <w:p>
            <w:pPr>
              <w:pStyle w:val="Compact"/>
            </w:pPr>
            <w:r>
              <w:t xml:space="preserve">보수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적극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+0.075</w:t>
            </w:r>
          </w:p>
        </w:tc>
        <w:tc>
          <w:tcPr/>
          <w:p>
            <w:pPr>
              <w:pStyle w:val="Compact"/>
            </w:pPr>
            <w:r>
              <w:t xml:space="preserve">+0.150</w:t>
            </w:r>
          </w:p>
        </w:tc>
        <w:tc>
          <w:tcPr/>
          <w:p>
            <w:pPr>
              <w:pStyle w:val="Compact"/>
            </w:pPr>
            <w:r>
              <w:t xml:space="preserve">+0.250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−0.034</w:t>
            </w:r>
          </w:p>
        </w:tc>
        <w:tc>
          <w:tcPr/>
          <w:p>
            <w:pPr>
              <w:pStyle w:val="Compact"/>
            </w:pPr>
            <w:r>
              <w:t xml:space="preserve">+0.075</w:t>
            </w:r>
          </w:p>
        </w:tc>
        <w:tc>
          <w:tcPr/>
          <w:p>
            <w:pPr>
              <w:pStyle w:val="Compact"/>
            </w:pPr>
            <w:r>
              <w:t xml:space="preserve">+0.150</w:t>
            </w:r>
          </w:p>
        </w:tc>
        <w:tc>
          <w:tcPr/>
          <w:p>
            <w:pPr>
              <w:pStyle w:val="Compact"/>
            </w:pPr>
            <w:r>
              <w:t xml:space="preserve">+0.250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+0.075</w:t>
            </w:r>
          </w:p>
        </w:tc>
        <w:tc>
          <w:tcPr/>
          <w:p>
            <w:pPr>
              <w:pStyle w:val="Compact"/>
            </w:pPr>
            <w:r>
              <w:t xml:space="preserve">+0.150</w:t>
            </w:r>
          </w:p>
        </w:tc>
        <w:tc>
          <w:tcPr/>
          <w:p>
            <w:pPr>
              <w:pStyle w:val="Compact"/>
            </w:pPr>
            <w:r>
              <w:t xml:space="preserve">+0.250</w:t>
            </w:r>
          </w:p>
        </w:tc>
      </w:tr>
    </w:tbl>
    <w:p>
      <w:pPr>
        <w:pStyle w:val="BodyText"/>
      </w:pPr>
      <w:r>
        <w:t xml:space="preserve">발표 문구 권고안:</w:t>
      </w:r>
      <w:r>
        <w:t xml:space="preserve"> </w:t>
      </w:r>
      <w:r>
        <w:rPr>
          <w:i/>
          <w:iCs/>
        </w:rPr>
        <w:t xml:space="preserve">“가정한 지원수준(역량 개선 0.3~1.0 SD)에서 정책개입 가능한 구조취약성 점수가 0.075~0.25만큼 개선되는 것으로 시나리오상 계산됐다(인과적 피해감소 효과 추정 아님).”</w:t>
      </w:r>
    </w:p>
    <w:bookmarkEnd w:id="39"/>
    <w:bookmarkEnd w:id="40"/>
    <w:bookmarkStart w:id="45" w:name="종합-결론"/>
    <w:p>
      <w:pPr>
        <w:pStyle w:val="Heading1"/>
      </w:pPr>
      <w:r>
        <w:t xml:space="preserve">10. 종합 결론</w:t>
      </w:r>
    </w:p>
    <w:bookmarkStart w:id="41" w:name="외부-qa-검토-4건-처리-결과"/>
    <w:p>
      <w:pPr>
        <w:pStyle w:val="Heading2"/>
      </w:pPr>
      <w:r>
        <w:t xml:space="preserve">10.1 외부 QA 검토 4건 처리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 지적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2 데이터 누수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확인(버그)</w:t>
            </w:r>
          </w:p>
        </w:tc>
        <w:tc>
          <w:tcPr/>
          <w:p>
            <w:pPr>
              <w:pStyle w:val="Compact"/>
            </w:pPr>
            <w:r>
              <w:t xml:space="preserve">훈련기간 고정</w:t>
            </w:r>
            <w:r>
              <w:t xml:space="preserve"> </w:t>
            </w:r>
            <w:r>
              <w:rPr>
                <w:rStyle w:val="VerbatimChar"/>
              </w:rPr>
              <w:t xml:space="preserve">_gm</w:t>
            </w:r>
            <w:r>
              <w:t xml:space="preserve">으로 수정, 영향은 작았음(−0.5~1.4%p)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2023년 데이터 완전성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확인(더 심각)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데이터유형=추정</w:t>
            </w:r>
            <w:r>
              <w:t xml:space="preserve"> </w:t>
            </w:r>
            <w:r>
              <w:t xml:space="preserve">확인, rolling-origin 2023 스텝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평균풍속 관측소 교란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확인, 결정 반전</w:t>
            </w:r>
          </w:p>
        </w:tc>
        <w:tc>
          <w:tcPr/>
          <w:p>
            <w:pPr>
              <w:pStyle w:val="Compact"/>
            </w:pPr>
            <w:r>
              <w:t xml:space="preserve">관측소 공유지역 제외 시 Y와의 상관 소실 확인 → 최종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해운대구 분모 아티팩트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기각</w:t>
            </w:r>
          </w:p>
        </w:tc>
        <w:tc>
          <w:tcPr/>
          <w:p>
            <w:pPr>
              <w:pStyle w:val="Compact"/>
            </w:pPr>
            <w:r>
              <w:t xml:space="preserve">소나무비율 전국 5위로 실제 특성 확인</w:t>
            </w:r>
          </w:p>
        </w:tc>
      </w:tr>
    </w:tbl>
    <w:bookmarkEnd w:id="41"/>
    <w:bookmarkStart w:id="42" w:name="주요-발견"/>
    <w:p>
      <w:pPr>
        <w:pStyle w:val="Heading2"/>
      </w:pPr>
      <w:r>
        <w:t xml:space="preserve">10.2 주요 발견</w:t>
      </w:r>
    </w:p>
    <w:p>
      <w:pPr>
        <w:pStyle w:val="Compact"/>
        <w:numPr>
          <w:ilvl w:val="0"/>
          <w:numId w:val="1002"/>
        </w:numPr>
      </w:pPr>
      <w:r>
        <w:t xml:space="preserve">4건 중 3건이 실제 문제로 확인됐고, 특히 평균풍속은</w:t>
      </w:r>
      <w:r>
        <w:t xml:space="preserve"> </w:t>
      </w:r>
      <w:r>
        <w:rPr>
          <w:b/>
          <w:bCs/>
        </w:rPr>
        <w:t xml:space="preserve">두 차례 결정이 뒤집힌 사례</w:t>
      </w:r>
      <w:r>
        <w:t xml:space="preserve">다 — 매번 더 엄밀한 검증(원시상관→Spearman→관측소 교란검정)이 앞선 결정의 허점을 드러냈다.</w:t>
      </w:r>
    </w:p>
    <w:p>
      <w:pPr>
        <w:pStyle w:val="Compact"/>
        <w:numPr>
          <w:ilvl w:val="0"/>
          <w:numId w:val="1002"/>
        </w:numPr>
      </w:pPr>
      <w:r>
        <w:t xml:space="preserve">이 모든 수정에도 핵심 결론(between만 유의, 배분갭 낮은 설명력, 배분 사후반응성, Model 2의 진짜 동력은 상습발생 여부)은 전부 재현됐다 — 분석 프레임워크 자체는 강건하다.</w:t>
      </w:r>
    </w:p>
    <w:p>
      <w:pPr>
        <w:pStyle w:val="Compact"/>
        <w:numPr>
          <w:ilvl w:val="0"/>
          <w:numId w:val="1002"/>
        </w:numPr>
      </w:pPr>
      <w:r>
        <w:t xml:space="preserve">Model 2의 실제 추가가치는</w:t>
      </w:r>
      <w:r>
        <w:t xml:space="preserve"> </w:t>
      </w:r>
      <w:r>
        <w:t xml:space="preserve">“복잡한 모형”</w:t>
      </w:r>
      <w:r>
        <w:t xml:space="preserve"> </w:t>
      </w:r>
      <w:r>
        <w:t xml:space="preserve">자체가 아니라</w:t>
      </w:r>
      <w:r>
        <w:t xml:space="preserve"> </w:t>
      </w:r>
      <w:r>
        <w:t xml:space="preserve">“상습발생 이력”</w:t>
      </w:r>
      <w:r>
        <w:t xml:space="preserve">이라는 단일 정보에 있다는 것이 기준모형 비교로 정량화됐다.</w:t>
      </w:r>
    </w:p>
    <w:bookmarkEnd w:id="42"/>
    <w:bookmarkStart w:id="43" w:name="한계-외부검토-반영-추가"/>
    <w:p>
      <w:pPr>
        <w:pStyle w:val="Heading2"/>
      </w:pPr>
      <w:r>
        <w:t xml:space="preserve">10.3 한계 (외부검토 반영 추가)</w:t>
      </w:r>
    </w:p>
    <w:p>
      <w:pPr>
        <w:pStyle w:val="Compact"/>
        <w:numPr>
          <w:ilvl w:val="0"/>
          <w:numId w:val="1003"/>
        </w:numPr>
      </w:pPr>
      <w:r>
        <w:t xml:space="preserve">축A 임계값(±0.5) 민감도 분석은 아직 수행하지 않았다.</w:t>
      </w:r>
    </w:p>
    <w:p>
      <w:pPr>
        <w:pStyle w:val="Compact"/>
        <w:numPr>
          <w:ilvl w:val="0"/>
          <w:numId w:val="1003"/>
        </w:numPr>
      </w:pPr>
      <w:r>
        <w:t xml:space="preserve">배분공식의 하한(30%)·상한(±30%)은 임의 설정값이다.</w:t>
      </w:r>
    </w:p>
    <w:p>
      <w:pPr>
        <w:pStyle w:val="Compact"/>
        <w:numPr>
          <w:ilvl w:val="0"/>
          <w:numId w:val="1003"/>
        </w:numPr>
      </w:pPr>
      <w:r>
        <w:t xml:space="preserve">예산 시뮬레이션은</w:t>
      </w:r>
      <w:r>
        <w:t xml:space="preserve"> </w:t>
      </w:r>
      <w:r>
        <w:t xml:space="preserve">“최적 배분”</w:t>
      </w:r>
      <w:r>
        <w:t xml:space="preserve">이 아니라 정책 시나리오로만 제시해야 한다(실제 피해규모, 긴급사업, 방제단가 등 미관측 요인이 현재 예산에 반영돼 있을 수 있음).</w:t>
      </w:r>
    </w:p>
    <w:p>
      <w:pPr>
        <w:pStyle w:val="Compact"/>
        <w:numPr>
          <w:ilvl w:val="0"/>
          <w:numId w:val="1003"/>
        </w:numPr>
      </w:pPr>
      <w:r>
        <w:t xml:space="preserve">Model 2는 원시 카운트가 없어 진짜 count 모형이 아닌 근사 구현이다.</w:t>
      </w:r>
    </w:p>
    <w:bookmarkEnd w:id="43"/>
    <w:bookmarkStart w:id="44" w:name="향후-과제"/>
    <w:p>
      <w:pPr>
        <w:pStyle w:val="Heading2"/>
      </w:pPr>
      <w:r>
        <w:t xml:space="preserve">10.4 향후 과제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축A 임계값 민감도 분석</w:t>
      </w:r>
      <w:r>
        <w:t xml:space="preserve"> </w:t>
      </w:r>
      <w:r>
        <w:t xml:space="preserve">— §8에서 완료(대표사례는 임계값에 견고, 경계선 57개 지역만 유동적)</w:t>
      </w:r>
    </w:p>
    <w:p>
      <w:pPr>
        <w:pStyle w:val="Compact"/>
        <w:numPr>
          <w:ilvl w:val="0"/>
          <w:numId w:val="1004"/>
        </w:numPr>
      </w:pPr>
      <w:r>
        <w:rPr>
          <w:strike/>
        </w:rPr>
        <w:t xml:space="preserve">CH3 지원효과 시뮬레이션</w:t>
      </w:r>
      <w:r>
        <w:t xml:space="preserve"> </w:t>
      </w:r>
      <w:r>
        <w:t xml:space="preserve">— §9에서 완료(부족×긴급 7개 지역 최우선 대응 도출)</w:t>
      </w:r>
    </w:p>
    <w:p>
      <w:pPr>
        <w:pStyle w:val="Compact"/>
        <w:numPr>
          <w:ilvl w:val="0"/>
          <w:numId w:val="1004"/>
        </w:numPr>
      </w:pPr>
      <w:r>
        <w:t xml:space="preserve">예산 이원화 시나리오(예방 30~40% Model 1 / 긴급 60~70% Model 2)의 정확한 비중·최소기본액·증감상한 수치를 정책 담당자와 협의해 구체화</w:t>
      </w:r>
    </w:p>
    <w:p>
      <w:pPr>
        <w:pStyle w:val="Compact"/>
        <w:numPr>
          <w:ilvl w:val="0"/>
          <w:numId w:val="1004"/>
        </w:numPr>
      </w:pPr>
      <w:r>
        <w:t xml:space="preserve">표현 정리:</w:t>
      </w:r>
      <w:r>
        <w:t xml:space="preserve"> </w:t>
      </w:r>
      <w:r>
        <w:t xml:space="preserve">“예산 부족/과다”</w:t>
      </w:r>
      <w:r>
        <w:t xml:space="preserve">→</w:t>
      </w:r>
      <w:r>
        <w:t xml:space="preserve">“구조위험 대비 저/고배분”</w:t>
      </w:r>
      <w:r>
        <w:t xml:space="preserve">,</w:t>
      </w:r>
      <w:r>
        <w:t xml:space="preserve"> </w:t>
      </w:r>
      <w:r>
        <w:t xml:space="preserve">“정확한 예측”</w:t>
      </w:r>
      <w:r>
        <w:t xml:space="preserve">→</w:t>
      </w:r>
      <w:r>
        <w:t xml:space="preserve">“연관성 확인”</w:t>
      </w:r>
      <w:r>
        <w:t xml:space="preserve"> </w:t>
      </w:r>
      <w:r>
        <w:t xml:space="preserve">등(발표 자료 전체에 일괄 적용 필요)</w:t>
      </w:r>
    </w:p>
    <w:bookmarkEnd w:id="44"/>
    <w:bookmarkEnd w:id="45"/>
    <w:bookmarkStart w:id="46" w:name="부록.-산출물-파일-목록"/>
    <w:p>
      <w:pPr>
        <w:pStyle w:val="Heading1"/>
      </w:pPr>
      <w:r>
        <w:t xml:space="preserve">부록. 산출물 파일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scripts/model1_v4_final.py</w:t>
            </w:r>
          </w:p>
        </w:tc>
        <w:tc>
          <w:tcPr/>
          <w:p>
            <w:pPr>
              <w:pStyle w:val="Compact"/>
            </w:pPr>
            <w:r>
              <w:t xml:space="preserve">Model 1 최종(평균풍속 제외) — 지수·모형A·배분갭·기여도·유형화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scripts/model1_windspeed_sensitivity.py</w:t>
            </w:r>
          </w:p>
        </w:tc>
        <w:tc>
          <w:tcPr/>
          <w:p>
            <w:pPr>
              <w:pStyle w:val="Compact"/>
            </w:pPr>
            <w:r>
              <w:t xml:space="preserve">평균풍속 포함/제외 민감도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scripts/model2_final.py</w:t>
            </w:r>
          </w:p>
        </w:tc>
        <w:tc>
          <w:tcPr/>
          <w:p>
            <w:pPr>
              <w:pStyle w:val="Compact"/>
            </w:pPr>
            <w:r>
              <w:t xml:space="preserve">Model 2 누수 수정 최종판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scripts/model_b_stage3_v5.py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최신</w:t>
            </w:r>
            <w:r>
              <w:t xml:space="preserve"> </w:t>
            </w:r>
            <w:r>
              <w:t xml:space="preserve">— 예방형 예산 재배분 시나리오(총액보존·상한위반 버그 수정, water-filling)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scripts/national_response_robustness_v4.py</w:t>
            </w:r>
          </w:p>
        </w:tc>
        <w:tc>
          <w:tcPr/>
          <w:p>
            <w:pPr>
              <w:pStyle w:val="Compact"/>
            </w:pPr>
            <w:r>
              <w:t xml:space="preserve">국가대응수준 보조모형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scripts/threshold_sensitivity.py</w:t>
            </w:r>
          </w:p>
        </w:tc>
        <w:tc>
          <w:tcPr/>
          <w:p>
            <w:pPr>
              <w:pStyle w:val="Compact"/>
            </w:pPr>
            <w:r>
              <w:t xml:space="preserve">축A 임계값 민감도 분석(±0.3/0.5/0.7)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scripts/ch3_support_simulation.py</w:t>
            </w:r>
          </w:p>
        </w:tc>
        <w:tc>
          <w:tcPr/>
          <w:p>
            <w:pPr>
              <w:pStyle w:val="Compact"/>
            </w:pPr>
            <w:r>
              <w:t xml:space="preserve">CH3 구조취약성 개선 시나리오(5단계)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output/모델링/구조적취약성지수_v4.csv</w:t>
            </w:r>
          </w:p>
        </w:tc>
        <w:tc>
          <w:tcPr/>
          <w:p>
            <w:pPr>
              <w:pStyle w:val="Compact"/>
            </w:pPr>
            <w:r>
              <w:t xml:space="preserve">Model 1 최종 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output/모델링/Model1_기여도분해_유형화_v4.csv</w:t>
            </w:r>
          </w:p>
        </w:tc>
        <w:tc>
          <w:tcPr/>
          <w:p>
            <w:pPr>
              <w:pStyle w:val="Compact"/>
            </w:pPr>
            <w:r>
              <w:t xml:space="preserve">221개 시군구 기여도·유형화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output/모델링/Model2_최종_로그.txt</w:t>
            </w:r>
          </w:p>
        </w:tc>
        <w:tc>
          <w:tcPr/>
          <w:p>
            <w:pPr>
              <w:pStyle w:val="Compact"/>
            </w:pPr>
            <w:r>
              <w:t xml:space="preserve">Model 2 누수 수정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output/모델링/평균풍속_민감도분석_로그.txt</w:t>
            </w:r>
          </w:p>
        </w:tc>
        <w:tc>
          <w:tcPr/>
          <w:p>
            <w:pPr>
              <w:pStyle w:val="Compact"/>
            </w:pPr>
            <w:r>
              <w:t xml:space="preserve">풍속 포함/제외 비교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output/모델링/배분공식_시뮬레이션결과_v5.csv</w:t>
            </w:r>
            <w:r>
              <w:t xml:space="preserve"> </w:t>
            </w:r>
            <w:r>
              <w:rPr>
                <w:rStyle w:val="VerbatimChar"/>
              </w:rPr>
              <w:t xml:space="preserve">배분공식_로그_v5.txt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최신</w:t>
            </w:r>
            <w:r>
              <w:t xml:space="preserve"> </w:t>
            </w:r>
            <w:r>
              <w:t xml:space="preserve">— 총액보존·상한준수 자동검증 통과한 v5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output/모델링/국가대응수준_보조모형_로그_v4.txt</w:t>
            </w:r>
          </w:p>
        </w:tc>
        <w:tc>
          <w:tcPr/>
          <w:p>
            <w:pPr>
              <w:pStyle w:val="Compact"/>
            </w:pPr>
            <w:r>
              <w:t xml:space="preserve">v4 국가대응수준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output/모델링/축A_임계값_민감도분석_로그.txt</w:t>
            </w:r>
          </w:p>
        </w:tc>
        <w:tc>
          <w:tcPr/>
          <w:p>
            <w:pPr>
              <w:pStyle w:val="Compact"/>
            </w:pPr>
            <w:r>
              <w:t xml:space="preserve">임계값 3종 비교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output/모델링/CH3_지원효과_시뮬레이션_부족지역.csv</w:t>
            </w:r>
          </w:p>
        </w:tc>
        <w:tc>
          <w:tcPr/>
          <w:p>
            <w:pPr>
              <w:pStyle w:val="Compact"/>
            </w:pPr>
            <w:r>
              <w:t xml:space="preserve">74개</w:t>
            </w:r>
            <w:r>
              <w:t xml:space="preserve"> </w:t>
            </w:r>
            <w:r>
              <w:t xml:space="preserve">‘부족’</w:t>
            </w:r>
            <w:r>
              <w:t xml:space="preserve"> </w:t>
            </w:r>
            <w:r>
              <w:t xml:space="preserve">지역 시나리오별 개선폭·긴급도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output/모델링/CH3_지원효과_시뮬레이션_로그.txt</w:t>
            </w:r>
          </w:p>
        </w:tc>
        <w:tc>
          <w:tcPr/>
          <w:p>
            <w:pPr>
              <w:pStyle w:val="Compact"/>
            </w:pPr>
            <w:r>
              <w:t xml:space="preserve">CH3 시뮬레이션 전체 로그</w:t>
            </w:r>
          </w:p>
        </w:tc>
      </w:tr>
    </w:tbl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</dc:title>
  <dc:creator/>
  <cp:keywords/>
  <dcterms:created xsi:type="dcterms:W3CDTF">2026-07-29T20:51:21Z</dcterms:created>
  <dcterms:modified xsi:type="dcterms:W3CDTF">2026-07-29T20:51:21Z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(v4 — 외부 QA 검토 4건 반영: 누수 수정·2023 제외·평균풍속 재검토·해운대구 검증)</vt:lpwstr>
  </property>
</Properties>
</file>