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CH3 우선지원·지원효과 시뮬레이션 모델링 분석보고서 (1차)</w:t>
      </w:r>
    </w:p>
    <w:p>
      <w:pPr>
        <w:pStyle w:val="Date"/>
      </w:pPr>
      <w:r>
        <w:t>1차 작업물 — 계획서 대비 구현 진단 및 외부 검증 종합 (정리일 2026-07-31)</w:t>
      </w:r>
    </w:p>
    <w:p>
      <w:pPr>
        <w:pStyle w:val="Heading1"/>
      </w:pPr>
      <w:r>
        <w:t>1. 분석 개요</w:t>
      </w:r>
    </w:p>
    <w:p>
      <w:pPr>
        <w:pStyle w:val="FirstParagraph"/>
      </w:pPr>
      <w:r>
        <w:t>목적: 소나무재선충병 방제 예산을 총액을 늘리지 않고 지역별로 재배분할 때, 위험지역·과소배분지역을 현행 배분보다 더 잘 포착하는지 검증하는 타겟팅 시뮬레이션이다. "예산 투입으로 피해가 몇% 감소한다"는 인과 해석은 하지 않는다.</w:t>
      </w:r>
    </w:p>
    <w:p>
      <w:pPr>
        <w:pStyle w:val="BodyText"/>
      </w:pPr>
      <w:r>
        <w:t>분석 단위: 시군구-연도 패널(2017–2022). 2016년은 초기 예산 기준으로만 사용한다. 분석계획서(ImPine_CH3_우선지원_지원효과_시뮬레이션_분석계획서.docx)는 현재 업로드된 ch3.html·data.js 구조를 진단하고 새 방법론을 처방하는 gap-analysis 문서로 작성되었다.</w:t>
      </w:r>
    </w:p>
    <w:p>
      <w:pPr>
        <w:pStyle w:val="BodyText"/>
      </w:pPr>
      <w:r>
        <w:t>계획서가 제시한 5단계 프레임: (A) 우선지원 대상 선정(위험백분위+과소배분백분위) → (B) 우세 위험 도메인별 정책 매칭 → (C) 대응역량·산업기반 기반 실행방식(직접지원/역량보강/산업연계) 판정 → (D) 총액 고정+제약 (최소보장액·전년대비 증감상한) 하 위험기반 예산 재배분(보수/기준/적극 3개 시나리오) → (E) rolling-origin (t-1 정보로 t년 배분 후 t년 피해로 평가) 방식의 효과 검증.</w:t>
      </w:r>
    </w:p>
    <w:p>
      <w:pPr>
        <w:pStyle w:val="BlockText"/>
      </w:pPr>
      <w:r>
        <w:t>핵심 설계 원칙(계획서 §3.1): 대응역량·산업기반은 배분용 위험지수에서 반드시 제외해야 한다. 포함할 경우 "예산이 적다 → 취약점수 상승 → 추가 예산 배분"의 순환논리가 발생한다. 위험지수는 노출도·기후위험도·인위적확산 3개 도메인으로만 구성한다.</w:t>
      </w:r>
    </w:p>
    <w:p>
      <w:pPr>
        <w:pStyle w:val="BodyText"/>
      </w:pPr>
      <w:r>
        <w:t>그러나 실제 검토 결과, 계획서가 처방한 지원효과 시뮬레이션(3개 시나리오·QP 최적화·rolling-origin·7개 지표)은 구현되지 않았고, 계획서에 없던 Model2(재발위험확률) 결합으로 대체되어 있다 — 외부 검토 문서는 이를 "완전히 다른 내용"으로 판정했다.</w:t>
      </w:r>
    </w:p>
    <w:p>
      <w:pPr>
        <w:pStyle w:val="Heading1"/>
      </w:pPr>
      <w:r>
        <w:t>2. Model2(재발위험확률) 최종 방법론</w:t>
      </w:r>
    </w:p>
    <w:p>
      <w:pPr>
        <w:pStyle w:val="Heading2"/>
      </w:pPr>
      <w:r>
        <w:t>2.1 표본 및 설계</w:t>
      </w:r>
    </w:p>
    <w:p>
      <w:pPr>
        <w:pStyle w:val="BodyText"/>
      </w:pPr>
      <w:r>
        <w:t>전체 패널 1,832행(229개 시군구×8개년) → 소나무림면적=0·임상도 판전환 무효·결측 제거 후 1,753행(222개 시군구) → Model2용 시차변수 확보 및 2023년(데이터유형=추정) 제외 후 최종 1,316행(2017–2022, 222개 시군구)을 사용한다.</w:t>
      </w:r>
    </w:p>
    <w:p>
      <w:pPr>
        <w:pStyle w:val="BodyText"/>
      </w:pPr>
      <w:r>
        <w:t>입력변수(8개): 구조적취약성지수 및 그 지자체 그룹평균(_gm), 연속발생연수_L1·집단발생여부_L1·log_인접시군_피해밀도_L1 및 각각의 그룹평균(_gm). CRE(Mundlak) 로지스틱 + 클러스터(시군구) 표준오차를 사용한다. _gm은 훈련기간(2017–2020)에서만 계산해 홀드아웃(2021–2022)에 고정 적용(frozen-gm)하며, 훈련기간 미관측 신규 시군구는 훈련 전체 평균으로 대체한다.</w:t>
      </w:r>
    </w:p>
    <w:p>
      <w:pPr>
        <w:pStyle w:val="Heading2"/>
      </w:pPr>
      <w:r>
        <w:t>2.2 성능 및 기준모형 비교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구간</w:t>
            </w:r>
          </w:p>
        </w:tc>
        <w:tc>
          <w:tcPr>
            <w:tcW w:type="dxa" w:w="3120"/>
          </w:tcPr>
          <w:p>
            <w:r>
              <w:t>AUC</w:t>
            </w:r>
          </w:p>
        </w:tc>
        <w:tc>
          <w:tcPr>
            <w:tcW w:type="dxa" w:w="3120"/>
          </w:tcPr>
          <w:p>
            <w:r>
              <w:t>비고</w:t>
            </w:r>
          </w:p>
        </w:tc>
      </w:tr>
      <w:tr>
        <w:tc>
          <w:tcPr>
            <w:tcW w:type="dxa" w:w="3120"/>
          </w:tcPr>
          <w:p>
            <w:r>
              <w:t>훈련(2017–2020)</w:t>
            </w:r>
          </w:p>
        </w:tc>
        <w:tc>
          <w:tcPr>
            <w:tcW w:type="dxa" w:w="3120"/>
          </w:tcPr>
          <w:p>
            <w:r>
              <w:t>0.976</w:t>
            </w:r>
          </w:p>
        </w:tc>
        <w:tc>
          <w:tcPr>
            <w:tcW w:type="dxa" w:w="3120"/>
          </w:tcPr>
          <w:p>
            <w:r>
              <w:t>6차 보고서와 소수점까지 일치</w:t>
            </w:r>
          </w:p>
        </w:tc>
      </w:tr>
      <w:tr>
        <w:tc>
          <w:tcPr>
            <w:tcW w:type="dxa" w:w="3120"/>
          </w:tcPr>
          <w:p>
            <w:r>
              <w:t>홀드아웃(2021–2022)</w:t>
            </w:r>
          </w:p>
        </w:tc>
        <w:tc>
          <w:tcPr>
            <w:tcW w:type="dxa" w:w="3120"/>
          </w:tcPr>
          <w:p>
            <w:r>
              <w:t>0.911</w:t>
            </w:r>
          </w:p>
        </w:tc>
        <w:tc>
          <w:tcPr>
            <w:tcW w:type="dxa" w:w="3120"/>
          </w:tcPr>
          <w:p>
            <w:r>
              <w:t>6차 원문(0.933~0.947)보다 2~4%p 낮음</w:t>
            </w:r>
          </w:p>
        </w:tc>
      </w:tr>
      <w:tr>
        <w:tc>
          <w:tcPr>
            <w:tcW w:type="dxa" w:w="3120"/>
          </w:tcPr>
          <w:p>
            <w:r>
              <w:t>Rolling-origin ≤2020→2021</w:t>
            </w:r>
          </w:p>
        </w:tc>
        <w:tc>
          <w:tcPr>
            <w:tcW w:type="dxa" w:w="3120"/>
          </w:tcPr>
          <w:p>
            <w:r>
              <w:t>0.926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Rolling-origin ≤2021→2022</w:t>
            </w:r>
          </w:p>
        </w:tc>
        <w:tc>
          <w:tcPr>
            <w:tcW w:type="dxa" w:w="3120"/>
          </w:tcPr>
          <w:p>
            <w:r>
              <w:t>0.913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최종 프로덕션(2017–2022 전체 적합)</w:t>
            </w:r>
          </w:p>
        </w:tc>
        <w:tc>
          <w:tcPr>
            <w:tcW w:type="dxa" w:w="3120"/>
          </w:tcPr>
          <w:p>
            <w:r>
              <w:t>0.971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기준모형(연속발생연수_L1 단독), 홀드아웃</w:t>
            </w:r>
          </w:p>
        </w:tc>
        <w:tc>
          <w:tcPr>
            <w:tcW w:type="dxa" w:w="3120"/>
          </w:tcPr>
          <w:p>
            <w:r>
              <w:t>0.918</w:t>
            </w:r>
          </w:p>
        </w:tc>
        <w:tc>
          <w:tcPr>
            <w:tcW w:type="dxa" w:w="3120"/>
          </w:tcPr>
          <w:p>
            <w:r>
              <w:t>8변수 전체모형(0.911)보다 오히려 높음</w:t>
            </w:r>
          </w:p>
        </w:tc>
      </w:tr>
    </w:tbl>
    <w:p>
      <w:pPr>
        <w:pStyle w:val="BodyText"/>
      </w:pPr>
      <w:r>
        <w:t>핵심 발견: 예측력이 거의 전부 "상습발생 이력" 단일 변수에서 나온다. 공간전파 항(인접시군 피해밀도_L1)은 표준오차가 계수의 약 14배(7.68~8.68)로 준분리·다중공선성 상태이며 모든 사양에서 비유의(p=0.36~0.94)하다. 재현성 측면에서 원본 스크립트를 확보하지 못해 6차 보고서 방법론을 재구현했고, 훈련 AUC는 일치했으나 홀드아웃·rolling-origin AUC는 6차 원문보다 낮게 재현되었다.</w:t>
      </w:r>
    </w:p>
    <w:p>
      <w:pPr>
        <w:pStyle w:val="BodyText"/>
      </w:pPr>
      <w:r>
        <w:t>명칭 관련 지적: "조기경보모형"이라는 이름은 부적절하다. 조기경보는 미발생지 예측을 의미하지만, 이 모형은 "이미 상습인 곳이 계속 상습일 것"을 예측하는 상습지역 분류기에 가깝다. 재발 예측은 연속발생연수 단일 변수로 충분하며, 구조적 취약성지수의 역할은 단기예측이 아니라 중장기 우선순위 선별에 있다는 권고가 제시되었다.</w:t>
      </w:r>
    </w:p>
    <w:p>
      <w:pPr>
        <w:pStyle w:val="BodyText"/>
      </w:pPr>
      <w:r>
        <w:t>출력(Model2_재발위험확률_2022기준_final.csv): 상위는 울산 동구(0.99996)·남구·북구·중구, 경주시, 울주군 등 울산·부산·경남 해안지역에 쏠려 있다. 다만 문서상 "222개 시군구"로 기재되어 있으나 실제 CSV는 221행으로 1행 불일치가 확인된다.</w:t>
      </w:r>
    </w:p>
    <w:p>
      <w:pPr>
        <w:pStyle w:val="Heading1"/>
      </w:pPr>
      <w:r>
        <w:t>3. 검증·감사에서 발견된 문제 (P0/P1)</w:t>
      </w:r>
    </w:p>
    <w:p>
      <w:pPr>
        <w:pStyle w:val="BodyText"/>
      </w:pPr>
      <w:r>
        <w:t>외부 독립 검증(I-mPine_검증보고서.md)과 산식감사(I-mPine_수식감사_최종.html, F01~F16)가 데이터 파일 직접 파싱·지표 재계산과 대시보드 표시값·로그·보고서 원문 3자 대조 방식으로 수행되었다. 총평: CH1 발생현황은 제출 가능, CH2 취약성지수는 한계 명시 필요(AUC 0.56), CH3 우선지원은 현 상태 제출 불가, CH4 방제설계는 전면 재프레이밍 필요, 통합대시보드는 개요 부재로 보완 필요.</w:t>
      </w:r>
    </w:p>
    <w:p>
      <w:pPr>
        <w:pStyle w:val="Heading2"/>
      </w:pPr>
      <w:r>
        <w:t>3.1 P0(제출 전 필수)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항목</w:t>
            </w:r>
          </w:p>
        </w:tc>
        <w:tc>
          <w:tcPr>
            <w:tcW w:type="dxa" w:w="3120"/>
          </w:tcPr>
          <w:p>
            <w:r>
              <w:t>문제</w:t>
            </w:r>
          </w:p>
        </w:tc>
        <w:tc>
          <w:tcPr>
            <w:tcW w:type="dxa" w:w="3120"/>
          </w:tcPr>
          <w:p>
            <w:r>
              <w:t>조치</w:t>
            </w:r>
          </w:p>
        </w:tc>
      </w:tr>
      <w:tr>
        <w:tc>
          <w:tcPr>
            <w:tcW w:type="dxa" w:w="3120"/>
          </w:tcPr>
          <w:p>
            <w:r>
              <w:t>P0_1</w:t>
            </w:r>
          </w:p>
        </w:tc>
        <w:tc>
          <w:tcPr>
            <w:tcW w:type="dxa" w:w="3120"/>
          </w:tcPr>
          <w:p>
            <w:r>
              <w:t>priority_score = index_main − 배분갭 이 척도가 다른 두 값을 직접 뺄셈 → 순위의 98.9%를 배분갭이 단독 결정. Spearman(priority, 재발위험확률)=−0.4766. TOP30에 서울 자치구 8곳, 1위 완도군(피해 0)</w:t>
            </w:r>
          </w:p>
        </w:tc>
        <w:tc>
          <w:tcPr>
            <w:tcW w:type="dxa" w:w="3120"/>
          </w:tcPr>
          <w:p>
            <w:r>
              <w:t>z-정규화 가중결합 공식 산출(이후 자기충족 구조로 판명되어 철회, 2차에서 재해결)</w:t>
            </w:r>
          </w:p>
        </w:tc>
      </w:tr>
      <w:tr>
        <w:tc>
          <w:tcPr>
            <w:tcW w:type="dxa" w:w="3120"/>
          </w:tcPr>
          <w:p>
            <w:r>
              <w:t>P0_4</w:t>
            </w:r>
          </w:p>
        </w:tc>
        <w:tc>
          <w:tcPr>
            <w:tcW w:type="dxa" w:w="3120"/>
          </w:tcPr>
          <w:p>
            <w:r>
              <w:t>강원 시군구코드 개편(42xxx→51xxx) 미반영으로 63/222개(28%) 시군구 지도 미표시(강원 18·서울 17·인천 8·충북 4). CH1 자체 내부에도 동일 버그 존재</w:t>
            </w:r>
          </w:p>
        </w:tc>
        <w:tc>
          <w:tcPr>
            <w:tcW w:type="dxa" w:w="3120"/>
          </w:tcPr>
          <w:p>
            <w:r>
              <w:t>resolveSggCode() 폴백 함수 적용, 서울·인천·충북 45곳은 GeoJSON 파일 자체 교체 필요</w:t>
            </w:r>
          </w:p>
        </w:tc>
      </w:tr>
      <w:tr>
        <w:tc>
          <w:tcPr>
            <w:tcW w:type="dxa" w:w="3120"/>
          </w:tcPr>
          <w:p>
            <w:r>
              <w:t>P0_5</w:t>
            </w:r>
          </w:p>
        </w:tc>
        <w:tc>
          <w:tcPr>
            <w:tcW w:type="dxa" w:w="3120"/>
          </w:tcPr>
          <w:p>
            <w:r>
              <w:t>ch2/data.js의 Model2 홀드아웃 AUC 표시값(0.947)이 저장소 로그 실측(0.911)과 불일치, "모델 승" 결론이 뒤집힘</w:t>
            </w:r>
          </w:p>
        </w:tc>
        <w:tc>
          <w:tcPr>
            <w:tcW w:type="dxa" w:w="3120"/>
          </w:tcPr>
          <w:p>
            <w:r>
              <w:t>0.947→0.911 교체, 기준모형 우세 문구 추가</w:t>
            </w:r>
          </w:p>
        </w:tc>
      </w:tr>
      <w:tr>
        <w:tc>
          <w:tcPr>
            <w:tcW w:type="dxa" w:w="3120"/>
          </w:tcPr>
          <w:p>
            <w:r>
              <w:t>P0_6</w:t>
            </w:r>
          </w:p>
        </w:tc>
        <w:tc>
          <w:tcPr>
            <w:tcW w:type="dxa" w:w="3120"/>
          </w:tcPr>
          <w:p>
            <w:r>
              <w:t>CH1 KPI "전년비 +28만" 배지가 동일 data.js의 "13개월 조사기간, 직접비교 불가" 경고와 모순</w:t>
            </w:r>
          </w:p>
        </w:tc>
        <w:tc>
          <w:tcPr>
            <w:tcW w:type="dxa" w:w="3120"/>
          </w:tcPr>
          <w:p>
            <w:r>
              <w:t>배지 삭제 또는 월평균 환산(+29%) 문구로 교체</w:t>
            </w:r>
          </w:p>
        </w:tc>
      </w:tr>
      <w:tr>
        <w:tc>
          <w:tcPr>
            <w:tcW w:type="dxa" w:w="3120"/>
          </w:tcPr>
          <w:p>
            <w:r>
              <w:t>P0(CH4)</w:t>
            </w:r>
          </w:p>
        </w:tc>
        <w:tc>
          <w:tcPr>
            <w:tcW w:type="dxa" w:w="3120"/>
          </w:tcPr>
          <w:p>
            <w:r>
              <w:t>방제 단가·작업량이 전부 임의값(나무주사=예방조치인데 피해목 방제로 혼재 등)</w:t>
            </w:r>
          </w:p>
        </w:tc>
        <w:tc>
          <w:tcPr>
            <w:tcW w:type="dxa" w:w="3120"/>
          </w:tcPr>
          <w:p>
            <w:r>
              <w:t>단가 입력형 전환, 출처 배지 추가 권고(별도 스크립트 없음)</w:t>
            </w:r>
          </w:p>
        </w:tc>
      </w:tr>
    </w:tbl>
    <w:p>
      <w:pPr>
        <w:pStyle w:val="Heading2"/>
      </w:pPr>
      <w:r>
        <w:t>3.2 P1(권장) 항목</w:t>
      </w:r>
    </w:p>
    <w:p>
      <w:pPr>
        <w:pStyle w:val="Compact"/>
      </w:pPr>
      <w:r>
        <w:t>P1_14: CH1 교차기준 카드의 "7곳" 노출이 산림청 지정 특별방제구역 수와 맞춘 순환논리로 읽힘 → 실제로는 산림청 명단을 쓰지 않고 도출한 25곳이 산림청 지명 8곳 중 7곳(재현율 87.5%)을 독립적으로 재현하는 결과이므로 25곳 전체+재현율+추가후보 18곳을 노출하도록 교체.</w:t>
      </w:r>
    </w:p>
    <w:p>
      <w:pPr>
        <w:pStyle w:val="Compact"/>
      </w:pPr>
      <w:r>
        <w:t>P1_16: ch2/ch3.html이 CDN(unpkg.com·cdnjs.cloudflare.com)에 의존 → 오프라인 발표 시 지도·차트 전멸 위험. 로컬 vendor 경로로 전환.</w:t>
      </w:r>
    </w:p>
    <w:p>
      <w:pPr>
        <w:pStyle w:val="Compact"/>
      </w:pPr>
      <w:r>
        <w:t>P1_17: Modeling 스크립트의 로컬 절대경로 하드코딩으로 재현 불가 → pathlib 상대경로 전환. 검토 과정에서 스크립트가 Windows(cp949) 콘솔에서 em-dash 문자로 즉시 크래시함이 추가로 발견되어 PYTHONIOENCODING=utf-8 지정 및 CSV의 utf-8-sig 인코딩 명시가 추가로 필요함이 확인됨.</w:t>
      </w:r>
    </w:p>
    <w:p>
      <w:pPr>
        <w:pStyle w:val="Heading2"/>
      </w:pPr>
      <w:r>
        <w:t>3.3 산식감사(F01~F16)에서 드러난 구조적 문제</w:t>
      </w:r>
    </w:p>
    <w:p>
      <w:pPr>
        <w:pStyle w:val="Compact"/>
      </w:pPr>
      <w:r>
        <w:t>F02: "인위적확산" 도메인이 실제로는 log1p_원목생산업체수 단독(부호 −1)이라 "원목업체가 적은 곳"에 높은 점수를 부여 — 이름과 실제 내용이 정반대. 도메인 부호를 corr(x, Y)로 결정한 뒤 같은 Y로 재검증하는 순환검증 문제도 지적됨.</w:t>
      </w:r>
    </w:p>
    <w:p>
      <w:pPr>
        <w:pStyle w:val="Compact"/>
      </w:pPr>
      <w:r>
        <w:t>F05: 홀드아웃 검증 함수가 홀드아웃 표본에서 새로 적합(refit)하여 "홀드아웃 AUC 0.564"가 실제로는 표본내 값 — 진짜 표본외 검증이 아님.</w:t>
      </w:r>
    </w:p>
    <w:p>
      <w:pPr>
        <w:pStyle w:val="Compact"/>
      </w:pPr>
      <w:r>
        <w:t>F06: 배분갭(=평균예산−OLS 예측값) 회귀의 R²가 2.39%뿐 → 배분갭≈예산 그 자체. 예산=0인 64곳이 "과소배분"으로 잘못 판정됨.</w:t>
      </w:r>
    </w:p>
    <w:p>
      <w:pPr>
        <w:pStyle w:val="Compact"/>
      </w:pPr>
      <w:r>
        <w:t>F09~F11: 우선순위 산식의 3단계 진화 — 현행식(A, ρ=−0.48로 사용불가) → 계획서 처방식(B, 개선 미미) → 검증보고서 대안(C, z-혼합, 처음엔 개선된 것으로 보였으나 재발확률을 노이즈로 대체해도 결과가 비슷해 자기충족 구조로 판명, 철회) → E안(RiskPct 단독, 대응역량·배분갭·재발확률 모두 배제)이 대안으로 제시됨.</w:t>
      </w:r>
    </w:p>
    <w:p>
      <w:pPr>
        <w:pStyle w:val="Compact"/>
      </w:pPr>
      <w:r>
        <w:t>F12: Model2가 "조기경보"보다 "상습지역 분류기"에 가까움. 재발위험확률이 상위권(0.9996~0.99996)에서 포화되어 순위 정보가 소실됨.</w:t>
      </w:r>
    </w:p>
    <w:p>
      <w:pPr>
        <w:pStyle w:val="Heading1"/>
      </w:pPr>
      <w:r>
        <w:t>4. 지원효과 시뮬레이션 — 설계와 구현의 격차</w:t>
      </w:r>
    </w:p>
    <w:p>
      <w:pPr>
        <w:pStyle w:val="BodyText"/>
      </w:pPr>
      <w:r>
        <w:t>설계(계획서 기준): 총예산을 늘리지 않고 배분만 조정, 최소보장액·전년대비 증감상한 제약 하에서 총액보존과 개별제약을 동시 만족하는 제약 최적화(QP)로 목표배분액을 산출한다. 3개 시나리오(보수: 최소보장액 50%·±10%, 기준: 30%·±20%, 적극: 20%·±30%)를 rolling-origin(t-1 정보→t년 배분→t년 피해로 평가)으로 검증하고, 7개 성과지표(피해지역 예산 포착률, 타겟팅 리프트, 상위20% Recall, 예산-피해 Spearman, 재배분율, 행정충격, 지역 최소보장 충족률)로 "효과 있음/조건부 효과/효과 불명확"을 판정한다.</w:t>
      </w:r>
    </w:p>
    <w:p>
      <w:pPr>
        <w:pStyle w:val="BlockText"/>
      </w:pPr>
      <w:r>
        <w:t>구현 현황: 위 시뮬레이션은 전혀 구현되지 않았다. 대신 Model2 재발위험확률과의 "단기 경보 결합"으로 대체되어 있으며, 재발위험확률≥0.83인 82개 시군구 중 urgentList는 6개뿐으로 옛 6차 보고서가 지목한 7개 지역(영주시 제외)과 거의 동일해 전수 재계산이 아니라 옛 명단 재확인에 가깝다는 지적이 있다.</w:t>
      </w:r>
    </w:p>
    <w:p>
      <w:pPr>
        <w:pStyle w:val="Heading1"/>
      </w:pPr>
      <w:r>
        <w:t>5. 종합 판정 및 한계</w:t>
      </w:r>
    </w:p>
    <w:p>
      <w:pPr>
        <w:pStyle w:val="Compact"/>
      </w:pPr>
      <w:r>
        <w:t>within(지자체 내 시간변동) 효과가 비유의 음수 — AUC 0.56~0.58은 거의 무작위 수준이며 "지수 개선 → 피해 감소" 인과 시나리오는 성립하지 않음(십분위 단조성으로만 방어 가능).</w:t>
      </w:r>
    </w:p>
    <w:p>
      <w:pPr>
        <w:pStyle w:val="Compact"/>
      </w:pPr>
      <w:r>
        <w:t>기후 도메인의 공간해상도 부족 — 기상관측소 89개를 229개 시군구에 배정, 관측소 1개가 30개 시군구에 중복 배정.</w:t>
      </w:r>
    </w:p>
    <w:p>
      <w:pPr>
        <w:pStyle w:val="Compact"/>
      </w:pPr>
      <w:r>
        <w:t>CH2(3유형)와 CH3(4유형) 체계 불일치 — 완도군이 CH2 "복합형", CH3 "산업기반부족형"으로 다르게 분류.</w:t>
      </w:r>
    </w:p>
    <w:p>
      <w:pPr>
        <w:pStyle w:val="Compact"/>
      </w:pPr>
      <w:r>
        <w:t>예산변수 역인과 — 재선충 명시 예산은 피해 발생 이후 배정되므로(corr(예산,피해)=+0.255) 대응역량 도메인에 포함 시 오염.</w:t>
      </w:r>
    </w:p>
    <w:p>
      <w:pPr>
        <w:pStyle w:val="Compact"/>
      </w:pPr>
      <w:r>
        <w:t>인천 옹진군·강원 고성군의 임상도 판전환 아티팩트(면적비율 +367.2%, +59.1%)가 모집단에서 제외되지 않음.</w:t>
      </w:r>
    </w:p>
    <w:p>
      <w:pPr>
        <w:pStyle w:val="Compact"/>
      </w:pPr>
      <w:r>
        <w:t>제주·세종 제외 사유 미명시 — 전국 누적피해의 17.2%가 CH2/CH3에서 통째로 빠져 있음.</w:t>
      </w:r>
    </w:p>
    <w:p>
      <w:pPr>
        <w:pStyle w:val="Compact"/>
      </w:pPr>
      <w:r>
        <w:t>CH4는 방제방법 선택 로직은 유효하나 단가 근거가 전무해 전면 재프레이밍이 필요함.</w:t>
      </w:r>
    </w:p>
    <w:p>
      <w:pPr>
        <w:pStyle w:val="Heading1"/>
      </w:pPr>
      <w:r>
        <w:t>6. 기타 특이사항 및 부록</w:t>
      </w:r>
    </w:p>
    <w:p>
      <w:pPr>
        <w:pStyle w:val="BodyText"/>
      </w:pPr>
      <w:r>
        <w:t>1차 폴더에 포함된 CH2_분석보고서_7차.docx는 내용상(Model2 재구현·2022년 재발위험확률 산출) CH2/Modeling/7차 소속 파일이 잘못 섞여 들어온 것으로 판단된다. 원본은 CH2/Modeling 쪽에 있어야 하며, 이 폴더에서는 참고용(model2_final_재구현.py 등 세트)으로만 취급한다.</w:t>
      </w:r>
    </w:p>
    <w:p>
      <w:pPr>
        <w:pStyle w:val="BodyText"/>
      </w:pPr>
      <w:r>
        <w:t>통합대시보드_개선안.html: 기존 4.3KB 규모 iframe 래퍼(헤더+탭4개+iframe4개, "우리가 뭘 했는지"를 보여주는 화면 없음)를 개선한 시안. "00 개요" 탭에 한 문장 논지, 4단계 분석 파이프라인+신뢰배지, 검증 스트립, 격자 반복 모자이크, 분석단위 정합표, "선제 고백"(한계 목록)을 신설했다. CYCLES·allocate() 로직 구현은 정확하나 정합표 일부 숫자가 아직 비어 있어 미완성 상태다.</w:t>
      </w:r>
    </w:p>
    <w:p>
      <w:pPr>
        <w:pStyle w:val="BodyText"/>
      </w:pPr>
      <w:r>
        <w:t>files (7)/ 하위폴더는 검증보고서에서 도출된 P0/P1 패치 7건과 README·requirements.txt를 모아둔 패치 적용 가이드 세트이며, 최상위 폴더의 원본 검증·감사 문서에서 파생되었다.</w:t>
      </w:r>
    </w:p>
    <w:p>
      <w:pPr>
        <w:pStyle w:val="Heading2"/>
      </w:pPr>
      <w:r>
        <w:t>산출/참조 파일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파일</w:t>
            </w:r>
          </w:p>
        </w:tc>
        <w:tc>
          <w:tcPr>
            <w:tcW w:type="dxa" w:w="4680"/>
          </w:tcPr>
          <w:p>
            <w:r>
              <w:t>용도</w:t>
            </w:r>
          </w:p>
        </w:tc>
      </w:tr>
      <w:tr>
        <w:tc>
          <w:tcPr>
            <w:tcW w:type="dxa" w:w="4680"/>
          </w:tcPr>
          <w:p>
            <w:r>
              <w:t>ImPine_CH3_우선지원_지원효과_시뮬레이션_분석계획서.docx</w:t>
            </w:r>
          </w:p>
        </w:tc>
        <w:tc>
          <w:tcPr>
            <w:tcW w:type="dxa" w:w="4680"/>
          </w:tcPr>
          <w:p>
            <w:r>
              <w:t>CH3 분석 목적/방법론 처방(계획서)</w:t>
            </w:r>
          </w:p>
        </w:tc>
      </w:tr>
      <w:tr>
        <w:tc>
          <w:tcPr>
            <w:tcW w:type="dxa" w:w="4680"/>
          </w:tcPr>
          <w:p>
            <w:r>
              <w:t>I-mPine_검증보고서.md</w:t>
            </w:r>
          </w:p>
        </w:tc>
        <w:tc>
          <w:tcPr>
            <w:tcW w:type="dxa" w:w="4680"/>
          </w:tcPr>
          <w:p>
            <w:r>
              <w:t>외부 독립 검증 보고서</w:t>
            </w:r>
          </w:p>
        </w:tc>
      </w:tr>
      <w:tr>
        <w:tc>
          <w:tcPr>
            <w:tcW w:type="dxa" w:w="4680"/>
          </w:tcPr>
          <w:p>
            <w:r>
              <w:t>I-mPine_검토종합.html</w:t>
            </w:r>
          </w:p>
        </w:tc>
        <w:tc>
          <w:tcPr>
            <w:tcW w:type="dxa" w:w="4680"/>
          </w:tcPr>
          <w:p>
            <w:r>
              <w:t>3건의 독립검증·자기검증 세션 종합</w:t>
            </w:r>
          </w:p>
        </w:tc>
      </w:tr>
      <w:tr>
        <w:tc>
          <w:tcPr>
            <w:tcW w:type="dxa" w:w="4680"/>
          </w:tcPr>
          <w:p>
            <w:r>
              <w:t>I-mPine_수식감사_최종.html / _수정전.html</w:t>
            </w:r>
          </w:p>
        </w:tc>
        <w:tc>
          <w:tcPr>
            <w:tcW w:type="dxa" w:w="4680"/>
          </w:tcPr>
          <w:p>
            <w:r>
              <w:t>F01~F16 산식별 감사(최종/수정전 대조)</w:t>
            </w:r>
          </w:p>
        </w:tc>
      </w:tr>
      <w:tr>
        <w:tc>
          <w:tcPr>
            <w:tcW w:type="dxa" w:w="4680"/>
          </w:tcPr>
          <w:p>
            <w:r>
              <w:t>model2_final_재구현.py, Model2_final_로그.txt</w:t>
            </w:r>
          </w:p>
        </w:tc>
        <w:tc>
          <w:tcPr>
            <w:tcW w:type="dxa" w:w="4680"/>
          </w:tcPr>
          <w:p>
            <w:r>
              <w:t>Model2 재구현 스크립트 및 실행 로그</w:t>
            </w:r>
          </w:p>
        </w:tc>
      </w:tr>
      <w:tr>
        <w:tc>
          <w:tcPr>
            <w:tcW w:type="dxa" w:w="4680"/>
          </w:tcPr>
          <w:p>
            <w:r>
              <w:t>Model2_재발위험확률_2022기준_final.csv</w:t>
            </w:r>
          </w:p>
        </w:tc>
        <w:tc>
          <w:tcPr>
            <w:tcW w:type="dxa" w:w="4680"/>
          </w:tcPr>
          <w:p>
            <w:r>
              <w:t>Model2 최종 산출물(221행)</w:t>
            </w:r>
          </w:p>
        </w:tc>
      </w:tr>
      <w:tr>
        <w:tc>
          <w:tcPr>
            <w:tcW w:type="dxa" w:w="4680"/>
          </w:tcPr>
          <w:p>
            <w:r>
              <w:t>files (7)/</w:t>
            </w:r>
          </w:p>
        </w:tc>
        <w:tc>
          <w:tcPr>
            <w:tcW w:type="dxa" w:w="4680"/>
          </w:tcPr>
          <w:p>
            <w:r>
              <w:t>P0_1·P0_4·P0_5·P0_6, P1_14·P1_16·P1_17 패치 스크립트 세트</w:t>
            </w:r>
          </w:p>
        </w:tc>
      </w:tr>
      <w:tr>
        <w:tc>
          <w:tcPr>
            <w:tcW w:type="dxa" w:w="4680"/>
          </w:tcPr>
          <w:p>
            <w:r>
              <w:t>통합대시보드_개선안.html</w:t>
            </w:r>
          </w:p>
        </w:tc>
        <w:tc>
          <w:tcPr>
            <w:tcW w:type="dxa" w:w="4680"/>
          </w:tcPr>
          <w:p>
            <w:r>
              <w:t>통합대시보드 개요 탭 개선 시안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Claude" w:date="2026-07-30T06:35:45Z" w:initials="C">
    <w:p w14:paraId="1746A6E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[정정 완료, 2026-07-31] 원본 model1_final.py를 확보해 재검증함. 원본 주석에는 “0.0008”로 적혀 있었으나, 4개의 독립 계산(과거 시도·저장된 체크포인트 summary_TierA.json·비교표.txt·이번 재실행)이 전부 0.0008이 아니라 0.01~0.05대(대표값 0.0148)로 수렴 — 0.0008은 재현 불가해 폐기하고 본문 수치를 0.01 내외로 정정함. TierB의 “0.19”는 반대로 0.19~0.23대에서 반복 재현돼(대표값 0.2265) 신뢰 가능한 실측치로 유지.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46A6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5AB6331" w16cex:dateUtc="2026-07-30T06:35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46A6E3" w16cid:durableId="75AB6331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