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both"/>
        <w:rPr>
          <w:rFonts w:ascii="Calibri" w:cs="Calibri" w:hAnsi="Calibri" w:eastAsia="Calibri"/>
          <w:b w:val="1"/>
          <w:bCs w:val="1"/>
        </w:rPr>
      </w:pPr>
      <w:r>
        <w:rPr>
          <w:rFonts w:ascii="Calibri" w:cs="Calibri" w:hAnsi="Calibri" w:eastAsia="Calibri"/>
          <w:b w:val="1"/>
          <w:bCs w:val="1"/>
          <w:rtl w:val="0"/>
          <w:lang w:val="en-US"/>
        </w:rPr>
        <w:t>Response to Referee B</w:t>
      </w:r>
    </w:p>
    <w:p>
      <w:pPr>
        <w:pStyle w:val="Body"/>
        <w:jc w:val="both"/>
        <w:rPr>
          <w:rtl w:val="0"/>
        </w:rPr>
      </w:pPr>
      <w:r>
        <w:rPr>
          <w:rFonts w:ascii="Trebuchet MS"/>
          <w:rtl w:val="0"/>
        </w:rPr>
        <w:t>We</w:t>
      </w:r>
      <w:r>
        <w:rPr>
          <w:rFonts w:ascii="Trebuchet MS"/>
          <w:rtl w:val="0"/>
          <w:lang w:val="en-US"/>
        </w:rPr>
        <w:t xml:space="preserve"> appreciate that our original presentation has led to some of the negative reaction in the referee</w:t>
      </w:r>
      <w:r>
        <w:rPr>
          <w:rFonts w:hAnsi="Trebuchet MS" w:hint="default"/>
          <w:rtl w:val="0"/>
          <w:lang w:val="en-US"/>
        </w:rPr>
        <w:t>’</w:t>
      </w:r>
      <w:r>
        <w:rPr>
          <w:rFonts w:ascii="Trebuchet MS"/>
          <w:rtl w:val="0"/>
          <w:lang w:val="en-US"/>
        </w:rPr>
        <w:t xml:space="preserve">s </w:t>
      </w:r>
      <w:r>
        <w:rPr>
          <w:rFonts w:ascii="Trebuchet MS"/>
          <w:rtl w:val="0"/>
        </w:rPr>
        <w:t xml:space="preserve"> </w:t>
      </w:r>
      <w:r>
        <w:rPr>
          <w:rFonts w:ascii="Trebuchet MS"/>
          <w:rtl w:val="0"/>
          <w:lang w:val="en-US"/>
        </w:rPr>
        <w:t>mind.   We have   streamlined the presentation so as avoid potential confusion and misunderstanding.</w:t>
      </w:r>
      <w:r>
        <w:rPr>
          <w:rFonts w:ascii="Trebuchet MS"/>
          <w:rtl w:val="0"/>
          <w:lang w:val="en-US"/>
        </w:rPr>
        <w:t xml:space="preserve"> Hence we have included </w:t>
      </w:r>
      <w:r>
        <w:rPr>
          <w:rFonts w:ascii="Trebuchet MS"/>
          <w:rtl w:val="0"/>
          <w:lang w:val="en-US"/>
        </w:rPr>
        <w:t xml:space="preserve">additional </w:t>
      </w:r>
      <w:r>
        <w:rPr>
          <w:rFonts w:ascii="Trebuchet MS"/>
          <w:rtl w:val="0"/>
          <w:lang w:val="en-US"/>
        </w:rPr>
        <w:t xml:space="preserve"> preliminary detail and discussion </w:t>
      </w:r>
      <w:r>
        <w:rPr>
          <w:rFonts w:ascii="Trebuchet MS"/>
          <w:rtl w:val="0"/>
          <w:lang w:val="en-US"/>
        </w:rPr>
        <w:t>to motivate</w:t>
      </w:r>
      <w:r>
        <w:rPr>
          <w:rFonts w:ascii="Trebuchet MS"/>
          <w:rtl w:val="0"/>
          <w:lang w:val="en-US"/>
        </w:rPr>
        <w:t xml:space="preserve"> layer dependence. </w:t>
      </w:r>
    </w:p>
    <w:p>
      <w:pPr>
        <w:pStyle w:val="Body"/>
        <w:jc w:val="both"/>
        <w:rPr>
          <w:rtl w:val="0"/>
        </w:rPr>
      </w:pPr>
      <w:r>
        <w:rPr>
          <w:rFonts w:ascii="Trebuchet MS"/>
          <w:rtl w:val="0"/>
          <w:lang w:val="en-US"/>
        </w:rPr>
        <w:t>Our responses to Referee B</w:t>
      </w:r>
      <w:r>
        <w:rPr>
          <w:rFonts w:hAnsi="Trebuchet MS" w:hint="default"/>
          <w:rtl w:val="0"/>
          <w:lang w:val="fr-FR"/>
        </w:rPr>
        <w:t>’</w:t>
      </w:r>
      <w:r>
        <w:rPr>
          <w:rFonts w:ascii="Trebuchet MS"/>
          <w:rtl w:val="0"/>
          <w:lang w:val="en-US"/>
        </w:rPr>
        <w:t>s specific comments are:</w:t>
      </w:r>
      <w:r>
        <w:rPr>
          <w:rFonts w:ascii="Trebuchet MS"/>
          <w:rtl w:val="0"/>
          <w:lang w:val="en-US"/>
        </w:rPr>
        <w:t xml:space="preserve"> (in referee</w:t>
      </w:r>
      <w:r>
        <w:rPr>
          <w:rFonts w:hAnsi="Trebuchet MS" w:hint="default"/>
          <w:rtl w:val="0"/>
          <w:lang w:val="en-US"/>
        </w:rPr>
        <w:t>’</w:t>
      </w:r>
      <w:r>
        <w:rPr>
          <w:rFonts w:ascii="Trebuchet MS"/>
          <w:rtl w:val="0"/>
          <w:lang w:val="en-US"/>
        </w:rPr>
        <w:t>s order)</w:t>
      </w:r>
    </w:p>
    <w:p>
      <w:pPr>
        <w:pStyle w:val="List Paragraph"/>
        <w:numPr>
          <w:ilvl w:val="0"/>
          <w:numId w:val="3"/>
        </w:numPr>
        <w:tabs>
          <w:tab w:val="num" w:pos="720"/>
          <w:tab w:val="clear" w:pos="0"/>
        </w:tabs>
        <w:ind w:left="720" w:hanging="360"/>
        <w:jc w:val="both"/>
        <w:rPr>
          <w:position w:val="0"/>
          <w:rtl w:val="0"/>
        </w:rPr>
      </w:pPr>
      <w:r>
        <w:rPr>
          <w:rFonts w:ascii="Trebuchet MS"/>
          <w:rtl w:val="0"/>
          <w:lang w:val="en-US"/>
        </w:rPr>
        <w:t>I</w:t>
      </w:r>
      <w:r>
        <w:rPr>
          <w:rFonts w:ascii="Trebuchet MS"/>
          <w:rtl w:val="0"/>
          <w:lang w:val="en-US"/>
        </w:rPr>
        <w:t>ncluded additional explanation of how layer dependence captures the dependence structure for each copula illustrated in Figure 1, i.e. by reflecting the scatter of points continuously along the 45 degree line.</w:t>
      </w:r>
    </w:p>
    <w:p>
      <w:pPr>
        <w:pStyle w:val="List Paragraph"/>
        <w:numPr>
          <w:ilvl w:val="0"/>
          <w:numId w:val="3"/>
        </w:numPr>
        <w:tabs>
          <w:tab w:val="num" w:pos="720"/>
          <w:tab w:val="clear" w:pos="0"/>
        </w:tabs>
        <w:ind w:left="720" w:hanging="360"/>
        <w:jc w:val="both"/>
        <w:rPr>
          <w:position w:val="0"/>
          <w:rtl w:val="0"/>
        </w:rPr>
      </w:pPr>
      <w:r>
        <w:rPr>
          <w:rFonts w:ascii="Trebuchet MS"/>
          <w:rtl w:val="0"/>
          <w:lang w:val="en-US"/>
        </w:rPr>
        <w:t xml:space="preserve">We have removed </w:t>
      </w:r>
      <w:r>
        <w:rPr>
          <w:rFonts w:ascii="Trebuchet MS"/>
          <w:rtl w:val="0"/>
          <w:lang w:val="en-US"/>
        </w:rPr>
        <w:t xml:space="preserve">the factor copula model </w:t>
      </w:r>
      <w:r>
        <w:rPr>
          <w:rFonts w:ascii="Trebuchet MS"/>
          <w:rtl w:val="0"/>
          <w:lang w:val="en-US"/>
        </w:rPr>
        <w:t xml:space="preserve">discussion and fitting strategy focussing instead </w:t>
      </w:r>
      <w:r>
        <w:rPr>
          <w:rFonts w:ascii="Trebuchet MS"/>
          <w:rtl w:val="0"/>
          <w:lang w:val="en-US"/>
        </w:rPr>
        <w:t xml:space="preserve">on </w:t>
      </w:r>
      <w:r>
        <w:rPr>
          <w:rFonts w:ascii="Trebuchet MS"/>
          <w:rtl w:val="0"/>
          <w:lang w:val="en-US"/>
        </w:rPr>
        <w:t>on</w:t>
      </w:r>
      <w:r>
        <w:rPr>
          <w:rFonts w:ascii="Trebuchet MS"/>
          <w:rtl w:val="0"/>
          <w:lang w:val="en-US"/>
        </w:rPr>
        <w:t xml:space="preserve"> layer dependence and its use as a local dependence measure.</w:t>
      </w:r>
    </w:p>
    <w:p>
      <w:pPr>
        <w:pStyle w:val="List Paragraph"/>
        <w:numPr>
          <w:ilvl w:val="0"/>
          <w:numId w:val="3"/>
        </w:numPr>
        <w:tabs>
          <w:tab w:val="num" w:pos="720"/>
          <w:tab w:val="clear" w:pos="0"/>
        </w:tabs>
        <w:ind w:left="720" w:hanging="360"/>
        <w:jc w:val="both"/>
        <w:rPr>
          <w:position w:val="0"/>
          <w:rtl w:val="0"/>
        </w:rPr>
      </w:pPr>
      <w:r>
        <w:rPr>
          <w:rFonts w:ascii="Trebuchet MS"/>
          <w:rtl w:val="0"/>
          <w:lang w:val="en-US"/>
        </w:rPr>
        <w:t>Regarding the third comment, we agree and we have used the more common notation Ia(u) for indicator variables.</w:t>
      </w:r>
    </w:p>
    <w:p>
      <w:pPr>
        <w:pStyle w:val="Body"/>
        <w:jc w:val="both"/>
        <w:rPr>
          <w:rtl w:val="0"/>
        </w:rPr>
      </w:pPr>
      <w:r>
        <w:rPr>
          <w:rFonts w:ascii="Trebuchet MS"/>
          <w:rtl w:val="0"/>
        </w:rPr>
        <w:t xml:space="preserve">    </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