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18/10/2021 – 24/10/2021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7607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rtl w:val="0"/>
        </w:rPr>
        <w:t xml:space="preserve">27426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7491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10"/>
        <w:gridCol w:w="1560"/>
        <w:gridCol w:w="2295"/>
        <w:gridCol w:w="1395"/>
        <w:tblGridChange w:id="0">
          <w:tblGrid>
            <w:gridCol w:w="558"/>
            <w:gridCol w:w="4110"/>
            <w:gridCol w:w="1560"/>
            <w:gridCol w:w="2295"/>
            <w:gridCol w:w="139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5f5f5" w:val="clear"/>
                <w:rtl w:val="0"/>
              </w:rPr>
              <w:t xml:space="preserve">contribute to create basic files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Trung, Nhan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dev plan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Phat, Tri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5f5f5" w:val="clear"/>
                <w:rtl w:val="0"/>
              </w:rPr>
              <w:t xml:space="preserve">create basic code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f5f5f5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Missing music source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layout is not suitable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5655"/>
        <w:gridCol w:w="1395"/>
        <w:gridCol w:w="1770"/>
        <w:tblGridChange w:id="0">
          <w:tblGrid>
            <w:gridCol w:w="1065"/>
            <w:gridCol w:w="5655"/>
            <w:gridCol w:w="139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VisionDoc. - 1+2+4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VisionDoc. - 3+5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source code modified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Trung, Nhan,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