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- 05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8/11/2021 – 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Business Analyst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7607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rtl w:val="0"/>
        </w:rPr>
        <w:t xml:space="preserve">27426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7491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395"/>
        <w:gridCol w:w="1275"/>
        <w:gridCol w:w="2295"/>
        <w:gridCol w:w="1395"/>
        <w:tblGridChange w:id="0">
          <w:tblGrid>
            <w:gridCol w:w="558"/>
            <w:gridCol w:w="4395"/>
            <w:gridCol w:w="1275"/>
            <w:gridCol w:w="2295"/>
            <w:gridCol w:w="139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specification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Tri, Phat, Nhan, Huy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New components added to source code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Huy, Nhan, Trung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Some modifications to the vision document and software development plan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Nhan, Tri, Phat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  <w:t xml:space="preserve">A more detailed use-case specification is required. 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Software Architecture required to specify the interaction between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185"/>
        <w:gridCol w:w="2130"/>
        <w:gridCol w:w="1692"/>
        <w:tblGridChange w:id="0">
          <w:tblGrid>
            <w:gridCol w:w="558"/>
            <w:gridCol w:w="4185"/>
            <w:gridCol w:w="213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Class diagram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New information added to the use-case specification document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Tri, Phat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Architecture Goals and Constraints specified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