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C9321B" w14:textId="77777777" w:rsidR="000728EB" w:rsidRDefault="00836C1D">
      <w:pPr>
        <w:jc w:val="center"/>
      </w:pPr>
      <w:r>
        <w:rPr>
          <w:b/>
          <w:color w:val="1F4E79"/>
          <w:sz w:val="36"/>
        </w:rPr>
        <w:t>Documentación metodológica</w:t>
      </w:r>
    </w:p>
    <w:p w14:paraId="07942B00" w14:textId="77777777" w:rsidR="000728EB" w:rsidRDefault="00836C1D">
      <w:pPr>
        <w:jc w:val="center"/>
      </w:pPr>
      <w:r>
        <w:rPr>
          <w:b/>
          <w:color w:val="365F91"/>
          <w:sz w:val="26"/>
        </w:rPr>
        <w:t>Construcción del query maestro de ventas, compras, inventario, clientes, vendedores y lead time</w:t>
      </w:r>
    </w:p>
    <w:p w14:paraId="5A4255C5" w14:textId="77777777" w:rsidR="000728EB" w:rsidRDefault="00836C1D">
      <w:pPr>
        <w:jc w:val="center"/>
      </w:pPr>
      <w:r>
        <w:rPr>
          <w:i/>
          <w:sz w:val="22"/>
        </w:rPr>
        <w:t>Capítulo metodológico para tesis de Maestría en Inteligencia Artificial</w:t>
      </w:r>
    </w:p>
    <w:tbl>
      <w:tblPr>
        <w:tblStyle w:val="Tablaconcuadrcula"/>
        <w:tblW w:w="0" w:type="auto"/>
        <w:jc w:val="center"/>
        <w:tblLook w:val="04A0" w:firstRow="1" w:lastRow="0" w:firstColumn="1" w:lastColumn="0" w:noHBand="0" w:noVBand="1"/>
      </w:tblPr>
      <w:tblGrid>
        <w:gridCol w:w="2588"/>
        <w:gridCol w:w="7564"/>
      </w:tblGrid>
      <w:tr w:rsidR="000728EB" w14:paraId="2D93F0E8" w14:textId="77777777">
        <w:trPr>
          <w:cantSplit/>
          <w:jc w:val="center"/>
        </w:trPr>
        <w:tc>
          <w:tcPr>
            <w:tcW w:w="2736" w:type="dxa"/>
            <w:shd w:val="clear" w:color="auto" w:fill="1F4E79"/>
            <w:vAlign w:val="center"/>
          </w:tcPr>
          <w:p w14:paraId="3DE15E4D" w14:textId="77777777" w:rsidR="000728EB" w:rsidRDefault="00836C1D">
            <w:pPr>
              <w:spacing w:after="0"/>
            </w:pPr>
            <w:r>
              <w:rPr>
                <w:b/>
                <w:color w:val="FFFFFF"/>
                <w:sz w:val="18"/>
              </w:rPr>
              <w:t>Elemento</w:t>
            </w:r>
          </w:p>
        </w:tc>
        <w:tc>
          <w:tcPr>
            <w:tcW w:w="8208" w:type="dxa"/>
            <w:shd w:val="clear" w:color="auto" w:fill="1F4E79"/>
            <w:vAlign w:val="center"/>
          </w:tcPr>
          <w:p w14:paraId="09EB93DB" w14:textId="77777777" w:rsidR="000728EB" w:rsidRDefault="00836C1D">
            <w:pPr>
              <w:spacing w:after="0"/>
            </w:pPr>
            <w:r>
              <w:rPr>
                <w:b/>
                <w:color w:val="FFFFFF"/>
                <w:sz w:val="18"/>
              </w:rPr>
              <w:t>Descripción</w:t>
            </w:r>
          </w:p>
        </w:tc>
      </w:tr>
      <w:tr w:rsidR="000728EB" w14:paraId="18433CF5" w14:textId="77777777">
        <w:trPr>
          <w:cantSplit/>
          <w:jc w:val="center"/>
        </w:trPr>
        <w:tc>
          <w:tcPr>
            <w:tcW w:w="2736" w:type="dxa"/>
            <w:vAlign w:val="center"/>
          </w:tcPr>
          <w:p w14:paraId="1F8DBE8A" w14:textId="77777777" w:rsidR="000728EB" w:rsidRDefault="00836C1D">
            <w:pPr>
              <w:spacing w:after="0"/>
            </w:pPr>
            <w:r>
              <w:rPr>
                <w:sz w:val="18"/>
              </w:rPr>
              <w:t>Proyecto</w:t>
            </w:r>
          </w:p>
        </w:tc>
        <w:tc>
          <w:tcPr>
            <w:tcW w:w="8208" w:type="dxa"/>
            <w:vAlign w:val="center"/>
          </w:tcPr>
          <w:p w14:paraId="1BD367D6" w14:textId="77777777" w:rsidR="000728EB" w:rsidRDefault="00836C1D">
            <w:pPr>
              <w:spacing w:after="0"/>
            </w:pPr>
            <w:r>
              <w:rPr>
                <w:sz w:val="18"/>
              </w:rPr>
              <w:t xml:space="preserve">Modelo de </w:t>
            </w:r>
            <w:r>
              <w:rPr>
                <w:sz w:val="18"/>
              </w:rPr>
              <w:t>parametrización y reabastecimiento de inventario basado en datos históricos de SAP Business One</w:t>
            </w:r>
          </w:p>
        </w:tc>
      </w:tr>
      <w:tr w:rsidR="000728EB" w14:paraId="5BFE2F2A" w14:textId="77777777">
        <w:trPr>
          <w:cantSplit/>
          <w:jc w:val="center"/>
        </w:trPr>
        <w:tc>
          <w:tcPr>
            <w:tcW w:w="2736" w:type="dxa"/>
            <w:vAlign w:val="center"/>
          </w:tcPr>
          <w:p w14:paraId="66865007" w14:textId="77777777" w:rsidR="000728EB" w:rsidRDefault="00836C1D">
            <w:pPr>
              <w:spacing w:after="0"/>
            </w:pPr>
            <w:r>
              <w:rPr>
                <w:sz w:val="18"/>
              </w:rPr>
              <w:t>Fuente transaccional</w:t>
            </w:r>
          </w:p>
        </w:tc>
        <w:tc>
          <w:tcPr>
            <w:tcW w:w="8208" w:type="dxa"/>
            <w:vAlign w:val="center"/>
          </w:tcPr>
          <w:p w14:paraId="49B91241" w14:textId="77777777" w:rsidR="000728EB" w:rsidRDefault="00836C1D">
            <w:pPr>
              <w:spacing w:after="0"/>
            </w:pPr>
            <w:r>
              <w:rPr>
                <w:sz w:val="18"/>
              </w:rPr>
              <w:t>SAP Business One: ventas, notas de crédito, compras, órdenes de compra, entradas de mercancía, inventario y maestros de artículo</w:t>
            </w:r>
          </w:p>
        </w:tc>
      </w:tr>
      <w:tr w:rsidR="000728EB" w14:paraId="0A6FD7FA" w14:textId="77777777">
        <w:trPr>
          <w:cantSplit/>
          <w:jc w:val="center"/>
        </w:trPr>
        <w:tc>
          <w:tcPr>
            <w:tcW w:w="2736" w:type="dxa"/>
            <w:vAlign w:val="center"/>
          </w:tcPr>
          <w:p w14:paraId="41643925" w14:textId="77777777" w:rsidR="000728EB" w:rsidRDefault="00836C1D">
            <w:pPr>
              <w:spacing w:after="0"/>
            </w:pPr>
            <w:r>
              <w:rPr>
                <w:sz w:val="18"/>
              </w:rPr>
              <w:t>Ventana visual del dataframe</w:t>
            </w:r>
          </w:p>
        </w:tc>
        <w:tc>
          <w:tcPr>
            <w:tcW w:w="8208" w:type="dxa"/>
            <w:vAlign w:val="center"/>
          </w:tcPr>
          <w:p w14:paraId="3CF126F2" w14:textId="77777777" w:rsidR="000728EB" w:rsidRDefault="00836C1D">
            <w:pPr>
              <w:spacing w:after="0"/>
            </w:pPr>
            <w:r>
              <w:rPr>
                <w:sz w:val="18"/>
              </w:rPr>
              <w:t>Desde enero de 2024 hasta la fecha de ejecución</w:t>
            </w:r>
          </w:p>
        </w:tc>
      </w:tr>
      <w:tr w:rsidR="000728EB" w14:paraId="6FEBE8E9" w14:textId="77777777">
        <w:trPr>
          <w:cantSplit/>
          <w:jc w:val="center"/>
        </w:trPr>
        <w:tc>
          <w:tcPr>
            <w:tcW w:w="2736" w:type="dxa"/>
            <w:vAlign w:val="center"/>
          </w:tcPr>
          <w:p w14:paraId="7FBD3EEC" w14:textId="77777777" w:rsidR="000728EB" w:rsidRDefault="00836C1D">
            <w:pPr>
              <w:spacing w:after="0"/>
            </w:pPr>
            <w:r>
              <w:rPr>
                <w:sz w:val="18"/>
              </w:rPr>
              <w:t>Ventana analítica de parámetros</w:t>
            </w:r>
          </w:p>
        </w:tc>
        <w:tc>
          <w:tcPr>
            <w:tcW w:w="8208" w:type="dxa"/>
            <w:vAlign w:val="center"/>
          </w:tcPr>
          <w:p w14:paraId="1A23F147" w14:textId="77777777" w:rsidR="000728EB" w:rsidRDefault="00836C1D">
            <w:pPr>
              <w:spacing w:after="0"/>
            </w:pPr>
            <w:r>
              <w:rPr>
                <w:sz w:val="18"/>
              </w:rPr>
              <w:t>Últimos 24 meses hacia atrás desde la fecha de ejecución</w:t>
            </w:r>
          </w:p>
        </w:tc>
      </w:tr>
      <w:tr w:rsidR="000728EB" w14:paraId="7D790584" w14:textId="77777777">
        <w:trPr>
          <w:cantSplit/>
          <w:jc w:val="center"/>
        </w:trPr>
        <w:tc>
          <w:tcPr>
            <w:tcW w:w="2736" w:type="dxa"/>
            <w:vAlign w:val="center"/>
          </w:tcPr>
          <w:p w14:paraId="485334B8" w14:textId="77777777" w:rsidR="000728EB" w:rsidRDefault="00836C1D">
            <w:pPr>
              <w:spacing w:after="0"/>
            </w:pPr>
            <w:r>
              <w:rPr>
                <w:sz w:val="18"/>
              </w:rPr>
              <w:t>Fecha de elaboración</w:t>
            </w:r>
          </w:p>
        </w:tc>
        <w:tc>
          <w:tcPr>
            <w:tcW w:w="8208" w:type="dxa"/>
            <w:vAlign w:val="center"/>
          </w:tcPr>
          <w:p w14:paraId="3B1A5D45" w14:textId="77777777" w:rsidR="000728EB" w:rsidRDefault="00836C1D">
            <w:pPr>
              <w:spacing w:after="0"/>
            </w:pPr>
            <w:r>
              <w:rPr>
                <w:sz w:val="18"/>
              </w:rPr>
              <w:t>19 de junio de 2026</w:t>
            </w:r>
          </w:p>
        </w:tc>
      </w:tr>
    </w:tbl>
    <w:p w14:paraId="26D596E9" w14:textId="77777777" w:rsidR="000728EB" w:rsidRDefault="000728EB"/>
    <w:p w14:paraId="6B0B2928" w14:textId="77777777" w:rsidR="000728EB" w:rsidRDefault="00836C1D">
      <w:pPr>
        <w:pStyle w:val="Ttulo1"/>
      </w:pPr>
      <w:r>
        <w:t>1. Introducción</w:t>
      </w:r>
    </w:p>
    <w:p w14:paraId="2636CC6F" w14:textId="77777777" w:rsidR="000728EB" w:rsidRDefault="00836C1D">
      <w:r>
        <w:t xml:space="preserve">Durante esta etapa del </w:t>
      </w:r>
      <w:r>
        <w:t>proyecto se desarrolló y refinó una consulta SQL dinámica orientada a construir un dataframe maestro para el análisis de inventario, ventas, compras y abastecimiento de artículos. El objetivo principal fue integrar información transaccional de SAP Business One en una estructura tabular única, capaz de alimentar etapas posteriores del trabajo de maestría, tales como clasificación de abastecimiento, análisis de recurrencia, cálculo de parámetros de reabastecimiento y evaluación de aplicabilidad de forecast.</w:t>
      </w:r>
    </w:p>
    <w:p w14:paraId="1F4D7D31" w14:textId="77777777" w:rsidR="000728EB" w:rsidRDefault="00836C1D">
      <w:r>
        <w:t>La consulta fue diseñada para combinar dos necesidades analíticas diferentes. Por un lado, se requiere una vista histórica mensual visible desde enero de 2024, con columnas dinámicas por mes y totalizadores anuales. Por otro lado, los parámetros usados para la toma de decisiones deben calcularse únicamente sobre los últimos 24 meses, con el fin de representar un comportamiento reciente y reducir el sesgo provocado por períodos antiguos o poco representativos.</w:t>
      </w:r>
    </w:p>
    <w:p w14:paraId="7AC8837C" w14:textId="77777777" w:rsidR="000728EB" w:rsidRDefault="00836C1D">
      <w:pPr>
        <w:pStyle w:val="Ttulo1"/>
      </w:pPr>
      <w:r>
        <w:t>2. Objetivo del procedimiento</w:t>
      </w:r>
    </w:p>
    <w:p w14:paraId="79691F35" w14:textId="77777777" w:rsidR="000728EB" w:rsidRDefault="00836C1D">
      <w:r>
        <w:t>El objetivo del procedimiento es generar un dataset consolidado por artículo que integre variables descriptivas, inventario actual, precios de venta, ventas netas mensuales, métricas de frecuencia, comportamiento de compras, clientes principales, vendedores principales y lead time de abastecimiento.</w:t>
      </w:r>
    </w:p>
    <w:p w14:paraId="50DF3B80" w14:textId="77777777" w:rsidR="000728EB" w:rsidRDefault="00836C1D">
      <w:r>
        <w:t>El resultado busca servir como base metodológica para:</w:t>
      </w:r>
    </w:p>
    <w:p w14:paraId="1EFA7219" w14:textId="77777777" w:rsidR="000728EB" w:rsidRDefault="00836C1D">
      <w:pPr>
        <w:pStyle w:val="Listaconvietas"/>
      </w:pPr>
      <w:r>
        <w:t>evaluar el comportamiento histórico y reciente de la demanda;</w:t>
      </w:r>
    </w:p>
    <w:p w14:paraId="08F7DF55" w14:textId="77777777" w:rsidR="000728EB" w:rsidRDefault="00836C1D">
      <w:pPr>
        <w:pStyle w:val="Listaconvietas"/>
      </w:pPr>
      <w:r>
        <w:t>diferenciar artículos de venta recurrente frente a artículos de baja rotación o comportamiento puntual;</w:t>
      </w:r>
    </w:p>
    <w:p w14:paraId="283F86D6" w14:textId="77777777" w:rsidR="000728EB" w:rsidRDefault="00836C1D">
      <w:pPr>
        <w:pStyle w:val="Listaconvietas"/>
      </w:pPr>
      <w:r>
        <w:t>calcular parámetros de compra y abastecimiento con base en evidencia transaccional;</w:t>
      </w:r>
    </w:p>
    <w:p w14:paraId="28249A1C" w14:textId="77777777" w:rsidR="000728EB" w:rsidRDefault="00836C1D">
      <w:pPr>
        <w:pStyle w:val="Listaconvietas"/>
      </w:pPr>
      <w:r>
        <w:t>identificar clientes y vendedores con mayor participación por artículo;</w:t>
      </w:r>
    </w:p>
    <w:p w14:paraId="1F38D9E6" w14:textId="77777777" w:rsidR="000728EB" w:rsidRDefault="00836C1D">
      <w:pPr>
        <w:pStyle w:val="Listaconvietas"/>
      </w:pPr>
      <w:r>
        <w:t>estimar el lead time promedio real entre la creación de una orden de compra y la entrada de mercancía;</w:t>
      </w:r>
    </w:p>
    <w:p w14:paraId="630C0918" w14:textId="77777777" w:rsidR="000728EB" w:rsidRDefault="00836C1D">
      <w:pPr>
        <w:pStyle w:val="Listaconvietas"/>
      </w:pPr>
      <w:r>
        <w:t>preparar variables para modelos de forecast y reglas de reabastecimiento.</w:t>
      </w:r>
    </w:p>
    <w:p w14:paraId="5FC5D4EE" w14:textId="77777777" w:rsidR="000728EB" w:rsidRDefault="00836C1D">
      <w:r>
        <w:br w:type="page"/>
      </w:r>
    </w:p>
    <w:p w14:paraId="438687ED" w14:textId="77777777" w:rsidR="000728EB" w:rsidRDefault="00836C1D">
      <w:pPr>
        <w:pStyle w:val="Ttulo1"/>
      </w:pPr>
      <w:r>
        <w:lastRenderedPageBreak/>
        <w:t>3. Definición de ventanas de análisis</w:t>
      </w:r>
    </w:p>
    <w:p w14:paraId="1B19644B" w14:textId="77777777" w:rsidR="000728EB" w:rsidRDefault="00836C1D">
      <w:r>
        <w:t>Una de las decisiones metodológicas más importantes fue separar explícitamente la ventana de visualización de la ventana de cálculo. Esta separación evita que las métricas de frecuencia se calculen accidentalmente contra todo el período visible, cuando la regla del modelo exige usar exclusivamente los últimos 24 meses.</w:t>
      </w:r>
    </w:p>
    <w:tbl>
      <w:tblPr>
        <w:tblStyle w:val="Tablaconcuadrcula"/>
        <w:tblW w:w="0" w:type="auto"/>
        <w:jc w:val="center"/>
        <w:tblLook w:val="04A0" w:firstRow="1" w:lastRow="0" w:firstColumn="1" w:lastColumn="0" w:noHBand="0" w:noVBand="1"/>
      </w:tblPr>
      <w:tblGrid>
        <w:gridCol w:w="1950"/>
        <w:gridCol w:w="2435"/>
        <w:gridCol w:w="5767"/>
      </w:tblGrid>
      <w:tr w:rsidR="000728EB" w14:paraId="745761C1" w14:textId="77777777">
        <w:trPr>
          <w:cantSplit/>
          <w:jc w:val="center"/>
        </w:trPr>
        <w:tc>
          <w:tcPr>
            <w:tcW w:w="2088" w:type="dxa"/>
            <w:shd w:val="clear" w:color="auto" w:fill="1F4E79"/>
            <w:vAlign w:val="center"/>
          </w:tcPr>
          <w:p w14:paraId="382958E1" w14:textId="77777777" w:rsidR="000728EB" w:rsidRDefault="00836C1D">
            <w:pPr>
              <w:spacing w:after="0"/>
            </w:pPr>
            <w:r>
              <w:rPr>
                <w:b/>
                <w:color w:val="FFFFFF"/>
                <w:sz w:val="18"/>
              </w:rPr>
              <w:t>Ventana</w:t>
            </w:r>
          </w:p>
        </w:tc>
        <w:tc>
          <w:tcPr>
            <w:tcW w:w="2520" w:type="dxa"/>
            <w:shd w:val="clear" w:color="auto" w:fill="1F4E79"/>
            <w:vAlign w:val="center"/>
          </w:tcPr>
          <w:p w14:paraId="25437C18" w14:textId="77777777" w:rsidR="000728EB" w:rsidRDefault="00836C1D">
            <w:pPr>
              <w:spacing w:after="0"/>
            </w:pPr>
            <w:r>
              <w:rPr>
                <w:b/>
                <w:color w:val="FFFFFF"/>
                <w:sz w:val="18"/>
              </w:rPr>
              <w:t>Variable Python</w:t>
            </w:r>
          </w:p>
        </w:tc>
        <w:tc>
          <w:tcPr>
            <w:tcW w:w="6336" w:type="dxa"/>
            <w:shd w:val="clear" w:color="auto" w:fill="1F4E79"/>
            <w:vAlign w:val="center"/>
          </w:tcPr>
          <w:p w14:paraId="28FC5BB8" w14:textId="77777777" w:rsidR="000728EB" w:rsidRDefault="00836C1D">
            <w:pPr>
              <w:spacing w:after="0"/>
            </w:pPr>
            <w:r>
              <w:rPr>
                <w:b/>
                <w:color w:val="FFFFFF"/>
                <w:sz w:val="18"/>
              </w:rPr>
              <w:t>Uso dentro del query</w:t>
            </w:r>
          </w:p>
        </w:tc>
      </w:tr>
      <w:tr w:rsidR="000728EB" w14:paraId="0E809C0D" w14:textId="77777777">
        <w:trPr>
          <w:cantSplit/>
          <w:jc w:val="center"/>
        </w:trPr>
        <w:tc>
          <w:tcPr>
            <w:tcW w:w="2088" w:type="dxa"/>
            <w:vAlign w:val="center"/>
          </w:tcPr>
          <w:p w14:paraId="574E26FE" w14:textId="77777777" w:rsidR="000728EB" w:rsidRDefault="00836C1D">
            <w:pPr>
              <w:spacing w:after="0"/>
            </w:pPr>
            <w:r>
              <w:rPr>
                <w:sz w:val="18"/>
              </w:rPr>
              <w:t>Visual</w:t>
            </w:r>
          </w:p>
        </w:tc>
        <w:tc>
          <w:tcPr>
            <w:tcW w:w="2520" w:type="dxa"/>
            <w:vAlign w:val="center"/>
          </w:tcPr>
          <w:p w14:paraId="6C3ABE1B" w14:textId="77777777" w:rsidR="000728EB" w:rsidRDefault="00836C1D">
            <w:pPr>
              <w:spacing w:after="0"/>
            </w:pPr>
            <w:r>
              <w:rPr>
                <w:sz w:val="18"/>
              </w:rPr>
              <w:t>fecha_inicio_visual</w:t>
            </w:r>
          </w:p>
        </w:tc>
        <w:tc>
          <w:tcPr>
            <w:tcW w:w="6336" w:type="dxa"/>
            <w:vAlign w:val="center"/>
          </w:tcPr>
          <w:p w14:paraId="249BF7DD" w14:textId="77777777" w:rsidR="000728EB" w:rsidRDefault="00836C1D">
            <w:pPr>
              <w:spacing w:after="0"/>
            </w:pPr>
            <w:r>
              <w:rPr>
                <w:sz w:val="18"/>
              </w:rPr>
              <w:t>Genera las columnas mensuales visibles del dataframe desde enero de 2024.</w:t>
            </w:r>
          </w:p>
        </w:tc>
      </w:tr>
      <w:tr w:rsidR="000728EB" w14:paraId="39F82E0B" w14:textId="77777777">
        <w:trPr>
          <w:cantSplit/>
          <w:jc w:val="center"/>
        </w:trPr>
        <w:tc>
          <w:tcPr>
            <w:tcW w:w="2088" w:type="dxa"/>
            <w:vAlign w:val="center"/>
          </w:tcPr>
          <w:p w14:paraId="76EF4C20" w14:textId="77777777" w:rsidR="000728EB" w:rsidRDefault="00836C1D">
            <w:pPr>
              <w:spacing w:after="0"/>
            </w:pPr>
            <w:r>
              <w:rPr>
                <w:sz w:val="18"/>
              </w:rPr>
              <w:t>Analítica 24m</w:t>
            </w:r>
          </w:p>
        </w:tc>
        <w:tc>
          <w:tcPr>
            <w:tcW w:w="2520" w:type="dxa"/>
            <w:vAlign w:val="center"/>
          </w:tcPr>
          <w:p w14:paraId="55486AAC" w14:textId="77777777" w:rsidR="000728EB" w:rsidRDefault="00836C1D">
            <w:pPr>
              <w:spacing w:after="0"/>
            </w:pPr>
            <w:r>
              <w:rPr>
                <w:sz w:val="18"/>
              </w:rPr>
              <w:t>fecha_inicio_24m</w:t>
            </w:r>
          </w:p>
        </w:tc>
        <w:tc>
          <w:tcPr>
            <w:tcW w:w="6336" w:type="dxa"/>
            <w:vAlign w:val="center"/>
          </w:tcPr>
          <w:p w14:paraId="56313CD9" w14:textId="77777777" w:rsidR="000728EB" w:rsidRDefault="00836C1D">
            <w:pPr>
              <w:spacing w:after="0"/>
            </w:pPr>
            <w:r>
              <w:rPr>
                <w:sz w:val="18"/>
              </w:rPr>
              <w:t>Filtra métricas de ventas, compras, clientes, vendedores y lead time sobre últimos 24 meses.</w:t>
            </w:r>
          </w:p>
        </w:tc>
      </w:tr>
      <w:tr w:rsidR="000728EB" w14:paraId="42E0403A" w14:textId="77777777">
        <w:trPr>
          <w:cantSplit/>
          <w:jc w:val="center"/>
        </w:trPr>
        <w:tc>
          <w:tcPr>
            <w:tcW w:w="2088" w:type="dxa"/>
            <w:vAlign w:val="center"/>
          </w:tcPr>
          <w:p w14:paraId="010B3457" w14:textId="77777777" w:rsidR="000728EB" w:rsidRDefault="00836C1D">
            <w:pPr>
              <w:spacing w:after="0"/>
            </w:pPr>
            <w:r>
              <w:rPr>
                <w:sz w:val="18"/>
              </w:rPr>
              <w:t>Período 24m</w:t>
            </w:r>
          </w:p>
        </w:tc>
        <w:tc>
          <w:tcPr>
            <w:tcW w:w="2520" w:type="dxa"/>
            <w:vAlign w:val="center"/>
          </w:tcPr>
          <w:p w14:paraId="25E3A701" w14:textId="77777777" w:rsidR="000728EB" w:rsidRDefault="00836C1D">
            <w:pPr>
              <w:spacing w:after="0"/>
            </w:pPr>
            <w:r>
              <w:rPr>
                <w:sz w:val="18"/>
              </w:rPr>
              <w:t>periodo_meses_24m</w:t>
            </w:r>
          </w:p>
        </w:tc>
        <w:tc>
          <w:tcPr>
            <w:tcW w:w="6336" w:type="dxa"/>
            <w:vAlign w:val="center"/>
          </w:tcPr>
          <w:p w14:paraId="298A8A16" w14:textId="77777777" w:rsidR="000728EB" w:rsidRDefault="00836C1D">
            <w:pPr>
              <w:spacing w:after="0"/>
            </w:pPr>
            <w:r>
              <w:rPr>
                <w:sz w:val="18"/>
              </w:rPr>
              <w:t>Denominador fijo para calcular frecuencia mensual sobre 24 meses.</w:t>
            </w:r>
          </w:p>
        </w:tc>
      </w:tr>
      <w:tr w:rsidR="000728EB" w14:paraId="69D377A8" w14:textId="77777777">
        <w:trPr>
          <w:cantSplit/>
          <w:jc w:val="center"/>
        </w:trPr>
        <w:tc>
          <w:tcPr>
            <w:tcW w:w="2088" w:type="dxa"/>
            <w:vAlign w:val="center"/>
          </w:tcPr>
          <w:p w14:paraId="300CC52E" w14:textId="77777777" w:rsidR="000728EB" w:rsidRDefault="00836C1D">
            <w:pPr>
              <w:spacing w:after="0"/>
            </w:pPr>
            <w:r>
              <w:rPr>
                <w:sz w:val="18"/>
              </w:rPr>
              <w:t>Fecha final</w:t>
            </w:r>
          </w:p>
        </w:tc>
        <w:tc>
          <w:tcPr>
            <w:tcW w:w="2520" w:type="dxa"/>
            <w:vAlign w:val="center"/>
          </w:tcPr>
          <w:p w14:paraId="74F5383F" w14:textId="77777777" w:rsidR="000728EB" w:rsidRDefault="00836C1D">
            <w:pPr>
              <w:spacing w:after="0"/>
            </w:pPr>
            <w:r>
              <w:rPr>
                <w:sz w:val="18"/>
              </w:rPr>
              <w:t>fecha_fin</w:t>
            </w:r>
          </w:p>
        </w:tc>
        <w:tc>
          <w:tcPr>
            <w:tcW w:w="6336" w:type="dxa"/>
            <w:vAlign w:val="center"/>
          </w:tcPr>
          <w:p w14:paraId="7E7BAE1D" w14:textId="77777777" w:rsidR="000728EB" w:rsidRDefault="00836C1D">
            <w:pPr>
              <w:spacing w:after="0"/>
            </w:pPr>
            <w:r>
              <w:rPr>
                <w:sz w:val="18"/>
              </w:rPr>
              <w:t>Fecha de ejecución del query; se utiliza como límite superior dinámico.</w:t>
            </w:r>
          </w:p>
        </w:tc>
      </w:tr>
    </w:tbl>
    <w:p w14:paraId="70A2623D" w14:textId="77777777" w:rsidR="000728EB" w:rsidRDefault="000728EB"/>
    <w:p w14:paraId="209FA1D1" w14:textId="77777777" w:rsidR="000728EB" w:rsidRDefault="00836C1D">
      <w:pPr>
        <w:pStyle w:val="Formula"/>
        <w:jc w:val="center"/>
      </w:pPr>
      <w:r>
        <w:rPr>
          <w:b/>
        </w:rPr>
        <w:t>Frecuencia mensual 24m = Conteo neto de eventos en últimos 24 meses / 24</w:t>
      </w:r>
    </w:p>
    <w:p w14:paraId="270F98E2" w14:textId="77777777" w:rsidR="000728EB" w:rsidRDefault="00836C1D">
      <w:r>
        <w:t xml:space="preserve">Con esta </w:t>
      </w:r>
      <w:r>
        <w:t>estructura, el dataframe puede mostrar ventas desde 2024 sin afectar la lógica de cálculo de parámetros. Por ejemplo, si un artículo registra 37 compras netas en los últimos 24 meses, su frecuencia mensual se calcula como 37 / 24 = 1.5417 compras por mes, y no contra la cantidad total de meses visibles en el dataframe.</w:t>
      </w:r>
    </w:p>
    <w:p w14:paraId="1C68D44B" w14:textId="77777777" w:rsidR="000728EB" w:rsidRDefault="00836C1D">
      <w:pPr>
        <w:pStyle w:val="Ttulo1"/>
      </w:pPr>
      <w:r>
        <w:t>4. Estructura general del query maestro</w:t>
      </w:r>
    </w:p>
    <w:p w14:paraId="7CA511F1" w14:textId="77777777" w:rsidR="000728EB" w:rsidRDefault="00836C1D">
      <w:r>
        <w:t>La consulta fue construida mediante Common Table Expressions (CTEs). Cada CTE cumple una función específica y mantiene separada la lógica de cálculo antes de integrarse en el SELECT final. Este enfoque mejora la legibilidad, facilita la validación de resultados y permite ampliar la consulta sin modificar toda la arquitectura.</w:t>
      </w:r>
    </w:p>
    <w:tbl>
      <w:tblPr>
        <w:tblStyle w:val="Tablaconcuadrcula"/>
        <w:tblW w:w="0" w:type="auto"/>
        <w:jc w:val="center"/>
        <w:tblLook w:val="04A0" w:firstRow="1" w:lastRow="0" w:firstColumn="1" w:lastColumn="0" w:noHBand="0" w:noVBand="1"/>
      </w:tblPr>
      <w:tblGrid>
        <w:gridCol w:w="3033"/>
        <w:gridCol w:w="7119"/>
      </w:tblGrid>
      <w:tr w:rsidR="000728EB" w14:paraId="0B53BA4C" w14:textId="77777777">
        <w:trPr>
          <w:cantSplit/>
          <w:jc w:val="center"/>
        </w:trPr>
        <w:tc>
          <w:tcPr>
            <w:tcW w:w="3096" w:type="dxa"/>
            <w:shd w:val="clear" w:color="auto" w:fill="1F4E79"/>
            <w:vAlign w:val="center"/>
          </w:tcPr>
          <w:p w14:paraId="63AE3C71" w14:textId="77777777" w:rsidR="000728EB" w:rsidRDefault="00836C1D">
            <w:pPr>
              <w:spacing w:after="0"/>
            </w:pPr>
            <w:r>
              <w:rPr>
                <w:b/>
                <w:color w:val="FFFFFF"/>
                <w:sz w:val="18"/>
              </w:rPr>
              <w:t>CTE / Bloque</w:t>
            </w:r>
          </w:p>
        </w:tc>
        <w:tc>
          <w:tcPr>
            <w:tcW w:w="7560" w:type="dxa"/>
            <w:shd w:val="clear" w:color="auto" w:fill="1F4E79"/>
            <w:vAlign w:val="center"/>
          </w:tcPr>
          <w:p w14:paraId="2E51987D" w14:textId="77777777" w:rsidR="000728EB" w:rsidRDefault="00836C1D">
            <w:pPr>
              <w:spacing w:after="0"/>
            </w:pPr>
            <w:r>
              <w:rPr>
                <w:b/>
                <w:color w:val="FFFFFF"/>
                <w:sz w:val="18"/>
              </w:rPr>
              <w:t>Función metodológica</w:t>
            </w:r>
          </w:p>
        </w:tc>
      </w:tr>
      <w:tr w:rsidR="000728EB" w14:paraId="707EFA8C" w14:textId="77777777">
        <w:trPr>
          <w:cantSplit/>
          <w:jc w:val="center"/>
        </w:trPr>
        <w:tc>
          <w:tcPr>
            <w:tcW w:w="3096" w:type="dxa"/>
            <w:vAlign w:val="center"/>
          </w:tcPr>
          <w:p w14:paraId="261EA2A5" w14:textId="77777777" w:rsidR="000728EB" w:rsidRDefault="00836C1D">
            <w:pPr>
              <w:spacing w:after="0"/>
            </w:pPr>
            <w:r>
              <w:rPr>
                <w:sz w:val="18"/>
              </w:rPr>
              <w:t>VentasBase</w:t>
            </w:r>
          </w:p>
        </w:tc>
        <w:tc>
          <w:tcPr>
            <w:tcW w:w="7560" w:type="dxa"/>
            <w:vAlign w:val="center"/>
          </w:tcPr>
          <w:p w14:paraId="00524DCA" w14:textId="77777777" w:rsidR="000728EB" w:rsidRDefault="00836C1D">
            <w:pPr>
              <w:spacing w:after="0"/>
            </w:pPr>
            <w:r>
              <w:rPr>
                <w:sz w:val="18"/>
              </w:rPr>
              <w:t>Consolida facturas y notas de crédito de venta para obtener venta neta.</w:t>
            </w:r>
          </w:p>
        </w:tc>
      </w:tr>
      <w:tr w:rsidR="000728EB" w14:paraId="5EAC1396" w14:textId="77777777">
        <w:trPr>
          <w:cantSplit/>
          <w:jc w:val="center"/>
        </w:trPr>
        <w:tc>
          <w:tcPr>
            <w:tcW w:w="3096" w:type="dxa"/>
            <w:vAlign w:val="center"/>
          </w:tcPr>
          <w:p w14:paraId="525EC798" w14:textId="77777777" w:rsidR="000728EB" w:rsidRDefault="00836C1D">
            <w:pPr>
              <w:spacing w:after="0"/>
            </w:pPr>
            <w:r>
              <w:rPr>
                <w:sz w:val="18"/>
              </w:rPr>
              <w:t>ComprasBase</w:t>
            </w:r>
          </w:p>
        </w:tc>
        <w:tc>
          <w:tcPr>
            <w:tcW w:w="7560" w:type="dxa"/>
            <w:vAlign w:val="center"/>
          </w:tcPr>
          <w:p w14:paraId="191BE850" w14:textId="77777777" w:rsidR="000728EB" w:rsidRDefault="00836C1D">
            <w:pPr>
              <w:spacing w:after="0"/>
            </w:pPr>
            <w:r>
              <w:rPr>
                <w:sz w:val="18"/>
              </w:rPr>
              <w:t>Consolida facturas y notas de crédito de proveedor para medir compras netas.</w:t>
            </w:r>
          </w:p>
        </w:tc>
      </w:tr>
      <w:tr w:rsidR="000728EB" w14:paraId="020FFF80" w14:textId="77777777">
        <w:trPr>
          <w:cantSplit/>
          <w:jc w:val="center"/>
        </w:trPr>
        <w:tc>
          <w:tcPr>
            <w:tcW w:w="3096" w:type="dxa"/>
            <w:vAlign w:val="center"/>
          </w:tcPr>
          <w:p w14:paraId="0A78491F" w14:textId="77777777" w:rsidR="000728EB" w:rsidRDefault="00836C1D">
            <w:pPr>
              <w:spacing w:after="0"/>
            </w:pPr>
            <w:r>
              <w:rPr>
                <w:sz w:val="18"/>
              </w:rPr>
              <w:t>OrdenesCompraArticulo</w:t>
            </w:r>
          </w:p>
        </w:tc>
        <w:tc>
          <w:tcPr>
            <w:tcW w:w="7560" w:type="dxa"/>
            <w:vAlign w:val="center"/>
          </w:tcPr>
          <w:p w14:paraId="4399E5C1" w14:textId="77777777" w:rsidR="000728EB" w:rsidRDefault="00836C1D">
            <w:pPr>
              <w:spacing w:after="0"/>
            </w:pPr>
            <w:r>
              <w:rPr>
                <w:sz w:val="18"/>
              </w:rPr>
              <w:t>Calcula órdenes de compra, cantidad total pedida y lote promedio 24m.</w:t>
            </w:r>
          </w:p>
        </w:tc>
      </w:tr>
      <w:tr w:rsidR="000728EB" w14:paraId="4C837C7C" w14:textId="77777777">
        <w:trPr>
          <w:cantSplit/>
          <w:jc w:val="center"/>
        </w:trPr>
        <w:tc>
          <w:tcPr>
            <w:tcW w:w="3096" w:type="dxa"/>
            <w:vAlign w:val="center"/>
          </w:tcPr>
          <w:p w14:paraId="3AC97192" w14:textId="77777777" w:rsidR="000728EB" w:rsidRDefault="00836C1D">
            <w:pPr>
              <w:spacing w:after="0"/>
            </w:pPr>
            <w:r>
              <w:rPr>
                <w:sz w:val="18"/>
              </w:rPr>
              <w:t>LeadTimeArticulo</w:t>
            </w:r>
          </w:p>
        </w:tc>
        <w:tc>
          <w:tcPr>
            <w:tcW w:w="7560" w:type="dxa"/>
            <w:vAlign w:val="center"/>
          </w:tcPr>
          <w:p w14:paraId="5D16BDFD" w14:textId="77777777" w:rsidR="000728EB" w:rsidRDefault="00836C1D">
            <w:pPr>
              <w:spacing w:after="0"/>
            </w:pPr>
            <w:r>
              <w:rPr>
                <w:sz w:val="18"/>
              </w:rPr>
              <w:t xml:space="preserve">Calcula días </w:t>
            </w:r>
            <w:r>
              <w:rPr>
                <w:sz w:val="18"/>
              </w:rPr>
              <w:t>entre creación de OC y entrada de mercancía.</w:t>
            </w:r>
          </w:p>
        </w:tc>
      </w:tr>
      <w:tr w:rsidR="000728EB" w14:paraId="588E2601" w14:textId="77777777">
        <w:trPr>
          <w:cantSplit/>
          <w:jc w:val="center"/>
        </w:trPr>
        <w:tc>
          <w:tcPr>
            <w:tcW w:w="3096" w:type="dxa"/>
            <w:vAlign w:val="center"/>
          </w:tcPr>
          <w:p w14:paraId="6B4B7843" w14:textId="77777777" w:rsidR="000728EB" w:rsidRDefault="00836C1D">
            <w:pPr>
              <w:spacing w:after="0"/>
            </w:pPr>
            <w:r>
              <w:rPr>
                <w:sz w:val="18"/>
              </w:rPr>
              <w:t>VentasPivot</w:t>
            </w:r>
          </w:p>
        </w:tc>
        <w:tc>
          <w:tcPr>
            <w:tcW w:w="7560" w:type="dxa"/>
            <w:vAlign w:val="center"/>
          </w:tcPr>
          <w:p w14:paraId="49518CAA" w14:textId="77777777" w:rsidR="000728EB" w:rsidRDefault="00836C1D">
            <w:pPr>
              <w:spacing w:after="0"/>
            </w:pPr>
            <w:r>
              <w:rPr>
                <w:sz w:val="18"/>
              </w:rPr>
              <w:t>Convierte ventas mensuales en columnas y totalizadores anuales.</w:t>
            </w:r>
          </w:p>
        </w:tc>
      </w:tr>
      <w:tr w:rsidR="000728EB" w14:paraId="671697A2" w14:textId="77777777">
        <w:trPr>
          <w:cantSplit/>
          <w:jc w:val="center"/>
        </w:trPr>
        <w:tc>
          <w:tcPr>
            <w:tcW w:w="3096" w:type="dxa"/>
            <w:vAlign w:val="center"/>
          </w:tcPr>
          <w:p w14:paraId="6054E2CE" w14:textId="77777777" w:rsidR="000728EB" w:rsidRDefault="00836C1D">
            <w:pPr>
              <w:spacing w:after="0"/>
            </w:pPr>
            <w:r>
              <w:rPr>
                <w:sz w:val="18"/>
              </w:rPr>
              <w:t>MetricasVentasArticulo</w:t>
            </w:r>
          </w:p>
        </w:tc>
        <w:tc>
          <w:tcPr>
            <w:tcW w:w="7560" w:type="dxa"/>
            <w:vAlign w:val="center"/>
          </w:tcPr>
          <w:p w14:paraId="338DEF00" w14:textId="77777777" w:rsidR="000728EB" w:rsidRDefault="00836C1D">
            <w:pPr>
              <w:spacing w:after="0"/>
            </w:pPr>
            <w:r>
              <w:rPr>
                <w:sz w:val="18"/>
              </w:rPr>
              <w:t>Calcula ventas netas 24m, venta anualizada, clientes y frecuencia.</w:t>
            </w:r>
          </w:p>
        </w:tc>
      </w:tr>
      <w:tr w:rsidR="000728EB" w14:paraId="747EEA6A" w14:textId="77777777">
        <w:trPr>
          <w:cantSplit/>
          <w:jc w:val="center"/>
        </w:trPr>
        <w:tc>
          <w:tcPr>
            <w:tcW w:w="3096" w:type="dxa"/>
            <w:vAlign w:val="center"/>
          </w:tcPr>
          <w:p w14:paraId="68C40A60" w14:textId="77777777" w:rsidR="000728EB" w:rsidRDefault="00836C1D">
            <w:pPr>
              <w:spacing w:after="0"/>
            </w:pPr>
            <w:r>
              <w:rPr>
                <w:sz w:val="18"/>
              </w:rPr>
              <w:t>MetricasComprasArticulo</w:t>
            </w:r>
          </w:p>
        </w:tc>
        <w:tc>
          <w:tcPr>
            <w:tcW w:w="7560" w:type="dxa"/>
            <w:vAlign w:val="center"/>
          </w:tcPr>
          <w:p w14:paraId="43CEEDA0" w14:textId="77777777" w:rsidR="000728EB" w:rsidRDefault="00836C1D">
            <w:pPr>
              <w:spacing w:after="0"/>
            </w:pPr>
            <w:r>
              <w:rPr>
                <w:sz w:val="18"/>
              </w:rPr>
              <w:t>Calcula compras netas, proveedores, frecuencia y meses entre compras.</w:t>
            </w:r>
          </w:p>
        </w:tc>
      </w:tr>
      <w:tr w:rsidR="000728EB" w14:paraId="393B2D88" w14:textId="77777777">
        <w:trPr>
          <w:cantSplit/>
          <w:jc w:val="center"/>
        </w:trPr>
        <w:tc>
          <w:tcPr>
            <w:tcW w:w="3096" w:type="dxa"/>
            <w:vAlign w:val="center"/>
          </w:tcPr>
          <w:p w14:paraId="43F3D5CD" w14:textId="77777777" w:rsidR="000728EB" w:rsidRDefault="00836C1D">
            <w:pPr>
              <w:spacing w:after="0"/>
            </w:pPr>
            <w:r>
              <w:rPr>
                <w:sz w:val="18"/>
              </w:rPr>
              <w:t>ClientesArticuloRanking / Pivot</w:t>
            </w:r>
          </w:p>
        </w:tc>
        <w:tc>
          <w:tcPr>
            <w:tcW w:w="7560" w:type="dxa"/>
            <w:vAlign w:val="center"/>
          </w:tcPr>
          <w:p w14:paraId="7C5DE586" w14:textId="77777777" w:rsidR="000728EB" w:rsidRDefault="00836C1D">
            <w:pPr>
              <w:spacing w:after="0"/>
            </w:pPr>
            <w:r>
              <w:rPr>
                <w:sz w:val="18"/>
              </w:rPr>
              <w:t>Identifica clientes principales 24m y los transforma en columnas.</w:t>
            </w:r>
          </w:p>
        </w:tc>
      </w:tr>
      <w:tr w:rsidR="000728EB" w14:paraId="20DF2AE6" w14:textId="77777777">
        <w:trPr>
          <w:cantSplit/>
          <w:jc w:val="center"/>
        </w:trPr>
        <w:tc>
          <w:tcPr>
            <w:tcW w:w="3096" w:type="dxa"/>
            <w:vAlign w:val="center"/>
          </w:tcPr>
          <w:p w14:paraId="2E4E8AF5" w14:textId="77777777" w:rsidR="000728EB" w:rsidRDefault="00836C1D">
            <w:pPr>
              <w:spacing w:after="0"/>
            </w:pPr>
            <w:r>
              <w:rPr>
                <w:sz w:val="18"/>
              </w:rPr>
              <w:t>VendedoresArticuloRanking / Pivot</w:t>
            </w:r>
          </w:p>
        </w:tc>
        <w:tc>
          <w:tcPr>
            <w:tcW w:w="7560" w:type="dxa"/>
            <w:vAlign w:val="center"/>
          </w:tcPr>
          <w:p w14:paraId="16359699" w14:textId="77777777" w:rsidR="000728EB" w:rsidRDefault="00836C1D">
            <w:pPr>
              <w:spacing w:after="0"/>
            </w:pPr>
            <w:r>
              <w:rPr>
                <w:sz w:val="18"/>
              </w:rPr>
              <w:t xml:space="preserve">Identifica los dos vendedores con mayor participación por </w:t>
            </w:r>
            <w:r>
              <w:rPr>
                <w:sz w:val="18"/>
              </w:rPr>
              <w:t>artículo.</w:t>
            </w:r>
          </w:p>
        </w:tc>
      </w:tr>
      <w:tr w:rsidR="000728EB" w14:paraId="21430EEF" w14:textId="77777777">
        <w:trPr>
          <w:cantSplit/>
          <w:jc w:val="center"/>
        </w:trPr>
        <w:tc>
          <w:tcPr>
            <w:tcW w:w="3096" w:type="dxa"/>
            <w:vAlign w:val="center"/>
          </w:tcPr>
          <w:p w14:paraId="2C7D7FB0" w14:textId="77777777" w:rsidR="000728EB" w:rsidRDefault="00836C1D">
            <w:pPr>
              <w:spacing w:after="0"/>
            </w:pPr>
            <w:r>
              <w:rPr>
                <w:sz w:val="18"/>
              </w:rPr>
              <w:t>PreciosPivot</w:t>
            </w:r>
          </w:p>
        </w:tc>
        <w:tc>
          <w:tcPr>
            <w:tcW w:w="7560" w:type="dxa"/>
            <w:vAlign w:val="center"/>
          </w:tcPr>
          <w:p w14:paraId="65985D60" w14:textId="77777777" w:rsidR="000728EB" w:rsidRDefault="00836C1D">
            <w:pPr>
              <w:spacing w:after="0"/>
            </w:pPr>
            <w:r>
              <w:rPr>
                <w:sz w:val="18"/>
              </w:rPr>
              <w:t>Convierte listas de precio SAP en columnas.</w:t>
            </w:r>
          </w:p>
        </w:tc>
      </w:tr>
      <w:tr w:rsidR="000728EB" w14:paraId="3872D91E" w14:textId="77777777">
        <w:trPr>
          <w:cantSplit/>
          <w:jc w:val="center"/>
        </w:trPr>
        <w:tc>
          <w:tcPr>
            <w:tcW w:w="3096" w:type="dxa"/>
            <w:vAlign w:val="center"/>
          </w:tcPr>
          <w:p w14:paraId="24A09F3F" w14:textId="77777777" w:rsidR="000728EB" w:rsidRDefault="00836C1D">
            <w:pPr>
              <w:spacing w:after="0"/>
            </w:pPr>
            <w:r>
              <w:rPr>
                <w:sz w:val="18"/>
              </w:rPr>
              <w:t>InventarioFiltrado</w:t>
            </w:r>
          </w:p>
        </w:tc>
        <w:tc>
          <w:tcPr>
            <w:tcW w:w="7560" w:type="dxa"/>
            <w:vAlign w:val="center"/>
          </w:tcPr>
          <w:p w14:paraId="410A051C" w14:textId="77777777" w:rsidR="000728EB" w:rsidRDefault="00836C1D">
            <w:pPr>
              <w:spacing w:after="0"/>
            </w:pPr>
            <w:r>
              <w:rPr>
                <w:sz w:val="18"/>
              </w:rPr>
              <w:t>Consolida inventario positivo y parámetros mínimos/máximos.</w:t>
            </w:r>
          </w:p>
        </w:tc>
      </w:tr>
    </w:tbl>
    <w:p w14:paraId="2900147D" w14:textId="77777777" w:rsidR="000728EB" w:rsidRDefault="000728EB"/>
    <w:p w14:paraId="031EC8EB" w14:textId="77777777" w:rsidR="000728EB" w:rsidRDefault="00836C1D">
      <w:r>
        <w:br w:type="page"/>
      </w:r>
    </w:p>
    <w:p w14:paraId="4F0E9A1D" w14:textId="77777777" w:rsidR="000728EB" w:rsidRDefault="00836C1D">
      <w:pPr>
        <w:pStyle w:val="Ttulo1"/>
      </w:pPr>
      <w:r>
        <w:lastRenderedPageBreak/>
        <w:t>5. Métricas de venta y demanda</w:t>
      </w:r>
    </w:p>
    <w:p w14:paraId="7E3B33F5" w14:textId="77777777" w:rsidR="000728EB" w:rsidRDefault="00836C1D">
      <w:r>
        <w:t>Las métricas de venta se calculan a partir de facturas de venta y notas de crédito. Las facturas representan eventos positivos de demanda y las notas de crédito se consideran eventos negativos, permitiendo estimar ventas netas tanto en unidades como en conteo documental.</w:t>
      </w:r>
    </w:p>
    <w:tbl>
      <w:tblPr>
        <w:tblStyle w:val="Tablaconcuadrcula"/>
        <w:tblW w:w="0" w:type="auto"/>
        <w:jc w:val="center"/>
        <w:tblLook w:val="04A0" w:firstRow="1" w:lastRow="0" w:firstColumn="1" w:lastColumn="0" w:noHBand="0" w:noVBand="1"/>
      </w:tblPr>
      <w:tblGrid>
        <w:gridCol w:w="3041"/>
        <w:gridCol w:w="7111"/>
      </w:tblGrid>
      <w:tr w:rsidR="000728EB" w14:paraId="6954F7F4" w14:textId="77777777">
        <w:trPr>
          <w:cantSplit/>
          <w:jc w:val="center"/>
        </w:trPr>
        <w:tc>
          <w:tcPr>
            <w:tcW w:w="3168" w:type="dxa"/>
            <w:shd w:val="clear" w:color="auto" w:fill="1F4E79"/>
            <w:vAlign w:val="center"/>
          </w:tcPr>
          <w:p w14:paraId="404544A6" w14:textId="77777777" w:rsidR="000728EB" w:rsidRDefault="00836C1D">
            <w:pPr>
              <w:spacing w:after="0"/>
            </w:pPr>
            <w:r>
              <w:rPr>
                <w:b/>
                <w:color w:val="FFFFFF"/>
                <w:sz w:val="18"/>
              </w:rPr>
              <w:t>Métrica</w:t>
            </w:r>
          </w:p>
        </w:tc>
        <w:tc>
          <w:tcPr>
            <w:tcW w:w="7488" w:type="dxa"/>
            <w:shd w:val="clear" w:color="auto" w:fill="1F4E79"/>
            <w:vAlign w:val="center"/>
          </w:tcPr>
          <w:p w14:paraId="3C677DE1" w14:textId="77777777" w:rsidR="000728EB" w:rsidRDefault="00836C1D">
            <w:pPr>
              <w:spacing w:after="0"/>
            </w:pPr>
            <w:r>
              <w:rPr>
                <w:b/>
                <w:color w:val="FFFFFF"/>
                <w:sz w:val="18"/>
              </w:rPr>
              <w:t>Definición</w:t>
            </w:r>
          </w:p>
        </w:tc>
      </w:tr>
      <w:tr w:rsidR="000728EB" w14:paraId="4D26C98B" w14:textId="77777777">
        <w:trPr>
          <w:cantSplit/>
          <w:jc w:val="center"/>
        </w:trPr>
        <w:tc>
          <w:tcPr>
            <w:tcW w:w="3168" w:type="dxa"/>
            <w:vAlign w:val="center"/>
          </w:tcPr>
          <w:p w14:paraId="7BB935F6" w14:textId="77777777" w:rsidR="000728EB" w:rsidRDefault="00836C1D">
            <w:pPr>
              <w:spacing w:after="0"/>
            </w:pPr>
            <w:r>
              <w:rPr>
                <w:sz w:val="18"/>
              </w:rPr>
              <w:t>Ventas netas 24m</w:t>
            </w:r>
          </w:p>
        </w:tc>
        <w:tc>
          <w:tcPr>
            <w:tcW w:w="7488" w:type="dxa"/>
            <w:vAlign w:val="center"/>
          </w:tcPr>
          <w:p w14:paraId="0B5814E8" w14:textId="77777777" w:rsidR="000728EB" w:rsidRDefault="00836C1D">
            <w:pPr>
              <w:spacing w:after="0"/>
            </w:pPr>
            <w:r>
              <w:rPr>
                <w:sz w:val="18"/>
              </w:rPr>
              <w:t xml:space="preserve">Suma de </w:t>
            </w:r>
            <w:r>
              <w:rPr>
                <w:sz w:val="18"/>
              </w:rPr>
              <w:t>cantidades vendidas menos cantidades devueltas durante los últimos 24 meses.</w:t>
            </w:r>
          </w:p>
        </w:tc>
      </w:tr>
      <w:tr w:rsidR="000728EB" w14:paraId="525E1BB3" w14:textId="77777777">
        <w:trPr>
          <w:cantSplit/>
          <w:jc w:val="center"/>
        </w:trPr>
        <w:tc>
          <w:tcPr>
            <w:tcW w:w="3168" w:type="dxa"/>
            <w:vAlign w:val="center"/>
          </w:tcPr>
          <w:p w14:paraId="640EBB5A" w14:textId="77777777" w:rsidR="000728EB" w:rsidRDefault="00836C1D">
            <w:pPr>
              <w:spacing w:after="0"/>
            </w:pPr>
            <w:r>
              <w:rPr>
                <w:sz w:val="18"/>
              </w:rPr>
              <w:t>Venta anualizada 24m</w:t>
            </w:r>
          </w:p>
        </w:tc>
        <w:tc>
          <w:tcPr>
            <w:tcW w:w="7488" w:type="dxa"/>
            <w:vAlign w:val="center"/>
          </w:tcPr>
          <w:p w14:paraId="24364E14" w14:textId="77777777" w:rsidR="000728EB" w:rsidRDefault="00836C1D">
            <w:pPr>
              <w:spacing w:after="0"/>
            </w:pPr>
            <w:r>
              <w:rPr>
                <w:sz w:val="18"/>
              </w:rPr>
              <w:t>Ventas netas 24m divididas entre 2, equivalente a una referencia anual promedio.</w:t>
            </w:r>
          </w:p>
        </w:tc>
      </w:tr>
      <w:tr w:rsidR="000728EB" w14:paraId="47DD1AC3" w14:textId="77777777">
        <w:trPr>
          <w:cantSplit/>
          <w:jc w:val="center"/>
        </w:trPr>
        <w:tc>
          <w:tcPr>
            <w:tcW w:w="3168" w:type="dxa"/>
            <w:vAlign w:val="center"/>
          </w:tcPr>
          <w:p w14:paraId="7F5971F9" w14:textId="77777777" w:rsidR="000728EB" w:rsidRDefault="00836C1D">
            <w:pPr>
              <w:spacing w:after="0"/>
            </w:pPr>
            <w:r>
              <w:rPr>
                <w:sz w:val="18"/>
              </w:rPr>
              <w:t>Conteo ventas netas 24m</w:t>
            </w:r>
          </w:p>
        </w:tc>
        <w:tc>
          <w:tcPr>
            <w:tcW w:w="7488" w:type="dxa"/>
            <w:vAlign w:val="center"/>
          </w:tcPr>
          <w:p w14:paraId="25765665" w14:textId="77777777" w:rsidR="000728EB" w:rsidRDefault="00836C1D">
            <w:pPr>
              <w:spacing w:after="0"/>
            </w:pPr>
            <w:r>
              <w:rPr>
                <w:sz w:val="18"/>
              </w:rPr>
              <w:t>Cantidad de facturas de venta menos cantidad de notas de crédito de venta.</w:t>
            </w:r>
          </w:p>
        </w:tc>
      </w:tr>
      <w:tr w:rsidR="000728EB" w14:paraId="3AECCA49" w14:textId="77777777">
        <w:trPr>
          <w:cantSplit/>
          <w:jc w:val="center"/>
        </w:trPr>
        <w:tc>
          <w:tcPr>
            <w:tcW w:w="3168" w:type="dxa"/>
            <w:vAlign w:val="center"/>
          </w:tcPr>
          <w:p w14:paraId="08587BEA" w14:textId="77777777" w:rsidR="000728EB" w:rsidRDefault="00836C1D">
            <w:pPr>
              <w:spacing w:after="0"/>
            </w:pPr>
            <w:r>
              <w:rPr>
                <w:sz w:val="18"/>
              </w:rPr>
              <w:t>Cantidad clientes 24m</w:t>
            </w:r>
          </w:p>
        </w:tc>
        <w:tc>
          <w:tcPr>
            <w:tcW w:w="7488" w:type="dxa"/>
            <w:vAlign w:val="center"/>
          </w:tcPr>
          <w:p w14:paraId="45968804" w14:textId="77777777" w:rsidR="000728EB" w:rsidRDefault="00836C1D">
            <w:pPr>
              <w:spacing w:after="0"/>
            </w:pPr>
            <w:r>
              <w:rPr>
                <w:sz w:val="18"/>
              </w:rPr>
              <w:t>Cantidad de clientes únicos asociados al artículo durante los últimos 24 meses.</w:t>
            </w:r>
          </w:p>
        </w:tc>
      </w:tr>
      <w:tr w:rsidR="000728EB" w14:paraId="5E45FE09" w14:textId="77777777">
        <w:trPr>
          <w:cantSplit/>
          <w:jc w:val="center"/>
        </w:trPr>
        <w:tc>
          <w:tcPr>
            <w:tcW w:w="3168" w:type="dxa"/>
            <w:vAlign w:val="center"/>
          </w:tcPr>
          <w:p w14:paraId="29191B47" w14:textId="77777777" w:rsidR="000728EB" w:rsidRDefault="00836C1D">
            <w:pPr>
              <w:spacing w:after="0"/>
            </w:pPr>
            <w:r>
              <w:rPr>
                <w:sz w:val="18"/>
              </w:rPr>
              <w:t>Frecuencia venta mensual 24m</w:t>
            </w:r>
          </w:p>
        </w:tc>
        <w:tc>
          <w:tcPr>
            <w:tcW w:w="7488" w:type="dxa"/>
            <w:vAlign w:val="center"/>
          </w:tcPr>
          <w:p w14:paraId="43383495" w14:textId="77777777" w:rsidR="000728EB" w:rsidRDefault="00836C1D">
            <w:pPr>
              <w:spacing w:after="0"/>
            </w:pPr>
            <w:r>
              <w:rPr>
                <w:sz w:val="18"/>
              </w:rPr>
              <w:t>Conteo ventas netas 24m dividido entre 24 meses.</w:t>
            </w:r>
          </w:p>
        </w:tc>
      </w:tr>
    </w:tbl>
    <w:p w14:paraId="3E2F8B2B" w14:textId="77777777" w:rsidR="000728EB" w:rsidRDefault="000728EB"/>
    <w:p w14:paraId="40FAB9AD" w14:textId="77777777" w:rsidR="000728EB" w:rsidRDefault="00836C1D">
      <w:pPr>
        <w:pStyle w:val="Formula"/>
        <w:jc w:val="center"/>
      </w:pPr>
      <w:r>
        <w:rPr>
          <w:b/>
        </w:rPr>
        <w:t>Venta anualizada 24m = Ventas netas 24m / 2</w:t>
      </w:r>
    </w:p>
    <w:p w14:paraId="6DB1FF81" w14:textId="77777777" w:rsidR="000728EB" w:rsidRDefault="00836C1D">
      <w:pPr>
        <w:pStyle w:val="Formula"/>
        <w:jc w:val="center"/>
      </w:pPr>
      <w:r>
        <w:rPr>
          <w:b/>
        </w:rPr>
        <w:t>Frecuencia venta mensual 24m = Conteo ventas netas 24m / 24</w:t>
      </w:r>
    </w:p>
    <w:p w14:paraId="60A3FA03" w14:textId="77777777" w:rsidR="000728EB" w:rsidRDefault="00836C1D">
      <w:r>
        <w:t xml:space="preserve">Esta diferenciación es importante porque una venta anulada o devuelta no debe interpretarse de la misma forma que una venta recurrente confirmada. Por ello, el conteo neto permite descontar el </w:t>
      </w:r>
      <w:r>
        <w:t>efecto documental de devoluciones o correcciones comerciales.</w:t>
      </w:r>
    </w:p>
    <w:p w14:paraId="0DBB3290" w14:textId="77777777" w:rsidR="000728EB" w:rsidRDefault="00836C1D">
      <w:pPr>
        <w:pStyle w:val="Ttulo1"/>
      </w:pPr>
      <w:r>
        <w:t>6. Métricas de compra y abastecimiento</w:t>
      </w:r>
    </w:p>
    <w:p w14:paraId="618F803F" w14:textId="77777777" w:rsidR="000728EB" w:rsidRDefault="00836C1D">
      <w:r>
        <w:t>Las métricas de compra se calcularon desde las facturas de proveedor y notas de crédito de proveedor. Esta vista representa la frecuencia administrativa o documental con la que la empresa ha comprado un artículo durante los últimos 24 meses.</w:t>
      </w:r>
    </w:p>
    <w:tbl>
      <w:tblPr>
        <w:tblStyle w:val="Tablaconcuadrcula"/>
        <w:tblW w:w="0" w:type="auto"/>
        <w:jc w:val="center"/>
        <w:tblLook w:val="04A0" w:firstRow="1" w:lastRow="0" w:firstColumn="1" w:lastColumn="0" w:noHBand="0" w:noVBand="1"/>
      </w:tblPr>
      <w:tblGrid>
        <w:gridCol w:w="3249"/>
        <w:gridCol w:w="6903"/>
      </w:tblGrid>
      <w:tr w:rsidR="000728EB" w14:paraId="0CE6BBAF" w14:textId="77777777">
        <w:trPr>
          <w:cantSplit/>
          <w:jc w:val="center"/>
        </w:trPr>
        <w:tc>
          <w:tcPr>
            <w:tcW w:w="3384" w:type="dxa"/>
            <w:shd w:val="clear" w:color="auto" w:fill="1F4E79"/>
            <w:vAlign w:val="center"/>
          </w:tcPr>
          <w:p w14:paraId="5937EB18" w14:textId="77777777" w:rsidR="000728EB" w:rsidRDefault="00836C1D">
            <w:pPr>
              <w:spacing w:after="0"/>
            </w:pPr>
            <w:r>
              <w:rPr>
                <w:b/>
                <w:color w:val="FFFFFF"/>
                <w:sz w:val="18"/>
              </w:rPr>
              <w:t>Métrica</w:t>
            </w:r>
          </w:p>
        </w:tc>
        <w:tc>
          <w:tcPr>
            <w:tcW w:w="7272" w:type="dxa"/>
            <w:shd w:val="clear" w:color="auto" w:fill="1F4E79"/>
            <w:vAlign w:val="center"/>
          </w:tcPr>
          <w:p w14:paraId="5142DB5F" w14:textId="77777777" w:rsidR="000728EB" w:rsidRDefault="00836C1D">
            <w:pPr>
              <w:spacing w:after="0"/>
            </w:pPr>
            <w:r>
              <w:rPr>
                <w:b/>
                <w:color w:val="FFFFFF"/>
                <w:sz w:val="18"/>
              </w:rPr>
              <w:t>Definición</w:t>
            </w:r>
          </w:p>
        </w:tc>
      </w:tr>
      <w:tr w:rsidR="000728EB" w14:paraId="1FE022C9" w14:textId="77777777">
        <w:trPr>
          <w:cantSplit/>
          <w:jc w:val="center"/>
        </w:trPr>
        <w:tc>
          <w:tcPr>
            <w:tcW w:w="3384" w:type="dxa"/>
            <w:vAlign w:val="center"/>
          </w:tcPr>
          <w:p w14:paraId="0ABAD8D5" w14:textId="77777777" w:rsidR="000728EB" w:rsidRDefault="00836C1D">
            <w:pPr>
              <w:spacing w:after="0"/>
            </w:pPr>
            <w:r>
              <w:rPr>
                <w:sz w:val="18"/>
              </w:rPr>
              <w:t>Conteo compras netas 24m</w:t>
            </w:r>
          </w:p>
        </w:tc>
        <w:tc>
          <w:tcPr>
            <w:tcW w:w="7272" w:type="dxa"/>
            <w:vAlign w:val="center"/>
          </w:tcPr>
          <w:p w14:paraId="3D1D15F5" w14:textId="77777777" w:rsidR="000728EB" w:rsidRDefault="00836C1D">
            <w:pPr>
              <w:spacing w:after="0"/>
            </w:pPr>
            <w:r>
              <w:rPr>
                <w:sz w:val="18"/>
              </w:rPr>
              <w:t>Cantidad de facturas de compra menos notas de crédito de compra en los últimos 24 meses.</w:t>
            </w:r>
          </w:p>
        </w:tc>
      </w:tr>
      <w:tr w:rsidR="000728EB" w14:paraId="3A9BFC10" w14:textId="77777777">
        <w:trPr>
          <w:cantSplit/>
          <w:jc w:val="center"/>
        </w:trPr>
        <w:tc>
          <w:tcPr>
            <w:tcW w:w="3384" w:type="dxa"/>
            <w:vAlign w:val="center"/>
          </w:tcPr>
          <w:p w14:paraId="74A33722" w14:textId="77777777" w:rsidR="000728EB" w:rsidRDefault="00836C1D">
            <w:pPr>
              <w:spacing w:after="0"/>
            </w:pPr>
            <w:r>
              <w:rPr>
                <w:sz w:val="18"/>
              </w:rPr>
              <w:t>Cantidad proveedores 24m</w:t>
            </w:r>
          </w:p>
        </w:tc>
        <w:tc>
          <w:tcPr>
            <w:tcW w:w="7272" w:type="dxa"/>
            <w:vAlign w:val="center"/>
          </w:tcPr>
          <w:p w14:paraId="34870372" w14:textId="77777777" w:rsidR="000728EB" w:rsidRDefault="00836C1D">
            <w:pPr>
              <w:spacing w:after="0"/>
            </w:pPr>
            <w:r>
              <w:rPr>
                <w:sz w:val="18"/>
              </w:rPr>
              <w:t>Número de proveedores únicos relacionados con el artículo en el período analítico.</w:t>
            </w:r>
          </w:p>
        </w:tc>
      </w:tr>
      <w:tr w:rsidR="000728EB" w14:paraId="5324874B" w14:textId="77777777">
        <w:trPr>
          <w:cantSplit/>
          <w:jc w:val="center"/>
        </w:trPr>
        <w:tc>
          <w:tcPr>
            <w:tcW w:w="3384" w:type="dxa"/>
            <w:vAlign w:val="center"/>
          </w:tcPr>
          <w:p w14:paraId="0D21CEE0" w14:textId="77777777" w:rsidR="000728EB" w:rsidRDefault="00836C1D">
            <w:pPr>
              <w:spacing w:after="0"/>
            </w:pPr>
            <w:r>
              <w:rPr>
                <w:sz w:val="18"/>
              </w:rPr>
              <w:t>Frecuencia compra mensual 24m</w:t>
            </w:r>
          </w:p>
        </w:tc>
        <w:tc>
          <w:tcPr>
            <w:tcW w:w="7272" w:type="dxa"/>
            <w:vAlign w:val="center"/>
          </w:tcPr>
          <w:p w14:paraId="650A31C7" w14:textId="77777777" w:rsidR="000728EB" w:rsidRDefault="00836C1D">
            <w:pPr>
              <w:spacing w:after="0"/>
            </w:pPr>
            <w:r>
              <w:rPr>
                <w:sz w:val="18"/>
              </w:rPr>
              <w:t>Conteo compras netas 24m dividido entre 24 meses.</w:t>
            </w:r>
          </w:p>
        </w:tc>
      </w:tr>
      <w:tr w:rsidR="000728EB" w14:paraId="52E35F96" w14:textId="77777777">
        <w:trPr>
          <w:cantSplit/>
          <w:jc w:val="center"/>
        </w:trPr>
        <w:tc>
          <w:tcPr>
            <w:tcW w:w="3384" w:type="dxa"/>
            <w:vAlign w:val="center"/>
          </w:tcPr>
          <w:p w14:paraId="3B672695" w14:textId="77777777" w:rsidR="000728EB" w:rsidRDefault="00836C1D">
            <w:pPr>
              <w:spacing w:after="0"/>
            </w:pPr>
            <w:r>
              <w:rPr>
                <w:sz w:val="18"/>
              </w:rPr>
              <w:t>Meses promedio entre compras 24m</w:t>
            </w:r>
          </w:p>
        </w:tc>
        <w:tc>
          <w:tcPr>
            <w:tcW w:w="7272" w:type="dxa"/>
            <w:vAlign w:val="center"/>
          </w:tcPr>
          <w:p w14:paraId="7F3FEFE7" w14:textId="77777777" w:rsidR="000728EB" w:rsidRDefault="00836C1D">
            <w:pPr>
              <w:spacing w:after="0"/>
            </w:pPr>
            <w:r>
              <w:rPr>
                <w:sz w:val="18"/>
              </w:rPr>
              <w:t>Cantidad de meses analizados dividida entre el conteo de compras netas.</w:t>
            </w:r>
          </w:p>
        </w:tc>
      </w:tr>
    </w:tbl>
    <w:p w14:paraId="77D6E245" w14:textId="77777777" w:rsidR="000728EB" w:rsidRDefault="000728EB"/>
    <w:p w14:paraId="09B356AC" w14:textId="77777777" w:rsidR="000728EB" w:rsidRDefault="00836C1D">
      <w:pPr>
        <w:pStyle w:val="Formula"/>
        <w:jc w:val="center"/>
      </w:pPr>
      <w:r>
        <w:rPr>
          <w:b/>
        </w:rPr>
        <w:t>Frecuencia compra mensual 24m = Conteo compras netas 24m / 24</w:t>
      </w:r>
    </w:p>
    <w:p w14:paraId="4010C3A6" w14:textId="77777777" w:rsidR="000728EB" w:rsidRDefault="00836C1D">
      <w:pPr>
        <w:pStyle w:val="Formula"/>
        <w:jc w:val="center"/>
      </w:pPr>
      <w:r>
        <w:rPr>
          <w:b/>
        </w:rPr>
        <w:t>Meses promedio entre compras 24m = 24 / Conteo compras netas 24m</w:t>
      </w:r>
    </w:p>
    <w:p w14:paraId="5E2E95DD" w14:textId="77777777" w:rsidR="000728EB" w:rsidRDefault="00836C1D">
      <w:r>
        <w:t xml:space="preserve">Adicionalmente, se incorporó una métrica basada en órdenes de compra para estimar la cantidad promedio </w:t>
      </w:r>
      <w:r>
        <w:t>pedida por artículo. Esta variable es distinta al conteo de facturas, ya que se basa en el volumen solicitado en órdenes de compra.</w:t>
      </w:r>
    </w:p>
    <w:tbl>
      <w:tblPr>
        <w:tblStyle w:val="Tablaconcuadrcula"/>
        <w:tblW w:w="0" w:type="auto"/>
        <w:jc w:val="center"/>
        <w:tblLook w:val="04A0" w:firstRow="1" w:lastRow="0" w:firstColumn="1" w:lastColumn="0" w:noHBand="0" w:noVBand="1"/>
      </w:tblPr>
      <w:tblGrid>
        <w:gridCol w:w="3243"/>
        <w:gridCol w:w="6909"/>
      </w:tblGrid>
      <w:tr w:rsidR="000728EB" w14:paraId="3BC1B619" w14:textId="77777777">
        <w:trPr>
          <w:cantSplit/>
          <w:jc w:val="center"/>
        </w:trPr>
        <w:tc>
          <w:tcPr>
            <w:tcW w:w="3384" w:type="dxa"/>
            <w:shd w:val="clear" w:color="auto" w:fill="1F4E79"/>
            <w:vAlign w:val="center"/>
          </w:tcPr>
          <w:p w14:paraId="3C3821F7" w14:textId="77777777" w:rsidR="000728EB" w:rsidRDefault="00836C1D">
            <w:pPr>
              <w:spacing w:after="0"/>
            </w:pPr>
            <w:r>
              <w:rPr>
                <w:b/>
                <w:color w:val="FFFFFF"/>
                <w:sz w:val="18"/>
              </w:rPr>
              <w:t>Métrica</w:t>
            </w:r>
          </w:p>
        </w:tc>
        <w:tc>
          <w:tcPr>
            <w:tcW w:w="7272" w:type="dxa"/>
            <w:shd w:val="clear" w:color="auto" w:fill="1F4E79"/>
            <w:vAlign w:val="center"/>
          </w:tcPr>
          <w:p w14:paraId="507BE309" w14:textId="77777777" w:rsidR="000728EB" w:rsidRDefault="00836C1D">
            <w:pPr>
              <w:spacing w:after="0"/>
            </w:pPr>
            <w:r>
              <w:rPr>
                <w:b/>
                <w:color w:val="FFFFFF"/>
                <w:sz w:val="18"/>
              </w:rPr>
              <w:t>Definición</w:t>
            </w:r>
          </w:p>
        </w:tc>
      </w:tr>
      <w:tr w:rsidR="000728EB" w14:paraId="62A18E96" w14:textId="77777777">
        <w:trPr>
          <w:cantSplit/>
          <w:jc w:val="center"/>
        </w:trPr>
        <w:tc>
          <w:tcPr>
            <w:tcW w:w="3384" w:type="dxa"/>
            <w:vAlign w:val="center"/>
          </w:tcPr>
          <w:p w14:paraId="1173B128" w14:textId="77777777" w:rsidR="000728EB" w:rsidRDefault="00836C1D">
            <w:pPr>
              <w:spacing w:after="0"/>
            </w:pPr>
            <w:r>
              <w:rPr>
                <w:sz w:val="18"/>
              </w:rPr>
              <w:t>Cantidad órdenes compra 24m</w:t>
            </w:r>
          </w:p>
        </w:tc>
        <w:tc>
          <w:tcPr>
            <w:tcW w:w="7272" w:type="dxa"/>
            <w:vAlign w:val="center"/>
          </w:tcPr>
          <w:p w14:paraId="1E5FF75E" w14:textId="77777777" w:rsidR="000728EB" w:rsidRDefault="00836C1D">
            <w:pPr>
              <w:spacing w:after="0"/>
            </w:pPr>
            <w:r>
              <w:rPr>
                <w:sz w:val="18"/>
              </w:rPr>
              <w:t>Número de órdenes de compra donde aparece el artículo en los últimos 24 meses.</w:t>
            </w:r>
          </w:p>
        </w:tc>
      </w:tr>
      <w:tr w:rsidR="000728EB" w14:paraId="79777DD7" w14:textId="77777777">
        <w:trPr>
          <w:cantSplit/>
          <w:jc w:val="center"/>
        </w:trPr>
        <w:tc>
          <w:tcPr>
            <w:tcW w:w="3384" w:type="dxa"/>
            <w:vAlign w:val="center"/>
          </w:tcPr>
          <w:p w14:paraId="6AE80E98" w14:textId="77777777" w:rsidR="000728EB" w:rsidRDefault="00836C1D">
            <w:pPr>
              <w:spacing w:after="0"/>
            </w:pPr>
            <w:r>
              <w:rPr>
                <w:sz w:val="18"/>
              </w:rPr>
              <w:t>Cantidad total pedida OC 24m</w:t>
            </w:r>
          </w:p>
        </w:tc>
        <w:tc>
          <w:tcPr>
            <w:tcW w:w="7272" w:type="dxa"/>
            <w:vAlign w:val="center"/>
          </w:tcPr>
          <w:p w14:paraId="6384D1F5" w14:textId="77777777" w:rsidR="000728EB" w:rsidRDefault="00836C1D">
            <w:pPr>
              <w:spacing w:after="0"/>
            </w:pPr>
            <w:r>
              <w:rPr>
                <w:sz w:val="18"/>
              </w:rPr>
              <w:t>Suma de unidades solicitadas en órdenes de compra del artículo.</w:t>
            </w:r>
          </w:p>
        </w:tc>
      </w:tr>
      <w:tr w:rsidR="000728EB" w14:paraId="68E130A2" w14:textId="77777777">
        <w:trPr>
          <w:cantSplit/>
          <w:jc w:val="center"/>
        </w:trPr>
        <w:tc>
          <w:tcPr>
            <w:tcW w:w="3384" w:type="dxa"/>
            <w:vAlign w:val="center"/>
          </w:tcPr>
          <w:p w14:paraId="78239923" w14:textId="77777777" w:rsidR="000728EB" w:rsidRDefault="00836C1D">
            <w:pPr>
              <w:spacing w:after="0"/>
            </w:pPr>
            <w:r>
              <w:rPr>
                <w:sz w:val="18"/>
              </w:rPr>
              <w:t>Cantidad promedio pedido 24m</w:t>
            </w:r>
          </w:p>
        </w:tc>
        <w:tc>
          <w:tcPr>
            <w:tcW w:w="7272" w:type="dxa"/>
            <w:vAlign w:val="center"/>
          </w:tcPr>
          <w:p w14:paraId="08B6D39F" w14:textId="77777777" w:rsidR="000728EB" w:rsidRDefault="00836C1D">
            <w:pPr>
              <w:spacing w:after="0"/>
            </w:pPr>
            <w:r>
              <w:rPr>
                <w:sz w:val="18"/>
              </w:rPr>
              <w:t>Promedio de unidades solicitadas por orden de compra para el artículo.</w:t>
            </w:r>
          </w:p>
        </w:tc>
      </w:tr>
    </w:tbl>
    <w:p w14:paraId="2213A7B2" w14:textId="77777777" w:rsidR="000728EB" w:rsidRDefault="000728EB"/>
    <w:p w14:paraId="67152044" w14:textId="77777777" w:rsidR="000728EB" w:rsidRDefault="00836C1D">
      <w:pPr>
        <w:pStyle w:val="Formula"/>
        <w:jc w:val="center"/>
      </w:pPr>
      <w:r>
        <w:rPr>
          <w:b/>
        </w:rPr>
        <w:t>Cantidad promedio pedido 24m = Cantidad total pedida OC 24m / Cantidad órdenes compra 24m</w:t>
      </w:r>
    </w:p>
    <w:p w14:paraId="3083D148" w14:textId="77777777" w:rsidR="000728EB" w:rsidRDefault="00836C1D">
      <w:pPr>
        <w:pStyle w:val="Ttulo1"/>
      </w:pPr>
      <w:r>
        <w:t>7. Cálculo de lead time de abastecimiento</w:t>
      </w:r>
    </w:p>
    <w:p w14:paraId="4C00854E" w14:textId="77777777" w:rsidR="000728EB" w:rsidRDefault="00836C1D">
      <w:r>
        <w:t xml:space="preserve">El lead time se calculó mediante la relación entre órdenes de compra y entradas de mercancía. La lógica utiliza la orden de compra como origen y la entrada de mercancía como </w:t>
      </w:r>
      <w:r>
        <w:t>evento real de recepción física del producto.</w:t>
      </w:r>
    </w:p>
    <w:tbl>
      <w:tblPr>
        <w:tblStyle w:val="Tablaconcuadrcula"/>
        <w:tblW w:w="0" w:type="auto"/>
        <w:jc w:val="center"/>
        <w:tblLook w:val="04A0" w:firstRow="1" w:lastRow="0" w:firstColumn="1" w:lastColumn="0" w:noHBand="0" w:noVBand="1"/>
      </w:tblPr>
      <w:tblGrid>
        <w:gridCol w:w="2484"/>
        <w:gridCol w:w="3045"/>
        <w:gridCol w:w="4623"/>
      </w:tblGrid>
      <w:tr w:rsidR="000728EB" w14:paraId="647E0A51" w14:textId="77777777">
        <w:trPr>
          <w:cantSplit/>
          <w:jc w:val="center"/>
        </w:trPr>
        <w:tc>
          <w:tcPr>
            <w:tcW w:w="2592" w:type="dxa"/>
            <w:shd w:val="clear" w:color="auto" w:fill="1F4E79"/>
            <w:vAlign w:val="center"/>
          </w:tcPr>
          <w:p w14:paraId="4B06EC7C" w14:textId="77777777" w:rsidR="000728EB" w:rsidRDefault="00836C1D">
            <w:pPr>
              <w:spacing w:after="0"/>
            </w:pPr>
            <w:r>
              <w:rPr>
                <w:b/>
                <w:color w:val="FFFFFF"/>
                <w:sz w:val="18"/>
              </w:rPr>
              <w:t>Documento SAP</w:t>
            </w:r>
          </w:p>
        </w:tc>
        <w:tc>
          <w:tcPr>
            <w:tcW w:w="3168" w:type="dxa"/>
            <w:shd w:val="clear" w:color="auto" w:fill="1F4E79"/>
            <w:vAlign w:val="center"/>
          </w:tcPr>
          <w:p w14:paraId="63AB2125" w14:textId="77777777" w:rsidR="000728EB" w:rsidRDefault="00836C1D">
            <w:pPr>
              <w:spacing w:after="0"/>
            </w:pPr>
            <w:r>
              <w:rPr>
                <w:b/>
                <w:color w:val="FFFFFF"/>
                <w:sz w:val="18"/>
              </w:rPr>
              <w:t>Tablas utilizadas</w:t>
            </w:r>
          </w:p>
        </w:tc>
        <w:tc>
          <w:tcPr>
            <w:tcW w:w="4896" w:type="dxa"/>
            <w:shd w:val="clear" w:color="auto" w:fill="1F4E79"/>
            <w:vAlign w:val="center"/>
          </w:tcPr>
          <w:p w14:paraId="372368F3" w14:textId="77777777" w:rsidR="000728EB" w:rsidRDefault="00836C1D">
            <w:pPr>
              <w:spacing w:after="0"/>
            </w:pPr>
            <w:r>
              <w:rPr>
                <w:b/>
                <w:color w:val="FFFFFF"/>
                <w:sz w:val="18"/>
              </w:rPr>
              <w:t>Función</w:t>
            </w:r>
          </w:p>
        </w:tc>
      </w:tr>
      <w:tr w:rsidR="000728EB" w14:paraId="25C81456" w14:textId="77777777">
        <w:trPr>
          <w:cantSplit/>
          <w:jc w:val="center"/>
        </w:trPr>
        <w:tc>
          <w:tcPr>
            <w:tcW w:w="2592" w:type="dxa"/>
            <w:vAlign w:val="center"/>
          </w:tcPr>
          <w:p w14:paraId="525EAFAC" w14:textId="77777777" w:rsidR="000728EB" w:rsidRDefault="00836C1D">
            <w:pPr>
              <w:spacing w:after="0"/>
            </w:pPr>
            <w:r>
              <w:rPr>
                <w:sz w:val="18"/>
              </w:rPr>
              <w:lastRenderedPageBreak/>
              <w:t>Orden de compra</w:t>
            </w:r>
          </w:p>
        </w:tc>
        <w:tc>
          <w:tcPr>
            <w:tcW w:w="3168" w:type="dxa"/>
            <w:vAlign w:val="center"/>
          </w:tcPr>
          <w:p w14:paraId="1586490E" w14:textId="77777777" w:rsidR="000728EB" w:rsidRDefault="00836C1D">
            <w:pPr>
              <w:spacing w:after="0"/>
            </w:pPr>
            <w:r>
              <w:rPr>
                <w:sz w:val="18"/>
              </w:rPr>
              <w:t>OPOR / POR1</w:t>
            </w:r>
          </w:p>
        </w:tc>
        <w:tc>
          <w:tcPr>
            <w:tcW w:w="4896" w:type="dxa"/>
            <w:vAlign w:val="center"/>
          </w:tcPr>
          <w:p w14:paraId="5BAD6351" w14:textId="77777777" w:rsidR="000728EB" w:rsidRDefault="00836C1D">
            <w:pPr>
              <w:spacing w:after="0"/>
            </w:pPr>
            <w:r>
              <w:rPr>
                <w:sz w:val="18"/>
              </w:rPr>
              <w:t>Documento base que representa la creación de la solicitud de compra al proveedor.</w:t>
            </w:r>
          </w:p>
        </w:tc>
      </w:tr>
      <w:tr w:rsidR="000728EB" w14:paraId="0B422826" w14:textId="77777777">
        <w:trPr>
          <w:cantSplit/>
          <w:jc w:val="center"/>
        </w:trPr>
        <w:tc>
          <w:tcPr>
            <w:tcW w:w="2592" w:type="dxa"/>
            <w:vAlign w:val="center"/>
          </w:tcPr>
          <w:p w14:paraId="07C0EF07" w14:textId="77777777" w:rsidR="000728EB" w:rsidRDefault="00836C1D">
            <w:pPr>
              <w:spacing w:after="0"/>
            </w:pPr>
            <w:r>
              <w:rPr>
                <w:sz w:val="18"/>
              </w:rPr>
              <w:t>Entrada de mercancía</w:t>
            </w:r>
          </w:p>
        </w:tc>
        <w:tc>
          <w:tcPr>
            <w:tcW w:w="3168" w:type="dxa"/>
            <w:vAlign w:val="center"/>
          </w:tcPr>
          <w:p w14:paraId="0F9E9379" w14:textId="77777777" w:rsidR="000728EB" w:rsidRDefault="00836C1D">
            <w:pPr>
              <w:spacing w:after="0"/>
            </w:pPr>
            <w:r>
              <w:rPr>
                <w:sz w:val="18"/>
              </w:rPr>
              <w:t>OPDN / PDN1</w:t>
            </w:r>
          </w:p>
        </w:tc>
        <w:tc>
          <w:tcPr>
            <w:tcW w:w="4896" w:type="dxa"/>
            <w:vAlign w:val="center"/>
          </w:tcPr>
          <w:p w14:paraId="518C37B6" w14:textId="77777777" w:rsidR="000728EB" w:rsidRDefault="00836C1D">
            <w:pPr>
              <w:spacing w:after="0"/>
            </w:pPr>
            <w:r>
              <w:rPr>
                <w:sz w:val="18"/>
              </w:rPr>
              <w:t>Documento que confirma el ingreso físico del producto al inventario.</w:t>
            </w:r>
          </w:p>
        </w:tc>
      </w:tr>
      <w:tr w:rsidR="000728EB" w14:paraId="49D8F4A9" w14:textId="77777777">
        <w:trPr>
          <w:cantSplit/>
          <w:jc w:val="center"/>
        </w:trPr>
        <w:tc>
          <w:tcPr>
            <w:tcW w:w="2592" w:type="dxa"/>
            <w:vAlign w:val="center"/>
          </w:tcPr>
          <w:p w14:paraId="040AE3EB" w14:textId="77777777" w:rsidR="000728EB" w:rsidRDefault="00836C1D">
            <w:pPr>
              <w:spacing w:after="0"/>
            </w:pPr>
            <w:r>
              <w:rPr>
                <w:sz w:val="18"/>
              </w:rPr>
              <w:t>Vinculación</w:t>
            </w:r>
          </w:p>
        </w:tc>
        <w:tc>
          <w:tcPr>
            <w:tcW w:w="3168" w:type="dxa"/>
            <w:vAlign w:val="center"/>
          </w:tcPr>
          <w:p w14:paraId="30D664FF" w14:textId="77777777" w:rsidR="000728EB" w:rsidRDefault="00836C1D">
            <w:pPr>
              <w:spacing w:after="0"/>
            </w:pPr>
            <w:r>
              <w:rPr>
                <w:sz w:val="18"/>
              </w:rPr>
              <w:t>PDN1.BaseEntry, PDN1.BaseLine, PDN1.BaseType = 22</w:t>
            </w:r>
          </w:p>
        </w:tc>
        <w:tc>
          <w:tcPr>
            <w:tcW w:w="4896" w:type="dxa"/>
            <w:vAlign w:val="center"/>
          </w:tcPr>
          <w:p w14:paraId="2BED4E13" w14:textId="77777777" w:rsidR="000728EB" w:rsidRDefault="00836C1D">
            <w:pPr>
              <w:spacing w:after="0"/>
            </w:pPr>
            <w:r>
              <w:rPr>
                <w:sz w:val="18"/>
              </w:rPr>
              <w:t>Permite asociar la entrada de mercancía con su orden de compra original.</w:t>
            </w:r>
          </w:p>
        </w:tc>
      </w:tr>
    </w:tbl>
    <w:p w14:paraId="232ED55B" w14:textId="77777777" w:rsidR="000728EB" w:rsidRDefault="000728EB"/>
    <w:p w14:paraId="56BBD55B" w14:textId="77777777" w:rsidR="000728EB" w:rsidRDefault="00836C1D">
      <w:pPr>
        <w:pStyle w:val="Formula"/>
        <w:jc w:val="center"/>
      </w:pPr>
      <w:r>
        <w:rPr>
          <w:b/>
        </w:rPr>
        <w:t xml:space="preserve">Lead time = Fecha de entrada de mercancía - Fecha de creación de la </w:t>
      </w:r>
      <w:r>
        <w:rPr>
          <w:b/>
        </w:rPr>
        <w:t>orden de compra</w:t>
      </w:r>
    </w:p>
    <w:p w14:paraId="7EF4E0F7" w14:textId="77777777" w:rsidR="000728EB" w:rsidRDefault="00836C1D">
      <w:r>
        <w:t>Si una orden de compra tiene varias entradas parciales, cada entrada genera un tiempo de entrega distinto para el cálculo del promedio. Por ejemplo, si una orden se creó el 1 de enero y tuvo entradas el 10, 20 y 30 de enero, el cálculo considera 9, 19 y 29 días respectivamente. El promedio simple sería 19 días.</w:t>
      </w:r>
    </w:p>
    <w:p w14:paraId="13676CED" w14:textId="77777777" w:rsidR="000728EB" w:rsidRDefault="00836C1D">
      <w:r>
        <w:t>La métrica Cantidad entradas compra con OC cuenta recepciones físicas vinculadas a órdenes de compra. Esta variable no debe confundirse con el Conteo compras netas 24m, que proviene de facturas de proveedor. La primera mide entradas físicas; la segunda mide documentos de compra facturados.</w:t>
      </w:r>
    </w:p>
    <w:tbl>
      <w:tblPr>
        <w:tblStyle w:val="Tablaconcuadrcula"/>
        <w:tblW w:w="0" w:type="auto"/>
        <w:jc w:val="center"/>
        <w:tblLook w:val="04A0" w:firstRow="1" w:lastRow="0" w:firstColumn="1" w:lastColumn="0" w:noHBand="0" w:noVBand="1"/>
      </w:tblPr>
      <w:tblGrid>
        <w:gridCol w:w="3213"/>
        <w:gridCol w:w="3360"/>
        <w:gridCol w:w="3579"/>
      </w:tblGrid>
      <w:tr w:rsidR="000728EB" w14:paraId="0D03694F" w14:textId="77777777">
        <w:trPr>
          <w:cantSplit/>
          <w:jc w:val="center"/>
        </w:trPr>
        <w:tc>
          <w:tcPr>
            <w:tcW w:w="3384" w:type="dxa"/>
            <w:shd w:val="clear" w:color="auto" w:fill="1F4E79"/>
            <w:vAlign w:val="center"/>
          </w:tcPr>
          <w:p w14:paraId="01CA8A0E" w14:textId="77777777" w:rsidR="000728EB" w:rsidRDefault="00836C1D">
            <w:pPr>
              <w:spacing w:after="0"/>
            </w:pPr>
            <w:r>
              <w:rPr>
                <w:b/>
                <w:color w:val="FFFFFF"/>
                <w:sz w:val="18"/>
              </w:rPr>
              <w:t>Métrica</w:t>
            </w:r>
          </w:p>
        </w:tc>
        <w:tc>
          <w:tcPr>
            <w:tcW w:w="3528" w:type="dxa"/>
            <w:shd w:val="clear" w:color="auto" w:fill="1F4E79"/>
            <w:vAlign w:val="center"/>
          </w:tcPr>
          <w:p w14:paraId="521EF947" w14:textId="77777777" w:rsidR="000728EB" w:rsidRDefault="00836C1D">
            <w:pPr>
              <w:spacing w:after="0"/>
            </w:pPr>
            <w:r>
              <w:rPr>
                <w:b/>
                <w:color w:val="FFFFFF"/>
                <w:sz w:val="18"/>
              </w:rPr>
              <w:t>Origen</w:t>
            </w:r>
          </w:p>
        </w:tc>
        <w:tc>
          <w:tcPr>
            <w:tcW w:w="3744" w:type="dxa"/>
            <w:shd w:val="clear" w:color="auto" w:fill="1F4E79"/>
            <w:vAlign w:val="center"/>
          </w:tcPr>
          <w:p w14:paraId="094DE97F" w14:textId="77777777" w:rsidR="000728EB" w:rsidRDefault="00836C1D">
            <w:pPr>
              <w:spacing w:after="0"/>
            </w:pPr>
            <w:r>
              <w:rPr>
                <w:b/>
                <w:color w:val="FFFFFF"/>
                <w:sz w:val="18"/>
              </w:rPr>
              <w:t>Interpretación</w:t>
            </w:r>
          </w:p>
        </w:tc>
      </w:tr>
      <w:tr w:rsidR="000728EB" w14:paraId="36F6F0AE" w14:textId="77777777">
        <w:trPr>
          <w:cantSplit/>
          <w:jc w:val="center"/>
        </w:trPr>
        <w:tc>
          <w:tcPr>
            <w:tcW w:w="3384" w:type="dxa"/>
            <w:vAlign w:val="center"/>
          </w:tcPr>
          <w:p w14:paraId="56EBA9B4" w14:textId="77777777" w:rsidR="000728EB" w:rsidRDefault="00836C1D">
            <w:pPr>
              <w:spacing w:after="0"/>
            </w:pPr>
            <w:r>
              <w:rPr>
                <w:sz w:val="18"/>
              </w:rPr>
              <w:t>Conteo compras netas 24m</w:t>
            </w:r>
          </w:p>
        </w:tc>
        <w:tc>
          <w:tcPr>
            <w:tcW w:w="3528" w:type="dxa"/>
            <w:vAlign w:val="center"/>
          </w:tcPr>
          <w:p w14:paraId="29DA4C76" w14:textId="77777777" w:rsidR="000728EB" w:rsidRDefault="00836C1D">
            <w:pPr>
              <w:spacing w:after="0"/>
            </w:pPr>
            <w:r>
              <w:rPr>
                <w:sz w:val="18"/>
              </w:rPr>
              <w:t>OPCH/PCH1 y ORPC/RPC1</w:t>
            </w:r>
          </w:p>
        </w:tc>
        <w:tc>
          <w:tcPr>
            <w:tcW w:w="3744" w:type="dxa"/>
            <w:vAlign w:val="center"/>
          </w:tcPr>
          <w:p w14:paraId="36B41E30" w14:textId="77777777" w:rsidR="000728EB" w:rsidRDefault="00836C1D">
            <w:pPr>
              <w:spacing w:after="0"/>
            </w:pPr>
            <w:r>
              <w:rPr>
                <w:sz w:val="18"/>
              </w:rPr>
              <w:t>Frecuencia documental de compras al proveedor.</w:t>
            </w:r>
          </w:p>
        </w:tc>
      </w:tr>
      <w:tr w:rsidR="000728EB" w14:paraId="1A5C1FB7" w14:textId="77777777">
        <w:trPr>
          <w:cantSplit/>
          <w:jc w:val="center"/>
        </w:trPr>
        <w:tc>
          <w:tcPr>
            <w:tcW w:w="3384" w:type="dxa"/>
            <w:vAlign w:val="center"/>
          </w:tcPr>
          <w:p w14:paraId="3A7C0380" w14:textId="77777777" w:rsidR="000728EB" w:rsidRDefault="00836C1D">
            <w:pPr>
              <w:spacing w:after="0"/>
            </w:pPr>
            <w:r>
              <w:rPr>
                <w:sz w:val="18"/>
              </w:rPr>
              <w:t xml:space="preserve">Cantidad </w:t>
            </w:r>
            <w:r>
              <w:rPr>
                <w:sz w:val="18"/>
              </w:rPr>
              <w:t>entradas compra con OC</w:t>
            </w:r>
          </w:p>
        </w:tc>
        <w:tc>
          <w:tcPr>
            <w:tcW w:w="3528" w:type="dxa"/>
            <w:vAlign w:val="center"/>
          </w:tcPr>
          <w:p w14:paraId="429F197F" w14:textId="77777777" w:rsidR="000728EB" w:rsidRDefault="00836C1D">
            <w:pPr>
              <w:spacing w:after="0"/>
            </w:pPr>
            <w:r>
              <w:rPr>
                <w:sz w:val="18"/>
              </w:rPr>
              <w:t>OPOR/POR1 y OPDN/PDN1</w:t>
            </w:r>
          </w:p>
        </w:tc>
        <w:tc>
          <w:tcPr>
            <w:tcW w:w="3744" w:type="dxa"/>
            <w:vAlign w:val="center"/>
          </w:tcPr>
          <w:p w14:paraId="6CA1E85D" w14:textId="77777777" w:rsidR="000728EB" w:rsidRDefault="00836C1D">
            <w:pPr>
              <w:spacing w:after="0"/>
            </w:pPr>
            <w:r>
              <w:rPr>
                <w:sz w:val="18"/>
              </w:rPr>
              <w:t>Cantidad de recepciones físicas vinculadas a órdenes de compra.</w:t>
            </w:r>
          </w:p>
        </w:tc>
      </w:tr>
      <w:tr w:rsidR="000728EB" w14:paraId="16008BE6" w14:textId="77777777">
        <w:trPr>
          <w:cantSplit/>
          <w:jc w:val="center"/>
        </w:trPr>
        <w:tc>
          <w:tcPr>
            <w:tcW w:w="3384" w:type="dxa"/>
            <w:vAlign w:val="center"/>
          </w:tcPr>
          <w:p w14:paraId="5B39608F" w14:textId="77777777" w:rsidR="000728EB" w:rsidRDefault="00836C1D">
            <w:pPr>
              <w:spacing w:after="0"/>
            </w:pPr>
            <w:r>
              <w:rPr>
                <w:sz w:val="18"/>
              </w:rPr>
              <w:t>Lead time promedio días</w:t>
            </w:r>
          </w:p>
        </w:tc>
        <w:tc>
          <w:tcPr>
            <w:tcW w:w="3528" w:type="dxa"/>
            <w:vAlign w:val="center"/>
          </w:tcPr>
          <w:p w14:paraId="433A26D0" w14:textId="77777777" w:rsidR="000728EB" w:rsidRDefault="00836C1D">
            <w:pPr>
              <w:spacing w:after="0"/>
            </w:pPr>
            <w:r>
              <w:rPr>
                <w:sz w:val="18"/>
              </w:rPr>
              <w:t>Diferencia entre fecha de creación de OC y fecha de entrada</w:t>
            </w:r>
          </w:p>
        </w:tc>
        <w:tc>
          <w:tcPr>
            <w:tcW w:w="3744" w:type="dxa"/>
            <w:vAlign w:val="center"/>
          </w:tcPr>
          <w:p w14:paraId="28EFE3BD" w14:textId="77777777" w:rsidR="000728EB" w:rsidRDefault="00836C1D">
            <w:pPr>
              <w:spacing w:after="0"/>
            </w:pPr>
            <w:r>
              <w:rPr>
                <w:sz w:val="18"/>
              </w:rPr>
              <w:t>Tiempo promedio observado de abastecimiento.</w:t>
            </w:r>
          </w:p>
        </w:tc>
      </w:tr>
    </w:tbl>
    <w:p w14:paraId="2E03BFE9" w14:textId="77777777" w:rsidR="000728EB" w:rsidRDefault="000728EB"/>
    <w:p w14:paraId="60E620D0" w14:textId="77777777" w:rsidR="000728EB" w:rsidRDefault="00836C1D">
      <w:pPr>
        <w:pStyle w:val="Ttulo1"/>
      </w:pPr>
      <w:r>
        <w:t>8. Identificación de clientes y vendedores principales</w:t>
      </w:r>
    </w:p>
    <w:p w14:paraId="7785BD3A" w14:textId="77777777" w:rsidR="000728EB" w:rsidRDefault="00836C1D">
      <w:r>
        <w:t>Para enriquecer el análisis comercial del artículo, se incorporaron rankings por cliente y vendedor. Estas variables permiten entender quién concentra la demanda del artículo y qué vendedor tiene mayor participación en su comercialización.</w:t>
      </w:r>
    </w:p>
    <w:p w14:paraId="60B948F6" w14:textId="77777777" w:rsidR="000728EB" w:rsidRDefault="00836C1D">
      <w:pPr>
        <w:pStyle w:val="Ttulo2"/>
      </w:pPr>
      <w:r>
        <w:t>8.1 Clientes principales</w:t>
      </w:r>
    </w:p>
    <w:p w14:paraId="3F30FEFA" w14:textId="77777777" w:rsidR="000728EB" w:rsidRDefault="00836C1D">
      <w:r>
        <w:t>Los clientes principales se identifican en los últimos 24 meses mediante un ranking por artículo. El orden se define por venta neta, conteo neto de ventas y fecha más reciente de venta. Posteriormente se transforman los principales clientes en columnas: Cliente 1, Cliente 2, Cliente 3, Cliente 4 y Cliente 5.</w:t>
      </w:r>
    </w:p>
    <w:p w14:paraId="55B28F17" w14:textId="77777777" w:rsidR="000728EB" w:rsidRDefault="00836C1D">
      <w:r>
        <w:br w:type="page"/>
      </w:r>
    </w:p>
    <w:p w14:paraId="3E285021" w14:textId="77777777" w:rsidR="000728EB" w:rsidRDefault="00836C1D">
      <w:pPr>
        <w:pStyle w:val="Ttulo2"/>
      </w:pPr>
      <w:r>
        <w:lastRenderedPageBreak/>
        <w:t>8.2 Vendedores principales</w:t>
      </w:r>
    </w:p>
    <w:p w14:paraId="2B96D59C" w14:textId="77777777" w:rsidR="000728EB" w:rsidRDefault="00836C1D">
      <w:r>
        <w:t>Para vendedores, se agregó la relación con la tabla de vendedores de SAP Business One a través de OSLP. El objetivo es identificar los dos vendedores con mayor participación en la venta neta de cada artículo durante los últimos 24 meses.</w:t>
      </w:r>
    </w:p>
    <w:tbl>
      <w:tblPr>
        <w:tblStyle w:val="Tablaconcuadrcula"/>
        <w:tblW w:w="0" w:type="auto"/>
        <w:jc w:val="center"/>
        <w:tblLook w:val="04A0" w:firstRow="1" w:lastRow="0" w:firstColumn="1" w:lastColumn="0" w:noHBand="0" w:noVBand="1"/>
      </w:tblPr>
      <w:tblGrid>
        <w:gridCol w:w="3386"/>
        <w:gridCol w:w="6766"/>
      </w:tblGrid>
      <w:tr w:rsidR="000728EB" w14:paraId="19DB25EA" w14:textId="77777777">
        <w:trPr>
          <w:cantSplit/>
          <w:jc w:val="center"/>
        </w:trPr>
        <w:tc>
          <w:tcPr>
            <w:tcW w:w="3528" w:type="dxa"/>
            <w:shd w:val="clear" w:color="auto" w:fill="1F4E79"/>
            <w:vAlign w:val="center"/>
          </w:tcPr>
          <w:p w14:paraId="548D906C" w14:textId="77777777" w:rsidR="000728EB" w:rsidRDefault="00836C1D">
            <w:pPr>
              <w:spacing w:after="0"/>
            </w:pPr>
            <w:r>
              <w:rPr>
                <w:b/>
                <w:color w:val="FFFFFF"/>
                <w:sz w:val="18"/>
              </w:rPr>
              <w:t>Columna generada</w:t>
            </w:r>
          </w:p>
        </w:tc>
        <w:tc>
          <w:tcPr>
            <w:tcW w:w="7128" w:type="dxa"/>
            <w:shd w:val="clear" w:color="auto" w:fill="1F4E79"/>
            <w:vAlign w:val="center"/>
          </w:tcPr>
          <w:p w14:paraId="55EA5567" w14:textId="77777777" w:rsidR="000728EB" w:rsidRDefault="00836C1D">
            <w:pPr>
              <w:spacing w:after="0"/>
            </w:pPr>
            <w:r>
              <w:rPr>
                <w:b/>
                <w:color w:val="FFFFFF"/>
                <w:sz w:val="18"/>
              </w:rPr>
              <w:t>Descripción</w:t>
            </w:r>
          </w:p>
        </w:tc>
      </w:tr>
      <w:tr w:rsidR="000728EB" w14:paraId="3D947321" w14:textId="77777777">
        <w:trPr>
          <w:cantSplit/>
          <w:jc w:val="center"/>
        </w:trPr>
        <w:tc>
          <w:tcPr>
            <w:tcW w:w="3528" w:type="dxa"/>
            <w:vAlign w:val="center"/>
          </w:tcPr>
          <w:p w14:paraId="074A3F27" w14:textId="77777777" w:rsidR="000728EB" w:rsidRDefault="00836C1D">
            <w:pPr>
              <w:spacing w:after="0"/>
            </w:pPr>
            <w:r>
              <w:rPr>
                <w:sz w:val="18"/>
              </w:rPr>
              <w:t>Vendedor 1</w:t>
            </w:r>
          </w:p>
        </w:tc>
        <w:tc>
          <w:tcPr>
            <w:tcW w:w="7128" w:type="dxa"/>
            <w:vAlign w:val="center"/>
          </w:tcPr>
          <w:p w14:paraId="46657709" w14:textId="77777777" w:rsidR="000728EB" w:rsidRDefault="00836C1D">
            <w:pPr>
              <w:spacing w:after="0"/>
            </w:pPr>
            <w:r>
              <w:rPr>
                <w:sz w:val="18"/>
              </w:rPr>
              <w:t>Vendedor con mayor venta neta del artículo en 24 meses.</w:t>
            </w:r>
          </w:p>
        </w:tc>
      </w:tr>
      <w:tr w:rsidR="000728EB" w14:paraId="6E263FBB" w14:textId="77777777">
        <w:trPr>
          <w:cantSplit/>
          <w:jc w:val="center"/>
        </w:trPr>
        <w:tc>
          <w:tcPr>
            <w:tcW w:w="3528" w:type="dxa"/>
            <w:vAlign w:val="center"/>
          </w:tcPr>
          <w:p w14:paraId="0311912F" w14:textId="77777777" w:rsidR="000728EB" w:rsidRDefault="00836C1D">
            <w:pPr>
              <w:spacing w:after="0"/>
            </w:pPr>
            <w:r>
              <w:rPr>
                <w:sz w:val="18"/>
              </w:rPr>
              <w:t>Participación vendedor 1 24m</w:t>
            </w:r>
          </w:p>
        </w:tc>
        <w:tc>
          <w:tcPr>
            <w:tcW w:w="7128" w:type="dxa"/>
            <w:vAlign w:val="center"/>
          </w:tcPr>
          <w:p w14:paraId="53FB6388" w14:textId="77777777" w:rsidR="000728EB" w:rsidRDefault="00836C1D">
            <w:pPr>
              <w:spacing w:after="0"/>
            </w:pPr>
            <w:r>
              <w:rPr>
                <w:sz w:val="18"/>
              </w:rPr>
              <w:t>Proporción de la venta neta del artículo atribuida al vendedor principal.</w:t>
            </w:r>
          </w:p>
        </w:tc>
      </w:tr>
      <w:tr w:rsidR="000728EB" w14:paraId="4236AFA2" w14:textId="77777777">
        <w:trPr>
          <w:cantSplit/>
          <w:jc w:val="center"/>
        </w:trPr>
        <w:tc>
          <w:tcPr>
            <w:tcW w:w="3528" w:type="dxa"/>
            <w:vAlign w:val="center"/>
          </w:tcPr>
          <w:p w14:paraId="4C67EC48" w14:textId="77777777" w:rsidR="000728EB" w:rsidRDefault="00836C1D">
            <w:pPr>
              <w:spacing w:after="0"/>
            </w:pPr>
            <w:r>
              <w:rPr>
                <w:sz w:val="18"/>
              </w:rPr>
              <w:t>Vendedor 2</w:t>
            </w:r>
          </w:p>
        </w:tc>
        <w:tc>
          <w:tcPr>
            <w:tcW w:w="7128" w:type="dxa"/>
            <w:vAlign w:val="center"/>
          </w:tcPr>
          <w:p w14:paraId="49E07008" w14:textId="77777777" w:rsidR="000728EB" w:rsidRDefault="00836C1D">
            <w:pPr>
              <w:spacing w:after="0"/>
            </w:pPr>
            <w:r>
              <w:rPr>
                <w:sz w:val="18"/>
              </w:rPr>
              <w:t>Segundo vendedor con mayor venta neta del artículo.</w:t>
            </w:r>
          </w:p>
        </w:tc>
      </w:tr>
      <w:tr w:rsidR="000728EB" w14:paraId="28F64FD9" w14:textId="77777777">
        <w:trPr>
          <w:cantSplit/>
          <w:jc w:val="center"/>
        </w:trPr>
        <w:tc>
          <w:tcPr>
            <w:tcW w:w="3528" w:type="dxa"/>
            <w:vAlign w:val="center"/>
          </w:tcPr>
          <w:p w14:paraId="46FCB3B1" w14:textId="77777777" w:rsidR="000728EB" w:rsidRDefault="00836C1D">
            <w:pPr>
              <w:spacing w:after="0"/>
            </w:pPr>
            <w:r>
              <w:rPr>
                <w:sz w:val="18"/>
              </w:rPr>
              <w:t>Participación vendedor 2 24m</w:t>
            </w:r>
          </w:p>
        </w:tc>
        <w:tc>
          <w:tcPr>
            <w:tcW w:w="7128" w:type="dxa"/>
            <w:vAlign w:val="center"/>
          </w:tcPr>
          <w:p w14:paraId="67865EF8" w14:textId="77777777" w:rsidR="000728EB" w:rsidRDefault="00836C1D">
            <w:pPr>
              <w:spacing w:after="0"/>
            </w:pPr>
            <w:r>
              <w:rPr>
                <w:sz w:val="18"/>
              </w:rPr>
              <w:t>Proporción de la venta neta del artículo atribuida al segundo vendedor.</w:t>
            </w:r>
          </w:p>
        </w:tc>
      </w:tr>
    </w:tbl>
    <w:p w14:paraId="0C620610" w14:textId="77777777" w:rsidR="000728EB" w:rsidRDefault="000728EB"/>
    <w:p w14:paraId="278F3934" w14:textId="77777777" w:rsidR="000728EB" w:rsidRDefault="00836C1D">
      <w:pPr>
        <w:pStyle w:val="Formula"/>
        <w:jc w:val="center"/>
      </w:pPr>
      <w:r>
        <w:rPr>
          <w:b/>
        </w:rPr>
        <w:t>Participación vendedor = Venta neta del vendedor / Venta neta total del artículo</w:t>
      </w:r>
    </w:p>
    <w:p w14:paraId="3C924BDE" w14:textId="77777777" w:rsidR="000728EB" w:rsidRDefault="00836C1D">
      <w:pPr>
        <w:pStyle w:val="Ttulo1"/>
      </w:pPr>
      <w:r>
        <w:t>9. Integración con inventario, costos y precios</w:t>
      </w:r>
    </w:p>
    <w:p w14:paraId="53756488" w14:textId="77777777" w:rsidR="000728EB" w:rsidRDefault="00836C1D">
      <w:r>
        <w:t xml:space="preserve">El SELECT final integra las métricas anteriores con datos maestros del artículo, clasificación definida por el usuario, inventario </w:t>
      </w:r>
      <w:r>
        <w:t>disponible, costo promedio, último precio de compra, última fecha de compra y listas de precio comerciales. Para inventario se consolidan únicamente las bodegas relevantes con stock positivo, evitando duplicidades por registros en más de una bodega.</w:t>
      </w:r>
    </w:p>
    <w:tbl>
      <w:tblPr>
        <w:tblStyle w:val="Tablaconcuadrcula"/>
        <w:tblW w:w="0" w:type="auto"/>
        <w:jc w:val="center"/>
        <w:tblLook w:val="04A0" w:firstRow="1" w:lastRow="0" w:firstColumn="1" w:lastColumn="0" w:noHBand="0" w:noVBand="1"/>
      </w:tblPr>
      <w:tblGrid>
        <w:gridCol w:w="3043"/>
        <w:gridCol w:w="7109"/>
      </w:tblGrid>
      <w:tr w:rsidR="000728EB" w14:paraId="488E2A1A" w14:textId="77777777">
        <w:trPr>
          <w:cantSplit/>
          <w:jc w:val="center"/>
        </w:trPr>
        <w:tc>
          <w:tcPr>
            <w:tcW w:w="3168" w:type="dxa"/>
            <w:shd w:val="clear" w:color="auto" w:fill="1F4E79"/>
            <w:vAlign w:val="center"/>
          </w:tcPr>
          <w:p w14:paraId="599E89ED" w14:textId="77777777" w:rsidR="000728EB" w:rsidRDefault="00836C1D">
            <w:pPr>
              <w:spacing w:after="0"/>
            </w:pPr>
            <w:r>
              <w:rPr>
                <w:b/>
                <w:color w:val="FFFFFF"/>
                <w:sz w:val="18"/>
              </w:rPr>
              <w:t>Grupo de variables</w:t>
            </w:r>
          </w:p>
        </w:tc>
        <w:tc>
          <w:tcPr>
            <w:tcW w:w="7488" w:type="dxa"/>
            <w:shd w:val="clear" w:color="auto" w:fill="1F4E79"/>
            <w:vAlign w:val="center"/>
          </w:tcPr>
          <w:p w14:paraId="321E1EBE" w14:textId="77777777" w:rsidR="000728EB" w:rsidRDefault="00836C1D">
            <w:pPr>
              <w:spacing w:after="0"/>
            </w:pPr>
            <w:r>
              <w:rPr>
                <w:b/>
                <w:color w:val="FFFFFF"/>
                <w:sz w:val="18"/>
              </w:rPr>
              <w:t>Ejemplos</w:t>
            </w:r>
          </w:p>
        </w:tc>
      </w:tr>
      <w:tr w:rsidR="000728EB" w14:paraId="0DCE47FA" w14:textId="77777777">
        <w:trPr>
          <w:cantSplit/>
          <w:jc w:val="center"/>
        </w:trPr>
        <w:tc>
          <w:tcPr>
            <w:tcW w:w="3168" w:type="dxa"/>
            <w:vAlign w:val="center"/>
          </w:tcPr>
          <w:p w14:paraId="10F20170" w14:textId="77777777" w:rsidR="000728EB" w:rsidRDefault="00836C1D">
            <w:pPr>
              <w:spacing w:after="0"/>
            </w:pPr>
            <w:r>
              <w:rPr>
                <w:sz w:val="18"/>
              </w:rPr>
              <w:t>Identificación</w:t>
            </w:r>
          </w:p>
        </w:tc>
        <w:tc>
          <w:tcPr>
            <w:tcW w:w="7488" w:type="dxa"/>
            <w:vAlign w:val="center"/>
          </w:tcPr>
          <w:p w14:paraId="2F2DDEEF" w14:textId="77777777" w:rsidR="000728EB" w:rsidRDefault="00836C1D">
            <w:pPr>
              <w:spacing w:after="0"/>
            </w:pPr>
            <w:r>
              <w:rPr>
                <w:sz w:val="18"/>
              </w:rPr>
              <w:t>Código de artículo, descripción completa, grupo de artículo, marca/fabricante.</w:t>
            </w:r>
          </w:p>
        </w:tc>
      </w:tr>
      <w:tr w:rsidR="000728EB" w14:paraId="3FC34766" w14:textId="77777777">
        <w:trPr>
          <w:cantSplit/>
          <w:jc w:val="center"/>
        </w:trPr>
        <w:tc>
          <w:tcPr>
            <w:tcW w:w="3168" w:type="dxa"/>
            <w:vAlign w:val="center"/>
          </w:tcPr>
          <w:p w14:paraId="3DABEA6F" w14:textId="77777777" w:rsidR="000728EB" w:rsidRDefault="00836C1D">
            <w:pPr>
              <w:spacing w:after="0"/>
            </w:pPr>
            <w:r>
              <w:rPr>
                <w:sz w:val="18"/>
              </w:rPr>
              <w:t>Clasificación interna</w:t>
            </w:r>
          </w:p>
        </w:tc>
        <w:tc>
          <w:tcPr>
            <w:tcW w:w="7488" w:type="dxa"/>
            <w:vAlign w:val="center"/>
          </w:tcPr>
          <w:p w14:paraId="074D690A" w14:textId="77777777" w:rsidR="000728EB" w:rsidRDefault="00836C1D">
            <w:pPr>
              <w:spacing w:after="0"/>
            </w:pPr>
            <w:r>
              <w:rPr>
                <w:sz w:val="18"/>
              </w:rPr>
              <w:t>Categoría, subcategoría y tipo definidos en SAP.</w:t>
            </w:r>
          </w:p>
        </w:tc>
      </w:tr>
      <w:tr w:rsidR="000728EB" w14:paraId="416DF6EE" w14:textId="77777777">
        <w:trPr>
          <w:cantSplit/>
          <w:jc w:val="center"/>
        </w:trPr>
        <w:tc>
          <w:tcPr>
            <w:tcW w:w="3168" w:type="dxa"/>
            <w:vAlign w:val="center"/>
          </w:tcPr>
          <w:p w14:paraId="4196F8AF" w14:textId="77777777" w:rsidR="000728EB" w:rsidRDefault="00836C1D">
            <w:pPr>
              <w:spacing w:after="0"/>
            </w:pPr>
            <w:r>
              <w:rPr>
                <w:sz w:val="18"/>
              </w:rPr>
              <w:t>Inventario</w:t>
            </w:r>
          </w:p>
        </w:tc>
        <w:tc>
          <w:tcPr>
            <w:tcW w:w="7488" w:type="dxa"/>
            <w:vAlign w:val="center"/>
          </w:tcPr>
          <w:p w14:paraId="57CF293D" w14:textId="77777777" w:rsidR="000728EB" w:rsidRDefault="00836C1D">
            <w:pPr>
              <w:spacing w:after="0"/>
            </w:pPr>
            <w:r>
              <w:rPr>
                <w:sz w:val="18"/>
              </w:rPr>
              <w:t>Stock en mano, comprometido, pedido/tránsito, stock mínimo y máximo.</w:t>
            </w:r>
          </w:p>
        </w:tc>
      </w:tr>
      <w:tr w:rsidR="000728EB" w14:paraId="7CF60088" w14:textId="77777777">
        <w:trPr>
          <w:cantSplit/>
          <w:jc w:val="center"/>
        </w:trPr>
        <w:tc>
          <w:tcPr>
            <w:tcW w:w="3168" w:type="dxa"/>
            <w:vAlign w:val="center"/>
          </w:tcPr>
          <w:p w14:paraId="32A6E646" w14:textId="77777777" w:rsidR="000728EB" w:rsidRDefault="00836C1D">
            <w:pPr>
              <w:spacing w:after="0"/>
            </w:pPr>
            <w:r>
              <w:rPr>
                <w:sz w:val="18"/>
              </w:rPr>
              <w:t>Costos y compras</w:t>
            </w:r>
          </w:p>
        </w:tc>
        <w:tc>
          <w:tcPr>
            <w:tcW w:w="7488" w:type="dxa"/>
            <w:vAlign w:val="center"/>
          </w:tcPr>
          <w:p w14:paraId="47DCCECA" w14:textId="77777777" w:rsidR="000728EB" w:rsidRDefault="00836C1D">
            <w:pPr>
              <w:spacing w:after="0"/>
            </w:pPr>
            <w:r>
              <w:rPr>
                <w:sz w:val="18"/>
              </w:rPr>
              <w:t>Costo promedio, último precio de compra y última fecha de compra.</w:t>
            </w:r>
          </w:p>
        </w:tc>
      </w:tr>
      <w:tr w:rsidR="000728EB" w14:paraId="2A90BC34" w14:textId="77777777">
        <w:trPr>
          <w:cantSplit/>
          <w:jc w:val="center"/>
        </w:trPr>
        <w:tc>
          <w:tcPr>
            <w:tcW w:w="3168" w:type="dxa"/>
            <w:vAlign w:val="center"/>
          </w:tcPr>
          <w:p w14:paraId="047F69DB" w14:textId="77777777" w:rsidR="000728EB" w:rsidRDefault="00836C1D">
            <w:pPr>
              <w:spacing w:after="0"/>
            </w:pPr>
            <w:r>
              <w:rPr>
                <w:sz w:val="18"/>
              </w:rPr>
              <w:t>Precios de venta</w:t>
            </w:r>
          </w:p>
        </w:tc>
        <w:tc>
          <w:tcPr>
            <w:tcW w:w="7488" w:type="dxa"/>
            <w:vAlign w:val="center"/>
          </w:tcPr>
          <w:p w14:paraId="270CA132" w14:textId="77777777" w:rsidR="000728EB" w:rsidRDefault="00836C1D">
            <w:pPr>
              <w:spacing w:after="0"/>
            </w:pPr>
            <w:r>
              <w:rPr>
                <w:sz w:val="18"/>
              </w:rPr>
              <w:t>Listas 11, 12, 13 y 14.</w:t>
            </w:r>
          </w:p>
        </w:tc>
      </w:tr>
      <w:tr w:rsidR="000728EB" w14:paraId="29917981" w14:textId="77777777">
        <w:trPr>
          <w:cantSplit/>
          <w:jc w:val="center"/>
        </w:trPr>
        <w:tc>
          <w:tcPr>
            <w:tcW w:w="3168" w:type="dxa"/>
            <w:vAlign w:val="center"/>
          </w:tcPr>
          <w:p w14:paraId="0D90E3D8" w14:textId="77777777" w:rsidR="000728EB" w:rsidRDefault="00836C1D">
            <w:pPr>
              <w:spacing w:after="0"/>
            </w:pPr>
            <w:r>
              <w:rPr>
                <w:sz w:val="18"/>
              </w:rPr>
              <w:t>Ventas históricas visibles</w:t>
            </w:r>
          </w:p>
        </w:tc>
        <w:tc>
          <w:tcPr>
            <w:tcW w:w="7488" w:type="dxa"/>
            <w:vAlign w:val="center"/>
          </w:tcPr>
          <w:p w14:paraId="0A819DDA" w14:textId="77777777" w:rsidR="000728EB" w:rsidRDefault="00836C1D">
            <w:pPr>
              <w:spacing w:after="0"/>
            </w:pPr>
            <w:r>
              <w:rPr>
                <w:sz w:val="18"/>
              </w:rPr>
              <w:t>Columnas mensuales desde enero de 2024 y totalizadores anuales.</w:t>
            </w:r>
          </w:p>
        </w:tc>
      </w:tr>
    </w:tbl>
    <w:p w14:paraId="4CEF2460" w14:textId="77777777" w:rsidR="000728EB" w:rsidRDefault="000728EB"/>
    <w:p w14:paraId="0D5360E7" w14:textId="77777777" w:rsidR="000728EB" w:rsidRDefault="00836C1D">
      <w:pPr>
        <w:pStyle w:val="Ttulo1"/>
      </w:pPr>
      <w:r>
        <w:t xml:space="preserve">10. </w:t>
      </w:r>
      <w:r>
        <w:t>Consideraciones metodológicas</w:t>
      </w:r>
    </w:p>
    <w:p w14:paraId="52B93238" w14:textId="77777777" w:rsidR="000728EB" w:rsidRDefault="00836C1D">
      <w:r>
        <w:t>La construcción del query considera las siguientes decisiones metodológicas:</w:t>
      </w:r>
    </w:p>
    <w:p w14:paraId="25C85FF1" w14:textId="77777777" w:rsidR="000728EB" w:rsidRDefault="00836C1D">
      <w:pPr>
        <w:pStyle w:val="Listaconvietas"/>
      </w:pPr>
      <w:r>
        <w:t>Las columnas mensuales visibles no necesariamente definen el período de cálculo de parámetros. La ventana visible inicia en 2024, mientras que las métricas de decisión se calculan sobre 24 meses.</w:t>
      </w:r>
    </w:p>
    <w:p w14:paraId="131572FA" w14:textId="77777777" w:rsidR="000728EB" w:rsidRDefault="00836C1D">
      <w:pPr>
        <w:pStyle w:val="Listaconvietas"/>
      </w:pPr>
      <w:r>
        <w:t>Las notas de crédito se restan para evitar sobreestimar demanda, compras o recurrencia documental.</w:t>
      </w:r>
    </w:p>
    <w:p w14:paraId="38E88CCE" w14:textId="77777777" w:rsidR="000728EB" w:rsidRDefault="00836C1D">
      <w:pPr>
        <w:pStyle w:val="Listaconvietas"/>
      </w:pPr>
      <w:r>
        <w:t>El conteo neto de ventas mide eventos comerciales ajustados por devoluciones, no unidades vendidas.</w:t>
      </w:r>
    </w:p>
    <w:p w14:paraId="4C6E8637" w14:textId="77777777" w:rsidR="000728EB" w:rsidRDefault="00836C1D">
      <w:pPr>
        <w:pStyle w:val="Listaconvietas"/>
      </w:pPr>
      <w:r>
        <w:t>El conteo neto de compras mide facturas de proveedor ajustadas por notas de crédito, no entradas físicas.</w:t>
      </w:r>
    </w:p>
    <w:p w14:paraId="471FBB7B" w14:textId="77777777" w:rsidR="000728EB" w:rsidRDefault="00836C1D">
      <w:pPr>
        <w:pStyle w:val="Listaconvietas"/>
      </w:pPr>
      <w:r>
        <w:t>El lead time se basa en entradas de mercancía vinculadas a órdenes de compra, por lo que refleja el proceso logístico real de recepción.</w:t>
      </w:r>
    </w:p>
    <w:p w14:paraId="27682CCF" w14:textId="77777777" w:rsidR="000728EB" w:rsidRDefault="00836C1D">
      <w:pPr>
        <w:pStyle w:val="Listaconvietas"/>
      </w:pPr>
      <w:r>
        <w:t xml:space="preserve">La cantidad </w:t>
      </w:r>
      <w:r>
        <w:t>promedio pedida por OC representa un posible indicador de lote histórico de compra.</w:t>
      </w:r>
    </w:p>
    <w:p w14:paraId="628BD3D8" w14:textId="77777777" w:rsidR="000728EB" w:rsidRDefault="00836C1D">
      <w:pPr>
        <w:pStyle w:val="Listaconvietas"/>
      </w:pPr>
      <w:r>
        <w:t>Los clientes y vendedores principales se calculan en la ventana de 24 meses para reflejar comportamiento reciente.</w:t>
      </w:r>
    </w:p>
    <w:p w14:paraId="294AECB9" w14:textId="77777777" w:rsidR="000728EB" w:rsidRDefault="00836C1D">
      <w:r>
        <w:br w:type="page"/>
      </w:r>
    </w:p>
    <w:p w14:paraId="3A683439" w14:textId="77777777" w:rsidR="000728EB" w:rsidRDefault="00836C1D">
      <w:pPr>
        <w:pStyle w:val="Ttulo1"/>
      </w:pPr>
      <w:r>
        <w:lastRenderedPageBreak/>
        <w:t>11. Relación con el modelo de reabastecimiento</w:t>
      </w:r>
    </w:p>
    <w:p w14:paraId="4AA83F54" w14:textId="77777777" w:rsidR="000728EB" w:rsidRDefault="00836C1D">
      <w:r>
        <w:t>Las variables generadas permiten construir reglas y modelos posteriores de reabastecimiento. La venta anualizada y la frecuencia de venta sirven para estimar demanda reciente; la frecuencia de compra y los meses promedio entre compras permiten evaluar patrones de reposición; el lead time promedio contribuye a dimensionar puntos de pedido; y la cantidad promedio pedida por OC ayuda a establecer lotes de compra realistas.</w:t>
      </w:r>
    </w:p>
    <w:tbl>
      <w:tblPr>
        <w:tblStyle w:val="Tablaconcuadrcula"/>
        <w:tblW w:w="0" w:type="auto"/>
        <w:jc w:val="center"/>
        <w:tblLook w:val="04A0" w:firstRow="1" w:lastRow="0" w:firstColumn="1" w:lastColumn="0" w:noHBand="0" w:noVBand="1"/>
      </w:tblPr>
      <w:tblGrid>
        <w:gridCol w:w="3508"/>
        <w:gridCol w:w="6644"/>
      </w:tblGrid>
      <w:tr w:rsidR="000728EB" w14:paraId="09DD7D66" w14:textId="77777777">
        <w:trPr>
          <w:cantSplit/>
          <w:jc w:val="center"/>
        </w:trPr>
        <w:tc>
          <w:tcPr>
            <w:tcW w:w="3672" w:type="dxa"/>
            <w:shd w:val="clear" w:color="auto" w:fill="1F4E79"/>
            <w:vAlign w:val="center"/>
          </w:tcPr>
          <w:p w14:paraId="33926470" w14:textId="77777777" w:rsidR="000728EB" w:rsidRDefault="00836C1D">
            <w:pPr>
              <w:spacing w:after="0"/>
            </w:pPr>
            <w:r>
              <w:rPr>
                <w:b/>
                <w:color w:val="FFFFFF"/>
                <w:sz w:val="18"/>
              </w:rPr>
              <w:t>Variable</w:t>
            </w:r>
          </w:p>
        </w:tc>
        <w:tc>
          <w:tcPr>
            <w:tcW w:w="6984" w:type="dxa"/>
            <w:shd w:val="clear" w:color="auto" w:fill="1F4E79"/>
            <w:vAlign w:val="center"/>
          </w:tcPr>
          <w:p w14:paraId="1223FE3F" w14:textId="77777777" w:rsidR="000728EB" w:rsidRDefault="00836C1D">
            <w:pPr>
              <w:spacing w:after="0"/>
            </w:pPr>
            <w:r>
              <w:rPr>
                <w:b/>
                <w:color w:val="FFFFFF"/>
                <w:sz w:val="18"/>
              </w:rPr>
              <w:t>Uso potencial en el modelo</w:t>
            </w:r>
          </w:p>
        </w:tc>
      </w:tr>
      <w:tr w:rsidR="000728EB" w14:paraId="4EF78AEB" w14:textId="77777777">
        <w:trPr>
          <w:cantSplit/>
          <w:jc w:val="center"/>
        </w:trPr>
        <w:tc>
          <w:tcPr>
            <w:tcW w:w="3672" w:type="dxa"/>
            <w:vAlign w:val="center"/>
          </w:tcPr>
          <w:p w14:paraId="1120629D" w14:textId="77777777" w:rsidR="000728EB" w:rsidRDefault="00836C1D">
            <w:pPr>
              <w:spacing w:after="0"/>
            </w:pPr>
            <w:r>
              <w:rPr>
                <w:sz w:val="18"/>
              </w:rPr>
              <w:t>Ventas netas 24m</w:t>
            </w:r>
          </w:p>
        </w:tc>
        <w:tc>
          <w:tcPr>
            <w:tcW w:w="6984" w:type="dxa"/>
            <w:vAlign w:val="center"/>
          </w:tcPr>
          <w:p w14:paraId="2273C920" w14:textId="77777777" w:rsidR="000728EB" w:rsidRDefault="00836C1D">
            <w:pPr>
              <w:spacing w:after="0"/>
            </w:pPr>
            <w:r>
              <w:rPr>
                <w:sz w:val="18"/>
              </w:rPr>
              <w:t>Base de demanda reciente.</w:t>
            </w:r>
          </w:p>
        </w:tc>
      </w:tr>
      <w:tr w:rsidR="000728EB" w14:paraId="05C5A290" w14:textId="77777777">
        <w:trPr>
          <w:cantSplit/>
          <w:jc w:val="center"/>
        </w:trPr>
        <w:tc>
          <w:tcPr>
            <w:tcW w:w="3672" w:type="dxa"/>
            <w:vAlign w:val="center"/>
          </w:tcPr>
          <w:p w14:paraId="09993F5A" w14:textId="77777777" w:rsidR="000728EB" w:rsidRDefault="00836C1D">
            <w:pPr>
              <w:spacing w:after="0"/>
            </w:pPr>
            <w:r>
              <w:rPr>
                <w:sz w:val="18"/>
              </w:rPr>
              <w:t xml:space="preserve">Venta </w:t>
            </w:r>
            <w:r>
              <w:rPr>
                <w:sz w:val="18"/>
              </w:rPr>
              <w:t>anualizada 24m</w:t>
            </w:r>
          </w:p>
        </w:tc>
        <w:tc>
          <w:tcPr>
            <w:tcW w:w="6984" w:type="dxa"/>
            <w:vAlign w:val="center"/>
          </w:tcPr>
          <w:p w14:paraId="57201B56" w14:textId="77777777" w:rsidR="000728EB" w:rsidRDefault="00836C1D">
            <w:pPr>
              <w:spacing w:after="0"/>
            </w:pPr>
            <w:r>
              <w:rPr>
                <w:sz w:val="18"/>
              </w:rPr>
              <w:t>Estimación anual promedio para parametrización.</w:t>
            </w:r>
          </w:p>
        </w:tc>
      </w:tr>
      <w:tr w:rsidR="000728EB" w14:paraId="17365CD8" w14:textId="77777777">
        <w:trPr>
          <w:cantSplit/>
          <w:jc w:val="center"/>
        </w:trPr>
        <w:tc>
          <w:tcPr>
            <w:tcW w:w="3672" w:type="dxa"/>
            <w:vAlign w:val="center"/>
          </w:tcPr>
          <w:p w14:paraId="09FA2C82" w14:textId="77777777" w:rsidR="000728EB" w:rsidRDefault="00836C1D">
            <w:pPr>
              <w:spacing w:after="0"/>
            </w:pPr>
            <w:r>
              <w:rPr>
                <w:sz w:val="18"/>
              </w:rPr>
              <w:t>Frecuencia venta mensual 24m</w:t>
            </w:r>
          </w:p>
        </w:tc>
        <w:tc>
          <w:tcPr>
            <w:tcW w:w="6984" w:type="dxa"/>
            <w:vAlign w:val="center"/>
          </w:tcPr>
          <w:p w14:paraId="5D8A218F" w14:textId="77777777" w:rsidR="000728EB" w:rsidRDefault="00836C1D">
            <w:pPr>
              <w:spacing w:after="0"/>
            </w:pPr>
            <w:r>
              <w:rPr>
                <w:sz w:val="18"/>
              </w:rPr>
              <w:t>Indicador de recurrencia de demanda.</w:t>
            </w:r>
          </w:p>
        </w:tc>
      </w:tr>
      <w:tr w:rsidR="000728EB" w14:paraId="7D28F4A1" w14:textId="77777777">
        <w:trPr>
          <w:cantSplit/>
          <w:jc w:val="center"/>
        </w:trPr>
        <w:tc>
          <w:tcPr>
            <w:tcW w:w="3672" w:type="dxa"/>
            <w:vAlign w:val="center"/>
          </w:tcPr>
          <w:p w14:paraId="1B94818B" w14:textId="77777777" w:rsidR="000728EB" w:rsidRDefault="00836C1D">
            <w:pPr>
              <w:spacing w:after="0"/>
            </w:pPr>
            <w:r>
              <w:rPr>
                <w:sz w:val="18"/>
              </w:rPr>
              <w:t>Cantidad clientes 24m</w:t>
            </w:r>
          </w:p>
        </w:tc>
        <w:tc>
          <w:tcPr>
            <w:tcW w:w="6984" w:type="dxa"/>
            <w:vAlign w:val="center"/>
          </w:tcPr>
          <w:p w14:paraId="2B3A7861" w14:textId="77777777" w:rsidR="000728EB" w:rsidRDefault="00836C1D">
            <w:pPr>
              <w:spacing w:after="0"/>
            </w:pPr>
            <w:r>
              <w:rPr>
                <w:sz w:val="18"/>
              </w:rPr>
              <w:t>Indicador de dispersión o concentración comercial.</w:t>
            </w:r>
          </w:p>
        </w:tc>
      </w:tr>
      <w:tr w:rsidR="000728EB" w14:paraId="11FAD18E" w14:textId="77777777">
        <w:trPr>
          <w:cantSplit/>
          <w:jc w:val="center"/>
        </w:trPr>
        <w:tc>
          <w:tcPr>
            <w:tcW w:w="3672" w:type="dxa"/>
            <w:vAlign w:val="center"/>
          </w:tcPr>
          <w:p w14:paraId="273DCB10" w14:textId="77777777" w:rsidR="000728EB" w:rsidRDefault="00836C1D">
            <w:pPr>
              <w:spacing w:after="0"/>
            </w:pPr>
            <w:r>
              <w:rPr>
                <w:sz w:val="18"/>
              </w:rPr>
              <w:t>Frecuencia compra mensual 24m</w:t>
            </w:r>
          </w:p>
        </w:tc>
        <w:tc>
          <w:tcPr>
            <w:tcW w:w="6984" w:type="dxa"/>
            <w:vAlign w:val="center"/>
          </w:tcPr>
          <w:p w14:paraId="08A3E0FC" w14:textId="77777777" w:rsidR="000728EB" w:rsidRDefault="00836C1D">
            <w:pPr>
              <w:spacing w:after="0"/>
            </w:pPr>
            <w:r>
              <w:rPr>
                <w:sz w:val="18"/>
              </w:rPr>
              <w:t>Indicador de recurrencia de abastecimiento.</w:t>
            </w:r>
          </w:p>
        </w:tc>
      </w:tr>
      <w:tr w:rsidR="000728EB" w14:paraId="393F3FEB" w14:textId="77777777">
        <w:trPr>
          <w:cantSplit/>
          <w:jc w:val="center"/>
        </w:trPr>
        <w:tc>
          <w:tcPr>
            <w:tcW w:w="3672" w:type="dxa"/>
            <w:vAlign w:val="center"/>
          </w:tcPr>
          <w:p w14:paraId="5E45FC4A" w14:textId="77777777" w:rsidR="000728EB" w:rsidRDefault="00836C1D">
            <w:pPr>
              <w:spacing w:after="0"/>
            </w:pPr>
            <w:r>
              <w:rPr>
                <w:sz w:val="18"/>
              </w:rPr>
              <w:t>Meses promedio entre compras 24m</w:t>
            </w:r>
          </w:p>
        </w:tc>
        <w:tc>
          <w:tcPr>
            <w:tcW w:w="6984" w:type="dxa"/>
            <w:vAlign w:val="center"/>
          </w:tcPr>
          <w:p w14:paraId="3DEC9C91" w14:textId="77777777" w:rsidR="000728EB" w:rsidRDefault="00836C1D">
            <w:pPr>
              <w:spacing w:after="0"/>
            </w:pPr>
            <w:r>
              <w:rPr>
                <w:sz w:val="18"/>
              </w:rPr>
              <w:t>Referencia histórica de ciclo de reposición.</w:t>
            </w:r>
          </w:p>
        </w:tc>
      </w:tr>
      <w:tr w:rsidR="000728EB" w14:paraId="213A1C8F" w14:textId="77777777">
        <w:trPr>
          <w:cantSplit/>
          <w:jc w:val="center"/>
        </w:trPr>
        <w:tc>
          <w:tcPr>
            <w:tcW w:w="3672" w:type="dxa"/>
            <w:vAlign w:val="center"/>
          </w:tcPr>
          <w:p w14:paraId="4A83DAA9" w14:textId="77777777" w:rsidR="000728EB" w:rsidRDefault="00836C1D">
            <w:pPr>
              <w:spacing w:after="0"/>
            </w:pPr>
            <w:r>
              <w:rPr>
                <w:sz w:val="18"/>
              </w:rPr>
              <w:t>Cantidad promedio pedido 24m</w:t>
            </w:r>
          </w:p>
        </w:tc>
        <w:tc>
          <w:tcPr>
            <w:tcW w:w="6984" w:type="dxa"/>
            <w:vAlign w:val="center"/>
          </w:tcPr>
          <w:p w14:paraId="3F685964" w14:textId="77777777" w:rsidR="000728EB" w:rsidRDefault="00836C1D">
            <w:pPr>
              <w:spacing w:after="0"/>
            </w:pPr>
            <w:r>
              <w:rPr>
                <w:sz w:val="18"/>
              </w:rPr>
              <w:t>Referencia para lote promedio histórico.</w:t>
            </w:r>
          </w:p>
        </w:tc>
      </w:tr>
      <w:tr w:rsidR="000728EB" w14:paraId="035993E8" w14:textId="77777777">
        <w:trPr>
          <w:cantSplit/>
          <w:jc w:val="center"/>
        </w:trPr>
        <w:tc>
          <w:tcPr>
            <w:tcW w:w="3672" w:type="dxa"/>
            <w:vAlign w:val="center"/>
          </w:tcPr>
          <w:p w14:paraId="4D665B83" w14:textId="77777777" w:rsidR="000728EB" w:rsidRDefault="00836C1D">
            <w:pPr>
              <w:spacing w:after="0"/>
            </w:pPr>
            <w:r>
              <w:rPr>
                <w:sz w:val="18"/>
              </w:rPr>
              <w:t>Lead time promedio días</w:t>
            </w:r>
          </w:p>
        </w:tc>
        <w:tc>
          <w:tcPr>
            <w:tcW w:w="6984" w:type="dxa"/>
            <w:vAlign w:val="center"/>
          </w:tcPr>
          <w:p w14:paraId="6AD187F4" w14:textId="77777777" w:rsidR="000728EB" w:rsidRDefault="00836C1D">
            <w:pPr>
              <w:spacing w:after="0"/>
            </w:pPr>
            <w:r>
              <w:rPr>
                <w:sz w:val="18"/>
              </w:rPr>
              <w:t xml:space="preserve">Variable crítica para punto de pedido y stock de </w:t>
            </w:r>
            <w:r>
              <w:rPr>
                <w:sz w:val="18"/>
              </w:rPr>
              <w:t>seguridad.</w:t>
            </w:r>
          </w:p>
        </w:tc>
      </w:tr>
      <w:tr w:rsidR="000728EB" w14:paraId="0C633B38" w14:textId="77777777">
        <w:trPr>
          <w:cantSplit/>
          <w:jc w:val="center"/>
        </w:trPr>
        <w:tc>
          <w:tcPr>
            <w:tcW w:w="3672" w:type="dxa"/>
            <w:vAlign w:val="center"/>
          </w:tcPr>
          <w:p w14:paraId="1E8BCCED" w14:textId="77777777" w:rsidR="000728EB" w:rsidRDefault="00836C1D">
            <w:pPr>
              <w:spacing w:after="0"/>
            </w:pPr>
            <w:r>
              <w:rPr>
                <w:sz w:val="18"/>
              </w:rPr>
              <w:t>Vendedor 1 / Vendedor 2</w:t>
            </w:r>
          </w:p>
        </w:tc>
        <w:tc>
          <w:tcPr>
            <w:tcW w:w="6984" w:type="dxa"/>
            <w:vAlign w:val="center"/>
          </w:tcPr>
          <w:p w14:paraId="744168ED" w14:textId="77777777" w:rsidR="000728EB" w:rsidRDefault="00836C1D">
            <w:pPr>
              <w:spacing w:after="0"/>
            </w:pPr>
            <w:r>
              <w:rPr>
                <w:sz w:val="18"/>
              </w:rPr>
              <w:t>Permite identificar responsabilidad comercial y concentración de venta por artículo.</w:t>
            </w:r>
          </w:p>
        </w:tc>
      </w:tr>
    </w:tbl>
    <w:p w14:paraId="55E39534" w14:textId="77777777" w:rsidR="000728EB" w:rsidRDefault="000728EB"/>
    <w:p w14:paraId="16DFDF22" w14:textId="77777777" w:rsidR="000728EB" w:rsidRDefault="00836C1D">
      <w:pPr>
        <w:pStyle w:val="Ttulo1"/>
      </w:pPr>
      <w:r>
        <w:t>12. Fragmentos clave del procedimiento</w:t>
      </w:r>
    </w:p>
    <w:p w14:paraId="257FDCC4" w14:textId="77777777" w:rsidR="000728EB" w:rsidRDefault="00836C1D">
      <w:r>
        <w:t>A continuación se documentan fragmentos representativos del procedimiento. No se incluye el query completo en el cuerpo del capítulo para evitar sobrecargar la lectura; el código completo puede mantenerse como anexo técnico o archivo reproducible del proyecto.</w:t>
      </w:r>
    </w:p>
    <w:p w14:paraId="354514A2" w14:textId="77777777" w:rsidR="000728EB" w:rsidRDefault="00836C1D">
      <w:pPr>
        <w:pStyle w:val="Ttulo2"/>
      </w:pPr>
      <w:r>
        <w:t>12.1 Configuración de ventanas de fecha</w:t>
      </w:r>
    </w:p>
    <w:p w14:paraId="363564FE" w14:textId="77777777" w:rsidR="000728EB" w:rsidRDefault="00836C1D">
      <w:pPr>
        <w:pStyle w:val="CodeBlock"/>
      </w:pPr>
      <w:r>
        <w:t>fecha_inicio_visual = date(2024, 1, 1)</w:t>
      </w:r>
      <w:r>
        <w:br/>
        <w:t>fecha_inicio_visual_sql = fecha_inicio_visual.strftime("%Y-%m-%d")</w:t>
      </w:r>
      <w:r>
        <w:br/>
      </w:r>
      <w:r>
        <w:br/>
        <w:t>fecha_inicio_24m = fecha_fin - relativedelta(months=24)</w:t>
      </w:r>
      <w:r>
        <w:br/>
        <w:t>fecha_inicio_24m_sql = fecha_inicio_24m.strftime("%Y-%m-%d")</w:t>
      </w:r>
      <w:r>
        <w:br/>
      </w:r>
      <w:r>
        <w:br/>
        <w:t>periodo_meses_24m = 24</w:t>
      </w:r>
    </w:p>
    <w:p w14:paraId="39702B75" w14:textId="77777777" w:rsidR="000728EB" w:rsidRDefault="00836C1D">
      <w:pPr>
        <w:pStyle w:val="Ttulo2"/>
      </w:pPr>
      <w:r>
        <w:t>12.2 Frecuencia de compra mensual 24m</w:t>
      </w:r>
    </w:p>
    <w:p w14:paraId="1F3FF069" w14:textId="77777777" w:rsidR="000728EB" w:rsidRDefault="00836C1D">
      <w:pPr>
        <w:pStyle w:val="CodeBlock"/>
      </w:pPr>
      <w:r>
        <w:t>Frecuencia compra mensual 24m =</w:t>
      </w:r>
      <w:r>
        <w:br/>
        <w:t xml:space="preserve">    Conteo compras netas 24m / 24</w:t>
      </w:r>
    </w:p>
    <w:p w14:paraId="72F6BBDE" w14:textId="77777777" w:rsidR="000728EB" w:rsidRDefault="00836C1D">
      <w:pPr>
        <w:pStyle w:val="Ttulo2"/>
      </w:pPr>
      <w:r>
        <w:t>12.3 Lead time de compra</w:t>
      </w:r>
    </w:p>
    <w:p w14:paraId="7E9217AD" w14:textId="77777777" w:rsidR="000728EB" w:rsidRDefault="00836C1D">
      <w:pPr>
        <w:pStyle w:val="CodeBlock"/>
      </w:pPr>
      <w:r>
        <w:t>DATEDIFF(</w:t>
      </w:r>
      <w:r>
        <w:br/>
        <w:t xml:space="preserve">    DAY,</w:t>
      </w:r>
      <w:r>
        <w:br/>
        <w:t xml:space="preserve">    HPO.CreateDate,</w:t>
      </w:r>
      <w:r>
        <w:br/>
        <w:t xml:space="preserve">    HGR.DocDate</w:t>
      </w:r>
      <w:r>
        <w:br/>
        <w:t>) AS [Lead time días]</w:t>
      </w:r>
    </w:p>
    <w:p w14:paraId="45A33492" w14:textId="77777777" w:rsidR="000728EB" w:rsidRDefault="00836C1D">
      <w:r>
        <w:br w:type="page"/>
      </w:r>
    </w:p>
    <w:p w14:paraId="21248E19" w14:textId="77777777" w:rsidR="000728EB" w:rsidRDefault="00836C1D">
      <w:pPr>
        <w:pStyle w:val="Ttulo1"/>
      </w:pPr>
      <w:r>
        <w:lastRenderedPageBreak/>
        <w:t>13. Conclusión metodológica</w:t>
      </w:r>
    </w:p>
    <w:p w14:paraId="126C0C62" w14:textId="77777777" w:rsidR="000728EB" w:rsidRDefault="00836C1D">
      <w:r>
        <w:t xml:space="preserve">El procedimiento desarrollado consolida en un único dataframe </w:t>
      </w:r>
      <w:r>
        <w:t xml:space="preserve">información crítica para el análisis de inventario y abastecimiento. La separación entre ventana visual y ventana analítica permite mantener trazabilidad histórica desde 2024 sin comprometer la validez de los parámetros calculados sobre comportamiento reciente. Asimismo, la integración de ventas netas, compras netas, órdenes de compra, entradas de mercancía, clientes principales, vendedores principales y lead time proporciona una base robusta para el diseño posterior de reglas de reabastecimiento y modelos </w:t>
      </w:r>
      <w:r>
        <w:t>de forecast aplicables a artículos con demanda recurrente.</w:t>
      </w:r>
    </w:p>
    <w:p w14:paraId="5623C106" w14:textId="77777777" w:rsidR="000728EB" w:rsidRDefault="00836C1D">
      <w:r>
        <w:t>Desde una perspectiva de tesis, esta etapa representa la transformación de datos transaccionales de SAP Business One en variables analíticas estructuradas. Dichas variables permiten pasar de información operativa dispersa a un dataset metodológicamente preparado para análisis predictivo, clasificación de abastecimiento y toma de decisiones basada en datos.</w:t>
      </w:r>
    </w:p>
    <w:sectPr w:rsidR="000728EB" w:rsidSect="00034616">
      <w:headerReference w:type="default" r:id="rId8"/>
      <w:footerReference w:type="default" r:id="rId9"/>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82ED83" w14:textId="77777777" w:rsidR="00836C1D" w:rsidRDefault="00836C1D">
      <w:pPr>
        <w:spacing w:after="0" w:line="240" w:lineRule="auto"/>
      </w:pPr>
      <w:r>
        <w:separator/>
      </w:r>
    </w:p>
  </w:endnote>
  <w:endnote w:type="continuationSeparator" w:id="0">
    <w:p w14:paraId="0BA65500" w14:textId="77777777" w:rsidR="00836C1D" w:rsidRDefault="00836C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CD5B47" w14:textId="77777777" w:rsidR="000728EB" w:rsidRDefault="00836C1D">
    <w:pPr>
      <w:pStyle w:val="Piedepgina"/>
      <w:jc w:val="right"/>
    </w:pPr>
    <w:r>
      <w:t xml:space="preserve">Página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0A18BD" w14:textId="77777777" w:rsidR="00836C1D" w:rsidRDefault="00836C1D">
      <w:pPr>
        <w:spacing w:after="0" w:line="240" w:lineRule="auto"/>
      </w:pPr>
      <w:r>
        <w:separator/>
      </w:r>
    </w:p>
  </w:footnote>
  <w:footnote w:type="continuationSeparator" w:id="0">
    <w:p w14:paraId="4E3A399F" w14:textId="77777777" w:rsidR="00836C1D" w:rsidRDefault="00836C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65EC7A" w14:textId="77777777" w:rsidR="000728EB" w:rsidRDefault="00836C1D">
    <w:pPr>
      <w:pStyle w:val="Encabezado"/>
    </w:pPr>
    <w:r>
      <w:rPr>
        <w:color w:val="595959"/>
        <w:sz w:val="17"/>
      </w:rPr>
      <w:t>Metodología de parametrización de inventario | Tesis de Maestría en Inteligencia Artificial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93429652">
    <w:abstractNumId w:val="8"/>
  </w:num>
  <w:num w:numId="2" w16cid:durableId="1727754783">
    <w:abstractNumId w:val="6"/>
  </w:num>
  <w:num w:numId="3" w16cid:durableId="2045053719">
    <w:abstractNumId w:val="5"/>
  </w:num>
  <w:num w:numId="4" w16cid:durableId="1617559835">
    <w:abstractNumId w:val="4"/>
  </w:num>
  <w:num w:numId="5" w16cid:durableId="158928241">
    <w:abstractNumId w:val="7"/>
  </w:num>
  <w:num w:numId="6" w16cid:durableId="1294406263">
    <w:abstractNumId w:val="3"/>
  </w:num>
  <w:num w:numId="7" w16cid:durableId="1545754709">
    <w:abstractNumId w:val="2"/>
  </w:num>
  <w:num w:numId="8" w16cid:durableId="1705128292">
    <w:abstractNumId w:val="1"/>
  </w:num>
  <w:num w:numId="9" w16cid:durableId="1088380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8EB"/>
    <w:rsid w:val="0015074B"/>
    <w:rsid w:val="0029639D"/>
    <w:rsid w:val="00326F90"/>
    <w:rsid w:val="00836C1D"/>
    <w:rsid w:val="0095576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D55A1A"/>
  <w14:defaultImageDpi w14:val="300"/>
  <w15:docId w15:val="{F505DDE7-8DBC-41EC-A029-3D241B4CE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sz w:val="21"/>
    </w:rPr>
  </w:style>
  <w:style w:type="paragraph" w:styleId="Ttulo1">
    <w:name w:val="heading 1"/>
    <w:basedOn w:val="Normal"/>
    <w:next w:val="Normal"/>
    <w:link w:val="Ttulo1Car"/>
    <w:uiPriority w:val="9"/>
    <w:qFormat/>
    <w:rsid w:val="00FC693F"/>
    <w:pPr>
      <w:keepNext/>
      <w:keepLines/>
      <w:spacing w:before="160" w:after="80"/>
      <w:outlineLvl w:val="0"/>
    </w:pPr>
    <w:rPr>
      <w:rFonts w:asciiTheme="majorHAnsi" w:eastAsiaTheme="majorEastAsia" w:hAnsiTheme="majorHAnsi" w:cstheme="majorBidi"/>
      <w:b/>
      <w:bCs/>
      <w:color w:val="1F4E79"/>
      <w:sz w:val="28"/>
      <w:szCs w:val="28"/>
    </w:rPr>
  </w:style>
  <w:style w:type="paragraph" w:styleId="Ttulo2">
    <w:name w:val="heading 2"/>
    <w:basedOn w:val="Normal"/>
    <w:next w:val="Normal"/>
    <w:link w:val="Ttulo2Car"/>
    <w:uiPriority w:val="9"/>
    <w:unhideWhenUsed/>
    <w:qFormat/>
    <w:rsid w:val="00FC693F"/>
    <w:pPr>
      <w:keepNext/>
      <w:keepLines/>
      <w:spacing w:before="160" w:after="80"/>
      <w:outlineLvl w:val="1"/>
    </w:pPr>
    <w:rPr>
      <w:rFonts w:asciiTheme="majorHAnsi" w:eastAsiaTheme="majorEastAsia" w:hAnsiTheme="majorHAnsi" w:cstheme="majorBidi"/>
      <w:b/>
      <w:bCs/>
      <w:color w:val="365F91"/>
      <w:sz w:val="24"/>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4F81BD"/>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16" w:right="216"/>
    </w:pPr>
    <w:rPr>
      <w:rFonts w:ascii="Consolas" w:eastAsia="Consolas" w:hAnsi="Consolas"/>
      <w:sz w:val="18"/>
    </w:rPr>
  </w:style>
  <w:style w:type="paragraph" w:customStyle="1" w:styleId="Formula">
    <w:name w:val="Formula"/>
    <w:pPr>
      <w:spacing w:before="80" w:after="160"/>
    </w:pPr>
    <w:rPr>
      <w:rFonts w:ascii="Calibri" w:eastAsia="Calibri" w:hAnsi="Calibr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2428</Words>
  <Characters>13360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Hoppe</cp:lastModifiedBy>
  <cp:revision>2</cp:revision>
  <dcterms:created xsi:type="dcterms:W3CDTF">2026-06-19T19:14:00Z</dcterms:created>
  <dcterms:modified xsi:type="dcterms:W3CDTF">2026-06-19T19:14:00Z</dcterms:modified>
  <cp:category/>
</cp:coreProperties>
</file>