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Atlas Order Injection System</w:t>
      </w:r>
    </w:p>
    <w:p>
      <w:r>
        <w:t>Setup, architecture, processing flow, and implementation reference</w:t>
      </w:r>
    </w:p>
    <w:p>
      <w:r>
        <w:t>Source reviewed: ATLAS_CC.ZIP (compiled Java classes) and src.zip (Java source).  |  10 October 2026</w:t>
      </w:r>
    </w:p>
    <w:p>
      <w:pPr>
        <w:pStyle w:val="Heading1"/>
      </w:pPr>
      <w:r>
        <w:t>1. Purpose and scope</w:t>
      </w:r>
    </w:p>
    <w:p>
      <w:r>
        <w:t>Atlas Order Injection converts eGrowcery export orders into Toshiba/IBM ACE-style transaction-log (TLOG) records. The Java service retrieves order files from an FTPS server, parses them into an intermediate order model, enriches the lines with item-master values from 4690 keyed files, serializes transaction records, and appends bytes to the current ACE TLOG. This inserts transaction history; it does not simulate register keystrokes or itself tender a live POS sale.</w:t>
      </w:r>
    </w:p>
    <w:p>
      <w:pPr>
        <w:pStyle w:val="Heading1"/>
      </w:pPr>
      <w:r>
        <w:t>2. End-to-end processing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</w:tcPr>
          <w:p>
            <w:pPr>
              <w:spacing w:after="20"/>
            </w:pPr>
            <w:r>
              <w:t>Stage</w:t>
            </w:r>
          </w:p>
        </w:tc>
        <w:tc>
          <w:tcPr>
            <w:tcW w:type="dxa" w:w="4882"/>
          </w:tcPr>
          <w:p>
            <w:pPr>
              <w:spacing w:after="20"/>
            </w:pPr>
            <w:r>
              <w:t>Implementation / outcome</w:t>
            </w:r>
          </w:p>
        </w:tc>
      </w:tr>
      <w:tr>
        <w:tc>
          <w:tcPr>
            <w:tcW w:type="dxa" w:w="4882"/>
            <w:vAlign w:val="center"/>
          </w:tcPr>
          <w:p>
            <w:pPr>
              <w:spacing w:after="20"/>
            </w:pPr>
            <w:r>
              <w:t>1. Schedule</w:t>
            </w:r>
          </w:p>
        </w:tc>
        <w:tc>
          <w:tcPr>
            <w:tcW w:type="dxa" w:w="4882"/>
            <w:vAlign w:val="center"/>
          </w:tcPr>
          <w:p>
            <w:pPr>
              <w:spacing w:after="20"/>
            </w:pPr>
            <w:r>
              <w:t>eGrowceryProcessor.main() starts a single-thread fixed-delay scheduler.</w:t>
            </w:r>
          </w:p>
        </w:tc>
      </w:tr>
      <w:tr>
        <w:tc>
          <w:tcPr>
            <w:tcW w:type="dxa" w:w="4882"/>
            <w:vAlign w:val="center"/>
          </w:tcPr>
          <w:p>
            <w:pPr>
              <w:spacing w:after="20"/>
            </w:pPr>
            <w:r>
              <w:t>2. Retrieve</w:t>
            </w:r>
          </w:p>
        </w:tc>
        <w:tc>
          <w:tcPr>
            <w:tcW w:type="dxa" w:w="4882"/>
            <w:vAlign w:val="center"/>
          </w:tcPr>
          <w:p>
            <w:pPr>
              <w:spacing w:after="20"/>
            </w:pPr>
            <w:r>
              <w:t>AtlasFTPSClient lists matching remote filenames, downloads files into sourceDirectory, and renames the remote files with .old.</w:t>
            </w:r>
          </w:p>
        </w:tc>
      </w:tr>
      <w:tr>
        <w:tc>
          <w:tcPr>
            <w:tcW w:type="dxa" w:w="4882"/>
            <w:vAlign w:val="center"/>
          </w:tcPr>
          <w:p>
            <w:pPr>
              <w:spacing w:after="20"/>
            </w:pPr>
            <w:r>
              <w:t>3. Discover</w:t>
            </w:r>
          </w:p>
        </w:tc>
        <w:tc>
          <w:tcPr>
            <w:tcW w:type="dxa" w:w="4882"/>
            <w:vAlign w:val="center"/>
          </w:tcPr>
          <w:p>
            <w:pPr>
              <w:spacing w:after="20"/>
            </w:pPr>
            <w:r>
              <w:t>eGrowceryFileProcessor scans sourceDirectory for sourceExtension; creates processed/ and error/ subdirectories.</w:t>
            </w:r>
          </w:p>
        </w:tc>
      </w:tr>
      <w:tr>
        <w:tc>
          <w:tcPr>
            <w:tcW w:type="dxa" w:w="4882"/>
            <w:vAlign w:val="center"/>
          </w:tcPr>
          <w:p>
            <w:pPr>
              <w:spacing w:after="20"/>
            </w:pPr>
            <w:r>
              <w:t>4. Parse</w:t>
            </w:r>
          </w:p>
        </w:tc>
        <w:tc>
          <w:tcPr>
            <w:tcW w:type="dxa" w:w="4882"/>
            <w:vAlign w:val="center"/>
          </w:tcPr>
          <w:p>
            <w:pPr>
              <w:spacing w:after="20"/>
            </w:pPr>
            <w:r>
              <w:t>FileParser reads [HEADER], [PLUS], [TAXCODES] and [FINALISERS] CSV-like lines into OrderObject.</w:t>
            </w:r>
          </w:p>
        </w:tc>
      </w:tr>
      <w:tr>
        <w:tc>
          <w:tcPr>
            <w:tcW w:type="dxa" w:w="4882"/>
            <w:vAlign w:val="center"/>
          </w:tcPr>
          <w:p>
            <w:pPr>
              <w:spacing w:after="20"/>
            </w:pPr>
            <w:r>
              <w:t>5. Enrich</w:t>
            </w:r>
          </w:p>
        </w:tc>
        <w:tc>
          <w:tcPr>
            <w:tcW w:type="dxa" w:w="4882"/>
            <w:vAlign w:val="center"/>
          </w:tcPr>
          <w:p>
            <w:pPr>
              <w:spacing w:after="20"/>
            </w:pPr>
            <w:r>
              <w:t>OrderInjectionOrderBuilder looks up EAMITEMR department, scale flag, taxes, item type and family codes.</w:t>
            </w:r>
          </w:p>
        </w:tc>
      </w:tr>
      <w:tr>
        <w:tc>
          <w:tcPr>
            <w:tcW w:type="dxa" w:w="4882"/>
            <w:vAlign w:val="center"/>
          </w:tcPr>
          <w:p>
            <w:pPr>
              <w:spacing w:after="20"/>
            </w:pPr>
            <w:r>
              <w:t>6. Serialize</w:t>
            </w:r>
          </w:p>
        </w:tc>
        <w:tc>
          <w:tcPr>
            <w:tcW w:type="dxa" w:w="4882"/>
            <w:vAlign w:val="center"/>
          </w:tcPr>
          <w:p>
            <w:pPr>
              <w:spacing w:after="20"/>
            </w:pPr>
            <w:r>
              <w:t>OrderInjectionOrder builds encoded header/item/tax/tender records and a CRLF-terminated TLOG transaction.</w:t>
            </w:r>
          </w:p>
        </w:tc>
      </w:tr>
      <w:tr>
        <w:tc>
          <w:tcPr>
            <w:tcW w:type="dxa" w:w="4882"/>
            <w:vAlign w:val="center"/>
          </w:tcPr>
          <w:p>
            <w:pPr>
              <w:spacing w:after="20"/>
            </w:pPr>
            <w:r>
              <w:t>7. Append</w:t>
            </w:r>
          </w:p>
        </w:tc>
        <w:tc>
          <w:tcPr>
            <w:tcW w:type="dxa" w:w="4882"/>
            <w:vAlign w:val="center"/>
          </w:tcPr>
          <w:p>
            <w:pPr>
              <w:spacing w:after="20"/>
            </w:pPr>
            <w:r>
              <w:t>WriteToTLog determines the active log from EAMCSCF1 key 9998 and appends binary bytes via FileOutputStream4690.</w:t>
            </w:r>
          </w:p>
        </w:tc>
      </w:tr>
      <w:tr>
        <w:tc>
          <w:tcPr>
            <w:tcW w:type="dxa" w:w="4882"/>
            <w:vAlign w:val="center"/>
          </w:tcPr>
          <w:p>
            <w:pPr>
              <w:spacing w:after="20"/>
            </w:pPr>
            <w:r>
              <w:t>8. Archive</w:t>
            </w:r>
          </w:p>
        </w:tc>
        <w:tc>
          <w:tcPr>
            <w:tcW w:type="dxa" w:w="4882"/>
            <w:vAlign w:val="center"/>
          </w:tcPr>
          <w:p>
            <w:pPr>
              <w:spacing w:after="20"/>
            </w:pPr>
            <w:r>
              <w:t>Local input is moved to processed on normal return; to error if processing throws an exception.</w:t>
            </w:r>
          </w:p>
        </w:tc>
      </w:tr>
    </w:tbl>
    <w:p>
      <w:pPr>
        <w:pStyle w:val="Heading1"/>
      </w:pPr>
      <w:r>
        <w:t>3. Runtime prerequisites and deployment</w:t>
      </w:r>
    </w:p>
    <w:p>
      <w:pPr>
        <w:pStyle w:val="ListBullet"/>
      </w:pPr>
      <w:r>
        <w:t>A supported Java runtime with access to com.ibm.OS4690 classes and the target 4690 file system. The code uses 4690-specific KeyedFile, File4690, and FileOutputStream4690; a stock desktop JVM will not fully execute these operations.</w:t>
      </w:r>
    </w:p>
    <w:p>
      <w:pPr>
        <w:pStyle w:val="ListBullet"/>
      </w:pPr>
      <w:r>
        <w:t>Apache Commons Net must be on the runtime classpath for org.apache.commons.net.ftp.FTPSClient. Other platform/library dependencies should be confirmed against the deployment classpath.</w:t>
      </w:r>
    </w:p>
    <w:p>
      <w:pPr>
        <w:pStyle w:val="ListBullet"/>
      </w:pPr>
      <w:r>
        <w:t>A readable 4690 item file (EAMITEMR) and configuration keyed file (EAMCSCF1), plus permission to append to the active c:\adx_idt4\&lt;log&gt;.dat file.</w:t>
      </w:r>
    </w:p>
    <w:p>
      <w:pPr>
        <w:pStyle w:val="ListBullet"/>
      </w:pPr>
      <w:r>
        <w:t>Create c:\adx_idt1\egrow.ini and ensure the configured local source directory exists and is writable. The program creates processed/error child folders but does not create sourceDirectory itself.</w:t>
      </w:r>
    </w:p>
    <w:p>
      <w:pPr>
        <w:pStyle w:val="ListBullet"/>
      </w:pPr>
      <w:r>
        <w:t>Provide network reachability, valid FTPS credentials, appropriate server certificate trust, and remote read/rename permissions.</w:t>
      </w:r>
    </w:p>
    <w:p>
      <w:pPr>
        <w:pStyle w:val="ListBullet"/>
      </w:pPr>
      <w:r>
        <w:t>Run a controlled test against a nonproduction log or supported test environment before production enablement. Direct appends to a live TLOG can affect downstream POS/accounting reporting.</w:t>
      </w:r>
    </w:p>
    <w:p>
      <w:pPr>
        <w:pStyle w:val="Heading1"/>
      </w:pPr>
      <w:r>
        <w:t>4. INI configuration</w:t>
      </w:r>
    </w:p>
    <w:p>
      <w:r>
        <w:t>Configuration is loaded once by eGrowceryProcessor from the fixed absolute path c:\adx_idt1\egrow.ini. Missing keys use defaults shown below; mapped tax and tender entries are optional. Times are milliseconds.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c>
          <w:tcPr>
            <w:tcW w:type="dxa" w:w="3255"/>
          </w:tcPr>
          <w:p>
            <w:pPr>
              <w:spacing w:after="20"/>
            </w:pPr>
            <w:r>
              <w:t>Section / key</w:t>
            </w:r>
          </w:p>
        </w:tc>
        <w:tc>
          <w:tcPr>
            <w:tcW w:type="dxa" w:w="3255"/>
          </w:tcPr>
          <w:p>
            <w:pPr>
              <w:spacing w:after="20"/>
            </w:pPr>
            <w:r>
              <w:t>Default</w:t>
            </w:r>
          </w:p>
        </w:tc>
        <w:tc>
          <w:tcPr>
            <w:tcW w:type="dxa" w:w="3255"/>
          </w:tcPr>
          <w:p>
            <w:pPr>
              <w:spacing w:after="20"/>
            </w:pPr>
            <w:r>
              <w:t>Meaning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20"/>
            </w:pPr>
            <w:r>
              <w:t>head / termId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t>626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t>Injected transaction terminal ID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20"/>
            </w:pPr>
            <w:r>
              <w:t>head / op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t>626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t>Operator ID; same string is used as password field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20"/>
            </w:pPr>
            <w:r>
              <w:t>head / pluMode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t>0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t>Requested PLU parsing format (parser currently infers from field count)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20"/>
            </w:pPr>
            <w:r>
              <w:t>head / defaultDepartment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t>999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t>Department when item master lookup yields zero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20"/>
            </w:pPr>
            <w:r>
              <w:t>head / defaultTenderType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t>11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t>Fallback for unmapped payment type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20"/>
            </w:pPr>
            <w:r>
              <w:t>head / cycleStartDelay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t>60000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t>Initial scheduled delay (ms)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20"/>
            </w:pPr>
            <w:r>
              <w:t>head / cycleInterval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t>30000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t>Fixed delay after each cycle (ms)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20"/>
            </w:pPr>
            <w:r>
              <w:t>plus / fulfilmentPLU, tipPLU, containerPLU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t>empty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t>Optional charge items for nonzero order header amounts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20"/>
            </w:pPr>
            <w:r>
              <w:t>source / sourceDirectory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t>.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t>Local input folder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20"/>
            </w:pPr>
            <w:r>
              <w:t>source / sourceExtension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t>.txt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t>Filename extension filter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20"/>
            </w:pPr>
            <w:r>
              <w:t>source / processedDirectory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t>processed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t>Successful local archive subfolder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20"/>
            </w:pPr>
            <w:r>
              <w:t>source / error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t>error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t>Failure local archive subfolder (note key is error, not errorDirectory)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20"/>
            </w:pPr>
            <w:r>
              <w:t>sftp / sftpHost, sftpUsername, sftpPassword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t>empty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t>FTPS endpoint credentials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20"/>
            </w:pPr>
            <w:r>
              <w:t>sftp / sftpPort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t>21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t>Configured port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20"/>
            </w:pPr>
            <w:r>
              <w:t>sftp / sftpImplicit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t>false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t>Read but not passed to current client construction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20"/>
            </w:pPr>
            <w:r>
              <w:t>sftp / sftpSourceDir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t>/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t>Remote input folder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20"/>
            </w:pPr>
            <w:r>
              <w:t>sftp / sftpPrefix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t>empty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t>Remote filename prefix filter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20"/>
            </w:pPr>
            <w:r>
              <w:t>sftp / sftpExtension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t>.txt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t>Remote filename suffix filter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20"/>
            </w:pPr>
            <w:r>
              <w:t>sftp / sftpRenameExtension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t>.old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t>Read but current rename uses literal .old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20"/>
            </w:pPr>
            <w:r>
              <w:t>taxes / numEntries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t>0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t>Number of numbered taxN mapping entries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20"/>
            </w:pPr>
            <w:r>
              <w:t>taxes / tax1..taxN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t>—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t>Format: external-code,ACE-tax-id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20"/>
            </w:pPr>
            <w:r>
              <w:t>taxes / defaultTaxId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t>0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t>Fallback tax ID; zero means tax line omitted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20"/>
            </w:pPr>
            <w:r>
              <w:t>tenders / 1..20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t>—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t>Mapped payment codes, e.g. 1=11</w:t>
            </w:r>
          </w:p>
        </w:tc>
      </w:tr>
    </w:tbl>
    <w:p>
      <w:pPr>
        <w:pStyle w:val="Heading1"/>
      </w:pPr>
      <w:r>
        <w:t>5. Example configuration (illustrative only)</w:t>
      </w:r>
    </w:p>
    <w:p>
      <w:r>
        <w:t>Replace host, paths, POS identifiers and mappings with site-approved values. Never place real credentials in documents or source control.</w:t>
      </w:r>
    </w:p>
    <w:p>
      <w:pPr>
        <w:pStyle w:val="NoSpacing"/>
      </w:pPr>
      <w:r>
        <w:rPr>
          <w:rFonts w:ascii="Consolas" w:hAnsi="Consolas"/>
          <w:sz w:val="16"/>
        </w:rPr>
        <w:t>[head]</w:t>
        <w:br/>
        <w:t>termId=626</w:t>
        <w:br/>
        <w:t>op=626</w:t>
        <w:br/>
        <w:t>pluMode=0</w:t>
        <w:br/>
        <w:t>defaultDepartment=999</w:t>
        <w:br/>
        <w:t>defaultTenderType=11</w:t>
        <w:br/>
        <w:t>cycleStartDelay=60000</w:t>
        <w:br/>
        <w:t>cycleInterval=30000</w:t>
        <w:br/>
        <w:br/>
        <w:t>[plus]</w:t>
        <w:br/>
        <w:t>fulfilmentPLU=</w:t>
        <w:br/>
        <w:t>tipPLU=</w:t>
        <w:br/>
        <w:t>containerPLU=</w:t>
        <w:br/>
        <w:br/>
        <w:t>[source]</w:t>
        <w:br/>
        <w:t>sourceDirectory=c:\adx_idt1\egrow_orders</w:t>
        <w:br/>
        <w:t>sourceExtension=.txt</w:t>
        <w:br/>
        <w:t>processedDirectory=processed</w:t>
        <w:br/>
        <w:t>error=error</w:t>
        <w:br/>
        <w:br/>
        <w:t>[sftp]</w:t>
        <w:br/>
        <w:t>sftpHost=ftps.example.invalid</w:t>
        <w:br/>
        <w:t>sftpUsername=REPLACE_ME</w:t>
        <w:br/>
        <w:t>sftpPassword=REPLACE_ME</w:t>
        <w:br/>
        <w:t>sftpPort=990</w:t>
        <w:br/>
        <w:t>sftpImplicit=true</w:t>
        <w:br/>
        <w:t>sftpSourceDir=/download</w:t>
        <w:br/>
        <w:t>sftpPrefix=</w:t>
        <w:br/>
        <w:t>sftpExtension=.txt</w:t>
        <w:br/>
        <w:t>sftpRenameExtension=.old</w:t>
        <w:br/>
        <w:br/>
        <w:t>[taxes]</w:t>
        <w:br/>
        <w:t>numEntries=1</w:t>
        <w:br/>
        <w:t>tax1=A,1</w:t>
        <w:br/>
        <w:t>defaultTaxId=0</w:t>
        <w:br/>
        <w:br/>
        <w:t>[tenders]</w:t>
        <w:br/>
        <w:t>1=11</w:t>
      </w:r>
    </w:p>
    <w:p>
      <w:pPr>
        <w:pStyle w:val="Heading1"/>
      </w:pPr>
      <w:r>
        <w:t>6. Input file structure</w:t>
      </w:r>
    </w:p>
    <w:p>
      <w:r>
        <w:t>FileParser identifies section markers and splits each subsequent line with String.split(","). It is a simple delimited parser, not a full RFC CSV reader: quoted commas and malformed/missing fields are not safely handled. Money values are converted with BigDecimal × 100 to integer cents; invalid values silently become zero.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</w:tcPr>
          <w:p>
            <w:pPr>
              <w:spacing w:after="20"/>
            </w:pPr>
            <w:r>
              <w:t>Section</w:t>
            </w:r>
          </w:p>
        </w:tc>
        <w:tc>
          <w:tcPr>
            <w:tcW w:type="dxa" w:w="4882"/>
          </w:tcPr>
          <w:p>
            <w:pPr>
              <w:spacing w:after="20"/>
            </w:pPr>
            <w:r>
              <w:t>Expected values (in order)</w:t>
            </w:r>
          </w:p>
        </w:tc>
      </w:tr>
      <w:tr>
        <w:tc>
          <w:tcPr>
            <w:tcW w:type="dxa" w:w="4882"/>
            <w:vAlign w:val="center"/>
          </w:tcPr>
          <w:p>
            <w:pPr>
              <w:spacing w:after="20"/>
            </w:pPr>
            <w:r>
              <w:t>[HEADER]</w:t>
            </w:r>
          </w:p>
        </w:tc>
        <w:tc>
          <w:tcPr>
            <w:tcW w:type="dxa" w:w="4882"/>
            <w:vAlign w:val="center"/>
          </w:tcPr>
          <w:p>
            <w:pPr>
              <w:spacing w:after="20"/>
            </w:pPr>
            <w:r>
              <w:t>IDNumber, OrderSubmitted, ItemCount, SaleTotal, TaxTotal, LoyaltyID, FulfilmentTotal, OrderCompleted, TipAmount, ContainerDepositAmount, CostPlusAmount</w:t>
            </w:r>
          </w:p>
        </w:tc>
      </w:tr>
      <w:tr>
        <w:tc>
          <w:tcPr>
            <w:tcW w:type="dxa" w:w="4882"/>
            <w:vAlign w:val="center"/>
          </w:tcPr>
          <w:p>
            <w:pPr>
              <w:spacing w:after="20"/>
            </w:pPr>
            <w:r>
              <w:t>[PLUS] / long format</w:t>
            </w:r>
          </w:p>
        </w:tc>
        <w:tc>
          <w:tcPr>
            <w:tcW w:type="dxa" w:w="4882"/>
            <w:vAlign w:val="center"/>
          </w:tcPr>
          <w:p>
            <w:pPr>
              <w:spacing w:after="20"/>
            </w:pPr>
            <w:r>
              <w:t>LineNumber, ItemNo, UPC, Description, Sell, Quantity, Buy, TaxRate, TaxExtn, LineExtn, Tare</w:t>
            </w:r>
          </w:p>
        </w:tc>
      </w:tr>
      <w:tr>
        <w:tc>
          <w:tcPr>
            <w:tcW w:type="dxa" w:w="4882"/>
            <w:vAlign w:val="center"/>
          </w:tcPr>
          <w:p>
            <w:pPr>
              <w:spacing w:after="20"/>
            </w:pPr>
            <w:r>
              <w:t>[PLUS] / short format</w:t>
            </w:r>
          </w:p>
        </w:tc>
        <w:tc>
          <w:tcPr>
            <w:tcW w:type="dxa" w:w="4882"/>
            <w:vAlign w:val="center"/>
          </w:tcPr>
          <w:p>
            <w:pPr>
              <w:spacing w:after="20"/>
            </w:pPr>
            <w:r>
              <w:t>LineNumber, ItemNo, UPC, Description, Sell, Quantity, Buy, LineExtn, Tare</w:t>
            </w:r>
          </w:p>
        </w:tc>
      </w:tr>
      <w:tr>
        <w:tc>
          <w:tcPr>
            <w:tcW w:type="dxa" w:w="4882"/>
            <w:vAlign w:val="center"/>
          </w:tcPr>
          <w:p>
            <w:pPr>
              <w:spacing w:after="20"/>
            </w:pPr>
            <w:r>
              <w:t>[TAXCODES]</w:t>
            </w:r>
          </w:p>
        </w:tc>
        <w:tc>
          <w:tcPr>
            <w:tcW w:type="dxa" w:w="4882"/>
            <w:vAlign w:val="center"/>
          </w:tcPr>
          <w:p>
            <w:pPr>
              <w:spacing w:after="20"/>
            </w:pPr>
            <w:r>
              <w:t>External tax code, taxable amount, tax amount</w:t>
            </w:r>
          </w:p>
        </w:tc>
      </w:tr>
      <w:tr>
        <w:tc>
          <w:tcPr>
            <w:tcW w:type="dxa" w:w="4882"/>
            <w:vAlign w:val="center"/>
          </w:tcPr>
          <w:p>
            <w:pPr>
              <w:spacing w:after="20"/>
            </w:pPr>
            <w:r>
              <w:t>[FINALISERS]</w:t>
            </w:r>
          </w:p>
        </w:tc>
        <w:tc>
          <w:tcPr>
            <w:tcW w:type="dxa" w:w="4882"/>
            <w:vAlign w:val="center"/>
          </w:tcPr>
          <w:p>
            <w:pPr>
              <w:spacing w:after="20"/>
            </w:pPr>
            <w:r>
              <w:t>Line number, payment type code, identifier, tender amount</w:t>
            </w:r>
          </w:p>
        </w:tc>
      </w:tr>
    </w:tbl>
    <w:p>
      <w:r>
        <w:t>The parser removes leading zeroes from UPCs. For PLUs it selects the long format when the line has 10 or more comma-separated fields; otherwise it selects the short format. The source uses “TAXCODES” without a space. FileParser does not enforce a required header or cross-check header totals against the parsed lines.</w:t>
      </w:r>
    </w:p>
    <w:p>
      <w:pPr>
        <w:pStyle w:val="Heading1"/>
      </w:pPr>
      <w:r>
        <w:t>7. Conversion rules</w:t>
      </w:r>
    </w:p>
    <w:p>
      <w:pPr>
        <w:pStyle w:val="ListBullet"/>
      </w:pPr>
      <w:r>
        <w:t>The header uses configured termId and operator; a new transaction number is obtained from a local atlasTransNum.dat counter file in the working directory, and a yyMMddHHmm timestamp is generated at build time.</w:t>
      </w:r>
    </w:p>
    <w:p>
      <w:pPr>
        <w:pStyle w:val="ListBullet"/>
      </w:pPr>
      <w:r>
        <w:t>Normal items use LineExtn as extended price in cents. For scale items, the parsed quantity in hundredths is supplied as weight; for non-scale items, quantity is divided by 100 before being passed to the builder.</w:t>
      </w:r>
    </w:p>
    <w:p>
      <w:pPr>
        <w:pStyle w:val="ListBullet"/>
      </w:pPr>
      <w:r>
        <w:t>Department falls back to defaultDepartment if the EAMITEMR lookup returns zero. Tax flags, food-stamp eligibility, item type and family codes are derived from EAMITEMR.</w:t>
      </w:r>
    </w:p>
    <w:p>
      <w:pPr>
        <w:pStyle w:val="ListBullet"/>
      </w:pPr>
      <w:r>
        <w:t>Nonzero fulfillment, container deposit and tip totals can be added as extra PLU lines, but only when the matching configuration PLU is nonempty. CostPlusAmount is parsed but not converted into a separate line in buildOrder().</w:t>
      </w:r>
    </w:p>
    <w:p>
      <w:pPr>
        <w:pStyle w:val="ListBullet"/>
      </w:pPr>
      <w:r>
        <w:t>Tax codes are mapped to ACE IDs using [taxes]. Unmapped codes use defaultTaxId; lines mapping to zero are skipped. Tender codes are mapped via [tenders], falling back to defaultTenderType.</w:t>
      </w:r>
    </w:p>
    <w:p>
      <w:pPr>
        <w:pStyle w:val="ListBullet"/>
      </w:pPr>
      <w:r>
        <w:t>calcGross() sums eligible positive/negative line amounts and tax amounts into GrossPOS/GrossNEG. Items marked with item types 4 or 5 are excluded from this gross calculation.</w:t>
      </w:r>
    </w:p>
    <w:p>
      <w:pPr>
        <w:pStyle w:val="Heading1"/>
      </w:pPr>
      <w:r>
        <w:t>8. Binary TLOG output</w:t>
      </w:r>
    </w:p>
    <w:p>
      <w:r>
        <w:t>Record object classes are OrderInjectionHeader, OrderInjectionItem, OrderInjectionTax, OrderInjectionTender and optional OrderInjectionUserData. Each exposes getTLogString() as hexadecimal text; OrderInjectionOrder.getOrderHexString() combines those records using hex 2C (comma) as a separator and 0D0A as a transaction terminator. Encodings include BCD and packed numeric fields rather than ordinary printable decimal strings. Some items generate an additional extension record.</w:t>
      </w:r>
    </w:p>
    <w:p>
      <w:r>
        <w:t>WriteToTLog.getCurrentTLog() reads keyed file EAMCSCF1, record key 9998, extracts eight characters starting at offset 2, and builds c:\adx_idt4\&lt;value&gt;.dat. appendHex() converts the final hex to byte[] and opens a FileOutputStream4690 in append mode. This is a direct file append, not a network/API post.</w:t>
      </w:r>
    </w:p>
    <w:p>
      <w:pPr>
        <w:pStyle w:val="Heading1"/>
      </w:pPr>
      <w:r>
        <w:t>9. Main source components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</w:tcPr>
          <w:p>
            <w:pPr>
              <w:spacing w:after="20"/>
            </w:pPr>
            <w:r>
              <w:t>Class</w:t>
            </w:r>
          </w:p>
        </w:tc>
        <w:tc>
          <w:tcPr>
            <w:tcW w:type="dxa" w:w="4882"/>
          </w:tcPr>
          <w:p>
            <w:pPr>
              <w:spacing w:after="20"/>
            </w:pPr>
            <w:r>
              <w:t>Responsibility</w:t>
            </w:r>
          </w:p>
        </w:tc>
      </w:tr>
      <w:tr>
        <w:tc>
          <w:tcPr>
            <w:tcW w:type="dxa" w:w="4882"/>
            <w:vAlign w:val="center"/>
          </w:tcPr>
          <w:p>
            <w:pPr>
              <w:spacing w:after="20"/>
            </w:pPr>
            <w:r>
              <w:t>eGrowceryProcessor</w:t>
            </w:r>
          </w:p>
        </w:tc>
        <w:tc>
          <w:tcPr>
            <w:tcW w:type="dxa" w:w="4882"/>
            <w:vAlign w:val="center"/>
          </w:tcPr>
          <w:p>
            <w:pPr>
              <w:spacing w:after="20"/>
            </w:pPr>
            <w:r>
              <w:t>Singleton configuration, mapping, scheduler, remote retrieval and order building</w:t>
            </w:r>
          </w:p>
        </w:tc>
      </w:tr>
      <w:tr>
        <w:tc>
          <w:tcPr>
            <w:tcW w:type="dxa" w:w="4882"/>
            <w:vAlign w:val="center"/>
          </w:tcPr>
          <w:p>
            <w:pPr>
              <w:spacing w:after="20"/>
            </w:pPr>
            <w:r>
              <w:t>eGrowceryFileProcessor</w:t>
            </w:r>
          </w:p>
        </w:tc>
        <w:tc>
          <w:tcPr>
            <w:tcW w:type="dxa" w:w="4882"/>
            <w:vAlign w:val="center"/>
          </w:tcPr>
          <w:p>
            <w:pPr>
              <w:spacing w:after="20"/>
            </w:pPr>
            <w:r>
              <w:t>Local scan, one-file processing, local success/error moves</w:t>
            </w:r>
          </w:p>
        </w:tc>
      </w:tr>
      <w:tr>
        <w:tc>
          <w:tcPr>
            <w:tcW w:type="dxa" w:w="4882"/>
            <w:vAlign w:val="center"/>
          </w:tcPr>
          <w:p>
            <w:pPr>
              <w:spacing w:after="20"/>
            </w:pPr>
            <w:r>
              <w:t>FileParser; OrderHeader/Item/Tax/Tender/Object</w:t>
            </w:r>
          </w:p>
        </w:tc>
        <w:tc>
          <w:tcPr>
            <w:tcW w:type="dxa" w:w="4882"/>
            <w:vAlign w:val="center"/>
          </w:tcPr>
          <w:p>
            <w:pPr>
              <w:spacing w:after="20"/>
            </w:pPr>
            <w:r>
              <w:t>Delimited input parsing and intermediate order data</w:t>
            </w:r>
          </w:p>
        </w:tc>
      </w:tr>
      <w:tr>
        <w:tc>
          <w:tcPr>
            <w:tcW w:type="dxa" w:w="4882"/>
            <w:vAlign w:val="center"/>
          </w:tcPr>
          <w:p>
            <w:pPr>
              <w:spacing w:after="20"/>
            </w:pPr>
            <w:r>
              <w:t>AtlasFTPSClient</w:t>
            </w:r>
          </w:p>
        </w:tc>
        <w:tc>
          <w:tcPr>
            <w:tcW w:type="dxa" w:w="4882"/>
            <w:vAlign w:val="center"/>
          </w:tcPr>
          <w:p>
            <w:pPr>
              <w:spacing w:after="20"/>
            </w:pPr>
            <w:r>
              <w:t>FTP over TLS, remote listings, downloads and renames</w:t>
            </w:r>
          </w:p>
        </w:tc>
      </w:tr>
      <w:tr>
        <w:tc>
          <w:tcPr>
            <w:tcW w:type="dxa" w:w="4882"/>
            <w:vAlign w:val="center"/>
          </w:tcPr>
          <w:p>
            <w:pPr>
              <w:spacing w:after="20"/>
            </w:pPr>
            <w:r>
              <w:t>OrderInjectionOrderBuilder</w:t>
            </w:r>
          </w:p>
        </w:tc>
        <w:tc>
          <w:tcPr>
            <w:tcW w:type="dxa" w:w="4882"/>
            <w:vAlign w:val="center"/>
          </w:tcPr>
          <w:p>
            <w:pPr>
              <w:spacing w:after="20"/>
            </w:pPr>
            <w:r>
              <w:t>Builds normalized ACE order; enriches each item</w:t>
            </w:r>
          </w:p>
        </w:tc>
      </w:tr>
      <w:tr>
        <w:tc>
          <w:tcPr>
            <w:tcW w:type="dxa" w:w="4882"/>
            <w:vAlign w:val="center"/>
          </w:tcPr>
          <w:p>
            <w:pPr>
              <w:spacing w:after="20"/>
            </w:pPr>
            <w:r>
              <w:t>OrderInjectionOrder; objects/*</w:t>
            </w:r>
          </w:p>
        </w:tc>
        <w:tc>
          <w:tcPr>
            <w:tcW w:type="dxa" w:w="4882"/>
            <w:vAlign w:val="center"/>
          </w:tcPr>
          <w:p>
            <w:pPr>
              <w:spacing w:after="20"/>
            </w:pPr>
            <w:r>
              <w:t>Computes gross and emits hex-encoded TLOG records</w:t>
            </w:r>
          </w:p>
        </w:tc>
      </w:tr>
      <w:tr>
        <w:tc>
          <w:tcPr>
            <w:tcW w:type="dxa" w:w="4882"/>
            <w:vAlign w:val="center"/>
          </w:tcPr>
          <w:p>
            <w:pPr>
              <w:spacing w:after="20"/>
            </w:pPr>
            <w:r>
              <w:t>AtlasEAMITEMR; AtlasKeyedFile</w:t>
            </w:r>
          </w:p>
        </w:tc>
        <w:tc>
          <w:tcPr>
            <w:tcW w:type="dxa" w:w="4882"/>
            <w:vAlign w:val="center"/>
          </w:tcPr>
          <w:p>
            <w:pPr>
              <w:spacing w:after="20"/>
            </w:pPr>
            <w:r>
              <w:t>4690 keyed-file reads for item data</w:t>
            </w:r>
          </w:p>
        </w:tc>
      </w:tr>
      <w:tr>
        <w:tc>
          <w:tcPr>
            <w:tcW w:type="dxa" w:w="4882"/>
            <w:vAlign w:val="center"/>
          </w:tcPr>
          <w:p>
            <w:pPr>
              <w:spacing w:after="20"/>
            </w:pPr>
            <w:r>
              <w:t>TransNumStorage</w:t>
            </w:r>
          </w:p>
        </w:tc>
        <w:tc>
          <w:tcPr>
            <w:tcW w:type="dxa" w:w="4882"/>
            <w:vAlign w:val="center"/>
          </w:tcPr>
          <w:p>
            <w:pPr>
              <w:spacing w:after="20"/>
            </w:pPr>
            <w:r>
              <w:t>Persistent sequential transaction number counter</w:t>
            </w:r>
          </w:p>
        </w:tc>
      </w:tr>
      <w:tr>
        <w:tc>
          <w:tcPr>
            <w:tcW w:type="dxa" w:w="4882"/>
            <w:vAlign w:val="center"/>
          </w:tcPr>
          <w:p>
            <w:pPr>
              <w:spacing w:after="20"/>
            </w:pPr>
            <w:r>
              <w:t>WriteToTLog</w:t>
            </w:r>
          </w:p>
        </w:tc>
        <w:tc>
          <w:tcPr>
            <w:tcW w:type="dxa" w:w="4882"/>
            <w:vAlign w:val="center"/>
          </w:tcPr>
          <w:p>
            <w:pPr>
              <w:spacing w:after="20"/>
            </w:pPr>
            <w:r>
              <w:t>Finds active log and appends binary transaction bytes</w:t>
            </w:r>
          </w:p>
        </w:tc>
      </w:tr>
      <w:tr>
        <w:tc>
          <w:tcPr>
            <w:tcW w:type="dxa" w:w="4882"/>
            <w:vAlign w:val="center"/>
          </w:tcPr>
          <w:p>
            <w:pPr>
              <w:spacing w:after="20"/>
            </w:pPr>
            <w:r>
              <w:t>AtlasCCLogger; INIFile</w:t>
            </w:r>
          </w:p>
        </w:tc>
        <w:tc>
          <w:tcPr>
            <w:tcW w:type="dxa" w:w="4882"/>
            <w:vAlign w:val="center"/>
          </w:tcPr>
          <w:p>
            <w:pPr>
              <w:spacing w:after="20"/>
            </w:pPr>
            <w:r>
              <w:t>Diagnostics and configuration parsing</w:t>
            </w:r>
          </w:p>
        </w:tc>
      </w:tr>
    </w:tbl>
    <w:p>
      <w:pPr>
        <w:pStyle w:val="Heading1"/>
      </w:pPr>
      <w:r>
        <w:t>10. Starting and operating the processor</w:t>
      </w:r>
    </w:p>
    <w:p>
      <w:pPr>
        <w:pStyle w:val="ListBullet"/>
      </w:pPr>
      <w:r>
        <w:t>Entry point: com.atlas.OrderInjection.egrowcery.processor.eGrowceryProcessor.main(String[]). This starts the executor and returns; the scheduler thread keeps the process alive.</w:t>
      </w:r>
    </w:p>
    <w:p>
      <w:pPr>
        <w:pStyle w:val="ListBullet"/>
      </w:pPr>
      <w:r>
        <w:t>Each cycle invokes getFilesFromHost() then eGrowceryFileProcessor.processFiles(). A single-thread executor runs cycles sequentially, with the configured delay between completion of one cycle and start of the next.</w:t>
      </w:r>
    </w:p>
    <w:p>
      <w:pPr>
        <w:pStyle w:val="ListBullet"/>
      </w:pPr>
      <w:r>
        <w:t>A one-time local-file processing entry point exists at eGrowceryFileProcessor.main(). The project also includes standalone test mains; do not treat these as deployment entry points.</w:t>
      </w:r>
    </w:p>
    <w:p>
      <w:pPr>
        <w:pStyle w:val="ListBullet"/>
      </w:pPr>
      <w:r>
        <w:t>For first installation: verify remote download and rename using a safe test file, verify successful parsing and item lookups, inspect generated transaction bytes, and confirm the intended TLOG is changed only once.</w:t>
      </w:r>
    </w:p>
    <w:p>
      <w:pPr>
        <w:pStyle w:val="ListBullet"/>
      </w:pPr>
      <w:r>
        <w:t>Monitor standard output/stack traces and the configured local processed/error folders. The included logger can also report processor configuration; avoid logging secrets.</w:t>
      </w:r>
    </w:p>
    <w:p>
      <w:pPr>
        <w:pStyle w:val="Heading1"/>
      </w:pPr>
      <w:r>
        <w:t>11. Known implementation risks / hardening priorities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</w:tcPr>
          <w:p>
            <w:pPr>
              <w:spacing w:after="20"/>
            </w:pPr>
            <w:r>
              <w:t>Priority</w:t>
            </w:r>
          </w:p>
        </w:tc>
        <w:tc>
          <w:tcPr>
            <w:tcW w:type="dxa" w:w="4882"/>
          </w:tcPr>
          <w:p>
            <w:pPr>
              <w:spacing w:after="20"/>
            </w:pPr>
            <w:r>
              <w:t>Observation and recommended action</w:t>
            </w:r>
          </w:p>
        </w:tc>
      </w:tr>
      <w:tr>
        <w:tc>
          <w:tcPr>
            <w:tcW w:type="dxa" w:w="4882"/>
            <w:vAlign w:val="center"/>
          </w:tcPr>
          <w:p>
            <w:pPr>
              <w:spacing w:after="20"/>
            </w:pPr>
            <w:r>
              <w:t>Critical</w:t>
            </w:r>
          </w:p>
        </w:tc>
        <w:tc>
          <w:tcPr>
            <w:tcW w:type="dxa" w:w="4882"/>
            <w:vAlign w:val="center"/>
          </w:tcPr>
          <w:p>
            <w:pPr>
              <w:spacing w:after="20"/>
            </w:pPr>
            <w:r>
              <w:t>eGrowceryFileProcessor ignores boolean WriteToTLog.writeHex(); a failed append can still move an input file to processed. Check the return and throw/mark error when false.</w:t>
            </w:r>
          </w:p>
        </w:tc>
      </w:tr>
      <w:tr>
        <w:tc>
          <w:tcPr>
            <w:tcW w:type="dxa" w:w="4882"/>
            <w:vAlign w:val="center"/>
          </w:tcPr>
          <w:p>
            <w:pPr>
              <w:spacing w:after="20"/>
            </w:pPr>
            <w:r>
              <w:t>Critical</w:t>
            </w:r>
          </w:p>
        </w:tc>
        <w:tc>
          <w:tcPr>
            <w:tcW w:type="dxa" w:w="4882"/>
            <w:vAlign w:val="center"/>
          </w:tcPr>
          <w:p>
            <w:pPr>
              <w:spacing w:after="20"/>
            </w:pPr>
            <w:r>
              <w:t>getFilesFromHost() does not check downloadFile() success before renaming the remote file; incomplete/failed downloads can be marked .old. Confirm success, verify local file, then rename.</w:t>
            </w:r>
          </w:p>
        </w:tc>
      </w:tr>
      <w:tr>
        <w:tc>
          <w:tcPr>
            <w:tcW w:type="dxa" w:w="4882"/>
            <w:vAlign w:val="center"/>
          </w:tcPr>
          <w:p>
            <w:pPr>
              <w:spacing w:after="20"/>
            </w:pPr>
            <w:r>
              <w:t>High</w:t>
            </w:r>
          </w:p>
        </w:tc>
        <w:tc>
          <w:tcPr>
            <w:tcW w:type="dxa" w:w="4882"/>
            <w:vAlign w:val="center"/>
          </w:tcPr>
          <w:p>
            <w:pPr>
              <w:spacing w:after="20"/>
            </w:pPr>
            <w:r>
              <w:t>The FTPS client is constructed with new AtlasFTPSClient(true) regardless of sftpImplicit; sftpPort defaults to 21. Match client mode and server port, and make the INI switch effective.</w:t>
            </w:r>
          </w:p>
        </w:tc>
      </w:tr>
      <w:tr>
        <w:tc>
          <w:tcPr>
            <w:tcW w:type="dxa" w:w="4882"/>
            <w:vAlign w:val="center"/>
          </w:tcPr>
          <w:p>
            <w:pPr>
              <w:spacing w:after="20"/>
            </w:pPr>
            <w:r>
              <w:t>High</w:t>
            </w:r>
          </w:p>
        </w:tc>
        <w:tc>
          <w:tcPr>
            <w:tcW w:type="dxa" w:w="4882"/>
            <w:vAlign w:val="center"/>
          </w:tcPr>
          <w:p>
            <w:pPr>
              <w:spacing w:after="20"/>
            </w:pPr>
            <w:r>
              <w:t>Remote rename uses literal .old instead of sftpRenameExtension. Wire the configuration setting into the rename call.</w:t>
            </w:r>
          </w:p>
        </w:tc>
      </w:tr>
      <w:tr>
        <w:tc>
          <w:tcPr>
            <w:tcW w:type="dxa" w:w="4882"/>
            <w:vAlign w:val="center"/>
          </w:tcPr>
          <w:p>
            <w:pPr>
              <w:spacing w:after="20"/>
            </w:pPr>
            <w:r>
              <w:t>High</w:t>
            </w:r>
          </w:p>
        </w:tc>
        <w:tc>
          <w:tcPr>
            <w:tcW w:type="dxa" w:w="4882"/>
            <w:vAlign w:val="center"/>
          </w:tcPr>
          <w:p>
            <w:pPr>
              <w:spacing w:after="20"/>
            </w:pPr>
            <w:r>
              <w:t>eGrowceryProcessor.toString() includes sftpPassword and is written to the logger on initialization. Remove/redact it; source also contains test credentials that should be rotated if still active.</w:t>
            </w:r>
          </w:p>
        </w:tc>
      </w:tr>
      <w:tr>
        <w:tc>
          <w:tcPr>
            <w:tcW w:type="dxa" w:w="4882"/>
            <w:vAlign w:val="center"/>
          </w:tcPr>
          <w:p>
            <w:pPr>
              <w:spacing w:after="20"/>
            </w:pPr>
            <w:r>
              <w:t>High</w:t>
            </w:r>
          </w:p>
        </w:tc>
        <w:tc>
          <w:tcPr>
            <w:tcW w:type="dxa" w:w="4882"/>
            <w:vAlign w:val="center"/>
          </w:tcPr>
          <w:p>
            <w:pPr>
              <w:spacing w:after="20"/>
            </w:pPr>
            <w:r>
              <w:t>FileParser.parseFile() reports failure through a boolean but parseFile(String) does not reject it; missing/unreadable files can produce invalid order objects. Fail early and validate required sections.</w:t>
            </w:r>
          </w:p>
        </w:tc>
      </w:tr>
      <w:tr>
        <w:tc>
          <w:tcPr>
            <w:tcW w:type="dxa" w:w="4882"/>
            <w:vAlign w:val="center"/>
          </w:tcPr>
          <w:p>
            <w:pPr>
              <w:spacing w:after="20"/>
            </w:pPr>
            <w:r>
              <w:t>High</w:t>
            </w:r>
          </w:p>
        </w:tc>
        <w:tc>
          <w:tcPr>
            <w:tcW w:type="dxa" w:w="4882"/>
            <w:vAlign w:val="center"/>
          </w:tcPr>
          <w:p>
            <w:pPr>
              <w:spacing w:after="20"/>
            </w:pPr>
            <w:r>
              <w:t>TLOG serializer calculates taxHex and potential refund-tax record but outputs this.taxes.getTLogString() instead; validate negative-tax handling and record counts.</w:t>
            </w:r>
          </w:p>
        </w:tc>
      </w:tr>
      <w:tr>
        <w:tc>
          <w:tcPr>
            <w:tcW w:type="dxa" w:w="4882"/>
            <w:vAlign w:val="center"/>
          </w:tcPr>
          <w:p>
            <w:pPr>
              <w:spacing w:after="20"/>
            </w:pPr>
            <w:r>
              <w:t>Medium</w:t>
            </w:r>
          </w:p>
        </w:tc>
        <w:tc>
          <w:tcPr>
            <w:tcW w:type="dxa" w:w="4882"/>
            <w:vAlign w:val="center"/>
          </w:tcPr>
          <w:p>
            <w:pPr>
              <w:spacing w:after="20"/>
            </w:pPr>
            <w:r>
              <w:t>Transaction counter atlasTransNum.dat is relative to process working directory; operational consistency depends on launch directory and durable filesystem.</w:t>
            </w:r>
          </w:p>
        </w:tc>
      </w:tr>
      <w:tr>
        <w:tc>
          <w:tcPr>
            <w:tcW w:type="dxa" w:w="4882"/>
            <w:vAlign w:val="center"/>
          </w:tcPr>
          <w:p>
            <w:pPr>
              <w:spacing w:after="20"/>
            </w:pPr>
            <w:r>
              <w:t>Medium</w:t>
            </w:r>
          </w:p>
        </w:tc>
        <w:tc>
          <w:tcPr>
            <w:tcW w:type="dxa" w:w="4882"/>
            <w:vAlign w:val="center"/>
          </w:tcPr>
          <w:p>
            <w:pPr>
              <w:spacing w:after="20"/>
            </w:pPr>
            <w:r>
              <w:t>Local archive uses REPLACE_EXISTING, so duplicate order filenames overwrite prior processed/error files. Use uniquely named/dated archive records and idempotency checks.</w:t>
            </w:r>
          </w:p>
        </w:tc>
      </w:tr>
      <w:tr>
        <w:tc>
          <w:tcPr>
            <w:tcW w:type="dxa" w:w="4882"/>
            <w:vAlign w:val="center"/>
          </w:tcPr>
          <w:p>
            <w:pPr>
              <w:spacing w:after="20"/>
            </w:pPr>
            <w:r>
              <w:t>Medium</w:t>
            </w:r>
          </w:p>
        </w:tc>
        <w:tc>
          <w:tcPr>
            <w:tcW w:type="dxa" w:w="4882"/>
            <w:vAlign w:val="center"/>
          </w:tcPr>
          <w:p>
            <w:pPr>
              <w:spacing w:after="20"/>
            </w:pPr>
            <w:r>
              <w:t>Parser silently converts invalid monetary values to zero, and split(",") does not correctly support quoted commas. Validate counts and values or use a proper CSV parser.</w:t>
            </w:r>
          </w:p>
        </w:tc>
      </w:tr>
      <w:tr>
        <w:tc>
          <w:tcPr>
            <w:tcW w:type="dxa" w:w="4882"/>
            <w:vAlign w:val="center"/>
          </w:tcPr>
          <w:p>
            <w:pPr>
              <w:spacing w:after="20"/>
            </w:pPr>
            <w:r>
              <w:t>Medium</w:t>
            </w:r>
          </w:p>
        </w:tc>
        <w:tc>
          <w:tcPr>
            <w:tcW w:type="dxa" w:w="4882"/>
            <w:vAlign w:val="center"/>
          </w:tcPr>
          <w:p>
            <w:pPr>
              <w:spacing w:after="20"/>
            </w:pPr>
            <w:r>
              <w:t>The code uses a shared source-folder and no deduplication by eGrowcery order ID. Replaying an input file could inject another transaction; add persistent idempotency and reconciliation.</w:t>
            </w:r>
          </w:p>
        </w:tc>
      </w:tr>
      <w:tr>
        <w:tc>
          <w:tcPr>
            <w:tcW w:type="dxa" w:w="4882"/>
            <w:vAlign w:val="center"/>
          </w:tcPr>
          <w:p>
            <w:pPr>
              <w:spacing w:after="20"/>
            </w:pPr>
            <w:r>
              <w:t>Medium</w:t>
            </w:r>
          </w:p>
        </w:tc>
        <w:tc>
          <w:tcPr>
            <w:tcW w:type="dxa" w:w="4882"/>
            <w:vAlign w:val="center"/>
          </w:tcPr>
          <w:p>
            <w:pPr>
              <w:spacing w:after="20"/>
            </w:pPr>
            <w:r>
              <w:t>Multiple startup/concurrent processes can race on transaction numbering or TLOG appends; enforce a single writer and validate the counter strategy.</w:t>
            </w:r>
          </w:p>
        </w:tc>
      </w:tr>
    </w:tbl>
    <w:p>
      <w:pPr>
        <w:pStyle w:val="Heading1"/>
      </w:pPr>
      <w:r>
        <w:t>12. Practical troubleshooting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</w:tcPr>
          <w:p>
            <w:pPr>
              <w:spacing w:after="20"/>
            </w:pPr>
            <w:r>
              <w:t>Symptom</w:t>
            </w:r>
          </w:p>
        </w:tc>
        <w:tc>
          <w:tcPr>
            <w:tcW w:type="dxa" w:w="4882"/>
          </w:tcPr>
          <w:p>
            <w:pPr>
              <w:spacing w:after="20"/>
            </w:pPr>
            <w:r>
              <w:t>Where to investigate</w:t>
            </w:r>
          </w:p>
        </w:tc>
      </w:tr>
      <w:tr>
        <w:tc>
          <w:tcPr>
            <w:tcW w:type="dxa" w:w="4882"/>
            <w:vAlign w:val="center"/>
          </w:tcPr>
          <w:p>
            <w:pPr>
              <w:spacing w:after="20"/>
            </w:pPr>
            <w:r>
              <w:t>No cycles</w:t>
            </w:r>
          </w:p>
        </w:tc>
        <w:tc>
          <w:tcPr>
            <w:tcW w:type="dxa" w:w="4882"/>
            <w:vAlign w:val="center"/>
          </w:tcPr>
          <w:p>
            <w:pPr>
              <w:spacing w:after="20"/>
            </w:pPr>
            <w:r>
              <w:t>Verify main class starts; check cycleStartDelay, scheduler exceptions and Java process life.</w:t>
            </w:r>
          </w:p>
        </w:tc>
      </w:tr>
      <w:tr>
        <w:tc>
          <w:tcPr>
            <w:tcW w:type="dxa" w:w="4882"/>
            <w:vAlign w:val="center"/>
          </w:tcPr>
          <w:p>
            <w:pPr>
              <w:spacing w:after="20"/>
            </w:pPr>
            <w:r>
              <w:t>No remote files</w:t>
            </w:r>
          </w:p>
        </w:tc>
        <w:tc>
          <w:tcPr>
            <w:tcW w:type="dxa" w:w="4882"/>
            <w:vAlign w:val="center"/>
          </w:tcPr>
          <w:p>
            <w:pPr>
              <w:spacing w:after="20"/>
            </w:pPr>
            <w:r>
              <w:t>FTPS host, TLS mode/port, login, cert checks, directory and filename filters.</w:t>
            </w:r>
          </w:p>
        </w:tc>
      </w:tr>
      <w:tr>
        <w:tc>
          <w:tcPr>
            <w:tcW w:type="dxa" w:w="4882"/>
            <w:vAlign w:val="center"/>
          </w:tcPr>
          <w:p>
            <w:pPr>
              <w:spacing w:after="20"/>
            </w:pPr>
            <w:r>
              <w:t>Files downloaded but not processed</w:t>
            </w:r>
          </w:p>
        </w:tc>
        <w:tc>
          <w:tcPr>
            <w:tcW w:type="dxa" w:w="4882"/>
            <w:vAlign w:val="center"/>
          </w:tcPr>
          <w:p>
            <w:pPr>
              <w:spacing w:after="20"/>
            </w:pPr>
            <w:r>
              <w:t>sourceDirectory vs actual working directory, sourceExtension, permissions, filename suffix.</w:t>
            </w:r>
          </w:p>
        </w:tc>
      </w:tr>
      <w:tr>
        <w:tc>
          <w:tcPr>
            <w:tcW w:type="dxa" w:w="4882"/>
            <w:vAlign w:val="center"/>
          </w:tcPr>
          <w:p>
            <w:pPr>
              <w:spacing w:after="20"/>
            </w:pPr>
            <w:r>
              <w:t>Files moved to error</w:t>
            </w:r>
          </w:p>
        </w:tc>
        <w:tc>
          <w:tcPr>
            <w:tcW w:type="dxa" w:w="4882"/>
            <w:vAlign w:val="center"/>
          </w:tcPr>
          <w:p>
            <w:pPr>
              <w:spacing w:after="20"/>
            </w:pPr>
            <w:r>
              <w:t>Stack trace from processFile; malformed section lines, missing data, numeric conversions, EAMITEMR access.</w:t>
            </w:r>
          </w:p>
        </w:tc>
      </w:tr>
      <w:tr>
        <w:tc>
          <w:tcPr>
            <w:tcW w:type="dxa" w:w="4882"/>
            <w:vAlign w:val="center"/>
          </w:tcPr>
          <w:p>
            <w:pPr>
              <w:spacing w:after="20"/>
            </w:pPr>
            <w:r>
              <w:t>Unexpected item department/tax</w:t>
            </w:r>
          </w:p>
        </w:tc>
        <w:tc>
          <w:tcPr>
            <w:tcW w:type="dxa" w:w="4882"/>
            <w:vAlign w:val="center"/>
          </w:tcPr>
          <w:p>
            <w:pPr>
              <w:spacing w:after="20"/>
            </w:pPr>
            <w:r>
              <w:t>Verify UPC normalization, EAMITEMR availability, department fallback and tax mapping.</w:t>
            </w:r>
          </w:p>
        </w:tc>
      </w:tr>
      <w:tr>
        <w:tc>
          <w:tcPr>
            <w:tcW w:type="dxa" w:w="4882"/>
            <w:vAlign w:val="center"/>
          </w:tcPr>
          <w:p>
            <w:pPr>
              <w:spacing w:after="20"/>
            </w:pPr>
            <w:r>
              <w:t>Wrong tender type</w:t>
            </w:r>
          </w:p>
        </w:tc>
        <w:tc>
          <w:tcPr>
            <w:tcW w:type="dxa" w:w="4882"/>
            <w:vAlign w:val="center"/>
          </w:tcPr>
          <w:p>
            <w:pPr>
              <w:spacing w:after="20"/>
            </w:pPr>
            <w:r>
              <w:t>Check [tenders] numeric keys and defaultTenderType.</w:t>
            </w:r>
          </w:p>
        </w:tc>
      </w:tr>
      <w:tr>
        <w:tc>
          <w:tcPr>
            <w:tcW w:type="dxa" w:w="4882"/>
            <w:vAlign w:val="center"/>
          </w:tcPr>
          <w:p>
            <w:pPr>
              <w:spacing w:after="20"/>
            </w:pPr>
            <w:r>
              <w:t>Output not visible in TLOG</w:t>
            </w:r>
          </w:p>
        </w:tc>
        <w:tc>
          <w:tcPr>
            <w:tcW w:type="dxa" w:w="4882"/>
            <w:vAlign w:val="center"/>
          </w:tcPr>
          <w:p>
            <w:pPr>
              <w:spacing w:after="20"/>
            </w:pPr>
            <w:r>
              <w:t>Check EAMCSCF1 key 9998, computed c:\adx_idt4 path, access rights, and writeHex return.</w:t>
            </w:r>
          </w:p>
        </w:tc>
      </w:tr>
      <w:tr>
        <w:tc>
          <w:tcPr>
            <w:tcW w:type="dxa" w:w="4882"/>
            <w:vAlign w:val="center"/>
          </w:tcPr>
          <w:p>
            <w:pPr>
              <w:spacing w:after="20"/>
            </w:pPr>
            <w:r>
              <w:t>Duplicate injected orders</w:t>
            </w:r>
          </w:p>
        </w:tc>
        <w:tc>
          <w:tcPr>
            <w:tcW w:type="dxa" w:w="4882"/>
            <w:vAlign w:val="center"/>
          </w:tcPr>
          <w:p>
            <w:pPr>
              <w:spacing w:after="20"/>
            </w:pPr>
            <w:r>
              <w:t>Check remote rename outcome, local archive naming and replay/idempotency controls.</w:t>
            </w:r>
          </w:p>
        </w:tc>
      </w:tr>
    </w:tbl>
    <w:p>
      <w:pPr>
        <w:pStyle w:val="Heading1"/>
      </w:pPr>
      <w:r>
        <w:t>13. Code-reference index</w:t>
      </w:r>
    </w:p>
    <w:p>
      <w:r>
        <w:t>The key implementation files are src/com/atlas/OrderInjection/egrowcery/processor/eGrowceryProcessor.java, eGrowceryFileProcessor.java, egrowcery/parser/FileParser.java, order/OrderInjectionOrderBuilder.java, order/OrderInjectionOrder.java, fileUtils/WriteToTLog.java, fileUtils/AtlasEAMITEMR.java, fileUtils/TransNumStorage.java, and src/com/atlas/cc/utils/AtlasFTPSClient.java. The supplied source ZIP also contains separate SCAM classes not used by the Order Injection path.</w:t>
      </w:r>
    </w:p>
    <w:p>
      <w:r>
        <w:t>Note: This guide documents behavior visible in the supplied implementation. Exact ACE acceptance/recognition of the generated records must be confirmed in the relevant POS installation.</w:t>
      </w:r>
    </w:p>
    <w:sectPr w:rsidR="00FC693F" w:rsidRPr="0006063C" w:rsidSect="00034616">
      <w:footerReference w:type="default" r:id="rId9"/>
      <w:pgSz w:w="12240" w:h="15840"/>
      <w:pgMar w:top="1037" w:right="1238" w:bottom="1037" w:left="1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Atlas Order Injection  •  Technical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0415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0415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60"/>
      <w:contextualSpacing/>
    </w:pPr>
    <w:rPr>
      <w:rFonts w:asciiTheme="majorHAnsi" w:eastAsiaTheme="majorEastAsia" w:hAnsiTheme="majorHAnsi" w:cstheme="majorBidi" w:ascii="Aptos Display" w:hAnsi="Aptos Display"/>
      <w:b/>
      <w:color w:val="20415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