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3304a" w:space="8" w:sz="12" w:val="single"/>
        </w:pBdr>
        <w:spacing w:after="40" w:lineRule="auto"/>
        <w:rPr/>
      </w:pPr>
      <w:r w:rsidDel="00000000" w:rsidR="00000000" w:rsidRPr="00000000">
        <w:rPr>
          <w:rFonts w:ascii="Calibri" w:cs="Calibri" w:eastAsia="Calibri" w:hAnsi="Calibri"/>
          <w:b w:val="1"/>
          <w:bCs w:val="1"/>
          <w:color w:val="13304a"/>
          <w:sz w:val="19"/>
          <w:szCs w:val="19"/>
          <w:rtl w:val="0"/>
        </w:rPr>
        <w:t xml:space="preserve">NOTE DE CONCEPT</w:t>
      </w:r>
      <w:r w:rsidDel="00000000" w:rsidR="00000000" w:rsidRPr="00000000">
        <w:rPr>
          <w:rtl w:val="0"/>
        </w:rPr>
      </w:r>
    </w:p>
    <w:p w:rsidR="00000000" w:rsidDel="00000000" w:rsidP="00000000" w:rsidRDefault="00000000" w:rsidRPr="00000000" w14:paraId="00000002">
      <w:pPr>
        <w:spacing w:after="60" w:before="270" w:lineRule="auto"/>
        <w:rPr/>
      </w:pPr>
      <w:r w:rsidDel="00000000" w:rsidR="00000000" w:rsidRPr="00000000">
        <w:rPr>
          <w:rFonts w:ascii="Calibri" w:cs="Calibri" w:eastAsia="Calibri" w:hAnsi="Calibri"/>
          <w:b w:val="1"/>
          <w:bCs w:val="1"/>
          <w:color w:val="13304a"/>
          <w:sz w:val="32"/>
          <w:szCs w:val="32"/>
          <w:rtl w:val="0"/>
        </w:rPr>
        <w:t xml:space="preserve">Entrer en Afrique centrale sans la menacer</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Calibri" w:cs="Calibri" w:eastAsia="Calibri" w:hAnsi="Calibri"/>
          <w:color w:val="1f6f6b"/>
          <w:sz w:val="20"/>
          <w:szCs w:val="20"/>
          <w:rtl w:val="0"/>
        </w:rPr>
        <w:t xml:space="preserve">Stratégie d'entrée compatible avec la souveraineté monétaire, pour Tether au Cameroun et en zone CEMAC</w:t>
      </w:r>
      <w:r w:rsidDel="00000000" w:rsidR="00000000" w:rsidRPr="00000000">
        <w:rPr>
          <w:rtl w:val="0"/>
        </w:rPr>
      </w:r>
    </w:p>
    <w:p w:rsidR="00000000" w:rsidDel="00000000" w:rsidP="00000000" w:rsidRDefault="00000000" w:rsidRPr="00000000" w14:paraId="00000004">
      <w:pPr>
        <w:spacing w:after="210" w:before="0" w:line="288" w:lineRule="auto"/>
        <w:jc w:val="both"/>
        <w:rPr/>
      </w:pPr>
      <w:r w:rsidDel="00000000" w:rsidR="00000000" w:rsidRPr="00000000">
        <w:rPr>
          <w:rFonts w:ascii="Calibri" w:cs="Calibri" w:eastAsia="Calibri" w:hAnsi="Calibri"/>
          <w:color w:val="5a6672"/>
          <w:sz w:val="19"/>
          <w:szCs w:val="19"/>
          <w:rtl w:val="0"/>
        </w:rPr>
        <w:t xml:space="preserve">Préparée par l'Institut Africain de Finance Numérique à l'attention de Tether · Septembre 2026</w:t>
      </w:r>
      <w:r w:rsidDel="00000000" w:rsidR="00000000" w:rsidRPr="00000000">
        <w:rPr>
          <w:rtl w:val="0"/>
        </w:rPr>
      </w:r>
    </w:p>
    <w:p w:rsidR="00000000" w:rsidDel="00000000" w:rsidP="00000000" w:rsidRDefault="00000000" w:rsidRPr="00000000" w14:paraId="00000005">
      <w:pPr>
        <w:pBdr>
          <w:left w:color="1f6f6b" w:space="10" w:sz="18" w:val="single"/>
        </w:pBdr>
        <w:shd w:fill="f1f6f5" w:val="clear"/>
        <w:spacing w:after="145" w:before="125" w:line="288" w:lineRule="auto"/>
        <w:ind w:left="190" w:right="190" w:firstLine="0"/>
        <w:rPr/>
      </w:pPr>
      <w:r w:rsidDel="00000000" w:rsidR="00000000" w:rsidRPr="00000000">
        <w:rPr>
          <w:rFonts w:ascii="Calibri" w:cs="Calibri" w:eastAsia="Calibri" w:hAnsi="Calibri"/>
          <w:b w:val="1"/>
          <w:bCs w:val="1"/>
          <w:color w:val="17322f"/>
          <w:sz w:val="20"/>
          <w:szCs w:val="20"/>
          <w:rtl w:val="0"/>
        </w:rPr>
        <w:t xml:space="preserve">La proposition : la difficulté de Tether dans cette région n'est ni technique, ni désormais probatoire. Elle tient à la manière dont une autorité monétaire lit votre présence. Cette note expose quatre mouvements qui modifient cette lecture, et un moment défini — les 29 et 30 septembre à Yaoundé — où les quatre peuvent être engagés.</w:t>
      </w:r>
      <w:r w:rsidDel="00000000" w:rsidR="00000000" w:rsidRPr="00000000">
        <w:rPr>
          <w:rtl w:val="0"/>
        </w:rPr>
      </w:r>
    </w:p>
    <w:p w:rsidR="00000000" w:rsidDel="00000000" w:rsidP="00000000" w:rsidRDefault="00000000" w:rsidRPr="00000000" w14:paraId="00000006">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1. Le problème, énoncé correctement</w:t>
      </w:r>
      <w:r w:rsidDel="00000000" w:rsidR="00000000" w:rsidRPr="00000000">
        <w:rPr>
          <w:rtl w:val="0"/>
        </w:rPr>
      </w:r>
    </w:p>
    <w:p w:rsidR="00000000" w:rsidDel="00000000" w:rsidP="00000000" w:rsidRDefault="00000000" w:rsidRPr="00000000" w14:paraId="00000007">
      <w:pPr>
        <w:spacing w:after="120" w:before="0" w:line="288" w:lineRule="auto"/>
        <w:jc w:val="both"/>
        <w:rPr/>
      </w:pPr>
      <w:r w:rsidDel="00000000" w:rsidR="00000000" w:rsidRPr="00000000">
        <w:rPr>
          <w:rFonts w:ascii="Calibri" w:cs="Calibri" w:eastAsia="Calibri" w:hAnsi="Calibri"/>
          <w:color w:val="20272e"/>
          <w:sz w:val="20"/>
          <w:szCs w:val="20"/>
          <w:rtl w:val="0"/>
        </w:rPr>
        <w:t xml:space="preserve">Presque tous les gouvernements de la zone franc lisent un grand émetteur de stablecoin de la même façon : comme un instrument qui érode la souveraineté monétaire. Le raisonnement n'est pas irrationnel. Un régime de parité fixe repose sur le maintien de la monnaie locale comme unité de compte, sur le retour des devises à la banque centrale, et sur la capacité des autorités à voir les flux. Tout ce qui paraît affaiblir ces trois éléments est traité comme une menace, indépendamment de ses mérites.</w:t>
      </w:r>
      <w:r w:rsidDel="00000000" w:rsidR="00000000" w:rsidRPr="00000000">
        <w:rPr>
          <w:rtl w:val="0"/>
        </w:rPr>
      </w:r>
    </w:p>
    <w:p w:rsidR="00000000" w:rsidDel="00000000" w:rsidP="00000000" w:rsidRDefault="00000000" w:rsidRPr="00000000" w14:paraId="00000008">
      <w:pPr>
        <w:spacing w:after="120" w:before="0" w:line="288" w:lineRule="auto"/>
        <w:jc w:val="both"/>
        <w:rPr/>
      </w:pPr>
      <w:r w:rsidDel="00000000" w:rsidR="00000000" w:rsidRPr="00000000">
        <w:rPr>
          <w:rFonts w:ascii="Calibri" w:cs="Calibri" w:eastAsia="Calibri" w:hAnsi="Calibri"/>
          <w:color w:val="20272e"/>
          <w:sz w:val="20"/>
          <w:szCs w:val="20"/>
          <w:rtl w:val="0"/>
        </w:rPr>
        <w:t xml:space="preserve">L'audit KPMG est une avancée réelle et il lève une objection sérieuse — celle qui portait sur la couverture des réserves. Mais il répond à une question sur le bilan de Tether, non sur le mandat d'une banque centrale. Un superviseur peut admettre entièrement que les réserves sont auditées et conclure néanmoins que l'instrument concurrence sa monnaie. La preuve a progressé ; la perception n'a pas bougé, parce qu'elles ne portaient pas sur la même question.</w:t>
      </w:r>
      <w:r w:rsidDel="00000000" w:rsidR="00000000" w:rsidRPr="00000000">
        <w:rPr>
          <w:rtl w:val="0"/>
        </w:rPr>
      </w:r>
    </w:p>
    <w:p w:rsidR="00000000" w:rsidDel="00000000" w:rsidP="00000000" w:rsidRDefault="00000000" w:rsidRPr="00000000" w14:paraId="00000009">
      <w:pPr>
        <w:pBdr>
          <w:left w:color="1f6f6b" w:space="10" w:sz="18" w:val="single"/>
        </w:pBdr>
        <w:shd w:fill="f1f6f5" w:val="clear"/>
        <w:spacing w:after="145" w:before="125" w:line="288" w:lineRule="auto"/>
        <w:ind w:left="190" w:right="190" w:firstLine="0"/>
        <w:rPr/>
      </w:pPr>
      <w:r w:rsidDel="00000000" w:rsidR="00000000" w:rsidRPr="00000000">
        <w:rPr>
          <w:rFonts w:ascii="Calibri" w:cs="Calibri" w:eastAsia="Calibri" w:hAnsi="Calibri"/>
          <w:b w:val="1"/>
          <w:bCs w:val="1"/>
          <w:color w:val="17322f"/>
          <w:sz w:val="20"/>
          <w:szCs w:val="20"/>
          <w:rtl w:val="0"/>
        </w:rPr>
        <w:t xml:space="preserve">Aucune attestation ne répond à la question de la souveraineté. Seule une posture démontrée y répond.</w:t>
      </w:r>
      <w:r w:rsidDel="00000000" w:rsidR="00000000" w:rsidRPr="00000000">
        <w:rPr>
          <w:rtl w:val="0"/>
        </w:rPr>
      </w:r>
    </w:p>
    <w:p w:rsidR="00000000" w:rsidDel="00000000" w:rsidP="00000000" w:rsidRDefault="00000000" w:rsidRPr="00000000" w14:paraId="0000000A">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2. Quatre mouvements</w:t>
      </w:r>
      <w:r w:rsidDel="00000000" w:rsidR="00000000" w:rsidRPr="00000000">
        <w:rPr>
          <w:rtl w:val="0"/>
        </w:rPr>
      </w:r>
    </w:p>
    <w:p w:rsidR="00000000" w:rsidDel="00000000" w:rsidP="00000000" w:rsidRDefault="00000000" w:rsidRPr="00000000" w14:paraId="0000000B">
      <w:pPr>
        <w:spacing w:after="65" w:before="170" w:lineRule="auto"/>
        <w:jc w:val="center"/>
        <w:rPr/>
      </w:pPr>
      <w:r w:rsidDel="00000000" w:rsidR="00000000" w:rsidRPr="00000000">
        <w:rPr/>
        <w:drawing>
          <wp:inline distB="0" distT="0" distL="0" distR="0">
            <wp:extent cx="5715000" cy="2686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80" w:lineRule="auto"/>
        <w:jc w:val="center"/>
        <w:rPr/>
      </w:pPr>
      <w:r w:rsidDel="00000000" w:rsidR="00000000" w:rsidRPr="00000000">
        <w:rPr>
          <w:rFonts w:ascii="Calibri" w:cs="Calibri" w:eastAsia="Calibri" w:hAnsi="Calibri"/>
          <w:i w:val="1"/>
          <w:iCs w:val="1"/>
          <w:color w:val="5a6672"/>
          <w:sz w:val="17"/>
          <w:szCs w:val="17"/>
          <w:rtl w:val="0"/>
        </w:rPr>
        <w:t xml:space="preserve">Figure 1 — Les quatre composantes de l'entrée</w:t>
      </w:r>
      <w:r w:rsidDel="00000000" w:rsidR="00000000" w:rsidRPr="00000000">
        <w:rPr>
          <w:rtl w:val="0"/>
        </w:rPr>
      </w:r>
    </w:p>
    <w:p w:rsidR="00000000" w:rsidDel="00000000" w:rsidP="00000000" w:rsidRDefault="00000000" w:rsidRPr="00000000" w14:paraId="0000000D">
      <w:pPr>
        <w:spacing w:after="120" w:before="0" w:line="288" w:lineRule="auto"/>
        <w:jc w:val="both"/>
        <w:rPr/>
      </w:pPr>
      <w:r w:rsidDel="00000000" w:rsidR="00000000" w:rsidRPr="00000000">
        <w:rPr>
          <w:rFonts w:ascii="Calibri" w:cs="Calibri" w:eastAsia="Calibri" w:hAnsi="Calibri"/>
          <w:color w:val="20272e"/>
          <w:sz w:val="20"/>
          <w:szCs w:val="20"/>
          <w:rtl w:val="0"/>
        </w:rPr>
        <w:t xml:space="preserve">L'ordre est délibéré. Le premier change la lecture ; les trois autres construisent la crédibilité par-dessus. Exécuté à l'envers — capital et association d'abord, posture monétaire ensuite — l'ensemble se lit comme une opération d'influence.</w:t>
      </w:r>
      <w:r w:rsidDel="00000000" w:rsidR="00000000" w:rsidRPr="00000000">
        <w:rPr>
          <w:rtl w:val="0"/>
        </w:rPr>
      </w:r>
    </w:p>
    <w:p w:rsidR="00000000" w:rsidDel="00000000" w:rsidP="00000000" w:rsidRDefault="00000000" w:rsidRPr="00000000" w14:paraId="0000000E">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3. Pilier 1 — La posture monétaire</w:t>
      </w:r>
      <w:r w:rsidDel="00000000" w:rsidR="00000000" w:rsidRPr="00000000">
        <w:rPr>
          <w:rtl w:val="0"/>
        </w:rPr>
      </w:r>
    </w:p>
    <w:p w:rsidR="00000000" w:rsidDel="00000000" w:rsidP="00000000" w:rsidRDefault="00000000" w:rsidRPr="00000000" w14:paraId="0000000F">
      <w:pPr>
        <w:spacing w:after="120" w:before="0" w:line="288" w:lineRule="auto"/>
        <w:jc w:val="both"/>
        <w:rPr/>
      </w:pPr>
      <w:r w:rsidDel="00000000" w:rsidR="00000000" w:rsidRPr="00000000">
        <w:rPr>
          <w:rFonts w:ascii="Calibri" w:cs="Calibri" w:eastAsia="Calibri" w:hAnsi="Calibri"/>
          <w:color w:val="20272e"/>
          <w:sz w:val="20"/>
          <w:szCs w:val="20"/>
          <w:rtl w:val="0"/>
        </w:rPr>
        <w:t xml:space="preserve">C'est le pilier qui fait le travail, et celui que l'on saute le plus souvent parce qu'il est le moins commercial.</w:t>
      </w:r>
      <w:r w:rsidDel="00000000" w:rsidR="00000000" w:rsidRPr="00000000">
        <w:rPr>
          <w:rtl w:val="0"/>
        </w:rPr>
      </w:r>
    </w:p>
    <w:p w:rsidR="00000000" w:rsidDel="00000000" w:rsidP="00000000" w:rsidRDefault="00000000" w:rsidRPr="00000000" w14:paraId="00000010">
      <w:pPr>
        <w:spacing w:after="100" w:before="230" w:lineRule="auto"/>
        <w:rPr/>
      </w:pPr>
      <w:r w:rsidDel="00000000" w:rsidR="00000000" w:rsidRPr="00000000">
        <w:rPr>
          <w:rFonts w:ascii="Calibri" w:cs="Calibri" w:eastAsia="Calibri" w:hAnsi="Calibri"/>
          <w:b w:val="1"/>
          <w:bCs w:val="1"/>
          <w:color w:val="13304a"/>
          <w:sz w:val="20"/>
          <w:szCs w:val="20"/>
          <w:rtl w:val="0"/>
        </w:rPr>
        <w:t xml:space="preserve">3.1 Ce que Tether doit énoncer, et continuer d'énoncer</w:t>
      </w:r>
      <w:r w:rsidDel="00000000" w:rsidR="00000000" w:rsidRPr="00000000">
        <w:rPr>
          <w:rtl w:val="0"/>
        </w:rPr>
      </w:r>
    </w:p>
    <w:p w:rsidR="00000000" w:rsidDel="00000000" w:rsidP="00000000" w:rsidRDefault="00000000" w:rsidRPr="00000000" w14:paraId="00000011">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Tether est un rail de règlement et de transfert. Tether ne cherche pas à devenir une unité de compte en zone CEMAC, ni à voir les biens, les salaires ou les impôts libellés en USDt.</w:t>
      </w:r>
      <w:r w:rsidDel="00000000" w:rsidR="00000000" w:rsidRPr="00000000">
        <w:rPr>
          <w:rtl w:val="0"/>
        </w:rPr>
      </w:r>
    </w:p>
    <w:p w:rsidR="00000000" w:rsidDel="00000000" w:rsidP="00000000" w:rsidRDefault="00000000" w:rsidRPr="00000000" w14:paraId="00000012">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La monnaie locale demeure la monnaie de la vie économique quotidienne. L'utilité de Tether se situe dans le règlement transfrontalier, où l'alternative est la friction de la correspondance bancaire, non dans la substitution domestique.</w:t>
      </w:r>
      <w:r w:rsidDel="00000000" w:rsidR="00000000" w:rsidRPr="00000000">
        <w:rPr>
          <w:rtl w:val="0"/>
        </w:rPr>
      </w:r>
    </w:p>
    <w:p w:rsidR="00000000" w:rsidDel="00000000" w:rsidP="00000000" w:rsidRDefault="00000000" w:rsidRPr="00000000" w14:paraId="00000013">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Tether soutient la traçabilité intégrale des flux vers les superviseurs et se conformera aux formats de restitution que ceux-ci définiront, plutôt que d'en proposer d'autres.</w:t>
      </w:r>
      <w:r w:rsidDel="00000000" w:rsidR="00000000" w:rsidRPr="00000000">
        <w:rPr>
          <w:rtl w:val="0"/>
        </w:rPr>
      </w:r>
    </w:p>
    <w:p w:rsidR="00000000" w:rsidDel="00000000" w:rsidP="00000000" w:rsidRDefault="00000000" w:rsidRPr="00000000" w14:paraId="00000014">
      <w:pPr>
        <w:spacing w:after="100" w:before="230" w:lineRule="auto"/>
        <w:rPr/>
      </w:pPr>
      <w:r w:rsidDel="00000000" w:rsidR="00000000" w:rsidRPr="00000000">
        <w:rPr>
          <w:rFonts w:ascii="Calibri" w:cs="Calibri" w:eastAsia="Calibri" w:hAnsi="Calibri"/>
          <w:b w:val="1"/>
          <w:bCs w:val="1"/>
          <w:color w:val="13304a"/>
          <w:sz w:val="20"/>
          <w:szCs w:val="20"/>
          <w:rtl w:val="0"/>
        </w:rPr>
        <w:t xml:space="preserve">3.2 L'argument qui renverse le cadrage</w:t>
      </w:r>
      <w:r w:rsidDel="00000000" w:rsidR="00000000" w:rsidRPr="00000000">
        <w:rPr>
          <w:rtl w:val="0"/>
        </w:rPr>
      </w:r>
    </w:p>
    <w:p w:rsidR="00000000" w:rsidDel="00000000" w:rsidP="00000000" w:rsidRDefault="00000000" w:rsidRPr="00000000" w14:paraId="00000015">
      <w:pPr>
        <w:spacing w:after="120" w:before="0" w:line="288" w:lineRule="auto"/>
        <w:jc w:val="both"/>
        <w:rPr/>
      </w:pPr>
      <w:r w:rsidDel="00000000" w:rsidR="00000000" w:rsidRPr="00000000">
        <w:rPr>
          <w:rFonts w:ascii="Calibri" w:cs="Calibri" w:eastAsia="Calibri" w:hAnsi="Calibri"/>
          <w:color w:val="20272e"/>
          <w:sz w:val="20"/>
          <w:szCs w:val="20"/>
          <w:rtl w:val="0"/>
        </w:rPr>
        <w:t xml:space="preserve">Il existe un problème précis, actuel et documenté, sur lequel Tether est bien placé pour aider — et qui pointe dans le sens inverse de la crainte souveraine.</w:t>
      </w:r>
      <w:r w:rsidDel="00000000" w:rsidR="00000000" w:rsidRPr="00000000">
        <w:rPr>
          <w:rtl w:val="0"/>
        </w:rPr>
      </w:r>
    </w:p>
    <w:p w:rsidR="00000000" w:rsidDel="00000000" w:rsidP="00000000" w:rsidRDefault="00000000" w:rsidRPr="00000000" w14:paraId="00000016">
      <w:pPr>
        <w:spacing w:after="120" w:before="0" w:line="288" w:lineRule="auto"/>
        <w:jc w:val="both"/>
        <w:rPr/>
      </w:pPr>
      <w:r w:rsidDel="00000000" w:rsidR="00000000" w:rsidRPr="00000000">
        <w:rPr>
          <w:rFonts w:ascii="Calibri" w:cs="Calibri" w:eastAsia="Calibri" w:hAnsi="Calibri"/>
          <w:color w:val="20272e"/>
          <w:sz w:val="20"/>
          <w:szCs w:val="20"/>
          <w:rtl w:val="0"/>
        </w:rPr>
        <w:t xml:space="preserve">Une Instruction du Gouverneur de la BEAC du 5 mai 2026 vise les établissements de paiement qui reçoivent des préfinancements de partenaires techniques et exécutent des transferts locaux vers les bénéficiaires sans vérification préalable du rapatriement des devises correspondantes vers la zone. L'Instruction précise que ce comportement est susceptible de constituer un manquement à l'obligation de rétrocession des devises à la Banque Centrale.</w:t>
      </w:r>
      <w:r w:rsidDel="00000000" w:rsidR="00000000" w:rsidRPr="00000000">
        <w:rPr>
          <w:rtl w:val="0"/>
        </w:rPr>
      </w:r>
    </w:p>
    <w:p w:rsidR="00000000" w:rsidDel="00000000" w:rsidP="00000000" w:rsidRDefault="00000000" w:rsidRPr="00000000" w14:paraId="00000017">
      <w:pPr>
        <w:spacing w:after="120" w:before="0" w:line="288" w:lineRule="auto"/>
        <w:jc w:val="both"/>
        <w:rPr/>
      </w:pPr>
      <w:r w:rsidDel="00000000" w:rsidR="00000000" w:rsidRPr="00000000">
        <w:rPr>
          <w:rFonts w:ascii="Calibri" w:cs="Calibri" w:eastAsia="Calibri" w:hAnsi="Calibri"/>
          <w:color w:val="20272e"/>
          <w:sz w:val="20"/>
          <w:szCs w:val="20"/>
          <w:rtl w:val="0"/>
        </w:rPr>
        <w:t xml:space="preserve">Autrement dit : de la valeur est décaissée localement sans que la banque centrale puisse établir que les devises sont entrées. C'est une fuite sur les réserves dont la BEAC a besoin pour défendre la parité — et c'est un problème de visibilité, non de technologie.</w:t>
      </w:r>
      <w:r w:rsidDel="00000000" w:rsidR="00000000" w:rsidRPr="00000000">
        <w:rPr>
          <w:rtl w:val="0"/>
        </w:rPr>
      </w:r>
    </w:p>
    <w:p w:rsidR="00000000" w:rsidDel="00000000" w:rsidP="00000000" w:rsidRDefault="00000000" w:rsidRPr="00000000" w14:paraId="00000018">
      <w:pPr>
        <w:pBdr>
          <w:left w:color="1f6f6b" w:space="10" w:sz="18" w:val="single"/>
        </w:pBdr>
        <w:shd w:fill="f1f6f5" w:val="clear"/>
        <w:spacing w:after="145" w:before="125" w:line="288" w:lineRule="auto"/>
        <w:ind w:left="190" w:right="190" w:firstLine="0"/>
        <w:rPr/>
      </w:pPr>
      <w:r w:rsidDel="00000000" w:rsidR="00000000" w:rsidRPr="00000000">
        <w:rPr>
          <w:rFonts w:ascii="Calibri" w:cs="Calibri" w:eastAsia="Calibri" w:hAnsi="Calibri"/>
          <w:b w:val="1"/>
          <w:bCs w:val="1"/>
          <w:color w:val="17322f"/>
          <w:sz w:val="20"/>
          <w:szCs w:val="20"/>
          <w:rtl w:val="0"/>
        </w:rPr>
        <w:t xml:space="preserve">Un rail traçable, avec imputation opération par opération, rend cette fuite mesurable. Ainsi présenté, Tether n'est pas une menace pour l'accumulation de réserves : il en est un instrument. C'est la phrase la plus utile que Tether puisse porter dans une salle avec la BEAC.</w:t>
      </w:r>
      <w:r w:rsidDel="00000000" w:rsidR="00000000" w:rsidRPr="00000000">
        <w:rPr>
          <w:rtl w:val="0"/>
        </w:rPr>
      </w:r>
    </w:p>
    <w:p w:rsidR="00000000" w:rsidDel="00000000" w:rsidP="00000000" w:rsidRDefault="00000000" w:rsidRPr="00000000" w14:paraId="00000019">
      <w:pPr>
        <w:pBdr>
          <w:left w:color="a83e24" w:space="10" w:sz="18" w:val="single"/>
        </w:pBdr>
        <w:shd w:fill="fbf1ee" w:val="clear"/>
        <w:spacing w:after="145" w:before="125" w:line="288" w:lineRule="auto"/>
        <w:ind w:left="190" w:right="190" w:firstLine="0"/>
        <w:rPr/>
      </w:pPr>
      <w:r w:rsidDel="00000000" w:rsidR="00000000" w:rsidRPr="00000000">
        <w:rPr>
          <w:rFonts w:ascii="Calibri" w:cs="Calibri" w:eastAsia="Calibri" w:hAnsi="Calibri"/>
          <w:b w:val="1"/>
          <w:bCs w:val="1"/>
          <w:color w:val="6e2716"/>
          <w:sz w:val="20"/>
          <w:szCs w:val="20"/>
          <w:rtl w:val="0"/>
        </w:rPr>
        <w:t xml:space="preserve">Ce qui ne doit pas être dit : toute suggestion qu'un actif numérique pourrait adosser, renforcer ou substituer partiellement le franc CFA. Les réserves qui défendent une parité fixe doivent être liquides et libellées dans la devise d'ancrage. Cet argument s'adresse aux États à monnaie flottante subissant une dépréciation ; il ne se transpose pas à la zone franc, et l'avancer confirmerait exactement la crainte que cette stratégie vise à dissiper.</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4. Pilier 2 — Les conventions institutionnelles</w:t>
      </w:r>
      <w:r w:rsidDel="00000000" w:rsidR="00000000" w:rsidRPr="00000000">
        <w:rPr>
          <w:rtl w:val="0"/>
        </w:rPr>
      </w:r>
    </w:p>
    <w:p w:rsidR="00000000" w:rsidDel="00000000" w:rsidP="00000000" w:rsidRDefault="00000000" w:rsidRPr="00000000" w14:paraId="0000001C">
      <w:pPr>
        <w:spacing w:after="120" w:before="0" w:line="288" w:lineRule="auto"/>
        <w:jc w:val="both"/>
        <w:rPr/>
      </w:pPr>
      <w:r w:rsidDel="00000000" w:rsidR="00000000" w:rsidRPr="00000000">
        <w:rPr>
          <w:rFonts w:ascii="Calibri" w:cs="Calibri" w:eastAsia="Calibri" w:hAnsi="Calibri"/>
          <w:color w:val="20272e"/>
          <w:sz w:val="20"/>
          <w:szCs w:val="20"/>
          <w:rtl w:val="0"/>
        </w:rPr>
        <w:t xml:space="preserve">Des conventions-cadres avec les ministères sectoriels en matière d'éducation, de recherche et de compétences. Les interlocuteurs pressentis sont le Ministère des Postes et Télécommunications, le Ministère de l'Enseignement Supérieur et le Ministère de la Recherche Scientifique et de l'Innovation, ainsi que des universités nommément désignées.</w:t>
      </w:r>
      <w:r w:rsidDel="00000000" w:rsidR="00000000" w:rsidRPr="00000000">
        <w:rPr>
          <w:rtl w:val="0"/>
        </w:rPr>
      </w:r>
    </w:p>
    <w:p w:rsidR="00000000" w:rsidDel="00000000" w:rsidP="00000000" w:rsidRDefault="00000000" w:rsidRPr="00000000" w14:paraId="0000001D">
      <w:pPr>
        <w:spacing w:after="100" w:before="230" w:lineRule="auto"/>
        <w:rPr/>
      </w:pPr>
      <w:r w:rsidDel="00000000" w:rsidR="00000000" w:rsidRPr="00000000">
        <w:rPr>
          <w:rFonts w:ascii="Calibri" w:cs="Calibri" w:eastAsia="Calibri" w:hAnsi="Calibri"/>
          <w:b w:val="1"/>
          <w:bCs w:val="1"/>
          <w:color w:val="13304a"/>
          <w:sz w:val="20"/>
          <w:szCs w:val="20"/>
          <w:rtl w:val="0"/>
        </w:rPr>
        <w:t xml:space="preserve">4.1 Ce qui rend une convention crédible plutôt que décorative</w:t>
      </w:r>
      <w:r w:rsidDel="00000000" w:rsidR="00000000" w:rsidRPr="00000000">
        <w:rPr>
          <w:rtl w:val="0"/>
        </w:rPr>
      </w:r>
    </w:p>
    <w:p w:rsidR="00000000" w:rsidDel="00000000" w:rsidP="00000000" w:rsidRDefault="00000000" w:rsidRPr="00000000" w14:paraId="0000001E">
      <w:pPr>
        <w:spacing w:after="120" w:before="0" w:line="288" w:lineRule="auto"/>
        <w:jc w:val="both"/>
        <w:rPr/>
      </w:pPr>
      <w:r w:rsidDel="00000000" w:rsidR="00000000" w:rsidRPr="00000000">
        <w:rPr>
          <w:rFonts w:ascii="Calibri" w:cs="Calibri" w:eastAsia="Calibri" w:hAnsi="Calibri"/>
          <w:color w:val="20272e"/>
          <w:sz w:val="20"/>
          <w:szCs w:val="20"/>
          <w:rtl w:val="0"/>
        </w:rPr>
        <w:t xml:space="preserve">Une convention qui transfère de l'argent et produit une photographie n'accomplit rien, et elle est lue à juste titre comme l'achat d'une légitimité. Une convention qui laisse une capacité durable est lue autrement. Le critère est simple : l'institution partenaire conserve-t-elle quelque chose de valeur lorsque l'accord prend fin ?</w:t>
      </w:r>
      <w:r w:rsidDel="00000000" w:rsidR="00000000" w:rsidRPr="00000000">
        <w:rPr>
          <w:rtl w:val="0"/>
        </w:rPr>
      </w:r>
    </w:p>
    <w:tbl>
      <w:tblPr>
        <w:tblStyle w:val="Table1"/>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2600"/>
        <w:gridCol w:w="7000"/>
        <w:tblGridChange w:id="0">
          <w:tblGrid>
            <w:gridCol w:w="2600"/>
            <w:gridCol w:w="70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1F">
            <w:pPr>
              <w:spacing w:after="20" w:line="260" w:lineRule="auto"/>
              <w:rPr/>
            </w:pPr>
            <w:r w:rsidDel="00000000" w:rsidR="00000000" w:rsidRPr="00000000">
              <w:rPr>
                <w:rFonts w:ascii="Calibri" w:cs="Calibri" w:eastAsia="Calibri" w:hAnsi="Calibri"/>
                <w:b w:val="1"/>
                <w:bCs w:val="1"/>
                <w:color w:val="ffffff"/>
                <w:sz w:val="17"/>
                <w:szCs w:val="17"/>
                <w:rtl w:val="0"/>
              </w:rPr>
              <w:t xml:space="preserve">Composante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20">
            <w:pPr>
              <w:spacing w:after="20" w:line="260" w:lineRule="auto"/>
              <w:rPr/>
            </w:pPr>
            <w:r w:rsidDel="00000000" w:rsidR="00000000" w:rsidRPr="00000000">
              <w:rPr>
                <w:rFonts w:ascii="Calibri" w:cs="Calibri" w:eastAsia="Calibri" w:hAnsi="Calibri"/>
                <w:b w:val="1"/>
                <w:bCs w:val="1"/>
                <w:color w:val="ffffff"/>
                <w:sz w:val="17"/>
                <w:szCs w:val="17"/>
                <w:rtl w:val="0"/>
              </w:rPr>
              <w:t xml:space="preserve">Contenu</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21">
            <w:pPr>
              <w:spacing w:after="20" w:line="260" w:lineRule="auto"/>
              <w:rPr/>
            </w:pPr>
            <w:r w:rsidDel="00000000" w:rsidR="00000000" w:rsidRPr="00000000">
              <w:rPr>
                <w:rFonts w:ascii="Calibri" w:cs="Calibri" w:eastAsia="Calibri" w:hAnsi="Calibri"/>
                <w:b w:val="1"/>
                <w:bCs w:val="1"/>
                <w:color w:val="20272e"/>
                <w:sz w:val="17"/>
                <w:szCs w:val="17"/>
                <w:rtl w:val="0"/>
              </w:rPr>
              <w:t xml:space="preserve">Programmes d'enseignement</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22">
            <w:pPr>
              <w:spacing w:after="20" w:line="260" w:lineRule="auto"/>
              <w:rPr/>
            </w:pPr>
            <w:r w:rsidDel="00000000" w:rsidR="00000000" w:rsidRPr="00000000">
              <w:rPr>
                <w:rFonts w:ascii="Calibri" w:cs="Calibri" w:eastAsia="Calibri" w:hAnsi="Calibri"/>
                <w:b w:val="0"/>
                <w:bCs w:val="0"/>
                <w:color w:val="20272e"/>
                <w:sz w:val="17"/>
                <w:szCs w:val="17"/>
                <w:rtl w:val="0"/>
              </w:rPr>
              <w:t xml:space="preserve">Modules co-développés sur les infrastructures de paiement numérique, la LBC/FT appliquée aux actifs virtuels et l'analyse de chaîne, propriété de l'université et librement utilisables après la fin de l'accord.</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23">
            <w:pPr>
              <w:spacing w:after="20" w:line="260" w:lineRule="auto"/>
              <w:rPr/>
            </w:pPr>
            <w:r w:rsidDel="00000000" w:rsidR="00000000" w:rsidRPr="00000000">
              <w:rPr>
                <w:rFonts w:ascii="Calibri" w:cs="Calibri" w:eastAsia="Calibri" w:hAnsi="Calibri"/>
                <w:b w:val="1"/>
                <w:bCs w:val="1"/>
                <w:color w:val="20272e"/>
                <w:sz w:val="17"/>
                <w:szCs w:val="17"/>
                <w:rtl w:val="0"/>
              </w:rPr>
              <w:t xml:space="preserve">Capacité pédagogique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24">
            <w:pPr>
              <w:spacing w:after="20" w:line="260" w:lineRule="auto"/>
              <w:rPr/>
            </w:pPr>
            <w:r w:rsidDel="00000000" w:rsidR="00000000" w:rsidRPr="00000000">
              <w:rPr>
                <w:rFonts w:ascii="Calibri" w:cs="Calibri" w:eastAsia="Calibri" w:hAnsi="Calibri"/>
                <w:b w:val="0"/>
                <w:bCs w:val="0"/>
                <w:color w:val="20272e"/>
                <w:sz w:val="17"/>
                <w:szCs w:val="17"/>
                <w:rtl w:val="0"/>
              </w:rPr>
              <w:t xml:space="preserve">Formation de formateurs, afin que l'enseignement survive sans présence extérieure.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25">
            <w:pPr>
              <w:spacing w:after="20" w:line="260" w:lineRule="auto"/>
              <w:rPr/>
            </w:pPr>
            <w:r w:rsidDel="00000000" w:rsidR="00000000" w:rsidRPr="00000000">
              <w:rPr>
                <w:rFonts w:ascii="Calibri" w:cs="Calibri" w:eastAsia="Calibri" w:hAnsi="Calibri"/>
                <w:b w:val="1"/>
                <w:bCs w:val="1"/>
                <w:color w:val="20272e"/>
                <w:sz w:val="17"/>
                <w:szCs w:val="17"/>
                <w:rtl w:val="0"/>
              </w:rPr>
              <w:t xml:space="preserve">Compétences de supervision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26">
            <w:pPr>
              <w:spacing w:after="20" w:line="260" w:lineRule="auto"/>
              <w:rPr/>
            </w:pPr>
            <w:r w:rsidDel="00000000" w:rsidR="00000000" w:rsidRPr="00000000">
              <w:rPr>
                <w:rFonts w:ascii="Calibri" w:cs="Calibri" w:eastAsia="Calibri" w:hAnsi="Calibri"/>
                <w:b w:val="0"/>
                <w:bCs w:val="0"/>
                <w:color w:val="20272e"/>
                <w:sz w:val="17"/>
                <w:szCs w:val="17"/>
                <w:rtl w:val="0"/>
              </w:rPr>
              <w:t xml:space="preserve">Sessions techniques pour les agents des organes de supervision et de l'administration, à leur demande, dans leurs locaux, sans contenu produit.</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27">
            <w:pPr>
              <w:spacing w:after="20" w:line="260" w:lineRule="auto"/>
              <w:rPr/>
            </w:pPr>
            <w:r w:rsidDel="00000000" w:rsidR="00000000" w:rsidRPr="00000000">
              <w:rPr>
                <w:rFonts w:ascii="Calibri" w:cs="Calibri" w:eastAsia="Calibri" w:hAnsi="Calibri"/>
                <w:b w:val="1"/>
                <w:bCs w:val="1"/>
                <w:color w:val="20272e"/>
                <w:sz w:val="17"/>
                <w:szCs w:val="17"/>
                <w:rtl w:val="0"/>
              </w:rPr>
              <w:t xml:space="preserve">Recherche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28">
            <w:pPr>
              <w:spacing w:after="20" w:line="260" w:lineRule="auto"/>
              <w:rPr/>
            </w:pPr>
            <w:r w:rsidDel="00000000" w:rsidR="00000000" w:rsidRPr="00000000">
              <w:rPr>
                <w:rFonts w:ascii="Calibri" w:cs="Calibri" w:eastAsia="Calibri" w:hAnsi="Calibri"/>
                <w:b w:val="0"/>
                <w:bCs w:val="0"/>
                <w:color w:val="20272e"/>
                <w:sz w:val="17"/>
                <w:szCs w:val="17"/>
                <w:rtl w:val="0"/>
              </w:rPr>
              <w:t xml:space="preserve">Financement de travaux indépendants par subventions non affectées, sans droit de relecture avant publication.</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29">
            <w:pPr>
              <w:spacing w:after="20" w:line="260" w:lineRule="auto"/>
              <w:rPr/>
            </w:pPr>
            <w:r w:rsidDel="00000000" w:rsidR="00000000" w:rsidRPr="00000000">
              <w:rPr>
                <w:rFonts w:ascii="Calibri" w:cs="Calibri" w:eastAsia="Calibri" w:hAnsi="Calibri"/>
                <w:b w:val="1"/>
                <w:bCs w:val="1"/>
                <w:color w:val="20272e"/>
                <w:sz w:val="17"/>
                <w:szCs w:val="17"/>
                <w:rtl w:val="0"/>
              </w:rPr>
              <w:t xml:space="preserve">Insertion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2A">
            <w:pPr>
              <w:spacing w:after="20" w:line="260" w:lineRule="auto"/>
              <w:rPr/>
            </w:pPr>
            <w:r w:rsidDel="00000000" w:rsidR="00000000" w:rsidRPr="00000000">
              <w:rPr>
                <w:rFonts w:ascii="Calibri" w:cs="Calibri" w:eastAsia="Calibri" w:hAnsi="Calibri"/>
                <w:b w:val="0"/>
                <w:bCs w:val="0"/>
                <w:color w:val="20272e"/>
                <w:sz w:val="17"/>
                <w:szCs w:val="17"/>
                <w:rtl w:val="0"/>
              </w:rPr>
              <w:t xml:space="preserve">Stages et placements de diplômés dans l'écosystème régional.</w:t>
            </w:r>
            <w:r w:rsidDel="00000000" w:rsidR="00000000" w:rsidRPr="00000000">
              <w:rPr>
                <w:rtl w:val="0"/>
              </w:rPr>
            </w:r>
          </w:p>
        </w:tc>
      </w:tr>
    </w:tbl>
    <w:p w:rsidR="00000000" w:rsidDel="00000000" w:rsidP="00000000" w:rsidRDefault="00000000" w:rsidRPr="00000000" w14:paraId="0000002B">
      <w:pPr>
        <w:pBdr>
          <w:left w:color="a83e24" w:space="10" w:sz="18" w:val="single"/>
        </w:pBdr>
        <w:shd w:fill="fbf1ee" w:val="clear"/>
        <w:spacing w:after="145" w:before="125" w:line="288" w:lineRule="auto"/>
        <w:ind w:left="190" w:right="190" w:firstLine="0"/>
        <w:rPr/>
      </w:pPr>
      <w:r w:rsidDel="00000000" w:rsidR="00000000" w:rsidRPr="00000000">
        <w:rPr>
          <w:rFonts w:ascii="Calibri" w:cs="Calibri" w:eastAsia="Calibri" w:hAnsi="Calibri"/>
          <w:b w:val="1"/>
          <w:bCs w:val="1"/>
          <w:color w:val="6e2716"/>
          <w:sz w:val="20"/>
          <w:szCs w:val="20"/>
          <w:rtl w:val="0"/>
        </w:rPr>
        <w:t xml:space="preserve">Deux conditions dans chaque convention. Aucune convention ne comporte de droit de relecture ou d'approbation d'une publication, d'un contenu pédagogique ou d'un résultat de recherche. Et aucune convention ministérielle ne peut être présentée, publiquement ou non, comme un aval des produits de Tether ou comme une position réglementaire.</w:t>
      </w:r>
      <w:r w:rsidDel="00000000" w:rsidR="00000000" w:rsidRPr="00000000">
        <w:rPr>
          <w:rtl w:val="0"/>
        </w:rPr>
      </w:r>
    </w:p>
    <w:p w:rsidR="00000000" w:rsidDel="00000000" w:rsidP="00000000" w:rsidRDefault="00000000" w:rsidRPr="00000000" w14:paraId="0000002C">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5. Pilier 3 — VAACA</w:t>
      </w:r>
      <w:r w:rsidDel="00000000" w:rsidR="00000000" w:rsidRPr="00000000">
        <w:rPr>
          <w:rtl w:val="0"/>
        </w:rPr>
      </w:r>
    </w:p>
    <w:p w:rsidR="00000000" w:rsidDel="00000000" w:rsidP="00000000" w:rsidRDefault="00000000" w:rsidRPr="00000000" w14:paraId="0000002D">
      <w:pPr>
        <w:spacing w:after="120" w:before="0" w:line="288" w:lineRule="auto"/>
        <w:jc w:val="both"/>
        <w:rPr/>
      </w:pPr>
      <w:r w:rsidDel="00000000" w:rsidR="00000000" w:rsidRPr="00000000">
        <w:rPr>
          <w:rFonts w:ascii="Calibri" w:cs="Calibri" w:eastAsia="Calibri" w:hAnsi="Calibri"/>
          <w:color w:val="20272e"/>
          <w:sz w:val="20"/>
          <w:szCs w:val="20"/>
          <w:rtl w:val="0"/>
        </w:rPr>
        <w:t xml:space="preserve">La Virtual Asset Association of Central Africa est constituée par Info Pro Solutions, entreprise de RegTech, Ejara, opérateur, la Blockchain Association of Cameroon et l'IAFN, avec un mandat couvrant les six États de la CEMAC et un démarrage au Cameroun. Le séminaire des 29 et 30 septembre en constitue le lancement.</w:t>
      </w:r>
      <w:r w:rsidDel="00000000" w:rsidR="00000000" w:rsidRPr="00000000">
        <w:rPr>
          <w:rtl w:val="0"/>
        </w:rPr>
      </w:r>
    </w:p>
    <w:p w:rsidR="00000000" w:rsidDel="00000000" w:rsidP="00000000" w:rsidRDefault="00000000" w:rsidRPr="00000000" w14:paraId="0000002E">
      <w:pPr>
        <w:spacing w:after="120" w:before="0" w:line="288" w:lineRule="auto"/>
        <w:jc w:val="both"/>
        <w:rPr/>
      </w:pPr>
      <w:r w:rsidDel="00000000" w:rsidR="00000000" w:rsidRPr="00000000">
        <w:rPr>
          <w:rFonts w:ascii="Calibri" w:cs="Calibri" w:eastAsia="Calibri" w:hAnsi="Calibri"/>
          <w:color w:val="20272e"/>
          <w:sz w:val="20"/>
          <w:szCs w:val="20"/>
          <w:rtl w:val="0"/>
        </w:rPr>
        <w:t xml:space="preserve">VAACA apporte aux superviseurs ce dont ils manquent aujourd'hui : un interlocuteur unique, identifiable et responsable pour un secteur qu'ils ne rencontrent autrement qu'à travers des entreprises isolées. C'est un service rendu au régulateur avant d'être un service rendu à l'industrie, et c'est en ces termes qu'il doit être présenté.</w:t>
      </w:r>
      <w:r w:rsidDel="00000000" w:rsidR="00000000" w:rsidRPr="00000000">
        <w:rPr>
          <w:rtl w:val="0"/>
        </w:rPr>
      </w:r>
    </w:p>
    <w:p w:rsidR="00000000" w:rsidDel="00000000" w:rsidP="00000000" w:rsidRDefault="00000000" w:rsidRPr="00000000" w14:paraId="0000002F">
      <w:pPr>
        <w:spacing w:after="65" w:before="170" w:lineRule="auto"/>
        <w:jc w:val="center"/>
        <w:rPr/>
      </w:pPr>
      <w:r w:rsidDel="00000000" w:rsidR="00000000" w:rsidRPr="00000000">
        <w:rPr/>
        <w:drawing>
          <wp:inline distB="0" distT="0" distL="0" distR="0">
            <wp:extent cx="5715000" cy="3200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80" w:lineRule="auto"/>
        <w:jc w:val="center"/>
        <w:rPr/>
      </w:pPr>
      <w:r w:rsidDel="00000000" w:rsidR="00000000" w:rsidRPr="00000000">
        <w:rPr>
          <w:rFonts w:ascii="Calibri" w:cs="Calibri" w:eastAsia="Calibri" w:hAnsi="Calibri"/>
          <w:i w:val="1"/>
          <w:iCs w:val="1"/>
          <w:color w:val="5a6672"/>
          <w:sz w:val="17"/>
          <w:szCs w:val="17"/>
          <w:rtl w:val="0"/>
        </w:rPr>
        <w:t xml:space="preserve">Figure 2 — Structure de VAACA, ancrage et séparation des rôles</w:t>
      </w:r>
      <w:r w:rsidDel="00000000" w:rsidR="00000000" w:rsidRPr="00000000">
        <w:rPr>
          <w:rtl w:val="0"/>
        </w:rPr>
      </w:r>
    </w:p>
    <w:p w:rsidR="00000000" w:rsidDel="00000000" w:rsidP="00000000" w:rsidRDefault="00000000" w:rsidRPr="00000000" w14:paraId="00000031">
      <w:pPr>
        <w:spacing w:after="100" w:before="230" w:lineRule="auto"/>
        <w:rPr/>
      </w:pPr>
      <w:r w:rsidDel="00000000" w:rsidR="00000000" w:rsidRPr="00000000">
        <w:rPr>
          <w:rFonts w:ascii="Calibri" w:cs="Calibri" w:eastAsia="Calibri" w:hAnsi="Calibri"/>
          <w:b w:val="1"/>
          <w:bCs w:val="1"/>
          <w:color w:val="13304a"/>
          <w:sz w:val="20"/>
          <w:szCs w:val="20"/>
          <w:rtl w:val="0"/>
        </w:rPr>
        <w:t xml:space="preserve">5.1 Rattachement au CFIA</w:t>
      </w:r>
      <w:r w:rsidDel="00000000" w:rsidR="00000000" w:rsidRPr="00000000">
        <w:rPr>
          <w:rtl w:val="0"/>
        </w:rPr>
      </w:r>
    </w:p>
    <w:p w:rsidR="00000000" w:rsidDel="00000000" w:rsidP="00000000" w:rsidRDefault="00000000" w:rsidRPr="00000000" w14:paraId="00000032">
      <w:pPr>
        <w:spacing w:after="120" w:before="0" w:line="288" w:lineRule="auto"/>
        <w:jc w:val="both"/>
        <w:rPr/>
      </w:pPr>
      <w:r w:rsidDel="00000000" w:rsidR="00000000" w:rsidRPr="00000000">
        <w:rPr>
          <w:rFonts w:ascii="Calibri" w:cs="Calibri" w:eastAsia="Calibri" w:hAnsi="Calibri"/>
          <w:color w:val="20272e"/>
          <w:sz w:val="20"/>
          <w:szCs w:val="20"/>
          <w:rtl w:val="0"/>
        </w:rPr>
        <w:t xml:space="preserve">Durant sa phase fondatrice, VAACA est rattachée comme organe auxiliaire à la Cameroon Fintech Association, ce qui lui procure un ancrage national établi plutôt que d'avoir à construire sa légitimité institutionnelle depuis rien.</w:t>
      </w:r>
      <w:r w:rsidDel="00000000" w:rsidR="00000000" w:rsidRPr="00000000">
        <w:rPr>
          <w:rtl w:val="0"/>
        </w:rPr>
      </w:r>
    </w:p>
    <w:p w:rsidR="00000000" w:rsidDel="00000000" w:rsidP="00000000" w:rsidRDefault="00000000" w:rsidRPr="00000000" w14:paraId="00000033">
      <w:pPr>
        <w:spacing w:after="120" w:before="0" w:line="288" w:lineRule="auto"/>
        <w:jc w:val="both"/>
        <w:rPr/>
      </w:pPr>
      <w:r w:rsidDel="00000000" w:rsidR="00000000" w:rsidRPr="00000000">
        <w:rPr>
          <w:rFonts w:ascii="Calibri" w:cs="Calibri" w:eastAsia="Calibri" w:hAnsi="Calibri"/>
          <w:color w:val="20272e"/>
          <w:sz w:val="20"/>
          <w:szCs w:val="20"/>
          <w:rtl w:val="0"/>
        </w:rPr>
        <w:t xml:space="preserve">Nous avons conscience de la tension que cela crée : une structure revendiquant un mandat CEMAC tout en étant rattachée à l'association nationale de la première économie de la zone se verra demander si elle est régionale en fait ou seulement en ambition. Deux dispositions y répondent par avance. Le rattachement est expressément limité à la phase fondatrice, avec l'engagement d'une constitution régionale autonome dès lors que des chapitres nationaux existeront dans au moins trois États membres. Et la représentation par pays est prévue dans la gouvernance dès l'origine, avant même que ces pays comptent des membres, de sorte que la structure les anticipe visiblement.</w:t>
      </w:r>
      <w:r w:rsidDel="00000000" w:rsidR="00000000" w:rsidRPr="00000000">
        <w:rPr>
          <w:rtl w:val="0"/>
        </w:rPr>
      </w:r>
    </w:p>
    <w:p w:rsidR="00000000" w:rsidDel="00000000" w:rsidP="00000000" w:rsidRDefault="00000000" w:rsidRPr="00000000" w14:paraId="00000034">
      <w:pPr>
        <w:spacing w:after="100" w:before="230" w:lineRule="auto"/>
        <w:rPr/>
      </w:pPr>
      <w:r w:rsidDel="00000000" w:rsidR="00000000" w:rsidRPr="00000000">
        <w:rPr>
          <w:rFonts w:ascii="Calibri" w:cs="Calibri" w:eastAsia="Calibri" w:hAnsi="Calibri"/>
          <w:b w:val="1"/>
          <w:bCs w:val="1"/>
          <w:color w:val="13304a"/>
          <w:sz w:val="20"/>
          <w:szCs w:val="20"/>
          <w:rtl w:val="0"/>
        </w:rPr>
        <w:t xml:space="preserve">5.2 La relation de Tether avec VAACA</w:t>
      </w:r>
      <w:r w:rsidDel="00000000" w:rsidR="00000000" w:rsidRPr="00000000">
        <w:rPr>
          <w:rtl w:val="0"/>
        </w:rPr>
      </w:r>
    </w:p>
    <w:p w:rsidR="00000000" w:rsidDel="00000000" w:rsidP="00000000" w:rsidRDefault="00000000" w:rsidRPr="00000000" w14:paraId="00000035">
      <w:pPr>
        <w:pBdr>
          <w:left w:color="1f6f6b" w:space="10" w:sz="18" w:val="single"/>
        </w:pBdr>
        <w:shd w:fill="f1f6f5" w:val="clear"/>
        <w:spacing w:after="145" w:before="125" w:line="288" w:lineRule="auto"/>
        <w:ind w:left="190" w:right="190" w:firstLine="0"/>
        <w:rPr/>
      </w:pPr>
      <w:r w:rsidDel="00000000" w:rsidR="00000000" w:rsidRPr="00000000">
        <w:rPr>
          <w:rFonts w:ascii="Calibri" w:cs="Calibri" w:eastAsia="Calibri" w:hAnsi="Calibri"/>
          <w:b w:val="1"/>
          <w:bCs w:val="1"/>
          <w:color w:val="17322f"/>
          <w:sz w:val="20"/>
          <w:szCs w:val="20"/>
          <w:rtl w:val="0"/>
        </w:rPr>
        <w:t xml:space="preserve">Tether n'est pas membre fondateur de VAACA, ne dispose d'aucun droit de membre ni d'aucune position de gouvernance, et n'a aucun rôle dans la détermination de ses positions. La relation de Tether avec VAACA est un partenariat de renforcement des capacités : formation, capacités techniques et échange de connaissances au bénéfice du secteur dans la sous-région.</w:t>
      </w:r>
      <w:r w:rsidDel="00000000" w:rsidR="00000000" w:rsidRPr="00000000">
        <w:rPr>
          <w:rtl w:val="0"/>
        </w:rPr>
      </w:r>
    </w:p>
    <w:p w:rsidR="00000000" w:rsidDel="00000000" w:rsidP="00000000" w:rsidRDefault="00000000" w:rsidRPr="00000000" w14:paraId="00000036">
      <w:pPr>
        <w:spacing w:after="120" w:before="0" w:line="288" w:lineRule="auto"/>
        <w:jc w:val="both"/>
        <w:rPr/>
      </w:pPr>
      <w:r w:rsidDel="00000000" w:rsidR="00000000" w:rsidRPr="00000000">
        <w:rPr>
          <w:rFonts w:ascii="Calibri" w:cs="Calibri" w:eastAsia="Calibri" w:hAnsi="Calibri"/>
          <w:color w:val="20272e"/>
          <w:sz w:val="20"/>
          <w:szCs w:val="20"/>
          <w:rtl w:val="0"/>
        </w:rPr>
        <w:t xml:space="preserve">Cette limitation est délibérée et elle sert l'intérêt de Tether. Une association qui s'adresse aux superviseurs au sujet des actifs virtuels, avec un émetteur de stablecoin parmi ses fondateurs, serait lue comme une vitrine de l'industrie dès la première question contestée — et tout ce qu'elle dirait ensuite serait escompté. Un partenaire technique qui apporte de la formation ne porte aucun de ces soupçons et ne perd rien du bénéfice pratique.</w:t>
      </w:r>
      <w:r w:rsidDel="00000000" w:rsidR="00000000" w:rsidRPr="00000000">
        <w:rPr>
          <w:rtl w:val="0"/>
        </w:rPr>
      </w:r>
    </w:p>
    <w:p w:rsidR="00000000" w:rsidDel="00000000" w:rsidP="00000000" w:rsidRDefault="00000000" w:rsidRPr="00000000" w14:paraId="00000037">
      <w:pPr>
        <w:spacing w:after="100" w:before="230" w:lineRule="auto"/>
        <w:rPr/>
      </w:pPr>
      <w:r w:rsidDel="00000000" w:rsidR="00000000" w:rsidRPr="00000000">
        <w:rPr>
          <w:rFonts w:ascii="Calibri" w:cs="Calibri" w:eastAsia="Calibri" w:hAnsi="Calibri"/>
          <w:b w:val="1"/>
          <w:bCs w:val="1"/>
          <w:color w:val="13304a"/>
          <w:sz w:val="20"/>
          <w:szCs w:val="20"/>
          <w:rtl w:val="0"/>
        </w:rPr>
        <w:t xml:space="preserve">5.3 La séparation qui protège la recherche</w:t>
      </w:r>
      <w:r w:rsidDel="00000000" w:rsidR="00000000" w:rsidRPr="00000000">
        <w:rPr>
          <w:rtl w:val="0"/>
        </w:rPr>
      </w:r>
    </w:p>
    <w:p w:rsidR="00000000" w:rsidDel="00000000" w:rsidP="00000000" w:rsidRDefault="00000000" w:rsidRPr="00000000" w14:paraId="00000038">
      <w:pPr>
        <w:spacing w:after="120" w:before="0" w:line="288" w:lineRule="auto"/>
        <w:jc w:val="both"/>
        <w:rPr/>
      </w:pPr>
      <w:r w:rsidDel="00000000" w:rsidR="00000000" w:rsidRPr="00000000">
        <w:rPr>
          <w:rFonts w:ascii="Calibri" w:cs="Calibri" w:eastAsia="Calibri" w:hAnsi="Calibri"/>
          <w:color w:val="20272e"/>
          <w:sz w:val="20"/>
          <w:szCs w:val="20"/>
          <w:rtl w:val="0"/>
        </w:rPr>
        <w:t xml:space="preserve">Une association fait du plaidoyer. Un institut de recherche n'en fait pas. L'IAFN tient donc le secrétariat technique et publie la base de preuves, et ne signe pas les positions de plaidoyer de VAACA. Sans cette séparation, un institut publiant des travaux sur la régulation des actifs numériques se trouverait à l'intérieur d'une structure de plaidoyer partiellement financée par des acteurs dont il traite, et la valeur de ses travaux pour un superviseur tomberait à zéro.</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6. Pilier 4 — L'engagement en capital</w:t>
      </w:r>
      <w:r w:rsidDel="00000000" w:rsidR="00000000" w:rsidRPr="00000000">
        <w:rPr>
          <w:rtl w:val="0"/>
        </w:rPr>
      </w:r>
    </w:p>
    <w:p w:rsidR="00000000" w:rsidDel="00000000" w:rsidP="00000000" w:rsidRDefault="00000000" w:rsidRPr="00000000" w14:paraId="0000003B">
      <w:pPr>
        <w:spacing w:after="120" w:before="0" w:line="288" w:lineRule="auto"/>
        <w:jc w:val="both"/>
        <w:rPr/>
      </w:pPr>
      <w:r w:rsidDel="00000000" w:rsidR="00000000" w:rsidRPr="00000000">
        <w:rPr>
          <w:rFonts w:ascii="Calibri" w:cs="Calibri" w:eastAsia="Calibri" w:hAnsi="Calibri"/>
          <w:color w:val="20272e"/>
          <w:sz w:val="20"/>
          <w:szCs w:val="20"/>
          <w:rtl w:val="0"/>
        </w:rPr>
        <w:t xml:space="preserve">Un engagement pouvant atteindre 100 000 USD sur 24 mois pour le développement de l'écosystème des prestataires de services sur actifs virtuels en Afrique centrale, déployé sous forme de programme d'accompagnement en collaboration avec Ennovation Factory à Yaoundé.</w:t>
      </w:r>
      <w:r w:rsidDel="00000000" w:rsidR="00000000" w:rsidRPr="00000000">
        <w:rPr>
          <w:rtl w:val="0"/>
        </w:rPr>
      </w:r>
    </w:p>
    <w:p w:rsidR="00000000" w:rsidDel="00000000" w:rsidP="00000000" w:rsidRDefault="00000000" w:rsidRPr="00000000" w14:paraId="0000003C">
      <w:pPr>
        <w:spacing w:after="100" w:before="230" w:lineRule="auto"/>
        <w:rPr/>
      </w:pPr>
      <w:r w:rsidDel="00000000" w:rsidR="00000000" w:rsidRPr="00000000">
        <w:rPr>
          <w:rFonts w:ascii="Calibri" w:cs="Calibri" w:eastAsia="Calibri" w:hAnsi="Calibri"/>
          <w:b w:val="1"/>
          <w:bCs w:val="1"/>
          <w:color w:val="13304a"/>
          <w:sz w:val="20"/>
          <w:szCs w:val="20"/>
          <w:rtl w:val="0"/>
        </w:rPr>
        <w:t xml:space="preserve">6.1 Un programme, non un fonds</w:t>
      </w:r>
      <w:r w:rsidDel="00000000" w:rsidR="00000000" w:rsidRPr="00000000">
        <w:rPr>
          <w:rtl w:val="0"/>
        </w:rPr>
      </w:r>
    </w:p>
    <w:p w:rsidR="00000000" w:rsidDel="00000000" w:rsidP="00000000" w:rsidRDefault="00000000" w:rsidRPr="00000000" w14:paraId="0000003D">
      <w:pPr>
        <w:spacing w:after="120" w:before="0" w:line="288" w:lineRule="auto"/>
        <w:jc w:val="both"/>
        <w:rPr/>
      </w:pPr>
      <w:r w:rsidDel="00000000" w:rsidR="00000000" w:rsidRPr="00000000">
        <w:rPr>
          <w:rFonts w:ascii="Calibri" w:cs="Calibri" w:eastAsia="Calibri" w:hAnsi="Calibri"/>
          <w:color w:val="20272e"/>
          <w:sz w:val="20"/>
          <w:szCs w:val="20"/>
          <w:rtl w:val="0"/>
        </w:rPr>
        <w:t xml:space="preserve">L'engagement prend délibérément la forme de subventions, de prix et d'une résidence, plutôt que d'un investissement en capital. Les raisons sont pratiques.</w:t>
      </w:r>
      <w:r w:rsidDel="00000000" w:rsidR="00000000" w:rsidRPr="00000000">
        <w:rPr>
          <w:rtl w:val="0"/>
        </w:rPr>
      </w:r>
    </w:p>
    <w:p w:rsidR="00000000" w:rsidDel="00000000" w:rsidP="00000000" w:rsidRDefault="00000000" w:rsidRPr="00000000" w14:paraId="0000003E">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Une prise de participation directe par une entité étrangère dans des startups camerounaises met en jeu la réglementation des changes CEMAC, les obligations de rapatriement et, selon l'instrument, des questions relevant du régulateur du marché financier. Un programme de subventions et de prix n'en met aucune.</w:t>
      </w:r>
      <w:r w:rsidDel="00000000" w:rsidR="00000000" w:rsidRPr="00000000">
        <w:rPr>
          <w:rtl w:val="0"/>
        </w:rPr>
      </w:r>
    </w:p>
    <w:p w:rsidR="00000000" w:rsidDel="00000000" w:rsidP="00000000" w:rsidRDefault="00000000" w:rsidRPr="00000000" w14:paraId="0000003F">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Le déploiement est plus rapide, l'administration plus légère, et aucun véhicule nouveau n'est nécessaire.</w:t>
      </w:r>
      <w:r w:rsidDel="00000000" w:rsidR="00000000" w:rsidRPr="00000000">
        <w:rPr>
          <w:rtl w:val="0"/>
        </w:rPr>
      </w:r>
    </w:p>
    <w:p w:rsidR="00000000" w:rsidDel="00000000" w:rsidP="00000000" w:rsidRDefault="00000000" w:rsidRPr="00000000" w14:paraId="00000040">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Le résultat est une capacité dans l'écosystème plutôt qu'une position minoritaire au capital, ce qui est le signal qui compte dans cette région.</w:t>
      </w:r>
      <w:r w:rsidDel="00000000" w:rsidR="00000000" w:rsidRPr="00000000">
        <w:rPr>
          <w:rtl w:val="0"/>
        </w:rPr>
      </w:r>
    </w:p>
    <w:p w:rsidR="00000000" w:rsidDel="00000000" w:rsidP="00000000" w:rsidRDefault="00000000" w:rsidRPr="00000000" w14:paraId="00000041">
      <w:pPr>
        <w:spacing w:after="100" w:before="230" w:lineRule="auto"/>
        <w:rPr/>
      </w:pPr>
      <w:r w:rsidDel="00000000" w:rsidR="00000000" w:rsidRPr="00000000">
        <w:rPr>
          <w:rFonts w:ascii="Calibri" w:cs="Calibri" w:eastAsia="Calibri" w:hAnsi="Calibri"/>
          <w:b w:val="1"/>
          <w:bCs w:val="1"/>
          <w:color w:val="13304a"/>
          <w:sz w:val="20"/>
          <w:szCs w:val="20"/>
          <w:rtl w:val="0"/>
        </w:rPr>
        <w:t xml:space="preserve">6.2 Tranches</w:t>
      </w:r>
      <w:r w:rsidDel="00000000" w:rsidR="00000000" w:rsidRPr="00000000">
        <w:rPr>
          <w:rtl w:val="0"/>
        </w:rPr>
      </w:r>
    </w:p>
    <w:p w:rsidR="00000000" w:rsidDel="00000000" w:rsidP="00000000" w:rsidRDefault="00000000" w:rsidRPr="00000000" w14:paraId="00000042">
      <w:pPr>
        <w:spacing w:after="120" w:before="0" w:line="288" w:lineRule="auto"/>
        <w:jc w:val="both"/>
        <w:rPr/>
      </w:pPr>
      <w:r w:rsidDel="00000000" w:rsidR="00000000" w:rsidRPr="00000000">
        <w:rPr>
          <w:rFonts w:ascii="Calibri" w:cs="Calibri" w:eastAsia="Calibri" w:hAnsi="Calibri"/>
          <w:color w:val="20272e"/>
          <w:sz w:val="20"/>
          <w:szCs w:val="20"/>
          <w:rtl w:val="0"/>
        </w:rPr>
        <w:t xml:space="preserve">Rien n'a besoin d'être déployé pendant le séminaire. Ce qui compte est l'engagement ; le déploiement suit la preuve.</w:t>
      </w:r>
      <w:r w:rsidDel="00000000" w:rsidR="00000000" w:rsidRPr="00000000">
        <w:rPr>
          <w:rtl w:val="0"/>
        </w:rPr>
      </w:r>
    </w:p>
    <w:tbl>
      <w:tblPr>
        <w:tblStyle w:val="Table2"/>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1400"/>
        <w:gridCol w:w="2000"/>
        <w:gridCol w:w="6200"/>
        <w:tblGridChange w:id="0">
          <w:tblGrid>
            <w:gridCol w:w="1400"/>
            <w:gridCol w:w="2000"/>
            <w:gridCol w:w="62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43">
            <w:pPr>
              <w:spacing w:after="20" w:line="260" w:lineRule="auto"/>
              <w:rPr/>
            </w:pPr>
            <w:r w:rsidDel="00000000" w:rsidR="00000000" w:rsidRPr="00000000">
              <w:rPr>
                <w:rFonts w:ascii="Calibri" w:cs="Calibri" w:eastAsia="Calibri" w:hAnsi="Calibri"/>
                <w:b w:val="1"/>
                <w:bCs w:val="1"/>
                <w:color w:val="ffffff"/>
                <w:sz w:val="17"/>
                <w:szCs w:val="17"/>
                <w:rtl w:val="0"/>
              </w:rPr>
              <w:t xml:space="preserve">Tranche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44">
            <w:pPr>
              <w:spacing w:after="20" w:line="260" w:lineRule="auto"/>
              <w:rPr/>
            </w:pPr>
            <w:r w:rsidDel="00000000" w:rsidR="00000000" w:rsidRPr="00000000">
              <w:rPr>
                <w:rFonts w:ascii="Calibri" w:cs="Calibri" w:eastAsia="Calibri" w:hAnsi="Calibri"/>
                <w:b w:val="1"/>
                <w:bCs w:val="1"/>
                <w:color w:val="ffffff"/>
                <w:sz w:val="17"/>
                <w:szCs w:val="17"/>
                <w:rtl w:val="0"/>
              </w:rPr>
              <w:t xml:space="preserve">Montant</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45">
            <w:pPr>
              <w:spacing w:after="20" w:line="260" w:lineRule="auto"/>
              <w:rPr/>
            </w:pPr>
            <w:r w:rsidDel="00000000" w:rsidR="00000000" w:rsidRPr="00000000">
              <w:rPr>
                <w:rFonts w:ascii="Calibri" w:cs="Calibri" w:eastAsia="Calibri" w:hAnsi="Calibri"/>
                <w:b w:val="1"/>
                <w:bCs w:val="1"/>
                <w:color w:val="ffffff"/>
                <w:sz w:val="17"/>
                <w:szCs w:val="17"/>
                <w:rtl w:val="0"/>
              </w:rPr>
              <w:t xml:space="preserve">Déclencheur</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46">
            <w:pPr>
              <w:spacing w:after="20" w:line="260" w:lineRule="auto"/>
              <w:rPr/>
            </w:pPr>
            <w:r w:rsidDel="00000000" w:rsidR="00000000" w:rsidRPr="00000000">
              <w:rPr>
                <w:rFonts w:ascii="Calibri" w:cs="Calibri" w:eastAsia="Calibri" w:hAnsi="Calibri"/>
                <w:b w:val="1"/>
                <w:bCs w:val="1"/>
                <w:color w:val="20272e"/>
                <w:sz w:val="17"/>
                <w:szCs w:val="17"/>
                <w:rtl w:val="0"/>
              </w:rPr>
              <w:t xml:space="preserve">1</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47">
            <w:pPr>
              <w:spacing w:after="20" w:line="260" w:lineRule="auto"/>
              <w:rPr/>
            </w:pPr>
            <w:r w:rsidDel="00000000" w:rsidR="00000000" w:rsidRPr="00000000">
              <w:rPr>
                <w:rFonts w:ascii="Calibri" w:cs="Calibri" w:eastAsia="Calibri" w:hAnsi="Calibri"/>
                <w:b w:val="0"/>
                <w:bCs w:val="0"/>
                <w:color w:val="20272e"/>
                <w:sz w:val="17"/>
                <w:szCs w:val="17"/>
                <w:rtl w:val="0"/>
              </w:rPr>
              <w:t xml:space="preserve">20 000 USD</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48">
            <w:pPr>
              <w:spacing w:after="20" w:line="260" w:lineRule="auto"/>
              <w:rPr/>
            </w:pPr>
            <w:r w:rsidDel="00000000" w:rsidR="00000000" w:rsidRPr="00000000">
              <w:rPr>
                <w:rFonts w:ascii="Calibri" w:cs="Calibri" w:eastAsia="Calibri" w:hAnsi="Calibri"/>
                <w:b w:val="0"/>
                <w:bCs w:val="0"/>
                <w:color w:val="20272e"/>
                <w:sz w:val="17"/>
                <w:szCs w:val="17"/>
                <w:rtl w:val="0"/>
              </w:rPr>
              <w:t xml:space="preserve">Signature. Cohorte pilote de six à huit startups, Cameroun.</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49">
            <w:pPr>
              <w:spacing w:after="20" w:line="260" w:lineRule="auto"/>
              <w:rPr/>
            </w:pPr>
            <w:r w:rsidDel="00000000" w:rsidR="00000000" w:rsidRPr="00000000">
              <w:rPr>
                <w:rFonts w:ascii="Calibri" w:cs="Calibri" w:eastAsia="Calibri" w:hAnsi="Calibri"/>
                <w:b w:val="1"/>
                <w:bCs w:val="1"/>
                <w:color w:val="20272e"/>
                <w:sz w:val="17"/>
                <w:szCs w:val="17"/>
                <w:rtl w:val="0"/>
              </w:rPr>
              <w:t xml:space="preserve">2</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4A">
            <w:pPr>
              <w:spacing w:after="20" w:line="260" w:lineRule="auto"/>
              <w:rPr/>
            </w:pPr>
            <w:r w:rsidDel="00000000" w:rsidR="00000000" w:rsidRPr="00000000">
              <w:rPr>
                <w:rFonts w:ascii="Calibri" w:cs="Calibri" w:eastAsia="Calibri" w:hAnsi="Calibri"/>
                <w:b w:val="0"/>
                <w:bCs w:val="0"/>
                <w:color w:val="20272e"/>
                <w:sz w:val="17"/>
                <w:szCs w:val="17"/>
                <w:rtl w:val="0"/>
              </w:rPr>
              <w:t xml:space="preserve">30 000 USD</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4B">
            <w:pPr>
              <w:spacing w:after="20" w:line="260" w:lineRule="auto"/>
              <w:rPr/>
            </w:pPr>
            <w:r w:rsidDel="00000000" w:rsidR="00000000" w:rsidRPr="00000000">
              <w:rPr>
                <w:rFonts w:ascii="Calibri" w:cs="Calibri" w:eastAsia="Calibri" w:hAnsi="Calibri"/>
                <w:b w:val="0"/>
                <w:bCs w:val="0"/>
                <w:color w:val="20272e"/>
                <w:sz w:val="17"/>
                <w:szCs w:val="17"/>
                <w:rtl w:val="0"/>
              </w:rPr>
              <w:t xml:space="preserve">Achèvement de la cohorte 1 et publication du rapport de résultats.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4C">
            <w:pPr>
              <w:spacing w:after="20" w:line="260" w:lineRule="auto"/>
              <w:rPr/>
            </w:pPr>
            <w:r w:rsidDel="00000000" w:rsidR="00000000" w:rsidRPr="00000000">
              <w:rPr>
                <w:rFonts w:ascii="Calibri" w:cs="Calibri" w:eastAsia="Calibri" w:hAnsi="Calibri"/>
                <w:b w:val="1"/>
                <w:bCs w:val="1"/>
                <w:color w:val="20272e"/>
                <w:sz w:val="17"/>
                <w:szCs w:val="17"/>
                <w:rtl w:val="0"/>
              </w:rPr>
              <w:t xml:space="preserve">3</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4D">
            <w:pPr>
              <w:spacing w:after="20" w:line="260" w:lineRule="auto"/>
              <w:rPr/>
            </w:pPr>
            <w:r w:rsidDel="00000000" w:rsidR="00000000" w:rsidRPr="00000000">
              <w:rPr>
                <w:rFonts w:ascii="Calibri" w:cs="Calibri" w:eastAsia="Calibri" w:hAnsi="Calibri"/>
                <w:b w:val="0"/>
                <w:bCs w:val="0"/>
                <w:color w:val="20272e"/>
                <w:sz w:val="17"/>
                <w:szCs w:val="17"/>
                <w:rtl w:val="0"/>
              </w:rPr>
              <w:t xml:space="preserve">50 000 USD</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4E">
            <w:pPr>
              <w:spacing w:after="20" w:line="260" w:lineRule="auto"/>
              <w:rPr/>
            </w:pPr>
            <w:r w:rsidDel="00000000" w:rsidR="00000000" w:rsidRPr="00000000">
              <w:rPr>
                <w:rFonts w:ascii="Calibri" w:cs="Calibri" w:eastAsia="Calibri" w:hAnsi="Calibri"/>
                <w:b w:val="0"/>
                <w:bCs w:val="0"/>
                <w:color w:val="20272e"/>
                <w:sz w:val="17"/>
                <w:szCs w:val="17"/>
                <w:rtl w:val="0"/>
              </w:rPr>
              <w:t xml:space="preserve">Cohorte 2, étendue à au moins deux autres États de la CEMAC.</w:t>
            </w:r>
            <w:r w:rsidDel="00000000" w:rsidR="00000000" w:rsidRPr="00000000">
              <w:rPr>
                <w:rtl w:val="0"/>
              </w:rPr>
            </w:r>
          </w:p>
        </w:tc>
      </w:tr>
    </w:tbl>
    <w:p w:rsidR="00000000" w:rsidDel="00000000" w:rsidP="00000000" w:rsidRDefault="00000000" w:rsidRPr="00000000" w14:paraId="0000004F">
      <w:pPr>
        <w:pBdr>
          <w:left w:color="1f6f6b" w:space="10" w:sz="18" w:val="single"/>
        </w:pBdr>
        <w:shd w:fill="f1f6f5" w:val="clear"/>
        <w:spacing w:after="145" w:before="125" w:line="288" w:lineRule="auto"/>
        <w:ind w:left="190" w:right="190" w:firstLine="0"/>
        <w:rPr/>
      </w:pPr>
      <w:r w:rsidDel="00000000" w:rsidR="00000000" w:rsidRPr="00000000">
        <w:rPr>
          <w:rFonts w:ascii="Calibri" w:cs="Calibri" w:eastAsia="Calibri" w:hAnsi="Calibri"/>
          <w:b w:val="1"/>
          <w:bCs w:val="1"/>
          <w:color w:val="17322f"/>
          <w:sz w:val="20"/>
          <w:szCs w:val="20"/>
          <w:rtl w:val="0"/>
        </w:rPr>
        <w:t xml:space="preserve">La formulation de la demande est « jusqu'à 100 000 USD sur 24 mois ». Elle donne à Tether une annonce publiable, une exposition initiale de 20 000 USD si le programme ne fonctionne pas, et une justification documentée pour chaque tranche suivante. C'est une validation interne nettement plus facile qu'un engagement unique du montant total.</w:t>
      </w:r>
      <w:r w:rsidDel="00000000" w:rsidR="00000000" w:rsidRPr="00000000">
        <w:rPr>
          <w:rtl w:val="0"/>
        </w:rPr>
      </w:r>
    </w:p>
    <w:p w:rsidR="00000000" w:rsidDel="00000000" w:rsidP="00000000" w:rsidRDefault="00000000" w:rsidRPr="00000000" w14:paraId="00000050">
      <w:pPr>
        <w:spacing w:after="100" w:before="230" w:lineRule="auto"/>
        <w:rPr/>
      </w:pPr>
      <w:r w:rsidDel="00000000" w:rsidR="00000000" w:rsidRPr="00000000">
        <w:rPr>
          <w:rFonts w:ascii="Calibri" w:cs="Calibri" w:eastAsia="Calibri" w:hAnsi="Calibri"/>
          <w:b w:val="1"/>
          <w:bCs w:val="1"/>
          <w:color w:val="13304a"/>
          <w:sz w:val="20"/>
          <w:szCs w:val="20"/>
          <w:rtl w:val="0"/>
        </w:rPr>
        <w:t xml:space="preserve">6.3 Tontine House — la résidence des bâtisseurs d'Afrique centrale</w:t>
      </w:r>
      <w:r w:rsidDel="00000000" w:rsidR="00000000" w:rsidRPr="00000000">
        <w:rPr>
          <w:rtl w:val="0"/>
        </w:rPr>
      </w:r>
    </w:p>
    <w:p w:rsidR="00000000" w:rsidDel="00000000" w:rsidP="00000000" w:rsidRDefault="00000000" w:rsidRPr="00000000" w14:paraId="00000051">
      <w:pPr>
        <w:spacing w:after="120" w:before="0" w:line="288" w:lineRule="auto"/>
        <w:jc w:val="both"/>
        <w:rPr/>
      </w:pPr>
      <w:r w:rsidDel="00000000" w:rsidR="00000000" w:rsidRPr="00000000">
        <w:rPr>
          <w:rFonts w:ascii="Calibri" w:cs="Calibri" w:eastAsia="Calibri" w:hAnsi="Calibri"/>
          <w:color w:val="20272e"/>
          <w:sz w:val="20"/>
          <w:szCs w:val="20"/>
          <w:rtl w:val="0"/>
        </w:rPr>
        <w:t xml:space="preserve">L'événement phare du programme est une résidence de fondateurs sur plusieurs jours, proposée sous le nom de Tontine House.</w:t>
      </w:r>
      <w:r w:rsidDel="00000000" w:rsidR="00000000" w:rsidRPr="00000000">
        <w:rPr>
          <w:rtl w:val="0"/>
        </w:rPr>
      </w:r>
    </w:p>
    <w:p w:rsidR="00000000" w:rsidDel="00000000" w:rsidP="00000000" w:rsidRDefault="00000000" w:rsidRPr="00000000" w14:paraId="00000052">
      <w:pPr>
        <w:spacing w:after="120" w:before="0" w:line="288" w:lineRule="auto"/>
        <w:jc w:val="both"/>
        <w:rPr/>
      </w:pPr>
      <w:r w:rsidDel="00000000" w:rsidR="00000000" w:rsidRPr="00000000">
        <w:rPr>
          <w:rFonts w:ascii="Calibri" w:cs="Calibri" w:eastAsia="Calibri" w:hAnsi="Calibri"/>
          <w:color w:val="20272e"/>
          <w:sz w:val="20"/>
          <w:szCs w:val="20"/>
          <w:rtl w:val="0"/>
        </w:rPr>
        <w:t xml:space="preserve">La tontine est l'association rotative d'épargne et de crédit présente sur tous les marchés de la zone, comprise à l'identique dans la CEMAC francophone et désignée par le terme njangi au Cameroun anglophone. C'est une technologie financière endogène : capital mis en commun, accès rotatif, exécution par la confiance communautaire. Nommer ainsi une résidence de bâtisseurs porte un argument précis — la finance collective n'est pas une importation ici, et ce qui se construit est l'itération suivante de quelque chose que la région a déjà inventé.</w:t>
      </w:r>
      <w:r w:rsidDel="00000000" w:rsidR="00000000" w:rsidRPr="00000000">
        <w:rPr>
          <w:rtl w:val="0"/>
        </w:rPr>
      </w:r>
    </w:p>
    <w:p w:rsidR="00000000" w:rsidDel="00000000" w:rsidP="00000000" w:rsidRDefault="00000000" w:rsidRPr="00000000" w14:paraId="00000053">
      <w:pPr>
        <w:spacing w:after="120" w:before="0" w:line="288" w:lineRule="auto"/>
        <w:jc w:val="both"/>
        <w:rPr/>
      </w:pPr>
      <w:r w:rsidDel="00000000" w:rsidR="00000000" w:rsidRPr="00000000">
        <w:rPr>
          <w:rFonts w:ascii="Calibri" w:cs="Calibri" w:eastAsia="Calibri" w:hAnsi="Calibri"/>
          <w:color w:val="20272e"/>
          <w:sz w:val="20"/>
          <w:szCs w:val="20"/>
          <w:rtl w:val="0"/>
        </w:rPr>
        <w:t xml:space="preserve">Le format reprend ce que Tether a soutenu à Nairobi en juin : une résidence réunissant des fondateurs pendant plusieurs jours pour construire, échanger et être documentés, avec leurs propres récits comme production plutôt que des démonstrations de produits. Ce qui est proposé ici est l'édition Afrique centrale, dans une sous-région où aucun équivalent n'existe.</w:t>
      </w:r>
      <w:r w:rsidDel="00000000" w:rsidR="00000000" w:rsidRPr="00000000">
        <w:rPr>
          <w:rtl w:val="0"/>
        </w:rPr>
      </w:r>
    </w:p>
    <w:p w:rsidR="00000000" w:rsidDel="00000000" w:rsidP="00000000" w:rsidRDefault="00000000" w:rsidRPr="00000000" w14:paraId="00000054">
      <w:pPr>
        <w:pBdr>
          <w:left w:color="a83e24" w:space="10" w:sz="18" w:val="single"/>
        </w:pBdr>
        <w:shd w:fill="fbf1ee" w:val="clear"/>
        <w:spacing w:after="145" w:before="125" w:line="288" w:lineRule="auto"/>
        <w:ind w:left="190" w:right="190" w:firstLine="0"/>
        <w:rPr/>
      </w:pPr>
      <w:r w:rsidDel="00000000" w:rsidR="00000000" w:rsidRPr="00000000">
        <w:rPr>
          <w:rFonts w:ascii="Calibri" w:cs="Calibri" w:eastAsia="Calibri" w:hAnsi="Calibri"/>
          <w:b w:val="1"/>
          <w:bCs w:val="1"/>
          <w:color w:val="6e2716"/>
          <w:sz w:val="20"/>
          <w:szCs w:val="20"/>
          <w:rtl w:val="0"/>
        </w:rPr>
        <w:t xml:space="preserve">Maintenir la résidence séparée du séminaire. Le séminaire est le bon moment pour l'annoncer et pour tenir la première rencontre de l'écosystème ; la résidence elle-même doit être un événement autonome au premier trimestre 2027, que Tether pourra librement marquer de son identité. Une résidence aux couleurs de Tether se tenant à l'intérieur d'un séminaire où siègent la BEAC, la COBAC et la COSUMAF réintroduirait le problème de branding que le cadrage institutionnel vise précisément à éviter.</w:t>
      </w:r>
      <w:r w:rsidDel="00000000" w:rsidR="00000000" w:rsidRPr="00000000">
        <w:rPr>
          <w:rtl w:val="0"/>
        </w:rPr>
      </w:r>
    </w:p>
    <w:p w:rsidR="00000000" w:rsidDel="00000000" w:rsidP="00000000" w:rsidRDefault="00000000" w:rsidRPr="00000000" w14:paraId="00000055">
      <w:pPr>
        <w:spacing w:after="100" w:before="230" w:lineRule="auto"/>
        <w:rPr/>
      </w:pPr>
      <w:r w:rsidDel="00000000" w:rsidR="00000000" w:rsidRPr="00000000">
        <w:rPr>
          <w:rFonts w:ascii="Calibri" w:cs="Calibri" w:eastAsia="Calibri" w:hAnsi="Calibri"/>
          <w:b w:val="1"/>
          <w:bCs w:val="1"/>
          <w:color w:val="13304a"/>
          <w:sz w:val="20"/>
          <w:szCs w:val="20"/>
          <w:rtl w:val="0"/>
        </w:rPr>
        <w:t xml:space="preserve">6.4 Gouvernance — non négociable</w:t>
      </w:r>
      <w:r w:rsidDel="00000000" w:rsidR="00000000" w:rsidRPr="00000000">
        <w:rPr>
          <w:rtl w:val="0"/>
        </w:rPr>
      </w:r>
    </w:p>
    <w:tbl>
      <w:tblPr>
        <w:tblStyle w:val="Table3"/>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2600"/>
        <w:gridCol w:w="7000"/>
        <w:tblGridChange w:id="0">
          <w:tblGrid>
            <w:gridCol w:w="2600"/>
            <w:gridCol w:w="70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56">
            <w:pPr>
              <w:spacing w:after="20" w:line="260" w:lineRule="auto"/>
              <w:rPr/>
            </w:pPr>
            <w:r w:rsidDel="00000000" w:rsidR="00000000" w:rsidRPr="00000000">
              <w:rPr>
                <w:rFonts w:ascii="Calibri" w:cs="Calibri" w:eastAsia="Calibri" w:hAnsi="Calibri"/>
                <w:b w:val="1"/>
                <w:bCs w:val="1"/>
                <w:color w:val="ffffff"/>
                <w:sz w:val="17"/>
                <w:szCs w:val="17"/>
                <w:rtl w:val="0"/>
              </w:rPr>
              <w:t xml:space="preserve">Point</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57">
            <w:pPr>
              <w:spacing w:after="20" w:line="260" w:lineRule="auto"/>
              <w:rPr/>
            </w:pPr>
            <w:r w:rsidDel="00000000" w:rsidR="00000000" w:rsidRPr="00000000">
              <w:rPr>
                <w:rFonts w:ascii="Calibri" w:cs="Calibri" w:eastAsia="Calibri" w:hAnsi="Calibri"/>
                <w:b w:val="1"/>
                <w:bCs w:val="1"/>
                <w:color w:val="ffffff"/>
                <w:sz w:val="17"/>
                <w:szCs w:val="17"/>
                <w:rtl w:val="0"/>
              </w:rPr>
              <w:t xml:space="preserve">Disposition</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58">
            <w:pPr>
              <w:spacing w:after="20" w:line="260" w:lineRule="auto"/>
              <w:rPr/>
            </w:pPr>
            <w:r w:rsidDel="00000000" w:rsidR="00000000" w:rsidRPr="00000000">
              <w:rPr>
                <w:rFonts w:ascii="Calibri" w:cs="Calibri" w:eastAsia="Calibri" w:hAnsi="Calibri"/>
                <w:b w:val="1"/>
                <w:bCs w:val="1"/>
                <w:color w:val="20272e"/>
                <w:sz w:val="17"/>
                <w:szCs w:val="17"/>
                <w:rtl w:val="0"/>
              </w:rPr>
              <w:t xml:space="preserve">Sélection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59">
            <w:pPr>
              <w:spacing w:after="20" w:line="260" w:lineRule="auto"/>
              <w:rPr/>
            </w:pPr>
            <w:r w:rsidDel="00000000" w:rsidR="00000000" w:rsidRPr="00000000">
              <w:rPr>
                <w:rFonts w:ascii="Calibri" w:cs="Calibri" w:eastAsia="Calibri" w:hAnsi="Calibri"/>
                <w:b w:val="0"/>
                <w:bCs w:val="0"/>
                <w:color w:val="20272e"/>
                <w:sz w:val="17"/>
                <w:szCs w:val="17"/>
                <w:rtl w:val="0"/>
              </w:rPr>
              <w:t xml:space="preserve">Ennovation Factory conduit la sélection et le déploiement selon son propre processus. Tether peut observer.</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5A">
            <w:pPr>
              <w:spacing w:after="20" w:line="260" w:lineRule="auto"/>
              <w:rPr/>
            </w:pPr>
            <w:r w:rsidDel="00000000" w:rsidR="00000000" w:rsidRPr="00000000">
              <w:rPr>
                <w:rFonts w:ascii="Calibri" w:cs="Calibri" w:eastAsia="Calibri" w:hAnsi="Calibri"/>
                <w:b w:val="1"/>
                <w:bCs w:val="1"/>
                <w:color w:val="20272e"/>
                <w:sz w:val="17"/>
                <w:szCs w:val="17"/>
                <w:rtl w:val="0"/>
              </w:rPr>
              <w:t xml:space="preserve">Rôle de l'IAFN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5B">
            <w:pPr>
              <w:spacing w:after="20" w:line="260" w:lineRule="auto"/>
              <w:rPr/>
            </w:pPr>
            <w:r w:rsidDel="00000000" w:rsidR="00000000" w:rsidRPr="00000000">
              <w:rPr>
                <w:rFonts w:ascii="Calibri" w:cs="Calibri" w:eastAsia="Calibri" w:hAnsi="Calibri"/>
                <w:b w:val="0"/>
                <w:bCs w:val="0"/>
                <w:color w:val="20272e"/>
                <w:sz w:val="17"/>
                <w:szCs w:val="17"/>
                <w:rtl w:val="0"/>
              </w:rPr>
              <w:t xml:space="preserve">Aucun rôle dans la sélection, aucun siège dans un comité d'attribution, aucune autorité d'allocation. L'IAFN ne peut être bénéficiaire, directement ou par une entité liée.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5C">
            <w:pPr>
              <w:spacing w:after="20" w:line="260" w:lineRule="auto"/>
              <w:rPr/>
            </w:pPr>
            <w:r w:rsidDel="00000000" w:rsidR="00000000" w:rsidRPr="00000000">
              <w:rPr>
                <w:rFonts w:ascii="Calibri" w:cs="Calibri" w:eastAsia="Calibri" w:hAnsi="Calibri"/>
                <w:b w:val="1"/>
                <w:bCs w:val="1"/>
                <w:color w:val="20272e"/>
                <w:sz w:val="17"/>
                <w:szCs w:val="17"/>
                <w:rtl w:val="0"/>
              </w:rPr>
              <w:t xml:space="preserve">Conflits</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5D">
            <w:pPr>
              <w:spacing w:after="20" w:line="260" w:lineRule="auto"/>
              <w:rPr/>
            </w:pPr>
            <w:r w:rsidDel="00000000" w:rsidR="00000000" w:rsidRPr="00000000">
              <w:rPr>
                <w:rFonts w:ascii="Calibri" w:cs="Calibri" w:eastAsia="Calibri" w:hAnsi="Calibri"/>
                <w:b w:val="0"/>
                <w:bCs w:val="0"/>
                <w:color w:val="20272e"/>
                <w:sz w:val="17"/>
                <w:szCs w:val="17"/>
                <w:rtl w:val="0"/>
              </w:rPr>
              <w:t xml:space="preserve">Tout candidat dans lequel un fondateur, conseiller ou dirigeant de l'IAFN, de VAACA ou des organisateurs du séminaire détient un intérêt est déclaré et exclu de toute intervention de l'IAFN dans le processus.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5E">
            <w:pPr>
              <w:spacing w:after="20" w:line="260" w:lineRule="auto"/>
              <w:rPr/>
            </w:pPr>
            <w:r w:rsidDel="00000000" w:rsidR="00000000" w:rsidRPr="00000000">
              <w:rPr>
                <w:rFonts w:ascii="Calibri" w:cs="Calibri" w:eastAsia="Calibri" w:hAnsi="Calibri"/>
                <w:b w:val="1"/>
                <w:bCs w:val="1"/>
                <w:color w:val="20272e"/>
                <w:sz w:val="17"/>
                <w:szCs w:val="17"/>
                <w:rtl w:val="0"/>
              </w:rPr>
              <w:t xml:space="preserve">Publicité</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5F">
            <w:pPr>
              <w:spacing w:after="20" w:line="260" w:lineRule="auto"/>
              <w:rPr/>
            </w:pPr>
            <w:r w:rsidDel="00000000" w:rsidR="00000000" w:rsidRPr="00000000">
              <w:rPr>
                <w:rFonts w:ascii="Calibri" w:cs="Calibri" w:eastAsia="Calibri" w:hAnsi="Calibri"/>
                <w:b w:val="0"/>
                <w:bCs w:val="0"/>
                <w:color w:val="20272e"/>
                <w:sz w:val="17"/>
                <w:szCs w:val="17"/>
                <w:rtl w:val="0"/>
              </w:rPr>
              <w:t xml:space="preserve">L'engagement, sa gouvernance et ses bénéficiaires sont publiés.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60">
            <w:pPr>
              <w:spacing w:after="20" w:line="260" w:lineRule="auto"/>
              <w:rPr/>
            </w:pPr>
            <w:r w:rsidDel="00000000" w:rsidR="00000000" w:rsidRPr="00000000">
              <w:rPr>
                <w:rFonts w:ascii="Calibri" w:cs="Calibri" w:eastAsia="Calibri" w:hAnsi="Calibri"/>
                <w:b w:val="1"/>
                <w:bCs w:val="1"/>
                <w:color w:val="20272e"/>
                <w:sz w:val="17"/>
                <w:szCs w:val="17"/>
                <w:rtl w:val="0"/>
              </w:rPr>
              <w:t xml:space="preserve">Absence de lien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61">
            <w:pPr>
              <w:spacing w:after="20" w:line="260" w:lineRule="auto"/>
              <w:rPr/>
            </w:pPr>
            <w:r w:rsidDel="00000000" w:rsidR="00000000" w:rsidRPr="00000000">
              <w:rPr>
                <w:rFonts w:ascii="Calibri" w:cs="Calibri" w:eastAsia="Calibri" w:hAnsi="Calibri"/>
                <w:b w:val="0"/>
                <w:bCs w:val="0"/>
                <w:color w:val="20272e"/>
                <w:sz w:val="17"/>
                <w:szCs w:val="17"/>
                <w:rtl w:val="0"/>
              </w:rPr>
              <w:t xml:space="preserve">Aucune attribution n'est liée à l'usage d'un produit Tether, et aucun engagement en ce sens n'est demandé ni consenti.</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7. Le programme du séminaire</w:t>
      </w:r>
      <w:r w:rsidDel="00000000" w:rsidR="00000000" w:rsidRPr="00000000">
        <w:rPr>
          <w:rtl w:val="0"/>
        </w:rPr>
      </w:r>
    </w:p>
    <w:p w:rsidR="00000000" w:rsidDel="00000000" w:rsidP="00000000" w:rsidRDefault="00000000" w:rsidRPr="00000000" w14:paraId="00000064">
      <w:pPr>
        <w:spacing w:after="120" w:before="0" w:line="288" w:lineRule="auto"/>
        <w:jc w:val="both"/>
        <w:rPr/>
      </w:pPr>
      <w:r w:rsidDel="00000000" w:rsidR="00000000" w:rsidRPr="00000000">
        <w:rPr>
          <w:rFonts w:ascii="Calibri" w:cs="Calibri" w:eastAsia="Calibri" w:hAnsi="Calibri"/>
          <w:color w:val="20272e"/>
          <w:sz w:val="20"/>
          <w:szCs w:val="20"/>
          <w:rtl w:val="0"/>
        </w:rPr>
        <w:t xml:space="preserve">Deux journées, à l'Hôtel Hilton de Yaoundé. La première journée est institutionnelle et réglementaire ; la seconde porte sur l'écosystème, les capacités et le capital. Le séminaire est ouvert sous patronage ministériel.</w:t>
      </w:r>
      <w:r w:rsidDel="00000000" w:rsidR="00000000" w:rsidRPr="00000000">
        <w:rPr>
          <w:rtl w:val="0"/>
        </w:rPr>
      </w:r>
    </w:p>
    <w:p w:rsidR="00000000" w:rsidDel="00000000" w:rsidP="00000000" w:rsidRDefault="00000000" w:rsidRPr="00000000" w14:paraId="00000065">
      <w:pPr>
        <w:spacing w:after="100" w:before="230" w:lineRule="auto"/>
        <w:rPr/>
      </w:pPr>
      <w:r w:rsidDel="00000000" w:rsidR="00000000" w:rsidRPr="00000000">
        <w:rPr>
          <w:rFonts w:ascii="Calibri" w:cs="Calibri" w:eastAsia="Calibri" w:hAnsi="Calibri"/>
          <w:b w:val="1"/>
          <w:bCs w:val="1"/>
          <w:color w:val="13304a"/>
          <w:sz w:val="20"/>
          <w:szCs w:val="20"/>
          <w:rtl w:val="0"/>
        </w:rPr>
        <w:t xml:space="preserve">7.1 Qui se trouve dans la salle</w:t>
      </w:r>
      <w:r w:rsidDel="00000000" w:rsidR="00000000" w:rsidRPr="00000000">
        <w:rPr>
          <w:rtl w:val="0"/>
        </w:rPr>
      </w:r>
    </w:p>
    <w:tbl>
      <w:tblPr>
        <w:tblStyle w:val="Table4"/>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2600"/>
        <w:gridCol w:w="7000"/>
        <w:tblGridChange w:id="0">
          <w:tblGrid>
            <w:gridCol w:w="2600"/>
            <w:gridCol w:w="70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66">
            <w:pPr>
              <w:spacing w:after="20" w:line="260" w:lineRule="auto"/>
              <w:rPr/>
            </w:pPr>
            <w:r w:rsidDel="00000000" w:rsidR="00000000" w:rsidRPr="00000000">
              <w:rPr>
                <w:rFonts w:ascii="Calibri" w:cs="Calibri" w:eastAsia="Calibri" w:hAnsi="Calibri"/>
                <w:b w:val="1"/>
                <w:bCs w:val="1"/>
                <w:color w:val="ffffff"/>
                <w:sz w:val="17"/>
                <w:szCs w:val="17"/>
                <w:rtl w:val="0"/>
              </w:rPr>
              <w:t xml:space="preserve">Catégorie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67">
            <w:pPr>
              <w:spacing w:after="20" w:line="260" w:lineRule="auto"/>
              <w:rPr/>
            </w:pPr>
            <w:r w:rsidDel="00000000" w:rsidR="00000000" w:rsidRPr="00000000">
              <w:rPr>
                <w:rFonts w:ascii="Calibri" w:cs="Calibri" w:eastAsia="Calibri" w:hAnsi="Calibri"/>
                <w:b w:val="1"/>
                <w:bCs w:val="1"/>
                <w:color w:val="ffffff"/>
                <w:sz w:val="17"/>
                <w:szCs w:val="17"/>
                <w:rtl w:val="0"/>
              </w:rPr>
              <w:t xml:space="preserve">Institutions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68">
            <w:pPr>
              <w:spacing w:after="20" w:line="260" w:lineRule="auto"/>
              <w:rPr/>
            </w:pPr>
            <w:r w:rsidDel="00000000" w:rsidR="00000000" w:rsidRPr="00000000">
              <w:rPr>
                <w:rFonts w:ascii="Calibri" w:cs="Calibri" w:eastAsia="Calibri" w:hAnsi="Calibri"/>
                <w:b w:val="1"/>
                <w:bCs w:val="1"/>
                <w:color w:val="20272e"/>
                <w:sz w:val="17"/>
                <w:szCs w:val="17"/>
                <w:rtl w:val="0"/>
              </w:rPr>
              <w:t xml:space="preserve">Autorités monétaires et de supervision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69">
            <w:pPr>
              <w:spacing w:after="20" w:line="260" w:lineRule="auto"/>
              <w:rPr/>
            </w:pPr>
            <w:r w:rsidDel="00000000" w:rsidR="00000000" w:rsidRPr="00000000">
              <w:rPr>
                <w:rFonts w:ascii="Calibri" w:cs="Calibri" w:eastAsia="Calibri" w:hAnsi="Calibri"/>
                <w:b w:val="0"/>
                <w:bCs w:val="0"/>
                <w:color w:val="20272e"/>
                <w:sz w:val="17"/>
                <w:szCs w:val="17"/>
                <w:rtl w:val="0"/>
              </w:rPr>
              <w:t xml:space="preserve">BEAC · COBAC · COSUMAF</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6A">
            <w:pPr>
              <w:spacing w:after="20" w:line="260" w:lineRule="auto"/>
              <w:rPr/>
            </w:pPr>
            <w:r w:rsidDel="00000000" w:rsidR="00000000" w:rsidRPr="00000000">
              <w:rPr>
                <w:rFonts w:ascii="Calibri" w:cs="Calibri" w:eastAsia="Calibri" w:hAnsi="Calibri"/>
                <w:b w:val="1"/>
                <w:bCs w:val="1"/>
                <w:color w:val="20272e"/>
                <w:sz w:val="17"/>
                <w:szCs w:val="17"/>
                <w:rtl w:val="0"/>
              </w:rPr>
              <w:t xml:space="preserve">Administration publique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6B">
            <w:pPr>
              <w:spacing w:after="20" w:line="260" w:lineRule="auto"/>
              <w:rPr/>
            </w:pPr>
            <w:r w:rsidDel="00000000" w:rsidR="00000000" w:rsidRPr="00000000">
              <w:rPr>
                <w:rFonts w:ascii="Calibri" w:cs="Calibri" w:eastAsia="Calibri" w:hAnsi="Calibri"/>
                <w:b w:val="0"/>
                <w:bCs w:val="0"/>
                <w:color w:val="20272e"/>
                <w:sz w:val="17"/>
                <w:szCs w:val="17"/>
                <w:rtl w:val="0"/>
              </w:rPr>
              <w:t xml:space="preserve">MINFI et Direction Générale du Trésor · MINPOSTEL</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6C">
            <w:pPr>
              <w:spacing w:after="20" w:line="260" w:lineRule="auto"/>
              <w:rPr/>
            </w:pPr>
            <w:r w:rsidDel="00000000" w:rsidR="00000000" w:rsidRPr="00000000">
              <w:rPr>
                <w:rFonts w:ascii="Calibri" w:cs="Calibri" w:eastAsia="Calibri" w:hAnsi="Calibri"/>
                <w:b w:val="1"/>
                <w:bCs w:val="1"/>
                <w:color w:val="20272e"/>
                <w:sz w:val="17"/>
                <w:szCs w:val="17"/>
                <w:rtl w:val="0"/>
              </w:rPr>
              <w:t xml:space="preserve">Observateur</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6D">
            <w:pPr>
              <w:spacing w:after="20" w:line="260" w:lineRule="auto"/>
              <w:rPr/>
            </w:pPr>
            <w:r w:rsidDel="00000000" w:rsidR="00000000" w:rsidRPr="00000000">
              <w:rPr>
                <w:rFonts w:ascii="Calibri" w:cs="Calibri" w:eastAsia="Calibri" w:hAnsi="Calibri"/>
                <w:b w:val="0"/>
                <w:bCs w:val="0"/>
                <w:color w:val="20272e"/>
                <w:sz w:val="17"/>
                <w:szCs w:val="17"/>
                <w:rtl w:val="0"/>
              </w:rPr>
              <w:t xml:space="preserve">CNEF — participe en qualité d'observateur, afin d'apprécier ce que l'écosystème local et international a à offrir</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6E">
            <w:pPr>
              <w:spacing w:after="20" w:line="260" w:lineRule="auto"/>
              <w:rPr/>
            </w:pPr>
            <w:r w:rsidDel="00000000" w:rsidR="00000000" w:rsidRPr="00000000">
              <w:rPr>
                <w:rFonts w:ascii="Calibri" w:cs="Calibri" w:eastAsia="Calibri" w:hAnsi="Calibri"/>
                <w:b w:val="1"/>
                <w:bCs w:val="1"/>
                <w:color w:val="20272e"/>
                <w:sz w:val="17"/>
                <w:szCs w:val="17"/>
                <w:rtl w:val="0"/>
              </w:rPr>
              <w:t xml:space="preserve">Marché</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6F">
            <w:pPr>
              <w:spacing w:after="20" w:line="260" w:lineRule="auto"/>
              <w:rPr/>
            </w:pPr>
            <w:r w:rsidDel="00000000" w:rsidR="00000000" w:rsidRPr="00000000">
              <w:rPr>
                <w:rFonts w:ascii="Calibri" w:cs="Calibri" w:eastAsia="Calibri" w:hAnsi="Calibri"/>
                <w:b w:val="0"/>
                <w:bCs w:val="0"/>
                <w:color w:val="20272e"/>
                <w:sz w:val="17"/>
                <w:szCs w:val="17"/>
                <w:rtl w:val="0"/>
              </w:rPr>
              <w:t xml:space="preserve">Banques commerciales · établissements de paiement · opérateurs de monnaie mobile · infrastructure régionale de paiement</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70">
            <w:pPr>
              <w:spacing w:after="20" w:line="260" w:lineRule="auto"/>
              <w:rPr/>
            </w:pPr>
            <w:r w:rsidDel="00000000" w:rsidR="00000000" w:rsidRPr="00000000">
              <w:rPr>
                <w:rFonts w:ascii="Calibri" w:cs="Calibri" w:eastAsia="Calibri" w:hAnsi="Calibri"/>
                <w:b w:val="1"/>
                <w:bCs w:val="1"/>
                <w:color w:val="20272e"/>
                <w:sz w:val="17"/>
                <w:szCs w:val="17"/>
                <w:rtl w:val="0"/>
              </w:rPr>
              <w:t xml:space="preserve">Secteur</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1">
            <w:pPr>
              <w:spacing w:after="20" w:line="260" w:lineRule="auto"/>
              <w:rPr/>
            </w:pPr>
            <w:r w:rsidDel="00000000" w:rsidR="00000000" w:rsidRPr="00000000">
              <w:rPr>
                <w:rFonts w:ascii="Calibri" w:cs="Calibri" w:eastAsia="Calibri" w:hAnsi="Calibri"/>
                <w:b w:val="0"/>
                <w:bCs w:val="0"/>
                <w:color w:val="20272e"/>
                <w:sz w:val="17"/>
                <w:szCs w:val="17"/>
                <w:rtl w:val="0"/>
              </w:rPr>
              <w:t xml:space="preserve">Acteurs de la fintech · startups prestataires de services sur actifs virtuels · acteurs de la finance numérique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72">
            <w:pPr>
              <w:spacing w:after="20" w:line="260" w:lineRule="auto"/>
              <w:rPr/>
            </w:pPr>
            <w:r w:rsidDel="00000000" w:rsidR="00000000" w:rsidRPr="00000000">
              <w:rPr>
                <w:rFonts w:ascii="Calibri" w:cs="Calibri" w:eastAsia="Calibri" w:hAnsi="Calibri"/>
                <w:b w:val="1"/>
                <w:bCs w:val="1"/>
                <w:color w:val="20272e"/>
                <w:sz w:val="17"/>
                <w:szCs w:val="17"/>
                <w:rtl w:val="0"/>
              </w:rPr>
              <w:t xml:space="preserve">International</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3">
            <w:pPr>
              <w:spacing w:after="20" w:line="260" w:lineRule="auto"/>
              <w:rPr/>
            </w:pPr>
            <w:r w:rsidDel="00000000" w:rsidR="00000000" w:rsidRPr="00000000">
              <w:rPr>
                <w:rFonts w:ascii="Calibri" w:cs="Calibri" w:eastAsia="Calibri" w:hAnsi="Calibri"/>
                <w:b w:val="0"/>
                <w:bCs w:val="0"/>
                <w:color w:val="20272e"/>
                <w:sz w:val="17"/>
                <w:szCs w:val="17"/>
                <w:rtl w:val="0"/>
              </w:rPr>
              <w:t xml:space="preserve">Tether · Africoin · partenaires au développement · observateurs régionaux et internationaux</w:t>
            </w:r>
            <w:r w:rsidDel="00000000" w:rsidR="00000000" w:rsidRPr="00000000">
              <w:rPr>
                <w:rtl w:val="0"/>
              </w:rPr>
            </w:r>
          </w:p>
        </w:tc>
      </w:tr>
    </w:tbl>
    <w:p w:rsidR="00000000" w:rsidDel="00000000" w:rsidP="00000000" w:rsidRDefault="00000000" w:rsidRPr="00000000" w14:paraId="00000074">
      <w:pPr>
        <w:spacing w:after="100" w:before="230" w:lineRule="auto"/>
        <w:rPr/>
      </w:pPr>
      <w:r w:rsidDel="00000000" w:rsidR="00000000" w:rsidRPr="00000000">
        <w:rPr>
          <w:rFonts w:ascii="Calibri" w:cs="Calibri" w:eastAsia="Calibri" w:hAnsi="Calibri"/>
          <w:b w:val="1"/>
          <w:bCs w:val="1"/>
          <w:color w:val="13304a"/>
          <w:sz w:val="20"/>
          <w:szCs w:val="20"/>
          <w:rtl w:val="0"/>
        </w:rPr>
        <w:t xml:space="preserve">7.2 Journée 1 — 29 septembre · convergence réglementaire, interopérabilité, stabilité</w:t>
      </w:r>
      <w:r w:rsidDel="00000000" w:rsidR="00000000" w:rsidRPr="00000000">
        <w:rPr>
          <w:rtl w:val="0"/>
        </w:rPr>
      </w:r>
    </w:p>
    <w:tbl>
      <w:tblPr>
        <w:tblStyle w:val="Table5"/>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1500"/>
        <w:gridCol w:w="3600"/>
        <w:gridCol w:w="4500"/>
        <w:tblGridChange w:id="0">
          <w:tblGrid>
            <w:gridCol w:w="1500"/>
            <w:gridCol w:w="3600"/>
            <w:gridCol w:w="45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75">
            <w:pPr>
              <w:spacing w:after="20" w:line="260" w:lineRule="auto"/>
              <w:rPr/>
            </w:pPr>
            <w:r w:rsidDel="00000000" w:rsidR="00000000" w:rsidRPr="00000000">
              <w:rPr>
                <w:rFonts w:ascii="Calibri" w:cs="Calibri" w:eastAsia="Calibri" w:hAnsi="Calibri"/>
                <w:b w:val="1"/>
                <w:bCs w:val="1"/>
                <w:color w:val="ffffff"/>
                <w:sz w:val="17"/>
                <w:szCs w:val="17"/>
                <w:rtl w:val="0"/>
              </w:rPr>
              <w:t xml:space="preserve">Horaire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76">
            <w:pPr>
              <w:spacing w:after="20" w:line="260" w:lineRule="auto"/>
              <w:rPr/>
            </w:pPr>
            <w:r w:rsidDel="00000000" w:rsidR="00000000" w:rsidRPr="00000000">
              <w:rPr>
                <w:rFonts w:ascii="Calibri" w:cs="Calibri" w:eastAsia="Calibri" w:hAnsi="Calibri"/>
                <w:b w:val="1"/>
                <w:bCs w:val="1"/>
                <w:color w:val="ffffff"/>
                <w:sz w:val="17"/>
                <w:szCs w:val="17"/>
                <w:rtl w:val="0"/>
              </w:rPr>
              <w:t xml:space="preserve">Séquence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77">
            <w:pPr>
              <w:spacing w:after="20" w:line="260" w:lineRule="auto"/>
              <w:rPr/>
            </w:pPr>
            <w:r w:rsidDel="00000000" w:rsidR="00000000" w:rsidRPr="00000000">
              <w:rPr>
                <w:rFonts w:ascii="Calibri" w:cs="Calibri" w:eastAsia="Calibri" w:hAnsi="Calibri"/>
                <w:b w:val="1"/>
                <w:bCs w:val="1"/>
                <w:color w:val="ffffff"/>
                <w:sz w:val="17"/>
                <w:szCs w:val="17"/>
                <w:rtl w:val="0"/>
              </w:rPr>
              <w:t xml:space="preserve">Précisions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78">
            <w:pPr>
              <w:spacing w:after="20" w:line="260" w:lineRule="auto"/>
              <w:rPr/>
            </w:pPr>
            <w:r w:rsidDel="00000000" w:rsidR="00000000" w:rsidRPr="00000000">
              <w:rPr>
                <w:rFonts w:ascii="Calibri" w:cs="Calibri" w:eastAsia="Calibri" w:hAnsi="Calibri"/>
                <w:b w:val="1"/>
                <w:bCs w:val="1"/>
                <w:color w:val="20272e"/>
                <w:sz w:val="17"/>
                <w:szCs w:val="17"/>
                <w:rtl w:val="0"/>
              </w:rPr>
              <w:t xml:space="preserve">08h30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9">
            <w:pPr>
              <w:spacing w:after="20" w:line="260" w:lineRule="auto"/>
              <w:rPr/>
            </w:pPr>
            <w:r w:rsidDel="00000000" w:rsidR="00000000" w:rsidRPr="00000000">
              <w:rPr>
                <w:rFonts w:ascii="Calibri" w:cs="Calibri" w:eastAsia="Calibri" w:hAnsi="Calibri"/>
                <w:b w:val="0"/>
                <w:bCs w:val="0"/>
                <w:color w:val="20272e"/>
                <w:sz w:val="17"/>
                <w:szCs w:val="17"/>
                <w:rtl w:val="0"/>
              </w:rPr>
              <w:t xml:space="preserve">Accueil et café</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A">
            <w:pPr>
              <w:spacing w:after="20" w:line="260" w:lineRule="auto"/>
              <w:rPr/>
            </w:pPr>
            <w:r w:rsidDel="00000000" w:rsidR="00000000" w:rsidRPr="00000000">
              <w:rPr>
                <w:rFonts w:ascii="Calibri" w:cs="Calibri" w:eastAsia="Calibri" w:hAnsi="Calibri"/>
                <w:b w:val="0"/>
                <w:bCs w:val="0"/>
                <w:color w:val="20272e"/>
                <w:sz w:val="17"/>
                <w:szCs w:val="17"/>
                <w:rtl w:val="0"/>
              </w:rPr>
              <w:t xml:space="preserve">Remise des kits congressistes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7B">
            <w:pPr>
              <w:spacing w:after="20" w:line="260" w:lineRule="auto"/>
              <w:rPr/>
            </w:pPr>
            <w:r w:rsidDel="00000000" w:rsidR="00000000" w:rsidRPr="00000000">
              <w:rPr>
                <w:rFonts w:ascii="Calibri" w:cs="Calibri" w:eastAsia="Calibri" w:hAnsi="Calibri"/>
                <w:b w:val="1"/>
                <w:bCs w:val="1"/>
                <w:color w:val="20272e"/>
                <w:sz w:val="17"/>
                <w:szCs w:val="17"/>
                <w:rtl w:val="0"/>
              </w:rPr>
              <w:t xml:space="preserve">09h00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C">
            <w:pPr>
              <w:spacing w:after="20" w:line="260" w:lineRule="auto"/>
              <w:rPr/>
            </w:pPr>
            <w:r w:rsidDel="00000000" w:rsidR="00000000" w:rsidRPr="00000000">
              <w:rPr>
                <w:rFonts w:ascii="Calibri" w:cs="Calibri" w:eastAsia="Calibri" w:hAnsi="Calibri"/>
                <w:b w:val="0"/>
                <w:bCs w:val="0"/>
                <w:color w:val="20272e"/>
                <w:sz w:val="17"/>
                <w:szCs w:val="17"/>
                <w:rtl w:val="0"/>
              </w:rPr>
              <w:t xml:space="preserve">Ouverture officielle sous patronage ministériel</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D">
            <w:pPr>
              <w:spacing w:after="20" w:line="260" w:lineRule="auto"/>
              <w:rPr/>
            </w:pPr>
            <w:r w:rsidDel="00000000" w:rsidR="00000000" w:rsidRPr="00000000">
              <w:rPr>
                <w:rFonts w:ascii="Calibri" w:cs="Calibri" w:eastAsia="Calibri" w:hAnsi="Calibri"/>
                <w:b w:val="0"/>
                <w:bCs w:val="0"/>
                <w:color w:val="20272e"/>
                <w:sz w:val="17"/>
                <w:szCs w:val="17"/>
                <w:rtl w:val="0"/>
              </w:rPr>
              <w:t xml:space="preserve">Allocution ministérielle, puis cadrage des deux journées par l'IAFN</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7E">
            <w:pPr>
              <w:spacing w:after="20" w:line="260" w:lineRule="auto"/>
              <w:rPr/>
            </w:pPr>
            <w:r w:rsidDel="00000000" w:rsidR="00000000" w:rsidRPr="00000000">
              <w:rPr>
                <w:rFonts w:ascii="Calibri" w:cs="Calibri" w:eastAsia="Calibri" w:hAnsi="Calibri"/>
                <w:b w:val="1"/>
                <w:bCs w:val="1"/>
                <w:color w:val="20272e"/>
                <w:sz w:val="17"/>
                <w:szCs w:val="17"/>
                <w:rtl w:val="0"/>
              </w:rPr>
              <w:t xml:space="preserve">09h45</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7F">
            <w:pPr>
              <w:spacing w:after="20" w:line="260" w:lineRule="auto"/>
              <w:rPr/>
            </w:pPr>
            <w:r w:rsidDel="00000000" w:rsidR="00000000" w:rsidRPr="00000000">
              <w:rPr>
                <w:rFonts w:ascii="Calibri" w:cs="Calibri" w:eastAsia="Calibri" w:hAnsi="Calibri"/>
                <w:b w:val="0"/>
                <w:bCs w:val="0"/>
                <w:color w:val="20272e"/>
                <w:sz w:val="17"/>
                <w:szCs w:val="17"/>
                <w:rtl w:val="0"/>
              </w:rPr>
              <w:t xml:space="preserve">Allocution de cadrage — l'état de la finance numérique en Afrique centrale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0">
            <w:pPr>
              <w:spacing w:after="20" w:line="260" w:lineRule="auto"/>
              <w:rPr/>
            </w:pPr>
            <w:r w:rsidDel="00000000" w:rsidR="00000000" w:rsidRPr="00000000">
              <w:rPr>
                <w:rFonts w:ascii="Calibri" w:cs="Calibri" w:eastAsia="Calibri" w:hAnsi="Calibri"/>
                <w:b w:val="0"/>
                <w:bCs w:val="0"/>
                <w:color w:val="20272e"/>
                <w:sz w:val="17"/>
                <w:szCs w:val="17"/>
                <w:rtl w:val="0"/>
              </w:rPr>
              <w:t xml:space="preserve">Pose le cadre analytique des deux journées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81">
            <w:pPr>
              <w:spacing w:after="20" w:line="260" w:lineRule="auto"/>
              <w:rPr/>
            </w:pPr>
            <w:r w:rsidDel="00000000" w:rsidR="00000000" w:rsidRPr="00000000">
              <w:rPr>
                <w:rFonts w:ascii="Calibri" w:cs="Calibri" w:eastAsia="Calibri" w:hAnsi="Calibri"/>
                <w:b w:val="1"/>
                <w:bCs w:val="1"/>
                <w:color w:val="20272e"/>
                <w:sz w:val="17"/>
                <w:szCs w:val="17"/>
                <w:rtl w:val="0"/>
              </w:rPr>
              <w:t xml:space="preserve">10h15</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2">
            <w:pPr>
              <w:spacing w:after="20" w:line="260" w:lineRule="auto"/>
              <w:rPr/>
            </w:pPr>
            <w:r w:rsidDel="00000000" w:rsidR="00000000" w:rsidRPr="00000000">
              <w:rPr>
                <w:rFonts w:ascii="Calibri" w:cs="Calibri" w:eastAsia="Calibri" w:hAnsi="Calibri"/>
                <w:b w:val="0"/>
                <w:bCs w:val="0"/>
                <w:color w:val="20272e"/>
                <w:sz w:val="17"/>
                <w:szCs w:val="17"/>
                <w:rtl w:val="0"/>
              </w:rPr>
              <w:t xml:space="preserve">Panel — la convergence réglementaire en zone CEMAC</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3">
            <w:pPr>
              <w:spacing w:after="20" w:line="260" w:lineRule="auto"/>
              <w:rPr/>
            </w:pPr>
            <w:r w:rsidDel="00000000" w:rsidR="00000000" w:rsidRPr="00000000">
              <w:rPr>
                <w:rFonts w:ascii="Calibri" w:cs="Calibri" w:eastAsia="Calibri" w:hAnsi="Calibri"/>
                <w:b w:val="0"/>
                <w:bCs w:val="0"/>
                <w:color w:val="20272e"/>
                <w:sz w:val="17"/>
                <w:szCs w:val="17"/>
                <w:rtl w:val="0"/>
              </w:rPr>
              <w:t xml:space="preserve">BEAC, COBAC, COSUMAF, MINFI</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84">
            <w:pPr>
              <w:spacing w:after="20" w:line="260" w:lineRule="auto"/>
              <w:rPr/>
            </w:pPr>
            <w:r w:rsidDel="00000000" w:rsidR="00000000" w:rsidRPr="00000000">
              <w:rPr>
                <w:rFonts w:ascii="Calibri" w:cs="Calibri" w:eastAsia="Calibri" w:hAnsi="Calibri"/>
                <w:b w:val="1"/>
                <w:bCs w:val="1"/>
                <w:color w:val="20272e"/>
                <w:sz w:val="17"/>
                <w:szCs w:val="17"/>
                <w:rtl w:val="0"/>
              </w:rPr>
              <w:t xml:space="preserve">11h30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5">
            <w:pPr>
              <w:spacing w:after="20" w:line="260" w:lineRule="auto"/>
              <w:rPr/>
            </w:pPr>
            <w:r w:rsidDel="00000000" w:rsidR="00000000" w:rsidRPr="00000000">
              <w:rPr>
                <w:rFonts w:ascii="Calibri" w:cs="Calibri" w:eastAsia="Calibri" w:hAnsi="Calibri"/>
                <w:b w:val="0"/>
                <w:bCs w:val="0"/>
                <w:color w:val="20272e"/>
                <w:sz w:val="17"/>
                <w:szCs w:val="17"/>
                <w:rtl w:val="0"/>
              </w:rPr>
              <w:t xml:space="preserve">Pause-café</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6">
            <w:pPr>
              <w:spacing w:after="20" w:line="260" w:lineRule="auto"/>
              <w:rPr/>
            </w:pPr>
            <w:r w:rsidDel="00000000" w:rsidR="00000000" w:rsidRPr="00000000">
              <w:rPr>
                <w:rFonts w:ascii="Calibri" w:cs="Calibri" w:eastAsia="Calibri" w:hAnsi="Calibri"/>
                <w:b w:val="0"/>
                <w:bCs w:val="0"/>
                <w:color w:val="20272e"/>
                <w:sz w:val="17"/>
                <w:szCs w:val="17"/>
                <w:rtl w:val="0"/>
              </w:rPr>
              <w:t xml:space="preserve">Contacts bilatéraux en marge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87">
            <w:pPr>
              <w:spacing w:after="20" w:line="260" w:lineRule="auto"/>
              <w:rPr/>
            </w:pPr>
            <w:r w:rsidDel="00000000" w:rsidR="00000000" w:rsidRPr="00000000">
              <w:rPr>
                <w:rFonts w:ascii="Calibri" w:cs="Calibri" w:eastAsia="Calibri" w:hAnsi="Calibri"/>
                <w:b w:val="1"/>
                <w:bCs w:val="1"/>
                <w:color w:val="20272e"/>
                <w:sz w:val="17"/>
                <w:szCs w:val="17"/>
                <w:rtl w:val="0"/>
              </w:rPr>
              <w:t xml:space="preserve">12h00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8">
            <w:pPr>
              <w:spacing w:after="20" w:line="260" w:lineRule="auto"/>
              <w:rPr/>
            </w:pPr>
            <w:r w:rsidDel="00000000" w:rsidR="00000000" w:rsidRPr="00000000">
              <w:rPr>
                <w:rFonts w:ascii="Calibri" w:cs="Calibri" w:eastAsia="Calibri" w:hAnsi="Calibri"/>
                <w:b w:val="0"/>
                <w:bCs w:val="0"/>
                <w:color w:val="20272e"/>
                <w:sz w:val="17"/>
                <w:szCs w:val="17"/>
                <w:rtl w:val="0"/>
              </w:rPr>
              <w:t xml:space="preserve">Présentation — LBC/FT, traçabilité et restitution aux superviseurs</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9">
            <w:pPr>
              <w:spacing w:after="20" w:line="260" w:lineRule="auto"/>
              <w:rPr/>
            </w:pPr>
            <w:r w:rsidDel="00000000" w:rsidR="00000000" w:rsidRPr="00000000">
              <w:rPr>
                <w:rFonts w:ascii="Calibri" w:cs="Calibri" w:eastAsia="Calibri" w:hAnsi="Calibri"/>
                <w:b w:val="0"/>
                <w:bCs w:val="0"/>
                <w:color w:val="20272e"/>
                <w:sz w:val="17"/>
                <w:szCs w:val="17"/>
                <w:rtl w:val="0"/>
              </w:rPr>
              <w:t xml:space="preserve">Assurée par Tether en français et en anglais : cadre institutionnel puis démonstration technique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8A">
            <w:pPr>
              <w:spacing w:after="20" w:line="260" w:lineRule="auto"/>
              <w:rPr/>
            </w:pPr>
            <w:r w:rsidDel="00000000" w:rsidR="00000000" w:rsidRPr="00000000">
              <w:rPr>
                <w:rFonts w:ascii="Calibri" w:cs="Calibri" w:eastAsia="Calibri" w:hAnsi="Calibri"/>
                <w:b w:val="1"/>
                <w:bCs w:val="1"/>
                <w:color w:val="20272e"/>
                <w:sz w:val="17"/>
                <w:szCs w:val="17"/>
                <w:rtl w:val="0"/>
              </w:rPr>
              <w:t xml:space="preserve">13h00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B">
            <w:pPr>
              <w:spacing w:after="20" w:line="260" w:lineRule="auto"/>
              <w:rPr/>
            </w:pPr>
            <w:r w:rsidDel="00000000" w:rsidR="00000000" w:rsidRPr="00000000">
              <w:rPr>
                <w:rFonts w:ascii="Calibri" w:cs="Calibri" w:eastAsia="Calibri" w:hAnsi="Calibri"/>
                <w:b w:val="0"/>
                <w:bCs w:val="0"/>
                <w:color w:val="20272e"/>
                <w:sz w:val="17"/>
                <w:szCs w:val="17"/>
                <w:rtl w:val="0"/>
              </w:rPr>
              <w:t xml:space="preserve">Déjeuner</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C">
            <w:pPr>
              <w:spacing w:after="20" w:line="260" w:lineRule="auto"/>
              <w:rPr/>
            </w:pPr>
            <w:r w:rsidDel="00000000" w:rsidR="00000000" w:rsidRPr="00000000">
              <w:rPr>
                <w:rFonts w:ascii="Calibri" w:cs="Calibri" w:eastAsia="Calibri" w:hAnsi="Calibri"/>
                <w:b w:val="0"/>
                <w:bCs w:val="0"/>
                <w:color w:val="20272e"/>
                <w:sz w:val="17"/>
                <w:szCs w:val="17"/>
                <w:rtl w:val="0"/>
              </w:rPr>
              <w:t xml:space="preserve">Rencontres bilatérales, coordonnées par l'IAFN</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8D">
            <w:pPr>
              <w:spacing w:after="20" w:line="260" w:lineRule="auto"/>
              <w:rPr/>
            </w:pPr>
            <w:r w:rsidDel="00000000" w:rsidR="00000000" w:rsidRPr="00000000">
              <w:rPr>
                <w:rFonts w:ascii="Calibri" w:cs="Calibri" w:eastAsia="Calibri" w:hAnsi="Calibri"/>
                <w:b w:val="1"/>
                <w:bCs w:val="1"/>
                <w:color w:val="20272e"/>
                <w:sz w:val="17"/>
                <w:szCs w:val="17"/>
                <w:rtl w:val="0"/>
              </w:rPr>
              <w:t xml:space="preserve">14h30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E">
            <w:pPr>
              <w:spacing w:after="20" w:line="260" w:lineRule="auto"/>
              <w:rPr/>
            </w:pPr>
            <w:r w:rsidDel="00000000" w:rsidR="00000000" w:rsidRPr="00000000">
              <w:rPr>
                <w:rFonts w:ascii="Calibri" w:cs="Calibri" w:eastAsia="Calibri" w:hAnsi="Calibri"/>
                <w:b w:val="0"/>
                <w:bCs w:val="0"/>
                <w:color w:val="20272e"/>
                <w:sz w:val="17"/>
                <w:szCs w:val="17"/>
                <w:rtl w:val="0"/>
              </w:rPr>
              <w:t xml:space="preserve">Session à huis clos — régulateurs uniquement</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8F">
            <w:pPr>
              <w:spacing w:after="20" w:line="260" w:lineRule="auto"/>
              <w:rPr/>
            </w:pPr>
            <w:r w:rsidDel="00000000" w:rsidR="00000000" w:rsidRPr="00000000">
              <w:rPr>
                <w:rFonts w:ascii="Calibri" w:cs="Calibri" w:eastAsia="Calibri" w:hAnsi="Calibri"/>
                <w:b w:val="0"/>
                <w:bCs w:val="0"/>
                <w:color w:val="20272e"/>
                <w:sz w:val="17"/>
                <w:szCs w:val="17"/>
                <w:rtl w:val="0"/>
              </w:rPr>
              <w:t xml:space="preserve">Règle de Chatham House. Aucun sponsor, aucun partenaire, aucune presse, aucun observateur. Accès réservé aux autorités de supervision et publiques.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90">
            <w:pPr>
              <w:spacing w:after="20" w:line="260" w:lineRule="auto"/>
              <w:rPr/>
            </w:pPr>
            <w:r w:rsidDel="00000000" w:rsidR="00000000" w:rsidRPr="00000000">
              <w:rPr>
                <w:rFonts w:ascii="Calibri" w:cs="Calibri" w:eastAsia="Calibri" w:hAnsi="Calibri"/>
                <w:b w:val="1"/>
                <w:bCs w:val="1"/>
                <w:color w:val="20272e"/>
                <w:sz w:val="17"/>
                <w:szCs w:val="17"/>
                <w:rtl w:val="0"/>
              </w:rPr>
              <w:t xml:space="preserve">15h45</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1">
            <w:pPr>
              <w:spacing w:after="20" w:line="260" w:lineRule="auto"/>
              <w:rPr/>
            </w:pPr>
            <w:r w:rsidDel="00000000" w:rsidR="00000000" w:rsidRPr="00000000">
              <w:rPr>
                <w:rFonts w:ascii="Calibri" w:cs="Calibri" w:eastAsia="Calibri" w:hAnsi="Calibri"/>
                <w:b w:val="0"/>
                <w:bCs w:val="0"/>
                <w:color w:val="20272e"/>
                <w:sz w:val="17"/>
                <w:szCs w:val="17"/>
                <w:rtl w:val="0"/>
              </w:rPr>
              <w:t xml:space="preserve">Démonstration en direct — CEMAC Digital Finance Lab</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2">
            <w:pPr>
              <w:spacing w:after="20" w:line="260" w:lineRule="auto"/>
              <w:rPr/>
            </w:pPr>
            <w:r w:rsidDel="00000000" w:rsidR="00000000" w:rsidRPr="00000000">
              <w:rPr>
                <w:rFonts w:ascii="Calibri" w:cs="Calibri" w:eastAsia="Calibri" w:hAnsi="Calibri"/>
                <w:b w:val="0"/>
                <w:bCs w:val="0"/>
                <w:color w:val="20272e"/>
                <w:sz w:val="17"/>
                <w:szCs w:val="17"/>
                <w:rtl w:val="0"/>
              </w:rPr>
              <w:t xml:space="preserve">Rapprochement change sur les remittances entrantes, sur données synthétiques, avec les résultats des startups VASP participantes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93">
            <w:pPr>
              <w:spacing w:after="20" w:line="260" w:lineRule="auto"/>
              <w:rPr/>
            </w:pPr>
            <w:r w:rsidDel="00000000" w:rsidR="00000000" w:rsidRPr="00000000">
              <w:rPr>
                <w:rFonts w:ascii="Calibri" w:cs="Calibri" w:eastAsia="Calibri" w:hAnsi="Calibri"/>
                <w:b w:val="1"/>
                <w:bCs w:val="1"/>
                <w:color w:val="20272e"/>
                <w:sz w:val="17"/>
                <w:szCs w:val="17"/>
                <w:rtl w:val="0"/>
              </w:rPr>
              <w:t xml:space="preserve">16h45</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4">
            <w:pPr>
              <w:spacing w:after="20" w:line="260" w:lineRule="auto"/>
              <w:rPr/>
            </w:pPr>
            <w:r w:rsidDel="00000000" w:rsidR="00000000" w:rsidRPr="00000000">
              <w:rPr>
                <w:rFonts w:ascii="Calibri" w:cs="Calibri" w:eastAsia="Calibri" w:hAnsi="Calibri"/>
                <w:b w:val="0"/>
                <w:bCs w:val="0"/>
                <w:color w:val="20272e"/>
                <w:sz w:val="17"/>
                <w:szCs w:val="17"/>
                <w:rtl w:val="0"/>
              </w:rPr>
              <w:t xml:space="preserve">Panel — interopérabilité des systèmes de paiement et des points de conversion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5">
            <w:pPr>
              <w:spacing w:after="20" w:line="260" w:lineRule="auto"/>
              <w:rPr/>
            </w:pPr>
            <w:r w:rsidDel="00000000" w:rsidR="00000000" w:rsidRPr="00000000">
              <w:rPr>
                <w:rFonts w:ascii="Calibri" w:cs="Calibri" w:eastAsia="Calibri" w:hAnsi="Calibri"/>
                <w:b w:val="0"/>
                <w:bCs w:val="0"/>
                <w:color w:val="20272e"/>
                <w:sz w:val="17"/>
                <w:szCs w:val="17"/>
                <w:rtl w:val="0"/>
              </w:rPr>
              <w:t xml:space="preserve">Infrastructure régionale de paiement, banques, opérateurs de monnaie mobile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96">
            <w:pPr>
              <w:spacing w:after="20" w:line="260" w:lineRule="auto"/>
              <w:rPr/>
            </w:pPr>
            <w:r w:rsidDel="00000000" w:rsidR="00000000" w:rsidRPr="00000000">
              <w:rPr>
                <w:rFonts w:ascii="Calibri" w:cs="Calibri" w:eastAsia="Calibri" w:hAnsi="Calibri"/>
                <w:b w:val="1"/>
                <w:bCs w:val="1"/>
                <w:color w:val="20272e"/>
                <w:sz w:val="17"/>
                <w:szCs w:val="17"/>
                <w:rtl w:val="0"/>
              </w:rPr>
              <w:t xml:space="preserve">17h45</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7">
            <w:pPr>
              <w:spacing w:after="20" w:line="260" w:lineRule="auto"/>
              <w:rPr/>
            </w:pPr>
            <w:r w:rsidDel="00000000" w:rsidR="00000000" w:rsidRPr="00000000">
              <w:rPr>
                <w:rFonts w:ascii="Calibri" w:cs="Calibri" w:eastAsia="Calibri" w:hAnsi="Calibri"/>
                <w:b w:val="0"/>
                <w:bCs w:val="0"/>
                <w:color w:val="20272e"/>
                <w:sz w:val="17"/>
                <w:szCs w:val="17"/>
                <w:rtl w:val="0"/>
              </w:rPr>
              <w:t xml:space="preserve">Rencontres bilatérales en marge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8">
            <w:pPr>
              <w:spacing w:after="20" w:line="260" w:lineRule="auto"/>
              <w:rPr/>
            </w:pPr>
            <w:r w:rsidDel="00000000" w:rsidR="00000000" w:rsidRPr="00000000">
              <w:rPr>
                <w:rFonts w:ascii="Calibri" w:cs="Calibri" w:eastAsia="Calibri" w:hAnsi="Calibri"/>
                <w:b w:val="0"/>
                <w:bCs w:val="0"/>
                <w:color w:val="20272e"/>
                <w:sz w:val="17"/>
                <w:szCs w:val="17"/>
                <w:rtl w:val="0"/>
              </w:rPr>
              <w:t xml:space="preserve">Créneaux organisés à l'avance par l'IAFN</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99">
            <w:pPr>
              <w:spacing w:after="20" w:line="260" w:lineRule="auto"/>
              <w:rPr/>
            </w:pPr>
            <w:r w:rsidDel="00000000" w:rsidR="00000000" w:rsidRPr="00000000">
              <w:rPr>
                <w:rFonts w:ascii="Calibri" w:cs="Calibri" w:eastAsia="Calibri" w:hAnsi="Calibri"/>
                <w:b w:val="1"/>
                <w:bCs w:val="1"/>
                <w:color w:val="20272e"/>
                <w:sz w:val="17"/>
                <w:szCs w:val="17"/>
                <w:rtl w:val="0"/>
              </w:rPr>
              <w:t xml:space="preserve">19h00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A">
            <w:pPr>
              <w:spacing w:after="20" w:line="260" w:lineRule="auto"/>
              <w:rPr/>
            </w:pPr>
            <w:r w:rsidDel="00000000" w:rsidR="00000000" w:rsidRPr="00000000">
              <w:rPr>
                <w:rFonts w:ascii="Calibri" w:cs="Calibri" w:eastAsia="Calibri" w:hAnsi="Calibri"/>
                <w:b w:val="0"/>
                <w:bCs w:val="0"/>
                <w:color w:val="20272e"/>
                <w:sz w:val="17"/>
                <w:szCs w:val="17"/>
                <w:rtl w:val="0"/>
              </w:rPr>
              <w:t xml:space="preserve">Clôture de la première journée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9B">
            <w:pPr>
              <w:spacing w:after="20" w:line="260" w:lineRule="auto"/>
              <w:rPr/>
            </w:pPr>
            <w:r w:rsidDel="00000000" w:rsidR="00000000" w:rsidRPr="00000000">
              <w:rPr>
                <w:rtl w:val="0"/>
              </w:rPr>
            </w:r>
          </w:p>
        </w:tc>
      </w:tr>
    </w:tbl>
    <w:p w:rsidR="00000000" w:rsidDel="00000000" w:rsidP="00000000" w:rsidRDefault="00000000" w:rsidRPr="00000000" w14:paraId="0000009C">
      <w:pPr>
        <w:spacing w:after="100" w:before="230" w:lineRule="auto"/>
        <w:rPr/>
      </w:pPr>
      <w:r w:rsidDel="00000000" w:rsidR="00000000" w:rsidRPr="00000000">
        <w:rPr>
          <w:rFonts w:ascii="Calibri" w:cs="Calibri" w:eastAsia="Calibri" w:hAnsi="Calibri"/>
          <w:b w:val="1"/>
          <w:bCs w:val="1"/>
          <w:color w:val="13304a"/>
          <w:sz w:val="20"/>
          <w:szCs w:val="20"/>
          <w:rtl w:val="0"/>
        </w:rPr>
        <w:t xml:space="preserve">7.3 Journée 2 — 30 septembre · écosystème, capacités et capital</w:t>
      </w:r>
      <w:r w:rsidDel="00000000" w:rsidR="00000000" w:rsidRPr="00000000">
        <w:rPr>
          <w:rtl w:val="0"/>
        </w:rPr>
      </w:r>
    </w:p>
    <w:tbl>
      <w:tblPr>
        <w:tblStyle w:val="Table6"/>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1500"/>
        <w:gridCol w:w="3600"/>
        <w:gridCol w:w="4500"/>
        <w:tblGridChange w:id="0">
          <w:tblGrid>
            <w:gridCol w:w="1500"/>
            <w:gridCol w:w="3600"/>
            <w:gridCol w:w="45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9D">
            <w:pPr>
              <w:spacing w:after="20" w:line="260" w:lineRule="auto"/>
              <w:rPr/>
            </w:pPr>
            <w:r w:rsidDel="00000000" w:rsidR="00000000" w:rsidRPr="00000000">
              <w:rPr>
                <w:rFonts w:ascii="Calibri" w:cs="Calibri" w:eastAsia="Calibri" w:hAnsi="Calibri"/>
                <w:b w:val="1"/>
                <w:bCs w:val="1"/>
                <w:color w:val="ffffff"/>
                <w:sz w:val="17"/>
                <w:szCs w:val="17"/>
                <w:rtl w:val="0"/>
              </w:rPr>
              <w:t xml:space="preserve">Horaire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9E">
            <w:pPr>
              <w:spacing w:after="20" w:line="260" w:lineRule="auto"/>
              <w:rPr/>
            </w:pPr>
            <w:r w:rsidDel="00000000" w:rsidR="00000000" w:rsidRPr="00000000">
              <w:rPr>
                <w:rFonts w:ascii="Calibri" w:cs="Calibri" w:eastAsia="Calibri" w:hAnsi="Calibri"/>
                <w:b w:val="1"/>
                <w:bCs w:val="1"/>
                <w:color w:val="ffffff"/>
                <w:sz w:val="17"/>
                <w:szCs w:val="17"/>
                <w:rtl w:val="0"/>
              </w:rPr>
              <w:t xml:space="preserve">Séquence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9F">
            <w:pPr>
              <w:spacing w:after="20" w:line="260" w:lineRule="auto"/>
              <w:rPr/>
            </w:pPr>
            <w:r w:rsidDel="00000000" w:rsidR="00000000" w:rsidRPr="00000000">
              <w:rPr>
                <w:rFonts w:ascii="Calibri" w:cs="Calibri" w:eastAsia="Calibri" w:hAnsi="Calibri"/>
                <w:b w:val="1"/>
                <w:bCs w:val="1"/>
                <w:color w:val="ffffff"/>
                <w:sz w:val="17"/>
                <w:szCs w:val="17"/>
                <w:rtl w:val="0"/>
              </w:rPr>
              <w:t xml:space="preserve">Précisions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A0">
            <w:pPr>
              <w:spacing w:after="20" w:line="260" w:lineRule="auto"/>
              <w:rPr/>
            </w:pPr>
            <w:r w:rsidDel="00000000" w:rsidR="00000000" w:rsidRPr="00000000">
              <w:rPr>
                <w:rFonts w:ascii="Calibri" w:cs="Calibri" w:eastAsia="Calibri" w:hAnsi="Calibri"/>
                <w:b w:val="1"/>
                <w:bCs w:val="1"/>
                <w:color w:val="20272e"/>
                <w:sz w:val="17"/>
                <w:szCs w:val="17"/>
                <w:rtl w:val="0"/>
              </w:rPr>
              <w:t xml:space="preserve">09h00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1">
            <w:pPr>
              <w:spacing w:after="20" w:line="260" w:lineRule="auto"/>
              <w:rPr/>
            </w:pPr>
            <w:r w:rsidDel="00000000" w:rsidR="00000000" w:rsidRPr="00000000">
              <w:rPr>
                <w:rFonts w:ascii="Calibri" w:cs="Calibri" w:eastAsia="Calibri" w:hAnsi="Calibri"/>
                <w:b w:val="0"/>
                <w:bCs w:val="0"/>
                <w:color w:val="20272e"/>
                <w:sz w:val="17"/>
                <w:szCs w:val="17"/>
                <w:rtl w:val="0"/>
              </w:rPr>
              <w:t xml:space="preserve">Restitution de la première journée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2">
            <w:pPr>
              <w:spacing w:after="20" w:line="260" w:lineRule="auto"/>
              <w:rPr/>
            </w:pPr>
            <w:r w:rsidDel="00000000" w:rsidR="00000000" w:rsidRPr="00000000">
              <w:rPr>
                <w:rFonts w:ascii="Calibri" w:cs="Calibri" w:eastAsia="Calibri" w:hAnsi="Calibri"/>
                <w:b w:val="0"/>
                <w:bCs w:val="0"/>
                <w:color w:val="20272e"/>
                <w:sz w:val="17"/>
                <w:szCs w:val="17"/>
                <w:rtl w:val="0"/>
              </w:rPr>
              <w:t xml:space="preserve">Synthèse des échanges réglementaires, hors session à huis clos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A3">
            <w:pPr>
              <w:spacing w:after="20" w:line="260" w:lineRule="auto"/>
              <w:rPr/>
            </w:pPr>
            <w:r w:rsidDel="00000000" w:rsidR="00000000" w:rsidRPr="00000000">
              <w:rPr>
                <w:rFonts w:ascii="Calibri" w:cs="Calibri" w:eastAsia="Calibri" w:hAnsi="Calibri"/>
                <w:b w:val="1"/>
                <w:bCs w:val="1"/>
                <w:color w:val="20272e"/>
                <w:sz w:val="17"/>
                <w:szCs w:val="17"/>
                <w:rtl w:val="0"/>
              </w:rPr>
              <w:t xml:space="preserve">09h30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4">
            <w:pPr>
              <w:spacing w:after="20" w:line="260" w:lineRule="auto"/>
              <w:rPr/>
            </w:pPr>
            <w:r w:rsidDel="00000000" w:rsidR="00000000" w:rsidRPr="00000000">
              <w:rPr>
                <w:rFonts w:ascii="Calibri" w:cs="Calibri" w:eastAsia="Calibri" w:hAnsi="Calibri"/>
                <w:b w:val="0"/>
                <w:bCs w:val="0"/>
                <w:color w:val="20272e"/>
                <w:sz w:val="17"/>
                <w:szCs w:val="17"/>
                <w:rtl w:val="0"/>
              </w:rPr>
              <w:t xml:space="preserve">Lancement de VAACA</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5">
            <w:pPr>
              <w:spacing w:after="20" w:line="260" w:lineRule="auto"/>
              <w:rPr/>
            </w:pPr>
            <w:r w:rsidDel="00000000" w:rsidR="00000000" w:rsidRPr="00000000">
              <w:rPr>
                <w:rFonts w:ascii="Calibri" w:cs="Calibri" w:eastAsia="Calibri" w:hAnsi="Calibri"/>
                <w:b w:val="0"/>
                <w:bCs w:val="0"/>
                <w:color w:val="20272e"/>
                <w:sz w:val="17"/>
                <w:szCs w:val="17"/>
                <w:rtl w:val="0"/>
              </w:rPr>
              <w:t xml:space="preserve">Mandat, membres fondateurs, rattachement au CFIA, feuille de route régionale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A6">
            <w:pPr>
              <w:spacing w:after="20" w:line="260" w:lineRule="auto"/>
              <w:rPr/>
            </w:pPr>
            <w:r w:rsidDel="00000000" w:rsidR="00000000" w:rsidRPr="00000000">
              <w:rPr>
                <w:rFonts w:ascii="Calibri" w:cs="Calibri" w:eastAsia="Calibri" w:hAnsi="Calibri"/>
                <w:b w:val="1"/>
                <w:bCs w:val="1"/>
                <w:color w:val="20272e"/>
                <w:sz w:val="17"/>
                <w:szCs w:val="17"/>
                <w:rtl w:val="0"/>
              </w:rPr>
              <w:t xml:space="preserve">10h30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7">
            <w:pPr>
              <w:spacing w:after="20" w:line="260" w:lineRule="auto"/>
              <w:rPr/>
            </w:pPr>
            <w:r w:rsidDel="00000000" w:rsidR="00000000" w:rsidRPr="00000000">
              <w:rPr>
                <w:rFonts w:ascii="Calibri" w:cs="Calibri" w:eastAsia="Calibri" w:hAnsi="Calibri"/>
                <w:b w:val="0"/>
                <w:bCs w:val="0"/>
                <w:color w:val="20272e"/>
                <w:sz w:val="17"/>
                <w:szCs w:val="17"/>
                <w:rtl w:val="0"/>
              </w:rPr>
              <w:t xml:space="preserve">Panel — ce qui se construit en Afrique centrale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8">
            <w:pPr>
              <w:spacing w:after="20" w:line="260" w:lineRule="auto"/>
              <w:rPr/>
            </w:pPr>
            <w:r w:rsidDel="00000000" w:rsidR="00000000" w:rsidRPr="00000000">
              <w:rPr>
                <w:rFonts w:ascii="Calibri" w:cs="Calibri" w:eastAsia="Calibri" w:hAnsi="Calibri"/>
                <w:b w:val="0"/>
                <w:bCs w:val="0"/>
                <w:color w:val="20272e"/>
                <w:sz w:val="17"/>
                <w:szCs w:val="17"/>
                <w:rtl w:val="0"/>
              </w:rPr>
              <w:t xml:space="preserve">Les startups VASP et les acteurs de la finance numérique présentent leurs travaux</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A9">
            <w:pPr>
              <w:spacing w:after="20" w:line="260" w:lineRule="auto"/>
              <w:rPr/>
            </w:pPr>
            <w:r w:rsidDel="00000000" w:rsidR="00000000" w:rsidRPr="00000000">
              <w:rPr>
                <w:rFonts w:ascii="Calibri" w:cs="Calibri" w:eastAsia="Calibri" w:hAnsi="Calibri"/>
                <w:b w:val="1"/>
                <w:bCs w:val="1"/>
                <w:color w:val="20272e"/>
                <w:sz w:val="17"/>
                <w:szCs w:val="17"/>
                <w:rtl w:val="0"/>
              </w:rPr>
              <w:t xml:space="preserve">11h30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A">
            <w:pPr>
              <w:spacing w:after="20" w:line="260" w:lineRule="auto"/>
              <w:rPr/>
            </w:pPr>
            <w:r w:rsidDel="00000000" w:rsidR="00000000" w:rsidRPr="00000000">
              <w:rPr>
                <w:rFonts w:ascii="Calibri" w:cs="Calibri" w:eastAsia="Calibri" w:hAnsi="Calibri"/>
                <w:b w:val="0"/>
                <w:bCs w:val="0"/>
                <w:color w:val="20272e"/>
                <w:sz w:val="17"/>
                <w:szCs w:val="17"/>
                <w:rtl w:val="0"/>
              </w:rPr>
              <w:t xml:space="preserve">Pause-café</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B">
            <w:pPr>
              <w:spacing w:after="20" w:line="260" w:lineRule="auto"/>
              <w:rPr/>
            </w:pP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AC">
            <w:pPr>
              <w:spacing w:after="20" w:line="260" w:lineRule="auto"/>
              <w:rPr/>
            </w:pPr>
            <w:r w:rsidDel="00000000" w:rsidR="00000000" w:rsidRPr="00000000">
              <w:rPr>
                <w:rFonts w:ascii="Calibri" w:cs="Calibri" w:eastAsia="Calibri" w:hAnsi="Calibri"/>
                <w:b w:val="1"/>
                <w:bCs w:val="1"/>
                <w:color w:val="20272e"/>
                <w:sz w:val="17"/>
                <w:szCs w:val="17"/>
                <w:rtl w:val="0"/>
              </w:rPr>
              <w:t xml:space="preserve">12h00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D">
            <w:pPr>
              <w:spacing w:after="20" w:line="260" w:lineRule="auto"/>
              <w:rPr/>
            </w:pPr>
            <w:r w:rsidDel="00000000" w:rsidR="00000000" w:rsidRPr="00000000">
              <w:rPr>
                <w:rFonts w:ascii="Calibri" w:cs="Calibri" w:eastAsia="Calibri" w:hAnsi="Calibri"/>
                <w:b w:val="0"/>
                <w:bCs w:val="0"/>
                <w:color w:val="20272e"/>
                <w:sz w:val="17"/>
                <w:szCs w:val="17"/>
                <w:rtl w:val="0"/>
              </w:rPr>
              <w:t xml:space="preserve">Session technique — résultats du bac à sable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AE">
            <w:pPr>
              <w:spacing w:after="20" w:line="260" w:lineRule="auto"/>
              <w:rPr/>
            </w:pPr>
            <w:r w:rsidDel="00000000" w:rsidR="00000000" w:rsidRPr="00000000">
              <w:rPr>
                <w:rFonts w:ascii="Calibri" w:cs="Calibri" w:eastAsia="Calibri" w:hAnsi="Calibri"/>
                <w:b w:val="0"/>
                <w:bCs w:val="0"/>
                <w:color w:val="20272e"/>
                <w:sz w:val="17"/>
                <w:szCs w:val="17"/>
                <w:rtl w:val="0"/>
              </w:rPr>
              <w:t xml:space="preserve">Données produites par les startups ayant exécuté des cas réels ; ce qu'un superviseur voit et ce qu'il ne voit pas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AF">
            <w:pPr>
              <w:spacing w:after="20" w:line="260" w:lineRule="auto"/>
              <w:rPr/>
            </w:pPr>
            <w:r w:rsidDel="00000000" w:rsidR="00000000" w:rsidRPr="00000000">
              <w:rPr>
                <w:rFonts w:ascii="Calibri" w:cs="Calibri" w:eastAsia="Calibri" w:hAnsi="Calibri"/>
                <w:b w:val="1"/>
                <w:bCs w:val="1"/>
                <w:color w:val="20272e"/>
                <w:sz w:val="17"/>
                <w:szCs w:val="17"/>
                <w:rtl w:val="0"/>
              </w:rPr>
              <w:t xml:space="preserve">13h00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0">
            <w:pPr>
              <w:spacing w:after="20" w:line="260" w:lineRule="auto"/>
              <w:rPr/>
            </w:pPr>
            <w:r w:rsidDel="00000000" w:rsidR="00000000" w:rsidRPr="00000000">
              <w:rPr>
                <w:rFonts w:ascii="Calibri" w:cs="Calibri" w:eastAsia="Calibri" w:hAnsi="Calibri"/>
                <w:b w:val="0"/>
                <w:bCs w:val="0"/>
                <w:color w:val="20272e"/>
                <w:sz w:val="17"/>
                <w:szCs w:val="17"/>
                <w:rtl w:val="0"/>
              </w:rPr>
              <w:t xml:space="preserve">Déjeuner</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1">
            <w:pPr>
              <w:spacing w:after="20" w:line="260" w:lineRule="auto"/>
              <w:rPr/>
            </w:pP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B2">
            <w:pPr>
              <w:spacing w:after="20" w:line="260" w:lineRule="auto"/>
              <w:rPr/>
            </w:pPr>
            <w:r w:rsidDel="00000000" w:rsidR="00000000" w:rsidRPr="00000000">
              <w:rPr>
                <w:rFonts w:ascii="Calibri" w:cs="Calibri" w:eastAsia="Calibri" w:hAnsi="Calibri"/>
                <w:b w:val="1"/>
                <w:bCs w:val="1"/>
                <w:color w:val="20272e"/>
                <w:sz w:val="17"/>
                <w:szCs w:val="17"/>
                <w:rtl w:val="0"/>
              </w:rPr>
              <w:t xml:space="preserve">14h30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3">
            <w:pPr>
              <w:spacing w:after="20" w:line="260" w:lineRule="auto"/>
              <w:rPr/>
            </w:pPr>
            <w:r w:rsidDel="00000000" w:rsidR="00000000" w:rsidRPr="00000000">
              <w:rPr>
                <w:rFonts w:ascii="Calibri" w:cs="Calibri" w:eastAsia="Calibri" w:hAnsi="Calibri"/>
                <w:b w:val="0"/>
                <w:bCs w:val="0"/>
                <w:color w:val="20272e"/>
                <w:sz w:val="17"/>
                <w:szCs w:val="17"/>
                <w:rtl w:val="0"/>
              </w:rPr>
              <w:t xml:space="preserve">Rencontre de l'écosystème — Ennovation Factory</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4">
            <w:pPr>
              <w:spacing w:after="20" w:line="260" w:lineRule="auto"/>
              <w:rPr/>
            </w:pPr>
            <w:r w:rsidDel="00000000" w:rsidR="00000000" w:rsidRPr="00000000">
              <w:rPr>
                <w:rFonts w:ascii="Calibri" w:cs="Calibri" w:eastAsia="Calibri" w:hAnsi="Calibri"/>
                <w:b w:val="0"/>
                <w:bCs w:val="0"/>
                <w:color w:val="20272e"/>
                <w:sz w:val="17"/>
                <w:szCs w:val="17"/>
                <w:rtl w:val="0"/>
              </w:rPr>
              <w:t xml:space="preserve">Fondateurs, investisseurs et partenaires. Tether rencontre directement l'écosystème.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B5">
            <w:pPr>
              <w:spacing w:after="20" w:line="260" w:lineRule="auto"/>
              <w:rPr/>
            </w:pPr>
            <w:r w:rsidDel="00000000" w:rsidR="00000000" w:rsidRPr="00000000">
              <w:rPr>
                <w:rFonts w:ascii="Calibri" w:cs="Calibri" w:eastAsia="Calibri" w:hAnsi="Calibri"/>
                <w:b w:val="1"/>
                <w:bCs w:val="1"/>
                <w:color w:val="20272e"/>
                <w:sz w:val="17"/>
                <w:szCs w:val="17"/>
                <w:rtl w:val="0"/>
              </w:rPr>
              <w:t xml:space="preserve">15h30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6">
            <w:pPr>
              <w:spacing w:after="20" w:line="260" w:lineRule="auto"/>
              <w:rPr/>
            </w:pPr>
            <w:r w:rsidDel="00000000" w:rsidR="00000000" w:rsidRPr="00000000">
              <w:rPr>
                <w:rFonts w:ascii="Calibri" w:cs="Calibri" w:eastAsia="Calibri" w:hAnsi="Calibri"/>
                <w:b w:val="0"/>
                <w:bCs w:val="0"/>
                <w:color w:val="20272e"/>
                <w:sz w:val="17"/>
                <w:szCs w:val="17"/>
                <w:rtl w:val="0"/>
              </w:rPr>
              <w:t xml:space="preserve">Annonce — résidence Tontine House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7">
            <w:pPr>
              <w:spacing w:after="20" w:line="260" w:lineRule="auto"/>
              <w:rPr/>
            </w:pPr>
            <w:r w:rsidDel="00000000" w:rsidR="00000000" w:rsidRPr="00000000">
              <w:rPr>
                <w:rFonts w:ascii="Calibri" w:cs="Calibri" w:eastAsia="Calibri" w:hAnsi="Calibri"/>
                <w:b w:val="0"/>
                <w:bCs w:val="0"/>
                <w:color w:val="20272e"/>
                <w:sz w:val="17"/>
                <w:szCs w:val="17"/>
                <w:rtl w:val="0"/>
              </w:rPr>
              <w:t xml:space="preserve">Engagement annoncé ; résidence tenue séparément au premier trimestre 2027</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B8">
            <w:pPr>
              <w:spacing w:after="20" w:line="260" w:lineRule="auto"/>
              <w:rPr/>
            </w:pPr>
            <w:r w:rsidDel="00000000" w:rsidR="00000000" w:rsidRPr="00000000">
              <w:rPr>
                <w:rFonts w:ascii="Calibri" w:cs="Calibri" w:eastAsia="Calibri" w:hAnsi="Calibri"/>
                <w:b w:val="1"/>
                <w:bCs w:val="1"/>
                <w:color w:val="20272e"/>
                <w:sz w:val="17"/>
                <w:szCs w:val="17"/>
                <w:rtl w:val="0"/>
              </w:rPr>
              <w:t xml:space="preserve">16h15</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9">
            <w:pPr>
              <w:spacing w:after="20" w:line="260" w:lineRule="auto"/>
              <w:rPr/>
            </w:pPr>
            <w:r w:rsidDel="00000000" w:rsidR="00000000" w:rsidRPr="00000000">
              <w:rPr>
                <w:rFonts w:ascii="Calibri" w:cs="Calibri" w:eastAsia="Calibri" w:hAnsi="Calibri"/>
                <w:b w:val="0"/>
                <w:bCs w:val="0"/>
                <w:color w:val="20272e"/>
                <w:sz w:val="17"/>
                <w:szCs w:val="17"/>
                <w:rtl w:val="0"/>
              </w:rPr>
              <w:t xml:space="preserve">Séance de clôture — la suite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A">
            <w:pPr>
              <w:spacing w:after="20" w:line="260" w:lineRule="auto"/>
              <w:rPr/>
            </w:pPr>
            <w:r w:rsidDel="00000000" w:rsidR="00000000" w:rsidRPr="00000000">
              <w:rPr>
                <w:rFonts w:ascii="Calibri" w:cs="Calibri" w:eastAsia="Calibri" w:hAnsi="Calibri"/>
                <w:b w:val="0"/>
                <w:bCs w:val="0"/>
                <w:color w:val="20272e"/>
                <w:sz w:val="17"/>
                <w:szCs w:val="17"/>
                <w:rtl w:val="0"/>
              </w:rPr>
              <w:t xml:space="preserve">Groupe de travail, engagements de publication, feuille de route post-séminaire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BB">
            <w:pPr>
              <w:spacing w:after="20" w:line="260" w:lineRule="auto"/>
              <w:rPr/>
            </w:pPr>
            <w:r w:rsidDel="00000000" w:rsidR="00000000" w:rsidRPr="00000000">
              <w:rPr>
                <w:rFonts w:ascii="Calibri" w:cs="Calibri" w:eastAsia="Calibri" w:hAnsi="Calibri"/>
                <w:b w:val="1"/>
                <w:bCs w:val="1"/>
                <w:color w:val="20272e"/>
                <w:sz w:val="17"/>
                <w:szCs w:val="17"/>
                <w:rtl w:val="0"/>
              </w:rPr>
              <w:t xml:space="preserve">17h00</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C">
            <w:pPr>
              <w:spacing w:after="20" w:line="260" w:lineRule="auto"/>
              <w:rPr/>
            </w:pPr>
            <w:r w:rsidDel="00000000" w:rsidR="00000000" w:rsidRPr="00000000">
              <w:rPr>
                <w:rFonts w:ascii="Calibri" w:cs="Calibri" w:eastAsia="Calibri" w:hAnsi="Calibri"/>
                <w:b w:val="0"/>
                <w:bCs w:val="0"/>
                <w:color w:val="20272e"/>
                <w:sz w:val="17"/>
                <w:szCs w:val="17"/>
                <w:rtl w:val="0"/>
              </w:rPr>
              <w:t xml:space="preserve">Clôture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BD">
            <w:pPr>
              <w:spacing w:after="20" w:line="260" w:lineRule="auto"/>
              <w:rPr/>
            </w:pPr>
            <w:r w:rsidDel="00000000" w:rsidR="00000000" w:rsidRPr="00000000">
              <w:rPr>
                <w:rtl w:val="0"/>
              </w:rPr>
            </w:r>
          </w:p>
        </w:tc>
      </w:tr>
    </w:tbl>
    <w:p w:rsidR="00000000" w:rsidDel="00000000" w:rsidP="00000000" w:rsidRDefault="00000000" w:rsidRPr="00000000" w14:paraId="000000BE">
      <w:pPr>
        <w:pBdr>
          <w:left w:color="a83e24" w:space="10" w:sz="18" w:val="single"/>
        </w:pBdr>
        <w:shd w:fill="fbf1ee" w:val="clear"/>
        <w:spacing w:after="145" w:before="125" w:line="288" w:lineRule="auto"/>
        <w:ind w:left="190" w:right="190" w:firstLine="0"/>
        <w:rPr/>
      </w:pPr>
      <w:r w:rsidDel="00000000" w:rsidR="00000000" w:rsidRPr="00000000">
        <w:rPr>
          <w:rFonts w:ascii="Calibri" w:cs="Calibri" w:eastAsia="Calibri" w:hAnsi="Calibri"/>
          <w:b w:val="1"/>
          <w:bCs w:val="1"/>
          <w:color w:val="6e2716"/>
          <w:sz w:val="20"/>
          <w:szCs w:val="20"/>
          <w:rtl w:val="0"/>
        </w:rPr>
        <w:t xml:space="preserve">Deux règles sur la session à huis clos. Elle ne comprend aucun sponsor et aucun partenaire, quelle que soit sa contribution au séminaire, et rien de ce qui s'y dit n'est attribué ni rapporté. Une session fermée dont l'accès peut être acheté n'est pas une session fermée, et les autorités présentes la traiteront comme telle.</w:t>
      </w:r>
      <w:r w:rsidDel="00000000" w:rsidR="00000000" w:rsidRPr="00000000">
        <w:rPr>
          <w:rtl w:val="0"/>
        </w:rPr>
      </w:r>
    </w:p>
    <w:p w:rsidR="00000000" w:rsidDel="00000000" w:rsidP="00000000" w:rsidRDefault="00000000" w:rsidRPr="00000000" w14:paraId="000000BF">
      <w:pPr>
        <w:spacing w:after="100" w:before="230" w:lineRule="auto"/>
        <w:rPr/>
      </w:pPr>
      <w:r w:rsidDel="00000000" w:rsidR="00000000" w:rsidRPr="00000000">
        <w:rPr>
          <w:rFonts w:ascii="Calibri" w:cs="Calibri" w:eastAsia="Calibri" w:hAnsi="Calibri"/>
          <w:b w:val="1"/>
          <w:bCs w:val="1"/>
          <w:color w:val="13304a"/>
          <w:sz w:val="20"/>
          <w:szCs w:val="20"/>
          <w:rtl w:val="0"/>
        </w:rPr>
        <w:t xml:space="preserve">7.4 Pourquoi la démonstration du bac à sable compte le plus</w:t>
      </w:r>
      <w:r w:rsidDel="00000000" w:rsidR="00000000" w:rsidRPr="00000000">
        <w:rPr>
          <w:rtl w:val="0"/>
        </w:rPr>
      </w:r>
    </w:p>
    <w:p w:rsidR="00000000" w:rsidDel="00000000" w:rsidP="00000000" w:rsidRDefault="00000000" w:rsidRPr="00000000" w14:paraId="000000C0">
      <w:pPr>
        <w:spacing w:after="120" w:before="0" w:line="288" w:lineRule="auto"/>
        <w:jc w:val="both"/>
        <w:rPr/>
      </w:pPr>
      <w:r w:rsidDel="00000000" w:rsidR="00000000" w:rsidRPr="00000000">
        <w:rPr>
          <w:rFonts w:ascii="Calibri" w:cs="Calibri" w:eastAsia="Calibri" w:hAnsi="Calibri"/>
          <w:color w:val="20272e"/>
          <w:sz w:val="20"/>
          <w:szCs w:val="20"/>
          <w:rtl w:val="0"/>
        </w:rPr>
        <w:t xml:space="preserve">Des startups ont exécuté de véritables cas de test dans l'environnement, ce qui signifie que la démonstration montre un comportement observé et non une affirmation. Le cadrage à tenir le jour même : voici à quoi ressemblent ces flux lorsqu'ils sont instrumentés, voici ce qu'un superviseur peut voir, voici ce qui demeure invisible — et la décision sur ce qu'il convient d'en faire appartient au régulateur, non à nous.</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8. Ce que nous demandons à Tether</w:t>
      </w:r>
      <w:r w:rsidDel="00000000" w:rsidR="00000000" w:rsidRPr="00000000">
        <w:rPr>
          <w:rtl w:val="0"/>
        </w:rPr>
      </w:r>
    </w:p>
    <w:p w:rsidR="00000000" w:rsidDel="00000000" w:rsidP="00000000" w:rsidRDefault="00000000" w:rsidRPr="00000000" w14:paraId="000000C3">
      <w:pPr>
        <w:spacing w:after="58" w:line="283" w:lineRule="auto"/>
        <w:ind w:left="320" w:hanging="320"/>
        <w:rPr/>
      </w:pPr>
      <w:r w:rsidDel="00000000" w:rsidR="00000000" w:rsidRPr="00000000">
        <w:rPr>
          <w:rFonts w:ascii="Calibri" w:cs="Calibri" w:eastAsia="Calibri" w:hAnsi="Calibri"/>
          <w:color w:val="20272e"/>
          <w:sz w:val="20"/>
          <w:szCs w:val="20"/>
          <w:rtl w:val="0"/>
        </w:rPr>
        <w:t xml:space="preserve">8.1  L'adoption de la posture monétaire de la section 3 comme position publique permanente dans la région, y compris l'argument du rapatriement des devises et l'exclusion explicite de toute revendication d'adossement monétaire.</w:t>
      </w:r>
      <w:r w:rsidDel="00000000" w:rsidR="00000000" w:rsidRPr="00000000">
        <w:rPr>
          <w:rtl w:val="0"/>
        </w:rPr>
      </w:r>
    </w:p>
    <w:p w:rsidR="00000000" w:rsidDel="00000000" w:rsidP="00000000" w:rsidRDefault="00000000" w:rsidRPr="00000000" w14:paraId="000000C4">
      <w:pPr>
        <w:spacing w:after="58" w:line="283" w:lineRule="auto"/>
        <w:ind w:left="320" w:hanging="320"/>
        <w:rPr/>
      </w:pPr>
      <w:r w:rsidDel="00000000" w:rsidR="00000000" w:rsidRPr="00000000">
        <w:rPr>
          <w:rFonts w:ascii="Calibri" w:cs="Calibri" w:eastAsia="Calibri" w:hAnsi="Calibri"/>
          <w:color w:val="20272e"/>
          <w:sz w:val="20"/>
          <w:szCs w:val="20"/>
          <w:rtl w:val="0"/>
        </w:rPr>
        <w:t xml:space="preserve">8.2  Un mandat et un budget pour négocier les conventions ministérielles selon les termes de la section 4, les deux conditions étant acceptées.</w:t>
      </w:r>
      <w:r w:rsidDel="00000000" w:rsidR="00000000" w:rsidRPr="00000000">
        <w:rPr>
          <w:rtl w:val="0"/>
        </w:rPr>
      </w:r>
    </w:p>
    <w:p w:rsidR="00000000" w:rsidDel="00000000" w:rsidP="00000000" w:rsidRDefault="00000000" w:rsidRPr="00000000" w14:paraId="000000C5">
      <w:pPr>
        <w:spacing w:after="58" w:line="283" w:lineRule="auto"/>
        <w:ind w:left="320" w:hanging="320"/>
        <w:rPr/>
      </w:pPr>
      <w:r w:rsidDel="00000000" w:rsidR="00000000" w:rsidRPr="00000000">
        <w:rPr>
          <w:rFonts w:ascii="Calibri" w:cs="Calibri" w:eastAsia="Calibri" w:hAnsi="Calibri"/>
          <w:color w:val="20272e"/>
          <w:sz w:val="20"/>
          <w:szCs w:val="20"/>
          <w:rtl w:val="0"/>
        </w:rPr>
        <w:t xml:space="preserve">8.3  Un partenariat de renforcement des capacités avec VAACA — formation, capacités techniques et échange de connaissances — sans rôle fondateur ni position de gouvernance.</w:t>
      </w:r>
      <w:r w:rsidDel="00000000" w:rsidR="00000000" w:rsidRPr="00000000">
        <w:rPr>
          <w:rtl w:val="0"/>
        </w:rPr>
      </w:r>
    </w:p>
    <w:p w:rsidR="00000000" w:rsidDel="00000000" w:rsidP="00000000" w:rsidRDefault="00000000" w:rsidRPr="00000000" w14:paraId="000000C6">
      <w:pPr>
        <w:spacing w:after="58" w:line="283" w:lineRule="auto"/>
        <w:ind w:left="320" w:hanging="320"/>
        <w:rPr/>
      </w:pPr>
      <w:r w:rsidDel="00000000" w:rsidR="00000000" w:rsidRPr="00000000">
        <w:rPr>
          <w:rFonts w:ascii="Calibri" w:cs="Calibri" w:eastAsia="Calibri" w:hAnsi="Calibri"/>
          <w:color w:val="20272e"/>
          <w:sz w:val="20"/>
          <w:szCs w:val="20"/>
          <w:rtl w:val="0"/>
        </w:rPr>
        <w:t xml:space="preserve">8.4  L'engagement d'un montant pouvant atteindre 100 000 USD sur 24 mois, sur la base des tranches de la section 6, la gouvernance étant acceptée par écrit avant toute annonce. Aucun déploiement n'est requis pendant le séminaire.</w:t>
      </w:r>
      <w:r w:rsidDel="00000000" w:rsidR="00000000" w:rsidRPr="00000000">
        <w:rPr>
          <w:rtl w:val="0"/>
        </w:rPr>
      </w:r>
    </w:p>
    <w:p w:rsidR="00000000" w:rsidDel="00000000" w:rsidP="00000000" w:rsidRDefault="00000000" w:rsidRPr="00000000" w14:paraId="000000C7">
      <w:pPr>
        <w:spacing w:after="58" w:line="283" w:lineRule="auto"/>
        <w:ind w:left="320" w:hanging="320"/>
        <w:rPr/>
      </w:pPr>
      <w:r w:rsidDel="00000000" w:rsidR="00000000" w:rsidRPr="00000000">
        <w:rPr>
          <w:rFonts w:ascii="Calibri" w:cs="Calibri" w:eastAsia="Calibri" w:hAnsi="Calibri"/>
          <w:color w:val="20272e"/>
          <w:sz w:val="20"/>
          <w:szCs w:val="20"/>
          <w:rtl w:val="0"/>
        </w:rPr>
        <w:t xml:space="preserve">8.5  La tenue de la présentation de la première journée dans sa forme recadrée, la participation à la rencontre de l'écosystème le second jour, et un accord de principe pour accueillir Tontine House au premier trimestre 2027.</w:t>
      </w:r>
      <w:r w:rsidDel="00000000" w:rsidR="00000000" w:rsidRPr="00000000">
        <w:rPr>
          <w:rtl w:val="0"/>
        </w:rPr>
      </w:r>
    </w:p>
    <w:p w:rsidR="00000000" w:rsidDel="00000000" w:rsidP="00000000" w:rsidRDefault="00000000" w:rsidRPr="00000000" w14:paraId="000000C8">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9. Ce que nous ne demandons pas, et n'offrirons pas</w:t>
      </w:r>
      <w:r w:rsidDel="00000000" w:rsidR="00000000" w:rsidRPr="00000000">
        <w:rPr>
          <w:rtl w:val="0"/>
        </w:rPr>
      </w:r>
    </w:p>
    <w:p w:rsidR="00000000" w:rsidDel="00000000" w:rsidP="00000000" w:rsidRDefault="00000000" w:rsidRPr="00000000" w14:paraId="000000C9">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Aucune introduction auprès des autorités de régulation ni facilitation de rendez-vous avec elles en contrepartie de ce qui précède. Les échanges avec les autorités se tiennent dans le cadre du programme du séminaire.</w:t>
      </w:r>
      <w:r w:rsidDel="00000000" w:rsidR="00000000" w:rsidRPr="00000000">
        <w:rPr>
          <w:rtl w:val="0"/>
        </w:rPr>
      </w:r>
    </w:p>
    <w:p w:rsidR="00000000" w:rsidDel="00000000" w:rsidP="00000000" w:rsidRDefault="00000000" w:rsidRPr="00000000" w14:paraId="000000CA">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Aucune influence sur les travaux de recherche, les publications ou les protocoles du bac à sable de l'IAFN.</w:t>
      </w:r>
      <w:r w:rsidDel="00000000" w:rsidR="00000000" w:rsidRPr="00000000">
        <w:rPr>
          <w:rtl w:val="0"/>
        </w:rPr>
      </w:r>
    </w:p>
    <w:p w:rsidR="00000000" w:rsidDel="00000000" w:rsidP="00000000" w:rsidRDefault="00000000" w:rsidRPr="00000000" w14:paraId="000000CB">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Aucune représentation des positions de Tether auprès d'une autorité par l'IAFN.</w:t>
      </w:r>
      <w:r w:rsidDel="00000000" w:rsidR="00000000" w:rsidRPr="00000000">
        <w:rPr>
          <w:rtl w:val="0"/>
        </w:rPr>
      </w:r>
    </w:p>
    <w:p w:rsidR="00000000" w:rsidDel="00000000" w:rsidP="00000000" w:rsidRDefault="00000000" w:rsidRPr="00000000" w14:paraId="000000CC">
      <w:pPr>
        <w:spacing w:after="55" w:line="283" w:lineRule="auto"/>
        <w:ind w:left="250" w:hanging="155"/>
        <w:rPr/>
      </w:pPr>
      <w:r w:rsidDel="00000000" w:rsidR="00000000" w:rsidRPr="00000000">
        <w:rPr>
          <w:rFonts w:ascii="Calibri" w:cs="Calibri" w:eastAsia="Calibri" w:hAnsi="Calibri"/>
          <w:color w:val="20272e"/>
          <w:sz w:val="20"/>
          <w:szCs w:val="20"/>
          <w:rtl w:val="0"/>
        </w:rPr>
        <w:t xml:space="preserve">•  Aucune présentation d'une convention ministérielle comme un aval réglementaire.</w:t>
      </w:r>
      <w:r w:rsidDel="00000000" w:rsidR="00000000" w:rsidRPr="00000000">
        <w:rPr>
          <w:rtl w:val="0"/>
        </w:rPr>
      </w:r>
    </w:p>
    <w:p w:rsidR="00000000" w:rsidDel="00000000" w:rsidP="00000000" w:rsidRDefault="00000000" w:rsidRPr="00000000" w14:paraId="000000CD">
      <w:pPr>
        <w:pBdr>
          <w:left w:color="1f6f6b" w:space="10" w:sz="18" w:val="single"/>
        </w:pBdr>
        <w:shd w:fill="f1f6f5" w:val="clear"/>
        <w:spacing w:after="145" w:before="125" w:line="288" w:lineRule="auto"/>
        <w:ind w:left="190" w:right="190" w:firstLine="0"/>
        <w:rPr/>
      </w:pPr>
      <w:r w:rsidDel="00000000" w:rsidR="00000000" w:rsidRPr="00000000">
        <w:rPr>
          <w:rFonts w:ascii="Calibri" w:cs="Calibri" w:eastAsia="Calibri" w:hAnsi="Calibri"/>
          <w:b w:val="1"/>
          <w:bCs w:val="1"/>
          <w:color w:val="17322f"/>
          <w:sz w:val="20"/>
          <w:szCs w:val="20"/>
          <w:rtl w:val="0"/>
        </w:rPr>
        <w:t xml:space="preserve">Ces limites sont la raison pour laquelle la stratégie fonctionne. Un programme qui les inclurait vaudrait moins pour Tether, et non davantage, car tout le reste serait alors lu comme acheté.</w:t>
      </w:r>
      <w:r w:rsidDel="00000000" w:rsidR="00000000" w:rsidRPr="00000000">
        <w:rPr>
          <w:rtl w:val="0"/>
        </w:rPr>
      </w:r>
    </w:p>
    <w:p w:rsidR="00000000" w:rsidDel="00000000" w:rsidP="00000000" w:rsidRDefault="00000000" w:rsidRPr="00000000" w14:paraId="000000CE">
      <w:pPr>
        <w:pBdr>
          <w:bottom w:color="13304a" w:space="6" w:sz="8" w:val="single"/>
        </w:pBdr>
        <w:spacing w:after="135" w:before="300" w:lineRule="auto"/>
        <w:rPr/>
      </w:pPr>
      <w:r w:rsidDel="00000000" w:rsidR="00000000" w:rsidRPr="00000000">
        <w:rPr>
          <w:rFonts w:ascii="Calibri" w:cs="Calibri" w:eastAsia="Calibri" w:hAnsi="Calibri"/>
          <w:b w:val="1"/>
          <w:bCs w:val="1"/>
          <w:color w:val="13304a"/>
          <w:sz w:val="24"/>
          <w:szCs w:val="24"/>
          <w:rtl w:val="0"/>
        </w:rPr>
        <w:t xml:space="preserve">10. Risques</w:t>
      </w:r>
      <w:r w:rsidDel="00000000" w:rsidR="00000000" w:rsidRPr="00000000">
        <w:rPr>
          <w:rtl w:val="0"/>
        </w:rPr>
      </w:r>
    </w:p>
    <w:tbl>
      <w:tblPr>
        <w:tblStyle w:val="Table7"/>
        <w:tblW w:w="9600.0" w:type="dxa"/>
        <w:jc w:val="left"/>
        <w:tblBorders>
          <w:top w:color="c9d2da" w:space="0" w:sz="4" w:val="single"/>
          <w:left w:color="c9d2da" w:space="0" w:sz="4" w:val="single"/>
          <w:bottom w:color="c9d2da" w:space="0" w:sz="4" w:val="single"/>
          <w:right w:color="c9d2da" w:space="0" w:sz="4" w:val="single"/>
          <w:insideH w:color="c9d2da" w:space="0" w:sz="4" w:val="single"/>
          <w:insideV w:color="c9d2da" w:space="0" w:sz="4" w:val="single"/>
        </w:tblBorders>
        <w:tblLayout w:type="fixed"/>
        <w:tblLook w:val="0000"/>
      </w:tblPr>
      <w:tblGrid>
        <w:gridCol w:w="2700"/>
        <w:gridCol w:w="3200"/>
        <w:gridCol w:w="3700"/>
        <w:tblGridChange w:id="0">
          <w:tblGrid>
            <w:gridCol w:w="2700"/>
            <w:gridCol w:w="3200"/>
            <w:gridCol w:w="3700"/>
          </w:tblGrid>
        </w:tblGridChange>
      </w:tblGrid>
      <w:tr>
        <w:trPr>
          <w:cantSplit w:val="0"/>
          <w:tblHeader w:val="1"/>
        </w:trPr>
        <w:tc>
          <w:tcPr>
            <w:shd w:fill="13304a" w:val="clear"/>
            <w:tcMar>
              <w:top w:w="74.0" w:type="dxa"/>
              <w:left w:w="100.0" w:type="dxa"/>
              <w:bottom w:w="74.0" w:type="dxa"/>
              <w:right w:w="100.0" w:type="dxa"/>
            </w:tcMar>
          </w:tcPr>
          <w:p w:rsidR="00000000" w:rsidDel="00000000" w:rsidP="00000000" w:rsidRDefault="00000000" w:rsidRPr="00000000" w14:paraId="000000CF">
            <w:pPr>
              <w:spacing w:after="20" w:line="260" w:lineRule="auto"/>
              <w:rPr/>
            </w:pPr>
            <w:r w:rsidDel="00000000" w:rsidR="00000000" w:rsidRPr="00000000">
              <w:rPr>
                <w:rFonts w:ascii="Calibri" w:cs="Calibri" w:eastAsia="Calibri" w:hAnsi="Calibri"/>
                <w:b w:val="1"/>
                <w:bCs w:val="1"/>
                <w:color w:val="ffffff"/>
                <w:sz w:val="17"/>
                <w:szCs w:val="17"/>
                <w:rtl w:val="0"/>
              </w:rPr>
              <w:t xml:space="preserve">Risque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D0">
            <w:pPr>
              <w:spacing w:after="20" w:line="260" w:lineRule="auto"/>
              <w:rPr/>
            </w:pPr>
            <w:r w:rsidDel="00000000" w:rsidR="00000000" w:rsidRPr="00000000">
              <w:rPr>
                <w:rFonts w:ascii="Calibri" w:cs="Calibri" w:eastAsia="Calibri" w:hAnsi="Calibri"/>
                <w:b w:val="1"/>
                <w:bCs w:val="1"/>
                <w:color w:val="ffffff"/>
                <w:sz w:val="17"/>
                <w:szCs w:val="17"/>
                <w:rtl w:val="0"/>
              </w:rPr>
              <w:t xml:space="preserve">Origine</w:t>
            </w:r>
            <w:r w:rsidDel="00000000" w:rsidR="00000000" w:rsidRPr="00000000">
              <w:rPr>
                <w:rtl w:val="0"/>
              </w:rPr>
            </w:r>
          </w:p>
        </w:tc>
        <w:tc>
          <w:tcPr>
            <w:shd w:fill="13304a" w:val="clear"/>
            <w:tcMar>
              <w:top w:w="74.0" w:type="dxa"/>
              <w:left w:w="100.0" w:type="dxa"/>
              <w:bottom w:w="74.0" w:type="dxa"/>
              <w:right w:w="100.0" w:type="dxa"/>
            </w:tcMar>
          </w:tcPr>
          <w:p w:rsidR="00000000" w:rsidDel="00000000" w:rsidP="00000000" w:rsidRDefault="00000000" w:rsidRPr="00000000" w14:paraId="000000D1">
            <w:pPr>
              <w:spacing w:after="20" w:line="260" w:lineRule="auto"/>
              <w:rPr/>
            </w:pPr>
            <w:r w:rsidDel="00000000" w:rsidR="00000000" w:rsidRPr="00000000">
              <w:rPr>
                <w:rFonts w:ascii="Calibri" w:cs="Calibri" w:eastAsia="Calibri" w:hAnsi="Calibri"/>
                <w:b w:val="1"/>
                <w:bCs w:val="1"/>
                <w:color w:val="ffffff"/>
                <w:sz w:val="17"/>
                <w:szCs w:val="17"/>
                <w:rtl w:val="0"/>
              </w:rPr>
              <w:t xml:space="preserve">Traitement</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D2">
            <w:pPr>
              <w:spacing w:after="20" w:line="260" w:lineRule="auto"/>
              <w:rPr/>
            </w:pPr>
            <w:r w:rsidDel="00000000" w:rsidR="00000000" w:rsidRPr="00000000">
              <w:rPr>
                <w:rFonts w:ascii="Calibri" w:cs="Calibri" w:eastAsia="Calibri" w:hAnsi="Calibri"/>
                <w:b w:val="1"/>
                <w:bCs w:val="1"/>
                <w:color w:val="20272e"/>
                <w:sz w:val="17"/>
                <w:szCs w:val="17"/>
                <w:rtl w:val="0"/>
              </w:rPr>
              <w:t xml:space="preserve">Lecture en opération d'influence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3">
            <w:pPr>
              <w:spacing w:after="20" w:line="260" w:lineRule="auto"/>
              <w:rPr/>
            </w:pPr>
            <w:r w:rsidDel="00000000" w:rsidR="00000000" w:rsidRPr="00000000">
              <w:rPr>
                <w:rFonts w:ascii="Calibri" w:cs="Calibri" w:eastAsia="Calibri" w:hAnsi="Calibri"/>
                <w:b w:val="0"/>
                <w:bCs w:val="0"/>
                <w:color w:val="20272e"/>
                <w:sz w:val="17"/>
                <w:szCs w:val="17"/>
                <w:rtl w:val="0"/>
              </w:rPr>
              <w:t xml:space="preserve">Capital, association et conventions arrivant ensemble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4">
            <w:pPr>
              <w:spacing w:after="20" w:line="260" w:lineRule="auto"/>
              <w:rPr/>
            </w:pPr>
            <w:r w:rsidDel="00000000" w:rsidR="00000000" w:rsidRPr="00000000">
              <w:rPr>
                <w:rFonts w:ascii="Calibri" w:cs="Calibri" w:eastAsia="Calibri" w:hAnsi="Calibri"/>
                <w:b w:val="0"/>
                <w:bCs w:val="0"/>
                <w:color w:val="20272e"/>
                <w:sz w:val="17"/>
                <w:szCs w:val="17"/>
                <w:rtl w:val="0"/>
              </w:rPr>
              <w:t xml:space="preserve">Posture monétaire d'abord et publiquement ; gouvernance publiée avant les annonces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D5">
            <w:pPr>
              <w:spacing w:after="20" w:line="260" w:lineRule="auto"/>
              <w:rPr/>
            </w:pPr>
            <w:r w:rsidDel="00000000" w:rsidR="00000000" w:rsidRPr="00000000">
              <w:rPr>
                <w:rFonts w:ascii="Calibri" w:cs="Calibri" w:eastAsia="Calibri" w:hAnsi="Calibri"/>
                <w:b w:val="1"/>
                <w:bCs w:val="1"/>
                <w:color w:val="20272e"/>
                <w:sz w:val="17"/>
                <w:szCs w:val="17"/>
                <w:rtl w:val="0"/>
              </w:rPr>
              <w:t xml:space="preserve">Durcissement de l'objection souveraine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6">
            <w:pPr>
              <w:spacing w:after="20" w:line="260" w:lineRule="auto"/>
              <w:rPr/>
            </w:pPr>
            <w:r w:rsidDel="00000000" w:rsidR="00000000" w:rsidRPr="00000000">
              <w:rPr>
                <w:rFonts w:ascii="Calibri" w:cs="Calibri" w:eastAsia="Calibri" w:hAnsi="Calibri"/>
                <w:b w:val="0"/>
                <w:bCs w:val="0"/>
                <w:color w:val="20272e"/>
                <w:sz w:val="17"/>
                <w:szCs w:val="17"/>
                <w:rtl w:val="0"/>
              </w:rPr>
              <w:t xml:space="preserve">Toute allusion à une substitution monétaire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7">
            <w:pPr>
              <w:spacing w:after="20" w:line="260" w:lineRule="auto"/>
              <w:rPr/>
            </w:pPr>
            <w:r w:rsidDel="00000000" w:rsidR="00000000" w:rsidRPr="00000000">
              <w:rPr>
                <w:rFonts w:ascii="Calibri" w:cs="Calibri" w:eastAsia="Calibri" w:hAnsi="Calibri"/>
                <w:b w:val="0"/>
                <w:bCs w:val="0"/>
                <w:color w:val="20272e"/>
                <w:sz w:val="17"/>
                <w:szCs w:val="17"/>
                <w:rtl w:val="0"/>
              </w:rPr>
              <w:t xml:space="preserve">Exclusion explicite en section 3 ; discipline de vocabulaire dans tous les supports</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D8">
            <w:pPr>
              <w:spacing w:after="20" w:line="260" w:lineRule="auto"/>
              <w:rPr/>
            </w:pPr>
            <w:r w:rsidDel="00000000" w:rsidR="00000000" w:rsidRPr="00000000">
              <w:rPr>
                <w:rFonts w:ascii="Calibri" w:cs="Calibri" w:eastAsia="Calibri" w:hAnsi="Calibri"/>
                <w:b w:val="1"/>
                <w:bCs w:val="1"/>
                <w:color w:val="20272e"/>
                <w:sz w:val="17"/>
                <w:szCs w:val="17"/>
                <w:rtl w:val="0"/>
              </w:rPr>
              <w:t xml:space="preserve">Engagement en capital perçu comme achat de position</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9">
            <w:pPr>
              <w:spacing w:after="20" w:line="260" w:lineRule="auto"/>
              <w:rPr/>
            </w:pPr>
            <w:r w:rsidDel="00000000" w:rsidR="00000000" w:rsidRPr="00000000">
              <w:rPr>
                <w:rFonts w:ascii="Calibri" w:cs="Calibri" w:eastAsia="Calibri" w:hAnsi="Calibri"/>
                <w:b w:val="0"/>
                <w:bCs w:val="0"/>
                <w:color w:val="20272e"/>
                <w:sz w:val="17"/>
                <w:szCs w:val="17"/>
                <w:rtl w:val="0"/>
              </w:rPr>
              <w:t xml:space="preserve">Annonce à l'intérieur d'un événement où siègent les régulateurs</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A">
            <w:pPr>
              <w:spacing w:after="20" w:line="260" w:lineRule="auto"/>
              <w:rPr/>
            </w:pPr>
            <w:r w:rsidDel="00000000" w:rsidR="00000000" w:rsidRPr="00000000">
              <w:rPr>
                <w:rFonts w:ascii="Calibri" w:cs="Calibri" w:eastAsia="Calibri" w:hAnsi="Calibri"/>
                <w:b w:val="0"/>
                <w:bCs w:val="0"/>
                <w:color w:val="20272e"/>
                <w:sz w:val="17"/>
                <w:szCs w:val="17"/>
                <w:rtl w:val="0"/>
              </w:rPr>
              <w:t xml:space="preserve">Sélection indépendante par Ennovation Factory ; IAFN exclu de l'allocation ; résidence tenue hors du séminaire</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DB">
            <w:pPr>
              <w:spacing w:after="20" w:line="260" w:lineRule="auto"/>
              <w:rPr/>
            </w:pPr>
            <w:r w:rsidDel="00000000" w:rsidR="00000000" w:rsidRPr="00000000">
              <w:rPr>
                <w:rFonts w:ascii="Calibri" w:cs="Calibri" w:eastAsia="Calibri" w:hAnsi="Calibri"/>
                <w:b w:val="1"/>
                <w:bCs w:val="1"/>
                <w:color w:val="20272e"/>
                <w:sz w:val="17"/>
                <w:szCs w:val="17"/>
                <w:rtl w:val="0"/>
              </w:rPr>
              <w:t xml:space="preserve">VAACA lue comme une vitrine de l'industrie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C">
            <w:pPr>
              <w:spacing w:after="20" w:line="260" w:lineRule="auto"/>
              <w:rPr/>
            </w:pPr>
            <w:r w:rsidDel="00000000" w:rsidR="00000000" w:rsidRPr="00000000">
              <w:rPr>
                <w:rFonts w:ascii="Calibri" w:cs="Calibri" w:eastAsia="Calibri" w:hAnsi="Calibri"/>
                <w:b w:val="0"/>
                <w:bCs w:val="0"/>
                <w:color w:val="20272e"/>
                <w:sz w:val="17"/>
                <w:szCs w:val="17"/>
                <w:rtl w:val="0"/>
              </w:rPr>
              <w:t xml:space="preserve">Association s'adressant aux superviseurs sur un secteur dont elle relève</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D">
            <w:pPr>
              <w:spacing w:after="20" w:line="260" w:lineRule="auto"/>
              <w:rPr/>
            </w:pPr>
            <w:r w:rsidDel="00000000" w:rsidR="00000000" w:rsidRPr="00000000">
              <w:rPr>
                <w:rFonts w:ascii="Calibri" w:cs="Calibri" w:eastAsia="Calibri" w:hAnsi="Calibri"/>
                <w:b w:val="0"/>
                <w:bCs w:val="0"/>
                <w:color w:val="20272e"/>
                <w:sz w:val="17"/>
                <w:szCs w:val="17"/>
                <w:rtl w:val="0"/>
              </w:rPr>
              <w:t xml:space="preserve">Tether est partenaire technique, non fondateur ni membre. Financements publiés, séparation des rôles, base de preuves détenue par l'institut.</w:t>
            </w:r>
            <w:r w:rsidDel="00000000" w:rsidR="00000000" w:rsidRPr="00000000">
              <w:rPr>
                <w:rtl w:val="0"/>
              </w:rPr>
            </w:r>
          </w:p>
        </w:tc>
      </w:tr>
      <w:tr>
        <w:trPr>
          <w:cantSplit w:val="0"/>
          <w:tblHeader w:val="0"/>
        </w:trPr>
        <w:tc>
          <w:tcPr>
            <w:shd w:fill="f2f5f8" w:val="clear"/>
            <w:tcMar>
              <w:top w:w="74.0" w:type="dxa"/>
              <w:left w:w="100.0" w:type="dxa"/>
              <w:bottom w:w="74.0" w:type="dxa"/>
              <w:right w:w="100.0" w:type="dxa"/>
            </w:tcMar>
          </w:tcPr>
          <w:p w:rsidR="00000000" w:rsidDel="00000000" w:rsidP="00000000" w:rsidRDefault="00000000" w:rsidRPr="00000000" w14:paraId="000000DE">
            <w:pPr>
              <w:spacing w:after="20" w:line="260" w:lineRule="auto"/>
              <w:rPr/>
            </w:pPr>
            <w:r w:rsidDel="00000000" w:rsidR="00000000" w:rsidRPr="00000000">
              <w:rPr>
                <w:rFonts w:ascii="Calibri" w:cs="Calibri" w:eastAsia="Calibri" w:hAnsi="Calibri"/>
                <w:b w:val="1"/>
                <w:bCs w:val="1"/>
                <w:color w:val="20272e"/>
                <w:sz w:val="17"/>
                <w:szCs w:val="17"/>
                <w:rtl w:val="0"/>
              </w:rPr>
              <w:t xml:space="preserve">Convention lue comme un aval</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DF">
            <w:pPr>
              <w:spacing w:after="20" w:line="260" w:lineRule="auto"/>
              <w:rPr/>
            </w:pPr>
            <w:r w:rsidDel="00000000" w:rsidR="00000000" w:rsidRPr="00000000">
              <w:rPr>
                <w:rFonts w:ascii="Calibri" w:cs="Calibri" w:eastAsia="Calibri" w:hAnsi="Calibri"/>
                <w:b w:val="0"/>
                <w:bCs w:val="0"/>
                <w:color w:val="20272e"/>
                <w:sz w:val="17"/>
                <w:szCs w:val="17"/>
                <w:rtl w:val="0"/>
              </w:rPr>
              <w:t xml:space="preserve">Logo ministériel aux côtés d'un émetteur privé</w:t>
            </w:r>
            <w:r w:rsidDel="00000000" w:rsidR="00000000" w:rsidRPr="00000000">
              <w:rPr>
                <w:rtl w:val="0"/>
              </w:rPr>
            </w:r>
          </w:p>
        </w:tc>
        <w:tc>
          <w:tcPr>
            <w:tcMar>
              <w:top w:w="74.0" w:type="dxa"/>
              <w:left w:w="100.0" w:type="dxa"/>
              <w:bottom w:w="74.0" w:type="dxa"/>
              <w:right w:w="100.0" w:type="dxa"/>
            </w:tcMar>
          </w:tcPr>
          <w:p w:rsidR="00000000" w:rsidDel="00000000" w:rsidP="00000000" w:rsidRDefault="00000000" w:rsidRPr="00000000" w14:paraId="000000E0">
            <w:pPr>
              <w:spacing w:after="20" w:line="260" w:lineRule="auto"/>
              <w:rPr/>
            </w:pPr>
            <w:r w:rsidDel="00000000" w:rsidR="00000000" w:rsidRPr="00000000">
              <w:rPr>
                <w:rFonts w:ascii="Calibri" w:cs="Calibri" w:eastAsia="Calibri" w:hAnsi="Calibri"/>
                <w:b w:val="0"/>
                <w:bCs w:val="0"/>
                <w:color w:val="20272e"/>
                <w:sz w:val="17"/>
                <w:szCs w:val="17"/>
                <w:rtl w:val="0"/>
              </w:rPr>
              <w:t xml:space="preserve">Clause de non-aval dans le texte de chaque convention</w:t>
            </w:r>
            <w:r w:rsidDel="00000000" w:rsidR="00000000" w:rsidRPr="00000000">
              <w:rPr>
                <w:rtl w:val="0"/>
              </w:rPr>
            </w:r>
          </w:p>
        </w:tc>
      </w:tr>
    </w:tbl>
    <w:p w:rsidR="00000000" w:rsidDel="00000000" w:rsidP="00000000" w:rsidRDefault="00000000" w:rsidRPr="00000000" w14:paraId="000000E1">
      <w:pPr>
        <w:pBdr>
          <w:top w:color="c9d2da" w:space="8" w:sz="4" w:val="single"/>
        </w:pBdr>
        <w:spacing w:before="280" w:lineRule="auto"/>
        <w:rPr/>
      </w:pPr>
      <w:r w:rsidDel="00000000" w:rsidR="00000000" w:rsidRPr="00000000">
        <w:rPr>
          <w:rFonts w:ascii="Calibri" w:cs="Calibri" w:eastAsia="Calibri" w:hAnsi="Calibri"/>
          <w:i w:val="1"/>
          <w:iCs w:val="1"/>
          <w:color w:val="5a6672"/>
          <w:sz w:val="17"/>
          <w:szCs w:val="17"/>
          <w:rtl w:val="0"/>
        </w:rPr>
        <w:t xml:space="preserve">Note de concept — septembre 2026. Établie pour discussion. Les références réglementaires proviennent de sources publiques et doivent être vérifiées sur les textes en vigueur avant tout usage officiel. Cette note ne constitue ni un avis juridique, ni une représentation au nom d'une quelconque autorité.</w:t>
      </w:r>
      <w:r w:rsidDel="00000000" w:rsidR="00000000" w:rsidRPr="00000000">
        <w:rPr>
          <w:rtl w:val="0"/>
        </w:rPr>
      </w:r>
    </w:p>
    <w:sectPr>
      <w:headerReference r:id="rId8" w:type="default"/>
      <w:footerReference r:id="rId9" w:type="default"/>
      <w:pgSz w:h="16838" w:w="11906" w:orient="portrait"/>
      <w:pgMar w:bottom="1000" w:top="110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rFonts w:ascii="Calibri" w:cs="Calibri" w:eastAsia="Calibri" w:hAnsi="Calibri"/>
        <w:color w:val="5a6672"/>
        <w:sz w:val="16"/>
        <w:szCs w:val="16"/>
        <w:rtl w:val="0"/>
      </w:rPr>
      <w:t xml:space="preserve">Note de concept — entrée en Afrique centrale · septembre 2026 · page </w:t>
    </w:r>
    <w:r w:rsidDel="00000000" w:rsidR="00000000" w:rsidRPr="00000000">
      <w:rPr>
        <w:rFonts w:ascii="Calibri" w:cs="Calibri" w:eastAsia="Calibri" w:hAnsi="Calibri"/>
        <w:color w:val="5a6672"/>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rFonts w:ascii="Calibri" w:cs="Calibri" w:eastAsia="Calibri" w:hAnsi="Calibri"/>
        <w:b w:val="1"/>
        <w:bCs w:val="1"/>
        <w:color w:val="5a6672"/>
        <w:sz w:val="16"/>
        <w:szCs w:val="16"/>
        <w:rtl w:val="0"/>
      </w:rPr>
      <w:t xml:space="preserve">CONFIDENTIEL — PRÉPARÉ POUR TETHER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