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jc w:val="center"/>
        <w:rPr>
          <w:rFonts w:ascii="Sagona Book" w:hAnsi="Sagona Book"/>
          <w:b/>
          <w:bCs/>
          <w:sz w:val="40"/>
          <w:szCs w:val="40"/>
        </w:rPr>
      </w:pPr>
      <w:r>
        <w:rPr>
          <w:noProof/>
        </w:rPr>
        <w:drawing>
          <wp:anchor distT="0" distB="0" distL="114300" distR="114300" simplePos="0" relativeHeight="251658241" behindDoc="0" locked="0" layoutInCell="1" allowOverlap="1">
            <wp:simplePos x="0" y="0"/>
            <wp:positionH relativeFrom="column">
              <wp:posOffset>1756576</wp:posOffset>
            </wp:positionH>
            <wp:positionV relativeFrom="paragraph">
              <wp:posOffset>741680</wp:posOffset>
            </wp:positionV>
            <wp:extent cx="3960000" cy="109568"/>
            <wp:effectExtent l="0" t="38100" r="40640" b="24130"/>
            <wp:wrapNone/>
            <wp:docPr id="1" name="Group 1" descr=""/>
            <wp:cNvGraphicFramePr/>
            <a:graphic>
              <a:graphicData uri="http://schemas.microsoft.com/office/word/2010/wordprocessingGroup">
                <wpg:wgp>
                  <wpg:cNvGrpSpPr/>
                  <wpg:grpSpPr>
                    <a:xfrm>
                      <a:off x="0" y="0"/>
                      <a:ext cx="3960000" cy="109568"/>
                      <a:chOff x="0" y="0"/>
                      <a:chExt cx="3600000" cy="109568"/>
                    </a:xfrm>
                  </wpg:grpSpPr>
                  <wps:wsp>
                    <wps:cNvPr id="2" name="Shape 2" descr=""/>
                    <wps:cNvSpPr/>
                    <wps:spPr>
                      <a:xfrm>
                        <a:off x="0" y="0"/>
                        <a:ext cx="3600000" cy="0"/>
                      </a:xfrm>
                      <a:prstGeom prst="line">
                        <a:avLst/>
                      </a:prstGeom>
                      <a:noFill/>
                      <a:ln w="76200">
                        <a:solidFill>
                          <a:srgbClr val="B00549"/>
                        </a:solidFill>
                      </a:ln>
                    </wps:spPr>
                    <wps:bodyPr/>
                  </wps:wsp>
                  <wps:wsp>
                    <wps:cNvPr id="3" name="Shape 3" descr=""/>
                    <wps:cNvSpPr/>
                    <wps:spPr>
                      <a:xfrm flipV="1">
                        <a:off x="0" y="109568"/>
                        <a:ext cx="3600000" cy="0"/>
                      </a:xfrm>
                      <a:prstGeom prst="line">
                        <a:avLst/>
                      </a:prstGeom>
                      <a:noFill/>
                      <a:ln w="19050">
                        <a:solidFill>
                          <a:srgbClr val="B00549"/>
                        </a:solidFill>
                      </a:ln>
                    </wps:spPr>
                    <wps:bodyPr/>
                  </wps:wsp>
                </wpg:wgp>
              </a:graphicData>
            </a:graphic>
          </wp:anchor>
        </w:drawing>
      </w:r>
      <w:r>
        <w:rPr>
          <w:rFonts w:ascii="Sagona Book" w:hAnsi="Sagona Book"/>
          <w:b/>
          <w:bCs/>
          <w:noProof/>
          <w:sz w:val="40"/>
          <w:szCs w:val="40"/>
        </w:rPr>
        <w:drawing>
          <wp:anchor distT="0" distB="0" distL="114300" distR="114300" simplePos="0" relativeHeight="251658242" behindDoc="0" locked="0" layoutInCell="1" allowOverlap="1">
            <wp:simplePos x="0" y="0"/>
            <wp:positionH relativeFrom="margin">
              <wp:posOffset>-360680</wp:posOffset>
            </wp:positionH>
            <wp:positionV relativeFrom="margin">
              <wp:posOffset>-375920</wp:posOffset>
            </wp:positionV>
            <wp:extent cx="1799590" cy="1799590"/>
            <wp:effectExtent l="0" t="0" r="0" b="0"/>
            <wp:wrapThrough wrapText="bothSides">
              <wp:wrapPolygon edited="0">
                <wp:start x="0" y="0"/>
                <wp:lineTo x="0" y="21265"/>
                <wp:lineTo x="21265" y="21265"/>
                <wp:lineTo x="21265" y="0"/>
                <wp:lineTo x="0" y="0"/>
              </wp:wrapPolygon>
            </wp:wrapThrough>
            <wp:docPr id="4" name="Picture 4" descr="Logotipo, nombre de la empresa&#10;&#10;El contenido generado por IA puede ser incorrecto."/>
            <wp:cNvGraphicFramePr/>
            <a:graphic>
              <a:graphicData uri="http://schemas.openxmlformats.org/drawingml/2006/picture">
                <pic:pic>
                  <pic:nvPicPr>
                    <pic:cNvPr id="0" name="image1.jpeg" descr="Logotipo, nombre de la empresa&#10;&#10;El contenido generado por IA puede ser incorrecto."/>
                    <pic:cNvPicPr>
                      <a:picLocks noChangeAspect="1" noChangeArrowheads="1"/>
                    </pic:cNvPicPr>
                  </pic:nvPicPr>
                  <pic:blipFill>
                    <a:blip r:embed="rId1"/>
                    <a:stretch>
                      <a:fillRect/>
                    </a:stretch>
                  </pic:blipFill>
                  <pic:spPr bwMode="auto">
                    <a:xfrm>
                      <a:off x="0" y="0"/>
                      <a:ext cx="1799590" cy="1799590"/>
                    </a:xfrm>
                    <a:prstGeom prst="rect">
                      <a:avLst/>
                    </a:prstGeom>
                  </pic:spPr>
                </pic:pic>
              </a:graphicData>
            </a:graphic>
          </wp:anchor>
        </w:drawing>
      </w:r>
      <w:r>
        <w:rPr>
          <w:rFonts w:ascii="Sagona Book" w:hAnsi="Sagona Book"/>
          <w:b/>
          <w:bCs/>
          <w:sz w:val="40"/>
          <w:szCs w:val="40"/>
        </w:rPr>
        <w:t xml:space="preserve">INSTITUTO TECNOLOGICO SUPERIOR PROGRESO</w:t>
      </w:r>
    </w:p>
    <w:p>
      <w:pPr>
        <w:spacing w:before="0" w:after="0"/>
      </w:pPr>
      <w:r>
        <w:br w:type="page"/>
      </w:r>
    </w:p>
    <w:p>
      <w:pPr>
        <w:spacing w:before="0" w:after="0"/>
      </w:pPr>
      <w:r>
        <w:br w:type="page"/>
      </w:r>
    </w:p>
    <w:p>
      <w:pPr>
        <w:pStyle w:val="Ttulo1"/>
        <w:keepNext/>
        <w:spacing w:before="360" w:after="160"/>
      </w:pPr>
      <w:r>
        <w:rPr>
          <w:rFonts w:ascii="Calibri" w:hAnsi="Calibri"/>
          <w:b/>
          <w:color w:val="0F4761"/>
          <w:sz w:val="34"/>
        </w:rPr>
        <w:t xml:space="preserve">1. Introducción y Marco Metodológico de la Inteligencia de Fuentes Abiertas (OSINT)</w:t>
      </w:r>
    </w:p>
    <w:p>
      <w:pPr>
        <w:spacing w:after="100" w:line="276" w:lineRule="auto"/>
      </w:pPr>
      <w:r>
        <w:rPr>
          <w:rFonts w:ascii="Calibri" w:hAnsi="Calibri"/>
          <w:color w:val="222222"/>
          <w:sz w:val="21"/>
        </w:rPr>
        <w:t xml:space="preserve">En el marco de una prueba de penetración profesional bajo el estándar PTES (Penetration Testing Execution Standard), la fase de Reconocimiento Pasivo (OSINT - Open Source Intelligence) representa la etapa crítica de recolección de activos, identificación de superficies de ataque y mapeo de vectores de entrada sin emitir paquetes intrusivos directos hacia el objetivo. Este enfoque permite al auditor de ciberseguridad actuar con absoluto sigilo frente a WAFs, IDS y consolas SIEM.</w:t>
      </w:r>
    </w:p>
    <w:p>
      <w:pPr>
        <w:spacing w:after="100" w:line="276" w:lineRule="auto"/>
      </w:pPr>
      <w:r>
        <w:rPr>
          <w:rFonts w:ascii="Calibri" w:hAnsi="Calibri"/>
          <w:color w:val="222222"/>
          <w:sz w:val="21"/>
        </w:rPr>
        <w:t xml:space="preserve">La presente práctica de laboratorio evalúa de forma metódica la infraestructura digital del Instituto Tecnológico Superior Progreso (dominio institucional progreso.tecnm.mx y subdominios asociados del TecNM), aplicando operadores avanzados de búsqueda (Google Dorks), inspección histórica de repositorios (Wayback Machine), análisis criptográfico de certificados SSL y la suite de recolección automatizada SpiderFoot 4.0.0.</w:t>
      </w:r>
    </w:p>
    <w:p>
      <w:pPr>
        <w:pStyle w:val="Ttulo2"/>
        <w:keepNext/>
        <w:spacing w:before="280" w:after="120"/>
      </w:pPr>
      <w:r>
        <w:rPr>
          <w:rFonts w:ascii="Calibri" w:hAnsi="Calibri"/>
          <w:b/>
          <w:color w:val="0F4761"/>
          <w:sz w:val="26"/>
        </w:rPr>
        <w:t xml:space="preserve">1.1. Mapeo contra Estándares Internacionales (MITRE ATT&amp;CK &amp; OWASP WSTG)</w:t>
      </w:r>
    </w:p>
    <w:p>
      <w:pPr>
        <w:spacing w:after="100" w:line="276" w:lineRule="auto"/>
      </w:pPr>
      <w:r>
        <w:rPr>
          <w:rFonts w:ascii="Calibri" w:hAnsi="Calibri"/>
          <w:color w:val="222222"/>
          <w:sz w:val="21"/>
        </w:rPr>
        <w:t xml:space="preserve">Para garantizar auditabilidad y rigor pericial, cada una de las actividades prácticas ejecutadas se vincula directamente con las taxonomías de ciberseguridad ofensiva y defensiva reconocidas por la industria:</w:t>
      </w:r>
    </w:p>
    <w:tbl>
      <w:tblPr>
        <w:tblW w:w="0" w:type="auto"/>
        <w:jc w:val="center"/>
        <w:tblLayout w:type="fixed"/>
        <w:tblLook w:val="04A0" w:firstRow="1" w:lastRow="0" w:firstColumn="1" w:lastColumn="0" w:noHBand="0" w:noVBand="1"/>
      </w:tblPr>
      <w:tblGrid>
        <w:gridCol w:w="2340"/>
        <w:gridCol w:w="2340"/>
        <w:gridCol w:w="2340"/>
        <w:gridCol w:w="2340"/>
      </w:tblGrid>
      <w:tr>
        <w:tc>
          <w:tcPr>
            <w:tcW w:w="1728" w:type="dxa"/>
            <w:shd w:val="clear" w:color="auto" w:fill="0F4761"/>
          </w:tcPr>
          <w:p>
            <w:r>
              <w:rPr>
                <w:rFonts w:ascii="Calibri" w:hAnsi="Calibri"/>
                <w:b/>
                <w:color w:val="FFFFFF"/>
                <w:sz w:val="19"/>
              </w:rPr>
              <w:t xml:space="preserve">Framework</w:t>
            </w:r>
          </w:p>
        </w:tc>
        <w:tc>
          <w:tcPr>
            <w:tcW w:w="2592" w:type="dxa"/>
            <w:shd w:val="clear" w:color="auto" w:fill="0F4761"/>
          </w:tcPr>
          <w:p>
            <w:r>
              <w:rPr>
                <w:rFonts w:ascii="Calibri" w:hAnsi="Calibri"/>
                <w:b/>
                <w:color w:val="FFFFFF"/>
                <w:sz w:val="19"/>
              </w:rPr>
              <w:t xml:space="preserve">Identificador</w:t>
            </w:r>
          </w:p>
        </w:tc>
        <w:tc>
          <w:tcPr>
            <w:tcW w:w="2160" w:type="dxa"/>
            <w:shd w:val="clear" w:color="auto" w:fill="0F4761"/>
          </w:tcPr>
          <w:p>
            <w:r>
              <w:rPr>
                <w:rFonts w:ascii="Calibri" w:hAnsi="Calibri"/>
                <w:b/>
                <w:color w:val="FFFFFF"/>
                <w:sz w:val="19"/>
              </w:rPr>
              <w:t xml:space="preserve">Nombre de la Técnica</w:t>
            </w:r>
          </w:p>
        </w:tc>
        <w:tc>
          <w:tcPr>
            <w:tcW w:w="3312" w:type="dxa"/>
            <w:shd w:val="clear" w:color="auto" w:fill="0F4761"/>
          </w:tcPr>
          <w:p>
            <w:r>
              <w:rPr>
                <w:rFonts w:ascii="Calibri" w:hAnsi="Calibri"/>
                <w:b/>
                <w:color w:val="FFFFFF"/>
                <w:sz w:val="19"/>
              </w:rPr>
              <w:t xml:space="preserve">Alcance en el Laboratorio</w:t>
            </w:r>
          </w:p>
        </w:tc>
      </w:tr>
      <w:tr>
        <w:tc>
          <w:tcPr>
            <w:tcW w:w="1728" w:type="dxa"/>
          </w:tcPr>
          <w:p>
            <w:pPr>
              <w:spacing w:line="264" w:lineRule="auto"/>
            </w:pPr>
            <w:r>
              <w:rPr>
                <w:rFonts w:ascii="Calibri" w:hAnsi="Calibri"/>
                <w:sz w:val="17"/>
              </w:rPr>
              <w:t xml:space="preserve">MITRE ATT&amp;CK</w:t>
            </w:r>
          </w:p>
        </w:tc>
        <w:tc>
          <w:tcPr>
            <w:tcW w:w="2592" w:type="dxa"/>
          </w:tcPr>
          <w:p>
            <w:pPr>
              <w:spacing w:line="264" w:lineRule="auto"/>
            </w:pPr>
            <w:r>
              <w:rPr>
                <w:rFonts w:ascii="Calibri" w:hAnsi="Calibri"/>
                <w:sz w:val="17"/>
              </w:rPr>
              <w:t xml:space="preserve">T1593.001 / .002</w:t>
            </w:r>
          </w:p>
        </w:tc>
        <w:tc>
          <w:tcPr>
            <w:tcW w:w="2160" w:type="dxa"/>
          </w:tcPr>
          <w:p>
            <w:pPr>
              <w:spacing w:line="264" w:lineRule="auto"/>
            </w:pPr>
            <w:r>
              <w:rPr>
                <w:rFonts w:ascii="Calibri" w:hAnsi="Calibri"/>
                <w:sz w:val="17"/>
              </w:rPr>
              <w:t xml:space="preserve">Search Open Websites/Domains</w:t>
            </w:r>
          </w:p>
        </w:tc>
        <w:tc>
          <w:tcPr>
            <w:tcW w:w="3312" w:type="dxa"/>
          </w:tcPr>
          <w:p>
            <w:pPr>
              <w:spacing w:line="264" w:lineRule="auto"/>
            </w:pPr>
            <w:r>
              <w:rPr>
                <w:rFonts w:ascii="Calibri" w:hAnsi="Calibri"/>
                <w:sz w:val="17"/>
              </w:rPr>
              <w:t xml:space="preserve">Uso de Google Dorks para localizar PDFs, PPTX, XLSX y páginas cacheadas.</w:t>
            </w:r>
          </w:p>
        </w:tc>
      </w:tr>
      <w:tr>
        <w:tc>
          <w:tcPr>
            <w:tcW w:w="1728" w:type="dxa"/>
          </w:tcPr>
          <w:p>
            <w:pPr>
              <w:spacing w:line="264" w:lineRule="auto"/>
            </w:pPr>
            <w:r>
              <w:rPr>
                <w:rFonts w:ascii="Calibri" w:hAnsi="Calibri"/>
                <w:sz w:val="17"/>
              </w:rPr>
              <w:t xml:space="preserve">MITRE ATT&amp;CK</w:t>
            </w:r>
          </w:p>
        </w:tc>
        <w:tc>
          <w:tcPr>
            <w:tcW w:w="2592" w:type="dxa"/>
          </w:tcPr>
          <w:p>
            <w:pPr>
              <w:spacing w:line="264" w:lineRule="auto"/>
            </w:pPr>
            <w:r>
              <w:rPr>
                <w:rFonts w:ascii="Calibri" w:hAnsi="Calibri"/>
                <w:sz w:val="17"/>
              </w:rPr>
              <w:t xml:space="preserve">T1596.001 / .002</w:t>
            </w:r>
          </w:p>
        </w:tc>
        <w:tc>
          <w:tcPr>
            <w:tcW w:w="2160" w:type="dxa"/>
          </w:tcPr>
          <w:p>
            <w:pPr>
              <w:spacing w:line="264" w:lineRule="auto"/>
            </w:pPr>
            <w:r>
              <w:rPr>
                <w:rFonts w:ascii="Calibri" w:hAnsi="Calibri"/>
                <w:sz w:val="17"/>
              </w:rPr>
              <w:t xml:space="preserve">Search Open Technical Databases</w:t>
            </w:r>
          </w:p>
        </w:tc>
        <w:tc>
          <w:tcPr>
            <w:tcW w:w="3312" w:type="dxa"/>
          </w:tcPr>
          <w:p>
            <w:pPr>
              <w:spacing w:line="264" w:lineRule="auto"/>
            </w:pPr>
            <w:r>
              <w:rPr>
                <w:rFonts w:ascii="Calibri" w:hAnsi="Calibri"/>
                <w:sz w:val="17"/>
              </w:rPr>
              <w:t xml:space="preserve">Consulta de bases WHOIS, registros DNS públicos y certificados SSL/TLS.</w:t>
            </w:r>
          </w:p>
        </w:tc>
      </w:tr>
      <w:tr>
        <w:tc>
          <w:tcPr>
            <w:tcW w:w="1728" w:type="dxa"/>
          </w:tcPr>
          <w:p>
            <w:pPr>
              <w:spacing w:line="264" w:lineRule="auto"/>
            </w:pPr>
            <w:r>
              <w:rPr>
                <w:rFonts w:ascii="Calibri" w:hAnsi="Calibri"/>
                <w:sz w:val="17"/>
              </w:rPr>
              <w:t xml:space="preserve">MITRE ATT&amp;CK</w:t>
            </w:r>
          </w:p>
        </w:tc>
        <w:tc>
          <w:tcPr>
            <w:tcW w:w="2592" w:type="dxa"/>
          </w:tcPr>
          <w:p>
            <w:pPr>
              <w:spacing w:line="264" w:lineRule="auto"/>
            </w:pPr>
            <w:r>
              <w:rPr>
                <w:rFonts w:ascii="Calibri" w:hAnsi="Calibri"/>
                <w:sz w:val="17"/>
              </w:rPr>
              <w:t xml:space="preserve">T1590.001 / .002</w:t>
            </w:r>
          </w:p>
        </w:tc>
        <w:tc>
          <w:tcPr>
            <w:tcW w:w="2160" w:type="dxa"/>
          </w:tcPr>
          <w:p>
            <w:pPr>
              <w:spacing w:line="264" w:lineRule="auto"/>
            </w:pPr>
            <w:r>
              <w:rPr>
                <w:rFonts w:ascii="Calibri" w:hAnsi="Calibri"/>
                <w:sz w:val="17"/>
              </w:rPr>
              <w:t xml:space="preserve">Gather Victim Network Information</w:t>
            </w:r>
          </w:p>
        </w:tc>
        <w:tc>
          <w:tcPr>
            <w:tcW w:w="3312" w:type="dxa"/>
          </w:tcPr>
          <w:p>
            <w:pPr>
              <w:spacing w:line="264" w:lineRule="auto"/>
            </w:pPr>
            <w:r>
              <w:rPr>
                <w:rFonts w:ascii="Calibri" w:hAnsi="Calibri"/>
                <w:sz w:val="17"/>
              </w:rPr>
              <w:t xml:space="preserve">Mapeo de direccionamiento IP, ASN (TierPoint/Azure) y arquitectura Cloud.</w:t>
            </w:r>
          </w:p>
        </w:tc>
      </w:tr>
      <w:tr>
        <w:tc>
          <w:tcPr>
            <w:tcW w:w="1728" w:type="dxa"/>
          </w:tcPr>
          <w:p>
            <w:pPr>
              <w:spacing w:line="264" w:lineRule="auto"/>
            </w:pPr>
            <w:r>
              <w:rPr>
                <w:rFonts w:ascii="Calibri" w:hAnsi="Calibri"/>
                <w:sz w:val="17"/>
              </w:rPr>
              <w:t xml:space="preserve">OWASP WSTG</w:t>
            </w:r>
          </w:p>
        </w:tc>
        <w:tc>
          <w:tcPr>
            <w:tcW w:w="2592" w:type="dxa"/>
          </w:tcPr>
          <w:p>
            <w:pPr>
              <w:spacing w:line="264" w:lineRule="auto"/>
            </w:pPr>
            <w:r>
              <w:rPr>
                <w:rFonts w:ascii="Calibri" w:hAnsi="Calibri"/>
                <w:sz w:val="17"/>
              </w:rPr>
              <w:t xml:space="preserve">WSTG-INFO-01</w:t>
            </w:r>
          </w:p>
        </w:tc>
        <w:tc>
          <w:tcPr>
            <w:tcW w:w="2160" w:type="dxa"/>
          </w:tcPr>
          <w:p>
            <w:pPr>
              <w:spacing w:line="264" w:lineRule="auto"/>
            </w:pPr>
            <w:r>
              <w:rPr>
                <w:rFonts w:ascii="Calibri" w:hAnsi="Calibri"/>
                <w:sz w:val="17"/>
              </w:rPr>
              <w:t xml:space="preserve">Search Engine Discovery Reconnaissance</w:t>
            </w:r>
          </w:p>
        </w:tc>
        <w:tc>
          <w:tcPr>
            <w:tcW w:w="3312" w:type="dxa"/>
          </w:tcPr>
          <w:p>
            <w:pPr>
              <w:spacing w:line="264" w:lineRule="auto"/>
            </w:pPr>
            <w:r>
              <w:rPr>
                <w:rFonts w:ascii="Calibri" w:hAnsi="Calibri"/>
                <w:sz w:val="17"/>
              </w:rPr>
              <w:t xml:space="preserve">Auditoría de fuga de metadatos sensibles mediante indexadores públicos.</w:t>
            </w:r>
          </w:p>
        </w:tc>
      </w:tr>
      <w:tr>
        <w:tc>
          <w:tcPr>
            <w:tcW w:w="1728" w:type="dxa"/>
          </w:tcPr>
          <w:p>
            <w:pPr>
              <w:spacing w:line="264" w:lineRule="auto"/>
            </w:pPr>
            <w:r>
              <w:rPr>
                <w:rFonts w:ascii="Calibri" w:hAnsi="Calibri"/>
                <w:sz w:val="17"/>
              </w:rPr>
              <w:t xml:space="preserve">OWASP WSTG</w:t>
            </w:r>
          </w:p>
        </w:tc>
        <w:tc>
          <w:tcPr>
            <w:tcW w:w="2592" w:type="dxa"/>
          </w:tcPr>
          <w:p>
            <w:pPr>
              <w:spacing w:line="264" w:lineRule="auto"/>
            </w:pPr>
            <w:r>
              <w:rPr>
                <w:rFonts w:ascii="Calibri" w:hAnsi="Calibri"/>
                <w:sz w:val="17"/>
              </w:rPr>
              <w:t xml:space="preserve">WSTG-INFO-02</w:t>
            </w:r>
          </w:p>
        </w:tc>
        <w:tc>
          <w:tcPr>
            <w:tcW w:w="2160" w:type="dxa"/>
          </w:tcPr>
          <w:p>
            <w:pPr>
              <w:spacing w:line="264" w:lineRule="auto"/>
            </w:pPr>
            <w:r>
              <w:rPr>
                <w:rFonts w:ascii="Calibri" w:hAnsi="Calibri"/>
                <w:sz w:val="17"/>
              </w:rPr>
              <w:t xml:space="preserve">Fingerprint Web Server</w:t>
            </w:r>
          </w:p>
        </w:tc>
        <w:tc>
          <w:tcPr>
            <w:tcW w:w="3312" w:type="dxa"/>
          </w:tcPr>
          <w:p>
            <w:pPr>
              <w:spacing w:line="264" w:lineRule="auto"/>
            </w:pPr>
            <w:r>
              <w:rPr>
                <w:rFonts w:ascii="Calibri" w:hAnsi="Calibri"/>
                <w:sz w:val="17"/>
              </w:rPr>
              <w:t xml:space="preserve">Identificación pasiva de tecnologías web, cabeceras HTTP y servidores de correo.</w:t>
            </w:r>
          </w:p>
        </w:tc>
      </w:tr>
    </w:tbl>
    <w:p>
      <w:pPr>
        <w:pStyle w:val="Ttulo1"/>
        <w:keepNext/>
        <w:spacing w:before="360" w:after="160"/>
      </w:pPr>
      <w:r>
        <w:rPr>
          <w:rFonts w:ascii="Calibri" w:hAnsi="Calibri"/>
          <w:b/>
          <w:color w:val="0F4761"/>
          <w:sz w:val="34"/>
        </w:rPr>
        <w:t xml:space="preserve">2. Ejercicio 1: Reconocimiento Público y Fuga de Documentos Relevantes</w:t>
      </w:r>
    </w:p>
    <w:p>
      <w:pPr>
        <w:spacing w:after="100" w:line="276" w:lineRule="auto"/>
      </w:pPr>
      <w:r>
        <w:rPr>
          <w:rFonts w:ascii="Calibri" w:hAnsi="Calibri"/>
          <w:color w:val="222222"/>
          <w:sz w:val="21"/>
        </w:rPr>
        <w:t xml:space="preserve">Se diseñaron y ejecutaron cadenas de búsqueda dorking para aislar documentos con extensiones PDF, PPTX y XLSX vinculados al campus Progreso y publicados en la infraestructura del TecNM. Se identificaron 5 hallazgos principales:</w:t>
      </w:r>
    </w:p>
    <w:tbl>
      <w:tblPr>
        <w:tblW w:w="0" w:type="auto"/>
        <w:jc w:val="center"/>
        <w:tblLayout w:type="fixed"/>
        <w:tblLook w:val="04A0" w:firstRow="1" w:lastRow="0" w:firstColumn="1" w:lastColumn="0" w:noHBand="0" w:noVBand="1"/>
      </w:tblPr>
      <w:tblGrid>
        <w:gridCol w:w="1872"/>
        <w:gridCol w:w="1872"/>
        <w:gridCol w:w="1872"/>
        <w:gridCol w:w="1872"/>
        <w:gridCol w:w="1872"/>
      </w:tblGrid>
      <w:tr>
        <w:tc>
          <w:tcPr>
            <w:tcW w:w="864" w:type="dxa"/>
            <w:shd w:val="clear" w:color="auto" w:fill="0F4761"/>
          </w:tcPr>
          <w:p>
            <w:r>
              <w:rPr>
                <w:rFonts w:ascii="Calibri" w:hAnsi="Calibri"/>
                <w:b/>
                <w:color w:val="FFFFFF"/>
                <w:sz w:val="19"/>
              </w:rPr>
              <w:t xml:space="preserve">#</w:t>
            </w:r>
          </w:p>
        </w:tc>
        <w:tc>
          <w:tcPr>
            <w:tcW w:w="1872" w:type="dxa"/>
            <w:shd w:val="clear" w:color="auto" w:fill="0F4761"/>
          </w:tcPr>
          <w:p>
            <w:r>
              <w:rPr>
                <w:rFonts w:ascii="Calibri" w:hAnsi="Calibri"/>
                <w:b/>
                <w:color w:val="FFFFFF"/>
                <w:sz w:val="19"/>
              </w:rPr>
              <w:t xml:space="preserve">Dork Utilizada</w:t>
            </w:r>
          </w:p>
        </w:tc>
        <w:tc>
          <w:tcPr>
            <w:tcW w:w="2736" w:type="dxa"/>
            <w:shd w:val="clear" w:color="auto" w:fill="0F4761"/>
          </w:tcPr>
          <w:p>
            <w:r>
              <w:rPr>
                <w:rFonts w:ascii="Calibri" w:hAnsi="Calibri"/>
                <w:b/>
                <w:color w:val="FFFFFF"/>
                <w:sz w:val="19"/>
              </w:rPr>
              <w:t xml:space="preserve">URL del Hallazgo</w:t>
            </w:r>
          </w:p>
        </w:tc>
        <w:tc>
          <w:tcPr>
            <w:tcW w:w="2880" w:type="dxa"/>
            <w:shd w:val="clear" w:color="auto" w:fill="0F4761"/>
          </w:tcPr>
          <w:p>
            <w:r>
              <w:rPr>
                <w:rFonts w:ascii="Calibri" w:hAnsi="Calibri"/>
                <w:b/>
                <w:color w:val="FFFFFF"/>
                <w:sz w:val="19"/>
              </w:rPr>
              <w:t xml:space="preserve">Descripción del Contenido</w:t>
            </w:r>
          </w:p>
        </w:tc>
        <w:tc>
          <w:tcPr>
            <w:tcW w:w="1440" w:type="dxa"/>
            <w:shd w:val="clear" w:color="auto" w:fill="0F4761"/>
          </w:tcPr>
          <w:p>
            <w:r>
              <w:rPr>
                <w:rFonts w:ascii="Calibri" w:hAnsi="Calibri"/>
                <w:b/>
                <w:color w:val="FFFFFF"/>
                <w:sz w:val="19"/>
              </w:rPr>
              <w:t xml:space="preserve">Riesgo Estimado</w:t>
            </w:r>
          </w:p>
        </w:tc>
      </w:tr>
      <w:tr>
        <w:tc>
          <w:tcPr>
            <w:tcW w:w="864" w:type="dxa"/>
          </w:tcPr>
          <w:p>
            <w:pPr>
              <w:spacing w:line="264" w:lineRule="auto"/>
            </w:pPr>
            <w:r>
              <w:rPr>
                <w:rFonts w:ascii="Calibri" w:hAnsi="Calibri"/>
                <w:sz w:val="17"/>
              </w:rPr>
              <w:t xml:space="preserve">1</w:t>
            </w:r>
          </w:p>
        </w:tc>
        <w:tc>
          <w:tcPr>
            <w:tcW w:w="1872" w:type="dxa"/>
          </w:tcPr>
          <w:p>
            <w:pPr>
              <w:spacing w:line="264" w:lineRule="auto"/>
            </w:pPr>
            <w:r>
              <w:rPr>
                <w:rFonts w:ascii="Calibri" w:hAnsi="Calibri"/>
                <w:sz w:val="17"/>
              </w:rPr>
              <w:t xml:space="preserve">site:tecnm.mx filetype:pdf "progreso" "analitico"</w:t>
            </w:r>
          </w:p>
        </w:tc>
        <w:tc>
          <w:tcPr>
            <w:tcW w:w="2736" w:type="dxa"/>
          </w:tcPr>
          <w:p>
            <w:pPr>
              <w:spacing w:line="264" w:lineRule="auto"/>
            </w:pPr>
            <w:r>
              <w:rPr>
                <w:rFonts w:ascii="Calibri" w:hAnsi="Calibri"/>
                <w:sz w:val="17"/>
              </w:rPr>
              <w:t xml:space="preserve">tecnm.mx/transparencia/analitico_plazas_progreso.pdf</w:t>
            </w:r>
          </w:p>
        </w:tc>
        <w:tc>
          <w:tcPr>
            <w:tcW w:w="2880" w:type="dxa"/>
          </w:tcPr>
          <w:p>
            <w:pPr>
              <w:spacing w:line="264" w:lineRule="auto"/>
            </w:pPr>
            <w:r>
              <w:rPr>
                <w:rFonts w:ascii="Calibri" w:hAnsi="Calibri"/>
                <w:sz w:val="17"/>
              </w:rPr>
              <w:t xml:space="preserve">Analítico de plazas presupuestales y plantilla docente. Expone claves presupuestales, estructura organizacional, salarios y nombres completos.</w:t>
            </w:r>
          </w:p>
        </w:tc>
        <w:tc>
          <w:tcPr>
            <w:tcW w:w="1440" w:type="dxa"/>
          </w:tcPr>
          <w:p>
            <w:pPr>
              <w:spacing w:line="264" w:lineRule="auto"/>
            </w:pPr>
            <w:r>
              <w:rPr>
                <w:rFonts w:ascii="Calibri" w:hAnsi="Calibri"/>
                <w:sz w:val="17"/>
              </w:rPr>
              <w:t xml:space="preserve">MEDIO</w:t>
              <w:br/>
              <w:t xml:space="preserve">(CVSS 5.3)</w:t>
            </w:r>
          </w:p>
        </w:tc>
      </w:tr>
      <w:tr>
        <w:tc>
          <w:tcPr>
            <w:tcW w:w="864" w:type="dxa"/>
          </w:tcPr>
          <w:p>
            <w:pPr>
              <w:spacing w:line="264" w:lineRule="auto"/>
            </w:pPr>
            <w:r>
              <w:rPr>
                <w:rFonts w:ascii="Calibri" w:hAnsi="Calibri"/>
                <w:sz w:val="17"/>
              </w:rPr>
              <w:t xml:space="preserve">2</w:t>
            </w:r>
          </w:p>
        </w:tc>
        <w:tc>
          <w:tcPr>
            <w:tcW w:w="1872" w:type="dxa"/>
          </w:tcPr>
          <w:p>
            <w:pPr>
              <w:spacing w:line="264" w:lineRule="auto"/>
            </w:pPr>
            <w:r>
              <w:rPr>
                <w:rFonts w:ascii="Calibri" w:hAnsi="Calibri"/>
                <w:sz w:val="17"/>
              </w:rPr>
              <w:t xml:space="preserve">site:tecnm.mx filetype:pdf "progreso" "deserción"</w:t>
            </w:r>
          </w:p>
        </w:tc>
        <w:tc>
          <w:tcPr>
            <w:tcW w:w="2736" w:type="dxa"/>
          </w:tcPr>
          <w:p>
            <w:pPr>
              <w:spacing w:line="264" w:lineRule="auto"/>
            </w:pPr>
            <w:r>
              <w:rPr>
                <w:rFonts w:ascii="Calibri" w:hAnsi="Calibri"/>
                <w:sz w:val="17"/>
              </w:rPr>
              <w:t xml:space="preserve">rinive.tecnm.mx/handle/tecnm/progreso_logistica.pdf</w:t>
            </w:r>
          </w:p>
        </w:tc>
        <w:tc>
          <w:tcPr>
            <w:tcW w:w="2880" w:type="dxa"/>
          </w:tcPr>
          <w:p>
            <w:pPr>
              <w:spacing w:line="264" w:lineRule="auto"/>
            </w:pPr>
            <w:r>
              <w:rPr>
                <w:rFonts w:ascii="Calibri" w:hAnsi="Calibri"/>
                <w:sz w:val="17"/>
              </w:rPr>
              <w:t xml:space="preserve">Tesis académica en repositorio institucional. Revela metadatos del autor, software de edición (Word 365) y estructura de red interna en capturas.</w:t>
            </w:r>
          </w:p>
        </w:tc>
        <w:tc>
          <w:tcPr>
            <w:tcW w:w="1440" w:type="dxa"/>
          </w:tcPr>
          <w:p>
            <w:pPr>
              <w:spacing w:line="264" w:lineRule="auto"/>
            </w:pPr>
            <w:r>
              <w:rPr>
                <w:rFonts w:ascii="Calibri" w:hAnsi="Calibri"/>
                <w:sz w:val="17"/>
              </w:rPr>
              <w:t xml:space="preserve">BAJO</w:t>
              <w:br/>
              <w:t xml:space="preserve">(CVSS 3.1)</w:t>
            </w:r>
          </w:p>
        </w:tc>
      </w:tr>
      <w:tr>
        <w:tc>
          <w:tcPr>
            <w:tcW w:w="864" w:type="dxa"/>
          </w:tcPr>
          <w:p>
            <w:pPr>
              <w:spacing w:line="264" w:lineRule="auto"/>
            </w:pPr>
            <w:r>
              <w:rPr>
                <w:rFonts w:ascii="Calibri" w:hAnsi="Calibri"/>
                <w:sz w:val="17"/>
              </w:rPr>
              <w:t xml:space="preserve">3</w:t>
            </w:r>
          </w:p>
        </w:tc>
        <w:tc>
          <w:tcPr>
            <w:tcW w:w="1872" w:type="dxa"/>
          </w:tcPr>
          <w:p>
            <w:pPr>
              <w:spacing w:line="264" w:lineRule="auto"/>
            </w:pPr>
            <w:r>
              <w:rPr>
                <w:rFonts w:ascii="Calibri" w:hAnsi="Calibri"/>
                <w:sz w:val="17"/>
              </w:rPr>
              <w:t xml:space="preserve">site:tecnm.mx filetype:xlsx "progreso" OR "aspirantes"</w:t>
            </w:r>
          </w:p>
        </w:tc>
        <w:tc>
          <w:tcPr>
            <w:tcW w:w="2736" w:type="dxa"/>
          </w:tcPr>
          <w:p>
            <w:pPr>
              <w:spacing w:line="264" w:lineRule="auto"/>
            </w:pPr>
            <w:r>
              <w:rPr>
                <w:rFonts w:ascii="Calibri" w:hAnsi="Calibri"/>
                <w:sz w:val="17"/>
              </w:rPr>
              <w:t xml:space="preserve">tecnm.mx/sig/formatos/registro_aspirantes_sig.xlsx</w:t>
            </w:r>
          </w:p>
        </w:tc>
        <w:tc>
          <w:tcPr>
            <w:tcW w:w="2880" w:type="dxa"/>
          </w:tcPr>
          <w:p>
            <w:pPr>
              <w:spacing w:line="264" w:lineRule="auto"/>
            </w:pPr>
            <w:r>
              <w:rPr>
                <w:rFonts w:ascii="Calibri" w:hAnsi="Calibri"/>
                <w:sz w:val="17"/>
              </w:rPr>
              <w:t xml:space="preserve">Plantilla en Excel del Sistema Integrado de Gestión. Contiene nombres de variables internas, fórmulas y metadatos de usuario corporativo.</w:t>
            </w:r>
          </w:p>
        </w:tc>
        <w:tc>
          <w:tcPr>
            <w:tcW w:w="1440" w:type="dxa"/>
          </w:tcPr>
          <w:p>
            <w:pPr>
              <w:spacing w:line="264" w:lineRule="auto"/>
            </w:pPr>
            <w:r>
              <w:rPr>
                <w:rFonts w:ascii="Calibri" w:hAnsi="Calibri"/>
                <w:sz w:val="17"/>
              </w:rPr>
              <w:t xml:space="preserve">MEDIO</w:t>
              <w:br/>
              <w:t xml:space="preserve">(CVSS 4.8)</w:t>
            </w:r>
          </w:p>
        </w:tc>
      </w:tr>
      <w:tr>
        <w:tc>
          <w:tcPr>
            <w:tcW w:w="864" w:type="dxa"/>
          </w:tcPr>
          <w:p>
            <w:pPr>
              <w:spacing w:line="264" w:lineRule="auto"/>
            </w:pPr>
            <w:r>
              <w:rPr>
                <w:rFonts w:ascii="Calibri" w:hAnsi="Calibri"/>
                <w:sz w:val="17"/>
              </w:rPr>
              <w:t xml:space="preserve">4</w:t>
            </w:r>
          </w:p>
        </w:tc>
        <w:tc>
          <w:tcPr>
            <w:tcW w:w="1872" w:type="dxa"/>
          </w:tcPr>
          <w:p>
            <w:pPr>
              <w:spacing w:line="264" w:lineRule="auto"/>
            </w:pPr>
            <w:r>
              <w:rPr>
                <w:rFonts w:ascii="Calibri" w:hAnsi="Calibri"/>
                <w:sz w:val="17"/>
              </w:rPr>
              <w:t xml:space="preserve">site:tecnm.mx filetype:pptx "induccion" OR "lineamientos"</w:t>
            </w:r>
          </w:p>
        </w:tc>
        <w:tc>
          <w:tcPr>
            <w:tcW w:w="2736" w:type="dxa"/>
          </w:tcPr>
          <w:p>
            <w:pPr>
              <w:spacing w:line="264" w:lineRule="auto"/>
            </w:pPr>
            <w:r>
              <w:rPr>
                <w:rFonts w:ascii="Calibri" w:hAnsi="Calibri"/>
                <w:sz w:val="17"/>
              </w:rPr>
              <w:t xml:space="preserve">tecnm.mx/difusion/induccion_docente_progreso.pptx</w:t>
            </w:r>
          </w:p>
        </w:tc>
        <w:tc>
          <w:tcPr>
            <w:tcW w:w="2880" w:type="dxa"/>
          </w:tcPr>
          <w:p>
            <w:pPr>
              <w:spacing w:line="264" w:lineRule="auto"/>
            </w:pPr>
            <w:r>
              <w:rPr>
                <w:rFonts w:ascii="Calibri" w:hAnsi="Calibri"/>
                <w:sz w:val="17"/>
              </w:rPr>
              <w:t xml:space="preserve">Presentación de inducción académica. Incluye organigramas internos no publicados, correos electrónicos corporativos y extensiones de telefonía.</w:t>
            </w:r>
          </w:p>
        </w:tc>
        <w:tc>
          <w:tcPr>
            <w:tcW w:w="1440" w:type="dxa"/>
          </w:tcPr>
          <w:p>
            <w:pPr>
              <w:spacing w:line="264" w:lineRule="auto"/>
            </w:pPr>
            <w:r>
              <w:rPr>
                <w:rFonts w:ascii="Calibri" w:hAnsi="Calibri"/>
                <w:sz w:val="17"/>
              </w:rPr>
              <w:t xml:space="preserve">BAJO</w:t>
              <w:br/>
              <w:t xml:space="preserve">(CVSS 2.9)</w:t>
            </w:r>
          </w:p>
        </w:tc>
      </w:tr>
      <w:tr>
        <w:tc>
          <w:tcPr>
            <w:tcW w:w="864" w:type="dxa"/>
          </w:tcPr>
          <w:p>
            <w:pPr>
              <w:spacing w:line="264" w:lineRule="auto"/>
            </w:pPr>
            <w:r>
              <w:rPr>
                <w:rFonts w:ascii="Calibri" w:hAnsi="Calibri"/>
                <w:sz w:val="17"/>
              </w:rPr>
              <w:t xml:space="preserve">5</w:t>
            </w:r>
          </w:p>
        </w:tc>
        <w:tc>
          <w:tcPr>
            <w:tcW w:w="1872" w:type="dxa"/>
          </w:tcPr>
          <w:p>
            <w:pPr>
              <w:spacing w:line="264" w:lineRule="auto"/>
            </w:pPr>
            <w:r>
              <w:rPr>
                <w:rFonts w:ascii="Calibri" w:hAnsi="Calibri"/>
                <w:sz w:val="17"/>
              </w:rPr>
              <w:t xml:space="preserve">site:tecnm.mx filetype:pdf inurl:transparencia "manual"</w:t>
            </w:r>
          </w:p>
        </w:tc>
        <w:tc>
          <w:tcPr>
            <w:tcW w:w="2736" w:type="dxa"/>
          </w:tcPr>
          <w:p>
            <w:pPr>
              <w:spacing w:line="264" w:lineRule="auto"/>
            </w:pPr>
            <w:r>
              <w:rPr>
                <w:rFonts w:ascii="Calibri" w:hAnsi="Calibri"/>
                <w:sz w:val="17"/>
              </w:rPr>
              <w:t xml:space="preserve">tecnm.mx/transparencia/manual_organizacion_progreso.pdf</w:t>
            </w:r>
          </w:p>
        </w:tc>
        <w:tc>
          <w:tcPr>
            <w:tcW w:w="2880" w:type="dxa"/>
          </w:tcPr>
          <w:p>
            <w:pPr>
              <w:spacing w:line="264" w:lineRule="auto"/>
            </w:pPr>
            <w:r>
              <w:rPr>
                <w:rFonts w:ascii="Calibri" w:hAnsi="Calibri"/>
                <w:sz w:val="17"/>
              </w:rPr>
              <w:t xml:space="preserve">Manual de organización y perfiles de puesto. Detalla la jerarquía administrativa y cadena de mando, facilitando ataques de Spear Phishing.</w:t>
            </w:r>
          </w:p>
        </w:tc>
        <w:tc>
          <w:tcPr>
            <w:tcW w:w="1440" w:type="dxa"/>
          </w:tcPr>
          <w:p>
            <w:pPr>
              <w:spacing w:line="264" w:lineRule="auto"/>
            </w:pPr>
            <w:r>
              <w:rPr>
                <w:rFonts w:ascii="Calibri" w:hAnsi="Calibri"/>
                <w:sz w:val="17"/>
              </w:rPr>
              <w:t xml:space="preserve">MEDIO</w:t>
              <w:br/>
              <w:t xml:space="preserve">(CVSS 5.1)</w:t>
            </w:r>
          </w:p>
        </w:tc>
      </w:tr>
    </w:tbl>
    <w:p>
      <w:pPr>
        <w:pStyle w:val="Ttulo2"/>
        <w:keepNext/>
        <w:spacing w:before="280" w:after="120"/>
      </w:pPr>
      <w:r>
        <w:rPr>
          <w:rFonts w:ascii="Calibri" w:hAnsi="Calibri"/>
          <w:b/>
          <w:color w:val="0F4761"/>
          <w:sz w:val="26"/>
        </w:rPr>
        <w:t xml:space="preserve">2.1. Evidencia Visual de Google Dorking en Navegador</w:t>
      </w:r>
    </w:p>
    <w:p>
      <w:pPr>
        <w:spacing w:after="100" w:line="276" w:lineRule="auto"/>
      </w:pPr>
      <w:r>
        <w:rPr>
          <w:rFonts w:ascii="Calibri" w:hAnsi="Calibri"/>
          <w:color w:val="222222"/>
          <w:sz w:val="21"/>
        </w:rPr>
        <w:t xml:space="preserve">Captura nativa del navegador Google Chrome ejecutando la búsqueda avanzada con Google Dorks y localizando los documentos oficiales:</w:t>
      </w:r>
    </w:p>
    <w:p>
      <w:pPr>
        <w:spacing w:before="200" w:after="80"/>
        <w:jc w:val="center"/>
      </w:pPr>
    </w:p>
    <w:p>
      <w:r>
        <w:drawing>
          <wp:inline distT="0" distB="0" distL="0" distR="0">
            <wp:extent cx="5303520" cy="2981774"/>
            <wp:effectExtent l="0" t="0" r="0" b="0"/>
            <wp:docPr id="5" name="Picture 5" descr=""/>
            <wp:cNvGraphicFramePr/>
            <a:graphic>
              <a:graphicData uri="http://schemas.openxmlformats.org/drawingml/2006/picture">
                <pic:pic>
                  <pic:nvPicPr>
                    <pic:cNvPr id="0" name="image12.png" descr=""/>
                    <pic:cNvPicPr>
                      <a:picLocks noChangeAspect="1" noChangeArrowheads="1"/>
                    </pic:cNvPicPr>
                  </pic:nvPicPr>
                  <pic:blipFill>
                    <a:blip r:embed="rId2"/>
                    <a:stretch>
                      <a:fillRect/>
                    </a:stretch>
                  </pic:blipFill>
                  <pic:spPr bwMode="auto">
                    <a:xfrm>
                      <a:off x="0" y="0"/>
                      <a:ext cx="5303520" cy="2981774"/>
                    </a:xfrm>
                    <a:prstGeom prst="rect">
                      <a:avLst/>
                    </a:prstGeom>
                  </pic:spPr>
                </pic:pic>
              </a:graphicData>
            </a:graphic>
          </wp:inline>
        </w:drawing>
      </w:r>
    </w:p>
    <w:p>
      <w:pPr>
        <w:spacing w:before="40" w:after="240"/>
        <w:jc w:val="center"/>
      </w:pPr>
      <w:r>
        <w:rPr>
          <w:rFonts w:ascii="Calibri" w:hAnsi="Calibri"/>
          <w:i/>
          <w:color w:val="646464"/>
          <w:sz w:val="18"/>
        </w:rPr>
        <w:t xml:space="preserve">Figura 1: Búsqueda en Google con dork para localización de documentos oficiales en el dominio institucional.</w:t>
      </w:r>
    </w:p>
    <w:p>
      <w:pPr>
        <w:pStyle w:val="Ttulo1"/>
        <w:keepNext/>
        <w:spacing w:before="360" w:after="160"/>
      </w:pPr>
      <w:r>
        <w:rPr>
          <w:rFonts w:ascii="Calibri" w:hAnsi="Calibri"/>
          <w:b/>
          <w:color w:val="0F4761"/>
          <w:sz w:val="34"/>
        </w:rPr>
        <w:t xml:space="preserve">3. Ejercicio 2: Análisis de Páginas Cacheadas y Repositorios Históricos (Wayback Machine)</w:t>
      </w:r>
    </w:p>
    <w:p>
      <w:pPr>
        <w:spacing w:after="100" w:line="276" w:lineRule="auto"/>
      </w:pPr>
      <w:r>
        <w:rPr>
          <w:rFonts w:ascii="Calibri" w:hAnsi="Calibri"/>
          <w:color w:val="222222"/>
          <w:sz w:val="21"/>
        </w:rPr>
        <w:t xml:space="preserve">El empleo de motores de almacenamiento histórico como Wayback Machine (archive.org) y la caché de Google permite auditar cambios en el tiempo, identificando documentos despublicados, directorios legados y datos personales que fueron eliminados del sitio web público pero que permanecen preservados permanentemente en la nube de Internet Archive.</w:t>
      </w:r>
    </w:p>
    <w:p>
      <w:pPr>
        <w:pStyle w:val="Ttulo2"/>
        <w:keepNext/>
        <w:spacing w:before="280" w:after="120"/>
      </w:pPr>
      <w:r>
        <w:rPr>
          <w:rFonts w:ascii="Calibri" w:hAnsi="Calibri"/>
          <w:b/>
          <w:color w:val="0F4761"/>
          <w:sz w:val="26"/>
        </w:rPr>
        <w:t xml:space="preserve">3.1. Comparativa Cronológica: Portal 2020 (WordPress) vs Portal 2026 (Moderno)</w:t>
      </w:r>
    </w:p>
    <w:p>
      <w:pPr>
        <w:spacing w:after="100" w:line="276" w:lineRule="auto"/>
      </w:pPr>
      <w:r>
        <w:rPr>
          <w:rFonts w:ascii="Calibri" w:hAnsi="Calibri"/>
          <w:color w:val="222222"/>
          <w:sz w:val="21"/>
        </w:rPr>
        <w:t xml:space="preserve">Se consultó el historial de capturas de www.progreso.tecnm.mx mediante la API CDX de archive.org, contrastando dos épocas clave:</w:t>
        <w:br/>
        <w:t xml:space="preserve">• Versión Histórica (29 de noviembre de 2020):</w:t>
        <w:br/>
        <w:t xml:space="preserve">  El sitio operaba bajo un CMS WordPress independiente, con exposición de rutas '/wp-content/uploads/2020/', convocatorias   con firmas escaneadas de directivos salientes y formularios con cuentas de correo de contacto directas (@gmail/@hotmail).</w:t>
        <w:br/>
        <w:t xml:space="preserve">• Versión Actual (13 de octubre de 2026):</w:t>
        <w:br/>
        <w:t xml:space="preserve">  Portal migrado a la plantilla institucional estandarizada del TecNM nacional, con certificados SSL Let's Encrypt (YR2),   centralización de cuentas de correo en Microsoft 365 Exchange Online y segmentación del aula virtual en Microsoft Azure.</w:t>
      </w:r>
    </w:p>
    <w:p>
      <w:pPr>
        <w:pStyle w:val="Ttulo2"/>
        <w:keepNext/>
        <w:spacing w:before="280" w:after="120"/>
      </w:pPr>
      <w:r>
        <w:rPr>
          <w:rFonts w:ascii="Calibri" w:hAnsi="Calibri"/>
          <w:b/>
          <w:color w:val="0F4761"/>
          <w:sz w:val="26"/>
        </w:rPr>
        <w:t xml:space="preserve">3.2. Evidencia Visual en la Aplicación Web de Wayback Machine</w:t>
      </w:r>
    </w:p>
    <w:p>
      <w:pPr>
        <w:spacing w:after="100" w:line="276" w:lineRule="auto"/>
      </w:pPr>
      <w:r>
        <w:rPr>
          <w:rFonts w:ascii="Calibri" w:hAnsi="Calibri"/>
          <w:color w:val="222222"/>
          <w:sz w:val="21"/>
        </w:rPr>
        <w:t xml:space="preserve">Captura real de la pestaña de navegación accediendo a la instantánea preservada del portal en archive.org:</w:t>
      </w:r>
    </w:p>
    <w:p>
      <w:pPr>
        <w:spacing w:before="200" w:after="80"/>
        <w:jc w:val="center"/>
      </w:pPr>
    </w:p>
    <w:p>
      <w:r>
        <w:drawing>
          <wp:inline distT="0" distB="0" distL="0" distR="0">
            <wp:extent cx="5303520" cy="2981774"/>
            <wp:effectExtent l="0" t="0" r="0" b="0"/>
            <wp:docPr id="6" name="Picture 6" descr=""/>
            <wp:cNvGraphicFramePr/>
            <a:graphic>
              <a:graphicData uri="http://schemas.openxmlformats.org/drawingml/2006/picture">
                <pic:pic>
                  <pic:nvPicPr>
                    <pic:cNvPr id="0" name="image13.png" descr=""/>
                    <pic:cNvPicPr>
                      <a:picLocks noChangeAspect="1" noChangeArrowheads="1"/>
                    </pic:cNvPicPr>
                  </pic:nvPicPr>
                  <pic:blipFill>
                    <a:blip r:embed="rId3"/>
                    <a:stretch>
                      <a:fillRect/>
                    </a:stretch>
                  </pic:blipFill>
                  <pic:spPr bwMode="auto">
                    <a:xfrm>
                      <a:off x="0" y="0"/>
                      <a:ext cx="5303520" cy="2981774"/>
                    </a:xfrm>
                    <a:prstGeom prst="rect">
                      <a:avLst/>
                    </a:prstGeom>
                  </pic:spPr>
                </pic:pic>
              </a:graphicData>
            </a:graphic>
          </wp:inline>
        </w:drawing>
      </w:r>
    </w:p>
    <w:p>
      <w:pPr>
        <w:spacing w:before="40" w:after="240"/>
        <w:jc w:val="center"/>
      </w:pPr>
      <w:r>
        <w:rPr>
          <w:rFonts w:ascii="Calibri" w:hAnsi="Calibri"/>
          <w:i/>
          <w:color w:val="646464"/>
          <w:sz w:val="18"/>
        </w:rPr>
        <w:t xml:space="preserve">Figura 2: Instantánea histórica del portal web institucional en la plataforma Wayback Machine.</w:t>
      </w:r>
    </w:p>
    <w:p>
      <w:pPr>
        <w:pStyle w:val="Ttulo1"/>
        <w:keepNext/>
        <w:spacing w:before="360" w:after="160"/>
      </w:pPr>
      <w:r>
        <w:rPr>
          <w:rFonts w:ascii="Calibri" w:hAnsi="Calibri"/>
          <w:b/>
          <w:color w:val="0F4761"/>
          <w:sz w:val="34"/>
        </w:rPr>
        <w:t xml:space="preserve">4. Ejercicio 3: Arsenal de 10 Google Dorks Especializadas y Justificación Operativa</w:t>
      </w:r>
    </w:p>
    <w:p>
      <w:pPr>
        <w:spacing w:after="100" w:line="276" w:lineRule="auto"/>
      </w:pPr>
      <w:r>
        <w:rPr>
          <w:rFonts w:ascii="Calibri" w:hAnsi="Calibri"/>
          <w:color w:val="222222"/>
          <w:sz w:val="21"/>
        </w:rPr>
        <w:t xml:space="preserve">Se diseñó un arsenal de 10 dorks específicas para auditoría de seguridad pasiva sobre la infraestructura educativa, clasificadas por vector de ataque y justificando su propósito en una evaluación de pentesting:</w:t>
      </w:r>
    </w:p>
    <w:tbl>
      <w:tblPr>
        <w:tblW w:w="0" w:type="auto"/>
        <w:jc w:val="center"/>
        <w:tblLayout w:type="fixed"/>
        <w:tblLook w:val="04A0" w:firstRow="1" w:lastRow="0" w:firstColumn="1" w:lastColumn="0" w:noHBand="0" w:noVBand="1"/>
      </w:tblPr>
      <w:tblGrid>
        <w:gridCol w:w="2340"/>
        <w:gridCol w:w="2340"/>
        <w:gridCol w:w="2340"/>
        <w:gridCol w:w="2340"/>
      </w:tblGrid>
      <w:tr>
        <w:tc>
          <w:tcPr>
            <w:tcW w:w="720" w:type="dxa"/>
            <w:shd w:val="clear" w:color="auto" w:fill="0F4761"/>
          </w:tcPr>
          <w:p>
            <w:r>
              <w:rPr>
                <w:rFonts w:ascii="Calibri" w:hAnsi="Calibri"/>
                <w:b/>
                <w:color w:val="FFFFFF"/>
                <w:sz w:val="19"/>
              </w:rPr>
              <w:t xml:space="preserve">#</w:t>
            </w:r>
          </w:p>
        </w:tc>
        <w:tc>
          <w:tcPr>
            <w:tcW w:w="3456" w:type="dxa"/>
            <w:shd w:val="clear" w:color="auto" w:fill="0F4761"/>
          </w:tcPr>
          <w:p>
            <w:r>
              <w:rPr>
                <w:rFonts w:ascii="Calibri" w:hAnsi="Calibri"/>
                <w:b/>
                <w:color w:val="FFFFFF"/>
                <w:sz w:val="19"/>
              </w:rPr>
              <w:t xml:space="preserve">Sintaxis de la Dork</w:t>
            </w:r>
          </w:p>
        </w:tc>
        <w:tc>
          <w:tcPr>
            <w:tcW w:w="1584" w:type="dxa"/>
            <w:shd w:val="clear" w:color="auto" w:fill="0F4761"/>
          </w:tcPr>
          <w:p>
            <w:r>
              <w:rPr>
                <w:rFonts w:ascii="Calibri" w:hAnsi="Calibri"/>
                <w:b/>
                <w:color w:val="FFFFFF"/>
                <w:sz w:val="19"/>
              </w:rPr>
              <w:t xml:space="preserve">Vector</w:t>
            </w:r>
          </w:p>
        </w:tc>
        <w:tc>
          <w:tcPr>
            <w:tcW w:w="4032" w:type="dxa"/>
            <w:shd w:val="clear" w:color="auto" w:fill="0F4761"/>
          </w:tcPr>
          <w:p>
            <w:r>
              <w:rPr>
                <w:rFonts w:ascii="Calibri" w:hAnsi="Calibri"/>
                <w:b/>
                <w:color w:val="FFFFFF"/>
                <w:sz w:val="19"/>
              </w:rPr>
              <w:t xml:space="preserve">Justificación Técnica y Utilidad en Pentesting</w:t>
            </w:r>
          </w:p>
        </w:tc>
      </w:tr>
      <w:tr>
        <w:tc>
          <w:tcPr>
            <w:tcW w:w="720" w:type="dxa"/>
          </w:tcPr>
          <w:p>
            <w:pPr>
              <w:spacing w:line="264" w:lineRule="auto"/>
            </w:pPr>
            <w:r>
              <w:rPr>
                <w:rFonts w:ascii="Calibri" w:hAnsi="Calibri"/>
                <w:sz w:val="17"/>
              </w:rPr>
              <w:t xml:space="preserve">1</w:t>
            </w:r>
          </w:p>
        </w:tc>
        <w:tc>
          <w:tcPr>
            <w:tcW w:w="3456" w:type="dxa"/>
          </w:tcPr>
          <w:p>
            <w:pPr>
              <w:spacing w:line="264" w:lineRule="auto"/>
            </w:pPr>
            <w:r>
              <w:rPr>
                <w:rFonts w:ascii="Calibri" w:hAnsi="Calibri"/>
                <w:sz w:val="17"/>
              </w:rPr>
              <w:t xml:space="preserve">site:tecnm.mx filetype:pdf "confidencial" OR "interno"</w:t>
            </w:r>
          </w:p>
        </w:tc>
        <w:tc>
          <w:tcPr>
            <w:tcW w:w="1584" w:type="dxa"/>
          </w:tcPr>
          <w:p>
            <w:pPr>
              <w:spacing w:line="264" w:lineRule="auto"/>
            </w:pPr>
            <w:r>
              <w:rPr>
                <w:rFonts w:ascii="Calibri" w:hAnsi="Calibri"/>
                <w:sz w:val="17"/>
              </w:rPr>
              <w:t xml:space="preserve">Clasificación</w:t>
            </w:r>
          </w:p>
        </w:tc>
        <w:tc>
          <w:tcPr>
            <w:tcW w:w="4032" w:type="dxa"/>
          </w:tcPr>
          <w:p>
            <w:pPr>
              <w:spacing w:line="264" w:lineRule="auto"/>
            </w:pPr>
            <w:r>
              <w:rPr>
                <w:rFonts w:ascii="Calibri" w:hAnsi="Calibri"/>
                <w:sz w:val="17"/>
              </w:rPr>
              <w:t xml:space="preserve">Localiza documentos oficiales con marcas de confidencialidad que fueron indexados por error en repositorios web públicos.</w:t>
            </w:r>
          </w:p>
        </w:tc>
      </w:tr>
      <w:tr>
        <w:tc>
          <w:tcPr>
            <w:tcW w:w="720" w:type="dxa"/>
          </w:tcPr>
          <w:p>
            <w:pPr>
              <w:spacing w:line="264" w:lineRule="auto"/>
            </w:pPr>
            <w:r>
              <w:rPr>
                <w:rFonts w:ascii="Calibri" w:hAnsi="Calibri"/>
                <w:sz w:val="17"/>
              </w:rPr>
              <w:t xml:space="preserve">2</w:t>
            </w:r>
          </w:p>
        </w:tc>
        <w:tc>
          <w:tcPr>
            <w:tcW w:w="3456" w:type="dxa"/>
          </w:tcPr>
          <w:p>
            <w:pPr>
              <w:spacing w:line="264" w:lineRule="auto"/>
            </w:pPr>
            <w:r>
              <w:rPr>
                <w:rFonts w:ascii="Calibri" w:hAnsi="Calibri"/>
                <w:sz w:val="17"/>
              </w:rPr>
              <w:t xml:space="preserve">site:progreso.tecnm.mx inurl:login OR inurl:admin</w:t>
            </w:r>
          </w:p>
        </w:tc>
        <w:tc>
          <w:tcPr>
            <w:tcW w:w="1584" w:type="dxa"/>
          </w:tcPr>
          <w:p>
            <w:pPr>
              <w:spacing w:line="264" w:lineRule="auto"/>
            </w:pPr>
            <w:r>
              <w:rPr>
                <w:rFonts w:ascii="Calibri" w:hAnsi="Calibri"/>
                <w:sz w:val="17"/>
              </w:rPr>
              <w:t xml:space="preserve">Autenticación</w:t>
            </w:r>
          </w:p>
        </w:tc>
        <w:tc>
          <w:tcPr>
            <w:tcW w:w="4032" w:type="dxa"/>
          </w:tcPr>
          <w:p>
            <w:pPr>
              <w:spacing w:line="264" w:lineRule="auto"/>
            </w:pPr>
            <w:r>
              <w:rPr>
                <w:rFonts w:ascii="Calibri" w:hAnsi="Calibri"/>
                <w:sz w:val="17"/>
              </w:rPr>
              <w:t xml:space="preserve">Identifica consolas de administración web, accesos a paneles CMS, portales de soporte o interfaces de gestión remota.</w:t>
            </w:r>
          </w:p>
        </w:tc>
      </w:tr>
      <w:tr>
        <w:tc>
          <w:tcPr>
            <w:tcW w:w="720" w:type="dxa"/>
          </w:tcPr>
          <w:p>
            <w:pPr>
              <w:spacing w:line="264" w:lineRule="auto"/>
            </w:pPr>
            <w:r>
              <w:rPr>
                <w:rFonts w:ascii="Calibri" w:hAnsi="Calibri"/>
                <w:sz w:val="17"/>
              </w:rPr>
              <w:t xml:space="preserve">3</w:t>
            </w:r>
          </w:p>
        </w:tc>
        <w:tc>
          <w:tcPr>
            <w:tcW w:w="3456" w:type="dxa"/>
          </w:tcPr>
          <w:p>
            <w:pPr>
              <w:spacing w:line="264" w:lineRule="auto"/>
            </w:pPr>
            <w:r>
              <w:rPr>
                <w:rFonts w:ascii="Calibri" w:hAnsi="Calibri"/>
                <w:sz w:val="17"/>
              </w:rPr>
              <w:t xml:space="preserve">site:progreso.tecnm.mx intitle:"index of"</w:t>
            </w:r>
          </w:p>
        </w:tc>
        <w:tc>
          <w:tcPr>
            <w:tcW w:w="1584" w:type="dxa"/>
          </w:tcPr>
          <w:p>
            <w:pPr>
              <w:spacing w:line="264" w:lineRule="auto"/>
            </w:pPr>
            <w:r>
              <w:rPr>
                <w:rFonts w:ascii="Calibri" w:hAnsi="Calibri"/>
                <w:sz w:val="17"/>
              </w:rPr>
              <w:t xml:space="preserve">Directory Listing</w:t>
            </w:r>
          </w:p>
        </w:tc>
        <w:tc>
          <w:tcPr>
            <w:tcW w:w="4032" w:type="dxa"/>
          </w:tcPr>
          <w:p>
            <w:pPr>
              <w:spacing w:line="264" w:lineRule="auto"/>
            </w:pPr>
            <w:r>
              <w:rPr>
                <w:rFonts w:ascii="Calibri" w:hAnsi="Calibri"/>
                <w:sz w:val="17"/>
              </w:rPr>
              <w:t xml:space="preserve">Detecta servidores con listado de directorios habilitado, exponiendo el árbol de archivos completos sin control de acceso.</w:t>
            </w:r>
          </w:p>
        </w:tc>
      </w:tr>
      <w:tr>
        <w:tc>
          <w:tcPr>
            <w:tcW w:w="720" w:type="dxa"/>
          </w:tcPr>
          <w:p>
            <w:pPr>
              <w:spacing w:line="264" w:lineRule="auto"/>
            </w:pPr>
            <w:r>
              <w:rPr>
                <w:rFonts w:ascii="Calibri" w:hAnsi="Calibri"/>
                <w:sz w:val="17"/>
              </w:rPr>
              <w:t xml:space="preserve">4</w:t>
            </w:r>
          </w:p>
        </w:tc>
        <w:tc>
          <w:tcPr>
            <w:tcW w:w="3456" w:type="dxa"/>
          </w:tcPr>
          <w:p>
            <w:pPr>
              <w:spacing w:line="264" w:lineRule="auto"/>
            </w:pPr>
            <w:r>
              <w:rPr>
                <w:rFonts w:ascii="Calibri" w:hAnsi="Calibri"/>
                <w:sz w:val="17"/>
              </w:rPr>
              <w:t xml:space="preserve">site:tecnm.mx filetype:env OR filetype:yml "DB_PASSWORD"</w:t>
            </w:r>
          </w:p>
        </w:tc>
        <w:tc>
          <w:tcPr>
            <w:tcW w:w="1584" w:type="dxa"/>
          </w:tcPr>
          <w:p>
            <w:pPr>
              <w:spacing w:line="264" w:lineRule="auto"/>
            </w:pPr>
            <w:r>
              <w:rPr>
                <w:rFonts w:ascii="Calibri" w:hAnsi="Calibri"/>
                <w:sz w:val="17"/>
              </w:rPr>
              <w:t xml:space="preserve">Credenciales</w:t>
            </w:r>
          </w:p>
        </w:tc>
        <w:tc>
          <w:tcPr>
            <w:tcW w:w="4032" w:type="dxa"/>
          </w:tcPr>
          <w:p>
            <w:pPr>
              <w:spacing w:line="264" w:lineRule="auto"/>
            </w:pPr>
            <w:r>
              <w:rPr>
                <w:rFonts w:ascii="Calibri" w:hAnsi="Calibri"/>
                <w:sz w:val="17"/>
              </w:rPr>
              <w:t xml:space="preserve">Busca archivos de configuración y variables de entorno expuestas que puedan revelar contraseñas de bases de datos o llaves de API.</w:t>
            </w:r>
          </w:p>
        </w:tc>
      </w:tr>
      <w:tr>
        <w:tc>
          <w:tcPr>
            <w:tcW w:w="720" w:type="dxa"/>
          </w:tcPr>
          <w:p>
            <w:pPr>
              <w:spacing w:line="264" w:lineRule="auto"/>
            </w:pPr>
            <w:r>
              <w:rPr>
                <w:rFonts w:ascii="Calibri" w:hAnsi="Calibri"/>
                <w:sz w:val="17"/>
              </w:rPr>
              <w:t xml:space="preserve">5</w:t>
            </w:r>
          </w:p>
        </w:tc>
        <w:tc>
          <w:tcPr>
            <w:tcW w:w="3456" w:type="dxa"/>
          </w:tcPr>
          <w:p>
            <w:pPr>
              <w:spacing w:line="264" w:lineRule="auto"/>
            </w:pPr>
            <w:r>
              <w:rPr>
                <w:rFonts w:ascii="Calibri" w:hAnsi="Calibri"/>
                <w:sz w:val="17"/>
              </w:rPr>
              <w:t xml:space="preserve">site:progreso.tecnm.mx inurl:moodle/user OR inurl:view.php</w:t>
            </w:r>
          </w:p>
        </w:tc>
        <w:tc>
          <w:tcPr>
            <w:tcW w:w="1584" w:type="dxa"/>
          </w:tcPr>
          <w:p>
            <w:pPr>
              <w:spacing w:line="264" w:lineRule="auto"/>
            </w:pPr>
            <w:r>
              <w:rPr>
                <w:rFonts w:ascii="Calibri" w:hAnsi="Calibri"/>
                <w:sz w:val="17"/>
              </w:rPr>
              <w:t xml:space="preserve">LMS / Moodle</w:t>
            </w:r>
          </w:p>
        </w:tc>
        <w:tc>
          <w:tcPr>
            <w:tcW w:w="4032" w:type="dxa"/>
          </w:tcPr>
          <w:p>
            <w:pPr>
              <w:spacing w:line="264" w:lineRule="auto"/>
            </w:pPr>
            <w:r>
              <w:rPr>
                <w:rFonts w:ascii="Calibri" w:hAnsi="Calibri"/>
                <w:sz w:val="17"/>
              </w:rPr>
              <w:t xml:space="preserve">Mapea endpoints de la plataforma de aprendizaje Moodle para enumerar identificadores de usuario o cursos con acceso de invitado.</w:t>
            </w:r>
          </w:p>
        </w:tc>
      </w:tr>
      <w:tr>
        <w:tc>
          <w:tcPr>
            <w:tcW w:w="720" w:type="dxa"/>
          </w:tcPr>
          <w:p>
            <w:pPr>
              <w:spacing w:line="264" w:lineRule="auto"/>
            </w:pPr>
            <w:r>
              <w:rPr>
                <w:rFonts w:ascii="Calibri" w:hAnsi="Calibri"/>
                <w:sz w:val="17"/>
              </w:rPr>
              <w:t xml:space="preserve">6</w:t>
            </w:r>
          </w:p>
        </w:tc>
        <w:tc>
          <w:tcPr>
            <w:tcW w:w="3456" w:type="dxa"/>
          </w:tcPr>
          <w:p>
            <w:pPr>
              <w:spacing w:line="264" w:lineRule="auto"/>
            </w:pPr>
            <w:r>
              <w:rPr>
                <w:rFonts w:ascii="Calibri" w:hAnsi="Calibri"/>
                <w:sz w:val="17"/>
              </w:rPr>
              <w:t xml:space="preserve">site:progreso.tecnm.mx filetype:sql OR filetype:bak OR filetype:zip</w:t>
            </w:r>
          </w:p>
        </w:tc>
        <w:tc>
          <w:tcPr>
            <w:tcW w:w="1584" w:type="dxa"/>
          </w:tcPr>
          <w:p>
            <w:pPr>
              <w:spacing w:line="264" w:lineRule="auto"/>
            </w:pPr>
            <w:r>
              <w:rPr>
                <w:rFonts w:ascii="Calibri" w:hAnsi="Calibri"/>
                <w:sz w:val="17"/>
              </w:rPr>
              <w:t xml:space="preserve">Backups</w:t>
            </w:r>
          </w:p>
        </w:tc>
        <w:tc>
          <w:tcPr>
            <w:tcW w:w="4032" w:type="dxa"/>
          </w:tcPr>
          <w:p>
            <w:pPr>
              <w:spacing w:line="264" w:lineRule="auto"/>
            </w:pPr>
            <w:r>
              <w:rPr>
                <w:rFonts w:ascii="Calibri" w:hAnsi="Calibri"/>
                <w:sz w:val="17"/>
              </w:rPr>
              <w:t xml:space="preserve">Encuentra copias de respaldo de bases de datos o código fuente olvidadas en la raíz del servidor tras tareas de mantenimiento.</w:t>
            </w:r>
          </w:p>
        </w:tc>
      </w:tr>
      <w:tr>
        <w:tc>
          <w:tcPr>
            <w:tcW w:w="720" w:type="dxa"/>
          </w:tcPr>
          <w:p>
            <w:pPr>
              <w:spacing w:line="264" w:lineRule="auto"/>
            </w:pPr>
            <w:r>
              <w:rPr>
                <w:rFonts w:ascii="Calibri" w:hAnsi="Calibri"/>
                <w:sz w:val="17"/>
              </w:rPr>
              <w:t xml:space="preserve">7</w:t>
            </w:r>
          </w:p>
        </w:tc>
        <w:tc>
          <w:tcPr>
            <w:tcW w:w="3456" w:type="dxa"/>
          </w:tcPr>
          <w:p>
            <w:pPr>
              <w:spacing w:line="264" w:lineRule="auto"/>
            </w:pPr>
            <w:r>
              <w:rPr>
                <w:rFonts w:ascii="Calibri" w:hAnsi="Calibri"/>
                <w:sz w:val="17"/>
              </w:rPr>
              <w:t xml:space="preserve">site:tecnm.mx inurl:phpinfo.php OR inurl:info.php</w:t>
            </w:r>
          </w:p>
        </w:tc>
        <w:tc>
          <w:tcPr>
            <w:tcW w:w="1584" w:type="dxa"/>
          </w:tcPr>
          <w:p>
            <w:pPr>
              <w:spacing w:line="264" w:lineRule="auto"/>
            </w:pPr>
            <w:r>
              <w:rPr>
                <w:rFonts w:ascii="Calibri" w:hAnsi="Calibri"/>
                <w:sz w:val="17"/>
              </w:rPr>
              <w:t xml:space="preserve">Diagnóstico</w:t>
            </w:r>
          </w:p>
        </w:tc>
        <w:tc>
          <w:tcPr>
            <w:tcW w:w="4032" w:type="dxa"/>
          </w:tcPr>
          <w:p>
            <w:pPr>
              <w:spacing w:line="264" w:lineRule="auto"/>
            </w:pPr>
            <w:r>
              <w:rPr>
                <w:rFonts w:ascii="Calibri" w:hAnsi="Calibri"/>
                <w:sz w:val="17"/>
              </w:rPr>
              <w:t xml:space="preserve">Descubre scripts de diagnóstico que divulgan versiones exactas de PHP, módulos cargados, rutas locales y variables de servidor.</w:t>
            </w:r>
          </w:p>
        </w:tc>
      </w:tr>
      <w:tr>
        <w:tc>
          <w:tcPr>
            <w:tcW w:w="720" w:type="dxa"/>
          </w:tcPr>
          <w:p>
            <w:pPr>
              <w:spacing w:line="264" w:lineRule="auto"/>
            </w:pPr>
            <w:r>
              <w:rPr>
                <w:rFonts w:ascii="Calibri" w:hAnsi="Calibri"/>
                <w:sz w:val="17"/>
              </w:rPr>
              <w:t xml:space="preserve">8</w:t>
            </w:r>
          </w:p>
        </w:tc>
        <w:tc>
          <w:tcPr>
            <w:tcW w:w="3456" w:type="dxa"/>
          </w:tcPr>
          <w:p>
            <w:pPr>
              <w:spacing w:line="264" w:lineRule="auto"/>
            </w:pPr>
            <w:r>
              <w:rPr>
                <w:rFonts w:ascii="Calibri" w:hAnsi="Calibri"/>
                <w:sz w:val="17"/>
              </w:rPr>
              <w:t xml:space="preserve">site:progreso.tecnm.mx filetype:log "error" OR "access"</w:t>
            </w:r>
          </w:p>
        </w:tc>
        <w:tc>
          <w:tcPr>
            <w:tcW w:w="1584" w:type="dxa"/>
          </w:tcPr>
          <w:p>
            <w:pPr>
              <w:spacing w:line="264" w:lineRule="auto"/>
            </w:pPr>
            <w:r>
              <w:rPr>
                <w:rFonts w:ascii="Calibri" w:hAnsi="Calibri"/>
                <w:sz w:val="17"/>
              </w:rPr>
              <w:t xml:space="preserve">Logs</w:t>
            </w:r>
          </w:p>
        </w:tc>
        <w:tc>
          <w:tcPr>
            <w:tcW w:w="4032" w:type="dxa"/>
          </w:tcPr>
          <w:p>
            <w:pPr>
              <w:spacing w:line="264" w:lineRule="auto"/>
            </w:pPr>
            <w:r>
              <w:rPr>
                <w:rFonts w:ascii="Calibri" w:hAnsi="Calibri"/>
                <w:sz w:val="17"/>
              </w:rPr>
              <w:t xml:space="preserve">Expone bitácoras del servidor web que filtran IPs de usuarios, errores de sintaxis SQL, tokens de sesión y llamadas a scripts.</w:t>
            </w:r>
          </w:p>
        </w:tc>
      </w:tr>
      <w:tr>
        <w:tc>
          <w:tcPr>
            <w:tcW w:w="720" w:type="dxa"/>
          </w:tcPr>
          <w:p>
            <w:pPr>
              <w:spacing w:line="264" w:lineRule="auto"/>
            </w:pPr>
            <w:r>
              <w:rPr>
                <w:rFonts w:ascii="Calibri" w:hAnsi="Calibri"/>
                <w:sz w:val="17"/>
              </w:rPr>
              <w:t xml:space="preserve">9</w:t>
            </w:r>
          </w:p>
        </w:tc>
        <w:tc>
          <w:tcPr>
            <w:tcW w:w="3456" w:type="dxa"/>
          </w:tcPr>
          <w:p>
            <w:pPr>
              <w:spacing w:line="264" w:lineRule="auto"/>
            </w:pPr>
            <w:r>
              <w:rPr>
                <w:rFonts w:ascii="Calibri" w:hAnsi="Calibri"/>
                <w:sz w:val="17"/>
              </w:rPr>
              <w:t xml:space="preserve">site:tecnm.mx ext:doc OR ext:docx "curriculum" OR "cv"</w:t>
            </w:r>
          </w:p>
        </w:tc>
        <w:tc>
          <w:tcPr>
            <w:tcW w:w="1584" w:type="dxa"/>
          </w:tcPr>
          <w:p>
            <w:pPr>
              <w:spacing w:line="264" w:lineRule="auto"/>
            </w:pPr>
            <w:r>
              <w:rPr>
                <w:rFonts w:ascii="Calibri" w:hAnsi="Calibri"/>
                <w:sz w:val="17"/>
              </w:rPr>
              <w:t xml:space="preserve">PII / Privacidad</w:t>
            </w:r>
          </w:p>
        </w:tc>
        <w:tc>
          <w:tcPr>
            <w:tcW w:w="4032" w:type="dxa"/>
          </w:tcPr>
          <w:p>
            <w:pPr>
              <w:spacing w:line="264" w:lineRule="auto"/>
            </w:pPr>
            <w:r>
              <w:rPr>
                <w:rFonts w:ascii="Calibri" w:hAnsi="Calibri"/>
                <w:sz w:val="17"/>
              </w:rPr>
              <w:t xml:space="preserve">Detecta currículums o expedientes con datos personales sensibles protegidos por la Ley General de Protección de Datos Personales.</w:t>
            </w:r>
          </w:p>
        </w:tc>
      </w:tr>
      <w:tr>
        <w:tc>
          <w:tcPr>
            <w:tcW w:w="720" w:type="dxa"/>
          </w:tcPr>
          <w:p>
            <w:pPr>
              <w:spacing w:line="264" w:lineRule="auto"/>
            </w:pPr>
            <w:r>
              <w:rPr>
                <w:rFonts w:ascii="Calibri" w:hAnsi="Calibri"/>
                <w:sz w:val="17"/>
              </w:rPr>
              <w:t xml:space="preserve">10</w:t>
            </w:r>
          </w:p>
        </w:tc>
        <w:tc>
          <w:tcPr>
            <w:tcW w:w="3456" w:type="dxa"/>
          </w:tcPr>
          <w:p>
            <w:pPr>
              <w:spacing w:line="264" w:lineRule="auto"/>
            </w:pPr>
            <w:r>
              <w:rPr>
                <w:rFonts w:ascii="Calibri" w:hAnsi="Calibri"/>
                <w:sz w:val="17"/>
              </w:rPr>
              <w:t xml:space="preserve">site:progreso.tecnm.mx inurl:wp-content/uploads/</w:t>
            </w:r>
          </w:p>
        </w:tc>
        <w:tc>
          <w:tcPr>
            <w:tcW w:w="1584" w:type="dxa"/>
          </w:tcPr>
          <w:p>
            <w:pPr>
              <w:spacing w:line="264" w:lineRule="auto"/>
            </w:pPr>
            <w:r>
              <w:rPr>
                <w:rFonts w:ascii="Calibri" w:hAnsi="Calibri"/>
                <w:sz w:val="17"/>
              </w:rPr>
              <w:t xml:space="preserve">Repositorios CMS</w:t>
            </w:r>
          </w:p>
        </w:tc>
        <w:tc>
          <w:tcPr>
            <w:tcW w:w="4032" w:type="dxa"/>
          </w:tcPr>
          <w:p>
            <w:pPr>
              <w:spacing w:line="264" w:lineRule="auto"/>
            </w:pPr>
            <w:r>
              <w:rPr>
                <w:rFonts w:ascii="Calibri" w:hAnsi="Calibri"/>
                <w:sz w:val="17"/>
              </w:rPr>
              <w:t xml:space="preserve">Inspecciona directorios de carga de archivos para identificar documentos subidos por usuarios sin sanitización de extensiones.</w:t>
            </w:r>
          </w:p>
        </w:tc>
      </w:tr>
    </w:tbl>
    <w:p>
      <w:pPr>
        <w:pStyle w:val="Ttulo1"/>
        <w:keepNext/>
        <w:spacing w:before="360" w:after="160"/>
      </w:pPr>
      <w:r>
        <w:rPr>
          <w:rFonts w:ascii="Calibri" w:hAnsi="Calibri"/>
          <w:b/>
          <w:color w:val="0F4761"/>
          <w:sz w:val="34"/>
        </w:rPr>
        <w:t xml:space="preserve">5. Ejercicio 4: Plantillas Cortas de Reporte Formal por Objetivo</w:t>
      </w:r>
    </w:p>
    <w:p>
      <w:pPr>
        <w:spacing w:after="100" w:line="276" w:lineRule="auto"/>
      </w:pPr>
      <w:r>
        <w:rPr>
          <w:rFonts w:ascii="Calibri" w:hAnsi="Calibri"/>
          <w:color w:val="222222"/>
          <w:sz w:val="21"/>
        </w:rPr>
        <w:t xml:space="preserve">A continuación se presentan las fichas técnicas requeridas por la guía docente:</w:t>
      </w:r>
    </w:p>
    <w:p>
      <w:pPr>
        <w:pStyle w:val="Ttulo2"/>
        <w:keepNext/>
        <w:spacing w:before="280" w:after="120"/>
      </w:pPr>
      <w:r>
        <w:rPr>
          <w:rFonts w:ascii="Calibri" w:hAnsi="Calibri"/>
          <w:b/>
          <w:color w:val="0F4761"/>
          <w:sz w:val="26"/>
        </w:rPr>
        <w:t xml:space="preserve">5.1. Ficha de Reporte A: Dominio Principal (Portal Web Institucional)</w:t>
      </w:r>
    </w:p>
    <w:p>
      <w:pPr>
        <w:spacing w:after="100" w:line="276" w:lineRule="auto"/>
      </w:pPr>
      <w:r>
        <w:rPr>
          <w:rFonts w:ascii="Calibri" w:hAnsi="Calibri"/>
          <w:b/>
          <w:color w:val="222222"/>
          <w:sz w:val="21"/>
        </w:rPr>
        <w:t xml:space="preserve">• </w:t>
      </w:r>
      <w:r>
        <w:rPr>
          <w:rFonts w:ascii="Calibri" w:hAnsi="Calibri"/>
          <w:color w:val="222222"/>
          <w:sz w:val="21"/>
        </w:rPr>
        <w:t xml:space="preserve">Objetivo: Auditar exposición de documentos sensibles y listado de directorios en el portal web institucional.</w:t>
      </w:r>
    </w:p>
    <w:p>
      <w:pPr>
        <w:spacing w:after="100" w:line="276" w:lineRule="auto"/>
      </w:pPr>
      <w:r>
        <w:rPr>
          <w:rFonts w:ascii="Calibri" w:hAnsi="Calibri"/>
          <w:b/>
          <w:color w:val="222222"/>
          <w:sz w:val="21"/>
        </w:rPr>
        <w:t xml:space="preserve">• Dominio investigado: </w:t>
      </w:r>
      <w:r>
        <w:rPr>
          <w:rFonts w:ascii="Calibri" w:hAnsi="Calibri"/>
          <w:color w:val="222222"/>
          <w:sz w:val="21"/>
        </w:rPr>
        <w:t xml:space="preserve">progreso.tecnm.mx / www.progreso.tecnm.mx</w:t>
      </w:r>
    </w:p>
    <w:p>
      <w:pPr>
        <w:spacing w:after="100" w:line="276" w:lineRule="auto"/>
      </w:pPr>
      <w:r>
        <w:rPr>
          <w:rFonts w:ascii="Calibri" w:hAnsi="Calibri"/>
          <w:b/>
          <w:color w:val="222222"/>
          <w:sz w:val="21"/>
        </w:rPr>
        <w:t xml:space="preserve">• Dork(s) usadas: </w:t>
      </w:r>
      <w:r>
        <w:rPr>
          <w:rFonts w:ascii="Calibri" w:hAnsi="Calibri"/>
          <w:color w:val="222222"/>
          <w:sz w:val="21"/>
        </w:rPr>
        <w:t xml:space="preserve">site:tecnm.mx filetype:pdf "progreso" | site:progreso.tecnm.mx intitle:"index of"</w:t>
      </w:r>
    </w:p>
    <w:p>
      <w:pPr>
        <w:spacing w:after="100" w:line="276" w:lineRule="auto"/>
      </w:pPr>
      <w:r>
        <w:rPr>
          <w:rFonts w:ascii="Calibri" w:hAnsi="Calibri"/>
          <w:b/>
          <w:color w:val="222222"/>
          <w:sz w:val="21"/>
        </w:rPr>
        <w:t xml:space="preserve">• Hallazgos clave: </w:t>
      </w:r>
      <w:r>
        <w:rPr>
          <w:rFonts w:ascii="Calibri" w:hAnsi="Calibri"/>
          <w:color w:val="222222"/>
          <w:sz w:val="21"/>
        </w:rPr>
        <w:t xml:space="preserve">URL: https://www.tecnm.mx/transparencia/analitico_plazas_progreso.pdf | Tipo: PDF | Descripción: Exposición de plantilla docente, salarios y claves presupuestales completas del plantel.</w:t>
      </w:r>
    </w:p>
    <w:p>
      <w:pPr>
        <w:spacing w:after="100" w:line="276" w:lineRule="auto"/>
      </w:pPr>
      <w:r>
        <w:rPr>
          <w:rFonts w:ascii="Calibri" w:hAnsi="Calibri"/>
          <w:b/>
          <w:color w:val="222222"/>
          <w:sz w:val="21"/>
        </w:rPr>
        <w:t xml:space="preserve">• Riesgo estimado: </w:t>
      </w:r>
      <w:r>
        <w:rPr>
          <w:rFonts w:ascii="Calibri" w:hAnsi="Calibri"/>
          <w:color w:val="222222"/>
          <w:sz w:val="21"/>
        </w:rPr>
        <w:t xml:space="preserve">MEDIO (Exposición de información organizacional interna explotable en ingeniería social y spear phishing).</w:t>
      </w:r>
    </w:p>
    <w:p>
      <w:pPr>
        <w:spacing w:after="100" w:line="276" w:lineRule="auto"/>
      </w:pPr>
      <w:r>
        <w:rPr>
          <w:rFonts w:ascii="Calibri" w:hAnsi="Calibri"/>
          <w:b/>
          <w:color w:val="222222"/>
          <w:sz w:val="21"/>
        </w:rPr>
        <w:t xml:space="preserve">• Recomendaciones: </w:t>
      </w:r>
      <w:r>
        <w:rPr>
          <w:rFonts w:ascii="Calibri" w:hAnsi="Calibri"/>
          <w:color w:val="222222"/>
          <w:sz w:val="21"/>
        </w:rPr>
        <w:t xml:space="preserve">1) Implementar la cabecera 'X-Robots-Tag: noindex, nofollow' en el directorio de transparencia. 2) Deshabilitar la directiva 'Options Indexes' en el servidor web. 3) Sanitizar metadatos con ExifTool antes de publicar.</w:t>
      </w:r>
    </w:p>
    <w:p>
      <w:pPr>
        <w:spacing w:after="100" w:line="276" w:lineRule="auto"/>
      </w:pPr>
      <w:r>
        <w:rPr>
          <w:rFonts w:ascii="Calibri" w:hAnsi="Calibri"/>
          <w:b/>
          <w:color w:val="222222"/>
          <w:sz w:val="21"/>
        </w:rPr>
        <w:t xml:space="preserve">• Fecha/Hora: </w:t>
      </w:r>
      <w:r>
        <w:rPr>
          <w:rFonts w:ascii="Calibri" w:hAnsi="Calibri"/>
          <w:color w:val="222222"/>
          <w:sz w:val="21"/>
        </w:rPr>
        <w:t xml:space="preserve">20 de octubre de 2026 - 10:20 hrs (Hora Local Progreso, Yucatán).</w:t>
      </w:r>
    </w:p>
    <w:p>
      <w:pPr>
        <w:pStyle w:val="Ttulo2"/>
        <w:keepNext/>
        <w:spacing w:before="280" w:after="120"/>
      </w:pPr>
      <w:r>
        <w:rPr>
          <w:rFonts w:ascii="Calibri" w:hAnsi="Calibri"/>
          <w:b/>
          <w:color w:val="0F4761"/>
          <w:sz w:val="26"/>
        </w:rPr>
        <w:t xml:space="preserve">5.2. Ficha de Reporte B: Plataforma Educativa (Moodle en la Nube)</w:t>
      </w:r>
    </w:p>
    <w:p>
      <w:pPr>
        <w:spacing w:after="100" w:line="276" w:lineRule="auto"/>
      </w:pPr>
      <w:r>
        <w:rPr>
          <w:rFonts w:ascii="Calibri" w:hAnsi="Calibri"/>
          <w:b/>
          <w:color w:val="222222"/>
          <w:sz w:val="21"/>
        </w:rPr>
        <w:t xml:space="preserve">• </w:t>
      </w:r>
      <w:r>
        <w:rPr>
          <w:rFonts w:ascii="Calibri" w:hAnsi="Calibri"/>
          <w:color w:val="222222"/>
          <w:sz w:val="21"/>
        </w:rPr>
        <w:t xml:space="preserve">Objetivo: Enumerar infraestructura, certificados y exposición de endpoints en el aula virtual.</w:t>
      </w:r>
    </w:p>
    <w:p>
      <w:pPr>
        <w:spacing w:after="100" w:line="276" w:lineRule="auto"/>
      </w:pPr>
      <w:r>
        <w:rPr>
          <w:rFonts w:ascii="Calibri" w:hAnsi="Calibri"/>
          <w:b/>
          <w:color w:val="222222"/>
          <w:sz w:val="21"/>
        </w:rPr>
        <w:t xml:space="preserve">• Dominio investigado: </w:t>
      </w:r>
      <w:r>
        <w:rPr>
          <w:rFonts w:ascii="Calibri" w:hAnsi="Calibri"/>
          <w:color w:val="222222"/>
          <w:sz w:val="21"/>
        </w:rPr>
        <w:t xml:space="preserve">moodle.progreso.tecnm.mx</w:t>
      </w:r>
    </w:p>
    <w:p>
      <w:pPr>
        <w:spacing w:after="100" w:line="276" w:lineRule="auto"/>
      </w:pPr>
      <w:r>
        <w:rPr>
          <w:rFonts w:ascii="Calibri" w:hAnsi="Calibri"/>
          <w:b/>
          <w:color w:val="222222"/>
          <w:sz w:val="21"/>
        </w:rPr>
        <w:t xml:space="preserve">• Dork(s) / Módulos: </w:t>
      </w:r>
      <w:r>
        <w:rPr>
          <w:rFonts w:ascii="Calibri" w:hAnsi="Calibri"/>
          <w:color w:val="222222"/>
          <w:sz w:val="21"/>
        </w:rPr>
        <w:t xml:space="preserve">site:progreso.tecnm.mx inurl:moodle | sfp_dnsresolve + sfp_sslcert</w:t>
      </w:r>
    </w:p>
    <w:p>
      <w:pPr>
        <w:spacing w:after="100" w:line="276" w:lineRule="auto"/>
      </w:pPr>
      <w:r>
        <w:rPr>
          <w:rFonts w:ascii="Calibri" w:hAnsi="Calibri"/>
          <w:b/>
          <w:color w:val="222222"/>
          <w:sz w:val="21"/>
        </w:rPr>
        <w:t xml:space="preserve">• Hallazgos clave: </w:t>
      </w:r>
      <w:r>
        <w:rPr>
          <w:rFonts w:ascii="Calibri" w:hAnsi="Calibri"/>
          <w:color w:val="222222"/>
          <w:sz w:val="21"/>
        </w:rPr>
        <w:t xml:space="preserve">URL: https://moodle.progreso.tecnm.mx | Tipo: Servicio Web LMS | Descripción: Alojado en Microsoft Azure (IP: 158.23.49.219, ASN 8075). Certificado Let's Encrypt vigente hasta enero de 2027.</w:t>
      </w:r>
    </w:p>
    <w:p>
      <w:pPr>
        <w:spacing w:after="100" w:line="276" w:lineRule="auto"/>
      </w:pPr>
      <w:r>
        <w:rPr>
          <w:rFonts w:ascii="Calibri" w:hAnsi="Calibri"/>
          <w:b/>
          <w:color w:val="222222"/>
          <w:sz w:val="21"/>
        </w:rPr>
        <w:t xml:space="preserve">• Riesgo estimado: </w:t>
      </w:r>
      <w:r>
        <w:rPr>
          <w:rFonts w:ascii="Calibri" w:hAnsi="Calibri"/>
          <w:color w:val="222222"/>
          <w:sz w:val="21"/>
        </w:rPr>
        <w:t xml:space="preserve">BAJO (Infraestructura adecuadamente segmentada en nube con cifrado TLS activo y correo centralizado en Exchange Online).</w:t>
      </w:r>
    </w:p>
    <w:p>
      <w:pPr>
        <w:spacing w:after="100" w:line="276" w:lineRule="auto"/>
      </w:pPr>
      <w:r>
        <w:rPr>
          <w:rFonts w:ascii="Calibri" w:hAnsi="Calibri"/>
          <w:b/>
          <w:color w:val="222222"/>
          <w:sz w:val="21"/>
        </w:rPr>
        <w:t xml:space="preserve">• Recomendaciones: </w:t>
      </w:r>
      <w:r>
        <w:rPr>
          <w:rFonts w:ascii="Calibri" w:hAnsi="Calibri"/>
          <w:color w:val="222222"/>
          <w:sz w:val="21"/>
        </w:rPr>
        <w:t xml:space="preserve">1) Forzar autenticación de doble factor (2FA) para docentes. 2) Ocultar versión de Moodle en las etiquetas HTML. 3) Restringir acceso al archivo cron.php mediante reglas de firewall.</w:t>
      </w:r>
    </w:p>
    <w:p>
      <w:pPr>
        <w:spacing w:after="100" w:line="276" w:lineRule="auto"/>
      </w:pPr>
      <w:r>
        <w:rPr>
          <w:rFonts w:ascii="Calibri" w:hAnsi="Calibri"/>
          <w:b/>
          <w:color w:val="222222"/>
          <w:sz w:val="21"/>
        </w:rPr>
        <w:t xml:space="preserve">• Fecha/Hora: </w:t>
      </w:r>
      <w:r>
        <w:rPr>
          <w:rFonts w:ascii="Calibri" w:hAnsi="Calibri"/>
          <w:color w:val="222222"/>
          <w:sz w:val="21"/>
        </w:rPr>
        <w:t xml:space="preserve">20 de octubre de 2026 - 10:25 hrs.</w:t>
      </w:r>
    </w:p>
    <w:p>
      <w:pPr>
        <w:pStyle w:val="Ttulo1"/>
        <w:keepNext/>
        <w:spacing w:before="360" w:after="160"/>
      </w:pPr>
      <w:r>
        <w:rPr>
          <w:rFonts w:ascii="Calibri" w:hAnsi="Calibri"/>
          <w:b/>
          <w:color w:val="0F4761"/>
          <w:sz w:val="34"/>
        </w:rPr>
        <w:t xml:space="preserve">6. Ejercicio 5: Reconocimiento Automatizado con SpiderFoot 4.0.0</w:t>
      </w:r>
    </w:p>
    <w:p>
      <w:pPr>
        <w:spacing w:after="100" w:line="276" w:lineRule="auto"/>
      </w:pPr>
      <w:r>
        <w:rPr>
          <w:rFonts w:ascii="Calibri" w:hAnsi="Calibri"/>
          <w:color w:val="222222"/>
          <w:sz w:val="21"/>
        </w:rPr>
        <w:t xml:space="preserve">Se desplegó la suite de ciberinteligencia SpiderFoot 4.0.0 en el entorno local de Windows, analizando de forma pasiva los servicios de red, resolución de nombres, autoridades certificadoras e infraestructura de hospedaje.</w:t>
      </w:r>
    </w:p>
    <w:p>
      <w:pPr>
        <w:pStyle w:val="Ttulo2"/>
        <w:keepNext/>
        <w:spacing w:before="280" w:after="120"/>
      </w:pPr>
      <w:r>
        <w:rPr>
          <w:rFonts w:ascii="Calibri" w:hAnsi="Calibri"/>
          <w:b/>
          <w:color w:val="0F4761"/>
          <w:sz w:val="26"/>
        </w:rPr>
        <w:t xml:space="preserve">6.1. Configuración de Escaneo en la Interfaz Web de SpiderFoot</w:t>
      </w:r>
    </w:p>
    <w:p>
      <w:pPr>
        <w:spacing w:after="100" w:line="276" w:lineRule="auto"/>
      </w:pPr>
      <w:r>
        <w:rPr>
          <w:rFonts w:ascii="Calibri" w:hAnsi="Calibri"/>
          <w:color w:val="222222"/>
          <w:sz w:val="21"/>
        </w:rPr>
        <w:t xml:space="preserve">Captura nativa de la pestaña de la aplicación web de SpiderFoot configurando el escaneo pasivo para el objetivo:</w:t>
      </w:r>
    </w:p>
    <w:p>
      <w:pPr>
        <w:spacing w:before="200" w:after="80"/>
        <w:jc w:val="center"/>
      </w:pPr>
    </w:p>
    <w:p>
      <w:r>
        <w:drawing>
          <wp:inline distT="0" distB="0" distL="0" distR="0">
            <wp:extent cx="5303520" cy="2981774"/>
            <wp:effectExtent l="0" t="0" r="0" b="0"/>
            <wp:docPr id="7" name="Picture 7" descr=""/>
            <wp:cNvGraphicFramePr/>
            <a:graphic>
              <a:graphicData uri="http://schemas.openxmlformats.org/drawingml/2006/picture">
                <pic:pic>
                  <pic:nvPicPr>
                    <pic:cNvPr id="0" name="image14.png" descr=""/>
                    <pic:cNvPicPr>
                      <a:picLocks noChangeAspect="1" noChangeArrowheads="1"/>
                    </pic:cNvPicPr>
                  </pic:nvPicPr>
                  <pic:blipFill>
                    <a:blip r:embed="rId4"/>
                    <a:stretch>
                      <a:fillRect/>
                    </a:stretch>
                  </pic:blipFill>
                  <pic:spPr bwMode="auto">
                    <a:xfrm>
                      <a:off x="0" y="0"/>
                      <a:ext cx="5303520" cy="2981774"/>
                    </a:xfrm>
                    <a:prstGeom prst="rect">
                      <a:avLst/>
                    </a:prstGeom>
                  </pic:spPr>
                </pic:pic>
              </a:graphicData>
            </a:graphic>
          </wp:inline>
        </w:drawing>
      </w:r>
    </w:p>
    <w:p>
      <w:pPr>
        <w:spacing w:before="40" w:after="240"/>
        <w:jc w:val="center"/>
      </w:pPr>
      <w:r>
        <w:rPr>
          <w:rFonts w:ascii="Calibri" w:hAnsi="Calibri"/>
          <w:i/>
          <w:color w:val="646464"/>
          <w:sz w:val="18"/>
        </w:rPr>
        <w:t xml:space="preserve">Figura 3: Interfaz de configuración de escaneo pasivo en la aplicación web de SpiderFoot 4.0.0.</w:t>
      </w:r>
    </w:p>
    <w:p>
      <w:pPr>
        <w:pStyle w:val="Ttulo2"/>
        <w:keepNext/>
        <w:spacing w:before="280" w:after="120"/>
      </w:pPr>
      <w:r>
        <w:rPr>
          <w:rFonts w:ascii="Calibri" w:hAnsi="Calibri"/>
          <w:b/>
          <w:color w:val="0F4761"/>
          <w:sz w:val="26"/>
        </w:rPr>
        <w:t xml:space="preserve">6.2. Visualización de Resultados y Correlaciones de SpiderFoot</w:t>
      </w:r>
    </w:p>
    <w:p>
      <w:pPr>
        <w:spacing w:after="100" w:line="276" w:lineRule="auto"/>
      </w:pPr>
      <w:r>
        <w:rPr>
          <w:rFonts w:ascii="Calibri" w:hAnsi="Calibri"/>
          <w:color w:val="222222"/>
          <w:sz w:val="21"/>
        </w:rPr>
        <w:t xml:space="preserve">Captura nativa de la pestaña de resultados de SpiderFoot mostrando el análisis de www.progreso.tecnm.mx:</w:t>
      </w:r>
    </w:p>
    <w:p>
      <w:pPr>
        <w:spacing w:before="200" w:after="80"/>
        <w:jc w:val="center"/>
      </w:pPr>
    </w:p>
    <w:p>
      <w:r>
        <w:drawing>
          <wp:inline distT="0" distB="0" distL="0" distR="0">
            <wp:extent cx="5303520" cy="2981774"/>
            <wp:effectExtent l="0" t="0" r="0" b="0"/>
            <wp:docPr id="8" name="Picture 8" descr=""/>
            <wp:cNvGraphicFramePr/>
            <a:graphic>
              <a:graphicData uri="http://schemas.openxmlformats.org/drawingml/2006/picture">
                <pic:pic>
                  <pic:nvPicPr>
                    <pic:cNvPr id="0" name="image15.png" descr=""/>
                    <pic:cNvPicPr>
                      <a:picLocks noChangeAspect="1" noChangeArrowheads="1"/>
                    </pic:cNvPicPr>
                  </pic:nvPicPr>
                  <pic:blipFill>
                    <a:blip r:embed="rId5"/>
                    <a:stretch>
                      <a:fillRect/>
                    </a:stretch>
                  </pic:blipFill>
                  <pic:spPr bwMode="auto">
                    <a:xfrm>
                      <a:off x="0" y="0"/>
                      <a:ext cx="5303520" cy="2981774"/>
                    </a:xfrm>
                    <a:prstGeom prst="rect">
                      <a:avLst/>
                    </a:prstGeom>
                  </pic:spPr>
                </pic:pic>
              </a:graphicData>
            </a:graphic>
          </wp:inline>
        </w:drawing>
      </w:r>
    </w:p>
    <w:p>
      <w:pPr>
        <w:spacing w:before="40" w:after="240"/>
        <w:jc w:val="center"/>
      </w:pPr>
      <w:r>
        <w:rPr>
          <w:rFonts w:ascii="Calibri" w:hAnsi="Calibri"/>
          <w:i/>
          <w:color w:val="646464"/>
          <w:sz w:val="18"/>
        </w:rPr>
        <w:t xml:space="preserve">Figura 4: Resultados del escaneo y correlación de entidades para www.progreso.tecnm.mx en SpiderFoot.</w:t>
      </w:r>
    </w:p>
    <w:p>
      <w:pPr>
        <w:pStyle w:val="Ttulo2"/>
        <w:keepNext/>
        <w:spacing w:before="280" w:after="120"/>
      </w:pPr>
      <w:r>
        <w:rPr>
          <w:rFonts w:ascii="Calibri" w:hAnsi="Calibri"/>
          <w:b/>
          <w:color w:val="0F4761"/>
          <w:sz w:val="26"/>
        </w:rPr>
        <w:t xml:space="preserve">6.3. Infraestructura Externa Identificada (Hosting, Cloud y Correo)</w:t>
      </w:r>
    </w:p>
    <w:p>
      <w:pPr>
        <w:spacing w:after="100" w:line="276" w:lineRule="auto"/>
      </w:pPr>
      <w:r>
        <w:rPr>
          <w:rFonts w:ascii="Calibri" w:hAnsi="Calibri"/>
          <w:color w:val="222222"/>
          <w:sz w:val="21"/>
        </w:rPr>
        <w:t xml:space="preserve">Los datos recolectados revelan una infraestructura híbrida dividida en tres proveedores tier-1:</w:t>
        <w:br/>
        <w:t xml:space="preserve">1. Portal Web Principal (www.progreso.tecnm.mx - 174.136.25.64):</w:t>
        <w:br/>
        <w:t xml:space="preserve">   - Proveedor de Hospedaje: TierPoint LLC (Dallas, Texas, EE.UU. - ASN 17378).</w:t>
        <w:br/>
        <w:t xml:space="preserve">   - Red de Centro de Datos: COLO4-BLK6 (colo4-64.colo4dallas.com).</w:t>
        <w:br/>
        <w:t xml:space="preserve">2. Plataforma Educativa (moodle.progreso.tecnm.mx - 158.23.49.219):</w:t>
        <w:br/>
        <w:t xml:space="preserve">   - Proveedor Cloud: Microsoft Corporation (Microsoft Azure Cloud - ASN 8075).</w:t>
        <w:br/>
        <w:t xml:space="preserve">3. Resolución DNS y Correo Institucional:</w:t>
        <w:br/>
        <w:t xml:space="preserve">   - DNS Anycast: Azure DNS (ns1-09 a ns4-09).</w:t>
        <w:br/>
        <w:t xml:space="preserve">   - Plataforma de Correo: Microsoft 365 Exchange Online Protection con política SPF estricta.</w:t>
      </w:r>
    </w:p>
    <w:p>
      <w:pPr>
        <w:pStyle w:val="Ttulo2"/>
        <w:keepNext/>
        <w:spacing w:before="280" w:after="120"/>
      </w:pPr>
      <w:r>
        <w:rPr>
          <w:rFonts w:ascii="Calibri" w:hAnsi="Calibri"/>
          <w:b/>
          <w:color w:val="0F4761"/>
          <w:sz w:val="26"/>
        </w:rPr>
        <w:t xml:space="preserve">6.4. Panel de Gestión y Registro de Escaneos de SpiderFoot</w:t>
      </w:r>
    </w:p>
    <w:p>
      <w:pPr>
        <w:spacing w:after="100" w:line="276" w:lineRule="auto"/>
      </w:pPr>
      <w:r>
        <w:rPr>
          <w:rFonts w:ascii="Calibri" w:hAnsi="Calibri"/>
          <w:color w:val="222222"/>
          <w:sz w:val="21"/>
        </w:rPr>
        <w:t xml:space="preserve">Captura nativa de la pestaña de administración de escaneos de SpiderFoot confirmando el estado finalizado:</w:t>
      </w:r>
    </w:p>
    <w:p>
      <w:pPr>
        <w:spacing w:before="200" w:after="80"/>
        <w:jc w:val="center"/>
      </w:pPr>
    </w:p>
    <w:p>
      <w:r>
        <w:drawing>
          <wp:inline distT="0" distB="0" distL="0" distR="0">
            <wp:extent cx="5303520" cy="2981774"/>
            <wp:effectExtent l="0" t="0" r="0" b="0"/>
            <wp:docPr id="9" name="Picture 9" descr=""/>
            <wp:cNvGraphicFramePr/>
            <a:graphic>
              <a:graphicData uri="http://schemas.openxmlformats.org/drawingml/2006/picture">
                <pic:pic>
                  <pic:nvPicPr>
                    <pic:cNvPr id="0" name="image16.png" descr=""/>
                    <pic:cNvPicPr>
                      <a:picLocks noChangeAspect="1" noChangeArrowheads="1"/>
                    </pic:cNvPicPr>
                  </pic:nvPicPr>
                  <pic:blipFill>
                    <a:blip r:embed="rId6"/>
                    <a:stretch>
                      <a:fillRect/>
                    </a:stretch>
                  </pic:blipFill>
                  <pic:spPr bwMode="auto">
                    <a:xfrm>
                      <a:off x="0" y="0"/>
                      <a:ext cx="5303520" cy="2981774"/>
                    </a:xfrm>
                    <a:prstGeom prst="rect">
                      <a:avLst/>
                    </a:prstGeom>
                  </pic:spPr>
                </pic:pic>
              </a:graphicData>
            </a:graphic>
          </wp:inline>
        </w:drawing>
      </w:r>
    </w:p>
    <w:p>
      <w:pPr>
        <w:spacing w:before="40" w:after="240"/>
        <w:jc w:val="center"/>
      </w:pPr>
      <w:r>
        <w:rPr>
          <w:rFonts w:ascii="Calibri" w:hAnsi="Calibri"/>
          <w:i/>
          <w:color w:val="646464"/>
          <w:sz w:val="18"/>
        </w:rPr>
        <w:t xml:space="preserve">Figura 5: Panel de control y registro de escaneos finalizados en la suite SpiderFoot.</w:t>
      </w:r>
    </w:p>
    <w:p>
      <w:pPr>
        <w:pStyle w:val="Ttulo1"/>
        <w:keepNext/>
        <w:spacing w:before="360" w:after="160"/>
      </w:pPr>
      <w:r>
        <w:rPr>
          <w:rFonts w:ascii="Calibri" w:hAnsi="Calibri"/>
          <w:b/>
          <w:color w:val="0F4761"/>
          <w:sz w:val="34"/>
        </w:rPr>
        <w:t xml:space="preserve">7. Simulación de Due Diligence y Análisis Comparativo de APIs</w:t>
      </w:r>
    </w:p>
    <w:p>
      <w:pPr>
        <w:pStyle w:val="Ttulo2"/>
        <w:keepNext/>
        <w:spacing w:before="280" w:after="120"/>
      </w:pPr>
      <w:r>
        <w:rPr>
          <w:rFonts w:ascii="Calibri" w:hAnsi="Calibri"/>
          <w:b/>
          <w:color w:val="0F4761"/>
          <w:sz w:val="26"/>
        </w:rPr>
        <w:t xml:space="preserve">7.1. Resumen Ejecutivo del Due Diligence</w:t>
      </w:r>
    </w:p>
    <w:p>
      <w:pPr>
        <w:spacing w:after="100" w:line="276" w:lineRule="auto"/>
      </w:pPr>
      <w:r>
        <w:rPr>
          <w:rFonts w:ascii="Calibri" w:hAnsi="Calibri"/>
          <w:color w:val="222222"/>
          <w:sz w:val="21"/>
        </w:rPr>
        <w:t xml:space="preserve">La evaluación pasiva del Instituto Tecnológico Superior Progreso demuestra una postura de ciberseguridad resiliente en sus servicios perimetrales de correo y DNS gracias a la adopción del ecosistema Microsoft 365 y Azure. No obstante, se detectaron brechas de exposición de información sensible generadas por la indexación pública de documentos organizacionales en el dominio paraguas tecnm.mx. Estas fugas constituyen insumos de alto valor para adversarios que diseñen campañas de phishing y fraude por suplantación de identidad institucional.</w:t>
      </w:r>
    </w:p>
    <w:p>
      <w:pPr>
        <w:pStyle w:val="Ttulo2"/>
        <w:keepNext/>
        <w:spacing w:before="280" w:after="120"/>
      </w:pPr>
      <w:r>
        <w:rPr>
          <w:rFonts w:ascii="Calibri" w:hAnsi="Calibri"/>
          <w:b/>
          <w:color w:val="0F4761"/>
          <w:sz w:val="26"/>
        </w:rPr>
        <w:t xml:space="preserve">7.2. Límite de APIs: Escaneo Pasivo Gratuito vs Servicios Comerciales</w:t>
      </w:r>
    </w:p>
    <w:p>
      <w:pPr>
        <w:spacing w:after="100" w:line="276" w:lineRule="auto"/>
      </w:pPr>
      <w:r>
        <w:rPr>
          <w:rFonts w:ascii="Calibri" w:hAnsi="Calibri"/>
          <w:color w:val="222222"/>
          <w:sz w:val="21"/>
        </w:rPr>
        <w:t xml:space="preserve">En SpiderFoot, la presencia de claves de API modifica drásticamente la capacidad de recolección de inteligencia:</w:t>
      </w:r>
    </w:p>
    <w:tbl>
      <w:tblPr>
        <w:tblW w:w="0" w:type="auto"/>
        <w:jc w:val="center"/>
        <w:tblLayout w:type="fixed"/>
        <w:tblLook w:val="04A0" w:firstRow="1" w:lastRow="0" w:firstColumn="1" w:lastColumn="0" w:noHBand="0" w:noVBand="1"/>
      </w:tblPr>
      <w:tblGrid>
        <w:gridCol w:w="2340"/>
        <w:gridCol w:w="2340"/>
        <w:gridCol w:w="2340"/>
        <w:gridCol w:w="2340"/>
      </w:tblGrid>
      <w:tr>
        <w:tc>
          <w:tcPr>
            <w:tcW w:w="2160" w:type="dxa"/>
            <w:shd w:val="clear" w:color="auto" w:fill="0F4761"/>
          </w:tcPr>
          <w:p>
            <w:r>
              <w:rPr>
                <w:rFonts w:ascii="Calibri" w:hAnsi="Calibri"/>
                <w:b/>
                <w:color w:val="FFFFFF"/>
                <w:sz w:val="19"/>
              </w:rPr>
              <w:t xml:space="preserve">Dimensión / Servicio</w:t>
            </w:r>
          </w:p>
        </w:tc>
        <w:tc>
          <w:tcPr>
            <w:tcW w:w="2592" w:type="dxa"/>
            <w:shd w:val="clear" w:color="auto" w:fill="0F4761"/>
          </w:tcPr>
          <w:p>
            <w:r>
              <w:rPr>
                <w:rFonts w:ascii="Calibri" w:hAnsi="Calibri"/>
                <w:b/>
                <w:color w:val="FFFFFF"/>
                <w:sz w:val="19"/>
              </w:rPr>
              <w:t xml:space="preserve">Escaneo Sin API Keys (Gratuito)</w:t>
            </w:r>
          </w:p>
        </w:tc>
        <w:tc>
          <w:tcPr>
            <w:tcW w:w="2592" w:type="dxa"/>
            <w:shd w:val="clear" w:color="auto" w:fill="0F4761"/>
          </w:tcPr>
          <w:p>
            <w:r>
              <w:rPr>
                <w:rFonts w:ascii="Calibri" w:hAnsi="Calibri"/>
                <w:b/>
                <w:color w:val="FFFFFF"/>
                <w:sz w:val="19"/>
              </w:rPr>
              <w:t xml:space="preserve">Escaneo Con API Keys (Comercial)</w:t>
            </w:r>
          </w:p>
        </w:tc>
        <w:tc>
          <w:tcPr>
            <w:tcW w:w="2448" w:type="dxa"/>
            <w:shd w:val="clear" w:color="auto" w:fill="0F4761"/>
          </w:tcPr>
          <w:p>
            <w:r>
              <w:rPr>
                <w:rFonts w:ascii="Calibri" w:hAnsi="Calibri"/>
                <w:b/>
                <w:color w:val="FFFFFF"/>
                <w:sz w:val="19"/>
              </w:rPr>
              <w:t xml:space="preserve">Impacto en la Operación</w:t>
            </w:r>
          </w:p>
        </w:tc>
      </w:tr>
      <w:tr>
        <w:tc>
          <w:tcPr>
            <w:tcW w:w="2160" w:type="dxa"/>
          </w:tcPr>
          <w:p>
            <w:pPr>
              <w:spacing w:line="264" w:lineRule="auto"/>
            </w:pPr>
            <w:r>
              <w:rPr>
                <w:rFonts w:ascii="Calibri" w:hAnsi="Calibri"/>
                <w:sz w:val="17"/>
              </w:rPr>
              <w:t xml:space="preserve">Shodan / Censys</w:t>
            </w:r>
          </w:p>
        </w:tc>
        <w:tc>
          <w:tcPr>
            <w:tcW w:w="2592" w:type="dxa"/>
          </w:tcPr>
          <w:p>
            <w:pPr>
              <w:spacing w:line="264" w:lineRule="auto"/>
            </w:pPr>
            <w:r>
              <w:rPr>
                <w:rFonts w:ascii="Calibri" w:hAnsi="Calibri"/>
                <w:sz w:val="17"/>
              </w:rPr>
              <w:t xml:space="preserve">Sin datos o limitado a consultas web públicas con bloqueo por captcha.</w:t>
            </w:r>
          </w:p>
        </w:tc>
        <w:tc>
          <w:tcPr>
            <w:tcW w:w="2592" w:type="dxa"/>
          </w:tcPr>
          <w:p>
            <w:pPr>
              <w:spacing w:line="264" w:lineRule="auto"/>
            </w:pPr>
            <w:r>
              <w:rPr>
                <w:rFonts w:ascii="Calibri" w:hAnsi="Calibri"/>
                <w:sz w:val="17"/>
              </w:rPr>
              <w:t xml:space="preserve">Mapeo de puertos abiertos, banners de servicios, certificados históricos y CVEs vinculados.</w:t>
            </w:r>
          </w:p>
        </w:tc>
        <w:tc>
          <w:tcPr>
            <w:tcW w:w="2448" w:type="dxa"/>
          </w:tcPr>
          <w:p>
            <w:pPr>
              <w:spacing w:line="264" w:lineRule="auto"/>
            </w:pPr>
            <w:r>
              <w:rPr>
                <w:rFonts w:ascii="Calibri" w:hAnsi="Calibri"/>
                <w:sz w:val="17"/>
              </w:rPr>
              <w:t xml:space="preserve">Identifica servicios vulnerables sin enviar un solo paquete directo al objetivo.</w:t>
            </w:r>
          </w:p>
        </w:tc>
      </w:tr>
      <w:tr>
        <w:tc>
          <w:tcPr>
            <w:tcW w:w="2160" w:type="dxa"/>
          </w:tcPr>
          <w:p>
            <w:pPr>
              <w:spacing w:line="264" w:lineRule="auto"/>
            </w:pPr>
            <w:r>
              <w:rPr>
                <w:rFonts w:ascii="Calibri" w:hAnsi="Calibri"/>
                <w:sz w:val="17"/>
              </w:rPr>
              <w:t xml:space="preserve">VirusTotal / AbuseIPDB</w:t>
            </w:r>
          </w:p>
        </w:tc>
        <w:tc>
          <w:tcPr>
            <w:tcW w:w="2592" w:type="dxa"/>
          </w:tcPr>
          <w:p>
            <w:pPr>
              <w:spacing w:line="264" w:lineRule="auto"/>
            </w:pPr>
            <w:r>
              <w:rPr>
                <w:rFonts w:ascii="Calibri" w:hAnsi="Calibri"/>
                <w:sz w:val="17"/>
              </w:rPr>
              <w:t xml:space="preserve">Limitado a 4 consultas por minuto; datos históricos truncados.</w:t>
            </w:r>
          </w:p>
        </w:tc>
        <w:tc>
          <w:tcPr>
            <w:tcW w:w="2592" w:type="dxa"/>
          </w:tcPr>
          <w:p>
            <w:pPr>
              <w:spacing w:line="264" w:lineRule="auto"/>
            </w:pPr>
            <w:r>
              <w:rPr>
                <w:rFonts w:ascii="Calibri" w:hAnsi="Calibri"/>
                <w:sz w:val="17"/>
              </w:rPr>
              <w:t xml:space="preserve">Historial completo de resoluciones pasivas DNS, muestras de malware asociadas y reportes de abuso.</w:t>
            </w:r>
          </w:p>
        </w:tc>
        <w:tc>
          <w:tcPr>
            <w:tcW w:w="2448" w:type="dxa"/>
          </w:tcPr>
          <w:p>
            <w:pPr>
              <w:spacing w:line="264" w:lineRule="auto"/>
            </w:pPr>
            <w:r>
              <w:rPr>
                <w:rFonts w:ascii="Calibri" w:hAnsi="Calibri"/>
                <w:sz w:val="17"/>
              </w:rPr>
              <w:t xml:space="preserve">Permite correlacionar si la IP alojó dominios maliciosos previamente.</w:t>
            </w:r>
          </w:p>
        </w:tc>
      </w:tr>
      <w:tr>
        <w:tc>
          <w:tcPr>
            <w:tcW w:w="2160" w:type="dxa"/>
          </w:tcPr>
          <w:p>
            <w:pPr>
              <w:spacing w:line="264" w:lineRule="auto"/>
            </w:pPr>
            <w:r>
              <w:rPr>
                <w:rFonts w:ascii="Calibri" w:hAnsi="Calibri"/>
                <w:sz w:val="17"/>
              </w:rPr>
              <w:t xml:space="preserve">Hunter.io / Clearbit</w:t>
            </w:r>
          </w:p>
        </w:tc>
        <w:tc>
          <w:tcPr>
            <w:tcW w:w="2592" w:type="dxa"/>
          </w:tcPr>
          <w:p>
            <w:pPr>
              <w:spacing w:line="264" w:lineRule="auto"/>
            </w:pPr>
            <w:r>
              <w:rPr>
                <w:rFonts w:ascii="Calibri" w:hAnsi="Calibri"/>
                <w:sz w:val="17"/>
              </w:rPr>
              <w:t xml:space="preserve">Módulos deshabilitados; cero correos corporativos recuperados.</w:t>
            </w:r>
          </w:p>
        </w:tc>
        <w:tc>
          <w:tcPr>
            <w:tcW w:w="2592" w:type="dxa"/>
          </w:tcPr>
          <w:p>
            <w:pPr>
              <w:spacing w:line="264" w:lineRule="auto"/>
            </w:pPr>
            <w:r>
              <w:rPr>
                <w:rFonts w:ascii="Calibri" w:hAnsi="Calibri"/>
                <w:sz w:val="17"/>
              </w:rPr>
              <w:t xml:space="preserve">Extracción de patrones de correo corporativo (ej. nombre.apellido@progreso.tecnm.mx).</w:t>
            </w:r>
          </w:p>
        </w:tc>
        <w:tc>
          <w:tcPr>
            <w:tcW w:w="2448" w:type="dxa"/>
          </w:tcPr>
          <w:p>
            <w:pPr>
              <w:spacing w:line="264" w:lineRule="auto"/>
            </w:pPr>
            <w:r>
              <w:rPr>
                <w:rFonts w:ascii="Calibri" w:hAnsi="Calibri"/>
                <w:sz w:val="17"/>
              </w:rPr>
              <w:t xml:space="preserve">Acelera la creación de listas de objetivos para pruebas de concientización de phishing.</w:t>
            </w:r>
          </w:p>
        </w:tc>
      </w:tr>
      <w:tr>
        <w:tc>
          <w:tcPr>
            <w:tcW w:w="2160" w:type="dxa"/>
          </w:tcPr>
          <w:p>
            <w:pPr>
              <w:spacing w:line="264" w:lineRule="auto"/>
            </w:pPr>
            <w:r>
              <w:rPr>
                <w:rFonts w:ascii="Calibri" w:hAnsi="Calibri"/>
                <w:sz w:val="17"/>
              </w:rPr>
              <w:t xml:space="preserve">Costos y Disponibilidad</w:t>
            </w:r>
          </w:p>
        </w:tc>
        <w:tc>
          <w:tcPr>
            <w:tcW w:w="2592" w:type="dxa"/>
          </w:tcPr>
          <w:p>
            <w:pPr>
              <w:spacing w:line="264" w:lineRule="auto"/>
            </w:pPr>
            <w:r>
              <w:rPr>
                <w:rFonts w:ascii="Calibri" w:hAnsi="Calibri"/>
                <w:sz w:val="17"/>
              </w:rPr>
              <w:t xml:space="preserve">100% Gratuito, ideal para laboratorios académicos y validaciones iniciales.</w:t>
            </w:r>
          </w:p>
        </w:tc>
        <w:tc>
          <w:tcPr>
            <w:tcW w:w="2592" w:type="dxa"/>
          </w:tcPr>
          <w:p>
            <w:pPr>
              <w:spacing w:line="264" w:lineRule="auto"/>
            </w:pPr>
            <w:r>
              <w:rPr>
                <w:rFonts w:ascii="Calibri" w:hAnsi="Calibri"/>
                <w:sz w:val="17"/>
              </w:rPr>
              <w:t xml:space="preserve">Requiere suscripciones de pago y control estricto de consumo de tokens/cuotas.</w:t>
            </w:r>
          </w:p>
        </w:tc>
        <w:tc>
          <w:tcPr>
            <w:tcW w:w="2448" w:type="dxa"/>
          </w:tcPr>
          <w:p>
            <w:pPr>
              <w:spacing w:line="264" w:lineRule="auto"/>
            </w:pPr>
            <w:r>
              <w:rPr>
                <w:rFonts w:ascii="Calibri" w:hAnsi="Calibri"/>
                <w:sz w:val="17"/>
              </w:rPr>
              <w:t xml:space="preserve">Se debe priorizar fuentes abiertas gratuitas y activar APIs comerciales solo para objetivos clave.</w:t>
            </w:r>
          </w:p>
        </w:tc>
      </w:tr>
    </w:tbl>
    <w:p>
      <w:pPr>
        <w:pStyle w:val="Ttulo1"/>
        <w:keepNext/>
        <w:spacing w:before="360" w:after="160"/>
      </w:pPr>
      <w:r>
        <w:rPr>
          <w:rFonts w:ascii="Calibri" w:hAnsi="Calibri"/>
          <w:b/>
          <w:color w:val="0F4761"/>
          <w:sz w:val="34"/>
        </w:rPr>
        <w:t xml:space="preserve">8. Matriz Pericial de Riesgos y Plan de Hardening Defensivo</w:t>
      </w:r>
    </w:p>
    <w:p>
      <w:pPr>
        <w:spacing w:after="100" w:line="276" w:lineRule="auto"/>
      </w:pPr>
      <w:r>
        <w:rPr>
          <w:rFonts w:ascii="Calibri" w:hAnsi="Calibri"/>
          <w:color w:val="222222"/>
          <w:sz w:val="21"/>
        </w:rPr>
        <w:t xml:space="preserve">Se evaluaron los hallazgos mediante la métrica estandarizada Common Vulnerability Scoring System (CVSS v3.1):</w:t>
      </w:r>
    </w:p>
    <w:tbl>
      <w:tblPr>
        <w:tblW w:w="0" w:type="auto"/>
        <w:jc w:val="center"/>
        <w:tblLayout w:type="fixed"/>
        <w:tblLook w:val="04A0" w:firstRow="1" w:lastRow="0" w:firstColumn="1" w:lastColumn="0" w:noHBand="0" w:noVBand="1"/>
      </w:tblPr>
      <w:tblGrid>
        <w:gridCol w:w="1872"/>
        <w:gridCol w:w="1872"/>
        <w:gridCol w:w="1872"/>
        <w:gridCol w:w="1872"/>
        <w:gridCol w:w="1872"/>
      </w:tblGrid>
      <w:tr>
        <w:tc>
          <w:tcPr>
            <w:tcW w:w="2592" w:type="dxa"/>
            <w:shd w:val="clear" w:color="auto" w:fill="0F4761"/>
          </w:tcPr>
          <w:p>
            <w:r>
              <w:rPr>
                <w:rFonts w:ascii="Calibri" w:hAnsi="Calibri"/>
                <w:b/>
                <w:color w:val="FFFFFF"/>
                <w:sz w:val="19"/>
              </w:rPr>
              <w:t xml:space="preserve">Vulnerabilidad / Hallazgo</w:t>
            </w:r>
          </w:p>
        </w:tc>
        <w:tc>
          <w:tcPr>
            <w:tcW w:w="1440" w:type="dxa"/>
            <w:shd w:val="clear" w:color="auto" w:fill="0F4761"/>
          </w:tcPr>
          <w:p>
            <w:r>
              <w:rPr>
                <w:rFonts w:ascii="Calibri" w:hAnsi="Calibri"/>
                <w:b/>
                <w:color w:val="FFFFFF"/>
                <w:sz w:val="19"/>
              </w:rPr>
              <w:t xml:space="preserve">Severidad</w:t>
            </w:r>
          </w:p>
        </w:tc>
        <w:tc>
          <w:tcPr>
            <w:tcW w:w="1440" w:type="dxa"/>
            <w:shd w:val="clear" w:color="auto" w:fill="0F4761"/>
          </w:tcPr>
          <w:p>
            <w:r>
              <w:rPr>
                <w:rFonts w:ascii="Calibri" w:hAnsi="Calibri"/>
                <w:b/>
                <w:color w:val="FFFFFF"/>
                <w:sz w:val="19"/>
              </w:rPr>
              <w:t xml:space="preserve">Puntaje CVSS</w:t>
            </w:r>
          </w:p>
        </w:tc>
        <w:tc>
          <w:tcPr>
            <w:tcW w:w="2880" w:type="dxa"/>
            <w:shd w:val="clear" w:color="auto" w:fill="0F4761"/>
          </w:tcPr>
          <w:p>
            <w:r>
              <w:rPr>
                <w:rFonts w:ascii="Calibri" w:hAnsi="Calibri"/>
                <w:b/>
                <w:color w:val="FFFFFF"/>
                <w:sz w:val="19"/>
              </w:rPr>
              <w:t xml:space="preserve">Vector de Ataque</w:t>
            </w:r>
          </w:p>
        </w:tc>
        <w:tc>
          <w:tcPr>
            <w:tcW w:w="1440" w:type="dxa"/>
            <w:shd w:val="clear" w:color="auto" w:fill="0F4761"/>
          </w:tcPr>
          <w:p>
            <w:r>
              <w:rPr>
                <w:rFonts w:ascii="Calibri" w:hAnsi="Calibri"/>
                <w:b/>
                <w:color w:val="FFFFFF"/>
                <w:sz w:val="19"/>
              </w:rPr>
              <w:t xml:space="preserve">Acción de Remediación</w:t>
            </w:r>
          </w:p>
        </w:tc>
      </w:tr>
      <w:tr>
        <w:tc>
          <w:tcPr>
            <w:tcW w:w="2592" w:type="dxa"/>
          </w:tcPr>
          <w:p>
            <w:pPr>
              <w:spacing w:line="264" w:lineRule="auto"/>
            </w:pPr>
            <w:r>
              <w:rPr>
                <w:rFonts w:ascii="Calibri" w:hAnsi="Calibri"/>
                <w:sz w:val="17"/>
              </w:rPr>
              <w:t xml:space="preserve">Fuga de Metadatos en Archivos PDF/XLSX</w:t>
            </w:r>
          </w:p>
        </w:tc>
        <w:tc>
          <w:tcPr>
            <w:tcW w:w="1440" w:type="dxa"/>
          </w:tcPr>
          <w:p>
            <w:pPr>
              <w:spacing w:line="264" w:lineRule="auto"/>
            </w:pPr>
            <w:r>
              <w:rPr>
                <w:rFonts w:ascii="Calibri" w:hAnsi="Calibri"/>
                <w:sz w:val="17"/>
              </w:rPr>
              <w:t xml:space="preserve">Media</w:t>
            </w:r>
          </w:p>
        </w:tc>
        <w:tc>
          <w:tcPr>
            <w:tcW w:w="1440" w:type="dxa"/>
          </w:tcPr>
          <w:p>
            <w:pPr>
              <w:spacing w:line="264" w:lineRule="auto"/>
            </w:pPr>
            <w:r>
              <w:rPr>
                <w:rFonts w:ascii="Calibri" w:hAnsi="Calibri"/>
                <w:sz w:val="17"/>
              </w:rPr>
              <w:t xml:space="preserve">5.3</w:t>
            </w:r>
          </w:p>
        </w:tc>
        <w:tc>
          <w:tcPr>
            <w:tcW w:w="2880" w:type="dxa"/>
          </w:tcPr>
          <w:p>
            <w:pPr>
              <w:spacing w:line="264" w:lineRule="auto"/>
            </w:pPr>
            <w:r>
              <w:rPr>
                <w:rFonts w:ascii="Calibri" w:hAnsi="Calibri"/>
                <w:sz w:val="17"/>
              </w:rPr>
              <w:t xml:space="preserve">CVSS:3.1/AV:N/AC:L/PR:N/UI:N/S:U/C:L/I:N/A:N</w:t>
            </w:r>
          </w:p>
        </w:tc>
        <w:tc>
          <w:tcPr>
            <w:tcW w:w="1440" w:type="dxa"/>
          </w:tcPr>
          <w:p>
            <w:pPr>
              <w:spacing w:line="264" w:lineRule="auto"/>
            </w:pPr>
            <w:r>
              <w:rPr>
                <w:rFonts w:ascii="Calibri" w:hAnsi="Calibri"/>
                <w:sz w:val="17"/>
              </w:rPr>
              <w:t xml:space="preserve">Sanitizar documentos con ExifTool antes de su carga web; implementar política institucional de borrado de metadatos.</w:t>
            </w:r>
          </w:p>
        </w:tc>
      </w:tr>
      <w:tr>
        <w:tc>
          <w:tcPr>
            <w:tcW w:w="2592" w:type="dxa"/>
          </w:tcPr>
          <w:p>
            <w:pPr>
              <w:spacing w:line="264" w:lineRule="auto"/>
            </w:pPr>
            <w:r>
              <w:rPr>
                <w:rFonts w:ascii="Calibri" w:hAnsi="Calibri"/>
                <w:sz w:val="17"/>
              </w:rPr>
              <w:t xml:space="preserve">Directorio de Transparencia Indexado en Google</w:t>
            </w:r>
          </w:p>
        </w:tc>
        <w:tc>
          <w:tcPr>
            <w:tcW w:w="1440" w:type="dxa"/>
          </w:tcPr>
          <w:p>
            <w:pPr>
              <w:spacing w:line="264" w:lineRule="auto"/>
            </w:pPr>
            <w:r>
              <w:rPr>
                <w:rFonts w:ascii="Calibri" w:hAnsi="Calibri"/>
                <w:sz w:val="17"/>
              </w:rPr>
              <w:t xml:space="preserve">Media</w:t>
            </w:r>
          </w:p>
        </w:tc>
        <w:tc>
          <w:tcPr>
            <w:tcW w:w="1440" w:type="dxa"/>
          </w:tcPr>
          <w:p>
            <w:pPr>
              <w:spacing w:line="264" w:lineRule="auto"/>
            </w:pPr>
            <w:r>
              <w:rPr>
                <w:rFonts w:ascii="Calibri" w:hAnsi="Calibri"/>
                <w:sz w:val="17"/>
              </w:rPr>
              <w:t xml:space="preserve">5.1</w:t>
            </w:r>
          </w:p>
        </w:tc>
        <w:tc>
          <w:tcPr>
            <w:tcW w:w="2880" w:type="dxa"/>
          </w:tcPr>
          <w:p>
            <w:pPr>
              <w:spacing w:line="264" w:lineRule="auto"/>
            </w:pPr>
            <w:r>
              <w:rPr>
                <w:rFonts w:ascii="Calibri" w:hAnsi="Calibri"/>
                <w:sz w:val="17"/>
              </w:rPr>
              <w:t xml:space="preserve">CVSS:3.1/AV:N/AC:L/PR:N/UI:N/S:U/C:L/I:N/A:N</w:t>
            </w:r>
          </w:p>
        </w:tc>
        <w:tc>
          <w:tcPr>
            <w:tcW w:w="1440" w:type="dxa"/>
          </w:tcPr>
          <w:p>
            <w:pPr>
              <w:spacing w:line="264" w:lineRule="auto"/>
            </w:pPr>
            <w:r>
              <w:rPr>
                <w:rFonts w:ascii="Calibri" w:hAnsi="Calibri"/>
                <w:sz w:val="17"/>
              </w:rPr>
              <w:t xml:space="preserve">Agregar 'Disallow: /transparencia/' en robots.txt e inyectar cabecera 'X-Robots-Tag: noindex' en el servidor web.</w:t>
            </w:r>
          </w:p>
        </w:tc>
      </w:tr>
      <w:tr>
        <w:tc>
          <w:tcPr>
            <w:tcW w:w="2592" w:type="dxa"/>
          </w:tcPr>
          <w:p>
            <w:pPr>
              <w:spacing w:line="264" w:lineRule="auto"/>
            </w:pPr>
            <w:r>
              <w:rPr>
                <w:rFonts w:ascii="Calibri" w:hAnsi="Calibri"/>
                <w:sz w:val="17"/>
              </w:rPr>
              <w:t xml:space="preserve">Exposición de Datos Históricos en Wayback Machine</w:t>
            </w:r>
          </w:p>
        </w:tc>
        <w:tc>
          <w:tcPr>
            <w:tcW w:w="1440" w:type="dxa"/>
          </w:tcPr>
          <w:p>
            <w:pPr>
              <w:spacing w:line="264" w:lineRule="auto"/>
            </w:pPr>
            <w:r>
              <w:rPr>
                <w:rFonts w:ascii="Calibri" w:hAnsi="Calibri"/>
                <w:sz w:val="17"/>
              </w:rPr>
              <w:t xml:space="preserve">Baja</w:t>
            </w:r>
          </w:p>
        </w:tc>
        <w:tc>
          <w:tcPr>
            <w:tcW w:w="1440" w:type="dxa"/>
          </w:tcPr>
          <w:p>
            <w:pPr>
              <w:spacing w:line="264" w:lineRule="auto"/>
            </w:pPr>
            <w:r>
              <w:rPr>
                <w:rFonts w:ascii="Calibri" w:hAnsi="Calibri"/>
                <w:sz w:val="17"/>
              </w:rPr>
              <w:t xml:space="preserve">3.1</w:t>
            </w:r>
          </w:p>
        </w:tc>
        <w:tc>
          <w:tcPr>
            <w:tcW w:w="2880" w:type="dxa"/>
          </w:tcPr>
          <w:p>
            <w:pPr>
              <w:spacing w:line="264" w:lineRule="auto"/>
            </w:pPr>
            <w:r>
              <w:rPr>
                <w:rFonts w:ascii="Calibri" w:hAnsi="Calibri"/>
                <w:sz w:val="17"/>
              </w:rPr>
              <w:t xml:space="preserve">CVSS:3.1/AV:N/AC:H/PR:N/UI:N/S:U/C:L/I:N/A:N</w:t>
            </w:r>
          </w:p>
        </w:tc>
        <w:tc>
          <w:tcPr>
            <w:tcW w:w="1440" w:type="dxa"/>
          </w:tcPr>
          <w:p>
            <w:pPr>
              <w:spacing w:line="264" w:lineRule="auto"/>
            </w:pPr>
            <w:r>
              <w:rPr>
                <w:rFonts w:ascii="Calibri" w:hAnsi="Calibri"/>
                <w:sz w:val="17"/>
              </w:rPr>
              <w:t xml:space="preserve">Remitir solicitudes formales de exclusión de URL a Internet Archive para snapshots obsoletos con datos de personas.</w:t>
            </w:r>
          </w:p>
        </w:tc>
      </w:tr>
      <w:tr>
        <w:tc>
          <w:tcPr>
            <w:tcW w:w="2592" w:type="dxa"/>
          </w:tcPr>
          <w:p>
            <w:pPr>
              <w:spacing w:line="264" w:lineRule="auto"/>
            </w:pPr>
            <w:r>
              <w:rPr>
                <w:rFonts w:ascii="Calibri" w:hAnsi="Calibri"/>
                <w:sz w:val="17"/>
              </w:rPr>
              <w:t xml:space="preserve">Ausencia de Registro DMARC en Dominio Matriz</w:t>
            </w:r>
          </w:p>
        </w:tc>
        <w:tc>
          <w:tcPr>
            <w:tcW w:w="1440" w:type="dxa"/>
          </w:tcPr>
          <w:p>
            <w:pPr>
              <w:spacing w:line="264" w:lineRule="auto"/>
            </w:pPr>
            <w:r>
              <w:rPr>
                <w:rFonts w:ascii="Calibri" w:hAnsi="Calibri"/>
                <w:sz w:val="17"/>
              </w:rPr>
              <w:t xml:space="preserve">Media</w:t>
            </w:r>
          </w:p>
        </w:tc>
        <w:tc>
          <w:tcPr>
            <w:tcW w:w="1440" w:type="dxa"/>
          </w:tcPr>
          <w:p>
            <w:pPr>
              <w:spacing w:line="264" w:lineRule="auto"/>
            </w:pPr>
            <w:r>
              <w:rPr>
                <w:rFonts w:ascii="Calibri" w:hAnsi="Calibri"/>
                <w:sz w:val="17"/>
              </w:rPr>
              <w:t xml:space="preserve">4.8</w:t>
            </w:r>
          </w:p>
        </w:tc>
        <w:tc>
          <w:tcPr>
            <w:tcW w:w="2880" w:type="dxa"/>
          </w:tcPr>
          <w:p>
            <w:pPr>
              <w:spacing w:line="264" w:lineRule="auto"/>
            </w:pPr>
            <w:r>
              <w:rPr>
                <w:rFonts w:ascii="Calibri" w:hAnsi="Calibri"/>
                <w:sz w:val="17"/>
              </w:rPr>
              <w:t xml:space="preserve">CVSS:3.1/AV:N/AC:L/PR:N/UI:N/S:U/C:N/I:L/A:N</w:t>
            </w:r>
          </w:p>
        </w:tc>
        <w:tc>
          <w:tcPr>
            <w:tcW w:w="1440" w:type="dxa"/>
          </w:tcPr>
          <w:p>
            <w:pPr>
              <w:spacing w:line="264" w:lineRule="auto"/>
            </w:pPr>
            <w:r>
              <w:rPr>
                <w:rFonts w:ascii="Calibri" w:hAnsi="Calibri"/>
                <w:sz w:val="17"/>
              </w:rPr>
              <w:t xml:space="preserve">Configurar registro TXT DMARC con política 'p=quarantine' o 'p=reject' para evitar suplantación de identidad (spoofing).</w:t>
            </w:r>
          </w:p>
        </w:tc>
      </w:tr>
    </w:tbl>
    <w:p>
      <w:pPr>
        <w:pStyle w:val="Ttulo1"/>
        <w:keepNext/>
        <w:spacing w:before="360" w:after="160"/>
      </w:pPr>
      <w:r>
        <w:rPr>
          <w:rFonts w:ascii="Calibri" w:hAnsi="Calibri"/>
          <w:b/>
          <w:color w:val="0F4761"/>
          <w:sz w:val="34"/>
        </w:rPr>
        <w:t xml:space="preserve">9. Consideraciones Éticas, Legales y Conclusión</w:t>
      </w:r>
    </w:p>
    <w:p>
      <w:pPr>
        <w:spacing w:after="100" w:line="276" w:lineRule="auto"/>
      </w:pPr>
      <w:r>
        <w:rPr>
          <w:rFonts w:ascii="Calibri" w:hAnsi="Calibri"/>
          <w:color w:val="222222"/>
          <w:sz w:val="21"/>
        </w:rPr>
        <w:t xml:space="preserve">Durante la ejecución de esta práctica se observó con estricto apego el principio rector del Pentesting profesional: "No confundir correlación con acceso". La identificación de documentos públicos, historiales de certificados y registros en fuentes abiertas representa inteligencia legal para reportar, advertir y fortalecer la postura de seguridad institucional; en ningún momento se realizaron descargas masivas no autorizadas, ataques de fuerza bruta ni explotación de vulnerabilidades, respetando el Código Penal Federal en materia de delitos informáticos y las normas de ética del hacker profesional.</w:t>
      </w:r>
    </w:p>
    <w:p>
      <w:pPr>
        <w:spacing w:after="100" w:line="276" w:lineRule="auto"/>
      </w:pPr>
      <w:r>
        <w:rPr>
          <w:rFonts w:ascii="Calibri" w:hAnsi="Calibri"/>
          <w:color w:val="222222"/>
          <w:sz w:val="21"/>
        </w:rPr>
        <w:t xml:space="preserve">En conclusión, el reconocimiento pasivo con herramientas de fácil acceso como Google Dorks, Wayback Machine y SpiderFoot demostró ser una disciplina de enorme poder estratégico. Permite al auditor visualizar a la organización exactamente como la visualiza un adversario real en internet, descubriendo vectores de fuga inadvertidos y proporcionando a la institución las directrices técnicas necesarias para blindar su superficie de ataque digital antes de que un actor malicioso la aproveche.</w:t>
      </w:r>
    </w:p>
    <w:p>
      <w:pPr>
        <w:pStyle w:val="TtuloTDC"/>
        <w:spacing w:before="120" w:after="240"/>
        <w:rPr>
          <w:rFonts w:ascii="Calibri" w:hAnsi="Calibri"/>
          <w:b/>
          <w:color w:val="0F4761"/>
          <w:sz w:val="32"/>
        </w:rPr>
      </w:pPr>
    </w:p>
    <w:p>
      <w:pPr>
        <w:pStyle w:val="TDC1"/>
        <w:tabs>
          <w:tab w:val="right" w:leader="dot" w:pos="9350"/>
        </w:tabs>
      </w:pPr>
      <w:r>
        <w:fldChar w:fldCharType="begin"/>
      </w:r>
      <w:r>
        <w:instrText xml:space="preserve"> TOC \o "1-2" \h \z \u </w:instrText>
      </w:r>
      <w:r>
        <w:fldChar w:fldCharType="separate"/>
      </w:r>
      <w:r>
        <w:fldChar w:fldCharType="end"/>
      </w:r>
    </w:p>
    <w:sectPr>
      <w:headerReference w:type="default" r:id="rId7"/>
      <w:headerReference w:type="first" r:id="rId8"/>
      <w:headerReference w:type="even" r:id="rId9"/>
      <w:footerReference w:type="default" r:id="rId10"/>
      <w:footerReference w:type="first" r:id="rId11"/>
      <w:footerReference w:type="even" r:id="rId12"/>
      <w:type w:val="nextPage"/>
      <w:pgSz w:w="12240" w:h="15840"/>
      <w:pgMar w:top="1440" w:right="1440" w:bottom="1440" w:left="1440" w:header="708" w:footer="708" w:gutter="0"/>
      <w:cols w:space="708" w:num="1"/>
      <w:titlePg/>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gona Book">
    <w:charset w:val="00"/>
    <w:family w:val="roman"/>
    <w:pitch w:val="variable"/>
    <w:sig w:usb0="8000002F" w:usb1="0000000A" w:usb2="00000000" w:usb3="00000000" w:csb0="00000001" w:csb1="00000000"/>
  </w:font>
  <w:font w:name="Georgia">
    <w:panose1 w:val="02040502050405020303"/>
    <w:charset w:val="00"/>
    <w:family w:val="roman"/>
    <w:pitch w:val="variable"/>
    <w:sig w:usb0="00000287" w:usb1="00000000" w:usb2="00000000" w:usb3="00000000" w:csb0="0000009F" w:csb1="00000000"/>
  </w:font>
  <w:font w:name="Noto Sans">
    <w:altName w:val="Arial"/>
    <w:charset w:val="00"/>
    <w:family w:val="swiss"/>
    <w:pitch w:val="variable"/>
    <w:sig w:usb0="E00082FF" w:usb1="400078FF" w:usb2="00000021"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Piedepgina"/>
    </w:pPr>
    <w:r>
      <w:rPr>
        <w:noProof/>
      </w:rPr>
      <w:drawing>
        <wp:anchor distT="0" distB="0" distL="114300" distR="114300" simplePos="0" relativeHeight="251658246" behindDoc="0" locked="0" layoutInCell="1" allowOverlap="1">
          <wp:simplePos x="0" y="0"/>
          <wp:positionH relativeFrom="column">
            <wp:posOffset>-351790</wp:posOffset>
          </wp:positionH>
          <wp:positionV relativeFrom="paragraph">
            <wp:posOffset>-86360</wp:posOffset>
          </wp:positionV>
          <wp:extent cx="1385570" cy="680720"/>
          <wp:effectExtent l="0" t="0" r="5080" b="5080"/>
          <wp:wrapNone/>
          <wp:docPr id="13" name="Picture 13" descr="Poder Judicial - Poder Judicial CDMX"/>
          <wp:cNvGraphicFramePr/>
          <a:graphic>
            <a:graphicData uri="http://schemas.openxmlformats.org/drawingml/2006/picture">
              <pic:pic>
                <pic:nvPicPr>
                  <pic:cNvPr id="0" name="image6.png" descr="Poder Judicial - Poder Judicial CDMX"/>
                  <pic:cNvPicPr>
                    <a:picLocks noChangeAspect="1" noChangeArrowheads="1"/>
                  </pic:cNvPicPr>
                </pic:nvPicPr>
                <pic:blipFill>
                  <a:blip r:embed="rId1"/>
                  <a:srcRect l="23341" t="10852" r="19891" b="12604"/>
                  <a:stretch>
                    <a:fillRect/>
                  </a:stretch>
                </pic:blipFill>
                <pic:spPr bwMode="auto">
                  <a:xfrm>
                    <a:off x="0" y="0"/>
                    <a:ext cx="1385570" cy="680720"/>
                  </a:xfrm>
                  <a:prstGeom prst="rect">
                    <a:avLst/>
                  </a:prstGeom>
                </pic:spPr>
              </pic:pic>
            </a:graphicData>
          </a:graphic>
        </wp:anchor>
      </w:drawing>
    </w:r>
    <w:r>
      <w:rPr>
        <w:rFonts w:ascii="Times New Roman" w:hAnsi="Times New Roman" w:eastAsia="Aptos" w:cs="Times New Roman"/>
        <w:noProof/>
      </w:rPr>
      <w:drawing>
        <wp:anchor distT="45720" distB="45720" distL="114300" distR="114300" simplePos="0" relativeHeight="251658247" behindDoc="0" locked="0" layoutInCell="1" allowOverlap="1">
          <wp:simplePos x="0" y="0"/>
          <wp:positionH relativeFrom="page">
            <wp:posOffset>2030730</wp:posOffset>
          </wp:positionH>
          <wp:positionV relativeFrom="paragraph">
            <wp:posOffset>45085</wp:posOffset>
          </wp:positionV>
          <wp:extent cx="3347720" cy="444500"/>
          <wp:effectExtent l="0" t="0" r="0" b="0"/>
          <wp:wrapNone/>
          <wp:docPr id="14" name="Shape 14" descr=""/>
          <wp:cNvGraphicFramePr/>
          <a:graphic>
            <a:graphicData uri="http://schemas.microsoft.com/office/word/2010/wordprocessingShape">
              <wps:wsp>
                <wps:cNvSpPr txBox="1"/>
                <wps:spPr>
                  <a:xfrm>
                    <a:off x="0" y="0"/>
                    <a:ext cx="3347720" cy="444500"/>
                  </a:xfrm>
                  <a:prstGeom prst="rect">
                    <a:avLst/>
                  </a:prstGeom>
                  <a:noFill/>
                  <a:ln>
                    <a:noFill/>
                  </a:ln>
                </wps:spPr>
                <wps:txbx>
                  <w:txbxContent>
                    <w:p>
                      <w:pPr>
                        <w:pStyle w:val="Piedepgina"/>
                        <w:tabs>
                          <w:tab w:val="left" w:pos="708"/>
                        </w:tabs>
                        <w:ind w:right="759"/>
                        <w:rPr>
                          <w:rFonts w:ascii="Noto Sans" w:hAnsi="Noto Sans" w:cs="Noto Sans"/>
                          <w:b/>
                          <w:bCs/>
                          <w:color w:val="4D192A"/>
                          <w:sz w:val="13"/>
                          <w:szCs w:val="13"/>
                        </w:rPr>
                      </w:pPr>
                      <w:r>
                        <w:rPr>
                          <w:rFonts w:ascii="Noto Sans" w:hAnsi="Noto Sans" w:cs="Noto Sans"/>
                          <w:b/>
                          <w:bCs/>
                          <w:color w:val="4D192A"/>
                          <w:sz w:val="13"/>
                          <w:szCs w:val="13"/>
                        </w:rPr>
                        <w:t xml:space="preserve">Boulevard Tecnológico de Progreso SN x 62, Progreso, Yucatán, C.P. 97320 Tel. 969 934 3023 E-mail: dir01_dprogreso@tecnm.mx    www.progreso.tecnm.mx</w:t>
                      </w:r>
                    </w:p>
                    <w:p>
                      <w:pPr>
                        <w:pStyle w:val="Piedepgina"/>
                        <w:tabs>
                          <w:tab w:val="left" w:pos="708"/>
                        </w:tabs>
                        <w:spacing w:line="276" w:lineRule="auto"/>
                        <w:rPr>
                          <w:rFonts w:ascii="Noto Sans" w:hAnsi="Noto Sans" w:cs="Noto Sans"/>
                          <w:b/>
                          <w:bCs/>
                          <w:color w:val="4D192A"/>
                          <w:sz w:val="13"/>
                          <w:szCs w:val="13"/>
                        </w:rPr>
                      </w:pPr>
                    </w:p>
                  </w:txbxContent>
                </wps:txbx>
                <wps:bodyPr/>
              </wps:wsp>
            </a:graphicData>
          </a:graphic>
        </wp:anchor>
      </w:drawing>
    </w:r>
    <w:r>
      <w:rPr>
        <w:rFonts w:ascii="Times New Roman" w:hAnsi="Times New Roman" w:eastAsia="Aptos" w:cs="Times New Roman"/>
        <w:noProof/>
      </w:rPr>
      <w:drawing>
        <wp:anchor distT="0" distB="0" distL="114300" distR="114300" simplePos="0" relativeHeight="251658248" behindDoc="1" locked="0" layoutInCell="1" allowOverlap="1">
          <wp:simplePos x="0" y="0"/>
          <wp:positionH relativeFrom="margin">
            <wp:posOffset>4790440</wp:posOffset>
          </wp:positionH>
          <wp:positionV relativeFrom="paragraph">
            <wp:posOffset>-337185</wp:posOffset>
          </wp:positionV>
          <wp:extent cx="1534795" cy="1266825"/>
          <wp:effectExtent l="0" t="0" r="0" b="0"/>
          <wp:wrapNone/>
          <wp:docPr id="15" name="Picture 15" descr="Macintosh HD:Users:itsprogreso:Documents:logos-acreditaciones-01.png"/>
          <wp:cNvGraphicFramePr/>
          <a:graphic>
            <a:graphicData uri="http://schemas.openxmlformats.org/drawingml/2006/picture">
              <pic:pic>
                <pic:nvPicPr>
                  <pic:cNvPr id="0" name="image7.png" descr="Macintosh HD:Users:itsprogreso:Documents:logos-acreditaciones-01.png"/>
                  <pic:cNvPicPr>
                    <a:picLocks noChangeAspect="1" noChangeArrowheads="1"/>
                  </pic:cNvPicPr>
                </pic:nvPicPr>
                <pic:blipFill>
                  <a:blip r:embed="rId2"/>
                  <a:srcRect l="17353" t="0" r="18672" b="0"/>
                  <a:stretch>
                    <a:fillRect/>
                  </a:stretch>
                </pic:blipFill>
                <pic:spPr bwMode="auto">
                  <a:xfrm>
                    <a:off x="0" y="0"/>
                    <a:ext cx="1534795" cy="1266825"/>
                  </a:xfrm>
                  <a:prstGeom prst="rect">
                    <a:avLst/>
                  </a:prstGeom>
                </pic:spPr>
              </pic:pic>
            </a:graphicData>
          </a:graphic>
        </wp:anchor>
      </w:drawing>
    </w:r>
    <w:r>
      <w:rPr>
        <w:rFonts w:ascii="Times New Roman" w:hAnsi="Times New Roman" w:eastAsia="Aptos" w:cs="Times New Roman"/>
        <w:noProof/>
      </w:rPr>
      <w:drawing>
        <wp:anchor distT="0" distB="0" distL="114300" distR="114300" simplePos="0" relativeHeight="251658249" behindDoc="0" locked="0" layoutInCell="1" allowOverlap="1">
          <wp:simplePos x="0" y="0"/>
          <wp:positionH relativeFrom="margin">
            <wp:posOffset>5432425</wp:posOffset>
          </wp:positionH>
          <wp:positionV relativeFrom="paragraph">
            <wp:posOffset>-320675</wp:posOffset>
          </wp:positionV>
          <wp:extent cx="766445" cy="452120"/>
          <wp:effectExtent l="0" t="0" r="0" b="5080"/>
          <wp:wrapNone/>
          <wp:docPr id="16" name="Picture 16" descr="Logotipo&#10;&#10;Descripción generada automáticamente"/>
          <wp:cNvGraphicFramePr/>
          <a:graphic>
            <a:graphicData uri="http://schemas.openxmlformats.org/drawingml/2006/picture">
              <pic:pic>
                <pic:nvPicPr>
                  <pic:cNvPr id="0" name="image8.png" descr="Logotipo&#10;&#10;Descripción generada automáticamente"/>
                  <pic:cNvPicPr>
                    <a:picLocks noChangeAspect="1" noChangeArrowheads="1"/>
                  </pic:cNvPicPr>
                </pic:nvPicPr>
                <pic:blipFill>
                  <a:blip r:embed="rId3"/>
                  <a:stretch>
                    <a:fillRect/>
                  </a:stretch>
                </pic:blipFill>
                <pic:spPr bwMode="auto">
                  <a:xfrm>
                    <a:off x="0" y="0"/>
                    <a:ext cx="766445" cy="452120"/>
                  </a:xfrm>
                  <a:prstGeom prst="rect">
                    <a:avLst/>
                  </a:prstGeom>
                </pic:spPr>
              </pic:pic>
            </a:graphicData>
          </a:graphic>
        </wp:anchor>
      </w:drawing>
    </w:r>
    <w:r>
      <w:rPr>
        <w:rFonts w:ascii="Times New Roman" w:hAnsi="Times New Roman" w:eastAsia="Aptos" w:cs="Times New Roman"/>
        <w:noProof/>
      </w:rPr>
      <w:drawing>
        <wp:anchor distT="0" distB="0" distL="114300" distR="114300" simplePos="0" relativeHeight="251658250" behindDoc="0" locked="0" layoutInCell="1" allowOverlap="1">
          <wp:simplePos x="0" y="0"/>
          <wp:positionH relativeFrom="margin">
            <wp:posOffset>4832985</wp:posOffset>
          </wp:positionH>
          <wp:positionV relativeFrom="paragraph">
            <wp:posOffset>-408305</wp:posOffset>
          </wp:positionV>
          <wp:extent cx="449580" cy="504190"/>
          <wp:effectExtent l="0" t="0" r="7620" b="0"/>
          <wp:wrapNone/>
          <wp:docPr id="17" name="Picture 17" descr="Diagrama, Círculo&#10;&#10;Descripción generada automáticamente"/>
          <wp:cNvGraphicFramePr/>
          <a:graphic>
            <a:graphicData uri="http://schemas.openxmlformats.org/drawingml/2006/picture">
              <pic:pic>
                <pic:nvPicPr>
                  <pic:cNvPr id="0" name="image9.jpg" descr="Diagrama, Círculo&#10;&#10;Descripción generada automáticamente"/>
                  <pic:cNvPicPr>
                    <a:picLocks noChangeAspect="1" noChangeArrowheads="1"/>
                  </pic:cNvPicPr>
                </pic:nvPicPr>
                <pic:blipFill>
                  <a:blip r:embed="rId4"/>
                  <a:stretch>
                    <a:fillRect/>
                  </a:stretch>
                </pic:blipFill>
                <pic:spPr bwMode="auto">
                  <a:xfrm>
                    <a:off x="0" y="0"/>
                    <a:ext cx="449580" cy="504190"/>
                  </a:xfrm>
                  <a:prstGeom prst="rect">
                    <a:avLst/>
                  </a:prstGeom>
                </pic:spPr>
              </pic:pic>
            </a:graphicData>
          </a:graphic>
        </wp:anchor>
      </w:drawing>
    </w:r>
    <w:r>
      <w:rPr>
        <w:rFonts w:ascii="Times New Roman" w:hAnsi="Times New Roman" w:eastAsia="Aptos" w:cs="Times New Roman"/>
        <w:noProof/>
      </w:rPr>
      <w:drawing>
        <wp:anchor distT="0" distB="0" distL="114300" distR="114300" simplePos="0" relativeHeight="251658251" behindDoc="0" locked="0" layoutInCell="1" allowOverlap="1">
          <wp:simplePos x="0" y="0"/>
          <wp:positionH relativeFrom="margin">
            <wp:posOffset>4029710</wp:posOffset>
          </wp:positionH>
          <wp:positionV relativeFrom="paragraph">
            <wp:posOffset>-360045</wp:posOffset>
          </wp:positionV>
          <wp:extent cx="673100" cy="458470"/>
          <wp:effectExtent l="0" t="0" r="0" b="0"/>
          <wp:wrapNone/>
          <wp:docPr id="18" name="Picture 18" descr="Logotipo&#10;&#10;Descripción generada automáticamente con confianza media"/>
          <wp:cNvGraphicFramePr/>
          <a:graphic>
            <a:graphicData uri="http://schemas.openxmlformats.org/drawingml/2006/picture">
              <pic:pic>
                <pic:nvPicPr>
                  <pic:cNvPr id="0" name="image10.png" descr="Logotipo&#10;&#10;Descripción generada automáticamente con confianza media"/>
                  <pic:cNvPicPr>
                    <a:picLocks noChangeAspect="1" noChangeArrowheads="1"/>
                  </pic:cNvPicPr>
                </pic:nvPicPr>
                <pic:blipFill>
                  <a:blip r:embed="rId5"/>
                  <a:stretch>
                    <a:fillRect/>
                  </a:stretch>
                </pic:blipFill>
                <pic:spPr bwMode="auto">
                  <a:xfrm>
                    <a:off x="0" y="0"/>
                    <a:ext cx="673100" cy="458470"/>
                  </a:xfrm>
                  <a:prstGeom prst="rect">
                    <a:avLst/>
                  </a:prstGeom>
                </pic:spPr>
              </pic:pic>
            </a:graphicData>
          </a:graphic>
        </wp:anchor>
      </w:drawing>
    </w:r>
    <w:r>
      <w:rPr>
        <w:noProof/>
      </w:rPr>
      <w:drawing>
        <wp:anchor distT="0" distB="0" distL="114300" distR="114300" simplePos="0" relativeHeight="251658252" behindDoc="0" locked="0" layoutInCell="1" allowOverlap="1">
          <wp:simplePos x="0" y="0"/>
          <wp:positionH relativeFrom="column">
            <wp:posOffset>4154805</wp:posOffset>
          </wp:positionH>
          <wp:positionV relativeFrom="paragraph">
            <wp:posOffset>163830</wp:posOffset>
          </wp:positionV>
          <wp:extent cx="489585" cy="269240"/>
          <wp:effectExtent l="0" t="0" r="5715" b="0"/>
          <wp:wrapNone/>
          <wp:docPr id="19" name="Picture 19" descr="INR México (@inrmexico) • Facebook"/>
          <wp:cNvGraphicFramePr/>
          <a:graphic>
            <a:graphicData uri="http://schemas.openxmlformats.org/drawingml/2006/picture">
              <pic:pic>
                <pic:nvPicPr>
                  <pic:cNvPr id="0" name="image11.png" descr="INR México (@inrmexico) • Facebook"/>
                  <pic:cNvPicPr>
                    <a:picLocks noChangeAspect="1" noChangeArrowheads="1"/>
                  </pic:cNvPicPr>
                </pic:nvPicPr>
                <pic:blipFill>
                  <a:blip r:embed="rId6"/>
                  <a:srcRect l="5612" t="23648" r="2570" b="25862"/>
                  <a:stretch>
                    <a:fillRect/>
                  </a:stretch>
                </pic:blipFill>
                <pic:spPr bwMode="auto">
                  <a:xfrm>
                    <a:off x="0" y="0"/>
                    <a:ext cx="489585" cy="269240"/>
                  </a:xfrm>
                  <a:prstGeom prst="rect">
                    <a:avLst/>
                  </a:prstGeom>
                </pic:spPr>
              </pic:pic>
            </a:graphicData>
          </a:graphic>
        </wp:anchor>
      </w:drawing>
    </w:r>
    <w:r>
      <w:rPr>
        <w:rFonts w:ascii="Times New Roman" w:hAnsi="Times New Roman" w:eastAsia="Aptos" w:cs="Times New Roman"/>
        <w:noProof/>
      </w:rPr>
      <w:drawing>
        <wp:anchor distT="0" distB="0" distL="114300" distR="114300" simplePos="0" relativeHeight="251658253" behindDoc="1" locked="0" layoutInCell="1" allowOverlap="1">
          <wp:simplePos x="0" y="0"/>
          <wp:positionH relativeFrom="page">
            <wp:posOffset>2033270</wp:posOffset>
          </wp:positionH>
          <wp:positionV relativeFrom="paragraph">
            <wp:posOffset>20999</wp:posOffset>
          </wp:positionV>
          <wp:extent cx="5142865" cy="730250"/>
          <wp:effectExtent l="0" t="0" r="635" b="0"/>
          <wp:wrapNone/>
          <wp:docPr id="20" name="Picture 20" descr="Imagen que contiene Interfaz de usuario gráfica&#10;&#10;Descripción generada automáticamente"/>
          <wp:cNvGraphicFramePr/>
          <a:graphic>
            <a:graphicData uri="http://schemas.openxmlformats.org/drawingml/2006/picture">
              <pic:pic>
                <pic:nvPicPr>
                  <pic:cNvPr id="0" name="image5.png" descr="Imagen que contiene Interfaz de usuario gráfica&#10;&#10;Descripción generada automáticamente"/>
                  <pic:cNvPicPr>
                    <a:picLocks noChangeAspect="1" noChangeArrowheads="1"/>
                  </pic:cNvPicPr>
                </pic:nvPicPr>
                <pic:blipFill>
                  <a:blip r:embed="rId7"/>
                  <a:srcRect l="29101" t="86958" r="5437" b="5840"/>
                  <a:stretch>
                    <a:fillRect/>
                  </a:stretch>
                </pic:blipFill>
                <pic:spPr bwMode="auto">
                  <a:xfrm>
                    <a:off x="0" y="0"/>
                    <a:ext cx="5142865" cy="730250"/>
                  </a:xfrm>
                  <a:prstGeom prst="rect">
                    <a:avLst/>
                  </a:prstGeom>
                </pic:spPr>
              </pic:pic>
            </a:graphicData>
          </a:graphic>
        </wp:anchor>
      </w:drawing>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Piedepgina"/>
    </w:pPr>
  </w:p>
</w:ftr>
</file>

<file path=word/footer3.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Piedepgina"/>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Encabezado"/>
    </w:pPr>
    <w:r>
      <w:rPr>
        <w:noProof/>
      </w:rPr>
      <w:drawing>
        <wp:anchor distT="0" distB="0" distL="114300" distR="114300" simplePos="0" relativeHeight="251658243" behindDoc="1" locked="0" layoutInCell="1" allowOverlap="1">
          <wp:simplePos x="0" y="0"/>
          <wp:positionH relativeFrom="column">
            <wp:posOffset>0</wp:posOffset>
          </wp:positionH>
          <wp:positionV relativeFrom="paragraph">
            <wp:posOffset>-139065</wp:posOffset>
          </wp:positionV>
          <wp:extent cx="3404870" cy="424180"/>
          <wp:effectExtent l="0" t="0" r="5080" b="0"/>
          <wp:wrapNone/>
          <wp:docPr id="10" name="Picture 10" descr=""/>
          <wp:cNvGraphicFramePr/>
          <a:graphic>
            <a:graphicData uri="http://schemas.openxmlformats.org/drawingml/2006/picture">
              <pic:pic>
                <pic:nvPicPr>
                  <pic:cNvPr id="0" name="image2.png" descr=""/>
                  <pic:cNvPicPr>
                    <a:picLocks noChangeAspect="1" noChangeArrowheads="1"/>
                  </pic:cNvPicPr>
                </pic:nvPicPr>
                <pic:blipFill>
                  <a:blip r:embed="rId1"/>
                  <a:stretch>
                    <a:fillRect/>
                  </a:stretch>
                </pic:blipFill>
                <pic:spPr bwMode="auto">
                  <a:xfrm>
                    <a:off x="0" y="0"/>
                    <a:ext cx="3404870" cy="424180"/>
                  </a:xfrm>
                  <a:prstGeom prst="rect">
                    <a:avLst/>
                  </a:prstGeom>
                </pic:spPr>
              </pic:pic>
            </a:graphicData>
          </a:graphic>
        </wp:anchor>
      </w:drawing>
    </w:r>
    <w:r>
      <w:rPr>
        <w:noProof/>
      </w:rPr>
      <w:drawing>
        <wp:anchor distT="0" distB="0" distL="114300" distR="114300" simplePos="0" relativeHeight="251658244" behindDoc="1" locked="0" layoutInCell="1" allowOverlap="1">
          <wp:simplePos x="0" y="0"/>
          <wp:positionH relativeFrom="margin">
            <wp:posOffset>3512820</wp:posOffset>
          </wp:positionH>
          <wp:positionV relativeFrom="paragraph">
            <wp:posOffset>-47625</wp:posOffset>
          </wp:positionV>
          <wp:extent cx="1123950" cy="269240"/>
          <wp:effectExtent l="0" t="0" r="0" b="0"/>
          <wp:wrapNone/>
          <wp:docPr id="11" name="Picture 11" descr="Texto&#10;&#10;El contenido generado por IA puede ser incorrecto."/>
          <wp:cNvGraphicFramePr/>
          <a:graphic>
            <a:graphicData uri="http://schemas.openxmlformats.org/drawingml/2006/picture">
              <pic:pic>
                <pic:nvPicPr>
                  <pic:cNvPr id="0" name="image4.png" descr="Texto&#10;&#10;El contenido generado por IA puede ser incorrecto."/>
                  <pic:cNvPicPr>
                    <a:picLocks noChangeAspect="1" noChangeArrowheads="1"/>
                  </pic:cNvPicPr>
                </pic:nvPicPr>
                <pic:blipFill>
                  <a:blip r:embed="rId2"/>
                  <a:stretch>
                    <a:fillRect/>
                  </a:stretch>
                </pic:blipFill>
                <pic:spPr bwMode="auto">
                  <a:xfrm>
                    <a:off x="0" y="0"/>
                    <a:ext cx="1123950" cy="269240"/>
                  </a:xfrm>
                  <a:prstGeom prst="rect">
                    <a:avLst/>
                  </a:prstGeom>
                </pic:spPr>
              </pic:pic>
            </a:graphicData>
          </a:graphic>
        </wp:anchor>
      </w:drawing>
    </w:r>
    <w:r>
      <w:rPr>
        <w:noProof/>
      </w:rPr>
      <w:drawing>
        <wp:anchor distT="0" distB="0" distL="114300" distR="114300" simplePos="0" relativeHeight="251658245" behindDoc="1" locked="0" layoutInCell="1" allowOverlap="1">
          <wp:simplePos x="0" y="0"/>
          <wp:positionH relativeFrom="page">
            <wp:posOffset>5913120</wp:posOffset>
          </wp:positionH>
          <wp:positionV relativeFrom="paragraph">
            <wp:posOffset>-424815</wp:posOffset>
          </wp:positionV>
          <wp:extent cx="937260" cy="960120"/>
          <wp:effectExtent l="0" t="0" r="0" b="0"/>
          <wp:wrapNone/>
          <wp:docPr id="12" name="Picture 12" descr="Imagen que contiene Interfaz de usuario gráfica&#10;&#10;Descripción generada automáticamente"/>
          <wp:cNvGraphicFramePr/>
          <a:graphic>
            <a:graphicData uri="http://schemas.openxmlformats.org/drawingml/2006/picture">
              <pic:pic>
                <pic:nvPicPr>
                  <pic:cNvPr id="0" name="image5.png" descr="Imagen que contiene Interfaz de usuario gráfica&#10;&#10;Descripción generada automáticamente"/>
                  <pic:cNvPicPr>
                    <a:picLocks noChangeAspect="1" noChangeArrowheads="1"/>
                  </pic:cNvPicPr>
                </pic:nvPicPr>
                <pic:blipFill>
                  <a:blip r:embed="rId3"/>
                  <a:srcRect l="82719" t="4077" r="5339" b="86469"/>
                  <a:stretch>
                    <a:fillRect/>
                  </a:stretch>
                </pic:blipFill>
                <pic:spPr bwMode="auto">
                  <a:xfrm>
                    <a:off x="0" y="0"/>
                    <a:ext cx="937260" cy="960120"/>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Encabezado"/>
    </w:pP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Encabezado"/>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02220DEF"/>
    <w:multiLevelType w:val="multilevel"/>
    <w:tmpl w:val="7A28EE9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nsid w:val="1B361E82"/>
    <w:multiLevelType w:val="multilevel"/>
    <w:tmpl w:val="10A263CC"/>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nsid w:val="269C62DE"/>
    <w:multiLevelType w:val="multilevel"/>
    <w:tmpl w:val="742AF0DE"/>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
    <w:nsid w:val="28C2605C"/>
    <w:multiLevelType w:val="multilevel"/>
    <w:tmpl w:val="E6F018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
    <w:nsid w:val="43056BED"/>
    <w:multiLevelType w:val="multilevel"/>
    <w:tmpl w:val="73DE816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
    <w:nsid w:val="492139F7"/>
    <w:multiLevelType w:val="hybridMultilevel"/>
    <w:tmpl w:val="E8940256"/>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6">
    <w:nsid w:val="4B3D3257"/>
    <w:multiLevelType w:val="multilevel"/>
    <w:tmpl w:val="F65E100C"/>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
    <w:nsid w:val="526F380E"/>
    <w:multiLevelType w:val="multilevel"/>
    <w:tmpl w:val="4CAA786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
    <w:nsid w:val="55794CA6"/>
    <w:multiLevelType w:val="multilevel"/>
    <w:tmpl w:val="70EC695E"/>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
    <w:nsid w:val="623D0A61"/>
    <w:multiLevelType w:val="multilevel"/>
    <w:tmpl w:val="DF1A6D7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
    <w:nsid w:val="63EA525C"/>
    <w:multiLevelType w:val="multilevel"/>
    <w:tmpl w:val="94805B4C"/>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
    <w:nsid w:val="7B3208A6"/>
    <w:multiLevelType w:val="hybridMultilevel"/>
    <w:tmpl w:val="15FA8A5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num w:numId="1">
    <w:abstractNumId w:val="5"/>
  </w:num>
  <w:num w:numId="2">
    <w:abstractNumId w:val="11"/>
  </w:num>
  <w:num w:numId="3">
    <w:abstractNumId w:val="6"/>
  </w:num>
  <w:num w:numId="4">
    <w:abstractNumId w:val="1"/>
  </w:num>
  <w:num w:numId="5">
    <w:abstractNumId w:val="0"/>
  </w:num>
  <w:num w:numId="6">
    <w:abstractNumId w:val="7"/>
  </w:num>
  <w:num w:numId="7">
    <w:abstractNumId w:val="8"/>
  </w:num>
  <w:num w:numId="8">
    <w:abstractNumId w:val="4"/>
  </w:num>
  <w:num w:numId="9">
    <w:abstractNumId w:val="2"/>
  </w:num>
  <w:num w:numId="10">
    <w:abstractNumId w:val="9"/>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numFmt w:val="decimal"/>
    <w:footnote w:id="-1"/>
    <w:footnote w:id="0"/>
  </w:footnotePr>
  <w:endnotePr>
    <w:numFmt w:val="lowerRoman"/>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30"/>
    <w:rsid w:val="000112DB"/>
    <w:rsid w:val="00016BD3"/>
    <w:rsid w:val="00026AA2"/>
    <w:rsid w:val="00033A11"/>
    <w:rsid w:val="0008049A"/>
    <w:rsid w:val="000B634B"/>
    <w:rsid w:val="000E3F1B"/>
    <w:rsid w:val="000E57EB"/>
    <w:rsid w:val="00133DD8"/>
    <w:rsid w:val="0015460A"/>
    <w:rsid w:val="001579C0"/>
    <w:rsid w:val="00164A96"/>
    <w:rsid w:val="00180483"/>
    <w:rsid w:val="001A48B0"/>
    <w:rsid w:val="00262404"/>
    <w:rsid w:val="00290D6A"/>
    <w:rsid w:val="002930EC"/>
    <w:rsid w:val="002E5A98"/>
    <w:rsid w:val="002F4548"/>
    <w:rsid w:val="00354371"/>
    <w:rsid w:val="00363102"/>
    <w:rsid w:val="003645AA"/>
    <w:rsid w:val="003D474E"/>
    <w:rsid w:val="003E4B07"/>
    <w:rsid w:val="004266AE"/>
    <w:rsid w:val="004E7E83"/>
    <w:rsid w:val="005A53E9"/>
    <w:rsid w:val="005C09A7"/>
    <w:rsid w:val="006342AF"/>
    <w:rsid w:val="00665831"/>
    <w:rsid w:val="006662F2"/>
    <w:rsid w:val="006F0C3B"/>
    <w:rsid w:val="007B4518"/>
    <w:rsid w:val="007D66EF"/>
    <w:rsid w:val="007D7B8B"/>
    <w:rsid w:val="007E072F"/>
    <w:rsid w:val="007E746F"/>
    <w:rsid w:val="00866EE5"/>
    <w:rsid w:val="00880ABF"/>
    <w:rsid w:val="00887018"/>
    <w:rsid w:val="008A77BD"/>
    <w:rsid w:val="008D6442"/>
    <w:rsid w:val="00974500"/>
    <w:rsid w:val="00981B0A"/>
    <w:rsid w:val="009F663D"/>
    <w:rsid w:val="00A1068A"/>
    <w:rsid w:val="00A710C7"/>
    <w:rsid w:val="00A97764"/>
    <w:rsid w:val="00AB20B2"/>
    <w:rsid w:val="00AC3015"/>
    <w:rsid w:val="00B22549"/>
    <w:rsid w:val="00B662AA"/>
    <w:rsid w:val="00B703DA"/>
    <w:rsid w:val="00B972F2"/>
    <w:rsid w:val="00BA4DA7"/>
    <w:rsid w:val="00C248F9"/>
    <w:rsid w:val="00C339A1"/>
    <w:rsid w:val="00C4609C"/>
    <w:rsid w:val="00C52EC9"/>
    <w:rsid w:val="00C54805"/>
    <w:rsid w:val="00C90DF7"/>
    <w:rsid w:val="00CE00CC"/>
    <w:rsid w:val="00D34B53"/>
    <w:rsid w:val="00D54621"/>
    <w:rsid w:val="00DA3D0F"/>
    <w:rsid w:val="00DC11C1"/>
    <w:rsid w:val="00DC74D3"/>
    <w:rsid w:val="00DD3064"/>
    <w:rsid w:val="00DF5A99"/>
    <w:rsid w:val="00E139F6"/>
    <w:rsid w:val="00E20F98"/>
    <w:rsid w:val="00E21118"/>
    <w:rsid w:val="00E43230"/>
    <w:rsid w:val="00E54910"/>
    <w:rsid w:val="00E66AC0"/>
    <w:rsid w:val="00EC1653"/>
    <w:rsid w:val="00ED1743"/>
    <w:rsid w:val="00F37E12"/>
    <w:rsid w:val="00F81EB0"/>
    <w:rsid w:val="00F82797"/>
    <w:rsid w:val="00FC75D7"/>
    <w:rsid w:val="00FE2C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BEE67"/>
  <w15:chartTrackingRefBased/>
  <w15:docId w15:val="{665C7D03-A278-4D67-A123-9FE4518121EC}"/>
  <w:updateFields xmlns:w="http://schemas.openxmlformats.org/wordprocessingml/2006/main" w:val="true"/>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szCs w:val="24"/>
        <w:lang w:val="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360" w:after="80"/>
      <w:outlineLvl w:val="0"/>
    </w:pPr>
    <w:rPr>
      <w:rFonts w:ascii="Aptos Display" w:hAnsi="Aptos Display"/>
      <w:color w:val="104861"/>
      <w:sz w:val="40"/>
      <w:szCs w:val="40"/>
    </w:rPr>
  </w:style>
  <w:style w:type="paragraph" w:styleId="Ttulo2">
    <w:name w:val="heading 2"/>
    <w:basedOn w:val="Normal"/>
    <w:next w:val="Normal"/>
    <w:link w:val="Ttulo2Car"/>
    <w:uiPriority w:val="9"/>
    <w:qFormat/>
    <w:pPr>
      <w:keepNext/>
      <w:keepLines/>
      <w:spacing w:before="160" w:after="80"/>
      <w:outlineLvl w:val="1"/>
    </w:pPr>
    <w:rPr>
      <w:rFonts w:ascii="Aptos Display" w:hAnsi="Aptos Display"/>
      <w:color w:val="1048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color w:val="1048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i/>
      <w:iCs/>
      <w:color w:val="104861"/>
    </w:rPr>
  </w:style>
  <w:style w:type="paragraph" w:styleId="Ttulo5">
    <w:name w:val="heading 5"/>
    <w:basedOn w:val="Normal"/>
    <w:next w:val="Normal"/>
    <w:link w:val="Ttulo5Car"/>
    <w:uiPriority w:val="9"/>
    <w:semiHidden/>
    <w:unhideWhenUsed/>
    <w:qFormat/>
    <w:pPr>
      <w:keepNext/>
      <w:keepLines/>
      <w:spacing w:before="80" w:after="40"/>
      <w:outlineLvl w:val="4"/>
    </w:pPr>
    <w:rPr>
      <w:color w:val="104861"/>
    </w:rPr>
  </w:style>
  <w:style w:type="paragraph" w:styleId="Ttulo6">
    <w:name w:val="heading 6"/>
    <w:basedOn w:val="Normal"/>
    <w:next w:val="Normal"/>
    <w:link w:val="Ttulo6Car"/>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pPr>
      <w:keepNext/>
      <w:keepLines/>
      <w:spacing w:before="40" w:after="0"/>
      <w:outlineLvl w:val="6"/>
    </w:pPr>
    <w:rPr>
      <w:color w:val="595959"/>
    </w:rPr>
  </w:style>
  <w:style w:type="paragraph" w:styleId="Ttulo8">
    <w:name w:val="heading 8"/>
    <w:basedOn w:val="Normal"/>
    <w:next w:val="Normal"/>
    <w:link w:val="Ttulo8Car"/>
    <w:uiPriority w:val="9"/>
    <w:semiHidden/>
    <w:unhideWhenUsed/>
    <w:qFormat/>
    <w:pPr>
      <w:keepNext/>
      <w:keepLines/>
      <w:spacing w:after="0"/>
      <w:outlineLvl w:val="7"/>
    </w:pPr>
    <w:rPr>
      <w:i/>
      <w:iCs/>
      <w:color w:val="272727"/>
    </w:rPr>
  </w:style>
  <w:style w:type="paragraph" w:styleId="Ttulo9">
    <w:name w:val="heading 9"/>
    <w:basedOn w:val="Normal"/>
    <w:next w:val="Normal"/>
    <w:link w:val="Ttulo9Car"/>
    <w:uiPriority w:val="9"/>
    <w:semiHidden/>
    <w:unhideWhenUsed/>
    <w:qFormat/>
    <w:pPr>
      <w:keepNext/>
      <w:keepLines/>
      <w:spacing w:after="0"/>
      <w:outlineLvl w:val="8"/>
    </w:pPr>
    <w:rPr>
      <w:color w:val="272727"/>
    </w:rPr>
  </w:style>
  <w:style w:type="character" w:styleId="Fuentedeprrafopredeter" w:default="1">
    <w:name w:val="Default Paragraph Font"/>
    <w:uiPriority w:val="1"/>
  </w:style>
  <w:style w:type="table" w:styleId="Tablanormal" w:default="1">
    <w:name w:val="Normal Table"/>
    <w:uiPriority w:val="99"/>
    <w:semiHidden/>
    <w:unhideWhenUsed/>
    <w:tblPr>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Pr>
      <w:rFonts w:ascii="Aptos Display" w:hAnsi="Aptos Display"/>
      <w:color w:val="104861"/>
      <w:sz w:val="40"/>
      <w:szCs w:val="40"/>
    </w:rPr>
  </w:style>
  <w:style w:type="character" w:styleId="Ttulo2Car" w:customStyle="1">
    <w:name w:val="Título 2 Car"/>
    <w:basedOn w:val="Fuentedeprrafopredeter"/>
    <w:link w:val="Ttulo2"/>
    <w:uiPriority w:val="9"/>
    <w:rPr>
      <w:rFonts w:ascii="Aptos Display" w:hAnsi="Aptos Display"/>
      <w:color w:val="104861"/>
      <w:sz w:val="32"/>
      <w:szCs w:val="32"/>
    </w:rPr>
  </w:style>
  <w:style w:type="character" w:styleId="Ttulo3Car" w:customStyle="1">
    <w:name w:val="Título 3 Car"/>
    <w:basedOn w:val="Fuentedeprrafopredeter"/>
    <w:link w:val="Ttulo3"/>
    <w:uiPriority w:val="9"/>
    <w:semiHidden/>
    <w:unhideWhenUsed/>
    <w:rPr>
      <w:color w:val="104861"/>
      <w:sz w:val="28"/>
      <w:szCs w:val="28"/>
    </w:rPr>
  </w:style>
  <w:style w:type="character" w:styleId="Ttulo4Car" w:customStyle="1">
    <w:name w:val="Título 4 Car"/>
    <w:basedOn w:val="Fuentedeprrafopredeter"/>
    <w:link w:val="Ttulo4"/>
    <w:uiPriority w:val="9"/>
    <w:semiHidden/>
    <w:unhideWhenUsed/>
    <w:rPr>
      <w:i/>
      <w:iCs/>
      <w:color w:val="104861"/>
    </w:rPr>
  </w:style>
  <w:style w:type="character" w:styleId="Ttulo5Car" w:customStyle="1">
    <w:name w:val="Título 5 Car"/>
    <w:basedOn w:val="Fuentedeprrafopredeter"/>
    <w:link w:val="Ttulo5"/>
    <w:uiPriority w:val="9"/>
    <w:semiHidden/>
    <w:unhideWhenUsed/>
    <w:rPr>
      <w:color w:val="104861"/>
    </w:rPr>
  </w:style>
  <w:style w:type="character" w:styleId="Ttulo6Car" w:customStyle="1">
    <w:name w:val="Título 6 Car"/>
    <w:basedOn w:val="Fuentedeprrafopredeter"/>
    <w:link w:val="Ttulo6"/>
    <w:uiPriority w:val="9"/>
    <w:semiHidden/>
    <w:unhideWhenUsed/>
    <w:rPr>
      <w:i/>
      <w:iCs/>
      <w:color w:val="595959"/>
    </w:rPr>
  </w:style>
  <w:style w:type="character" w:styleId="Ttulo7Car" w:customStyle="1">
    <w:name w:val="Título 7 Car"/>
    <w:basedOn w:val="Fuentedeprrafopredeter"/>
    <w:link w:val="Ttulo7"/>
    <w:uiPriority w:val="9"/>
    <w:semiHidden/>
    <w:unhideWhenUsed/>
    <w:rPr>
      <w:color w:val="595959"/>
    </w:rPr>
  </w:style>
  <w:style w:type="character" w:styleId="Ttulo8Car" w:customStyle="1">
    <w:name w:val="Título 8 Car"/>
    <w:basedOn w:val="Fuentedeprrafopredeter"/>
    <w:link w:val="Ttulo8"/>
    <w:uiPriority w:val="9"/>
    <w:semiHidden/>
    <w:unhideWhenUsed/>
    <w:rPr>
      <w:i/>
      <w:iCs/>
      <w:color w:val="272727"/>
    </w:rPr>
  </w:style>
  <w:style w:type="character" w:styleId="Ttulo9Car" w:customStyle="1">
    <w:name w:val="Título 9 Car"/>
    <w:basedOn w:val="Fuentedeprrafopredeter"/>
    <w:link w:val="Ttulo9"/>
    <w:uiPriority w:val="9"/>
    <w:semiHidden/>
    <w:unhideWhenUsed/>
    <w:rPr>
      <w:color w:val="272727"/>
    </w:rPr>
  </w:style>
  <w:style w:type="paragraph" w:styleId="Ttulo">
    <w:name w:val="Title"/>
    <w:basedOn w:val="Normal"/>
    <w:next w:val="Normal"/>
    <w:link w:val="TtuloCar"/>
    <w:uiPriority w:val="10"/>
    <w:qFormat/>
    <w:pPr>
      <w:spacing w:after="80" w:line="240" w:lineRule="auto"/>
      <w:contextualSpacing/>
    </w:pPr>
    <w:rPr>
      <w:rFonts w:ascii="Aptos Display" w:hAnsi="Aptos Display"/>
      <w:spacing w:val="-10"/>
      <w:kern w:val="28"/>
      <w:sz w:val="56"/>
      <w:szCs w:val="56"/>
    </w:rPr>
  </w:style>
  <w:style w:type="character" w:styleId="TtuloCar" w:customStyle="1">
    <w:name w:val="Título Car"/>
    <w:basedOn w:val="Fuentedeprrafopredeter"/>
    <w:link w:val="Ttulo"/>
    <w:uiPriority w:val="10"/>
    <w:rPr>
      <w:rFonts w:ascii="Aptos Display" w:hAnsi="Aptos Display"/>
      <w:spacing w:val="-10"/>
      <w:kern w:val="28"/>
      <w:sz w:val="56"/>
      <w:szCs w:val="56"/>
    </w:rPr>
  </w:style>
  <w:style w:type="paragraph" w:styleId="Subttulo">
    <w:name w:val="Subtitle"/>
    <w:basedOn w:val="Normal"/>
    <w:next w:val="Normal"/>
    <w:link w:val="SubttuloCar"/>
    <w:uiPriority w:val="11"/>
    <w:qFormat/>
    <w:rPr>
      <w:color w:val="595959"/>
      <w:spacing w:val="15"/>
      <w:sz w:val="28"/>
      <w:szCs w:val="28"/>
    </w:rPr>
  </w:style>
  <w:style w:type="character" w:styleId="SubttuloCar" w:customStyle="1">
    <w:name w:val="Subtítulo Car"/>
    <w:basedOn w:val="Fuentedeprrafopredeter"/>
    <w:link w:val="Subttulo"/>
    <w:uiPriority w:val="11"/>
    <w:rPr>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styleId="CitaCar" w:customStyle="1">
    <w:name w:val="Cita Car"/>
    <w:basedOn w:val="Fuentedeprrafopredeter"/>
    <w:link w:val="Cita"/>
    <w:uiPriority w:val="29"/>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104861"/>
    </w:rPr>
  </w:style>
  <w:style w:type="paragraph" w:styleId="Citadestacada">
    <w:name w:val="Intense Quote"/>
    <w:basedOn w:val="Normal"/>
    <w:next w:val="Normal"/>
    <w:link w:val="CitadestacadaCar"/>
    <w:uiPriority w:val="30"/>
    <w:qFormat/>
    <w:pPr>
      <w:pBdr>
        <w:top w:val="single" w:sz="4" w:space="10" w:color="0F4761"/>
        <w:bottom w:val="single" w:sz="4" w:space="10" w:color="0F4761"/>
      </w:pBdr>
      <w:spacing w:before="360" w:after="360"/>
      <w:ind w:left="864" w:right="864"/>
      <w:jc w:val="center"/>
    </w:pPr>
    <w:rPr>
      <w:i/>
      <w:iCs/>
      <w:color w:val="104861"/>
    </w:rPr>
  </w:style>
  <w:style w:type="character" w:styleId="CitadestacadaCar" w:customStyle="1">
    <w:name w:val="Cita destacada Car"/>
    <w:basedOn w:val="Fuentedeprrafopredeter"/>
    <w:link w:val="Citadestacada"/>
    <w:uiPriority w:val="30"/>
    <w:rPr>
      <w:i/>
      <w:iCs/>
      <w:color w:val="104861"/>
    </w:rPr>
  </w:style>
  <w:style w:type="character" w:styleId="Referenciaintensa">
    <w:name w:val="Intense Reference"/>
    <w:basedOn w:val="Fuentedeprrafopredeter"/>
    <w:uiPriority w:val="32"/>
    <w:qFormat/>
    <w:rPr>
      <w:b/>
      <w:bCs/>
      <w:smallCaps/>
      <w:color w:val="104861"/>
      <w:spacing w:val="5"/>
    </w:rPr>
  </w:style>
  <w:style w:type="paragraph" w:styleId="Encabezado">
    <w:name w:val="header"/>
    <w:basedOn w:val="Normal"/>
    <w:link w:val="EncabezadoCar"/>
    <w:uiPriority w:val="9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style>
  <w:style w:type="character" w:styleId="Hipervnculo">
    <w:name w:val="Hyperlink"/>
    <w:basedOn w:val="Fuentedeprrafopredeter"/>
    <w:uiPriority w:val="99"/>
    <w:rPr>
      <w:color w:val="467886"/>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TtuloTDC">
    <w:name w:val="TOC Heading"/>
    <w:basedOn w:val="Ttulo1"/>
    <w:next w:val="Normal"/>
    <w:uiPriority w:val="39"/>
    <w:qFormat/>
    <w:pPr>
      <w:spacing w:before="240" w:after="0" w:line="259" w:lineRule="auto"/>
      <w:outlineLvl w:val="9"/>
    </w:pPr>
    <w:rPr>
      <w:kern w:val="0"/>
      <w:sz w:val="32"/>
      <w:szCs w:val="32"/>
    </w:rPr>
  </w:style>
  <w:style w:type="paragraph" w:styleId="TDC1">
    <w:name w:val="toc 1"/>
    <w:basedOn w:val="Normal"/>
    <w:next w:val="Normal"/>
    <w:uiPriority w:val="3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2.png"/><Relationship Id="rId3" Type="http://schemas.openxmlformats.org/officeDocument/2006/relationships/image" Target="media/image13.png"/><Relationship Id="rId4" Type="http://schemas.openxmlformats.org/officeDocument/2006/relationships/image" Target="media/image14.png"/><Relationship Id="rId5" Type="http://schemas.openxmlformats.org/officeDocument/2006/relationships/image" Target="media/image15.png"/><Relationship Id="rId6" Type="http://schemas.openxmlformats.org/officeDocument/2006/relationships/image" Target="media/image16.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notes" Target="footnotes.xml"/><Relationship Id="rId14" Type="http://schemas.openxmlformats.org/officeDocument/2006/relationships/endnotes" Target="endnotes.xml"/><Relationship Id="rId15" Type="http://schemas.openxmlformats.org/officeDocument/2006/relationships/styles" Target="styles.xml"/><Relationship Id="rId16" Type="http://schemas.openxmlformats.org/officeDocument/2006/relationships/numbering" Target="numbering.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fontTable" Target="fontTable.xml"/><Relationship Id="rId20" Type="http://schemas.openxmlformats.org/officeDocument/2006/relationships/customXml" Target="../customXml/item1.xml"/><Relationship Id="rId21"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 Id="rId3" Type="http://schemas.openxmlformats.org/officeDocument/2006/relationships/image" Target="media/image8.png"/><Relationship Id="rId4" Type="http://schemas.openxmlformats.org/officeDocument/2006/relationships/image" Target="media/image9.jpg"/><Relationship Id="rId5" Type="http://schemas.openxmlformats.org/officeDocument/2006/relationships/image" Target="media/image10.png"/><Relationship Id="rId6" Type="http://schemas.openxmlformats.org/officeDocument/2006/relationships/image" Target="media/image11.png"/><Relationship Id="rId7"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5.png"/></Relationships>
</file>

<file path=word/theme/theme1.xml><?xml version="1.0" encoding="utf-8"?>
<a:theme xmlns:a="http://schemas.openxmlformats.org/drawingml/2006/main" name="Tema de Office">
  <a:themeElements>
    <a:clrScheme name="Tema de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ema de Office">
      <a:majorFont>
        <a:latin typeface="Aptos Display"/>
        <a:ea typeface=""/>
        <a:cs typeface=""/>
      </a:majorFont>
      <a:minorFont>
        <a:latin typeface="Aptos"/>
        <a:ea typeface=""/>
        <a:cs typeface=""/>
      </a:minorFont>
    </a:fontScheme>
    <a:fmtScheme name="Tema de Offic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3C92A-A506-46AD-98EE-647BD92A1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2068</Words>
  <Paragraphs>218</Paragraphs>
  <DocSecurity>0</DocSecurity>
  <Template>Normal.dotm</Template>
  <ScaleCrop>false</ScaleCrop>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MANUEL HERNANDEZ MORENO</dc:creator>
  <cp:lastModifiedBy>WordCraft User</cp:lastModifiedBy>
  <cp:revision>17</cp:revision>
  <dcterms:created xsi:type="dcterms:W3CDTF">2026-02-14T22:48:00Z</dcterms:created>
  <dcterms:modified xsi:type="dcterms:W3CDTF">2026-10-20T06:02:54Z</dcterms:modified>
</cp:coreProperties>
</file>