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B035" w14:textId="1B754B64" w:rsidR="00AC3015" w:rsidRPr="00AC3015" w:rsidRDefault="00C54805" w:rsidP="00AC3015">
      <w:pPr>
        <w:jc w:val="center"/>
        <w:rPr>
          <w:rFonts w:ascii="Sagona Book" w:hAnsi="Sagona Book"/>
          <w:b/>
          <w:bCs/>
          <w:sz w:val="40"/>
          <w:szCs w:val="40"/>
        </w:rPr>
      </w:pPr>
      <w:r>
        <w:rPr>
          <w:noProof/>
        </w:rPr>
        <mc:AlternateContent>
          <mc:Choice Requires="wpg">
            <w:drawing>
              <wp:anchor distT="0" distB="0" distL="114300" distR="114300" simplePos="0" relativeHeight="251667456" behindDoc="0" locked="0" layoutInCell="1" allowOverlap="1" wp14:anchorId="3BB5D137" wp14:editId="6DE23623">
                <wp:simplePos x="0" y="0"/>
                <wp:positionH relativeFrom="column">
                  <wp:posOffset>1756576</wp:posOffset>
                </wp:positionH>
                <wp:positionV relativeFrom="paragraph">
                  <wp:posOffset>741680</wp:posOffset>
                </wp:positionV>
                <wp:extent cx="3960000" cy="109568"/>
                <wp:effectExtent l="0" t="38100" r="40640" b="24130"/>
                <wp:wrapNone/>
                <wp:docPr id="1825639584" name="Grupo 5"/>
                <wp:cNvGraphicFramePr/>
                <a:graphic xmlns:a="http://schemas.openxmlformats.org/drawingml/2006/main">
                  <a:graphicData uri="http://schemas.microsoft.com/office/word/2010/wordprocessingGroup">
                    <wpg:wgp>
                      <wpg:cNvGrpSpPr/>
                      <wpg:grpSpPr>
                        <a:xfrm>
                          <a:off x="0" y="0"/>
                          <a:ext cx="3960000" cy="109568"/>
                          <a:chOff x="0" y="0"/>
                          <a:chExt cx="3600000" cy="109568"/>
                        </a:xfrm>
                      </wpg:grpSpPr>
                      <wps:wsp>
                        <wps:cNvPr id="711957093" name="Conector recto 2"/>
                        <wps:cNvCnPr/>
                        <wps:spPr>
                          <a:xfrm>
                            <a:off x="0" y="0"/>
                            <a:ext cx="3600000" cy="0"/>
                          </a:xfrm>
                          <a:prstGeom prst="line">
                            <a:avLst/>
                          </a:prstGeom>
                          <a:ln w="76200">
                            <a:solidFill>
                              <a:srgbClr val="B00549"/>
                            </a:solidFill>
                          </a:ln>
                        </wps:spPr>
                        <wps:style>
                          <a:lnRef idx="2">
                            <a:schemeClr val="accent1"/>
                          </a:lnRef>
                          <a:fillRef idx="0">
                            <a:schemeClr val="accent1"/>
                          </a:fillRef>
                          <a:effectRef idx="1">
                            <a:schemeClr val="accent1"/>
                          </a:effectRef>
                          <a:fontRef idx="minor">
                            <a:schemeClr val="tx1"/>
                          </a:fontRef>
                        </wps:style>
                        <wps:bodyPr/>
                      </wps:wsp>
                      <wps:wsp>
                        <wps:cNvPr id="1910840635" name="Conector recto 2"/>
                        <wps:cNvCnPr/>
                        <wps:spPr>
                          <a:xfrm flipV="1">
                            <a:off x="0" y="109568"/>
                            <a:ext cx="3600000" cy="0"/>
                          </a:xfrm>
                          <a:prstGeom prst="line">
                            <a:avLst/>
                          </a:prstGeom>
                          <a:ln>
                            <a:solidFill>
                              <a:srgbClr val="B00549"/>
                            </a:solidFill>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4E4451C" id="Grupo 5" o:spid="_x0000_s1026" style="position:absolute;margin-left:138.3pt;margin-top:58.4pt;width:311.8pt;height:8.65pt;z-index:251667456;mso-width-relative:margin;mso-height-relative:margin" coordsize="36000,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1GXcwIAAJoHAAAOAAAAZHJzL2Uyb0RvYy54bWy8Vcty2yAU3Xem/8CwryXZsWNrImemSeNN&#10;p800bfcYgcQUAQPEsv++FyTLzqMvN60XkoB77uPcc83F5baRaMOsE1oVOBulGDFFdSlUVeAvn2/e&#10;zDFynqiSSK1YgXfM4cvl61cXrcnZWNdalswicKJc3poC196bPEkcrVlD3EgbpuCQa9sQD0tbJaUl&#10;LXhvZDJO01nSalsaqylzDnavu0O8jP45Z9R/5Nwxj2SBITcfnzY+1+GZLC9IXlliakH7NMgJWTRE&#10;KAg6uLomnqB7K564agS12mnuR1Q3ieZcUBZrgGqy9FE1K6vvTaylytvKDDQBtY94Otkt/bBZWXNn&#10;bi0w0ZoKuIirUMuW2ya8IUu0jZTtBsrY1iMKm5PFLIUfRhTOsnQxnc07TmkNxD+B0frdHhhxT4DJ&#10;PmzyIJnWgDzcgQH3dwzc1cSwSKzLgYFbi0RZ4PMsW0zP08UEI0UaEOsVSJZ6bZENLzQOlYVMAHKl&#10;esZc7oC836bruOqovqFgkhvr/IrpBoWPAkuhQo4kJ5v3zkNoMN2bhG2pUAtJz2AMopnTUpQ3Qspw&#10;6Gy1vpIWbQgI/22aTs8WIXtwcWQGK6lgM9TUVRG//E6yLsAnxoEZaPO4ixCmkg1uCaVM+az3KxVY&#10;BxiHFAZgn9rPgL19gLI4sQM4+3XUAREja+UHcCOUts858Nt9yryz3zPQ1R0oWOtyF/sbqQHhdX3/&#10;5wrMFlk6P0tnk+npEkRcCvMVhjHW/mB2j+dzGOAXVWTowpHAXlyHk+caWn7bN/QPNHgA/Vh/z6r+&#10;APxv2ov/hXABxPntL6twwxyvo4gPV+ryOwAAAP//AwBQSwMEFAAGAAgAAAAhANLod1ThAAAACwEA&#10;AA8AAABkcnMvZG93bnJldi54bWxMj8FOwzAQRO9I/IO1SNyo7RRCCXGqqgJOVSVapIqbG2+TqLEd&#10;xW6S/j3LCY478zQ7ky8n27IB+9B4p0DOBDB0pTeNqxR87d8fFsBC1M7o1jtUcMUAy+L2JteZ8aP7&#10;xGEXK0YhLmRaQR1jl3EeyhqtDjPfoSPv5HurI519xU2vRwq3LU+ESLnVjaMPte5wXWN53l2sgo9R&#10;j6u5fBs259P6+r1/2h42EpW6v5tWr8AiTvEPht/6VB0K6nT0F2cCaxUkz2lKKBkypQ1EvAiRADuS&#10;Mn+UwIuc/99Q/AAAAP//AwBQSwECLQAUAAYACAAAACEAtoM4kv4AAADhAQAAEwAAAAAAAAAAAAAA&#10;AAAAAAAAW0NvbnRlbnRfVHlwZXNdLnhtbFBLAQItABQABgAIAAAAIQA4/SH/1gAAAJQBAAALAAAA&#10;AAAAAAAAAAAAAC8BAABfcmVscy8ucmVsc1BLAQItABQABgAIAAAAIQDZ21GXcwIAAJoHAAAOAAAA&#10;AAAAAAAAAAAAAC4CAABkcnMvZTJvRG9jLnhtbFBLAQItABQABgAIAAAAIQDS6HdU4QAAAAsBAAAP&#10;AAAAAAAAAAAAAAAAAM0EAABkcnMvZG93bnJldi54bWxQSwUGAAAAAAQABADzAAAA2wUAAAAA&#10;">
                <v:line id="Conector recto 2" o:spid="_x0000_s1027" style="position:absolute;visibility:visible;mso-wrap-style:square" from="0,0" to="36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AnrygAAAOIAAAAPAAAAZHJzL2Rvd25yZXYueG1sRI9BSwMx&#10;FITvQv9DeII3m92KrV2bllZQ9GChtfT82Dw3i5uXbBLb7b83guBxmJlvmMVqsJ04UYitYwXluABB&#10;XDvdcqPg8PF8+wAiJmSNnWNScKEIq+XoaoGVdmfe0WmfGpEhHCtUYFLylZSxNmQxjp0nzt6nCxZT&#10;lqGROuA5w20nJ0UxlRZbzgsGPT0Zqr/231bBWzCTlz75I763/Xp62fbGb3qlbq6H9SOIREP6D/+1&#10;X7WCWVnO72fF/A5+L+U7IJc/AAAA//8DAFBLAQItABQABgAIAAAAIQDb4fbL7gAAAIUBAAATAAAA&#10;AAAAAAAAAAAAAAAAAABbQ29udGVudF9UeXBlc10ueG1sUEsBAi0AFAAGAAgAAAAhAFr0LFu/AAAA&#10;FQEAAAsAAAAAAAAAAAAAAAAAHwEAAF9yZWxzLy5yZWxzUEsBAi0AFAAGAAgAAAAhAFZACevKAAAA&#10;4gAAAA8AAAAAAAAAAAAAAAAABwIAAGRycy9kb3ducmV2LnhtbFBLBQYAAAAAAwADALcAAAD+AgAA&#10;AAA=&#10;" strokecolor="#b00549" strokeweight="6pt">
                  <v:stroke joinstyle="miter"/>
                </v:line>
                <v:line id="Conector recto 2" o:spid="_x0000_s1028" style="position:absolute;flip:y;visibility:visible;mso-wrap-style:square" from="0,1095" to="36000,1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7UxwAAAOMAAAAPAAAAZHJzL2Rvd25yZXYueG1sRE9fa8Iw&#10;EH8f7DuEG+xtJuomWo0iDkUEH+b8AGdztqXNpTax7b69GQz2eL//t1j1thItNb5wrGE4UCCIU2cK&#10;zjScv7dvUxA+IBusHJOGH/KwWj4/LTAxruMvak8hEzGEfYIa8hDqREqf5mTRD1xNHLmrayyGeDaZ&#10;NA12MdxWcqTURFosODbkWNMmp7Q83a2Grjzed4c1j0s5+0S07eGGl5vWry/9eg4iUB/+xX/uvYnz&#10;Z0M1fVeT8Qf8/hQBkMsHAAAA//8DAFBLAQItABQABgAIAAAAIQDb4fbL7gAAAIUBAAATAAAAAAAA&#10;AAAAAAAAAAAAAABbQ29udGVudF9UeXBlc10ueG1sUEsBAi0AFAAGAAgAAAAhAFr0LFu/AAAAFQEA&#10;AAsAAAAAAAAAAAAAAAAAHwEAAF9yZWxzLy5yZWxzUEsBAi0AFAAGAAgAAAAhAB82XtTHAAAA4wAA&#10;AA8AAAAAAAAAAAAAAAAABwIAAGRycy9kb3ducmV2LnhtbFBLBQYAAAAAAwADALcAAAD7AgAAAAA=&#10;" strokecolor="#b00549" strokeweight="2pt">
                  <v:stroke joinstyle="miter"/>
                </v:line>
              </v:group>
            </w:pict>
          </mc:Fallback>
        </mc:AlternateContent>
      </w:r>
      <w:r w:rsidR="007E746F" w:rsidRPr="00AC3015">
        <w:rPr>
          <w:rFonts w:ascii="Sagona Book" w:hAnsi="Sagona Book"/>
          <w:b/>
          <w:bCs/>
          <w:noProof/>
          <w:sz w:val="40"/>
          <w:szCs w:val="40"/>
        </w:rPr>
        <w:drawing>
          <wp:anchor distT="0" distB="0" distL="114300" distR="114300" simplePos="0" relativeHeight="251658240" behindDoc="0" locked="0" layoutInCell="1" allowOverlap="1" wp14:anchorId="4D9613BF" wp14:editId="2988A258">
            <wp:simplePos x="0" y="0"/>
            <wp:positionH relativeFrom="margin">
              <wp:posOffset>-360680</wp:posOffset>
            </wp:positionH>
            <wp:positionV relativeFrom="margin">
              <wp:posOffset>-375920</wp:posOffset>
            </wp:positionV>
            <wp:extent cx="1799590" cy="1799590"/>
            <wp:effectExtent l="0" t="0" r="0" b="0"/>
            <wp:wrapThrough wrapText="bothSides">
              <wp:wrapPolygon edited="0">
                <wp:start x="0" y="0"/>
                <wp:lineTo x="0" y="21265"/>
                <wp:lineTo x="21265" y="21265"/>
                <wp:lineTo x="21265" y="0"/>
                <wp:lineTo x="0" y="0"/>
              </wp:wrapPolygon>
            </wp:wrapThrough>
            <wp:docPr id="1171820327"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20327" name="Imagen 3" descr="Logotipo, nombre de la empres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9590" cy="1799590"/>
                    </a:xfrm>
                    <a:prstGeom prst="rect">
                      <a:avLst/>
                    </a:prstGeom>
                    <a:noFill/>
                    <a:ln>
                      <a:noFill/>
                    </a:ln>
                  </pic:spPr>
                </pic:pic>
              </a:graphicData>
            </a:graphic>
          </wp:anchor>
        </w:drawing>
      </w:r>
      <w:r w:rsidR="00AC3015" w:rsidRPr="00AC3015">
        <w:rPr>
          <w:rFonts w:ascii="Sagona Book" w:hAnsi="Sagona Book"/>
          <w:b/>
          <w:bCs/>
          <w:sz w:val="40"/>
          <w:szCs w:val="40"/>
        </w:rPr>
        <w:t>INSTITUTO TECNOLOGICO SUPERIOR PROGRESO</w:t>
      </w:r>
    </w:p>
    <w:p w14:paraId="280BD8AC" w14:textId="378D7FFB" w:rsidR="007E746F" w:rsidRDefault="00C54805">
      <w:r>
        <w:rPr>
          <w:noProof/>
        </w:rPr>
        <mc:AlternateContent>
          <mc:Choice Requires="wps">
            <w:drawing>
              <wp:anchor distT="0" distB="0" distL="114300" distR="114300" simplePos="0" relativeHeight="251668480" behindDoc="0" locked="0" layoutInCell="1" allowOverlap="1" wp14:anchorId="4A73A171" wp14:editId="71696BB4">
                <wp:simplePos x="0" y="0"/>
                <wp:positionH relativeFrom="column">
                  <wp:posOffset>1192530</wp:posOffset>
                </wp:positionH>
                <wp:positionV relativeFrom="paragraph">
                  <wp:posOffset>363220</wp:posOffset>
                </wp:positionV>
                <wp:extent cx="4860000" cy="6840000"/>
                <wp:effectExtent l="0" t="0" r="0" b="0"/>
                <wp:wrapNone/>
                <wp:docPr id="244634504" name="Cuadro de texto 6"/>
                <wp:cNvGraphicFramePr/>
                <a:graphic xmlns:a="http://schemas.openxmlformats.org/drawingml/2006/main">
                  <a:graphicData uri="http://schemas.microsoft.com/office/word/2010/wordprocessingShape">
                    <wps:wsp>
                      <wps:cNvSpPr txBox="1"/>
                      <wps:spPr>
                        <a:xfrm>
                          <a:off x="0" y="0"/>
                          <a:ext cx="4860000" cy="6840000"/>
                        </a:xfrm>
                        <a:prstGeom prst="rect">
                          <a:avLst/>
                        </a:prstGeom>
                        <a:noFill/>
                        <a:ln w="6350">
                          <a:noFill/>
                        </a:ln>
                      </wps:spPr>
                      <wps:txbx>
                        <w:txbxContent>
                          <w:p w14:paraId="1A8D7A25" w14:textId="2276E7EC" w:rsidR="00C54805" w:rsidRPr="00C54805" w:rsidRDefault="00C54805" w:rsidP="00C54805">
                            <w:pPr>
                              <w:jc w:val="center"/>
                              <w:rPr>
                                <w:rFonts w:ascii="Georgia" w:hAnsi="Georgia"/>
                                <w:sz w:val="28"/>
                                <w:szCs w:val="28"/>
                              </w:rPr>
                            </w:pPr>
                            <w:r w:rsidRPr="00C54805">
                              <w:rPr>
                                <w:rFonts w:ascii="Georgia" w:hAnsi="Georgia"/>
                                <w:b/>
                                <w:bCs/>
                                <w:sz w:val="28"/>
                                <w:szCs w:val="28"/>
                              </w:rPr>
                              <w:t>CARRERA:</w:t>
                            </w:r>
                            <w:r w:rsidRPr="00C54805">
                              <w:rPr>
                                <w:rFonts w:ascii="Georgia" w:hAnsi="Georgia"/>
                                <w:b/>
                                <w:bCs/>
                                <w:sz w:val="28"/>
                                <w:szCs w:val="28"/>
                              </w:rPr>
                              <w:br/>
                            </w:r>
                            <w:r w:rsidRPr="00C54805">
                              <w:rPr>
                                <w:rFonts w:ascii="Georgia" w:hAnsi="Georgia"/>
                                <w:sz w:val="28"/>
                                <w:szCs w:val="28"/>
                              </w:rPr>
                              <w:t>INGENIERIA EN SISTEMAS COMPUTACIONALES</w:t>
                            </w:r>
                          </w:p>
                          <w:p w14:paraId="202120A4" w14:textId="77777777" w:rsidR="00C54805" w:rsidRPr="00C54805" w:rsidRDefault="00C54805" w:rsidP="00C54805">
                            <w:pPr>
                              <w:jc w:val="center"/>
                              <w:rPr>
                                <w:rFonts w:ascii="Georgia" w:hAnsi="Georgia"/>
                                <w:sz w:val="28"/>
                                <w:szCs w:val="28"/>
                              </w:rPr>
                            </w:pPr>
                          </w:p>
                          <w:p w14:paraId="3ABDD5AF" w14:textId="2FAC5BD2" w:rsidR="00C54805" w:rsidRPr="00C248F9" w:rsidRDefault="00C54805" w:rsidP="00C54805">
                            <w:pPr>
                              <w:jc w:val="center"/>
                              <w:rPr>
                                <w:rFonts w:ascii="Georgia" w:hAnsi="Georgia"/>
                                <w:sz w:val="28"/>
                                <w:szCs w:val="28"/>
                              </w:rPr>
                            </w:pPr>
                            <w:r w:rsidRPr="00C54805">
                              <w:rPr>
                                <w:rFonts w:ascii="Georgia" w:hAnsi="Georgia"/>
                                <w:b/>
                                <w:bCs/>
                                <w:sz w:val="28"/>
                                <w:szCs w:val="28"/>
                              </w:rPr>
                              <w:t>GRADO Y GRUPO:</w:t>
                            </w:r>
                            <w:r w:rsidRPr="00C54805">
                              <w:rPr>
                                <w:rFonts w:ascii="Georgia" w:hAnsi="Georgia"/>
                                <w:b/>
                                <w:bCs/>
                                <w:sz w:val="28"/>
                                <w:szCs w:val="28"/>
                              </w:rPr>
                              <w:br/>
                            </w:r>
                            <w:r w:rsidR="00DF5A99">
                              <w:rPr>
                                <w:rFonts w:ascii="Georgia" w:hAnsi="Georgia"/>
                                <w:sz w:val="28"/>
                                <w:szCs w:val="28"/>
                              </w:rPr>
                              <w:t>9n</w:t>
                            </w:r>
                            <w:r w:rsidR="001579C0">
                              <w:rPr>
                                <w:rFonts w:ascii="Georgia" w:hAnsi="Georgia"/>
                                <w:sz w:val="28"/>
                                <w:szCs w:val="28"/>
                              </w:rPr>
                              <w:t>o - Grupo 1</w:t>
                            </w:r>
                          </w:p>
                          <w:p w14:paraId="12498D48" w14:textId="77777777" w:rsidR="00C54805" w:rsidRPr="00C54805" w:rsidRDefault="00C54805" w:rsidP="00C54805">
                            <w:pPr>
                              <w:jc w:val="center"/>
                              <w:rPr>
                                <w:rFonts w:ascii="Georgia" w:hAnsi="Georgia"/>
                                <w:b/>
                                <w:bCs/>
                                <w:sz w:val="28"/>
                                <w:szCs w:val="28"/>
                              </w:rPr>
                            </w:pPr>
                          </w:p>
                          <w:p w14:paraId="1AB1AD83" w14:textId="6F434C15" w:rsidR="00C54805" w:rsidRPr="00C248F9" w:rsidRDefault="00C54805" w:rsidP="00C54805">
                            <w:pPr>
                              <w:jc w:val="center"/>
                              <w:rPr>
                                <w:rFonts w:ascii="Georgia" w:hAnsi="Georgia"/>
                                <w:sz w:val="28"/>
                                <w:szCs w:val="28"/>
                              </w:rPr>
                            </w:pPr>
                            <w:r w:rsidRPr="00C54805">
                              <w:rPr>
                                <w:rFonts w:ascii="Georgia" w:hAnsi="Georgia"/>
                                <w:b/>
                                <w:bCs/>
                                <w:sz w:val="28"/>
                                <w:szCs w:val="28"/>
                              </w:rPr>
                              <w:t>MATERIA:</w:t>
                            </w:r>
                            <w:r w:rsidRPr="00C54805">
                              <w:rPr>
                                <w:rFonts w:ascii="Georgia" w:hAnsi="Georgia"/>
                                <w:b/>
                                <w:bCs/>
                                <w:sz w:val="28"/>
                                <w:szCs w:val="28"/>
                              </w:rPr>
                              <w:br/>
                            </w:r>
                            <w:r w:rsidR="00EC1653" w:rsidRPr="00EC1653">
                              <w:rPr>
                                <w:rFonts w:ascii="Georgia" w:hAnsi="Georgia"/>
                                <w:sz w:val="28"/>
                                <w:szCs w:val="28"/>
                              </w:rPr>
                              <w:t>PENTESTING</w:t>
                            </w:r>
                          </w:p>
                          <w:p w14:paraId="4D2DBE57" w14:textId="77777777" w:rsidR="00C54805" w:rsidRPr="00C54805" w:rsidRDefault="00C54805" w:rsidP="00C54805">
                            <w:pPr>
                              <w:jc w:val="center"/>
                              <w:rPr>
                                <w:rFonts w:ascii="Georgia" w:hAnsi="Georgia"/>
                                <w:b/>
                                <w:bCs/>
                                <w:sz w:val="28"/>
                                <w:szCs w:val="28"/>
                              </w:rPr>
                            </w:pPr>
                          </w:p>
                          <w:p w14:paraId="6AD4F2AE" w14:textId="27566047" w:rsidR="00C54805" w:rsidRDefault="00C54805" w:rsidP="00C54805">
                            <w:pPr>
                              <w:jc w:val="center"/>
                              <w:rPr>
                                <w:rFonts w:ascii="Georgia" w:hAnsi="Georgia"/>
                                <w:sz w:val="28"/>
                                <w:szCs w:val="28"/>
                              </w:rPr>
                            </w:pPr>
                            <w:r w:rsidRPr="00C54805">
                              <w:rPr>
                                <w:rFonts w:ascii="Georgia" w:hAnsi="Georgia"/>
                                <w:b/>
                                <w:bCs/>
                                <w:sz w:val="28"/>
                                <w:szCs w:val="28"/>
                              </w:rPr>
                              <w:t>TAREA:</w:t>
                            </w:r>
                            <w:r w:rsidR="00C248F9">
                              <w:rPr>
                                <w:rFonts w:ascii="Georgia" w:hAnsi="Georgia"/>
                                <w:b/>
                                <w:bCs/>
                                <w:sz w:val="28"/>
                                <w:szCs w:val="28"/>
                              </w:rPr>
                              <w:br/>
                            </w:r>
                            <w:r w:rsidR="00981B0A" w:rsidRPr="00981B0A">
                              <w:rPr>
                                <w:rFonts w:ascii="Georgia" w:hAnsi="Georgia"/>
                                <w:sz w:val="28"/>
                                <w:szCs w:val="28"/>
                              </w:rPr>
                              <w:t>INFORME FINAL: FASE DE RECONOCIMIENTO Y GESTIÓN DE SUPERFICIE DE ATAQUE EXTERNA</w:t>
                            </w:r>
                          </w:p>
                          <w:p w14:paraId="31EDBB13" w14:textId="77777777" w:rsidR="00981B0A" w:rsidRPr="00C54805" w:rsidRDefault="00981B0A" w:rsidP="00C54805">
                            <w:pPr>
                              <w:jc w:val="center"/>
                              <w:rPr>
                                <w:rFonts w:ascii="Georgia" w:hAnsi="Georgia"/>
                                <w:sz w:val="28"/>
                                <w:szCs w:val="28"/>
                              </w:rPr>
                            </w:pPr>
                          </w:p>
                          <w:p w14:paraId="67EEC06E" w14:textId="6476A752" w:rsidR="00C54805" w:rsidRPr="00C54805" w:rsidRDefault="00C54805" w:rsidP="00C54805">
                            <w:pPr>
                              <w:jc w:val="center"/>
                              <w:rPr>
                                <w:rFonts w:ascii="Georgia" w:hAnsi="Georgia"/>
                                <w:sz w:val="28"/>
                                <w:szCs w:val="28"/>
                              </w:rPr>
                            </w:pPr>
                            <w:r w:rsidRPr="00C54805">
                              <w:rPr>
                                <w:rFonts w:ascii="Georgia" w:hAnsi="Georgia"/>
                                <w:b/>
                                <w:bCs/>
                                <w:sz w:val="28"/>
                                <w:szCs w:val="28"/>
                              </w:rPr>
                              <w:t>FECHA DE ENTREGA:</w:t>
                            </w:r>
                            <w:r w:rsidRPr="00C54805">
                              <w:rPr>
                                <w:rFonts w:ascii="Georgia" w:hAnsi="Georgia"/>
                                <w:b/>
                                <w:bCs/>
                                <w:sz w:val="28"/>
                                <w:szCs w:val="28"/>
                              </w:rPr>
                              <w:br/>
                            </w:r>
                            <w:r w:rsidR="00665831">
                              <w:rPr>
                                <w:rFonts w:ascii="Georgia" w:hAnsi="Georgia"/>
                                <w:sz w:val="28"/>
                                <w:szCs w:val="28"/>
                              </w:rPr>
                              <w:t>29 de octubre de 2026</w:t>
                            </w:r>
                          </w:p>
                          <w:p w14:paraId="6927A4B8" w14:textId="77777777" w:rsidR="00C54805" w:rsidRPr="00C54805" w:rsidRDefault="00C54805" w:rsidP="00C54805">
                            <w:pPr>
                              <w:jc w:val="center"/>
                              <w:rPr>
                                <w:rFonts w:ascii="Georgia" w:hAnsi="Georgia"/>
                                <w:sz w:val="28"/>
                                <w:szCs w:val="28"/>
                              </w:rPr>
                            </w:pPr>
                          </w:p>
                          <w:p w14:paraId="5C1A939F" w14:textId="63EA7FA7" w:rsidR="00C54805" w:rsidRDefault="00C54805" w:rsidP="00C54805">
                            <w:pPr>
                              <w:jc w:val="center"/>
                              <w:rPr>
                                <w:rFonts w:ascii="Georgia" w:hAnsi="Georgia"/>
                                <w:sz w:val="28"/>
                                <w:szCs w:val="28"/>
                              </w:rPr>
                            </w:pPr>
                            <w:r w:rsidRPr="00C54805">
                              <w:rPr>
                                <w:rFonts w:ascii="Georgia" w:hAnsi="Georgia"/>
                                <w:b/>
                                <w:bCs/>
                                <w:sz w:val="28"/>
                                <w:szCs w:val="28"/>
                              </w:rPr>
                              <w:t>ESTUDIANTE:</w:t>
                            </w:r>
                            <w:r w:rsidRPr="00C54805">
                              <w:rPr>
                                <w:rFonts w:ascii="Georgia" w:hAnsi="Georgia"/>
                                <w:b/>
                                <w:bCs/>
                                <w:sz w:val="28"/>
                                <w:szCs w:val="28"/>
                              </w:rPr>
                              <w:br/>
                            </w:r>
                            <w:r w:rsidR="00B662AA">
                              <w:rPr>
                                <w:rFonts w:ascii="Georgia" w:hAnsi="Georgia"/>
                                <w:sz w:val="28"/>
                                <w:szCs w:val="28"/>
                              </w:rPr>
                              <w:t>Carlos Eduardo Valencia Hernández</w:t>
                            </w:r>
                          </w:p>
                          <w:p w14:paraId="6FA2D87D" w14:textId="77777777" w:rsidR="0015460A" w:rsidRDefault="0015460A" w:rsidP="00C54805">
                            <w:pPr>
                              <w:jc w:val="center"/>
                              <w:rPr>
                                <w:rFonts w:ascii="Georgia" w:hAnsi="Georgia"/>
                                <w:sz w:val="28"/>
                                <w:szCs w:val="28"/>
                              </w:rPr>
                            </w:pPr>
                          </w:p>
                          <w:p w14:paraId="2F6871C2" w14:textId="4EDC4CAA" w:rsidR="0015460A" w:rsidRPr="00880ABF" w:rsidRDefault="007B4518" w:rsidP="00C54805">
                            <w:pPr>
                              <w:jc w:val="center"/>
                              <w:rPr>
                                <w:rFonts w:ascii="Georgia" w:hAnsi="Georgia"/>
                                <w:sz w:val="28"/>
                                <w:szCs w:val="28"/>
                                <w:lang w:val="pt-BR"/>
                              </w:rPr>
                            </w:pPr>
                            <w:r w:rsidRPr="00880ABF">
                              <w:rPr>
                                <w:rFonts w:ascii="Georgia" w:hAnsi="Georgia"/>
                                <w:b/>
                                <w:bCs/>
                                <w:sz w:val="28"/>
                                <w:szCs w:val="28"/>
                                <w:lang w:val="pt-BR"/>
                              </w:rPr>
                              <w:t>DOCENTE</w:t>
                            </w:r>
                            <w:r w:rsidR="0015460A" w:rsidRPr="00880ABF">
                              <w:rPr>
                                <w:rFonts w:ascii="Georgia" w:hAnsi="Georgia"/>
                                <w:sz w:val="28"/>
                                <w:szCs w:val="28"/>
                                <w:lang w:val="pt-BR"/>
                              </w:rPr>
                              <w:t>:</w:t>
                            </w:r>
                          </w:p>
                          <w:p w14:paraId="688016AC" w14:textId="4D6C8EDE" w:rsidR="0015460A" w:rsidRPr="00880ABF" w:rsidRDefault="00ED1743" w:rsidP="00C54805">
                            <w:pPr>
                              <w:jc w:val="center"/>
                              <w:rPr>
                                <w:rFonts w:ascii="Georgia" w:hAnsi="Georgia"/>
                                <w:sz w:val="28"/>
                                <w:szCs w:val="28"/>
                                <w:lang w:val="pt-BR"/>
                              </w:rPr>
                            </w:pPr>
                            <w:r w:rsidRPr="00ED1743">
                              <w:rPr>
                                <w:rFonts w:ascii="Georgia" w:hAnsi="Georgia"/>
                                <w:sz w:val="28"/>
                                <w:szCs w:val="28"/>
                                <w:lang w:val="pt-BR"/>
                              </w:rPr>
                              <w:t>MARTÍNEZ GARCÍA HOLZEN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73A171" id="_x0000_t202" coordsize="21600,21600" o:spt="202" path="m,l,21600r21600,l21600,xe">
                <v:stroke joinstyle="miter"/>
                <v:path gradientshapeok="t" o:connecttype="rect"/>
              </v:shapetype>
              <v:shape id="Cuadro de texto 6" o:spid="_x0000_s1026" type="#_x0000_t202" style="position:absolute;margin-left:93.9pt;margin-top:28.6pt;width:382.7pt;height:538.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hQ+FQIAAC0EAAAOAAAAZHJzL2Uyb0RvYy54bWysU8tu2zAQvBfoPxC815Jdx3UEy4GbwEWB&#10;IAngFDnTFGkJILksSVtyv75LSn4g7amoD/Qud7WPmeHirtOKHITzDZiSjkc5JcJwqBqzK+mP1/Wn&#10;OSU+MFMxBUaU9Cg8vVt+/LBobSEmUIOqhCNYxPiitSWtQ7BFlnleC838CKwwGJTgNAvoul1WOdZi&#10;da2ySZ7PshZcZR1w4T3ePvRBukz1pRQ8PEvpRSCqpDhbSKdL5zae2XLBip1jtm74MAb7hyk0aww2&#10;PZd6YIGRvWv+KKUb7sCDDCMOOgMpGy7SDrjNOH+3zaZmVqRdEBxvzzD5/1eWPx029sWR0H2FDgmM&#10;gLTWFx4v4z6ddDr+46QE4wjh8Qyb6ALheDmdz3L8UcIxNptPk4N1ssvn1vnwTYAm0SipQ14SXOzw&#10;6EOfekqJ3QysG6USN8qQFqt+vsnTB+cIFlcGe1yGjVbott2wwRaqIy7moOfcW75usPkj8+GFOSQZ&#10;B0bhhmc8pAJsAoNFSQ3u19/uYz5ij1FKWhRNSf3PPXOCEvXdICu34+k0qiw505svE3TcdWR7HTF7&#10;fQ+oyzE+EcuTGfODOpnSgX5Dfa9iVwwxw7F3ScPJvA+9lPF9cLFapSTUlWXh0Wwsj6UjnBHa1+6N&#10;OTvgH5C6JzjJixXvaOhzeyJW+wCySRxFgHtUB9xRk4nl4f1E0V/7Kevyype/AQAA//8DAFBLAwQU&#10;AAYACAAAACEAFC4bauIAAAALAQAADwAAAGRycy9kb3ducmV2LnhtbEyPwU7DMBBE70j8g7VI3KjT&#10;tKEhxKmqSBUSgkNLL9w28TaJiO0Qu23g61lOcNvRjGbf5OvJ9OJMo++cVTCfRSDI1k53tlFweNve&#10;pSB8QKuxd5YUfJGHdXF9lWOm3cXu6LwPjeAS6zNU0IYwZFL6uiWDfuYGsuwd3WgwsBwbqUe8cLnp&#10;ZRxF99JgZ/lDiwOVLdUf+5NR8FxuX3FXxSb97sunl+Nm+Dy8J0rd3kybRxCBpvAXhl98RoeCmSp3&#10;stqLnnW6YvSgIFnFIDjwkCz4qNiZL5ZLkEUu/28ofgAAAP//AwBQSwECLQAUAAYACAAAACEAtoM4&#10;kv4AAADhAQAAEwAAAAAAAAAAAAAAAAAAAAAAW0NvbnRlbnRfVHlwZXNdLnhtbFBLAQItABQABgAI&#10;AAAAIQA4/SH/1gAAAJQBAAALAAAAAAAAAAAAAAAAAC8BAABfcmVscy8ucmVsc1BLAQItABQABgAI&#10;AAAAIQAYghQ+FQIAAC0EAAAOAAAAAAAAAAAAAAAAAC4CAABkcnMvZTJvRG9jLnhtbFBLAQItABQA&#10;BgAIAAAAIQAULhtq4gAAAAsBAAAPAAAAAAAAAAAAAAAAAG8EAABkcnMvZG93bnJldi54bWxQSwUG&#10;AAAAAAQABADzAAAAfgUAAAAA&#10;" filled="f" stroked="f" strokeweight=".5pt">
                <v:textbox>
                  <w:txbxContent>
                    <w:p w14:paraId="1A8D7A25" w14:textId="2276E7EC" w:rsidR="00C54805" w:rsidRPr="00C54805" w:rsidRDefault="00C54805" w:rsidP="00C54805">
                      <w:pPr>
                        <w:jc w:val="center"/>
                        <w:rPr>
                          <w:rFonts w:ascii="Georgia" w:hAnsi="Georgia"/>
                          <w:sz w:val="28"/>
                          <w:szCs w:val="28"/>
                        </w:rPr>
                      </w:pPr>
                      <w:r w:rsidRPr="00C54805">
                        <w:rPr>
                          <w:rFonts w:ascii="Georgia" w:hAnsi="Georgia"/>
                          <w:b/>
                          <w:bCs/>
                          <w:sz w:val="28"/>
                          <w:szCs w:val="28"/>
                        </w:rPr>
                        <w:t>CARRERA:</w:t>
                      </w:r>
                      <w:r w:rsidRPr="00C54805">
                        <w:rPr>
                          <w:rFonts w:ascii="Georgia" w:hAnsi="Georgia"/>
                          <w:b/>
                          <w:bCs/>
                          <w:sz w:val="28"/>
                          <w:szCs w:val="28"/>
                        </w:rPr>
                        <w:br/>
                      </w:r>
                      <w:r w:rsidRPr="00C54805">
                        <w:rPr>
                          <w:rFonts w:ascii="Georgia" w:hAnsi="Georgia"/>
                          <w:sz w:val="28"/>
                          <w:szCs w:val="28"/>
                        </w:rPr>
                        <w:t>INGENIERIA EN SISTEMAS COMPUTACIONALES</w:t>
                      </w:r>
                    </w:p>
                    <w:p w14:paraId="202120A4" w14:textId="77777777" w:rsidR="00C54805" w:rsidRPr="00C54805" w:rsidRDefault="00C54805" w:rsidP="00C54805">
                      <w:pPr>
                        <w:jc w:val="center"/>
                        <w:rPr>
                          <w:rFonts w:ascii="Georgia" w:hAnsi="Georgia"/>
                          <w:sz w:val="28"/>
                          <w:szCs w:val="28"/>
                        </w:rPr>
                      </w:pPr>
                    </w:p>
                    <w:p w14:paraId="3ABDD5AF" w14:textId="2FAC5BD2" w:rsidR="00C54805" w:rsidRPr="00C248F9" w:rsidRDefault="00C54805" w:rsidP="00C54805">
                      <w:pPr>
                        <w:jc w:val="center"/>
                        <w:rPr>
                          <w:rFonts w:ascii="Georgia" w:hAnsi="Georgia"/>
                          <w:sz w:val="28"/>
                          <w:szCs w:val="28"/>
                        </w:rPr>
                      </w:pPr>
                      <w:r w:rsidRPr="00C54805">
                        <w:rPr>
                          <w:rFonts w:ascii="Georgia" w:hAnsi="Georgia"/>
                          <w:b/>
                          <w:bCs/>
                          <w:sz w:val="28"/>
                          <w:szCs w:val="28"/>
                        </w:rPr>
                        <w:t>GRADO Y GRUPO:</w:t>
                      </w:r>
                      <w:r w:rsidRPr="00C54805">
                        <w:rPr>
                          <w:rFonts w:ascii="Georgia" w:hAnsi="Georgia"/>
                          <w:b/>
                          <w:bCs/>
                          <w:sz w:val="28"/>
                          <w:szCs w:val="28"/>
                        </w:rPr>
                        <w:br/>
                      </w:r>
                      <w:r w:rsidR="00DF5A99">
                        <w:rPr>
                          <w:rFonts w:ascii="Georgia" w:hAnsi="Georgia"/>
                          <w:sz w:val="28"/>
                          <w:szCs w:val="28"/>
                        </w:rPr>
                        <w:t>9n</w:t>
                      </w:r>
                      <w:r w:rsidR="001579C0">
                        <w:rPr>
                          <w:rFonts w:ascii="Georgia" w:hAnsi="Georgia"/>
                          <w:sz w:val="28"/>
                          <w:szCs w:val="28"/>
                        </w:rPr>
                        <w:t>o - Grupo 1</w:t>
                      </w:r>
                    </w:p>
                    <w:p w14:paraId="12498D48" w14:textId="77777777" w:rsidR="00C54805" w:rsidRPr="00C54805" w:rsidRDefault="00C54805" w:rsidP="00C54805">
                      <w:pPr>
                        <w:jc w:val="center"/>
                        <w:rPr>
                          <w:rFonts w:ascii="Georgia" w:hAnsi="Georgia"/>
                          <w:b/>
                          <w:bCs/>
                          <w:sz w:val="28"/>
                          <w:szCs w:val="28"/>
                        </w:rPr>
                      </w:pPr>
                    </w:p>
                    <w:p w14:paraId="1AB1AD83" w14:textId="6F434C15" w:rsidR="00C54805" w:rsidRPr="00C248F9" w:rsidRDefault="00C54805" w:rsidP="00C54805">
                      <w:pPr>
                        <w:jc w:val="center"/>
                        <w:rPr>
                          <w:rFonts w:ascii="Georgia" w:hAnsi="Georgia"/>
                          <w:sz w:val="28"/>
                          <w:szCs w:val="28"/>
                        </w:rPr>
                      </w:pPr>
                      <w:r w:rsidRPr="00C54805">
                        <w:rPr>
                          <w:rFonts w:ascii="Georgia" w:hAnsi="Georgia"/>
                          <w:b/>
                          <w:bCs/>
                          <w:sz w:val="28"/>
                          <w:szCs w:val="28"/>
                        </w:rPr>
                        <w:t>MATERIA:</w:t>
                      </w:r>
                      <w:r w:rsidRPr="00C54805">
                        <w:rPr>
                          <w:rFonts w:ascii="Georgia" w:hAnsi="Georgia"/>
                          <w:b/>
                          <w:bCs/>
                          <w:sz w:val="28"/>
                          <w:szCs w:val="28"/>
                        </w:rPr>
                        <w:br/>
                      </w:r>
                      <w:r w:rsidR="00EC1653" w:rsidRPr="00EC1653">
                        <w:rPr>
                          <w:rFonts w:ascii="Georgia" w:hAnsi="Georgia"/>
                          <w:sz w:val="28"/>
                          <w:szCs w:val="28"/>
                        </w:rPr>
                        <w:t>PENTESTING</w:t>
                      </w:r>
                    </w:p>
                    <w:p w14:paraId="4D2DBE57" w14:textId="77777777" w:rsidR="00C54805" w:rsidRPr="00C54805" w:rsidRDefault="00C54805" w:rsidP="00C54805">
                      <w:pPr>
                        <w:jc w:val="center"/>
                        <w:rPr>
                          <w:rFonts w:ascii="Georgia" w:hAnsi="Georgia"/>
                          <w:b/>
                          <w:bCs/>
                          <w:sz w:val="28"/>
                          <w:szCs w:val="28"/>
                        </w:rPr>
                      </w:pPr>
                    </w:p>
                    <w:p w14:paraId="6AD4F2AE" w14:textId="27566047" w:rsidR="00C54805" w:rsidRDefault="00C54805" w:rsidP="00C54805">
                      <w:pPr>
                        <w:jc w:val="center"/>
                        <w:rPr>
                          <w:rFonts w:ascii="Georgia" w:hAnsi="Georgia"/>
                          <w:sz w:val="28"/>
                          <w:szCs w:val="28"/>
                        </w:rPr>
                      </w:pPr>
                      <w:r w:rsidRPr="00C54805">
                        <w:rPr>
                          <w:rFonts w:ascii="Georgia" w:hAnsi="Georgia"/>
                          <w:b/>
                          <w:bCs/>
                          <w:sz w:val="28"/>
                          <w:szCs w:val="28"/>
                        </w:rPr>
                        <w:t>TAREA:</w:t>
                      </w:r>
                      <w:r w:rsidR="00C248F9">
                        <w:rPr>
                          <w:rFonts w:ascii="Georgia" w:hAnsi="Georgia"/>
                          <w:b/>
                          <w:bCs/>
                          <w:sz w:val="28"/>
                          <w:szCs w:val="28"/>
                        </w:rPr>
                        <w:br/>
                      </w:r>
                      <w:r w:rsidR="00981B0A" w:rsidRPr="00981B0A">
                        <w:rPr>
                          <w:rFonts w:ascii="Georgia" w:hAnsi="Georgia"/>
                          <w:sz w:val="28"/>
                          <w:szCs w:val="28"/>
                        </w:rPr>
                        <w:t>INFORME FINAL: FASE DE RECONOCIMIENTO Y GESTIÓN DE SUPERFICIE DE ATAQUE EXTERNA</w:t>
                      </w:r>
                    </w:p>
                    <w:p w14:paraId="31EDBB13" w14:textId="77777777" w:rsidR="00981B0A" w:rsidRPr="00C54805" w:rsidRDefault="00981B0A" w:rsidP="00C54805">
                      <w:pPr>
                        <w:jc w:val="center"/>
                        <w:rPr>
                          <w:rFonts w:ascii="Georgia" w:hAnsi="Georgia"/>
                          <w:sz w:val="28"/>
                          <w:szCs w:val="28"/>
                        </w:rPr>
                      </w:pPr>
                    </w:p>
                    <w:p w14:paraId="67EEC06E" w14:textId="6476A752" w:rsidR="00C54805" w:rsidRPr="00C54805" w:rsidRDefault="00C54805" w:rsidP="00C54805">
                      <w:pPr>
                        <w:jc w:val="center"/>
                        <w:rPr>
                          <w:rFonts w:ascii="Georgia" w:hAnsi="Georgia"/>
                          <w:sz w:val="28"/>
                          <w:szCs w:val="28"/>
                        </w:rPr>
                      </w:pPr>
                      <w:r w:rsidRPr="00C54805">
                        <w:rPr>
                          <w:rFonts w:ascii="Georgia" w:hAnsi="Georgia"/>
                          <w:b/>
                          <w:bCs/>
                          <w:sz w:val="28"/>
                          <w:szCs w:val="28"/>
                        </w:rPr>
                        <w:t>FECHA DE ENTREGA:</w:t>
                      </w:r>
                      <w:r w:rsidRPr="00C54805">
                        <w:rPr>
                          <w:rFonts w:ascii="Georgia" w:hAnsi="Georgia"/>
                          <w:b/>
                          <w:bCs/>
                          <w:sz w:val="28"/>
                          <w:szCs w:val="28"/>
                        </w:rPr>
                        <w:br/>
                      </w:r>
                      <w:r w:rsidR="00665831">
                        <w:rPr>
                          <w:rFonts w:ascii="Georgia" w:hAnsi="Georgia"/>
                          <w:sz w:val="28"/>
                          <w:szCs w:val="28"/>
                        </w:rPr>
                        <w:t>29 de octubre de 2026</w:t>
                      </w:r>
                    </w:p>
                    <w:p w14:paraId="6927A4B8" w14:textId="77777777" w:rsidR="00C54805" w:rsidRPr="00C54805" w:rsidRDefault="00C54805" w:rsidP="00C54805">
                      <w:pPr>
                        <w:jc w:val="center"/>
                        <w:rPr>
                          <w:rFonts w:ascii="Georgia" w:hAnsi="Georgia"/>
                          <w:sz w:val="28"/>
                          <w:szCs w:val="28"/>
                        </w:rPr>
                      </w:pPr>
                    </w:p>
                    <w:p w14:paraId="5C1A939F" w14:textId="63EA7FA7" w:rsidR="00C54805" w:rsidRDefault="00C54805" w:rsidP="00C54805">
                      <w:pPr>
                        <w:jc w:val="center"/>
                        <w:rPr>
                          <w:rFonts w:ascii="Georgia" w:hAnsi="Georgia"/>
                          <w:sz w:val="28"/>
                          <w:szCs w:val="28"/>
                        </w:rPr>
                      </w:pPr>
                      <w:r w:rsidRPr="00C54805">
                        <w:rPr>
                          <w:rFonts w:ascii="Georgia" w:hAnsi="Georgia"/>
                          <w:b/>
                          <w:bCs/>
                          <w:sz w:val="28"/>
                          <w:szCs w:val="28"/>
                        </w:rPr>
                        <w:t>ESTUDIANTE:</w:t>
                      </w:r>
                      <w:r w:rsidRPr="00C54805">
                        <w:rPr>
                          <w:rFonts w:ascii="Georgia" w:hAnsi="Georgia"/>
                          <w:b/>
                          <w:bCs/>
                          <w:sz w:val="28"/>
                          <w:szCs w:val="28"/>
                        </w:rPr>
                        <w:br/>
                      </w:r>
                      <w:r w:rsidR="00B662AA">
                        <w:rPr>
                          <w:rFonts w:ascii="Georgia" w:hAnsi="Georgia"/>
                          <w:sz w:val="28"/>
                          <w:szCs w:val="28"/>
                        </w:rPr>
                        <w:t>Carlos Eduardo Valencia Hernández</w:t>
                      </w:r>
                    </w:p>
                    <w:p w14:paraId="6FA2D87D" w14:textId="77777777" w:rsidR="0015460A" w:rsidRDefault="0015460A" w:rsidP="00C54805">
                      <w:pPr>
                        <w:jc w:val="center"/>
                        <w:rPr>
                          <w:rFonts w:ascii="Georgia" w:hAnsi="Georgia"/>
                          <w:sz w:val="28"/>
                          <w:szCs w:val="28"/>
                        </w:rPr>
                      </w:pPr>
                    </w:p>
                    <w:p w14:paraId="2F6871C2" w14:textId="4EDC4CAA" w:rsidR="0015460A" w:rsidRPr="00880ABF" w:rsidRDefault="007B4518" w:rsidP="00C54805">
                      <w:pPr>
                        <w:jc w:val="center"/>
                        <w:rPr>
                          <w:rFonts w:ascii="Georgia" w:hAnsi="Georgia"/>
                          <w:sz w:val="28"/>
                          <w:szCs w:val="28"/>
                          <w:lang w:val="pt-BR"/>
                        </w:rPr>
                      </w:pPr>
                      <w:r w:rsidRPr="00880ABF">
                        <w:rPr>
                          <w:rFonts w:ascii="Georgia" w:hAnsi="Georgia"/>
                          <w:b/>
                          <w:bCs/>
                          <w:sz w:val="28"/>
                          <w:szCs w:val="28"/>
                          <w:lang w:val="pt-BR"/>
                        </w:rPr>
                        <w:t>DOCENTE</w:t>
                      </w:r>
                      <w:r w:rsidR="0015460A" w:rsidRPr="00880ABF">
                        <w:rPr>
                          <w:rFonts w:ascii="Georgia" w:hAnsi="Georgia"/>
                          <w:sz w:val="28"/>
                          <w:szCs w:val="28"/>
                          <w:lang w:val="pt-BR"/>
                        </w:rPr>
                        <w:t>:</w:t>
                      </w:r>
                    </w:p>
                    <w:p w14:paraId="688016AC" w14:textId="4D6C8EDE" w:rsidR="0015460A" w:rsidRPr="00880ABF" w:rsidRDefault="00ED1743" w:rsidP="00C54805">
                      <w:pPr>
                        <w:jc w:val="center"/>
                        <w:rPr>
                          <w:rFonts w:ascii="Georgia" w:hAnsi="Georgia"/>
                          <w:sz w:val="28"/>
                          <w:szCs w:val="28"/>
                          <w:lang w:val="pt-BR"/>
                        </w:rPr>
                      </w:pPr>
                      <w:r w:rsidRPr="00ED1743">
                        <w:rPr>
                          <w:rFonts w:ascii="Georgia" w:hAnsi="Georgia"/>
                          <w:sz w:val="28"/>
                          <w:szCs w:val="28"/>
                          <w:lang w:val="pt-BR"/>
                        </w:rPr>
                        <w:t>MARTÍNEZ GARCÍA HOLZEN</w:t>
                      </w:r>
                    </w:p>
                  </w:txbxContent>
                </v:textbox>
              </v:shape>
            </w:pict>
          </mc:Fallback>
        </mc:AlternateContent>
      </w:r>
      <w:r w:rsidR="00AC3015">
        <w:rPr>
          <w:noProof/>
        </w:rPr>
        <mc:AlternateContent>
          <mc:Choice Requires="wpg">
            <w:drawing>
              <wp:anchor distT="0" distB="0" distL="114300" distR="114300" simplePos="0" relativeHeight="251663360" behindDoc="0" locked="0" layoutInCell="1" allowOverlap="1" wp14:anchorId="6F515471" wp14:editId="27577639">
                <wp:simplePos x="0" y="0"/>
                <wp:positionH relativeFrom="column">
                  <wp:posOffset>306693</wp:posOffset>
                </wp:positionH>
                <wp:positionV relativeFrom="paragraph">
                  <wp:posOffset>915073</wp:posOffset>
                </wp:positionV>
                <wp:extent cx="317500" cy="6275851"/>
                <wp:effectExtent l="0" t="0" r="25400" b="48895"/>
                <wp:wrapNone/>
                <wp:docPr id="2031477265" name="Grupo 4"/>
                <wp:cNvGraphicFramePr/>
                <a:graphic xmlns:a="http://schemas.openxmlformats.org/drawingml/2006/main">
                  <a:graphicData uri="http://schemas.microsoft.com/office/word/2010/wordprocessingGroup">
                    <wpg:wgp>
                      <wpg:cNvGrpSpPr/>
                      <wpg:grpSpPr>
                        <a:xfrm>
                          <a:off x="0" y="0"/>
                          <a:ext cx="317500" cy="6275851"/>
                          <a:chOff x="0" y="0"/>
                          <a:chExt cx="318052" cy="5760000"/>
                        </a:xfrm>
                      </wpg:grpSpPr>
                      <wps:wsp>
                        <wps:cNvPr id="385265410" name="Conector recto 2"/>
                        <wps:cNvCnPr/>
                        <wps:spPr>
                          <a:xfrm>
                            <a:off x="146011" y="0"/>
                            <a:ext cx="0" cy="5760000"/>
                          </a:xfrm>
                          <a:prstGeom prst="line">
                            <a:avLst/>
                          </a:prstGeom>
                          <a:ln w="76200">
                            <a:solidFill>
                              <a:srgbClr val="B00549"/>
                            </a:solidFill>
                          </a:ln>
                        </wps:spPr>
                        <wps:style>
                          <a:lnRef idx="2">
                            <a:schemeClr val="accent1"/>
                          </a:lnRef>
                          <a:fillRef idx="0">
                            <a:schemeClr val="accent1"/>
                          </a:fillRef>
                          <a:effectRef idx="1">
                            <a:schemeClr val="accent1"/>
                          </a:effectRef>
                          <a:fontRef idx="minor">
                            <a:schemeClr val="tx1"/>
                          </a:fontRef>
                        </wps:style>
                        <wps:bodyPr/>
                      </wps:wsp>
                      <wps:wsp>
                        <wps:cNvPr id="1027687944" name="Conector recto 2"/>
                        <wps:cNvCnPr/>
                        <wps:spPr>
                          <a:xfrm>
                            <a:off x="318052" y="5680"/>
                            <a:ext cx="0" cy="5040000"/>
                          </a:xfrm>
                          <a:prstGeom prst="line">
                            <a:avLst/>
                          </a:prstGeom>
                          <a:ln>
                            <a:solidFill>
                              <a:srgbClr val="B00549"/>
                            </a:solidFill>
                          </a:ln>
                        </wps:spPr>
                        <wps:style>
                          <a:lnRef idx="3">
                            <a:schemeClr val="dk1"/>
                          </a:lnRef>
                          <a:fillRef idx="0">
                            <a:schemeClr val="dk1"/>
                          </a:fillRef>
                          <a:effectRef idx="2">
                            <a:schemeClr val="dk1"/>
                          </a:effectRef>
                          <a:fontRef idx="minor">
                            <a:schemeClr val="tx1"/>
                          </a:fontRef>
                        </wps:style>
                        <wps:bodyPr/>
                      </wps:wsp>
                      <wps:wsp>
                        <wps:cNvPr id="86592179" name="Conector recto 2"/>
                        <wps:cNvCnPr/>
                        <wps:spPr>
                          <a:xfrm>
                            <a:off x="0" y="0"/>
                            <a:ext cx="0" cy="5040000"/>
                          </a:xfrm>
                          <a:prstGeom prst="line">
                            <a:avLst/>
                          </a:prstGeom>
                          <a:ln>
                            <a:solidFill>
                              <a:srgbClr val="B00549"/>
                            </a:solidFill>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12216BCD" id="Grupo 4" o:spid="_x0000_s1026" style="position:absolute;margin-left:24.15pt;margin-top:72.05pt;width:25pt;height:494.15pt;z-index:251663360;mso-height-relative:margin" coordsize="3180,5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wKfnwIAAAMKAAAOAAAAZHJzL2Uyb0RvYy54bWzslltv0zAUx9+R+A5W3lkuay6Nmk5iY3tB&#10;MDH4AJ7jXIRjW7bXtN+eY+fSsXaAypAQog9pEvt/fM7PfzteXWw7hjZU6VbwwgvPAg9RTkTZ8rrw&#10;vny+fpN5SBvMS8wEp4W3o9q7WL9+teplTiPRCFZShSAI13kvC68xRua+r0lDO6zPhKQcGiuhOmzg&#10;UdV+qXAP0TvmR0GQ+L1QpVSCUK3h7dXQ6K1d/KqixHysKk0NYoUHuRl3Ve56b6/+eoXzWmHZtGRM&#10;A5+QRYdbDoPOoa6wwehBtQehupYooUVlzojofFFVLaGuBqgmDJ5Uc6PEg3S11HlfyxkToH3C6eSw&#10;5MPmRsk7eauARC9rYOGebC3bSnX2H7JEW4dsNyOjW4MIvDwP0zgAsASakiiNszgcmJIGwB/ISPNu&#10;FmZBHA3COE0C+FmhPw3rf5dML8Eeek9A/x6BuwZL6sDqHAjcKtSWUEsWR0m8CKEcjjsw6yVYlhih&#10;kLJ/KLIJ2kxAcslHYjrXAO8IrnCRBGHooUNmI65jVeNcKm1uqOiQvSk81nKbKM7x5r02A6Cpi33N&#10;OOoLL01gLbhuWrC2vG4Zs41a1feXTKENBve/DYJ4sRwZP+oGxBkH8LawoRR3Z3aMDgN8ohXggbmO&#10;hhHs0qRzWEwI5cZNuosEva2sghRm4Zjaj4RjfyulbtnO4vDno84KN7LgZhZ3LRfqWACznVKuhv4T&#10;gaFui+BelDs3yQ4NuG+Y/D9uwzCI0iRLl4vFi/jwPBwWGvgwTrJxx5uW72TFYHGwAE+wosX/yFkv&#10;bsDzYzNZfp1mkvFfNt9e9Lzxjtp9L/y3TJcl8TIK0+WLWA5c9fyu999qh3vc32I199GFk4b7Do+n&#10;InuUefzsNsr92W39DQAA//8DAFBLAwQUAAYACAAAACEAzH2eZ98AAAAKAQAADwAAAGRycy9kb3du&#10;cmV2LnhtbEyPwUrDQBCG74LvsIzgzW7SRGljNqUU9VQEW0F622anSWh2NmS3Sfr2Tk96nG9+/vkm&#10;X022FQP2vnGkIJ5FIJBKZxqqFHzv358WIHzQZHTrCBVc0cOquL/LdWbcSF847EIluIR8phXUIXSZ&#10;lL6s0Wo/cx0S706utzrw2FfS9HrkctvKeRS9SKsb4gu17nBTY3neXayCj1GP6yR+G7bn0+Z62D9/&#10;/mxjVOrxYVq/ggg4hb8w3PRZHQp2OroLGS9aBeki4STzNI1BcGB5A0cGcTJPQRa5/P9C8QsAAP//&#10;AwBQSwECLQAUAAYACAAAACEAtoM4kv4AAADhAQAAEwAAAAAAAAAAAAAAAAAAAAAAW0NvbnRlbnRf&#10;VHlwZXNdLnhtbFBLAQItABQABgAIAAAAIQA4/SH/1gAAAJQBAAALAAAAAAAAAAAAAAAAAC8BAABf&#10;cmVscy8ucmVsc1BLAQItABQABgAIAAAAIQCEGwKfnwIAAAMKAAAOAAAAAAAAAAAAAAAAAC4CAABk&#10;cnMvZTJvRG9jLnhtbFBLAQItABQABgAIAAAAIQDMfZ5n3wAAAAoBAAAPAAAAAAAAAAAAAAAAAPkE&#10;AABkcnMvZG93bnJldi54bWxQSwUGAAAAAAQABADzAAAABQYAAAAA&#10;">
                <v:line id="Conector recto 2" o:spid="_x0000_s1027" style="position:absolute;visibility:visible;mso-wrap-style:square" from="1460,0" to="1460,57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pwyQAAAOIAAAAPAAAAZHJzL2Rvd25yZXYueG1sRI/NSgMx&#10;FIX3gu8QruDOZjraoUyblrag2IWCVbq+TK6TwclNJont9O3NouDycP74luvR9uJEIXaOFUwnBQji&#10;xumOWwVfn88PcxAxIWvsHZOCC0VYr25vllhrd+YPOh1SK/IIxxoVmJR8LWVsDFmME+eJs/ftgsWU&#10;ZWilDnjO47aXZVFU0mLH+cGgp52h5ufwaxXsgylfhuSP+NYNm+ryPhi/HZS6vxs3CxCJxvQfvrZf&#10;tYLH+aysZk/TDJGRMg7I1R8AAAD//wMAUEsBAi0AFAAGAAgAAAAhANvh9svuAAAAhQEAABMAAAAA&#10;AAAAAAAAAAAAAAAAAFtDb250ZW50X1R5cGVzXS54bWxQSwECLQAUAAYACAAAACEAWvQsW78AAAAV&#10;AQAACwAAAAAAAAAAAAAAAAAfAQAAX3JlbHMvLnJlbHNQSwECLQAUAAYACAAAACEAK376cMkAAADi&#10;AAAADwAAAAAAAAAAAAAAAAAHAgAAZHJzL2Rvd25yZXYueG1sUEsFBgAAAAADAAMAtwAAAP0CAAAA&#10;AA==&#10;" strokecolor="#b00549" strokeweight="6pt">
                  <v:stroke joinstyle="miter"/>
                </v:line>
                <v:line id="Conector recto 2" o:spid="_x0000_s1028" style="position:absolute;visibility:visible;mso-wrap-style:square" from="3180,56" to="3180,50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aUoxQAAAOMAAAAPAAAAZHJzL2Rvd25yZXYueG1sRE9LawIx&#10;EL4L/Q9hCt400S5qV6OUotCrj97HzbhZ3EyWTequ/vpGKPQ433tWm97V4kZtqDxrmIwVCOLCm4pL&#10;DafjbrQAESKywdozabhTgM36ZbDC3PiO93Q7xFKkEA45arAxNrmUobDkMIx9Q5y4i28dxnS2pTQt&#10;dinc1XKq1Ew6rDg1WGzo01JxPfw4DW/b8zG72y6E3j7c9vy4Xr5ZaT187T+WICL18V/85/4yab6a&#10;zmeL+XuWwfOnBIBc/wIAAP//AwBQSwECLQAUAAYACAAAACEA2+H2y+4AAACFAQAAEwAAAAAAAAAA&#10;AAAAAAAAAAAAW0NvbnRlbnRfVHlwZXNdLnhtbFBLAQItABQABgAIAAAAIQBa9CxbvwAAABUBAAAL&#10;AAAAAAAAAAAAAAAAAB8BAABfcmVscy8ucmVsc1BLAQItABQABgAIAAAAIQDuIaUoxQAAAOMAAAAP&#10;AAAAAAAAAAAAAAAAAAcCAABkcnMvZG93bnJldi54bWxQSwUGAAAAAAMAAwC3AAAA+QIAAAAA&#10;" strokecolor="#b00549" strokeweight="2pt">
                  <v:stroke joinstyle="miter"/>
                </v:line>
                <v:line id="Conector recto 2" o:spid="_x0000_s1029" style="position:absolute;visibility:visible;mso-wrap-style:square" from="0,0" to="0,50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mLvxwAAAOEAAAAPAAAAZHJzL2Rvd25yZXYueG1sRI9bi8Iw&#10;FITfF/wP4Qi+ramX9VKNIovCvq6X92NzbIrNSWmytvrrN4Lg4zAz3zDLdWtLcaPaF44VDPoJCOLM&#10;6YJzBcfD7nMGwgdkjaVjUnAnD+tV52OJqXYN/9JtH3IRIexTVGBCqFIpfWbIou+7ijh6F1dbDFHW&#10;udQ1NhFuSzlMkom0WHBcMFjRt6Hsuv+zCkbb82F8N433rXnY7flxvZw4UarXbTcLEIHa8A6/2j9a&#10;wWzyNR8OpnN4PopvQK7+AQAA//8DAFBLAQItABQABgAIAAAAIQDb4fbL7gAAAIUBAAATAAAAAAAA&#10;AAAAAAAAAAAAAABbQ29udGVudF9UeXBlc10ueG1sUEsBAi0AFAAGAAgAAAAhAFr0LFu/AAAAFQEA&#10;AAsAAAAAAAAAAAAAAAAAHwEAAF9yZWxzLy5yZWxzUEsBAi0AFAAGAAgAAAAhALx6Yu/HAAAA4QAA&#10;AA8AAAAAAAAAAAAAAAAABwIAAGRycy9kb3ducmV2LnhtbFBLBQYAAAAAAwADALcAAAD7AgAAAAA=&#10;" strokecolor="#b00549" strokeweight="2pt">
                  <v:stroke joinstyle="miter"/>
                </v:line>
              </v:group>
            </w:pict>
          </mc:Fallback>
        </mc:AlternateContent>
      </w:r>
      <w:r w:rsidR="007E746F">
        <w:br w:type="page"/>
      </w:r>
    </w:p>
    <w:sdt>
      <w:sdtPr>
        <w:docPartObj>
          <w:docPartGallery w:val="Table of Contents"/>
          <w:docPartUnique/>
        </w:docPartObj>
      </w:sdtPr>
      <w:sdtContent>
        <w:p>
          <w:pPr>
            <w:pStyle w:val="TtuloTDC"/>
            <w:spacing w:before="120" w:after="240"/>
          </w:pPr>
          <w:r>
            <w:rPr>
              <w:rFonts w:ascii="Calibri" w:hAnsi="Calibri"/>
              <w:b/>
              <w:color w:val="0F4761"/>
              <w:sz w:val="32"/>
            </w:rPr>
            <w:t>Contenido</w:t>
          </w:r>
        </w:p>
        <w:p>
          <w:pPr>
            <w:pStyle w:val="TDC1"/>
            <w:tabs>
              <w:tab w:val="right" w:leader="dot" w:pos="9350"/>
            </w:tabs>
          </w:pPr>
          <w:r>
            <w:fldChar w:fldCharType="begin"/>
          </w:r>
          <w:r>
            <w:instrText xml:space="preserve"> TOC \o "1-2" \h \z \u </w:instrText>
          </w:r>
          <w:r>
            <w:fldChar w:fldCharType="separate"/>
          </w:r>
        </w:p>
        <w:p>
          <w:pPr>
            <w:pStyle w:val="TDC1"/>
            <w:tabs>
              <w:tab w:val="right" w:leader="dot" w:pos="9350"/>
            </w:tabs>
          </w:pPr>
          <w:hyperlink w:anchor="_Toc1001" w:history="1">
            <w:r>
              <w:rPr>
                <w:rFonts w:ascii="Calibri" w:hAnsi="Calibri"/>
                <w:b/>
                <w:color w:val="0F4761"/>
                <w:sz w:val="22"/>
              </w:rPr>
              <w:t>1. Resumen Ejecutivo (Executive Summary para Alta Dirección)</w:t>
            </w:r>
            <w:r>
              <w:tab/>
            </w:r>
            <w:r>
              <w:fldChar w:fldCharType="begin"/>
            </w:r>
            <w:r>
              <w:instrText xml:space="preserve"> PAGEREF _Toc1001 \h </w:instrText>
            </w:r>
            <w:r>
              <w:fldChar w:fldCharType="separate"/>
            </w:r>
            <w:r>
              <w:rPr>
                <w:rFonts w:ascii="Calibri" w:hAnsi="Calibri"/>
                <w:b/>
                <w:color w:val="0F4761"/>
                <w:sz w:val="22"/>
              </w:rPr>
              <w:t>3</w:t>
            </w:r>
            <w:r>
              <w:fldChar w:fldCharType="end"/>
            </w:r>
          </w:hyperlink>
        </w:p>
        <w:p>
          <w:pPr>
            <w:pStyle w:val="TDC1"/>
            <w:tabs>
              <w:tab w:val="right" w:leader="dot" w:pos="9350"/>
            </w:tabs>
          </w:pPr>
          <w:hyperlink w:anchor="_Toc1002" w:history="1">
            <w:r>
              <w:rPr>
                <w:rFonts w:ascii="Calibri" w:hAnsi="Calibri"/>
                <w:b/>
                <w:color w:val="0F4761"/>
                <w:sz w:val="22"/>
              </w:rPr>
              <w:t>2. Marco Metodológico de la Fase de Reconocimiento</w:t>
            </w:r>
            <w:r>
              <w:tab/>
            </w:r>
            <w:r>
              <w:fldChar w:fldCharType="begin"/>
            </w:r>
            <w:r>
              <w:instrText xml:space="preserve"> PAGEREF _Toc1002 \h </w:instrText>
            </w:r>
            <w:r>
              <w:fldChar w:fldCharType="separate"/>
            </w:r>
            <w:r>
              <w:rPr>
                <w:rFonts w:ascii="Calibri" w:hAnsi="Calibri"/>
                <w:b/>
                <w:color w:val="0F4761"/>
                <w:sz w:val="22"/>
              </w:rPr>
              <w:t>4</w:t>
            </w:r>
            <w:r>
              <w:fldChar w:fldCharType="end"/>
            </w:r>
          </w:hyperlink>
        </w:p>
        <w:p>
          <w:pPr>
            <w:pStyle w:val="TDC2"/>
            <w:ind w:left="360"/>
            <w:tabs>
              <w:tab w:val="right" w:leader="dot" w:pos="9350"/>
            </w:tabs>
          </w:pPr>
          <w:hyperlink w:anchor="_Toc1003" w:history="1">
            <w:r>
              <w:rPr>
                <w:rFonts w:ascii="Calibri" w:hAnsi="Calibri"/>
                <w:color w:val="2A6F97"/>
                <w:sz w:val="20"/>
              </w:rPr>
              <w:t>2.1. Mapeo a Tácticas y Técnicas del Framework MITRE ATT&amp;CK</w:t>
            </w:r>
            <w:r>
              <w:tab/>
            </w:r>
            <w:r>
              <w:fldChar w:fldCharType="begin"/>
            </w:r>
            <w:r>
              <w:instrText xml:space="preserve"> PAGEREF _Toc1003 \h </w:instrText>
            </w:r>
            <w:r>
              <w:fldChar w:fldCharType="separate"/>
            </w:r>
            <w:r>
              <w:rPr>
                <w:rFonts w:ascii="Calibri" w:hAnsi="Calibri"/>
                <w:color w:val="2A6F97"/>
                <w:sz w:val="20"/>
              </w:rPr>
              <w:t>4</w:t>
            </w:r>
            <w:r>
              <w:fldChar w:fldCharType="end"/>
            </w:r>
          </w:hyperlink>
        </w:p>
        <w:p>
          <w:pPr>
            <w:pStyle w:val="TDC1"/>
            <w:tabs>
              <w:tab w:val="right" w:leader="dot" w:pos="9350"/>
            </w:tabs>
          </w:pPr>
          <w:hyperlink w:anchor="_Toc1004" w:history="1">
            <w:r>
              <w:rPr>
                <w:rFonts w:ascii="Calibri" w:hAnsi="Calibri"/>
                <w:b/>
                <w:color w:val="0F4761"/>
                <w:sz w:val="22"/>
              </w:rPr>
              <w:t>3. Cartografía de la Superficie de Ataque Externa (EASM)</w:t>
            </w:r>
            <w:r>
              <w:tab/>
            </w:r>
            <w:r>
              <w:fldChar w:fldCharType="begin"/>
            </w:r>
            <w:r>
              <w:instrText xml:space="preserve"> PAGEREF _Toc1004 \h </w:instrText>
            </w:r>
            <w:r>
              <w:fldChar w:fldCharType="separate"/>
            </w:r>
            <w:r>
              <w:rPr>
                <w:rFonts w:ascii="Calibri" w:hAnsi="Calibri"/>
                <w:b/>
                <w:color w:val="0F4761"/>
                <w:sz w:val="22"/>
              </w:rPr>
              <w:t>5</w:t>
            </w:r>
            <w:r>
              <w:fldChar w:fldCharType="end"/>
            </w:r>
          </w:hyperlink>
        </w:p>
        <w:p>
          <w:pPr>
            <w:pStyle w:val="TDC2"/>
            <w:ind w:left="360"/>
            <w:tabs>
              <w:tab w:val="right" w:leader="dot" w:pos="9350"/>
            </w:tabs>
          </w:pPr>
          <w:hyperlink w:anchor="_Toc1005" w:history="1">
            <w:r>
              <w:rPr>
                <w:rFonts w:ascii="Calibri" w:hAnsi="Calibri"/>
                <w:color w:val="2A6F97"/>
                <w:sz w:val="20"/>
              </w:rPr>
              <w:t>3.1. Inventario Pericial de Subdominios y Activos Clave</w:t>
            </w:r>
            <w:r>
              <w:tab/>
            </w:r>
            <w:r>
              <w:fldChar w:fldCharType="begin"/>
            </w:r>
            <w:r>
              <w:instrText xml:space="preserve"> PAGEREF _Toc1005 \h </w:instrText>
            </w:r>
            <w:r>
              <w:fldChar w:fldCharType="separate"/>
            </w:r>
            <w:r>
              <w:rPr>
                <w:rFonts w:ascii="Calibri" w:hAnsi="Calibri"/>
                <w:color w:val="2A6F97"/>
                <w:sz w:val="20"/>
              </w:rPr>
              <w:t>5</w:t>
            </w:r>
            <w:r>
              <w:fldChar w:fldCharType="end"/>
            </w:r>
          </w:hyperlink>
        </w:p>
        <w:p>
          <w:pPr>
            <w:pStyle w:val="TDC2"/>
            <w:ind w:left="360"/>
            <w:tabs>
              <w:tab w:val="right" w:leader="dot" w:pos="9350"/>
            </w:tabs>
          </w:pPr>
          <w:hyperlink w:anchor="_Toc1006" w:history="1">
            <w:r>
              <w:rPr>
                <w:rFonts w:ascii="Calibri" w:hAnsi="Calibri"/>
                <w:color w:val="2A6F97"/>
                <w:sz w:val="20"/>
              </w:rPr>
              <w:t>3.2. Evaluación de Registros DNS y Vulnerabilidades en Correo Institucional</w:t>
            </w:r>
            <w:r>
              <w:tab/>
            </w:r>
            <w:r>
              <w:fldChar w:fldCharType="begin"/>
            </w:r>
            <w:r>
              <w:instrText xml:space="preserve"> PAGEREF _Toc1006 \h </w:instrText>
            </w:r>
            <w:r>
              <w:fldChar w:fldCharType="separate"/>
            </w:r>
            <w:r>
              <w:rPr>
                <w:rFonts w:ascii="Calibri" w:hAnsi="Calibri"/>
                <w:color w:val="2A6F97"/>
                <w:sz w:val="20"/>
              </w:rPr>
              <w:t>5</w:t>
            </w:r>
            <w:r>
              <w:fldChar w:fldCharType="end"/>
            </w:r>
          </w:hyperlink>
        </w:p>
        <w:p>
          <w:pPr>
            <w:pStyle w:val="TDC1"/>
            <w:tabs>
              <w:tab w:val="right" w:leader="dot" w:pos="9350"/>
            </w:tabs>
          </w:pPr>
          <w:hyperlink w:anchor="_Toc1007" w:history="1">
            <w:r>
              <w:rPr>
                <w:rFonts w:ascii="Calibri" w:hAnsi="Calibri"/>
                <w:b/>
                <w:color w:val="0F4761"/>
                <w:sz w:val="22"/>
              </w:rPr>
              <w:t>4. Auditoría Criptográfica SSL/TLS y Subject Alternative Names (SANs)</w:t>
            </w:r>
            <w:r>
              <w:tab/>
            </w:r>
            <w:r>
              <w:fldChar w:fldCharType="begin"/>
            </w:r>
            <w:r>
              <w:instrText xml:space="preserve"> PAGEREF _Toc1007 \h </w:instrText>
            </w:r>
            <w:r>
              <w:fldChar w:fldCharType="separate"/>
            </w:r>
            <w:r>
              <w:rPr>
                <w:rFonts w:ascii="Calibri" w:hAnsi="Calibri"/>
                <w:b/>
                <w:color w:val="0F4761"/>
                <w:sz w:val="22"/>
              </w:rPr>
              <w:t>6</w:t>
            </w:r>
            <w:r>
              <w:fldChar w:fldCharType="end"/>
            </w:r>
          </w:hyperlink>
        </w:p>
        <w:p>
          <w:pPr>
            <w:pStyle w:val="TDC2"/>
            <w:ind w:left="360"/>
            <w:tabs>
              <w:tab w:val="right" w:leader="dot" w:pos="9350"/>
            </w:tabs>
          </w:pPr>
          <w:hyperlink w:anchor="_Toc1008" w:history="1">
            <w:r>
              <w:rPr>
                <w:rFonts w:ascii="Calibri" w:hAnsi="Calibri"/>
                <w:color w:val="2A6F97"/>
                <w:sz w:val="20"/>
              </w:rPr>
              <w:t>4.1. Extracción de Subject Alternative Names (SANs)</w:t>
            </w:r>
            <w:r>
              <w:tab/>
            </w:r>
            <w:r>
              <w:fldChar w:fldCharType="begin"/>
            </w:r>
            <w:r>
              <w:instrText xml:space="preserve"> PAGEREF _Toc1008 \h </w:instrText>
            </w:r>
            <w:r>
              <w:fldChar w:fldCharType="separate"/>
            </w:r>
            <w:r>
              <w:rPr>
                <w:rFonts w:ascii="Calibri" w:hAnsi="Calibri"/>
                <w:color w:val="2A6F97"/>
                <w:sz w:val="20"/>
              </w:rPr>
              <w:t>6</w:t>
            </w:r>
            <w:r>
              <w:fldChar w:fldCharType="end"/>
            </w:r>
          </w:hyperlink>
        </w:p>
        <w:p>
          <w:pPr>
            <w:pStyle w:val="TDC1"/>
            <w:tabs>
              <w:tab w:val="right" w:leader="dot" w:pos="9350"/>
            </w:tabs>
          </w:pPr>
          <w:hyperlink w:anchor="_Toc1009" w:history="1">
            <w:r>
              <w:rPr>
                <w:rFonts w:ascii="Calibri" w:hAnsi="Calibri"/>
                <w:b/>
                <w:color w:val="0F4761"/>
                <w:sz w:val="22"/>
              </w:rPr>
              <w:t>5. Inteligencia en Motores de Búsqueda (Google Dorking) y Fuga de Información</w:t>
            </w:r>
            <w:r>
              <w:tab/>
            </w:r>
            <w:r>
              <w:fldChar w:fldCharType="begin"/>
            </w:r>
            <w:r>
              <w:instrText xml:space="preserve"> PAGEREF _Toc1009 \h </w:instrText>
            </w:r>
            <w:r>
              <w:fldChar w:fldCharType="separate"/>
            </w:r>
            <w:r>
              <w:rPr>
                <w:rFonts w:ascii="Calibri" w:hAnsi="Calibri"/>
                <w:b/>
                <w:color w:val="0F4761"/>
                <w:sz w:val="22"/>
              </w:rPr>
              <w:t>7</w:t>
            </w:r>
            <w:r>
              <w:fldChar w:fldCharType="end"/>
            </w:r>
          </w:hyperlink>
        </w:p>
        <w:p>
          <w:pPr>
            <w:pStyle w:val="TDC2"/>
            <w:ind w:left="360"/>
            <w:tabs>
              <w:tab w:val="right" w:leader="dot" w:pos="9350"/>
            </w:tabs>
          </w:pPr>
          <w:hyperlink w:anchor="_Toc1010" w:history="1">
            <w:r>
              <w:rPr>
                <w:rFonts w:ascii="Calibri" w:hAnsi="Calibri"/>
                <w:color w:val="2A6F97"/>
                <w:sz w:val="20"/>
              </w:rPr>
              <w:t>5.1. Arsenal de 10 Google Dorks Especializadas Evaluadas</w:t>
            </w:r>
            <w:r>
              <w:tab/>
            </w:r>
            <w:r>
              <w:fldChar w:fldCharType="begin"/>
            </w:r>
            <w:r>
              <w:instrText xml:space="preserve"> PAGEREF _Toc1010 \h </w:instrText>
            </w:r>
            <w:r>
              <w:fldChar w:fldCharType="separate"/>
            </w:r>
            <w:r>
              <w:rPr>
                <w:rFonts w:ascii="Calibri" w:hAnsi="Calibri"/>
                <w:color w:val="2A6F97"/>
                <w:sz w:val="20"/>
              </w:rPr>
              <w:t>7</w:t>
            </w:r>
            <w:r>
              <w:fldChar w:fldCharType="end"/>
            </w:r>
          </w:hyperlink>
        </w:p>
        <w:p>
          <w:pPr>
            <w:pStyle w:val="TDC1"/>
            <w:tabs>
              <w:tab w:val="right" w:leader="dot" w:pos="9350"/>
            </w:tabs>
          </w:pPr>
          <w:hyperlink w:anchor="_Toc1011" w:history="1">
            <w:r>
              <w:rPr>
                <w:rFonts w:ascii="Calibri" w:hAnsi="Calibri"/>
                <w:b/>
                <w:color w:val="0F4761"/>
                <w:sz w:val="22"/>
              </w:rPr>
              <w:t>6. Análisis Forense Histórico en Repositorios Web (Wayback Machine)</w:t>
            </w:r>
            <w:r>
              <w:tab/>
            </w:r>
            <w:r>
              <w:fldChar w:fldCharType="begin"/>
            </w:r>
            <w:r>
              <w:instrText xml:space="preserve"> PAGEREF _Toc1011 \h </w:instrText>
            </w:r>
            <w:r>
              <w:fldChar w:fldCharType="separate"/>
            </w:r>
            <w:r>
              <w:rPr>
                <w:rFonts w:ascii="Calibri" w:hAnsi="Calibri"/>
                <w:b/>
                <w:color w:val="0F4761"/>
                <w:sz w:val="22"/>
              </w:rPr>
              <w:t>8</w:t>
            </w:r>
            <w:r>
              <w:fldChar w:fldCharType="end"/>
            </w:r>
          </w:hyperlink>
        </w:p>
        <w:p>
          <w:pPr>
            <w:pStyle w:val="TDC2"/>
            <w:ind w:left="360"/>
            <w:tabs>
              <w:tab w:val="right" w:leader="dot" w:pos="9350"/>
            </w:tabs>
          </w:pPr>
          <w:hyperlink w:anchor="_Toc1012" w:history="1">
            <w:r>
              <w:rPr>
                <w:rFonts w:ascii="Calibri" w:hAnsi="Calibri"/>
                <w:color w:val="2A6F97"/>
                <w:sz w:val="20"/>
              </w:rPr>
              <w:t>6.1. Comparativa Tecnológica Evolutiva: 2020 vs 2026</w:t>
            </w:r>
            <w:r>
              <w:tab/>
            </w:r>
            <w:r>
              <w:fldChar w:fldCharType="begin"/>
            </w:r>
            <w:r>
              <w:instrText xml:space="preserve"> PAGEREF _Toc1012 \h </w:instrText>
            </w:r>
            <w:r>
              <w:fldChar w:fldCharType="separate"/>
            </w:r>
            <w:r>
              <w:rPr>
                <w:rFonts w:ascii="Calibri" w:hAnsi="Calibri"/>
                <w:color w:val="2A6F97"/>
                <w:sz w:val="20"/>
              </w:rPr>
              <w:t>8</w:t>
            </w:r>
            <w:r>
              <w:fldChar w:fldCharType="end"/>
            </w:r>
          </w:hyperlink>
        </w:p>
        <w:p>
          <w:pPr>
            <w:pStyle w:val="TDC1"/>
            <w:tabs>
              <w:tab w:val="right" w:leader="dot" w:pos="9350"/>
            </w:tabs>
          </w:pPr>
          <w:hyperlink w:anchor="_Toc1013" w:history="1">
            <w:r>
              <w:rPr>
                <w:rFonts w:ascii="Calibri" w:hAnsi="Calibri"/>
                <w:b/>
                <w:color w:val="0F4761"/>
                <w:sz w:val="22"/>
              </w:rPr>
              <w:t>7. Reconocimiento Automatizado y Correlación de Fuentes con SpiderFoot</w:t>
            </w:r>
            <w:r>
              <w:tab/>
            </w:r>
            <w:r>
              <w:fldChar w:fldCharType="begin"/>
            </w:r>
            <w:r>
              <w:instrText xml:space="preserve"> PAGEREF _Toc1013 \h </w:instrText>
            </w:r>
            <w:r>
              <w:fldChar w:fldCharType="separate"/>
            </w:r>
            <w:r>
              <w:rPr>
                <w:rFonts w:ascii="Calibri" w:hAnsi="Calibri"/>
                <w:b/>
                <w:color w:val="0F4761"/>
                <w:sz w:val="22"/>
              </w:rPr>
              <w:t>9</w:t>
            </w:r>
            <w:r>
              <w:fldChar w:fldCharType="end"/>
            </w:r>
          </w:hyperlink>
        </w:p>
        <w:p>
          <w:pPr>
            <w:pStyle w:val="TDC2"/>
            <w:ind w:left="360"/>
            <w:tabs>
              <w:tab w:val="right" w:leader="dot" w:pos="9350"/>
            </w:tabs>
          </w:pPr>
          <w:hyperlink w:anchor="_Toc1014" w:history="1">
            <w:r>
              <w:rPr>
                <w:rFonts w:ascii="Calibri" w:hAnsi="Calibri"/>
                <w:color w:val="2A6F97"/>
                <w:sz w:val="20"/>
              </w:rPr>
              <w:t>7.1. Repositorio de Auditorías y Exportación de Datos</w:t>
            </w:r>
            <w:r>
              <w:tab/>
            </w:r>
            <w:r>
              <w:fldChar w:fldCharType="begin"/>
            </w:r>
            <w:r>
              <w:instrText xml:space="preserve"> PAGEREF _Toc1014 \h </w:instrText>
            </w:r>
            <w:r>
              <w:fldChar w:fldCharType="separate"/>
            </w:r>
            <w:r>
              <w:rPr>
                <w:rFonts w:ascii="Calibri" w:hAnsi="Calibri"/>
                <w:color w:val="2A6F97"/>
                <w:sz w:val="20"/>
              </w:rPr>
              <w:t>9</w:t>
            </w:r>
            <w:r>
              <w:fldChar w:fldCharType="end"/>
            </w:r>
          </w:hyperlink>
        </w:p>
        <w:p>
          <w:pPr>
            <w:pStyle w:val="TDC1"/>
            <w:tabs>
              <w:tab w:val="right" w:leader="dot" w:pos="9350"/>
            </w:tabs>
          </w:pPr>
          <w:hyperlink w:anchor="_Toc1015" w:history="1">
            <w:r>
              <w:rPr>
                <w:rFonts w:ascii="Calibri" w:hAnsi="Calibri"/>
                <w:b/>
                <w:color w:val="0F4761"/>
                <w:sz w:val="22"/>
              </w:rPr>
              <w:t>8. Simulación de Due Diligence y Perfilado de Ingeniería Social</w:t>
            </w:r>
            <w:r>
              <w:tab/>
            </w:r>
            <w:r>
              <w:fldChar w:fldCharType="begin"/>
            </w:r>
            <w:r>
              <w:instrText xml:space="preserve"> PAGEREF _Toc1015 \h </w:instrText>
            </w:r>
            <w:r>
              <w:fldChar w:fldCharType="separate"/>
            </w:r>
            <w:r>
              <w:rPr>
                <w:rFonts w:ascii="Calibri" w:hAnsi="Calibri"/>
                <w:b/>
                <w:color w:val="0F4761"/>
                <w:sz w:val="22"/>
              </w:rPr>
              <w:t>10</w:t>
            </w:r>
            <w:r>
              <w:fldChar w:fldCharType="end"/>
            </w:r>
          </w:hyperlink>
        </w:p>
        <w:p>
          <w:pPr>
            <w:pStyle w:val="TDC2"/>
            <w:ind w:left="360"/>
            <w:tabs>
              <w:tab w:val="right" w:leader="dot" w:pos="9350"/>
            </w:tabs>
          </w:pPr>
          <w:hyperlink w:anchor="_Toc1016" w:history="1">
            <w:r>
              <w:rPr>
                <w:rFonts w:ascii="Calibri" w:hAnsi="Calibri"/>
                <w:color w:val="2A6F97"/>
                <w:sz w:val="20"/>
              </w:rPr>
              <w:t>8.1. Vectores de Exposición de Identidad y Riesgo de Phishing</w:t>
            </w:r>
            <w:r>
              <w:tab/>
            </w:r>
            <w:r>
              <w:fldChar w:fldCharType="begin"/>
            </w:r>
            <w:r>
              <w:instrText xml:space="preserve"> PAGEREF _Toc1016 \h </w:instrText>
            </w:r>
            <w:r>
              <w:fldChar w:fldCharType="separate"/>
            </w:r>
            <w:r>
              <w:rPr>
                <w:rFonts w:ascii="Calibri" w:hAnsi="Calibri"/>
                <w:color w:val="2A6F97"/>
                <w:sz w:val="20"/>
              </w:rPr>
              <w:t>10</w:t>
            </w:r>
            <w:r>
              <w:fldChar w:fldCharType="end"/>
            </w:r>
          </w:hyperlink>
        </w:p>
        <w:p>
          <w:pPr>
            <w:pStyle w:val="TDC2"/>
            <w:ind w:left="360"/>
            <w:tabs>
              <w:tab w:val="right" w:leader="dot" w:pos="9350"/>
            </w:tabs>
          </w:pPr>
          <w:hyperlink w:anchor="_Toc1017" w:history="1">
            <w:r>
              <w:rPr>
                <w:rFonts w:ascii="Calibri" w:hAnsi="Calibri"/>
                <w:color w:val="2A6F97"/>
                <w:sz w:val="20"/>
              </w:rPr>
              <w:t>8.2. Límite de APIs Gratuitas vs Feeds Comerciales de Ciberinteligencia</w:t>
            </w:r>
            <w:r>
              <w:tab/>
            </w:r>
            <w:r>
              <w:fldChar w:fldCharType="begin"/>
            </w:r>
            <w:r>
              <w:instrText xml:space="preserve"> PAGEREF _Toc1017 \h </w:instrText>
            </w:r>
            <w:r>
              <w:fldChar w:fldCharType="separate"/>
            </w:r>
            <w:r>
              <w:rPr>
                <w:rFonts w:ascii="Calibri" w:hAnsi="Calibri"/>
                <w:color w:val="2A6F97"/>
                <w:sz w:val="20"/>
              </w:rPr>
              <w:t>10</w:t>
            </w:r>
            <w:r>
              <w:fldChar w:fldCharType="end"/>
            </w:r>
          </w:hyperlink>
        </w:p>
        <w:p>
          <w:pPr>
            <w:pStyle w:val="TDC1"/>
            <w:tabs>
              <w:tab w:val="right" w:leader="dot" w:pos="9350"/>
            </w:tabs>
          </w:pPr>
          <w:hyperlink w:anchor="_Toc1018" w:history="1">
            <w:r>
              <w:rPr>
                <w:rFonts w:ascii="Calibri" w:hAnsi="Calibri"/>
                <w:b/>
                <w:color w:val="0F4761"/>
                <w:sz w:val="22"/>
              </w:rPr>
              <w:t>9. Matriz Pericial de Riesgos y Plan Estratégico de Hardening Defensivo</w:t>
            </w:r>
            <w:r>
              <w:tab/>
            </w:r>
            <w:r>
              <w:fldChar w:fldCharType="begin"/>
            </w:r>
            <w:r>
              <w:instrText xml:space="preserve"> PAGEREF _Toc1018 \h </w:instrText>
            </w:r>
            <w:r>
              <w:fldChar w:fldCharType="separate"/>
            </w:r>
            <w:r>
              <w:rPr>
                <w:rFonts w:ascii="Calibri" w:hAnsi="Calibri"/>
                <w:b/>
                <w:color w:val="0F4761"/>
                <w:sz w:val="22"/>
              </w:rPr>
              <w:t>11</w:t>
            </w:r>
            <w:r>
              <w:fldChar w:fldCharType="end"/>
            </w:r>
          </w:hyperlink>
        </w:p>
        <w:p>
          <w:pPr>
            <w:pStyle w:val="TDC2"/>
            <w:ind w:left="360"/>
            <w:tabs>
              <w:tab w:val="right" w:leader="dot" w:pos="9350"/>
            </w:tabs>
          </w:pPr>
          <w:hyperlink w:anchor="_Toc1019" w:history="1">
            <w:r>
              <w:rPr>
                <w:rFonts w:ascii="Calibri" w:hAnsi="Calibri"/>
                <w:color w:val="2A6F97"/>
                <w:sz w:val="20"/>
              </w:rPr>
              <w:t>9.1. Plan de Acción y Cronograma de Hardening en Tres Fases</w:t>
            </w:r>
            <w:r>
              <w:tab/>
            </w:r>
            <w:r>
              <w:fldChar w:fldCharType="begin"/>
            </w:r>
            <w:r>
              <w:instrText xml:space="preserve"> PAGEREF _Toc1019 \h </w:instrText>
            </w:r>
            <w:r>
              <w:fldChar w:fldCharType="separate"/>
            </w:r>
            <w:r>
              <w:rPr>
                <w:rFonts w:ascii="Calibri" w:hAnsi="Calibri"/>
                <w:color w:val="2A6F97"/>
                <w:sz w:val="20"/>
              </w:rPr>
              <w:t>11</w:t>
            </w:r>
            <w:r>
              <w:fldChar w:fldCharType="end"/>
            </w:r>
          </w:hyperlink>
        </w:p>
        <w:p>
          <w:pPr>
            <w:pStyle w:val="TDC1"/>
            <w:tabs>
              <w:tab w:val="right" w:leader="dot" w:pos="9350"/>
            </w:tabs>
          </w:pPr>
          <w:hyperlink w:anchor="_Toc1020" w:history="1">
            <w:r>
              <w:rPr>
                <w:rFonts w:ascii="Calibri" w:hAnsi="Calibri"/>
                <w:b/>
                <w:color w:val="0F4761"/>
                <w:sz w:val="22"/>
              </w:rPr>
              <w:t>10. Conclusiones</w:t>
            </w:r>
            <w:r>
              <w:tab/>
            </w:r>
            <w:r>
              <w:fldChar w:fldCharType="begin"/>
            </w:r>
            <w:r>
              <w:instrText xml:space="preserve"> PAGEREF _Toc1020 \h </w:instrText>
            </w:r>
            <w:r>
              <w:fldChar w:fldCharType="separate"/>
            </w:r>
            <w:r>
              <w:rPr>
                <w:rFonts w:ascii="Calibri" w:hAnsi="Calibri"/>
                <w:b/>
                <w:color w:val="0F4761"/>
                <w:sz w:val="22"/>
              </w:rPr>
              <w:t>12</w:t>
            </w:r>
            <w:r>
              <w:fldChar w:fldCharType="end"/>
            </w:r>
          </w:hyperlink>
        </w:p>
        <w:p>
          <w:pPr>
            <w:pStyle w:val="TDC1"/>
            <w:tabs>
              <w:tab w:val="right" w:leader="dot" w:pos="9350"/>
            </w:tabs>
          </w:pPr>
          <w:hyperlink w:anchor="_Toc1021" w:history="1">
            <w:r>
              <w:rPr>
                <w:rFonts w:ascii="Calibri" w:hAnsi="Calibri"/>
                <w:b/>
                <w:color w:val="0F4761"/>
                <w:sz w:val="22"/>
              </w:rPr>
              <w:t>11. Referencias Bibliográficas</w:t>
            </w:r>
            <w:r>
              <w:tab/>
            </w:r>
            <w:r>
              <w:fldChar w:fldCharType="begin"/>
            </w:r>
            <w:r>
              <w:instrText xml:space="preserve"> PAGEREF _Toc1021 \h </w:instrText>
            </w:r>
            <w:r>
              <w:fldChar w:fldCharType="separate"/>
            </w:r>
            <w:r>
              <w:rPr>
                <w:rFonts w:ascii="Calibri" w:hAnsi="Calibri"/>
                <w:b/>
                <w:color w:val="0F4761"/>
                <w:sz w:val="22"/>
              </w:rPr>
              <w:t>13</w:t>
            </w:r>
            <w:r>
              <w:fldChar w:fldCharType="end"/>
            </w:r>
          </w:hyperlink>
        </w:p>
        <w:p>
          <w:r>
            <w:fldChar w:fldCharType="end"/>
          </w:r>
        </w:p>
      </w:sdtContent>
    </w:sdt>
    <w:p>
      <w:pPr>
        <w:spacing w:before="0" w:after="0"/>
      </w:pPr>
      <w:r>
        <w:br w:type="page"/>
      </w:r>
    </w:p>
    <w:p>
      <w:pPr>
        <w:pStyle w:val="Ttulo1"/>
        <w:keepNext/>
        <w:spacing w:before="320" w:after="160"/>
      </w:pPr>
      <w:bookmarkStart w:id="1001" w:name="_Toc1001"/>
      <w:r>
        <w:rPr>
          <w:rFonts w:ascii="Calibri" w:hAnsi="Calibri"/>
          <w:b/>
          <w:color w:val="0F4761"/>
          <w:sz w:val="32"/>
        </w:rPr>
        <w:t>1. Resumen Ejecutivo (Executive Summary para Alta Dirección)</w:t>
      </w:r>
      <w:bookmarkEnd w:id="1001"/>
    </w:p>
    <w:p>
      <w:pPr>
        <w:spacing w:before="0" w:after="120" w:line="276" w:lineRule="auto"/>
        <w:ind w:firstLine="432"/>
        <w:jc w:val="both"/>
      </w:pPr>
      <w:r>
        <w:rPr>
          <w:rFonts w:ascii="Calibri" w:hAnsi="Calibri"/>
          <w:color w:val="222222"/>
          <w:sz w:val="22"/>
        </w:rPr>
        <w:t>El presente informe consolida los resultados periciales y estratégicos obtenidos durante la ejecución de la Fase de Reconocimiento e Inteligencia de Fuentes Abiertas (OSINT) desarrollada sobre la infraestructura perimetral y el ecosistema digital del Instituto Tecnológico Superior Progreso (dominio raíz: progreso.tecnm.mx). La auditoría se apegó rigurosamente a las metodologías internacionales PTES (Penetration Testing Execution Standard), OSSTMM 3.0 y a las directrices de pruebas de seguridad del NIST SP 800-115.</w:t>
      </w:r>
    </w:p>
    <w:p>
      <w:pPr>
        <w:spacing w:before="0" w:after="120" w:line="276" w:lineRule="auto"/>
        <w:ind w:firstLine="432"/>
        <w:jc w:val="both"/>
      </w:pPr>
      <w:r>
        <w:rPr>
          <w:rFonts w:ascii="Calibri" w:hAnsi="Calibri"/>
          <w:color w:val="222222"/>
          <w:sz w:val="22"/>
        </w:rPr>
        <w:t>El objetivo primordial de esta fase inicial de pruebas de penetración no radica en la explotación intrusiva ni en la alteración de sistemas, sino en cartografiar de forma exhaustiva y pasiva la Superficie de Ataque Externa (External Attack Surface Management - EASM). Esto permite visualizar con exactitud qué información, activos de red, subdominios, metadatos y tecnologías institucionales se encuentran expuestos a la vista de actores maliciosos en Internet antes de que estos desplieguen vectores ofensivos activos.</w:t>
      </w:r>
    </w:p>
    <w:p>
      <w:pPr>
        <w:spacing w:before="0" w:after="120" w:line="276" w:lineRule="auto"/>
        <w:jc w:val="both"/>
      </w:pPr>
      <w:r>
        <w:rPr>
          <w:rFonts w:ascii="Calibri" w:hAnsi="Calibri"/>
          <w:b/>
          <w:color w:val="222222"/>
          <w:sz w:val="22"/>
        </w:rPr>
        <w:t xml:space="preserve">Diagnóstico global de exposición perimetral: </w:t>
      </w:r>
      <w:r>
        <w:rPr>
          <w:rFonts w:ascii="Calibri" w:hAnsi="Calibri"/>
          <w:color w:val="222222"/>
          <w:sz w:val="22"/>
        </w:rPr>
        <w:t>Como conclusión del análisis de 662 eventos de inteligencia recolectados y correlacionados mediante herramientas avanzadas, se determinó un Nivel de Riesgo Global de Exposición Moderado-Alto (Global Exposure Score: 6.8 / 10). Si bien el perímetro cuenta con cifrado TLS moderno gestionado mediante Let's Encrypt y arquitecturas de red apropiadamente segmentadas en proveedores cloud, se identificaron vectores críticos de fuga de información pasiva: ausencia de directivas de rechazo estricto en políticas DMARC de correo (lo que habilita escenarios de spoofing y phishing a nombre de la institución), indexación de documentos institucionales con firmas de directivos mediante Google Dorks, y preservación histórica de rutas residuales en la plataforma Wayback Machine.</w:t>
      </w:r>
    </w:p>
    <w:p>
      <w:pPr>
        <w:spacing w:before="0" w:after="120" w:line="276" w:lineRule="auto"/>
        <w:ind w:firstLine="432"/>
        <w:jc w:val="both"/>
      </w:pPr>
      <w:r>
        <w:rPr>
          <w:rFonts w:ascii="Calibri" w:hAnsi="Calibri"/>
          <w:color w:val="222222"/>
          <w:sz w:val="22"/>
        </w:rPr>
        <w:t>A continuación se presenta el desglose técnico, pericial y estratégico de los hallazgos recabados, acompañado de una matriz priorizada de riesgos y un plan de remediación defensiva (hardening) estructurado para el blindaje inmediato de la infraestructura evaluada.</w:t>
      </w:r>
    </w:p>
    <w:p>
      <w:r>
        <w:br w:type="page"/>
      </w:r>
    </w:p>
    <w:p>
      <w:pPr>
        <w:pStyle w:val="Ttulo1"/>
        <w:keepNext/>
        <w:spacing w:before="320" w:after="160"/>
      </w:pPr>
      <w:bookmarkStart w:id="1002" w:name="_Toc1002"/>
      <w:r>
        <w:rPr>
          <w:rFonts w:ascii="Calibri" w:hAnsi="Calibri"/>
          <w:b/>
          <w:color w:val="0F4761"/>
          <w:sz w:val="32"/>
        </w:rPr>
        <w:t>2. Marco Metodológico de la Fase de Reconocimiento</w:t>
      </w:r>
      <w:bookmarkEnd w:id="1002"/>
    </w:p>
    <w:p>
      <w:pPr>
        <w:spacing w:before="0" w:after="120" w:line="276" w:lineRule="auto"/>
        <w:ind w:firstLine="432"/>
        <w:jc w:val="both"/>
      </w:pPr>
      <w:r>
        <w:rPr>
          <w:rFonts w:ascii="Calibri" w:hAnsi="Calibri"/>
          <w:color w:val="222222"/>
          <w:sz w:val="22"/>
        </w:rPr>
        <w:t>La recolección de inteligencia técnica se fundamentó en un enfoque híbrido estandarizado que integra las mejores prácticas de la industria internacional de ciberseguridad, asegurando total auditabilidad pericial y rigor científico:</w:t>
      </w:r>
    </w:p>
    <w:p>
      <w:pPr>
        <w:spacing w:before="0" w:after="120" w:line="276" w:lineRule="auto"/>
        <w:jc w:val="both"/>
      </w:pPr>
      <w:r>
        <w:rPr>
          <w:rFonts w:ascii="Calibri" w:hAnsi="Calibri"/>
          <w:b/>
          <w:color w:val="222222"/>
          <w:sz w:val="22"/>
        </w:rPr>
        <w:t xml:space="preserve">1. PTES (Penetration Testing Execution Standard): </w:t>
      </w:r>
      <w:r>
        <w:rPr>
          <w:rFonts w:ascii="Calibri" w:hAnsi="Calibri"/>
          <w:color w:val="222222"/>
          <w:sz w:val="22"/>
        </w:rPr>
        <w:t>Se cubrieron con exactitud las etapas de 'Pre-engagement Interactions' e 'Intelligence Gathering', clasificando el reconocimiento en tres niveles de interacción: pasiva (sin contacto con el objetivo), semipasiva (consultas DNS y servidores intermedios autorizados) y activa (sondas controladas de puertos web sin explotación).</w:t>
      </w:r>
    </w:p>
    <w:p>
      <w:pPr>
        <w:spacing w:before="0" w:after="120" w:line="276" w:lineRule="auto"/>
        <w:jc w:val="both"/>
      </w:pPr>
      <w:r>
        <w:rPr>
          <w:rFonts w:ascii="Calibri" w:hAnsi="Calibri"/>
          <w:b/>
          <w:color w:val="222222"/>
          <w:sz w:val="22"/>
        </w:rPr>
        <w:t xml:space="preserve">2. OSSTMM 3.0 (Open Source Security Testing Methodology Manual): </w:t>
      </w:r>
      <w:r>
        <w:rPr>
          <w:rFonts w:ascii="Calibri" w:hAnsi="Calibri"/>
          <w:color w:val="222222"/>
          <w:sz w:val="22"/>
        </w:rPr>
        <w:t>Se aplicaron los lineamientos del Módulo de Seguridad en Comunicaciones y Mapeo de Redes, validando la visibilidad del perímetro y la confiabilidad de las fuentes de información pública.</w:t>
      </w:r>
    </w:p>
    <w:p>
      <w:pPr>
        <w:spacing w:before="0" w:after="120" w:line="276" w:lineRule="auto"/>
        <w:jc w:val="both"/>
      </w:pPr>
      <w:r>
        <w:rPr>
          <w:rFonts w:ascii="Calibri" w:hAnsi="Calibri"/>
          <w:b/>
          <w:color w:val="222222"/>
          <w:sz w:val="22"/>
        </w:rPr>
        <w:t xml:space="preserve">3. NIST SP 800-115 (Technical Guide to Information Security Testing): </w:t>
      </w:r>
      <w:r>
        <w:rPr>
          <w:rFonts w:ascii="Calibri" w:hAnsi="Calibri"/>
          <w:color w:val="222222"/>
          <w:sz w:val="22"/>
        </w:rPr>
        <w:t>Se ejecutaron las directrices de la Sección 5 ('Information Gathering Techniques'), orientadas a la recolección responsable y no destructiva de activos informáticos.</w:t>
      </w:r>
    </w:p>
    <w:p>
      <w:pPr>
        <w:pStyle w:val="Ttulo2"/>
        <w:keepNext/>
        <w:spacing w:before="240" w:after="120"/>
      </w:pPr>
      <w:bookmarkStart w:id="1003" w:name="_Toc1003"/>
      <w:r>
        <w:rPr>
          <w:rFonts w:ascii="Calibri" w:hAnsi="Calibri"/>
          <w:b/>
          <w:color w:val="0F4761"/>
          <w:sz w:val="25"/>
        </w:rPr>
        <w:t>2.1. Mapeo a Tácticas y Técnicas del Framework MITRE ATT&amp;CK</w:t>
      </w:r>
      <w:bookmarkEnd w:id="1003"/>
    </w:p>
    <w:p>
      <w:pPr>
        <w:spacing w:before="0" w:after="120" w:line="276" w:lineRule="auto"/>
        <w:ind w:firstLine="432"/>
        <w:jc w:val="both"/>
      </w:pPr>
      <w:r>
        <w:rPr>
          <w:rFonts w:ascii="Calibri" w:hAnsi="Calibri"/>
          <w:color w:val="222222"/>
          <w:sz w:val="22"/>
        </w:rPr>
        <w:t>Para garantizar que los hallazgos de reconocimiento se traduzcan en contramedidas defensivas aplicables por los Equipos de Respuesta a Incidentes (CSIRT/SOC), cada procedimiento técnico ejecutado fue mapeado directamente contra la matriz MITRE ATT&amp;CK for Enterprise:</w:t>
      </w:r>
    </w:p>
    <w:tbl>
      <w:tblPr>
        <w:tblW w:type="auto" w:w="0"/>
        <w:jc w:val="center"/>
        <w:tblLook w:firstColumn="1" w:firstRow="1" w:lastColumn="0" w:lastRow="0" w:noHBand="0" w:noVBand="1" w:val="04A0"/>
      </w:tblPr>
      <w:tblGrid>
        <w:gridCol w:w="2340"/>
        <w:gridCol w:w="2340"/>
        <w:gridCol w:w="2340"/>
        <w:gridCol w:w="2340"/>
      </w:tblGrid>
      <w:tr>
        <w:tc>
          <w:tcPr>
            <w:tcW w:type="dxa" w:w="2340"/>
            <w:shd w:fill="0F4761"/>
          </w:tcPr>
          <w:p>
            <w:pPr>
              <w:spacing w:before="80" w:after="80"/>
              <w:jc w:val="center"/>
            </w:pPr>
            <w:r>
              <w:rPr>
                <w:rFonts w:ascii="Calibri" w:hAnsi="Calibri"/>
                <w:b/>
                <w:color w:val="FFFFFF"/>
                <w:sz w:val="19"/>
              </w:rPr>
              <w:t>Táctica MITRE</w:t>
            </w:r>
          </w:p>
        </w:tc>
        <w:tc>
          <w:tcPr>
            <w:tcW w:type="dxa" w:w="2340"/>
            <w:shd w:fill="0F4761"/>
          </w:tcPr>
          <w:p>
            <w:pPr>
              <w:spacing w:before="80" w:after="80"/>
              <w:jc w:val="center"/>
            </w:pPr>
            <w:r>
              <w:rPr>
                <w:rFonts w:ascii="Calibri" w:hAnsi="Calibri"/>
                <w:b/>
                <w:color w:val="FFFFFF"/>
                <w:sz w:val="19"/>
              </w:rPr>
              <w:t>ID Técnica</w:t>
            </w:r>
          </w:p>
        </w:tc>
        <w:tc>
          <w:tcPr>
            <w:tcW w:type="dxa" w:w="2340"/>
            <w:shd w:fill="0F4761"/>
          </w:tcPr>
          <w:p>
            <w:pPr>
              <w:spacing w:before="80" w:after="80"/>
              <w:jc w:val="center"/>
            </w:pPr>
            <w:r>
              <w:rPr>
                <w:rFonts w:ascii="Calibri" w:hAnsi="Calibri"/>
                <w:b/>
                <w:color w:val="FFFFFF"/>
                <w:sz w:val="19"/>
              </w:rPr>
              <w:t>Nombre de la Técnica</w:t>
            </w:r>
          </w:p>
        </w:tc>
        <w:tc>
          <w:tcPr>
            <w:tcW w:type="dxa" w:w="2340"/>
            <w:shd w:fill="0F4761"/>
          </w:tcPr>
          <w:p>
            <w:pPr>
              <w:spacing w:before="80" w:after="80"/>
              <w:jc w:val="center"/>
            </w:pPr>
            <w:r>
              <w:rPr>
                <w:rFonts w:ascii="Calibri" w:hAnsi="Calibri"/>
                <w:b/>
                <w:color w:val="FFFFFF"/>
                <w:sz w:val="19"/>
              </w:rPr>
              <w:t>Procedimiento Aplicado en el Laboratorio</w:t>
            </w:r>
          </w:p>
        </w:tc>
      </w:tr>
      <w:tr>
        <w:tc>
          <w:tcPr>
            <w:tcW w:type="dxa" w:w="2340"/>
            <w:shd w:fill="F4F8FA"/>
          </w:tcPr>
          <w:p>
            <w:pPr>
              <w:spacing w:before="60" w:after="60" w:line="252" w:lineRule="auto"/>
              <w:jc w:val="left"/>
            </w:pPr>
            <w:r>
              <w:rPr>
                <w:rFonts w:ascii="Calibri" w:hAnsi="Calibri"/>
                <w:b/>
                <w:color w:val="222222"/>
                <w:sz w:val="17"/>
              </w:rPr>
              <w:t>TA0043: Reconnaissance</w:t>
            </w:r>
          </w:p>
        </w:tc>
        <w:tc>
          <w:tcPr>
            <w:tcW w:type="dxa" w:w="2340"/>
            <w:shd w:fill="F4F8FA"/>
          </w:tcPr>
          <w:p>
            <w:pPr>
              <w:spacing w:before="60" w:after="60" w:line="252" w:lineRule="auto"/>
              <w:jc w:val="center"/>
            </w:pPr>
            <w:r>
              <w:rPr>
                <w:rFonts w:ascii="Calibri" w:hAnsi="Calibri"/>
                <w:b/>
                <w:color w:val="222222"/>
                <w:sz w:val="17"/>
              </w:rPr>
              <w:t>T1596.001</w:t>
            </w:r>
          </w:p>
        </w:tc>
        <w:tc>
          <w:tcPr>
            <w:tcW w:type="dxa" w:w="2340"/>
            <w:shd w:fill="F4F8FA"/>
          </w:tcPr>
          <w:p>
            <w:pPr>
              <w:spacing w:before="60" w:after="60" w:line="252" w:lineRule="auto"/>
              <w:jc w:val="left"/>
            </w:pPr>
            <w:r>
              <w:rPr>
                <w:rFonts w:ascii="Calibri" w:hAnsi="Calibri"/>
                <w:color w:val="222222"/>
                <w:sz w:val="17"/>
              </w:rPr>
              <w:t>Search Open Tech DBs: DNS</w:t>
            </w:r>
          </w:p>
        </w:tc>
        <w:tc>
          <w:tcPr>
            <w:tcW w:type="dxa" w:w="2340"/>
            <w:shd w:fill="F4F8FA"/>
          </w:tcPr>
          <w:p>
            <w:pPr>
              <w:spacing w:before="60" w:after="60" w:line="252" w:lineRule="auto"/>
              <w:jc w:val="left"/>
            </w:pPr>
            <w:r>
              <w:rPr>
                <w:rFonts w:ascii="Calibri" w:hAnsi="Calibri"/>
                <w:color w:val="222222"/>
                <w:sz w:val="17"/>
              </w:rPr>
              <w:t>Resolución de registros DNS (A, MX, NS, TXT, SPF) para mapeo de servidores.</w:t>
            </w:r>
          </w:p>
        </w:tc>
      </w:tr>
      <w:tr>
        <w:tc>
          <w:tcPr>
            <w:tcW w:type="dxa" w:w="2340"/>
            <w:shd w:fill="FFFFFF"/>
          </w:tcPr>
          <w:p>
            <w:pPr>
              <w:spacing w:before="60" w:after="60" w:line="252" w:lineRule="auto"/>
              <w:jc w:val="left"/>
            </w:pPr>
            <w:r>
              <w:rPr>
                <w:rFonts w:ascii="Calibri" w:hAnsi="Calibri"/>
                <w:b/>
                <w:color w:val="222222"/>
                <w:sz w:val="17"/>
              </w:rPr>
              <w:t>TA0043: Reconnaissance</w:t>
            </w:r>
          </w:p>
        </w:tc>
        <w:tc>
          <w:tcPr>
            <w:tcW w:type="dxa" w:w="2340"/>
            <w:shd w:fill="FFFFFF"/>
          </w:tcPr>
          <w:p>
            <w:pPr>
              <w:spacing w:before="60" w:after="60" w:line="252" w:lineRule="auto"/>
              <w:jc w:val="center"/>
            </w:pPr>
            <w:r>
              <w:rPr>
                <w:rFonts w:ascii="Calibri" w:hAnsi="Calibri"/>
                <w:b/>
                <w:color w:val="222222"/>
                <w:sz w:val="17"/>
              </w:rPr>
              <w:t>T1596.002</w:t>
            </w:r>
          </w:p>
        </w:tc>
        <w:tc>
          <w:tcPr>
            <w:tcW w:type="dxa" w:w="2340"/>
            <w:shd w:fill="FFFFFF"/>
          </w:tcPr>
          <w:p>
            <w:pPr>
              <w:spacing w:before="60" w:after="60" w:line="252" w:lineRule="auto"/>
              <w:jc w:val="left"/>
            </w:pPr>
            <w:r>
              <w:rPr>
                <w:rFonts w:ascii="Calibri" w:hAnsi="Calibri"/>
                <w:color w:val="222222"/>
                <w:sz w:val="17"/>
              </w:rPr>
              <w:t>Search Open Tech DBs: SSL/TLS</w:t>
            </w:r>
          </w:p>
        </w:tc>
        <w:tc>
          <w:tcPr>
            <w:tcW w:type="dxa" w:w="2340"/>
            <w:shd w:fill="FFFFFF"/>
          </w:tcPr>
          <w:p>
            <w:pPr>
              <w:spacing w:before="60" w:after="60" w:line="252" w:lineRule="auto"/>
              <w:jc w:val="left"/>
            </w:pPr>
            <w:r>
              <w:rPr>
                <w:rFonts w:ascii="Calibri" w:hAnsi="Calibri"/>
                <w:color w:val="222222"/>
                <w:sz w:val="17"/>
              </w:rPr>
              <w:t>Extracción de Subject Alternative Names (SANs) en certificados para descubrir subdominios.</w:t>
            </w:r>
          </w:p>
        </w:tc>
      </w:tr>
      <w:tr>
        <w:tc>
          <w:tcPr>
            <w:tcW w:type="dxa" w:w="2340"/>
            <w:shd w:fill="F4F8FA"/>
          </w:tcPr>
          <w:p>
            <w:pPr>
              <w:spacing w:before="60" w:after="60" w:line="252" w:lineRule="auto"/>
              <w:jc w:val="left"/>
            </w:pPr>
            <w:r>
              <w:rPr>
                <w:rFonts w:ascii="Calibri" w:hAnsi="Calibri"/>
                <w:b/>
                <w:color w:val="222222"/>
                <w:sz w:val="17"/>
              </w:rPr>
              <w:t>TA0043: Reconnaissance</w:t>
            </w:r>
          </w:p>
        </w:tc>
        <w:tc>
          <w:tcPr>
            <w:tcW w:type="dxa" w:w="2340"/>
            <w:shd w:fill="F4F8FA"/>
          </w:tcPr>
          <w:p>
            <w:pPr>
              <w:spacing w:before="60" w:after="60" w:line="252" w:lineRule="auto"/>
              <w:jc w:val="center"/>
            </w:pPr>
            <w:r>
              <w:rPr>
                <w:rFonts w:ascii="Calibri" w:hAnsi="Calibri"/>
                <w:b/>
                <w:color w:val="222222"/>
                <w:sz w:val="17"/>
              </w:rPr>
              <w:t>T1594</w:t>
            </w:r>
          </w:p>
        </w:tc>
        <w:tc>
          <w:tcPr>
            <w:tcW w:type="dxa" w:w="2340"/>
            <w:shd w:fill="F4F8FA"/>
          </w:tcPr>
          <w:p>
            <w:pPr>
              <w:spacing w:before="60" w:after="60" w:line="252" w:lineRule="auto"/>
              <w:jc w:val="left"/>
            </w:pPr>
            <w:r>
              <w:rPr>
                <w:rFonts w:ascii="Calibri" w:hAnsi="Calibri"/>
                <w:color w:val="222222"/>
                <w:sz w:val="17"/>
              </w:rPr>
              <w:t>Search Victim-Owned Websites</w:t>
            </w:r>
          </w:p>
        </w:tc>
        <w:tc>
          <w:tcPr>
            <w:tcW w:type="dxa" w:w="2340"/>
            <w:shd w:fill="F4F8FA"/>
          </w:tcPr>
          <w:p>
            <w:pPr>
              <w:spacing w:before="60" w:after="60" w:line="252" w:lineRule="auto"/>
              <w:jc w:val="left"/>
            </w:pPr>
            <w:r>
              <w:rPr>
                <w:rFonts w:ascii="Calibri" w:hAnsi="Calibri"/>
                <w:color w:val="222222"/>
                <w:sz w:val="17"/>
              </w:rPr>
              <w:t>Análisis de historial y directorios residuales mediante la API de Wayback Machine.</w:t>
            </w:r>
          </w:p>
        </w:tc>
      </w:tr>
      <w:tr>
        <w:tc>
          <w:tcPr>
            <w:tcW w:type="dxa" w:w="2340"/>
            <w:shd w:fill="FFFFFF"/>
          </w:tcPr>
          <w:p>
            <w:pPr>
              <w:spacing w:before="60" w:after="60" w:line="252" w:lineRule="auto"/>
              <w:jc w:val="left"/>
            </w:pPr>
            <w:r>
              <w:rPr>
                <w:rFonts w:ascii="Calibri" w:hAnsi="Calibri"/>
                <w:b/>
                <w:color w:val="222222"/>
                <w:sz w:val="17"/>
              </w:rPr>
              <w:t>TA0043: Reconnaissance</w:t>
            </w:r>
          </w:p>
        </w:tc>
        <w:tc>
          <w:tcPr>
            <w:tcW w:type="dxa" w:w="2340"/>
            <w:shd w:fill="FFFFFF"/>
          </w:tcPr>
          <w:p>
            <w:pPr>
              <w:spacing w:before="60" w:after="60" w:line="252" w:lineRule="auto"/>
              <w:jc w:val="center"/>
            </w:pPr>
            <w:r>
              <w:rPr>
                <w:rFonts w:ascii="Calibri" w:hAnsi="Calibri"/>
                <w:b/>
                <w:color w:val="222222"/>
                <w:sz w:val="17"/>
              </w:rPr>
              <w:t>T1593.002</w:t>
            </w:r>
          </w:p>
        </w:tc>
        <w:tc>
          <w:tcPr>
            <w:tcW w:type="dxa" w:w="2340"/>
            <w:shd w:fill="FFFFFF"/>
          </w:tcPr>
          <w:p>
            <w:pPr>
              <w:spacing w:before="60" w:after="60" w:line="252" w:lineRule="auto"/>
              <w:jc w:val="left"/>
            </w:pPr>
            <w:r>
              <w:rPr>
                <w:rFonts w:ascii="Calibri" w:hAnsi="Calibri"/>
                <w:color w:val="222222"/>
                <w:sz w:val="17"/>
              </w:rPr>
              <w:t>Search Open Websites: Search Engines</w:t>
            </w:r>
          </w:p>
        </w:tc>
        <w:tc>
          <w:tcPr>
            <w:tcW w:type="dxa" w:w="2340"/>
            <w:shd w:fill="FFFFFF"/>
          </w:tcPr>
          <w:p>
            <w:pPr>
              <w:spacing w:before="60" w:after="60" w:line="252" w:lineRule="auto"/>
              <w:jc w:val="left"/>
            </w:pPr>
            <w:r>
              <w:rPr>
                <w:rFonts w:ascii="Calibri" w:hAnsi="Calibri"/>
                <w:color w:val="222222"/>
                <w:sz w:val="17"/>
              </w:rPr>
              <w:t>Ejecución de Google Dorks avanzadas para aislamiento de documentos internos y accesos.</w:t>
            </w:r>
          </w:p>
        </w:tc>
      </w:tr>
      <w:tr>
        <w:tc>
          <w:tcPr>
            <w:tcW w:type="dxa" w:w="2340"/>
            <w:shd w:fill="F4F8FA"/>
          </w:tcPr>
          <w:p>
            <w:pPr>
              <w:spacing w:before="60" w:after="60" w:line="252" w:lineRule="auto"/>
              <w:jc w:val="left"/>
            </w:pPr>
            <w:r>
              <w:rPr>
                <w:rFonts w:ascii="Calibri" w:hAnsi="Calibri"/>
                <w:b/>
                <w:color w:val="222222"/>
                <w:sz w:val="17"/>
              </w:rPr>
              <w:t>TA0043: Reconnaissance</w:t>
            </w:r>
          </w:p>
        </w:tc>
        <w:tc>
          <w:tcPr>
            <w:tcW w:type="dxa" w:w="2340"/>
            <w:shd w:fill="F4F8FA"/>
          </w:tcPr>
          <w:p>
            <w:pPr>
              <w:spacing w:before="60" w:after="60" w:line="252" w:lineRule="auto"/>
              <w:jc w:val="center"/>
            </w:pPr>
            <w:r>
              <w:rPr>
                <w:rFonts w:ascii="Calibri" w:hAnsi="Calibri"/>
                <w:b/>
                <w:color w:val="222222"/>
                <w:sz w:val="17"/>
              </w:rPr>
              <w:t>T1590.001</w:t>
            </w:r>
          </w:p>
        </w:tc>
        <w:tc>
          <w:tcPr>
            <w:tcW w:type="dxa" w:w="2340"/>
            <w:shd w:fill="F4F8FA"/>
          </w:tcPr>
          <w:p>
            <w:pPr>
              <w:spacing w:before="60" w:after="60" w:line="252" w:lineRule="auto"/>
              <w:jc w:val="left"/>
            </w:pPr>
            <w:r>
              <w:rPr>
                <w:rFonts w:ascii="Calibri" w:hAnsi="Calibri"/>
                <w:color w:val="222222"/>
                <w:sz w:val="17"/>
              </w:rPr>
              <w:t>Gather Victim Network Info: IP Blocks</w:t>
            </w:r>
          </w:p>
        </w:tc>
        <w:tc>
          <w:tcPr>
            <w:tcW w:type="dxa" w:w="2340"/>
            <w:shd w:fill="F4F8FA"/>
          </w:tcPr>
          <w:p>
            <w:pPr>
              <w:spacing w:before="60" w:after="60" w:line="252" w:lineRule="auto"/>
              <w:jc w:val="left"/>
            </w:pPr>
            <w:r>
              <w:rPr>
                <w:rFonts w:ascii="Calibri" w:hAnsi="Calibri"/>
                <w:color w:val="222222"/>
                <w:sz w:val="17"/>
              </w:rPr>
              <w:t>Correlación automatizada con SpiderFoot para identificación de ASNs y proveedores cloud.</w:t>
            </w:r>
          </w:p>
        </w:tc>
      </w:tr>
    </w:tbl>
    <w:p>
      <w:pPr>
        <w:spacing w:after="160"/>
      </w:pPr>
    </w:p>
    <w:p>
      <w:r>
        <w:br w:type="page"/>
      </w:r>
    </w:p>
    <w:p>
      <w:pPr>
        <w:pStyle w:val="Ttulo1"/>
        <w:keepNext/>
        <w:spacing w:before="320" w:after="160"/>
      </w:pPr>
      <w:bookmarkStart w:id="1004" w:name="_Toc1004"/>
      <w:r>
        <w:rPr>
          <w:rFonts w:ascii="Calibri" w:hAnsi="Calibri"/>
          <w:b/>
          <w:color w:val="0F4761"/>
          <w:sz w:val="32"/>
        </w:rPr>
        <w:t>3. Cartografía de la Superficie de Ataque Externa (EASM)</w:t>
      </w:r>
      <w:bookmarkEnd w:id="1004"/>
    </w:p>
    <w:p>
      <w:pPr>
        <w:spacing w:before="0" w:after="120" w:line="276" w:lineRule="auto"/>
        <w:ind w:firstLine="432"/>
        <w:jc w:val="both"/>
      </w:pPr>
      <w:r>
        <w:rPr>
          <w:rFonts w:ascii="Calibri" w:hAnsi="Calibri"/>
          <w:color w:val="222222"/>
          <w:sz w:val="22"/>
        </w:rPr>
        <w:t>La fase de reconocimiento permitió reconstruir la huella digital completa de la infraestructura perimetral del instituto, categorizando los activos descubiertos en función de su rol funcional, dirección IP pública y entorno de alojamiento:</w:t>
      </w:r>
    </w:p>
    <w:p>
      <w:pPr>
        <w:pStyle w:val="Ttulo2"/>
        <w:keepNext/>
        <w:spacing w:before="240" w:after="120"/>
      </w:pPr>
      <w:bookmarkStart w:id="1005" w:name="_Toc1005"/>
      <w:r>
        <w:rPr>
          <w:rFonts w:ascii="Calibri" w:hAnsi="Calibri"/>
          <w:b/>
          <w:color w:val="0F4761"/>
          <w:sz w:val="25"/>
        </w:rPr>
        <w:t>3.1. Inventario Pericial de Subdominios y Activos Clave</w:t>
      </w:r>
      <w:bookmarkEnd w:id="1005"/>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4761"/>
          </w:tcPr>
          <w:p>
            <w:pPr>
              <w:spacing w:before="80" w:after="80"/>
              <w:jc w:val="center"/>
            </w:pPr>
            <w:r>
              <w:rPr>
                <w:rFonts w:ascii="Calibri" w:hAnsi="Calibri"/>
                <w:b/>
                <w:color w:val="FFFFFF"/>
                <w:sz w:val="19"/>
              </w:rPr>
              <w:t>Activo / FQDN</w:t>
            </w:r>
          </w:p>
        </w:tc>
        <w:tc>
          <w:tcPr>
            <w:tcW w:type="dxa" w:w="1872"/>
            <w:shd w:fill="0F4761"/>
          </w:tcPr>
          <w:p>
            <w:pPr>
              <w:spacing w:before="80" w:after="80"/>
              <w:jc w:val="center"/>
            </w:pPr>
            <w:r>
              <w:rPr>
                <w:rFonts w:ascii="Calibri" w:hAnsi="Calibri"/>
                <w:b/>
                <w:color w:val="FFFFFF"/>
                <w:sz w:val="19"/>
              </w:rPr>
              <w:t>Dirección IP</w:t>
            </w:r>
          </w:p>
        </w:tc>
        <w:tc>
          <w:tcPr>
            <w:tcW w:type="dxa" w:w="1872"/>
            <w:shd w:fill="0F4761"/>
          </w:tcPr>
          <w:p>
            <w:pPr>
              <w:spacing w:before="80" w:after="80"/>
              <w:jc w:val="center"/>
            </w:pPr>
            <w:r>
              <w:rPr>
                <w:rFonts w:ascii="Calibri" w:hAnsi="Calibri"/>
                <w:b/>
                <w:color w:val="FFFFFF"/>
                <w:sz w:val="19"/>
              </w:rPr>
              <w:t>Proveedor / Hosting</w:t>
            </w:r>
          </w:p>
        </w:tc>
        <w:tc>
          <w:tcPr>
            <w:tcW w:type="dxa" w:w="1872"/>
            <w:shd w:fill="0F4761"/>
          </w:tcPr>
          <w:p>
            <w:pPr>
              <w:spacing w:before="80" w:after="80"/>
              <w:jc w:val="center"/>
            </w:pPr>
            <w:r>
              <w:rPr>
                <w:rFonts w:ascii="Calibri" w:hAnsi="Calibri"/>
                <w:b/>
                <w:color w:val="FFFFFF"/>
                <w:sz w:val="19"/>
              </w:rPr>
              <w:t>Servicios Detectados</w:t>
            </w:r>
          </w:p>
        </w:tc>
        <w:tc>
          <w:tcPr>
            <w:tcW w:type="dxa" w:w="1872"/>
            <w:shd w:fill="0F4761"/>
          </w:tcPr>
          <w:p>
            <w:pPr>
              <w:spacing w:before="80" w:after="80"/>
              <w:jc w:val="center"/>
            </w:pPr>
            <w:r>
              <w:rPr>
                <w:rFonts w:ascii="Calibri" w:hAnsi="Calibri"/>
                <w:b/>
                <w:color w:val="FFFFFF"/>
                <w:sz w:val="19"/>
              </w:rPr>
              <w:t>Nivel de Exposición</w:t>
            </w:r>
          </w:p>
        </w:tc>
      </w:tr>
      <w:tr>
        <w:tc>
          <w:tcPr>
            <w:tcW w:type="dxa" w:w="1872"/>
            <w:shd w:fill="F4F8FA"/>
          </w:tcPr>
          <w:p>
            <w:pPr>
              <w:spacing w:before="60" w:after="60" w:line="252" w:lineRule="auto"/>
              <w:jc w:val="left"/>
            </w:pPr>
            <w:r>
              <w:rPr>
                <w:rFonts w:ascii="Calibri" w:hAnsi="Calibri"/>
                <w:b/>
                <w:color w:val="222222"/>
                <w:sz w:val="17"/>
              </w:rPr>
              <w:t>progreso.tecnm.mx</w:t>
            </w:r>
          </w:p>
        </w:tc>
        <w:tc>
          <w:tcPr>
            <w:tcW w:type="dxa" w:w="1872"/>
            <w:shd w:fill="F4F8FA"/>
          </w:tcPr>
          <w:p>
            <w:pPr>
              <w:spacing w:before="60" w:after="60" w:line="252" w:lineRule="auto"/>
              <w:jc w:val="center"/>
            </w:pPr>
            <w:r>
              <w:rPr>
                <w:rFonts w:ascii="Calibri" w:hAnsi="Calibri"/>
                <w:color w:val="222222"/>
                <w:sz w:val="17"/>
              </w:rPr>
              <w:t>187.217.202.130</w:t>
            </w:r>
          </w:p>
        </w:tc>
        <w:tc>
          <w:tcPr>
            <w:tcW w:type="dxa" w:w="1872"/>
            <w:shd w:fill="F4F8FA"/>
          </w:tcPr>
          <w:p>
            <w:pPr>
              <w:spacing w:before="60" w:after="60" w:line="252" w:lineRule="auto"/>
              <w:jc w:val="left"/>
            </w:pPr>
            <w:r>
              <w:rPr>
                <w:rFonts w:ascii="Calibri" w:hAnsi="Calibri"/>
                <w:color w:val="222222"/>
                <w:sz w:val="17"/>
              </w:rPr>
              <w:t>Axtel / Megacable (México)</w:t>
            </w:r>
          </w:p>
        </w:tc>
        <w:tc>
          <w:tcPr>
            <w:tcW w:type="dxa" w:w="1872"/>
            <w:shd w:fill="F4F8FA"/>
          </w:tcPr>
          <w:p>
            <w:pPr>
              <w:spacing w:before="60" w:after="60" w:line="252" w:lineRule="auto"/>
              <w:jc w:val="left"/>
            </w:pPr>
            <w:r>
              <w:rPr>
                <w:rFonts w:ascii="Calibri" w:hAnsi="Calibri"/>
                <w:color w:val="222222"/>
                <w:sz w:val="17"/>
              </w:rPr>
              <w:t>HTTP (80), HTTPS (443), DNS (53)</w:t>
            </w:r>
          </w:p>
        </w:tc>
        <w:tc>
          <w:tcPr>
            <w:tcW w:type="dxa" w:w="1872"/>
            <w:shd w:fill="F4F8FA"/>
          </w:tcPr>
          <w:p>
            <w:pPr>
              <w:spacing w:before="60" w:after="60" w:line="252" w:lineRule="auto"/>
              <w:jc w:val="center"/>
            </w:pPr>
            <w:r>
              <w:rPr>
                <w:rFonts w:ascii="Calibri" w:hAnsi="Calibri"/>
                <w:color w:val="222222"/>
                <w:sz w:val="17"/>
              </w:rPr>
              <w:t>Público (Portal Institucional)</w:t>
            </w:r>
          </w:p>
        </w:tc>
      </w:tr>
      <w:tr>
        <w:tc>
          <w:tcPr>
            <w:tcW w:type="dxa" w:w="1872"/>
            <w:shd w:fill="FFFFFF"/>
          </w:tcPr>
          <w:p>
            <w:pPr>
              <w:spacing w:before="60" w:after="60" w:line="252" w:lineRule="auto"/>
              <w:jc w:val="left"/>
            </w:pPr>
            <w:r>
              <w:rPr>
                <w:rFonts w:ascii="Calibri" w:hAnsi="Calibri"/>
                <w:b/>
                <w:color w:val="222222"/>
                <w:sz w:val="17"/>
              </w:rPr>
              <w:t>www.progreso.tecnm.mx</w:t>
            </w:r>
          </w:p>
        </w:tc>
        <w:tc>
          <w:tcPr>
            <w:tcW w:type="dxa" w:w="1872"/>
            <w:shd w:fill="FFFFFF"/>
          </w:tcPr>
          <w:p>
            <w:pPr>
              <w:spacing w:before="60" w:after="60" w:line="252" w:lineRule="auto"/>
              <w:jc w:val="center"/>
            </w:pPr>
            <w:r>
              <w:rPr>
                <w:rFonts w:ascii="Calibri" w:hAnsi="Calibri"/>
                <w:color w:val="222222"/>
                <w:sz w:val="17"/>
              </w:rPr>
              <w:t>187.217.202.130</w:t>
            </w:r>
          </w:p>
        </w:tc>
        <w:tc>
          <w:tcPr>
            <w:tcW w:type="dxa" w:w="1872"/>
            <w:shd w:fill="FFFFFF"/>
          </w:tcPr>
          <w:p>
            <w:pPr>
              <w:spacing w:before="60" w:after="60" w:line="252" w:lineRule="auto"/>
              <w:jc w:val="left"/>
            </w:pPr>
            <w:r>
              <w:rPr>
                <w:rFonts w:ascii="Calibri" w:hAnsi="Calibri"/>
                <w:color w:val="222222"/>
                <w:sz w:val="17"/>
              </w:rPr>
              <w:t>Axtel / Megacable (México)</w:t>
            </w:r>
          </w:p>
        </w:tc>
        <w:tc>
          <w:tcPr>
            <w:tcW w:type="dxa" w:w="1872"/>
            <w:shd w:fill="FFFFFF"/>
          </w:tcPr>
          <w:p>
            <w:pPr>
              <w:spacing w:before="60" w:after="60" w:line="252" w:lineRule="auto"/>
              <w:jc w:val="left"/>
            </w:pPr>
            <w:r>
              <w:rPr>
                <w:rFonts w:ascii="Calibri" w:hAnsi="Calibri"/>
                <w:color w:val="222222"/>
                <w:sz w:val="17"/>
              </w:rPr>
              <w:t>HTTP (80), HTTPS (443), Apache Web</w:t>
            </w:r>
          </w:p>
        </w:tc>
        <w:tc>
          <w:tcPr>
            <w:tcW w:type="dxa" w:w="1872"/>
            <w:shd w:fill="FFFFFF"/>
          </w:tcPr>
          <w:p>
            <w:pPr>
              <w:spacing w:before="60" w:after="60" w:line="252" w:lineRule="auto"/>
              <w:jc w:val="center"/>
            </w:pPr>
            <w:r>
              <w:rPr>
                <w:rFonts w:ascii="Calibri" w:hAnsi="Calibri"/>
                <w:color w:val="222222"/>
                <w:sz w:val="17"/>
              </w:rPr>
              <w:t>Público (Front-end Web)</w:t>
            </w:r>
          </w:p>
        </w:tc>
      </w:tr>
      <w:tr>
        <w:tc>
          <w:tcPr>
            <w:tcW w:type="dxa" w:w="1872"/>
            <w:shd w:fill="F4F8FA"/>
          </w:tcPr>
          <w:p>
            <w:pPr>
              <w:spacing w:before="60" w:after="60" w:line="252" w:lineRule="auto"/>
              <w:jc w:val="left"/>
            </w:pPr>
            <w:r>
              <w:rPr>
                <w:rFonts w:ascii="Calibri" w:hAnsi="Calibri"/>
                <w:b/>
                <w:color w:val="222222"/>
                <w:sz w:val="17"/>
              </w:rPr>
              <w:t>moodle.progreso.tecnm.mx</w:t>
            </w:r>
          </w:p>
        </w:tc>
        <w:tc>
          <w:tcPr>
            <w:tcW w:type="dxa" w:w="1872"/>
            <w:shd w:fill="F4F8FA"/>
          </w:tcPr>
          <w:p>
            <w:pPr>
              <w:spacing w:before="60" w:after="60" w:line="252" w:lineRule="auto"/>
              <w:jc w:val="center"/>
            </w:pPr>
            <w:r>
              <w:rPr>
                <w:rFonts w:ascii="Calibri" w:hAnsi="Calibri"/>
                <w:color w:val="222222"/>
                <w:sz w:val="17"/>
              </w:rPr>
              <w:t>52.247.165.88</w:t>
            </w:r>
          </w:p>
        </w:tc>
        <w:tc>
          <w:tcPr>
            <w:tcW w:type="dxa" w:w="1872"/>
            <w:shd w:fill="F4F8FA"/>
          </w:tcPr>
          <w:p>
            <w:pPr>
              <w:spacing w:before="60" w:after="60" w:line="252" w:lineRule="auto"/>
              <w:jc w:val="left"/>
            </w:pPr>
            <w:r>
              <w:rPr>
                <w:rFonts w:ascii="Calibri" w:hAnsi="Calibri"/>
                <w:color w:val="222222"/>
                <w:sz w:val="17"/>
              </w:rPr>
              <w:t>Microsoft Azure Cloud (US East)</w:t>
            </w:r>
          </w:p>
        </w:tc>
        <w:tc>
          <w:tcPr>
            <w:tcW w:type="dxa" w:w="1872"/>
            <w:shd w:fill="F4F8FA"/>
          </w:tcPr>
          <w:p>
            <w:pPr>
              <w:spacing w:before="60" w:after="60" w:line="252" w:lineRule="auto"/>
              <w:jc w:val="left"/>
            </w:pPr>
            <w:r>
              <w:rPr>
                <w:rFonts w:ascii="Calibri" w:hAnsi="Calibri"/>
                <w:color w:val="222222"/>
                <w:sz w:val="17"/>
              </w:rPr>
              <w:t>HTTPS (443), Plataforma LMS Moodle</w:t>
            </w:r>
          </w:p>
        </w:tc>
        <w:tc>
          <w:tcPr>
            <w:tcW w:type="dxa" w:w="1872"/>
            <w:shd w:fill="F4F8FA"/>
          </w:tcPr>
          <w:p>
            <w:pPr>
              <w:spacing w:before="60" w:after="60" w:line="252" w:lineRule="auto"/>
              <w:jc w:val="center"/>
            </w:pPr>
            <w:r>
              <w:rPr>
                <w:rFonts w:ascii="Calibri" w:hAnsi="Calibri"/>
                <w:color w:val="222222"/>
                <w:sz w:val="17"/>
              </w:rPr>
              <w:t>Crítico (Plataforma Académica)</w:t>
            </w:r>
          </w:p>
        </w:tc>
      </w:tr>
      <w:tr>
        <w:tc>
          <w:tcPr>
            <w:tcW w:type="dxa" w:w="1872"/>
            <w:shd w:fill="FFFFFF"/>
          </w:tcPr>
          <w:p>
            <w:pPr>
              <w:spacing w:before="60" w:after="60" w:line="252" w:lineRule="auto"/>
              <w:jc w:val="left"/>
            </w:pPr>
            <w:r>
              <w:rPr>
                <w:rFonts w:ascii="Calibri" w:hAnsi="Calibri"/>
                <w:b/>
                <w:color w:val="222222"/>
                <w:sz w:val="17"/>
              </w:rPr>
              <w:t>mail.progreso.tecnm.mx</w:t>
            </w:r>
          </w:p>
        </w:tc>
        <w:tc>
          <w:tcPr>
            <w:tcW w:type="dxa" w:w="1872"/>
            <w:shd w:fill="FFFFFF"/>
          </w:tcPr>
          <w:p>
            <w:pPr>
              <w:spacing w:before="60" w:after="60" w:line="252" w:lineRule="auto"/>
              <w:jc w:val="center"/>
            </w:pPr>
            <w:r>
              <w:rPr>
                <w:rFonts w:ascii="Calibri" w:hAnsi="Calibri"/>
                <w:color w:val="222222"/>
                <w:sz w:val="17"/>
              </w:rPr>
              <w:t>187.217.202.132</w:t>
            </w:r>
          </w:p>
        </w:tc>
        <w:tc>
          <w:tcPr>
            <w:tcW w:type="dxa" w:w="1872"/>
            <w:shd w:fill="FFFFFF"/>
          </w:tcPr>
          <w:p>
            <w:pPr>
              <w:spacing w:before="60" w:after="60" w:line="252" w:lineRule="auto"/>
              <w:jc w:val="left"/>
            </w:pPr>
            <w:r>
              <w:rPr>
                <w:rFonts w:ascii="Calibri" w:hAnsi="Calibri"/>
                <w:color w:val="222222"/>
                <w:sz w:val="17"/>
              </w:rPr>
              <w:t>Infraestructura Local / MX</w:t>
            </w:r>
          </w:p>
        </w:tc>
        <w:tc>
          <w:tcPr>
            <w:tcW w:type="dxa" w:w="1872"/>
            <w:shd w:fill="FFFFFF"/>
          </w:tcPr>
          <w:p>
            <w:pPr>
              <w:spacing w:before="60" w:after="60" w:line="252" w:lineRule="auto"/>
              <w:jc w:val="left"/>
            </w:pPr>
            <w:r>
              <w:rPr>
                <w:rFonts w:ascii="Calibri" w:hAnsi="Calibri"/>
                <w:color w:val="222222"/>
                <w:sz w:val="17"/>
              </w:rPr>
              <w:t>SMTP (25), IMAP (993), Webmail</w:t>
            </w:r>
          </w:p>
        </w:tc>
        <w:tc>
          <w:tcPr>
            <w:tcW w:type="dxa" w:w="1872"/>
            <w:shd w:fill="FFFFFF"/>
          </w:tcPr>
          <w:p>
            <w:pPr>
              <w:spacing w:before="60" w:after="60" w:line="252" w:lineRule="auto"/>
              <w:jc w:val="center"/>
            </w:pPr>
            <w:r>
              <w:rPr>
                <w:rFonts w:ascii="Calibri" w:hAnsi="Calibri"/>
                <w:color w:val="222222"/>
                <w:sz w:val="17"/>
              </w:rPr>
              <w:t>Sensible (Gestión de Correo)</w:t>
            </w:r>
          </w:p>
        </w:tc>
      </w:tr>
      <w:tr>
        <w:tc>
          <w:tcPr>
            <w:tcW w:type="dxa" w:w="1872"/>
            <w:shd w:fill="F4F8FA"/>
          </w:tcPr>
          <w:p>
            <w:pPr>
              <w:spacing w:before="60" w:after="60" w:line="252" w:lineRule="auto"/>
              <w:jc w:val="left"/>
            </w:pPr>
            <w:r>
              <w:rPr>
                <w:rFonts w:ascii="Calibri" w:hAnsi="Calibri"/>
                <w:b/>
                <w:color w:val="222222"/>
                <w:sz w:val="17"/>
              </w:rPr>
              <w:t>sia.progreso.tecnm.mx</w:t>
            </w:r>
          </w:p>
        </w:tc>
        <w:tc>
          <w:tcPr>
            <w:tcW w:type="dxa" w:w="1872"/>
            <w:shd w:fill="F4F8FA"/>
          </w:tcPr>
          <w:p>
            <w:pPr>
              <w:spacing w:before="60" w:after="60" w:line="252" w:lineRule="auto"/>
              <w:jc w:val="center"/>
            </w:pPr>
            <w:r>
              <w:rPr>
                <w:rFonts w:ascii="Calibri" w:hAnsi="Calibri"/>
                <w:color w:val="222222"/>
                <w:sz w:val="17"/>
              </w:rPr>
              <w:t>187.217.202.135</w:t>
            </w:r>
          </w:p>
        </w:tc>
        <w:tc>
          <w:tcPr>
            <w:tcW w:type="dxa" w:w="1872"/>
            <w:shd w:fill="F4F8FA"/>
          </w:tcPr>
          <w:p>
            <w:pPr>
              <w:spacing w:before="60" w:after="60" w:line="252" w:lineRule="auto"/>
              <w:jc w:val="left"/>
            </w:pPr>
            <w:r>
              <w:rPr>
                <w:rFonts w:ascii="Calibri" w:hAnsi="Calibri"/>
                <w:color w:val="222222"/>
                <w:sz w:val="17"/>
              </w:rPr>
              <w:t>Servidor Interno Institucional</w:t>
            </w:r>
          </w:p>
        </w:tc>
        <w:tc>
          <w:tcPr>
            <w:tcW w:type="dxa" w:w="1872"/>
            <w:shd w:fill="F4F8FA"/>
          </w:tcPr>
          <w:p>
            <w:pPr>
              <w:spacing w:before="60" w:after="60" w:line="252" w:lineRule="auto"/>
              <w:jc w:val="left"/>
            </w:pPr>
            <w:r>
              <w:rPr>
                <w:rFonts w:ascii="Calibri" w:hAnsi="Calibri"/>
                <w:color w:val="222222"/>
                <w:sz w:val="17"/>
              </w:rPr>
              <w:t>HTTPS (443), Sistema Integral Alumnos</w:t>
            </w:r>
          </w:p>
        </w:tc>
        <w:tc>
          <w:tcPr>
            <w:tcW w:type="dxa" w:w="1872"/>
            <w:shd w:fill="F4F8FA"/>
          </w:tcPr>
          <w:p>
            <w:pPr>
              <w:spacing w:before="60" w:after="60" w:line="252" w:lineRule="auto"/>
              <w:jc w:val="center"/>
            </w:pPr>
            <w:r>
              <w:rPr>
                <w:rFonts w:ascii="Calibri" w:hAnsi="Calibri"/>
                <w:color w:val="222222"/>
                <w:sz w:val="17"/>
              </w:rPr>
              <w:t>Crítico (Bases de Datos Alumnos)</w:t>
            </w:r>
          </w:p>
        </w:tc>
      </w:tr>
    </w:tbl>
    <w:p>
      <w:pPr>
        <w:spacing w:after="160"/>
      </w:pPr>
    </w:p>
    <w:p>
      <w:pPr>
        <w:pStyle w:val="Ttulo2"/>
        <w:keepNext/>
        <w:spacing w:before="240" w:after="120"/>
      </w:pPr>
      <w:bookmarkStart w:id="1006" w:name="_Toc1006"/>
      <w:r>
        <w:rPr>
          <w:rFonts w:ascii="Calibri" w:hAnsi="Calibri"/>
          <w:b/>
          <w:color w:val="0F4761"/>
          <w:sz w:val="25"/>
        </w:rPr>
        <w:t>3.2. Evaluación de Registros DNS y Vulnerabilidades en Correo Institucional</w:t>
      </w:r>
      <w:bookmarkEnd w:id="1006"/>
    </w:p>
    <w:p>
      <w:pPr>
        <w:spacing w:before="0" w:after="120" w:line="276" w:lineRule="auto"/>
        <w:ind w:firstLine="432"/>
        <w:jc w:val="both"/>
      </w:pPr>
      <w:r>
        <w:rPr>
          <w:rFonts w:ascii="Calibri" w:hAnsi="Calibri"/>
          <w:color w:val="222222"/>
          <w:sz w:val="22"/>
        </w:rPr>
        <w:t>El análisis pasivo de los registros de zona DNS reveló aspectos cruciales sobre la resiliencia de la organización:</w:t>
      </w:r>
    </w:p>
    <w:p>
      <w:pPr>
        <w:spacing w:before="0" w:after="120" w:line="276" w:lineRule="auto"/>
        <w:jc w:val="both"/>
      </w:pPr>
      <w:r>
        <w:rPr>
          <w:rFonts w:ascii="Calibri" w:hAnsi="Calibri"/>
          <w:b/>
          <w:color w:val="222222"/>
          <w:sz w:val="22"/>
        </w:rPr>
        <w:t xml:space="preserve">Configuración de Servidores de Correo (MX y SPF): </w:t>
      </w:r>
      <w:r>
        <w:rPr>
          <w:rFonts w:ascii="Calibri" w:hAnsi="Calibri"/>
          <w:color w:val="222222"/>
          <w:sz w:val="22"/>
        </w:rPr>
        <w:t>La presencia de registros MX que apuntan a servicios en la nube (Microsoft 365 / Exchange Online) asegura alta disponibilidad; no obstante, el registro SPF (Sender Policy Framework) contiene mecanismos excesivamente laxos (~all en lugar de -all).</w:t>
      </w:r>
    </w:p>
    <w:p>
      <w:pPr>
        <w:spacing w:before="0" w:after="120" w:line="276" w:lineRule="auto"/>
        <w:jc w:val="both"/>
      </w:pPr>
      <w:r>
        <w:rPr>
          <w:rFonts w:ascii="Calibri" w:hAnsi="Calibri"/>
          <w:b/>
          <w:color w:val="222222"/>
          <w:sz w:val="22"/>
        </w:rPr>
        <w:t xml:space="preserve">Omisión de Políticas DMARC Estrictas (Riesgo de Spoofing): </w:t>
      </w:r>
      <w:r>
        <w:rPr>
          <w:rFonts w:ascii="Calibri" w:hAnsi="Calibri"/>
          <w:color w:val="222222"/>
          <w:sz w:val="22"/>
        </w:rPr>
        <w:t>La ausencia de un registro DMARC (Domain-based Message Authentication, Reporting, and Conformance) con política de bloqueo (p=reject o p=quarantine) representa un riesgo crítico de suplantación. Un atacante externo puede emitir correos electrónicos fraudulentos con la dirección remitente @progreso.tecnm.mx dirigidos hacia alumnos o docentes sin que los servidores receptores los clasifiquen como spam, facilitando campañas altamente efectivas de phishing institucional.</w:t>
      </w:r>
    </w:p>
    <w:p>
      <w:r>
        <w:br w:type="page"/>
      </w:r>
    </w:p>
    <w:p>
      <w:pPr>
        <w:pStyle w:val="Ttulo1"/>
        <w:keepNext/>
        <w:spacing w:before="320" w:after="160"/>
      </w:pPr>
      <w:bookmarkStart w:id="1007" w:name="_Toc1007"/>
      <w:r>
        <w:rPr>
          <w:rFonts w:ascii="Calibri" w:hAnsi="Calibri"/>
          <w:b/>
          <w:color w:val="0F4761"/>
          <w:sz w:val="32"/>
        </w:rPr>
        <w:t>4. Auditoría Criptográfica SSL/TLS y Subject Alternative Names (SANs)</w:t>
      </w:r>
      <w:bookmarkEnd w:id="1007"/>
    </w:p>
    <w:p>
      <w:pPr>
        <w:spacing w:before="0" w:after="120" w:line="276" w:lineRule="auto"/>
        <w:ind w:firstLine="432"/>
        <w:jc w:val="both"/>
      </w:pPr>
      <w:r>
        <w:rPr>
          <w:rFonts w:ascii="Calibri" w:hAnsi="Calibri"/>
          <w:color w:val="222222"/>
          <w:sz w:val="22"/>
        </w:rPr>
        <w:t>Durante el laboratorio se realizó una inspección detallada de las cadenas de confianza de certificados digitales mediante sockets criptográficos en Python. La infraestructura web principal cuenta con certificados válidos emitidos por 'Let's Encrypt Authority X3 / R3', garantizando el cifrado de datos en tránsito a través del protocolo TLS 1.3 y suites criptográficas modernas basadas en curvas elípticas (ECDHE-RSA-AES128-GCM-SHA256).</w:t>
      </w:r>
    </w:p>
    <w:p>
      <w:pPr>
        <w:pStyle w:val="Ttulo2"/>
        <w:keepNext/>
        <w:spacing w:before="240" w:after="120"/>
      </w:pPr>
      <w:bookmarkStart w:id="1008" w:name="_Toc1008"/>
      <w:r>
        <w:rPr>
          <w:rFonts w:ascii="Calibri" w:hAnsi="Calibri"/>
          <w:b/>
          <w:color w:val="0F4761"/>
          <w:sz w:val="25"/>
        </w:rPr>
        <w:t>4.1. Extracción de Subject Alternative Names (SANs)</w:t>
      </w:r>
      <w:bookmarkEnd w:id="1008"/>
    </w:p>
    <w:p>
      <w:pPr>
        <w:spacing w:before="0" w:after="120" w:line="276" w:lineRule="auto"/>
        <w:ind w:firstLine="432"/>
        <w:jc w:val="both"/>
      </w:pPr>
      <w:r>
        <w:rPr>
          <w:rFonts w:ascii="Calibri" w:hAnsi="Calibri"/>
          <w:color w:val="222222"/>
          <w:sz w:val="22"/>
        </w:rPr>
        <w:t>El análisis pericial de las extensiones x509 demostró que el campo 'Subject Alternative Name' (OID 2.5.29.17) incluye múltiples nombres de dominio en un único certificado compartido. La extracción automatizada de estos registros reveló la existencia de endpoints que no figuraban en los registros públicos convencionales:</w:t>
      </w:r>
    </w:p>
    <w:p>
      <w:pPr>
        <w:spacing w:before="0" w:after="160" w:line="276" w:lineRule="auto"/>
        <w:jc w:val="both"/>
      </w:pPr>
      <w:r>
        <w:rPr>
          <w:rFonts w:ascii="Calibri" w:hAnsi="Calibri"/>
          <w:color w:val="222222"/>
          <w:sz w:val="22"/>
        </w:rPr>
        <w:t>• Dominio Principal: progreso.tecnm.mx</w:t>
        <w:br/>
        <w:t>• Nombre Canónico: www.progreso.tecnm.mx</w:t>
        <w:br/>
        <w:t>• Plataforma Educativa: moodle.progreso.tecnm.mx</w:t>
        <w:br/>
        <w:t>• Portal Administrativo y Sistema de Pagos: pagos.progreso.tecnm.mx</w:t>
        <w:br/>
        <w:t>• Servidor de Correo Web: webmail.progreso.tecnm.mx</w:t>
      </w:r>
    </w:p>
    <w:p>
      <w:pPr>
        <w:spacing w:before="0" w:after="120" w:line="276" w:lineRule="auto"/>
        <w:ind w:firstLine="432"/>
        <w:jc w:val="both"/>
      </w:pPr>
      <w:r>
        <w:rPr>
          <w:rFonts w:ascii="Calibri" w:hAnsi="Calibri"/>
          <w:color w:val="222222"/>
          <w:sz w:val="22"/>
        </w:rPr>
        <w:t>Esta técnica de enumeración pasiva basada en la transparencia de certificados (Certificate Transparency Logs) demuestra que un atacante puede mapear la topología completa de servicios institucionales sin haber emitido un solo paquete hacia los servidores del instituto, simplemente consultando repositorios globales como crt.sh.</w:t>
      </w:r>
    </w:p>
    <w:p>
      <w:r>
        <w:br w:type="page"/>
      </w:r>
    </w:p>
    <w:p>
      <w:pPr>
        <w:pStyle w:val="Ttulo1"/>
        <w:keepNext/>
        <w:spacing w:before="320" w:after="160"/>
      </w:pPr>
      <w:bookmarkStart w:id="1009" w:name="_Toc1009"/>
      <w:r>
        <w:rPr>
          <w:rFonts w:ascii="Calibri" w:hAnsi="Calibri"/>
          <w:b/>
          <w:color w:val="0F4761"/>
          <w:sz w:val="32"/>
        </w:rPr>
        <w:t>5. Inteligencia en Motores de Búsqueda (Google Dorking) y Fuga de Información</w:t>
      </w:r>
      <w:bookmarkEnd w:id="1009"/>
    </w:p>
    <w:p>
      <w:pPr>
        <w:spacing w:before="0" w:after="120" w:line="276" w:lineRule="auto"/>
        <w:ind w:firstLine="432"/>
        <w:jc w:val="both"/>
      </w:pPr>
      <w:r>
        <w:rPr>
          <w:rFonts w:ascii="Calibri" w:hAnsi="Calibri"/>
          <w:color w:val="222222"/>
          <w:sz w:val="22"/>
        </w:rPr>
        <w:t>El Google Hacking o Google Dorking consiste en la utilización de operadores avanzados de búsqueda para interrogar la base de datos de rastreo de Google e identificar archivos confidenciales, consolas de administración desprotegidas o variables de entorno que fueron indexadas involuntariamente por los bots de búsqueda (Googlebot).</w:t>
      </w:r>
    </w:p>
    <w:p>
      <w:pPr>
        <w:keepNext/>
        <w:spacing w:before="160" w:after="60"/>
        <w:jc w:val="center"/>
      </w:pPr>
      <w:r>
        <w:drawing>
          <wp:inline xmlns:a="http://schemas.openxmlformats.org/drawingml/2006/main" xmlns:pic="http://schemas.openxmlformats.org/drawingml/2006/picture">
            <wp:extent cx="4572000" cy="2570495"/>
            <wp:docPr id="2031477266" name="Picture 2031477266"/>
            <wp:cNvGraphicFramePr>
              <a:graphicFrameLocks noChangeAspect="1"/>
            </wp:cNvGraphicFramePr>
            <a:graphic>
              <a:graphicData uri="http://schemas.openxmlformats.org/drawingml/2006/picture">
                <pic:pic>
                  <pic:nvPicPr>
                    <pic:cNvPr id="0" name="01_google_dork_real_search.png"/>
                    <pic:cNvPicPr/>
                  </pic:nvPicPr>
                  <pic:blipFill>
                    <a:blip r:embed="rId17"/>
                    <a:stretch>
                      <a:fillRect/>
                    </a:stretch>
                  </pic:blipFill>
                  <pic:spPr>
                    <a:xfrm>
                      <a:off x="0" y="0"/>
                      <a:ext cx="4572000" cy="2570495"/>
                    </a:xfrm>
                    <a:prstGeom prst="rect"/>
                  </pic:spPr>
                </pic:pic>
              </a:graphicData>
            </a:graphic>
          </wp:inline>
        </w:drawing>
      </w:r>
    </w:p>
    <w:p>
      <w:pPr>
        <w:keepNext w:val="0"/>
        <w:spacing w:before="0" w:after="160"/>
        <w:jc w:val="center"/>
      </w:pPr>
      <w:r>
        <w:rPr>
          <w:rFonts w:ascii="Calibri" w:hAnsi="Calibri"/>
          <w:i/>
          <w:color w:val="5A5A5A"/>
          <w:sz w:val="18"/>
        </w:rPr>
        <w:t>Figura 1: Evidencia real de auditoría mediante Google Dorking en navegador para detección de documentos y endpoints institucionales.</w:t>
      </w:r>
    </w:p>
    <w:p>
      <w:pPr>
        <w:pStyle w:val="Ttulo2"/>
        <w:keepNext/>
        <w:spacing w:before="240" w:after="120"/>
      </w:pPr>
      <w:bookmarkStart w:id="1010" w:name="_Toc1010"/>
      <w:r>
        <w:rPr>
          <w:rFonts w:ascii="Calibri" w:hAnsi="Calibri"/>
          <w:b/>
          <w:color w:val="0F4761"/>
          <w:sz w:val="25"/>
        </w:rPr>
        <w:t>5.1. Arsenal de 10 Google Dorks Especializadas Evaluadas</w:t>
      </w:r>
      <w:bookmarkEnd w:id="1010"/>
    </w:p>
    <w:p>
      <w:pPr>
        <w:spacing w:before="0" w:after="120" w:line="276" w:lineRule="auto"/>
        <w:ind w:firstLine="432"/>
        <w:jc w:val="both"/>
      </w:pPr>
      <w:r>
        <w:rPr>
          <w:rFonts w:ascii="Calibri" w:hAnsi="Calibri"/>
          <w:color w:val="222222"/>
          <w:sz w:val="22"/>
        </w:rPr>
        <w:t>A partir de las pruebas ejecutadas en el script automatizado del laboratorio, se estructuró la siguiente taxonomía de dorks especializadas:</w:t>
      </w:r>
    </w:p>
    <w:tbl>
      <w:tblPr>
        <w:tblW w:type="auto" w:w="0"/>
        <w:jc w:val="center"/>
        <w:tblLook w:firstColumn="1" w:firstRow="1" w:lastColumn="0" w:lastRow="0" w:noHBand="0" w:noVBand="1" w:val="04A0"/>
      </w:tblPr>
      <w:tblGrid>
        <w:gridCol w:w="3120"/>
        <w:gridCol w:w="3120"/>
        <w:gridCol w:w="3120"/>
      </w:tblGrid>
      <w:tr>
        <w:tc>
          <w:tcPr>
            <w:tcW w:type="dxa" w:w="3120"/>
            <w:shd w:fill="0F4761"/>
          </w:tcPr>
          <w:p>
            <w:pPr>
              <w:spacing w:before="80" w:after="80"/>
              <w:jc w:val="center"/>
            </w:pPr>
            <w:r>
              <w:rPr>
                <w:rFonts w:ascii="Calibri" w:hAnsi="Calibri"/>
                <w:b/>
                <w:color w:val="FFFFFF"/>
                <w:sz w:val="19"/>
              </w:rPr>
              <w:t>Cadena de Búsqueda (Dork)</w:t>
            </w:r>
          </w:p>
        </w:tc>
        <w:tc>
          <w:tcPr>
            <w:tcW w:type="dxa" w:w="3120"/>
            <w:shd w:fill="0F4761"/>
          </w:tcPr>
          <w:p>
            <w:pPr>
              <w:spacing w:before="80" w:after="80"/>
              <w:jc w:val="center"/>
            </w:pPr>
            <w:r>
              <w:rPr>
                <w:rFonts w:ascii="Calibri" w:hAnsi="Calibri"/>
                <w:b/>
                <w:color w:val="FFFFFF"/>
                <w:sz w:val="19"/>
              </w:rPr>
              <w:t>Propósito y Vector Operativo</w:t>
            </w:r>
          </w:p>
        </w:tc>
        <w:tc>
          <w:tcPr>
            <w:tcW w:type="dxa" w:w="3120"/>
            <w:shd w:fill="0F4761"/>
          </w:tcPr>
          <w:p>
            <w:pPr>
              <w:spacing w:before="80" w:after="80"/>
              <w:jc w:val="center"/>
            </w:pPr>
            <w:r>
              <w:rPr>
                <w:rFonts w:ascii="Calibri" w:hAnsi="Calibri"/>
                <w:b/>
                <w:color w:val="FFFFFF"/>
                <w:sz w:val="19"/>
              </w:rPr>
              <w:t>Nivel de Severidad</w:t>
            </w:r>
          </w:p>
        </w:tc>
      </w:tr>
      <w:tr>
        <w:tc>
          <w:tcPr>
            <w:tcW w:type="dxa" w:w="3120"/>
            <w:shd w:fill="F4F8FA"/>
          </w:tcPr>
          <w:p>
            <w:pPr>
              <w:spacing w:before="60" w:after="60" w:line="252" w:lineRule="auto"/>
              <w:jc w:val="left"/>
            </w:pPr>
            <w:r>
              <w:rPr>
                <w:rFonts w:ascii="Calibri" w:hAnsi="Calibri"/>
                <w:b/>
                <w:color w:val="222222"/>
                <w:sz w:val="17"/>
              </w:rPr>
              <w:t>site:tecnm.mx filetype:pdf "confidencial" OR "interno"</w:t>
            </w:r>
          </w:p>
        </w:tc>
        <w:tc>
          <w:tcPr>
            <w:tcW w:type="dxa" w:w="3120"/>
            <w:shd w:fill="F4F8FA"/>
          </w:tcPr>
          <w:p>
            <w:pPr>
              <w:spacing w:before="60" w:after="60" w:line="252" w:lineRule="auto"/>
              <w:jc w:val="left"/>
            </w:pPr>
            <w:r>
              <w:rPr>
                <w:rFonts w:ascii="Calibri" w:hAnsi="Calibri"/>
                <w:color w:val="222222"/>
                <w:sz w:val="17"/>
              </w:rPr>
              <w:t>Aislamiento de documentos normativos u oficios institucionales con sellos y firmas.</w:t>
            </w:r>
          </w:p>
        </w:tc>
        <w:tc>
          <w:tcPr>
            <w:tcW w:type="dxa" w:w="3120"/>
            <w:shd w:fill="F4F8FA"/>
          </w:tcPr>
          <w:p>
            <w:pPr>
              <w:spacing w:before="60" w:after="60" w:line="252" w:lineRule="auto"/>
              <w:jc w:val="center"/>
            </w:pPr>
            <w:r>
              <w:rPr>
                <w:rFonts w:ascii="Calibri" w:hAnsi="Calibri"/>
                <w:color w:val="222222"/>
                <w:sz w:val="17"/>
              </w:rPr>
              <w:t>Alta (Fuga de Información)</w:t>
            </w:r>
          </w:p>
        </w:tc>
      </w:tr>
      <w:tr>
        <w:tc>
          <w:tcPr>
            <w:tcW w:type="dxa" w:w="3120"/>
            <w:shd w:fill="FFFFFF"/>
          </w:tcPr>
          <w:p>
            <w:pPr>
              <w:spacing w:before="60" w:after="60" w:line="252" w:lineRule="auto"/>
              <w:jc w:val="left"/>
            </w:pPr>
            <w:r>
              <w:rPr>
                <w:rFonts w:ascii="Calibri" w:hAnsi="Calibri"/>
                <w:b/>
                <w:color w:val="222222"/>
                <w:sz w:val="17"/>
              </w:rPr>
              <w:t>site:progreso.tecnm.mx inurl:login OR inurl:admin</w:t>
            </w:r>
          </w:p>
        </w:tc>
        <w:tc>
          <w:tcPr>
            <w:tcW w:type="dxa" w:w="3120"/>
            <w:shd w:fill="FFFFFF"/>
          </w:tcPr>
          <w:p>
            <w:pPr>
              <w:spacing w:before="60" w:after="60" w:line="252" w:lineRule="auto"/>
              <w:jc w:val="left"/>
            </w:pPr>
            <w:r>
              <w:rPr>
                <w:rFonts w:ascii="Calibri" w:hAnsi="Calibri"/>
                <w:color w:val="222222"/>
                <w:sz w:val="17"/>
              </w:rPr>
              <w:t>Mapeo de consolas de autenticación y paneles administrativos expuestos a la red.</w:t>
            </w:r>
          </w:p>
        </w:tc>
        <w:tc>
          <w:tcPr>
            <w:tcW w:type="dxa" w:w="3120"/>
            <w:shd w:fill="FFFFFF"/>
          </w:tcPr>
          <w:p>
            <w:pPr>
              <w:spacing w:before="60" w:after="60" w:line="252" w:lineRule="auto"/>
              <w:jc w:val="center"/>
            </w:pPr>
            <w:r>
              <w:rPr>
                <w:rFonts w:ascii="Calibri" w:hAnsi="Calibri"/>
                <w:color w:val="222222"/>
                <w:sz w:val="17"/>
              </w:rPr>
              <w:t>Media (Superficie de Intrusión)</w:t>
            </w:r>
          </w:p>
        </w:tc>
      </w:tr>
      <w:tr>
        <w:tc>
          <w:tcPr>
            <w:tcW w:type="dxa" w:w="3120"/>
            <w:shd w:fill="F4F8FA"/>
          </w:tcPr>
          <w:p>
            <w:pPr>
              <w:spacing w:before="60" w:after="60" w:line="252" w:lineRule="auto"/>
              <w:jc w:val="left"/>
            </w:pPr>
            <w:r>
              <w:rPr>
                <w:rFonts w:ascii="Calibri" w:hAnsi="Calibri"/>
                <w:b/>
                <w:color w:val="222222"/>
                <w:sz w:val="17"/>
              </w:rPr>
              <w:t>site:progreso.tecnm.mx filetype:sql OR filetype:bak</w:t>
            </w:r>
          </w:p>
        </w:tc>
        <w:tc>
          <w:tcPr>
            <w:tcW w:type="dxa" w:w="3120"/>
            <w:shd w:fill="F4F8FA"/>
          </w:tcPr>
          <w:p>
            <w:pPr>
              <w:spacing w:before="60" w:after="60" w:line="252" w:lineRule="auto"/>
              <w:jc w:val="left"/>
            </w:pPr>
            <w:r>
              <w:rPr>
                <w:rFonts w:ascii="Calibri" w:hAnsi="Calibri"/>
                <w:color w:val="222222"/>
                <w:sz w:val="17"/>
              </w:rPr>
              <w:t>Localización de volcados de bases de datos o respaldos desprotegidos.</w:t>
            </w:r>
          </w:p>
        </w:tc>
        <w:tc>
          <w:tcPr>
            <w:tcW w:type="dxa" w:w="3120"/>
            <w:shd w:fill="F4F8FA"/>
          </w:tcPr>
          <w:p>
            <w:pPr>
              <w:spacing w:before="60" w:after="60" w:line="252" w:lineRule="auto"/>
              <w:jc w:val="center"/>
            </w:pPr>
            <w:r>
              <w:rPr>
                <w:rFonts w:ascii="Calibri" w:hAnsi="Calibri"/>
                <w:color w:val="222222"/>
                <w:sz w:val="17"/>
              </w:rPr>
              <w:t>Crítica (Exposición de Datos)</w:t>
            </w:r>
          </w:p>
        </w:tc>
      </w:tr>
      <w:tr>
        <w:tc>
          <w:tcPr>
            <w:tcW w:type="dxa" w:w="3120"/>
            <w:shd w:fill="FFFFFF"/>
          </w:tcPr>
          <w:p>
            <w:pPr>
              <w:spacing w:before="60" w:after="60" w:line="252" w:lineRule="auto"/>
              <w:jc w:val="left"/>
            </w:pPr>
            <w:r>
              <w:rPr>
                <w:rFonts w:ascii="Calibri" w:hAnsi="Calibri"/>
                <w:b/>
                <w:color w:val="222222"/>
                <w:sz w:val="17"/>
              </w:rPr>
              <w:t>site:tecnm.mx filetype:env "DB_PASSWORD"</w:t>
            </w:r>
          </w:p>
        </w:tc>
        <w:tc>
          <w:tcPr>
            <w:tcW w:type="dxa" w:w="3120"/>
            <w:shd w:fill="FFFFFF"/>
          </w:tcPr>
          <w:p>
            <w:pPr>
              <w:spacing w:before="60" w:after="60" w:line="252" w:lineRule="auto"/>
              <w:jc w:val="left"/>
            </w:pPr>
            <w:r>
              <w:rPr>
                <w:rFonts w:ascii="Calibri" w:hAnsi="Calibri"/>
                <w:color w:val="222222"/>
                <w:sz w:val="17"/>
              </w:rPr>
              <w:t>Búsqueda de archivos de configuración con credenciales y llaves de API planas.</w:t>
            </w:r>
          </w:p>
        </w:tc>
        <w:tc>
          <w:tcPr>
            <w:tcW w:type="dxa" w:w="3120"/>
            <w:shd w:fill="FFFFFF"/>
          </w:tcPr>
          <w:p>
            <w:pPr>
              <w:spacing w:before="60" w:after="60" w:line="252" w:lineRule="auto"/>
              <w:jc w:val="center"/>
            </w:pPr>
            <w:r>
              <w:rPr>
                <w:rFonts w:ascii="Calibri" w:hAnsi="Calibri"/>
                <w:color w:val="222222"/>
                <w:sz w:val="17"/>
              </w:rPr>
              <w:t>Crítica (Compromiso Total)</w:t>
            </w:r>
          </w:p>
        </w:tc>
      </w:tr>
      <w:tr>
        <w:tc>
          <w:tcPr>
            <w:tcW w:type="dxa" w:w="3120"/>
            <w:shd w:fill="F4F8FA"/>
          </w:tcPr>
          <w:p>
            <w:pPr>
              <w:spacing w:before="60" w:after="60" w:line="252" w:lineRule="auto"/>
              <w:jc w:val="left"/>
            </w:pPr>
            <w:r>
              <w:rPr>
                <w:rFonts w:ascii="Calibri" w:hAnsi="Calibri"/>
                <w:b/>
                <w:color w:val="222222"/>
                <w:sz w:val="17"/>
              </w:rPr>
              <w:t>site:progreso.tecnm.mx inurl:moodle/user</w:t>
            </w:r>
          </w:p>
        </w:tc>
        <w:tc>
          <w:tcPr>
            <w:tcW w:type="dxa" w:w="3120"/>
            <w:shd w:fill="F4F8FA"/>
          </w:tcPr>
          <w:p>
            <w:pPr>
              <w:spacing w:before="60" w:after="60" w:line="252" w:lineRule="auto"/>
              <w:jc w:val="left"/>
            </w:pPr>
            <w:r>
              <w:rPr>
                <w:rFonts w:ascii="Calibri" w:hAnsi="Calibri"/>
                <w:color w:val="222222"/>
                <w:sz w:val="17"/>
              </w:rPr>
              <w:t>Enumeración de identificadores y perfiles de usuarios en la plataforma educativa.</w:t>
            </w:r>
          </w:p>
        </w:tc>
        <w:tc>
          <w:tcPr>
            <w:tcW w:type="dxa" w:w="3120"/>
            <w:shd w:fill="F4F8FA"/>
          </w:tcPr>
          <w:p>
            <w:pPr>
              <w:spacing w:before="60" w:after="60" w:line="252" w:lineRule="auto"/>
              <w:jc w:val="center"/>
            </w:pPr>
            <w:r>
              <w:rPr>
                <w:rFonts w:ascii="Calibri" w:hAnsi="Calibri"/>
                <w:color w:val="222222"/>
                <w:sz w:val="17"/>
              </w:rPr>
              <w:t>Media (Perfilado Social)</w:t>
            </w:r>
          </w:p>
        </w:tc>
      </w:tr>
    </w:tbl>
    <w:p>
      <w:pPr>
        <w:spacing w:after="160"/>
      </w:pPr>
    </w:p>
    <w:p>
      <w:r>
        <w:br w:type="page"/>
      </w:r>
    </w:p>
    <w:p>
      <w:pPr>
        <w:pStyle w:val="Ttulo1"/>
        <w:keepNext/>
        <w:spacing w:before="320" w:after="160"/>
      </w:pPr>
      <w:bookmarkStart w:id="1011" w:name="_Toc1011"/>
      <w:r>
        <w:rPr>
          <w:rFonts w:ascii="Calibri" w:hAnsi="Calibri"/>
          <w:b/>
          <w:color w:val="0F4761"/>
          <w:sz w:val="32"/>
        </w:rPr>
        <w:t>6. Análisis Forense Histórico en Repositorios Web (Wayback Machine)</w:t>
      </w:r>
      <w:bookmarkEnd w:id="1011"/>
    </w:p>
    <w:p>
      <w:pPr>
        <w:spacing w:before="0" w:after="120" w:line="276" w:lineRule="auto"/>
        <w:ind w:firstLine="432"/>
        <w:jc w:val="both"/>
      </w:pPr>
      <w:r>
        <w:rPr>
          <w:rFonts w:ascii="Calibri" w:hAnsi="Calibri"/>
          <w:color w:val="222222"/>
          <w:sz w:val="22"/>
        </w:rPr>
        <w:t>El servicio Wayback Machine de Internet Archive (archive.org) preserva instantáneas cronológicas de sitios web a lo largo de los años. Esta fuente resulta invaluable en una prueba de penetración, ya que permite identificar cómo ha evolucionado la infraestructura, qué tecnologías fueron descontinuadas y si existen archivos residuales o directorios olvidados que sigan activos en el servidor productivo actual.</w:t>
      </w:r>
    </w:p>
    <w:p>
      <w:pPr>
        <w:keepNext/>
        <w:spacing w:before="160" w:after="60"/>
        <w:jc w:val="center"/>
      </w:pPr>
      <w:r>
        <w:drawing>
          <wp:inline xmlns:a="http://schemas.openxmlformats.org/drawingml/2006/main" xmlns:pic="http://schemas.openxmlformats.org/drawingml/2006/picture">
            <wp:extent cx="4572000" cy="2570495"/>
            <wp:docPr id="2031477267" name="Picture 2031477267"/>
            <wp:cNvGraphicFramePr>
              <a:graphicFrameLocks noChangeAspect="1"/>
            </wp:cNvGraphicFramePr>
            <a:graphic>
              <a:graphicData uri="http://schemas.openxmlformats.org/drawingml/2006/picture">
                <pic:pic>
                  <pic:nvPicPr>
                    <pic:cNvPr id="0" name="02_wayback_real_snapshot.png"/>
                    <pic:cNvPicPr/>
                  </pic:nvPicPr>
                  <pic:blipFill>
                    <a:blip r:embed="rId18"/>
                    <a:stretch>
                      <a:fillRect/>
                    </a:stretch>
                  </pic:blipFill>
                  <pic:spPr>
                    <a:xfrm>
                      <a:off x="0" y="0"/>
                      <a:ext cx="4572000" cy="2570495"/>
                    </a:xfrm>
                    <a:prstGeom prst="rect"/>
                  </pic:spPr>
                </pic:pic>
              </a:graphicData>
            </a:graphic>
          </wp:inline>
        </w:drawing>
      </w:r>
    </w:p>
    <w:p>
      <w:pPr>
        <w:keepNext w:val="0"/>
        <w:spacing w:before="0" w:after="160"/>
        <w:jc w:val="center"/>
      </w:pPr>
      <w:r>
        <w:rPr>
          <w:rFonts w:ascii="Calibri" w:hAnsi="Calibri"/>
          <w:i/>
          <w:color w:val="5A5A5A"/>
          <w:sz w:val="18"/>
        </w:rPr>
        <w:t>Figura 2: Instantánea histórica en la plataforma Wayback Machine reflejando la evolución de componentes y versiones web.</w:t>
      </w:r>
    </w:p>
    <w:p>
      <w:pPr>
        <w:pStyle w:val="Ttulo2"/>
        <w:keepNext/>
        <w:spacing w:before="240" w:after="120"/>
      </w:pPr>
      <w:bookmarkStart w:id="1012" w:name="_Toc1012"/>
      <w:r>
        <w:rPr>
          <w:rFonts w:ascii="Calibri" w:hAnsi="Calibri"/>
          <w:b/>
          <w:color w:val="0F4761"/>
          <w:sz w:val="25"/>
        </w:rPr>
        <w:t>6.1. Comparativa Tecnológica Evolutiva: 2020 vs 2026</w:t>
      </w:r>
      <w:bookmarkEnd w:id="1012"/>
    </w:p>
    <w:p>
      <w:pPr>
        <w:spacing w:before="0" w:after="120" w:line="276" w:lineRule="auto"/>
        <w:ind w:firstLine="432"/>
        <w:jc w:val="both"/>
      </w:pPr>
      <w:r>
        <w:rPr>
          <w:rFonts w:ascii="Calibri" w:hAnsi="Calibri"/>
          <w:color w:val="222222"/>
          <w:sz w:val="22"/>
        </w:rPr>
        <w:t>Mediante la consulta a la API CDX de Archive.org, se contrastaron las capturas del portal www.progreso.tecnm.mx:</w:t>
      </w:r>
    </w:p>
    <w:p>
      <w:pPr>
        <w:spacing w:before="0" w:after="120" w:line="276" w:lineRule="auto"/>
        <w:jc w:val="both"/>
      </w:pPr>
      <w:r>
        <w:rPr>
          <w:rFonts w:ascii="Calibri" w:hAnsi="Calibri"/>
          <w:b/>
          <w:color w:val="222222"/>
          <w:sz w:val="22"/>
        </w:rPr>
        <w:t xml:space="preserve">Instantáneas del Periodo 2018-2021: </w:t>
      </w:r>
      <w:r>
        <w:rPr>
          <w:rFonts w:ascii="Calibri" w:hAnsi="Calibri"/>
          <w:color w:val="222222"/>
          <w:sz w:val="22"/>
        </w:rPr>
        <w:t>El portal institucional operaba bajo un sistema de gestión de contenidos WordPress versión 5.x alojado en servidores Apache tradicionales. La estructura de URLs revelaba rutas explícitas hacia plugins de terceros (/wp-content/plugins/) y directorios de subida sin sanitización (/wp-content/uploads/).</w:t>
      </w:r>
    </w:p>
    <w:p>
      <w:pPr>
        <w:spacing w:before="0" w:after="120" w:line="276" w:lineRule="auto"/>
        <w:jc w:val="both"/>
      </w:pPr>
      <w:r>
        <w:rPr>
          <w:rFonts w:ascii="Calibri" w:hAnsi="Calibri"/>
          <w:b/>
          <w:color w:val="222222"/>
          <w:sz w:val="22"/>
        </w:rPr>
        <w:t xml:space="preserve">Instantáneas Contemporáneas (2025-2026): </w:t>
      </w:r>
      <w:r>
        <w:rPr>
          <w:rFonts w:ascii="Calibri" w:hAnsi="Calibri"/>
          <w:color w:val="222222"/>
          <w:sz w:val="22"/>
        </w:rPr>
        <w:t>La institución migró hacia un front-end más limpio y desacoplado, reduciendo sustancialmente la superficie de plugins obsoletos. No obstante, las instantáneas históricas preservan nombres de directores académicos, manuales organizacionales con firmas autógrafas y la nomenclatura de servidores de bases de datos que todavía orientan vectores de ataque contemporáneos.</w:t>
      </w:r>
    </w:p>
    <w:p>
      <w:r>
        <w:br w:type="page"/>
      </w:r>
    </w:p>
    <w:p>
      <w:pPr>
        <w:pStyle w:val="Ttulo1"/>
        <w:keepNext/>
        <w:spacing w:before="320" w:after="160"/>
      </w:pPr>
      <w:bookmarkStart w:id="1013" w:name="_Toc1013"/>
      <w:r>
        <w:rPr>
          <w:rFonts w:ascii="Calibri" w:hAnsi="Calibri"/>
          <w:b/>
          <w:color w:val="0F4761"/>
          <w:sz w:val="32"/>
        </w:rPr>
        <w:t>7. Reconocimiento Automatizado y Correlación de Fuentes con SpiderFoot</w:t>
      </w:r>
      <w:bookmarkEnd w:id="1013"/>
    </w:p>
    <w:p>
      <w:pPr>
        <w:spacing w:before="0" w:after="120" w:line="276" w:lineRule="auto"/>
        <w:ind w:firstLine="432"/>
        <w:jc w:val="both"/>
      </w:pPr>
      <w:r>
        <w:rPr>
          <w:rFonts w:ascii="Calibri" w:hAnsi="Calibri"/>
          <w:color w:val="222222"/>
          <w:sz w:val="22"/>
        </w:rPr>
        <w:t>Para automatizar la recolección de inteligencia masiva y correlacionar cientos de fuentes públicas simultáneamente, se desplegó la herramienta de OSINT SpiderFoot 4.0.0 sobre la interfaz web local (puerto 5001). SpiderFoot opera mediante módulos especializados que interrogan servidores WHOIS, bases de datos de amenazas, motores de búsqueda y certificados SSL.</w:t>
      </w:r>
    </w:p>
    <w:p>
      <w:pPr>
        <w:keepNext/>
        <w:spacing w:before="160" w:after="60"/>
        <w:jc w:val="center"/>
      </w:pPr>
      <w:r>
        <w:drawing>
          <wp:inline xmlns:a="http://schemas.openxmlformats.org/drawingml/2006/main" xmlns:pic="http://schemas.openxmlformats.org/drawingml/2006/picture">
            <wp:extent cx="4389120" cy="2467675"/>
            <wp:docPr id="2031477268" name="Picture 2031477268"/>
            <wp:cNvGraphicFramePr>
              <a:graphicFrameLocks noChangeAspect="1"/>
            </wp:cNvGraphicFramePr>
            <a:graphic>
              <a:graphicData uri="http://schemas.openxmlformats.org/drawingml/2006/picture">
                <pic:pic>
                  <pic:nvPicPr>
                    <pic:cNvPr id="0" name="03_spiderfoot_webui_newscan.png"/>
                    <pic:cNvPicPr/>
                  </pic:nvPicPr>
                  <pic:blipFill>
                    <a:blip r:embed="rId19"/>
                    <a:stretch>
                      <a:fillRect/>
                    </a:stretch>
                  </pic:blipFill>
                  <pic:spPr>
                    <a:xfrm>
                      <a:off x="0" y="0"/>
                      <a:ext cx="4389120" cy="2467675"/>
                    </a:xfrm>
                    <a:prstGeom prst="rect"/>
                  </pic:spPr>
                </pic:pic>
              </a:graphicData>
            </a:graphic>
          </wp:inline>
        </w:drawing>
      </w:r>
    </w:p>
    <w:p>
      <w:pPr>
        <w:keepNext w:val="0"/>
        <w:spacing w:before="0" w:after="160"/>
        <w:jc w:val="center"/>
      </w:pPr>
      <w:r>
        <w:rPr>
          <w:rFonts w:ascii="Calibri" w:hAnsi="Calibri"/>
          <w:i/>
          <w:color w:val="5A5A5A"/>
          <w:sz w:val="18"/>
        </w:rPr>
        <w:t>Figura 3: Configuración del escaneo en la interfaz web de SpiderFoot sobre el dominio institucional progreso.tecnm.mx.</w:t>
      </w:r>
    </w:p>
    <w:p>
      <w:pPr>
        <w:spacing w:before="0" w:after="120" w:line="276" w:lineRule="auto"/>
        <w:ind w:firstLine="432"/>
        <w:jc w:val="both"/>
      </w:pPr>
      <w:r>
        <w:rPr>
          <w:rFonts w:ascii="Calibri" w:hAnsi="Calibri"/>
          <w:color w:val="222222"/>
          <w:sz w:val="22"/>
        </w:rPr>
        <w:t>El escaneo procesó 662 eventos únicos de inteligencia digital. La correlación visual de SpiderFoot agrupó los hallazgos en entidades clave: nombres de dominio padre, bloques de direcciones IP públicas, puertos TCP con servicios expuestos, metadatos de certificados SSL y menciones en páginas externas.</w:t>
      </w:r>
    </w:p>
    <w:p>
      <w:pPr>
        <w:keepNext/>
        <w:spacing w:before="160" w:after="60"/>
        <w:jc w:val="center"/>
      </w:pPr>
      <w:r>
        <w:drawing>
          <wp:inline xmlns:a="http://schemas.openxmlformats.org/drawingml/2006/main" xmlns:pic="http://schemas.openxmlformats.org/drawingml/2006/picture">
            <wp:extent cx="4389120" cy="2467675"/>
            <wp:docPr id="2031477269" name="Picture 2031477269"/>
            <wp:cNvGraphicFramePr>
              <a:graphicFrameLocks noChangeAspect="1"/>
            </wp:cNvGraphicFramePr>
            <a:graphic>
              <a:graphicData uri="http://schemas.openxmlformats.org/drawingml/2006/picture">
                <pic:pic>
                  <pic:nvPicPr>
                    <pic:cNvPr id="0" name="04_spiderfoot_webui_scaninfo.png"/>
                    <pic:cNvPicPr/>
                  </pic:nvPicPr>
                  <pic:blipFill>
                    <a:blip r:embed="rId20"/>
                    <a:stretch>
                      <a:fillRect/>
                    </a:stretch>
                  </pic:blipFill>
                  <pic:spPr>
                    <a:xfrm>
                      <a:off x="0" y="0"/>
                      <a:ext cx="4389120" cy="2467675"/>
                    </a:xfrm>
                    <a:prstGeom prst="rect"/>
                  </pic:spPr>
                </pic:pic>
              </a:graphicData>
            </a:graphic>
          </wp:inline>
        </w:drawing>
      </w:r>
    </w:p>
    <w:p>
      <w:pPr>
        <w:keepNext w:val="0"/>
        <w:spacing w:before="0" w:after="160"/>
        <w:jc w:val="center"/>
      </w:pPr>
      <w:r>
        <w:rPr>
          <w:rFonts w:ascii="Calibri" w:hAnsi="Calibri"/>
          <w:i/>
          <w:color w:val="5A5A5A"/>
          <w:sz w:val="18"/>
        </w:rPr>
        <w:t>Figura 4: Tablero analítico y correlación de entidades de red en la interfaz gráfica de SpiderFoot.</w:t>
      </w:r>
    </w:p>
    <w:p>
      <w:pPr>
        <w:pStyle w:val="Ttulo2"/>
        <w:keepNext/>
        <w:spacing w:before="240" w:after="120"/>
      </w:pPr>
      <w:bookmarkStart w:id="1014" w:name="_Toc1014"/>
      <w:r>
        <w:rPr>
          <w:rFonts w:ascii="Calibri" w:hAnsi="Calibri"/>
          <w:b/>
          <w:color w:val="0F4761"/>
          <w:sz w:val="25"/>
        </w:rPr>
        <w:t>7.1. Repositorio de Auditorías y Exportación de Datos</w:t>
      </w:r>
      <w:bookmarkEnd w:id="1014"/>
    </w:p>
    <w:p>
      <w:pPr>
        <w:spacing w:before="0" w:after="120" w:line="276" w:lineRule="auto"/>
        <w:ind w:firstLine="432"/>
        <w:jc w:val="both"/>
      </w:pPr>
      <w:r>
        <w:rPr>
          <w:rFonts w:ascii="Calibri" w:hAnsi="Calibri"/>
          <w:color w:val="222222"/>
          <w:sz w:val="22"/>
        </w:rPr>
        <w:t>Los datos recolectados fueron exportados a formato CSV (spiderfoot_scan_www_progreso.csv) para su análisis cuantitativo. SpiderFoot verificó que las direcciones IP asignadas a la institución poseen una reputación limpia en listas negras globales (RBLs como Spamhaus y Sorbs), descartando que hayan sido utilizadas para emisión de tráfico malicioso.</w:t>
      </w:r>
    </w:p>
    <w:p>
      <w:pPr>
        <w:keepNext/>
        <w:spacing w:before="160" w:after="60"/>
        <w:jc w:val="center"/>
      </w:pPr>
      <w:r>
        <w:drawing>
          <wp:inline xmlns:a="http://schemas.openxmlformats.org/drawingml/2006/main" xmlns:pic="http://schemas.openxmlformats.org/drawingml/2006/picture">
            <wp:extent cx="4389120" cy="2467675"/>
            <wp:docPr id="2031477270" name="Picture 2031477270"/>
            <wp:cNvGraphicFramePr>
              <a:graphicFrameLocks noChangeAspect="1"/>
            </wp:cNvGraphicFramePr>
            <a:graphic>
              <a:graphicData uri="http://schemas.openxmlformats.org/drawingml/2006/picture">
                <pic:pic>
                  <pic:nvPicPr>
                    <pic:cNvPr id="0" name="05_spiderfoot_webui_scanlist.png"/>
                    <pic:cNvPicPr/>
                  </pic:nvPicPr>
                  <pic:blipFill>
                    <a:blip r:embed="rId21"/>
                    <a:stretch>
                      <a:fillRect/>
                    </a:stretch>
                  </pic:blipFill>
                  <pic:spPr>
                    <a:xfrm>
                      <a:off x="0" y="0"/>
                      <a:ext cx="4389120" cy="2467675"/>
                    </a:xfrm>
                    <a:prstGeom prst="rect"/>
                  </pic:spPr>
                </pic:pic>
              </a:graphicData>
            </a:graphic>
          </wp:inline>
        </w:drawing>
      </w:r>
    </w:p>
    <w:p>
      <w:pPr>
        <w:keepNext w:val="0"/>
        <w:spacing w:before="0" w:after="160"/>
        <w:jc w:val="center"/>
      </w:pPr>
      <w:r>
        <w:rPr>
          <w:rFonts w:ascii="Calibri" w:hAnsi="Calibri"/>
          <w:i/>
          <w:color w:val="5A5A5A"/>
          <w:sz w:val="18"/>
        </w:rPr>
        <w:t>Figura 5: Registro cronológico y repositorio de escaneos de inteligencia en la consola de gestión de SpiderFoot.</w:t>
      </w:r>
    </w:p>
    <w:p>
      <w:r>
        <w:br w:type="page"/>
      </w:r>
    </w:p>
    <w:p>
      <w:pPr>
        <w:pStyle w:val="Ttulo1"/>
        <w:keepNext/>
        <w:spacing w:before="320" w:after="160"/>
      </w:pPr>
      <w:bookmarkStart w:id="1015" w:name="_Toc1015"/>
      <w:r>
        <w:rPr>
          <w:rFonts w:ascii="Calibri" w:hAnsi="Calibri"/>
          <w:b/>
          <w:color w:val="0F4761"/>
          <w:sz w:val="32"/>
        </w:rPr>
        <w:t>8. Simulación de Due Diligence y Perfilado de Ingeniería Social</w:t>
      </w:r>
      <w:bookmarkEnd w:id="1015"/>
    </w:p>
    <w:p>
      <w:pPr>
        <w:spacing w:before="0" w:after="120" w:line="276" w:lineRule="auto"/>
        <w:ind w:firstLine="432"/>
        <w:jc w:val="both"/>
      </w:pPr>
      <w:r>
        <w:rPr>
          <w:rFonts w:ascii="Calibri" w:hAnsi="Calibri"/>
          <w:color w:val="222222"/>
          <w:sz w:val="22"/>
        </w:rPr>
        <w:t>La inteligencia de fuentes abiertas no solo audita servidores y cables; audita el factor humano. En el marco de una evaluación integral de ciberseguridad, la fase de Due Diligence evalúa la exposición corporativa e institucional ante ataques de ingeniería social.</w:t>
      </w:r>
    </w:p>
    <w:p>
      <w:pPr>
        <w:pStyle w:val="Ttulo2"/>
        <w:keepNext/>
        <w:spacing w:before="240" w:after="120"/>
      </w:pPr>
      <w:bookmarkStart w:id="1016" w:name="_Toc1016"/>
      <w:r>
        <w:rPr>
          <w:rFonts w:ascii="Calibri" w:hAnsi="Calibri"/>
          <w:b/>
          <w:color w:val="0F4761"/>
          <w:sz w:val="25"/>
        </w:rPr>
        <w:t>8.1. Vectores de Exposición de Identidad y Riesgo de Phishing</w:t>
      </w:r>
      <w:bookmarkEnd w:id="1016"/>
    </w:p>
    <w:p>
      <w:pPr>
        <w:spacing w:before="0" w:after="120" w:line="276" w:lineRule="auto"/>
        <w:ind w:firstLine="432"/>
        <w:jc w:val="both"/>
      </w:pPr>
      <w:r>
        <w:rPr>
          <w:rFonts w:ascii="Calibri" w:hAnsi="Calibri"/>
          <w:color w:val="222222"/>
          <w:sz w:val="22"/>
        </w:rPr>
        <w:t>Mediante búsquedas pasivas en redes académicas y profesionales (LinkedIn, Google Scholar y directorios públicos del TecNM), fue posible recopilar los correos electrónicos de jefes de división, personal de recursos humanos y docentes.</w:t>
      </w:r>
    </w:p>
    <w:p>
      <w:pPr>
        <w:spacing w:before="0" w:after="120" w:line="276" w:lineRule="auto"/>
        <w:jc w:val="both"/>
      </w:pPr>
      <w:r>
        <w:rPr>
          <w:rFonts w:ascii="Calibri" w:hAnsi="Calibri"/>
          <w:b/>
          <w:color w:val="222222"/>
          <w:sz w:val="22"/>
        </w:rPr>
        <w:t xml:space="preserve">Escenario de Amenaza Modelado: </w:t>
      </w:r>
      <w:r>
        <w:rPr>
          <w:rFonts w:ascii="Calibri" w:hAnsi="Calibri"/>
          <w:color w:val="222222"/>
          <w:sz w:val="22"/>
        </w:rPr>
        <w:t>Al correlacionar la existencia de la plataforma Moodle expuesta públicamente (moodle.progreso.tecnm.mx) con la omisión de políticas de rechazo DMARC y la lista de correos descubierta, el escenario de amenaza más plausible consiste en un ataque de Spear Phishing con clonación del portal de acceso. Un atacante podría remitir correos a los alumnos anunciando un 'cierre de periodo o actualización obligatoria de contraseña' con un enlace a una réplica visual de Moodle, capturando credenciales institucionales de forma masiva.</w:t>
      </w:r>
    </w:p>
    <w:p>
      <w:pPr>
        <w:pStyle w:val="Ttulo2"/>
        <w:keepNext/>
        <w:spacing w:before="240" w:after="120"/>
      </w:pPr>
      <w:bookmarkStart w:id="1017" w:name="_Toc1017"/>
      <w:r>
        <w:rPr>
          <w:rFonts w:ascii="Calibri" w:hAnsi="Calibri"/>
          <w:b/>
          <w:color w:val="0F4761"/>
          <w:sz w:val="25"/>
        </w:rPr>
        <w:t>8.2. Límite de APIs Gratuitas vs Feeds Comerciales de Ciberinteligencia</w:t>
      </w:r>
      <w:bookmarkEnd w:id="1017"/>
    </w:p>
    <w:p>
      <w:pPr>
        <w:spacing w:before="0" w:after="120" w:line="276" w:lineRule="auto"/>
        <w:ind w:firstLine="432"/>
        <w:jc w:val="both"/>
      </w:pPr>
      <w:r>
        <w:rPr>
          <w:rFonts w:ascii="Calibri" w:hAnsi="Calibri"/>
          <w:color w:val="222222"/>
          <w:sz w:val="22"/>
        </w:rPr>
        <w:t>El laboratorio evidenció una lección técnica relevante: las herramientas de OSINT gratuitas dependen de cuotas de consulta (rate limits) y claves de API públicas. Para auditorías corporativas continuas, las organizaciones deben complementar el reconocimiento manual con plataformas comerciales de Threat Intelligence (como Recorded Future o Shodan Enterprise) que ofrecen monitoreo 24/7 en la Dark Web y detección temprana de credenciales filtradas de empleados.</w:t>
      </w:r>
    </w:p>
    <w:p>
      <w:r>
        <w:br w:type="page"/>
      </w:r>
    </w:p>
    <w:p>
      <w:pPr>
        <w:pStyle w:val="Ttulo1"/>
        <w:keepNext/>
        <w:spacing w:before="320" w:after="160"/>
      </w:pPr>
      <w:bookmarkStart w:id="1018" w:name="_Toc1018"/>
      <w:r>
        <w:rPr>
          <w:rFonts w:ascii="Calibri" w:hAnsi="Calibri"/>
          <w:b/>
          <w:color w:val="0F4761"/>
          <w:sz w:val="32"/>
        </w:rPr>
        <w:t>9. Matriz Pericial de Riesgos y Plan Estratégico de Hardening Defensivo</w:t>
      </w:r>
      <w:bookmarkEnd w:id="1018"/>
    </w:p>
    <w:p>
      <w:pPr>
        <w:spacing w:before="0" w:after="120" w:line="276" w:lineRule="auto"/>
        <w:ind w:firstLine="432"/>
        <w:jc w:val="both"/>
      </w:pPr>
      <w:r>
        <w:rPr>
          <w:rFonts w:ascii="Calibri" w:hAnsi="Calibri"/>
          <w:color w:val="222222"/>
          <w:sz w:val="22"/>
        </w:rPr>
        <w:t>A partir de todos los indicios y evidencias recabados durante la fase de reconocimiento, se estructuró la siguiente matriz cuantitativa de riesgos clasificada mediante el estándar CVSS v3.1:</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4761"/>
          </w:tcPr>
          <w:p>
            <w:pPr>
              <w:spacing w:before="80" w:after="80"/>
              <w:jc w:val="center"/>
            </w:pPr>
            <w:r>
              <w:rPr>
                <w:rFonts w:ascii="Calibri" w:hAnsi="Calibri"/>
                <w:b/>
                <w:color w:val="FFFFFF"/>
                <w:sz w:val="19"/>
              </w:rPr>
              <w:t>Vulnerabilidad / Exposición</w:t>
            </w:r>
          </w:p>
        </w:tc>
        <w:tc>
          <w:tcPr>
            <w:tcW w:type="dxa" w:w="1872"/>
            <w:shd w:fill="0F4761"/>
          </w:tcPr>
          <w:p>
            <w:pPr>
              <w:spacing w:before="80" w:after="80"/>
              <w:jc w:val="center"/>
            </w:pPr>
            <w:r>
              <w:rPr>
                <w:rFonts w:ascii="Calibri" w:hAnsi="Calibri"/>
                <w:b/>
                <w:color w:val="FFFFFF"/>
                <w:sz w:val="19"/>
              </w:rPr>
              <w:t>Vector Técnico</w:t>
            </w:r>
          </w:p>
        </w:tc>
        <w:tc>
          <w:tcPr>
            <w:tcW w:type="dxa" w:w="1872"/>
            <w:shd w:fill="0F4761"/>
          </w:tcPr>
          <w:p>
            <w:pPr>
              <w:spacing w:before="80" w:after="80"/>
              <w:jc w:val="center"/>
            </w:pPr>
            <w:r>
              <w:rPr>
                <w:rFonts w:ascii="Calibri" w:hAnsi="Calibri"/>
                <w:b/>
                <w:color w:val="FFFFFF"/>
                <w:sz w:val="19"/>
              </w:rPr>
              <w:t>CVSS v3.1</w:t>
            </w:r>
          </w:p>
        </w:tc>
        <w:tc>
          <w:tcPr>
            <w:tcW w:type="dxa" w:w="1872"/>
            <w:shd w:fill="0F4761"/>
          </w:tcPr>
          <w:p>
            <w:pPr>
              <w:spacing w:before="80" w:after="80"/>
              <w:jc w:val="center"/>
            </w:pPr>
            <w:r>
              <w:rPr>
                <w:rFonts w:ascii="Calibri" w:hAnsi="Calibri"/>
                <w:b/>
                <w:color w:val="FFFFFF"/>
                <w:sz w:val="19"/>
              </w:rPr>
              <w:t>Impacto Operativo</w:t>
            </w:r>
          </w:p>
        </w:tc>
        <w:tc>
          <w:tcPr>
            <w:tcW w:type="dxa" w:w="1872"/>
            <w:shd w:fill="0F4761"/>
          </w:tcPr>
          <w:p>
            <w:pPr>
              <w:spacing w:before="80" w:after="80"/>
              <w:jc w:val="center"/>
            </w:pPr>
            <w:r>
              <w:rPr>
                <w:rFonts w:ascii="Calibri" w:hAnsi="Calibri"/>
                <w:b/>
                <w:color w:val="FFFFFF"/>
                <w:sz w:val="19"/>
              </w:rPr>
              <w:t>Acción Defensiva de Hardening</w:t>
            </w:r>
          </w:p>
        </w:tc>
      </w:tr>
      <w:tr>
        <w:tc>
          <w:tcPr>
            <w:tcW w:type="dxa" w:w="1872"/>
            <w:shd w:fill="F4F8FA"/>
          </w:tcPr>
          <w:p>
            <w:pPr>
              <w:spacing w:before="60" w:after="60" w:line="252" w:lineRule="auto"/>
              <w:jc w:val="left"/>
            </w:pPr>
            <w:r>
              <w:rPr>
                <w:rFonts w:ascii="Calibri" w:hAnsi="Calibri"/>
                <w:b/>
                <w:color w:val="222222"/>
                <w:sz w:val="17"/>
              </w:rPr>
              <w:t>Ausencia de DMARC estricto</w:t>
            </w:r>
          </w:p>
        </w:tc>
        <w:tc>
          <w:tcPr>
            <w:tcW w:type="dxa" w:w="1872"/>
            <w:shd w:fill="F4F8FA"/>
          </w:tcPr>
          <w:p>
            <w:pPr>
              <w:spacing w:before="60" w:after="60" w:line="252" w:lineRule="auto"/>
              <w:jc w:val="left"/>
            </w:pPr>
            <w:r>
              <w:rPr>
                <w:rFonts w:ascii="Calibri" w:hAnsi="Calibri"/>
                <w:color w:val="222222"/>
                <w:sz w:val="17"/>
              </w:rPr>
              <w:t>Registros DNS TXT</w:t>
            </w:r>
          </w:p>
        </w:tc>
        <w:tc>
          <w:tcPr>
            <w:tcW w:type="dxa" w:w="1872"/>
            <w:shd w:fill="F4F8FA"/>
          </w:tcPr>
          <w:p>
            <w:pPr>
              <w:spacing w:before="60" w:after="60" w:line="252" w:lineRule="auto"/>
              <w:jc w:val="center"/>
            </w:pPr>
            <w:r>
              <w:rPr>
                <w:rFonts w:ascii="Calibri" w:hAnsi="Calibri"/>
                <w:color w:val="222222"/>
                <w:sz w:val="17"/>
              </w:rPr>
              <w:t>7.5 (Alta)</w:t>
            </w:r>
          </w:p>
        </w:tc>
        <w:tc>
          <w:tcPr>
            <w:tcW w:type="dxa" w:w="1872"/>
            <w:shd w:fill="F4F8FA"/>
          </w:tcPr>
          <w:p>
            <w:pPr>
              <w:spacing w:before="60" w:after="60" w:line="252" w:lineRule="auto"/>
              <w:jc w:val="left"/>
            </w:pPr>
            <w:r>
              <w:rPr>
                <w:rFonts w:ascii="Calibri" w:hAnsi="Calibri"/>
                <w:color w:val="222222"/>
                <w:sz w:val="17"/>
              </w:rPr>
              <w:t>Suplantación de identidad (spoofing) de correos institucionales.</w:t>
            </w:r>
          </w:p>
        </w:tc>
        <w:tc>
          <w:tcPr>
            <w:tcW w:type="dxa" w:w="1872"/>
            <w:shd w:fill="F4F8FA"/>
          </w:tcPr>
          <w:p>
            <w:pPr>
              <w:spacing w:before="60" w:after="60" w:line="252" w:lineRule="auto"/>
              <w:jc w:val="left"/>
            </w:pPr>
            <w:r>
              <w:rPr>
                <w:rFonts w:ascii="Calibri" w:hAnsi="Calibri"/>
                <w:color w:val="222222"/>
                <w:sz w:val="17"/>
              </w:rPr>
              <w:t>Configurar registro DMARC con política 'p=reject' y reportes ruf/rua.</w:t>
            </w:r>
          </w:p>
        </w:tc>
      </w:tr>
      <w:tr>
        <w:tc>
          <w:tcPr>
            <w:tcW w:type="dxa" w:w="1872"/>
            <w:shd w:fill="FFFFFF"/>
          </w:tcPr>
          <w:p>
            <w:pPr>
              <w:spacing w:before="60" w:after="60" w:line="252" w:lineRule="auto"/>
              <w:jc w:val="left"/>
            </w:pPr>
            <w:r>
              <w:rPr>
                <w:rFonts w:ascii="Calibri" w:hAnsi="Calibri"/>
                <w:b/>
                <w:color w:val="222222"/>
                <w:sz w:val="17"/>
              </w:rPr>
              <w:t>Documentos con firmas indexados</w:t>
            </w:r>
          </w:p>
        </w:tc>
        <w:tc>
          <w:tcPr>
            <w:tcW w:type="dxa" w:w="1872"/>
            <w:shd w:fill="FFFFFF"/>
          </w:tcPr>
          <w:p>
            <w:pPr>
              <w:spacing w:before="60" w:after="60" w:line="252" w:lineRule="auto"/>
              <w:jc w:val="left"/>
            </w:pPr>
            <w:r>
              <w:rPr>
                <w:rFonts w:ascii="Calibri" w:hAnsi="Calibri"/>
                <w:color w:val="222222"/>
                <w:sz w:val="17"/>
              </w:rPr>
              <w:t>Google Dorking / Web</w:t>
            </w:r>
          </w:p>
        </w:tc>
        <w:tc>
          <w:tcPr>
            <w:tcW w:type="dxa" w:w="1872"/>
            <w:shd w:fill="FFFFFF"/>
          </w:tcPr>
          <w:p>
            <w:pPr>
              <w:spacing w:before="60" w:after="60" w:line="252" w:lineRule="auto"/>
              <w:jc w:val="center"/>
            </w:pPr>
            <w:r>
              <w:rPr>
                <w:rFonts w:ascii="Calibri" w:hAnsi="Calibri"/>
                <w:color w:val="222222"/>
                <w:sz w:val="17"/>
              </w:rPr>
              <w:t>6.2 (Media)</w:t>
            </w:r>
          </w:p>
        </w:tc>
        <w:tc>
          <w:tcPr>
            <w:tcW w:type="dxa" w:w="1872"/>
            <w:shd w:fill="FFFFFF"/>
          </w:tcPr>
          <w:p>
            <w:pPr>
              <w:spacing w:before="60" w:after="60" w:line="252" w:lineRule="auto"/>
              <w:jc w:val="left"/>
            </w:pPr>
            <w:r>
              <w:rPr>
                <w:rFonts w:ascii="Calibri" w:hAnsi="Calibri"/>
                <w:color w:val="222222"/>
                <w:sz w:val="17"/>
              </w:rPr>
              <w:t>Fuga de firmas de directivos y metadatos organizacionales.</w:t>
            </w:r>
          </w:p>
        </w:tc>
        <w:tc>
          <w:tcPr>
            <w:tcW w:type="dxa" w:w="1872"/>
            <w:shd w:fill="FFFFFF"/>
          </w:tcPr>
          <w:p>
            <w:pPr>
              <w:spacing w:before="60" w:after="60" w:line="252" w:lineRule="auto"/>
              <w:jc w:val="left"/>
            </w:pPr>
            <w:r>
              <w:rPr>
                <w:rFonts w:ascii="Calibri" w:hAnsi="Calibri"/>
                <w:color w:val="222222"/>
                <w:sz w:val="17"/>
              </w:rPr>
              <w:t>Implementar directiva 'X-Robots-Tag: noindex' y robots.txt restrictivo.</w:t>
            </w:r>
          </w:p>
        </w:tc>
      </w:tr>
      <w:tr>
        <w:tc>
          <w:tcPr>
            <w:tcW w:type="dxa" w:w="1872"/>
            <w:shd w:fill="F4F8FA"/>
          </w:tcPr>
          <w:p>
            <w:pPr>
              <w:spacing w:before="60" w:after="60" w:line="252" w:lineRule="auto"/>
              <w:jc w:val="left"/>
            </w:pPr>
            <w:r>
              <w:rPr>
                <w:rFonts w:ascii="Calibri" w:hAnsi="Calibri"/>
                <w:b/>
                <w:color w:val="222222"/>
                <w:sz w:val="17"/>
              </w:rPr>
              <w:t>SANs revelan subdominios internos</w:t>
            </w:r>
          </w:p>
        </w:tc>
        <w:tc>
          <w:tcPr>
            <w:tcW w:type="dxa" w:w="1872"/>
            <w:shd w:fill="F4F8FA"/>
          </w:tcPr>
          <w:p>
            <w:pPr>
              <w:spacing w:before="60" w:after="60" w:line="252" w:lineRule="auto"/>
              <w:jc w:val="left"/>
            </w:pPr>
            <w:r>
              <w:rPr>
                <w:rFonts w:ascii="Calibri" w:hAnsi="Calibri"/>
                <w:color w:val="222222"/>
                <w:sz w:val="17"/>
              </w:rPr>
              <w:t>Certificados SSL x509</w:t>
            </w:r>
          </w:p>
        </w:tc>
        <w:tc>
          <w:tcPr>
            <w:tcW w:type="dxa" w:w="1872"/>
            <w:shd w:fill="F4F8FA"/>
          </w:tcPr>
          <w:p>
            <w:pPr>
              <w:spacing w:before="60" w:after="60" w:line="252" w:lineRule="auto"/>
              <w:jc w:val="center"/>
            </w:pPr>
            <w:r>
              <w:rPr>
                <w:rFonts w:ascii="Calibri" w:hAnsi="Calibri"/>
                <w:color w:val="222222"/>
                <w:sz w:val="17"/>
              </w:rPr>
              <w:t>5.3 (Media)</w:t>
            </w:r>
          </w:p>
        </w:tc>
        <w:tc>
          <w:tcPr>
            <w:tcW w:type="dxa" w:w="1872"/>
            <w:shd w:fill="F4F8FA"/>
          </w:tcPr>
          <w:p>
            <w:pPr>
              <w:spacing w:before="60" w:after="60" w:line="252" w:lineRule="auto"/>
              <w:jc w:val="left"/>
            </w:pPr>
            <w:r>
              <w:rPr>
                <w:rFonts w:ascii="Calibri" w:hAnsi="Calibri"/>
                <w:color w:val="222222"/>
                <w:sz w:val="17"/>
              </w:rPr>
              <w:t>Facilita la cartografía de servidores privados y de pruebas.</w:t>
            </w:r>
          </w:p>
        </w:tc>
        <w:tc>
          <w:tcPr>
            <w:tcW w:type="dxa" w:w="1872"/>
            <w:shd w:fill="F4F8FA"/>
          </w:tcPr>
          <w:p>
            <w:pPr>
              <w:spacing w:before="60" w:after="60" w:line="252" w:lineRule="auto"/>
              <w:jc w:val="left"/>
            </w:pPr>
            <w:r>
              <w:rPr>
                <w:rFonts w:ascii="Calibri" w:hAnsi="Calibri"/>
                <w:color w:val="222222"/>
                <w:sz w:val="17"/>
              </w:rPr>
              <w:t>Separar certificados wildcard o emitir certificados dedicados por host.</w:t>
            </w:r>
          </w:p>
        </w:tc>
      </w:tr>
      <w:tr>
        <w:tc>
          <w:tcPr>
            <w:tcW w:type="dxa" w:w="1872"/>
            <w:shd w:fill="FFFFFF"/>
          </w:tcPr>
          <w:p>
            <w:pPr>
              <w:spacing w:before="60" w:after="60" w:line="252" w:lineRule="auto"/>
              <w:jc w:val="left"/>
            </w:pPr>
            <w:r>
              <w:rPr>
                <w:rFonts w:ascii="Calibri" w:hAnsi="Calibri"/>
                <w:b/>
                <w:color w:val="222222"/>
                <w:sz w:val="17"/>
              </w:rPr>
              <w:t>Rutas y directorios en Wayback</w:t>
            </w:r>
          </w:p>
        </w:tc>
        <w:tc>
          <w:tcPr>
            <w:tcW w:type="dxa" w:w="1872"/>
            <w:shd w:fill="FFFFFF"/>
          </w:tcPr>
          <w:p>
            <w:pPr>
              <w:spacing w:before="60" w:after="60" w:line="252" w:lineRule="auto"/>
              <w:jc w:val="left"/>
            </w:pPr>
            <w:r>
              <w:rPr>
                <w:rFonts w:ascii="Calibri" w:hAnsi="Calibri"/>
                <w:color w:val="222222"/>
                <w:sz w:val="17"/>
              </w:rPr>
              <w:t>Archive.org CDX API</w:t>
            </w:r>
          </w:p>
        </w:tc>
        <w:tc>
          <w:tcPr>
            <w:tcW w:type="dxa" w:w="1872"/>
            <w:shd w:fill="FFFFFF"/>
          </w:tcPr>
          <w:p>
            <w:pPr>
              <w:spacing w:before="60" w:after="60" w:line="252" w:lineRule="auto"/>
              <w:jc w:val="center"/>
            </w:pPr>
            <w:r>
              <w:rPr>
                <w:rFonts w:ascii="Calibri" w:hAnsi="Calibri"/>
                <w:color w:val="222222"/>
                <w:sz w:val="17"/>
              </w:rPr>
              <w:t>4.8 (Media)</w:t>
            </w:r>
          </w:p>
        </w:tc>
        <w:tc>
          <w:tcPr>
            <w:tcW w:type="dxa" w:w="1872"/>
            <w:shd w:fill="FFFFFF"/>
          </w:tcPr>
          <w:p>
            <w:pPr>
              <w:spacing w:before="60" w:after="60" w:line="252" w:lineRule="auto"/>
              <w:jc w:val="left"/>
            </w:pPr>
            <w:r>
              <w:rPr>
                <w:rFonts w:ascii="Calibri" w:hAnsi="Calibri"/>
                <w:color w:val="222222"/>
                <w:sz w:val="17"/>
              </w:rPr>
              <w:t>Descubrimiento de arquitecturas y scripts descontinuados.</w:t>
            </w:r>
          </w:p>
        </w:tc>
        <w:tc>
          <w:tcPr>
            <w:tcW w:type="dxa" w:w="1872"/>
            <w:shd w:fill="FFFFFF"/>
          </w:tcPr>
          <w:p>
            <w:pPr>
              <w:spacing w:before="60" w:after="60" w:line="252" w:lineRule="auto"/>
              <w:jc w:val="left"/>
            </w:pPr>
            <w:r>
              <w:rPr>
                <w:rFonts w:ascii="Calibri" w:hAnsi="Calibri"/>
                <w:color w:val="222222"/>
                <w:sz w:val="17"/>
              </w:rPr>
              <w:t>Depurar rutas inactivas en servidores web y solicitar eliminación a Archive.</w:t>
            </w:r>
          </w:p>
        </w:tc>
      </w:tr>
      <w:tr>
        <w:tc>
          <w:tcPr>
            <w:tcW w:type="dxa" w:w="1872"/>
            <w:shd w:fill="F4F8FA"/>
          </w:tcPr>
          <w:p>
            <w:pPr>
              <w:spacing w:before="60" w:after="60" w:line="252" w:lineRule="auto"/>
              <w:jc w:val="left"/>
            </w:pPr>
            <w:r>
              <w:rPr>
                <w:rFonts w:ascii="Calibri" w:hAnsi="Calibri"/>
                <w:b/>
                <w:color w:val="222222"/>
                <w:sz w:val="17"/>
              </w:rPr>
              <w:t>Divulgación de banners de servidor</w:t>
            </w:r>
          </w:p>
        </w:tc>
        <w:tc>
          <w:tcPr>
            <w:tcW w:type="dxa" w:w="1872"/>
            <w:shd w:fill="F4F8FA"/>
          </w:tcPr>
          <w:p>
            <w:pPr>
              <w:spacing w:before="60" w:after="60" w:line="252" w:lineRule="auto"/>
              <w:jc w:val="left"/>
            </w:pPr>
            <w:r>
              <w:rPr>
                <w:rFonts w:ascii="Calibri" w:hAnsi="Calibri"/>
                <w:color w:val="222222"/>
                <w:sz w:val="17"/>
              </w:rPr>
              <w:t>Cabeceras HTTP</w:t>
            </w:r>
          </w:p>
        </w:tc>
        <w:tc>
          <w:tcPr>
            <w:tcW w:type="dxa" w:w="1872"/>
            <w:shd w:fill="F4F8FA"/>
          </w:tcPr>
          <w:p>
            <w:pPr>
              <w:spacing w:before="60" w:after="60" w:line="252" w:lineRule="auto"/>
              <w:jc w:val="center"/>
            </w:pPr>
            <w:r>
              <w:rPr>
                <w:rFonts w:ascii="Calibri" w:hAnsi="Calibri"/>
                <w:color w:val="222222"/>
                <w:sz w:val="17"/>
              </w:rPr>
              <w:t>3.5 (Baja)</w:t>
            </w:r>
          </w:p>
        </w:tc>
        <w:tc>
          <w:tcPr>
            <w:tcW w:type="dxa" w:w="1872"/>
            <w:shd w:fill="F4F8FA"/>
          </w:tcPr>
          <w:p>
            <w:pPr>
              <w:spacing w:before="60" w:after="60" w:line="252" w:lineRule="auto"/>
              <w:jc w:val="left"/>
            </w:pPr>
            <w:r>
              <w:rPr>
                <w:rFonts w:ascii="Calibri" w:hAnsi="Calibri"/>
                <w:color w:val="222222"/>
                <w:sz w:val="17"/>
              </w:rPr>
              <w:t>Reconocimiento preciso de versiones de Apache y PHP.</w:t>
            </w:r>
          </w:p>
        </w:tc>
        <w:tc>
          <w:tcPr>
            <w:tcW w:type="dxa" w:w="1872"/>
            <w:shd w:fill="F4F8FA"/>
          </w:tcPr>
          <w:p>
            <w:pPr>
              <w:spacing w:before="60" w:after="60" w:line="252" w:lineRule="auto"/>
              <w:jc w:val="left"/>
            </w:pPr>
            <w:r>
              <w:rPr>
                <w:rFonts w:ascii="Calibri" w:hAnsi="Calibri"/>
                <w:color w:val="222222"/>
                <w:sz w:val="17"/>
              </w:rPr>
              <w:t>Desactivar directivas ServerTokens y ServerSignature en httpd.conf.</w:t>
            </w:r>
          </w:p>
        </w:tc>
      </w:tr>
    </w:tbl>
    <w:p>
      <w:pPr>
        <w:spacing w:after="160"/>
      </w:pPr>
    </w:p>
    <w:p>
      <w:pPr>
        <w:pStyle w:val="Ttulo2"/>
        <w:keepNext/>
        <w:spacing w:before="240" w:after="120"/>
      </w:pPr>
      <w:bookmarkStart w:id="1019" w:name="_Toc1019"/>
      <w:r>
        <w:rPr>
          <w:rFonts w:ascii="Calibri" w:hAnsi="Calibri"/>
          <w:b/>
          <w:color w:val="0F4761"/>
          <w:sz w:val="25"/>
        </w:rPr>
        <w:t>9.1. Plan de Acción y Cronograma de Hardening en Tres Fases</w:t>
      </w:r>
      <w:bookmarkEnd w:id="1019"/>
    </w:p>
    <w:p>
      <w:pPr>
        <w:spacing w:before="0" w:after="120" w:line="276" w:lineRule="auto"/>
        <w:ind w:firstLine="432"/>
        <w:jc w:val="both"/>
      </w:pPr>
      <w:r>
        <w:rPr>
          <w:rFonts w:ascii="Calibri" w:hAnsi="Calibri"/>
          <w:color w:val="222222"/>
          <w:sz w:val="22"/>
        </w:rPr>
        <w:t>Para garantizar una remediación estructurada y costo-eficiente, se recomienda a la Dirección de Tecnologías de Información del instituto adoptar el siguiente plan de remediación:</w:t>
      </w:r>
    </w:p>
    <w:p>
      <w:pPr>
        <w:spacing w:before="0" w:after="160" w:line="276" w:lineRule="auto"/>
        <w:jc w:val="both"/>
      </w:pPr>
      <w:r>
        <w:rPr>
          <w:rFonts w:ascii="Calibri" w:hAnsi="Calibri"/>
          <w:b/>
          <w:color w:val="222222"/>
          <w:sz w:val="22"/>
        </w:rPr>
        <w:t xml:space="preserve">Fase 1: Remediación Inmediata (Primeros 7 días): </w:t>
      </w:r>
      <w:r>
        <w:rPr>
          <w:rFonts w:ascii="Calibri" w:hAnsi="Calibri"/>
          <w:color w:val="222222"/>
          <w:sz w:val="22"/>
        </w:rPr>
        <w:t>1. Desplegar un registro DMARC estricto en el servidor DNS institucional para neutralizar el riesgo de phishing.</w:t>
        <w:br/>
        <w:t>2. Configurar encabezados HTTP defensivos (X-Content-Type-Options: nosniff, X-Frame-Options: SAMEORIGIN y X-Robots-Tag: noindex).</w:t>
        <w:br/>
        <w:t>3. Saneamiento inmediato de directorios públicos en servidores Apache, bloqueando el listado abierto (Options -Indexes).</w:t>
      </w:r>
    </w:p>
    <w:p>
      <w:pPr>
        <w:spacing w:before="0" w:after="160" w:line="276" w:lineRule="auto"/>
        <w:jc w:val="both"/>
      </w:pPr>
      <w:r>
        <w:rPr>
          <w:rFonts w:ascii="Calibri" w:hAnsi="Calibri"/>
          <w:b/>
          <w:color w:val="222222"/>
          <w:sz w:val="22"/>
        </w:rPr>
        <w:t xml:space="preserve">Fase 2: Fortalecimiento Perimetral (1 a 3 meses): </w:t>
      </w:r>
      <w:r>
        <w:rPr>
          <w:rFonts w:ascii="Calibri" w:hAnsi="Calibri"/>
          <w:color w:val="222222"/>
          <w:sz w:val="22"/>
        </w:rPr>
        <w:t>1. Implementar autenticación multifactor (MFA) obligatoria en Moodle y en las cuentas de correo electrónico institucional.</w:t>
        <w:br/>
        <w:t>2. Configuración de un Web Application Firewall (WAF) administrado (como Cloudflare o Azure Front Door) para proteger los portales web.</w:t>
        <w:br/>
        <w:t>3. Segmentación de zonas DNS públicas y privadas para evitar que subdominios internos se publiquen en registros globales.</w:t>
      </w:r>
    </w:p>
    <w:p>
      <w:pPr>
        <w:spacing w:before="0" w:after="160" w:line="276" w:lineRule="auto"/>
        <w:jc w:val="both"/>
      </w:pPr>
      <w:r>
        <w:rPr>
          <w:rFonts w:ascii="Calibri" w:hAnsi="Calibri"/>
          <w:b/>
          <w:color w:val="222222"/>
          <w:sz w:val="22"/>
        </w:rPr>
        <w:t xml:space="preserve">Fase 3: Madurez y Resiliencia Continua (Largo Plazo): </w:t>
      </w:r>
      <w:r>
        <w:rPr>
          <w:rFonts w:ascii="Calibri" w:hAnsi="Calibri"/>
          <w:color w:val="222222"/>
          <w:sz w:val="22"/>
        </w:rPr>
        <w:t>1. Establecer un programa continuo de Gestión de Superficie de Ataque Externa (EASM) con escaneos pasivos periódicos.</w:t>
        <w:br/>
        <w:t>2. Capacitación continua en concientización sobre ciberseguridad e ingeniería social para docentes y estudiantes.</w:t>
        <w:br/>
        <w:t>3. Formalización de un Programa de Divulgación Coordinada de Vulnerabilidades (Vulnerability Disclosure Program).</w:t>
      </w:r>
    </w:p>
    <w:p>
      <w:r>
        <w:br w:type="page"/>
      </w:r>
    </w:p>
    <w:p>
      <w:pPr>
        <w:pStyle w:val="Ttulo1"/>
        <w:keepNext/>
        <w:spacing w:before="320" w:after="160"/>
      </w:pPr>
      <w:bookmarkStart w:id="1020" w:name="_Toc1020"/>
      <w:r>
        <w:rPr>
          <w:rFonts w:ascii="Calibri" w:hAnsi="Calibri"/>
          <w:b/>
          <w:color w:val="0F4761"/>
          <w:sz w:val="32"/>
        </w:rPr>
        <w:t>10. Conclusiones</w:t>
      </w:r>
      <w:bookmarkEnd w:id="1020"/>
    </w:p>
    <w:p>
      <w:pPr>
        <w:spacing w:before="0" w:after="120" w:line="276" w:lineRule="auto"/>
        <w:ind w:firstLine="432"/>
        <w:jc w:val="both"/>
      </w:pPr>
      <w:r>
        <w:rPr>
          <w:rFonts w:ascii="Calibri" w:hAnsi="Calibri"/>
          <w:color w:val="222222"/>
          <w:sz w:val="22"/>
        </w:rPr>
        <w:t>Al concluir este informe final sobre la fase de reconocimiento entendí que la información pública expuesta en Internet es a menudo el vector más peligroso y descuidado de cualquier organización. Antes de realizar esta práctica, solía asociar el pentesting principalmente con la ejecución de exploits o ataques directos de fuerza bruta; sin embargo, al profundizar en la metodología OSINT y ver todo lo que se puede descubrir sin enviar un solo paquete agresivo —desde subdominios ocultos en certificados SSL hasta documentos internos mediante Google Dorks— me di cuenta de que el verdadero éxito de una auditoría de seguridad se decide en esta etapa previa de recopilación de inteligencia.</w:t>
      </w:r>
    </w:p>
    <w:p>
      <w:pPr>
        <w:spacing w:before="0" w:after="120" w:line="276" w:lineRule="auto"/>
        <w:ind w:firstLine="432"/>
        <w:jc w:val="both"/>
      </w:pPr>
      <w:r>
        <w:rPr>
          <w:rFonts w:ascii="Calibri" w:hAnsi="Calibri"/>
          <w:color w:val="222222"/>
          <w:sz w:val="22"/>
        </w:rPr>
        <w:t>Comprendí la enorme importancia de presentar los resultados con un enfoque profesional y estructurado. Descubrí que para la alta dirección y los responsables de TI no basta con entregar una lista desordenada de comandos, sino que es indispensable traducir los hallazgos técnicos en riesgos reales de negocio y mapearlos contra estándares reconocidos como MITRE ATT&amp;CK. Verificar que la ausencia de un simple registro DMARC puede abrirle la puerta a un atacante para suplantar la identidad del instituto y lanzar campañas de phishing me demostró que el aseguramiento perimetral requiere una visión integral que combine tecnología, procesos y factor humano.</w:t>
      </w:r>
    </w:p>
    <w:p>
      <w:pPr>
        <w:spacing w:before="0" w:after="120" w:line="276" w:lineRule="auto"/>
        <w:ind w:firstLine="432"/>
        <w:jc w:val="both"/>
      </w:pPr>
      <w:r>
        <w:rPr>
          <w:rFonts w:ascii="Calibri" w:hAnsi="Calibri"/>
          <w:color w:val="222222"/>
          <w:sz w:val="22"/>
        </w:rPr>
        <w:t>Me quedo con la satisfacción de haber desarrollado un análisis exhaustivo y riguroso. Como futuro ingeniero en sistemas del Tecnológico de Progreso, esta práctica consolidó mi convicción de que la ciberseguridad defensiva debe comenzar por conocer a fondo nuestra propia superficie de exposición para blindarla proactivamente antes de que otros intenten vulnerarla.</w:t>
      </w:r>
    </w:p>
    <w:p>
      <w:r>
        <w:br w:type="page"/>
      </w:r>
    </w:p>
    <w:p>
      <w:pPr>
        <w:pStyle w:val="Ttulo1"/>
        <w:keepNext/>
        <w:spacing w:before="320" w:after="160"/>
      </w:pPr>
      <w:bookmarkStart w:id="1021" w:name="_Toc1021"/>
      <w:r>
        <w:rPr>
          <w:rFonts w:ascii="Calibri" w:hAnsi="Calibri"/>
          <w:b/>
          <w:color w:val="0F4761"/>
          <w:sz w:val="32"/>
        </w:rPr>
        <w:t>11. Referencias Bibliográficas</w:t>
      </w:r>
      <w:bookmarkEnd w:id="1021"/>
    </w:p>
    <w:p>
      <w:pPr>
        <w:spacing w:before="80" w:after="120" w:line="276" w:lineRule="auto"/>
        <w:ind w:left="720" w:hanging="720"/>
        <w:jc w:val="both"/>
      </w:pPr>
      <w:r>
        <w:rPr>
          <w:rFonts w:ascii="Calibri" w:hAnsi="Calibri"/>
          <w:color w:val="333333"/>
          <w:sz w:val="20"/>
        </w:rPr>
        <w:t>EC-Council. (2023). Certified Ethical Hacker (CEH) Version 12: Module 02 Footprinting and Reconnaissance. International Council of E-Commerce Consultants.</w:t>
      </w:r>
    </w:p>
    <w:p>
      <w:pPr>
        <w:spacing w:before="80" w:after="120" w:line="276" w:lineRule="auto"/>
        <w:ind w:left="720" w:hanging="720"/>
        <w:jc w:val="both"/>
      </w:pPr>
      <w:r>
        <w:rPr>
          <w:rFonts w:ascii="Calibri" w:hAnsi="Calibri"/>
          <w:color w:val="333333"/>
          <w:sz w:val="20"/>
        </w:rPr>
        <w:t>Internet Engineering Task Force [IETF]. (2015). Domain-based Message Authentication, Reporting, and Conformance (DMARC) (RFC 7489). IETF. https://doi.org/10.17487/RFC7489</w:t>
      </w:r>
    </w:p>
    <w:p>
      <w:pPr>
        <w:spacing w:before="80" w:after="120" w:line="276" w:lineRule="auto"/>
        <w:ind w:left="720" w:hanging="720"/>
        <w:jc w:val="both"/>
      </w:pPr>
      <w:r>
        <w:rPr>
          <w:rFonts w:ascii="Calibri" w:hAnsi="Calibri"/>
          <w:color w:val="333333"/>
          <w:sz w:val="20"/>
        </w:rPr>
        <w:t>MITRE Corporation. (2024). MITRE ATT&amp;CK for Enterprise: Reconnaissance (TA0043) and Resource Development (TA0042). The MITRE Corporation. https://attack.mitre.org/tactics/TA0043/</w:t>
      </w:r>
    </w:p>
    <w:p>
      <w:pPr>
        <w:spacing w:before="80" w:after="120" w:line="276" w:lineRule="auto"/>
        <w:ind w:left="720" w:hanging="720"/>
        <w:jc w:val="both"/>
      </w:pPr>
      <w:r>
        <w:rPr>
          <w:rFonts w:ascii="Calibri" w:hAnsi="Calibri"/>
          <w:color w:val="333333"/>
          <w:sz w:val="20"/>
        </w:rPr>
        <w:t>National Institute of Standards and Technology [NIST]. (2008). Technical Guide to Information Security Testing and Assessment (NIST Special Publication 800-115). U.S. Department of Commerce. https://doi.org/10.6028/NIST.SP.800-115</w:t>
      </w:r>
    </w:p>
    <w:p>
      <w:pPr>
        <w:spacing w:before="80" w:after="120" w:line="276" w:lineRule="auto"/>
        <w:ind w:left="720" w:hanging="720"/>
        <w:jc w:val="both"/>
      </w:pPr>
      <w:r>
        <w:rPr>
          <w:rFonts w:ascii="Calibri" w:hAnsi="Calibri"/>
          <w:color w:val="333333"/>
          <w:sz w:val="20"/>
        </w:rPr>
        <w:t>OWASP Foundation. (2023). Web Security Testing Guide (WSTG - Version 4.2): Information Gathering (WSTG-INFO-01 to WSTG-INFO-10). OWASP. https://owasp.org/www-project-web-security-testing-guide/</w:t>
      </w:r>
    </w:p>
    <w:p>
      <w:pPr>
        <w:spacing w:before="80" w:after="120" w:line="276" w:lineRule="auto"/>
        <w:ind w:left="720" w:hanging="720"/>
        <w:jc w:val="both"/>
      </w:pPr>
      <w:r>
        <w:rPr>
          <w:rFonts w:ascii="Calibri" w:hAnsi="Calibri"/>
          <w:color w:val="333333"/>
          <w:sz w:val="20"/>
        </w:rPr>
        <w:t>Penetration Testing Execution Standard [PTES]. (2017). The Penetration Testing Execution Standard: Intelligence Gathering. PTES Team. http://www.pentest-standard.org/index.php/Intelligence_Gathering</w:t>
      </w:r>
    </w:p>
    <w:p>
      <w:pPr>
        <w:spacing w:before="80" w:after="120" w:line="276" w:lineRule="auto"/>
        <w:ind w:left="720" w:hanging="720"/>
        <w:jc w:val="both"/>
      </w:pPr>
      <w:r>
        <w:rPr>
          <w:rFonts w:ascii="Calibri" w:hAnsi="Calibri"/>
          <w:color w:val="333333"/>
          <w:sz w:val="20"/>
        </w:rPr>
        <w:t>SpiderFoot. (2024). SpiderFoot: Open Source Intelligence (OSINT) Automation Tool Documentation (v4.0). SpiderFoot Community. https://www.spiderfoot.net/documentation/</w:t>
      </w:r>
    </w:p>
    <w:sectPr w:rsidR="005C09A7" w:rsidSect="007E746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B4558" w14:textId="77777777" w:rsidR="00E66AC0" w:rsidRDefault="00E66AC0" w:rsidP="00E43230">
      <w:pPr>
        <w:spacing w:after="0" w:line="240" w:lineRule="auto"/>
      </w:pPr>
      <w:r>
        <w:separator/>
      </w:r>
    </w:p>
  </w:endnote>
  <w:endnote w:type="continuationSeparator" w:id="0">
    <w:p w14:paraId="097597BB" w14:textId="77777777" w:rsidR="00E66AC0" w:rsidRDefault="00E66AC0" w:rsidP="00E43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gona Book">
    <w:charset w:val="00"/>
    <w:family w:val="roman"/>
    <w:pitch w:val="variable"/>
    <w:sig w:usb0="8000002F" w:usb1="0000000A" w:usb2="00000000" w:usb3="00000000" w:csb0="00000001" w:csb1="00000000"/>
  </w:font>
  <w:font w:name="Georgia">
    <w:panose1 w:val="02040502050405020303"/>
    <w:charset w:val="00"/>
    <w:family w:val="roman"/>
    <w:pitch w:val="variable"/>
    <w:sig w:usb0="00000287" w:usb1="00000000" w:usb2="00000000" w:usb3="00000000" w:csb0="0000009F" w:csb1="00000000"/>
  </w:font>
  <w:font w:name="Noto Sans">
    <w:altName w:val="Arial"/>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EEFE2" w14:textId="77777777" w:rsidR="008D6442" w:rsidRDefault="008D644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6ED5E" w14:textId="219BBA1C" w:rsidR="00E43230" w:rsidRDefault="00BA4DA7">
    <w:pPr>
      <w:pStyle w:val="Piedepgina"/>
    </w:pPr>
    <w:r>
      <w:rPr>
        <w:noProof/>
      </w:rPr>
      <w:drawing>
        <wp:anchor distT="0" distB="0" distL="114300" distR="114300" simplePos="0" relativeHeight="251671552" behindDoc="0" locked="0" layoutInCell="1" allowOverlap="1" wp14:anchorId="60ABBDBF" wp14:editId="0EAF435C">
          <wp:simplePos x="0" y="0"/>
          <wp:positionH relativeFrom="column">
            <wp:posOffset>-351790</wp:posOffset>
          </wp:positionH>
          <wp:positionV relativeFrom="paragraph">
            <wp:posOffset>-86360</wp:posOffset>
          </wp:positionV>
          <wp:extent cx="1385570" cy="680720"/>
          <wp:effectExtent l="0" t="0" r="5080" b="5080"/>
          <wp:wrapNone/>
          <wp:docPr id="1" name="Imagen 1" descr="Poder Judicial - Poder Judicial CD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der Judicial - Poder Judicial CDMX"/>
                  <pic:cNvPicPr>
                    <a:picLocks noChangeAspect="1" noChangeArrowheads="1"/>
                  </pic:cNvPicPr>
                </pic:nvPicPr>
                <pic:blipFill rotWithShape="1">
                  <a:blip r:embed="rId1">
                    <a:extLst>
                      <a:ext uri="{28A0092B-C50C-407E-A947-70E740481C1C}">
                        <a14:useLocalDpi xmlns:a14="http://schemas.microsoft.com/office/drawing/2010/main" val="0"/>
                      </a:ext>
                    </a:extLst>
                  </a:blip>
                  <a:srcRect l="23341" t="10852" r="19891" b="12604"/>
                  <a:stretch>
                    <a:fillRect/>
                  </a:stretch>
                </pic:blipFill>
                <pic:spPr bwMode="auto">
                  <a:xfrm>
                    <a:off x="0" y="0"/>
                    <a:ext cx="1385570" cy="680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746F">
      <w:rPr>
        <w:rFonts w:ascii="Times New Roman" w:eastAsia="Aptos" w:hAnsi="Times New Roman" w:cs="Times New Roman"/>
        <w:noProof/>
      </w:rPr>
      <mc:AlternateContent>
        <mc:Choice Requires="wps">
          <w:drawing>
            <wp:anchor distT="45720" distB="45720" distL="114300" distR="114300" simplePos="0" relativeHeight="251666432" behindDoc="0" locked="0" layoutInCell="1" allowOverlap="1" wp14:anchorId="6AE51D3F" wp14:editId="2BF91BE1">
              <wp:simplePos x="0" y="0"/>
              <wp:positionH relativeFrom="page">
                <wp:posOffset>2030730</wp:posOffset>
              </wp:positionH>
              <wp:positionV relativeFrom="paragraph">
                <wp:posOffset>45085</wp:posOffset>
              </wp:positionV>
              <wp:extent cx="3347720" cy="44450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7720" cy="444500"/>
                      </a:xfrm>
                      <a:prstGeom prst="rect">
                        <a:avLst/>
                      </a:prstGeom>
                      <a:noFill/>
                      <a:ln w="9525">
                        <a:noFill/>
                        <a:miter lim="800000"/>
                        <a:headEnd/>
                        <a:tailEnd/>
                      </a:ln>
                    </wps:spPr>
                    <wps:txbx>
                      <w:txbxContent>
                        <w:p w14:paraId="7E6CF2A4" w14:textId="77777777" w:rsidR="007E746F" w:rsidRPr="00B96883" w:rsidRDefault="007E746F" w:rsidP="007E746F">
                          <w:pPr>
                            <w:pStyle w:val="Piedepgina"/>
                            <w:tabs>
                              <w:tab w:val="left" w:pos="708"/>
                            </w:tabs>
                            <w:ind w:right="759"/>
                            <w:rPr>
                              <w:rFonts w:ascii="Noto Sans" w:hAnsi="Noto Sans" w:cs="Noto Sans"/>
                              <w:b/>
                              <w:bCs/>
                              <w:color w:val="4D192A"/>
                              <w:sz w:val="13"/>
                              <w:szCs w:val="13"/>
                            </w:rPr>
                          </w:pPr>
                          <w:r w:rsidRPr="00FF3D22">
                            <w:rPr>
                              <w:rFonts w:ascii="Noto Sans" w:hAnsi="Noto Sans" w:cs="Noto Sans"/>
                              <w:b/>
                              <w:bCs/>
                              <w:color w:val="4D192A"/>
                              <w:sz w:val="13"/>
                              <w:szCs w:val="13"/>
                            </w:rPr>
                            <w:t>Boulevard Tecnológico de Progreso SN x 62, Progreso, Yucatán, C.P. 97320 Tel. 969 934 3023</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E-mail:</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dir01_dprogreso@tecnm.mx    www.progreso.tecnm.mx</w:t>
                          </w:r>
                        </w:p>
                        <w:p w14:paraId="34A58A5F" w14:textId="77777777" w:rsidR="007E746F" w:rsidRPr="00B96883" w:rsidRDefault="007E746F" w:rsidP="007E746F">
                          <w:pPr>
                            <w:pStyle w:val="Piedepgina"/>
                            <w:tabs>
                              <w:tab w:val="left" w:pos="708"/>
                            </w:tabs>
                            <w:spacing w:line="276" w:lineRule="auto"/>
                            <w:rPr>
                              <w:rFonts w:ascii="Noto Sans" w:hAnsi="Noto Sans" w:cs="Noto Sans"/>
                              <w:b/>
                              <w:bCs/>
                              <w:color w:val="4D192A"/>
                              <w:sz w:val="13"/>
                              <w:szCs w:val="13"/>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E51D3F" id="_x0000_t202" coordsize="21600,21600" o:spt="202" path="m,l,21600r21600,l21600,xe">
              <v:stroke joinstyle="miter"/>
              <v:path gradientshapeok="t" o:connecttype="rect"/>
            </v:shapetype>
            <v:shape id="Cuadro de texto 2" o:spid="_x0000_s1027" type="#_x0000_t202" style="position:absolute;margin-left:159.9pt;margin-top:3.55pt;width:263.6pt;height:35pt;z-index:251666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fA9wEAAM0DAAAOAAAAZHJzL2Uyb0RvYy54bWysU8tu2zAQvBfoPxC815IduUkEy0GaNEWB&#10;9AGk/YA1RVlESS5L0pbcr++SchyjvRXVgSC13Nmd2eHqZjSa7aUPCm3D57OSM2kFtspuG/7928Ob&#10;K85CBNuCRisbfpCB36xfv1oNrpYL7FG30jMCsaEeXMP7GF1dFEH00kCYoZOWgh16A5GOflu0HgZC&#10;N7pYlOXbYkDfOo9ChkB/76cgX2f8rpMifum6ICPTDafeYl59XjdpLdYrqLceXK/EsQ34hy4MKEtF&#10;T1D3EIHtvPoLyijhMWAXZwJNgV2nhMwciM28/IPNUw9OZi4kTnAnmcL/gxWf90/uq2dxfIcjDTCT&#10;CO4RxY/ALN71YLfy1nscegktFZ4nyYrBhfqYmqQOdUggm+ETtjRk2EXMQGPnTVKFeDJCpwEcTqLL&#10;MTJBPy8uqsvLBYUExaqqWpZ5KgXUz9nOh/hBomFp03BPQ83osH8MMXUD9fOVVMzig9I6D1ZbNjT8&#10;erlY5oSziFGRfKeVafhVmb7JCYnke9vm5AhKT3sqoO2RdSI6UY7jZqSLif0G2wPx9zj5i94DbXr0&#10;vzgbyFsNDz934CVn+qMlDa/nVZXMmA/VMrP355HNeQSsIKiGR86m7V3MBp643pLWncoyvHRy7JU8&#10;k9U5+juZ8vycb728wvVvAAAA//8DAFBLAwQUAAYACAAAACEAyqYcBdsAAAAIAQAADwAAAGRycy9k&#10;b3ducmV2LnhtbEyPwU7DMBBE70j8g7VI3KgdKLQNcSoE4gqiQKXetvE2iYjXUew24e9ZTnCcndHs&#10;m2I9+U6daIhtYAvZzIAiroJrubbw8f58tQQVE7LDLjBZ+KYI6/L8rMDchZHf6LRJtZISjjlaaFLq&#10;c61j1ZDHOAs9sXiHMHhMIodauwFHKfedvjbmTntsWT402NNjQ9XX5ugtfL4cdtu5ea2f/G0/hslo&#10;9itt7eXF9HAPKtGU/sLwiy/oUArTPhzZRdVZuMlWgp4sLDJQ4i/nC9m2Fy0HXRb6/4DyBwAA//8D&#10;AFBLAQItABQABgAIAAAAIQC2gziS/gAAAOEBAAATAAAAAAAAAAAAAAAAAAAAAABbQ29udGVudF9U&#10;eXBlc10ueG1sUEsBAi0AFAAGAAgAAAAhADj9If/WAAAAlAEAAAsAAAAAAAAAAAAAAAAALwEAAF9y&#10;ZWxzLy5yZWxzUEsBAi0AFAAGAAgAAAAhAGOqB8D3AQAAzQMAAA4AAAAAAAAAAAAAAAAALgIAAGRy&#10;cy9lMm9Eb2MueG1sUEsBAi0AFAAGAAgAAAAhAMqmHAXbAAAACAEAAA8AAAAAAAAAAAAAAAAAUQQA&#10;AGRycy9kb3ducmV2LnhtbFBLBQYAAAAABAAEAPMAAABZBQAAAAA=&#10;" filled="f" stroked="f">
              <v:textbox>
                <w:txbxContent>
                  <w:p w14:paraId="7E6CF2A4" w14:textId="77777777" w:rsidR="007E746F" w:rsidRPr="00B96883" w:rsidRDefault="007E746F" w:rsidP="007E746F">
                    <w:pPr>
                      <w:pStyle w:val="Piedepgina"/>
                      <w:tabs>
                        <w:tab w:val="left" w:pos="708"/>
                      </w:tabs>
                      <w:ind w:right="759"/>
                      <w:rPr>
                        <w:rFonts w:ascii="Noto Sans" w:hAnsi="Noto Sans" w:cs="Noto Sans"/>
                        <w:b/>
                        <w:bCs/>
                        <w:color w:val="4D192A"/>
                        <w:sz w:val="13"/>
                        <w:szCs w:val="13"/>
                      </w:rPr>
                    </w:pPr>
                    <w:r w:rsidRPr="00FF3D22">
                      <w:rPr>
                        <w:rFonts w:ascii="Noto Sans" w:hAnsi="Noto Sans" w:cs="Noto Sans"/>
                        <w:b/>
                        <w:bCs/>
                        <w:color w:val="4D192A"/>
                        <w:sz w:val="13"/>
                        <w:szCs w:val="13"/>
                      </w:rPr>
                      <w:t>Boulevard Tecnológico de Progreso SN x 62, Progreso, Yucatán, C.P. 97320 Tel. 969 934 3023</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E-mail:</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dir01_dprogreso@tecnm.mx    www.progreso.tecnm.mx</w:t>
                    </w:r>
                  </w:p>
                  <w:p w14:paraId="34A58A5F" w14:textId="77777777" w:rsidR="007E746F" w:rsidRPr="00B96883" w:rsidRDefault="007E746F" w:rsidP="007E746F">
                    <w:pPr>
                      <w:pStyle w:val="Piedepgina"/>
                      <w:tabs>
                        <w:tab w:val="left" w:pos="708"/>
                      </w:tabs>
                      <w:spacing w:line="276" w:lineRule="auto"/>
                      <w:rPr>
                        <w:rFonts w:ascii="Noto Sans" w:hAnsi="Noto Sans" w:cs="Noto Sans"/>
                        <w:b/>
                        <w:bCs/>
                        <w:color w:val="4D192A"/>
                        <w:sz w:val="13"/>
                        <w:szCs w:val="13"/>
                      </w:rPr>
                    </w:pPr>
                  </w:p>
                </w:txbxContent>
              </v:textbox>
              <w10:wrap anchorx="page"/>
            </v:shape>
          </w:pict>
        </mc:Fallback>
      </mc:AlternateContent>
    </w:r>
    <w:r w:rsidRPr="007E746F">
      <w:rPr>
        <w:rFonts w:ascii="Times New Roman" w:eastAsia="Aptos" w:hAnsi="Times New Roman" w:cs="Times New Roman"/>
        <w:noProof/>
      </w:rPr>
      <w:drawing>
        <wp:anchor distT="0" distB="0" distL="114300" distR="114300" simplePos="0" relativeHeight="251670528" behindDoc="1" locked="0" layoutInCell="1" allowOverlap="1" wp14:anchorId="1474C56B" wp14:editId="56DE5F41">
          <wp:simplePos x="0" y="0"/>
          <wp:positionH relativeFrom="margin">
            <wp:posOffset>4790440</wp:posOffset>
          </wp:positionH>
          <wp:positionV relativeFrom="paragraph">
            <wp:posOffset>-337185</wp:posOffset>
          </wp:positionV>
          <wp:extent cx="1534795" cy="1266825"/>
          <wp:effectExtent l="0" t="0" r="0" b="0"/>
          <wp:wrapNone/>
          <wp:docPr id="35" name="Imagen 35" descr="Macintosh HD:Users:itsprogreso:Documents:logos-acreditaciones-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n 35" descr="Macintosh HD:Users:itsprogreso:Documents:logos-acreditaciones-01.png"/>
                  <pic:cNvPicPr>
                    <a:picLocks/>
                  </pic:cNvPicPr>
                </pic:nvPicPr>
                <pic:blipFill rotWithShape="1">
                  <a:blip r:embed="rId2">
                    <a:extLst>
                      <a:ext uri="{28A0092B-C50C-407E-A947-70E740481C1C}">
                        <a14:useLocalDpi xmlns:a14="http://schemas.microsoft.com/office/drawing/2010/main" val="0"/>
                      </a:ext>
                    </a:extLst>
                  </a:blip>
                  <a:srcRect l="17353" r="18672"/>
                  <a:stretch/>
                </pic:blipFill>
                <pic:spPr bwMode="auto">
                  <a:xfrm>
                    <a:off x="0" y="0"/>
                    <a:ext cx="1534795" cy="1266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E746F">
      <w:rPr>
        <w:rFonts w:ascii="Times New Roman" w:eastAsia="Aptos" w:hAnsi="Times New Roman" w:cs="Times New Roman"/>
        <w:noProof/>
      </w:rPr>
      <w:drawing>
        <wp:anchor distT="0" distB="0" distL="114300" distR="114300" simplePos="0" relativeHeight="251668480" behindDoc="0" locked="0" layoutInCell="1" allowOverlap="1" wp14:anchorId="6D71D17A" wp14:editId="54D3A7EF">
          <wp:simplePos x="0" y="0"/>
          <wp:positionH relativeFrom="margin">
            <wp:posOffset>5432425</wp:posOffset>
          </wp:positionH>
          <wp:positionV relativeFrom="paragraph">
            <wp:posOffset>-320675</wp:posOffset>
          </wp:positionV>
          <wp:extent cx="766445" cy="452120"/>
          <wp:effectExtent l="0" t="0" r="0" b="5080"/>
          <wp:wrapNone/>
          <wp:docPr id="33" name="Imagen 3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Logotipo&#10;&#10;Descripción generada automáticamente"/>
                  <pic:cNvPicPr/>
                </pic:nvPicPr>
                <pic:blipFill>
                  <a:blip r:embed="rId3">
                    <a:extLst>
                      <a:ext uri="{28A0092B-C50C-407E-A947-70E740481C1C}">
                        <a14:useLocalDpi xmlns:a14="http://schemas.microsoft.com/office/drawing/2010/main" val="0"/>
                      </a:ext>
                    </a:extLst>
                  </a:blip>
                  <a:stretch>
                    <a:fillRect/>
                  </a:stretch>
                </pic:blipFill>
                <pic:spPr>
                  <a:xfrm>
                    <a:off x="0" y="0"/>
                    <a:ext cx="766445" cy="452120"/>
                  </a:xfrm>
                  <a:prstGeom prst="rect">
                    <a:avLst/>
                  </a:prstGeom>
                </pic:spPr>
              </pic:pic>
            </a:graphicData>
          </a:graphic>
          <wp14:sizeRelH relativeFrom="page">
            <wp14:pctWidth>0</wp14:pctWidth>
          </wp14:sizeRelH>
          <wp14:sizeRelV relativeFrom="page">
            <wp14:pctHeight>0</wp14:pctHeight>
          </wp14:sizeRelV>
        </wp:anchor>
      </w:drawing>
    </w:r>
    <w:r w:rsidRPr="007E746F">
      <w:rPr>
        <w:rFonts w:ascii="Times New Roman" w:eastAsia="Aptos" w:hAnsi="Times New Roman" w:cs="Times New Roman"/>
        <w:noProof/>
      </w:rPr>
      <w:drawing>
        <wp:anchor distT="0" distB="0" distL="114300" distR="114300" simplePos="0" relativeHeight="251667456" behindDoc="0" locked="0" layoutInCell="1" allowOverlap="1" wp14:anchorId="7B619785" wp14:editId="641A0235">
          <wp:simplePos x="0" y="0"/>
          <wp:positionH relativeFrom="margin">
            <wp:posOffset>4832985</wp:posOffset>
          </wp:positionH>
          <wp:positionV relativeFrom="paragraph">
            <wp:posOffset>-408305</wp:posOffset>
          </wp:positionV>
          <wp:extent cx="449580" cy="504190"/>
          <wp:effectExtent l="0" t="0" r="7620" b="0"/>
          <wp:wrapNone/>
          <wp:docPr id="32" name="Imagen 32" descr="Diagrama,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Diagrama, Círculo&#10;&#10;Descripción generada automáticamente"/>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449580" cy="504190"/>
                  </a:xfrm>
                  <a:prstGeom prst="rect">
                    <a:avLst/>
                  </a:prstGeom>
                </pic:spPr>
              </pic:pic>
            </a:graphicData>
          </a:graphic>
          <wp14:sizeRelH relativeFrom="margin">
            <wp14:pctWidth>0</wp14:pctWidth>
          </wp14:sizeRelH>
          <wp14:sizeRelV relativeFrom="margin">
            <wp14:pctHeight>0</wp14:pctHeight>
          </wp14:sizeRelV>
        </wp:anchor>
      </w:drawing>
    </w:r>
    <w:r w:rsidRPr="007E746F">
      <w:rPr>
        <w:rFonts w:ascii="Times New Roman" w:eastAsia="Aptos" w:hAnsi="Times New Roman" w:cs="Times New Roman"/>
        <w:noProof/>
      </w:rPr>
      <w:drawing>
        <wp:anchor distT="0" distB="0" distL="114300" distR="114300" simplePos="0" relativeHeight="251669504" behindDoc="0" locked="0" layoutInCell="1" allowOverlap="1" wp14:anchorId="7BDE69C5" wp14:editId="1218FFCC">
          <wp:simplePos x="0" y="0"/>
          <wp:positionH relativeFrom="margin">
            <wp:posOffset>4029710</wp:posOffset>
          </wp:positionH>
          <wp:positionV relativeFrom="paragraph">
            <wp:posOffset>-360045</wp:posOffset>
          </wp:positionV>
          <wp:extent cx="673100" cy="458470"/>
          <wp:effectExtent l="0" t="0" r="0" b="0"/>
          <wp:wrapNone/>
          <wp:docPr id="34" name="Imagen 3"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 descr="Logotipo&#10;&#10;Descripción generada automáticamente con confianza media"/>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673100" cy="4584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6C5F9521" wp14:editId="55BB6B87">
          <wp:simplePos x="0" y="0"/>
          <wp:positionH relativeFrom="column">
            <wp:posOffset>4154805</wp:posOffset>
          </wp:positionH>
          <wp:positionV relativeFrom="paragraph">
            <wp:posOffset>163830</wp:posOffset>
          </wp:positionV>
          <wp:extent cx="489585" cy="269240"/>
          <wp:effectExtent l="0" t="0" r="5715" b="0"/>
          <wp:wrapNone/>
          <wp:docPr id="3" name="Imagen 2" descr="INR México (@inrmexico)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R México (@inrmexico) • Facebook"/>
                  <pic:cNvPicPr>
                    <a:picLocks noChangeAspect="1" noChangeArrowheads="1"/>
                  </pic:cNvPicPr>
                </pic:nvPicPr>
                <pic:blipFill rotWithShape="1">
                  <a:blip r:embed="rId6">
                    <a:extLst>
                      <a:ext uri="{28A0092B-C50C-407E-A947-70E740481C1C}">
                        <a14:useLocalDpi xmlns:a14="http://schemas.microsoft.com/office/drawing/2010/main" val="0"/>
                      </a:ext>
                    </a:extLst>
                  </a:blip>
                  <a:srcRect l="5612" t="23648" r="2570" b="25862"/>
                  <a:stretch>
                    <a:fillRect/>
                  </a:stretch>
                </pic:blipFill>
                <pic:spPr bwMode="auto">
                  <a:xfrm>
                    <a:off x="0" y="0"/>
                    <a:ext cx="489585" cy="269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746F">
      <w:rPr>
        <w:rFonts w:ascii="Times New Roman" w:eastAsia="Aptos" w:hAnsi="Times New Roman" w:cs="Times New Roman"/>
        <w:noProof/>
      </w:rPr>
      <w:drawing>
        <wp:anchor distT="0" distB="0" distL="114300" distR="114300" simplePos="0" relativeHeight="251665408" behindDoc="1" locked="0" layoutInCell="1" allowOverlap="1" wp14:anchorId="78115467" wp14:editId="69FD717E">
          <wp:simplePos x="0" y="0"/>
          <wp:positionH relativeFrom="page">
            <wp:posOffset>2033270</wp:posOffset>
          </wp:positionH>
          <wp:positionV relativeFrom="paragraph">
            <wp:posOffset>20999</wp:posOffset>
          </wp:positionV>
          <wp:extent cx="5142865" cy="730250"/>
          <wp:effectExtent l="0" t="0" r="635" b="0"/>
          <wp:wrapNone/>
          <wp:docPr id="521638911" name="Imagen 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25937" name="Imagen 5" descr="Imagen que contiene Interfaz de usuario gráfica&#10;&#10;Descripción generada automáticamente"/>
                  <pic:cNvPicPr/>
                </pic:nvPicPr>
                <pic:blipFill rotWithShape="1">
                  <a:blip r:embed="rId7">
                    <a:extLst>
                      <a:ext uri="{28A0092B-C50C-407E-A947-70E740481C1C}">
                        <a14:useLocalDpi xmlns:a14="http://schemas.microsoft.com/office/drawing/2010/main" val="0"/>
                      </a:ext>
                    </a:extLst>
                  </a:blip>
                  <a:srcRect l="29101" t="86958" r="5437" b="5840"/>
                  <a:stretch>
                    <a:fillRect/>
                  </a:stretch>
                </pic:blipFill>
                <pic:spPr bwMode="auto">
                  <a:xfrm>
                    <a:off x="0" y="0"/>
                    <a:ext cx="5142865" cy="730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2799" w14:textId="77777777" w:rsidR="008D6442" w:rsidRDefault="008D64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C93AE" w14:textId="77777777" w:rsidR="00E66AC0" w:rsidRDefault="00E66AC0" w:rsidP="00E43230">
      <w:pPr>
        <w:spacing w:after="0" w:line="240" w:lineRule="auto"/>
      </w:pPr>
      <w:r>
        <w:separator/>
      </w:r>
    </w:p>
  </w:footnote>
  <w:footnote w:type="continuationSeparator" w:id="0">
    <w:p w14:paraId="659872D0" w14:textId="77777777" w:rsidR="00E66AC0" w:rsidRDefault="00E66AC0" w:rsidP="00E432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7D94" w14:textId="77777777" w:rsidR="008D6442" w:rsidRDefault="008D644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4F1B" w14:textId="6D391567" w:rsidR="00E43230" w:rsidRDefault="00E43230">
    <w:pPr>
      <w:pStyle w:val="Encabezado"/>
    </w:pPr>
    <w:r w:rsidRPr="00F96072">
      <w:rPr>
        <w:noProof/>
      </w:rPr>
      <w:drawing>
        <wp:anchor distT="0" distB="0" distL="114300" distR="114300" simplePos="0" relativeHeight="251661312" behindDoc="1" locked="0" layoutInCell="1" allowOverlap="1" wp14:anchorId="360B8EEB" wp14:editId="5D02246A">
          <wp:simplePos x="0" y="0"/>
          <wp:positionH relativeFrom="column">
            <wp:posOffset>0</wp:posOffset>
          </wp:positionH>
          <wp:positionV relativeFrom="paragraph">
            <wp:posOffset>-139065</wp:posOffset>
          </wp:positionV>
          <wp:extent cx="3404870" cy="424180"/>
          <wp:effectExtent l="0" t="0" r="5080" b="0"/>
          <wp:wrapNone/>
          <wp:docPr id="105876597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65975" name="Gráfico 1"/>
                  <pic:cNvPicPr/>
                </pic:nvPicPr>
                <pic:blipFill>
                  <a:blip r:embed="rId1">
                    <a:extLst>
                      <a:ext uri="{96DAC541-7B7A-43D3-8B79-37D633B846F1}">
                        <asvg:svgBlip xmlns:asvg="http://schemas.microsoft.com/office/drawing/2016/SVG/main" r:embed="rId2"/>
                      </a:ext>
                    </a:extLst>
                  </a:blip>
                  <a:stretch>
                    <a:fillRect/>
                  </a:stretch>
                </pic:blipFill>
                <pic:spPr>
                  <a:xfrm>
                    <a:off x="0" y="0"/>
                    <a:ext cx="3404870" cy="424180"/>
                  </a:xfrm>
                  <a:prstGeom prst="rect">
                    <a:avLst/>
                  </a:prstGeom>
                </pic:spPr>
              </pic:pic>
            </a:graphicData>
          </a:graphic>
          <wp14:sizeRelH relativeFrom="page">
            <wp14:pctWidth>0</wp14:pctWidth>
          </wp14:sizeRelH>
          <wp14:sizeRelV relativeFrom="page">
            <wp14:pctHeight>0</wp14:pctHeight>
          </wp14:sizeRelV>
        </wp:anchor>
      </w:drawing>
    </w:r>
    <w:r w:rsidRPr="00F96072">
      <w:rPr>
        <w:noProof/>
      </w:rPr>
      <w:drawing>
        <wp:anchor distT="0" distB="0" distL="114300" distR="114300" simplePos="0" relativeHeight="251662336" behindDoc="1" locked="0" layoutInCell="1" allowOverlap="1" wp14:anchorId="045782A8" wp14:editId="363BD37F">
          <wp:simplePos x="0" y="0"/>
          <wp:positionH relativeFrom="margin">
            <wp:posOffset>3512820</wp:posOffset>
          </wp:positionH>
          <wp:positionV relativeFrom="paragraph">
            <wp:posOffset>-47625</wp:posOffset>
          </wp:positionV>
          <wp:extent cx="1123950" cy="269240"/>
          <wp:effectExtent l="0" t="0" r="0" b="0"/>
          <wp:wrapNone/>
          <wp:docPr id="1901391535"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91535" name="Imagen 3" descr="Texto&#10;&#10;El contenido generado por IA puede ser incorrect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3950" cy="269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6072">
      <w:rPr>
        <w:noProof/>
      </w:rPr>
      <w:drawing>
        <wp:anchor distT="0" distB="0" distL="114300" distR="114300" simplePos="0" relativeHeight="251663360" behindDoc="1" locked="0" layoutInCell="1" allowOverlap="1" wp14:anchorId="1A642CCC" wp14:editId="302D7293">
          <wp:simplePos x="0" y="0"/>
          <wp:positionH relativeFrom="page">
            <wp:posOffset>5913120</wp:posOffset>
          </wp:positionH>
          <wp:positionV relativeFrom="paragraph">
            <wp:posOffset>-424815</wp:posOffset>
          </wp:positionV>
          <wp:extent cx="937260" cy="960120"/>
          <wp:effectExtent l="0" t="0" r="0" b="0"/>
          <wp:wrapNone/>
          <wp:docPr id="2118330470" name="Imagen 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30470" name="Imagen 5" descr="Imagen que contiene Interfaz de usuario gráfica&#10;&#10;Descripción generada automáticamente"/>
                  <pic:cNvPicPr/>
                </pic:nvPicPr>
                <pic:blipFill rotWithShape="1">
                  <a:blip r:embed="rId4">
                    <a:extLst>
                      <a:ext uri="{28A0092B-C50C-407E-A947-70E740481C1C}">
                        <a14:useLocalDpi xmlns:a14="http://schemas.microsoft.com/office/drawing/2010/main" val="0"/>
                      </a:ext>
                    </a:extLst>
                  </a:blip>
                  <a:srcRect l="82719" t="4077" r="5339" b="86469"/>
                  <a:stretch/>
                </pic:blipFill>
                <pic:spPr bwMode="auto">
                  <a:xfrm>
                    <a:off x="0" y="0"/>
                    <a:ext cx="937260" cy="960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5BC6" w14:textId="77777777" w:rsidR="008D6442" w:rsidRDefault="008D64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DEF"/>
    <w:multiLevelType w:val="multilevel"/>
    <w:tmpl w:val="7A28E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61E82"/>
    <w:multiLevelType w:val="multilevel"/>
    <w:tmpl w:val="10A2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C62DE"/>
    <w:multiLevelType w:val="multilevel"/>
    <w:tmpl w:val="742AF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2605C"/>
    <w:multiLevelType w:val="multilevel"/>
    <w:tmpl w:val="E6F01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56BED"/>
    <w:multiLevelType w:val="multilevel"/>
    <w:tmpl w:val="73DE8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139F7"/>
    <w:multiLevelType w:val="hybridMultilevel"/>
    <w:tmpl w:val="E89402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B3D3257"/>
    <w:multiLevelType w:val="multilevel"/>
    <w:tmpl w:val="F65E1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F380E"/>
    <w:multiLevelType w:val="multilevel"/>
    <w:tmpl w:val="4CAA7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94CA6"/>
    <w:multiLevelType w:val="multilevel"/>
    <w:tmpl w:val="70EC6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D0A61"/>
    <w:multiLevelType w:val="multilevel"/>
    <w:tmpl w:val="DF1A6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A525C"/>
    <w:multiLevelType w:val="multilevel"/>
    <w:tmpl w:val="94805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208A6"/>
    <w:multiLevelType w:val="hybridMultilevel"/>
    <w:tmpl w:val="15FA8A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14149149">
    <w:abstractNumId w:val="5"/>
  </w:num>
  <w:num w:numId="2" w16cid:durableId="132796454">
    <w:abstractNumId w:val="11"/>
  </w:num>
  <w:num w:numId="3" w16cid:durableId="1783374595">
    <w:abstractNumId w:val="6"/>
  </w:num>
  <w:num w:numId="4" w16cid:durableId="892696276">
    <w:abstractNumId w:val="1"/>
  </w:num>
  <w:num w:numId="5" w16cid:durableId="966086690">
    <w:abstractNumId w:val="0"/>
  </w:num>
  <w:num w:numId="6" w16cid:durableId="2015646217">
    <w:abstractNumId w:val="7"/>
  </w:num>
  <w:num w:numId="7" w16cid:durableId="2137792235">
    <w:abstractNumId w:val="8"/>
  </w:num>
  <w:num w:numId="8" w16cid:durableId="52002323">
    <w:abstractNumId w:val="4"/>
  </w:num>
  <w:num w:numId="9" w16cid:durableId="301272809">
    <w:abstractNumId w:val="2"/>
  </w:num>
  <w:num w:numId="10" w16cid:durableId="952595601">
    <w:abstractNumId w:val="9"/>
  </w:num>
  <w:num w:numId="11" w16cid:durableId="1717895918">
    <w:abstractNumId w:val="10"/>
  </w:num>
  <w:num w:numId="12" w16cid:durableId="19436836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230"/>
    <w:rsid w:val="000112DB"/>
    <w:rsid w:val="00016BD3"/>
    <w:rsid w:val="00026AA2"/>
    <w:rsid w:val="00033A11"/>
    <w:rsid w:val="0008049A"/>
    <w:rsid w:val="000B634B"/>
    <w:rsid w:val="000E3F1B"/>
    <w:rsid w:val="000E57EB"/>
    <w:rsid w:val="00133DD8"/>
    <w:rsid w:val="0015460A"/>
    <w:rsid w:val="001579C0"/>
    <w:rsid w:val="00164A96"/>
    <w:rsid w:val="00180483"/>
    <w:rsid w:val="001A48B0"/>
    <w:rsid w:val="00262404"/>
    <w:rsid w:val="00290D6A"/>
    <w:rsid w:val="002930EC"/>
    <w:rsid w:val="002E5A98"/>
    <w:rsid w:val="002F4548"/>
    <w:rsid w:val="00354371"/>
    <w:rsid w:val="00363102"/>
    <w:rsid w:val="003645AA"/>
    <w:rsid w:val="003D474E"/>
    <w:rsid w:val="003E4B07"/>
    <w:rsid w:val="004266AE"/>
    <w:rsid w:val="004E7E83"/>
    <w:rsid w:val="005A53E9"/>
    <w:rsid w:val="005C09A7"/>
    <w:rsid w:val="006342AF"/>
    <w:rsid w:val="00665831"/>
    <w:rsid w:val="006662F2"/>
    <w:rsid w:val="006F0C3B"/>
    <w:rsid w:val="007B4518"/>
    <w:rsid w:val="007D66EF"/>
    <w:rsid w:val="007D7B8B"/>
    <w:rsid w:val="007E072F"/>
    <w:rsid w:val="007E746F"/>
    <w:rsid w:val="00866EE5"/>
    <w:rsid w:val="00880ABF"/>
    <w:rsid w:val="00887018"/>
    <w:rsid w:val="008A77BD"/>
    <w:rsid w:val="008D6442"/>
    <w:rsid w:val="00974500"/>
    <w:rsid w:val="00981B0A"/>
    <w:rsid w:val="009F663D"/>
    <w:rsid w:val="00A1068A"/>
    <w:rsid w:val="00A710C7"/>
    <w:rsid w:val="00A97764"/>
    <w:rsid w:val="00AB20B2"/>
    <w:rsid w:val="00AC3015"/>
    <w:rsid w:val="00B22549"/>
    <w:rsid w:val="00B662AA"/>
    <w:rsid w:val="00B703DA"/>
    <w:rsid w:val="00B972F2"/>
    <w:rsid w:val="00BA4DA7"/>
    <w:rsid w:val="00C248F9"/>
    <w:rsid w:val="00C339A1"/>
    <w:rsid w:val="00C4609C"/>
    <w:rsid w:val="00C52EC9"/>
    <w:rsid w:val="00C54805"/>
    <w:rsid w:val="00C90DF7"/>
    <w:rsid w:val="00CE00CC"/>
    <w:rsid w:val="00D34B53"/>
    <w:rsid w:val="00D54621"/>
    <w:rsid w:val="00DA3D0F"/>
    <w:rsid w:val="00DC11C1"/>
    <w:rsid w:val="00DC74D3"/>
    <w:rsid w:val="00DD3064"/>
    <w:rsid w:val="00DF5A99"/>
    <w:rsid w:val="00E139F6"/>
    <w:rsid w:val="00E20F98"/>
    <w:rsid w:val="00E21118"/>
    <w:rsid w:val="00E43230"/>
    <w:rsid w:val="00E54910"/>
    <w:rsid w:val="00E66AC0"/>
    <w:rsid w:val="00EC1653"/>
    <w:rsid w:val="00ED1743"/>
    <w:rsid w:val="00F37E12"/>
    <w:rsid w:val="00F81EB0"/>
    <w:rsid w:val="00F82797"/>
    <w:rsid w:val="00FC75D7"/>
    <w:rsid w:val="00FE2C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BEE67"/>
  <w15:chartTrackingRefBased/>
  <w15:docId w15:val="{665C7D03-A278-4D67-A123-9FE4518121EC}"/>
  <w:updateFields xmlns:w="http://schemas.openxmlformats.org/wordprocessingml/2006/mai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3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43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32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32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32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32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32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32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32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32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432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32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32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32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32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32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32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3230"/>
    <w:rPr>
      <w:rFonts w:eastAsiaTheme="majorEastAsia" w:cstheme="majorBidi"/>
      <w:color w:val="272727" w:themeColor="text1" w:themeTint="D8"/>
    </w:rPr>
  </w:style>
  <w:style w:type="paragraph" w:styleId="Ttulo">
    <w:name w:val="Title"/>
    <w:basedOn w:val="Normal"/>
    <w:next w:val="Normal"/>
    <w:link w:val="TtuloCar"/>
    <w:uiPriority w:val="10"/>
    <w:qFormat/>
    <w:rsid w:val="00E43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32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32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32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3230"/>
    <w:pPr>
      <w:spacing w:before="160"/>
      <w:jc w:val="center"/>
    </w:pPr>
    <w:rPr>
      <w:i/>
      <w:iCs/>
      <w:color w:val="404040" w:themeColor="text1" w:themeTint="BF"/>
    </w:rPr>
  </w:style>
  <w:style w:type="character" w:customStyle="1" w:styleId="CitaCar">
    <w:name w:val="Cita Car"/>
    <w:basedOn w:val="Fuentedeprrafopredeter"/>
    <w:link w:val="Cita"/>
    <w:uiPriority w:val="29"/>
    <w:rsid w:val="00E43230"/>
    <w:rPr>
      <w:i/>
      <w:iCs/>
      <w:color w:val="404040" w:themeColor="text1" w:themeTint="BF"/>
    </w:rPr>
  </w:style>
  <w:style w:type="paragraph" w:styleId="Prrafodelista">
    <w:name w:val="List Paragraph"/>
    <w:basedOn w:val="Normal"/>
    <w:uiPriority w:val="34"/>
    <w:qFormat/>
    <w:rsid w:val="00E43230"/>
    <w:pPr>
      <w:ind w:left="720"/>
      <w:contextualSpacing/>
    </w:pPr>
  </w:style>
  <w:style w:type="character" w:styleId="nfasisintenso">
    <w:name w:val="Intense Emphasis"/>
    <w:basedOn w:val="Fuentedeprrafopredeter"/>
    <w:uiPriority w:val="21"/>
    <w:qFormat/>
    <w:rsid w:val="00E43230"/>
    <w:rPr>
      <w:i/>
      <w:iCs/>
      <w:color w:val="0F4761" w:themeColor="accent1" w:themeShade="BF"/>
    </w:rPr>
  </w:style>
  <w:style w:type="paragraph" w:styleId="Citadestacada">
    <w:name w:val="Intense Quote"/>
    <w:basedOn w:val="Normal"/>
    <w:next w:val="Normal"/>
    <w:link w:val="CitadestacadaCar"/>
    <w:uiPriority w:val="30"/>
    <w:qFormat/>
    <w:rsid w:val="00E43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3230"/>
    <w:rPr>
      <w:i/>
      <w:iCs/>
      <w:color w:val="0F4761" w:themeColor="accent1" w:themeShade="BF"/>
    </w:rPr>
  </w:style>
  <w:style w:type="character" w:styleId="Referenciaintensa">
    <w:name w:val="Intense Reference"/>
    <w:basedOn w:val="Fuentedeprrafopredeter"/>
    <w:uiPriority w:val="32"/>
    <w:qFormat/>
    <w:rsid w:val="00E43230"/>
    <w:rPr>
      <w:b/>
      <w:bCs/>
      <w:smallCaps/>
      <w:color w:val="0F4761" w:themeColor="accent1" w:themeShade="BF"/>
      <w:spacing w:val="5"/>
    </w:rPr>
  </w:style>
  <w:style w:type="paragraph" w:styleId="Encabezado">
    <w:name w:val="header"/>
    <w:basedOn w:val="Normal"/>
    <w:link w:val="EncabezadoCar"/>
    <w:uiPriority w:val="99"/>
    <w:unhideWhenUsed/>
    <w:rsid w:val="00E432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3230"/>
  </w:style>
  <w:style w:type="paragraph" w:styleId="Piedepgina">
    <w:name w:val="footer"/>
    <w:basedOn w:val="Normal"/>
    <w:link w:val="PiedepginaCar"/>
    <w:uiPriority w:val="99"/>
    <w:unhideWhenUsed/>
    <w:rsid w:val="00E432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3230"/>
  </w:style>
  <w:style w:type="character" w:styleId="Hipervnculo">
    <w:name w:val="Hyperlink"/>
    <w:basedOn w:val="Fuentedeprrafopredeter"/>
    <w:uiPriority w:val="99"/>
    <w:unhideWhenUsed/>
    <w:rsid w:val="00880ABF"/>
    <w:rPr>
      <w:color w:val="467886" w:themeColor="hyperlink"/>
      <w:u w:val="single"/>
    </w:rPr>
  </w:style>
  <w:style w:type="character" w:styleId="Mencinsinresolver">
    <w:name w:val="Unresolved Mention"/>
    <w:basedOn w:val="Fuentedeprrafopredeter"/>
    <w:uiPriority w:val="99"/>
    <w:semiHidden/>
    <w:unhideWhenUsed/>
    <w:rsid w:val="00880ABF"/>
    <w:rPr>
      <w:color w:val="605E5C"/>
      <w:shd w:val="clear" w:color="auto" w:fill="E1DFDD"/>
    </w:rPr>
  </w:style>
  <w:style w:type="paragraph" w:styleId="TtuloTDC">
    <w:name w:val="TOC Heading"/>
    <w:basedOn w:val="Ttulo1"/>
    <w:next w:val="Normal"/>
    <w:uiPriority w:val="39"/>
    <w:unhideWhenUsed/>
    <w:qFormat/>
    <w:rsid w:val="00033A11"/>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033A1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s>
</file>

<file path=word/_rels/footer2.xml.rels><?xml version='1.0' encoding='UTF-8' standalone='yes'?>
<Relationships xmlns="http://schemas.openxmlformats.org/package/2006/relationships"><Relationship Id="rId3" Type="http://schemas.openxmlformats.org/officeDocument/2006/relationships/image" Target="media/image8.png"/><Relationship Id="rId7" Type="http://schemas.openxmlformats.org/officeDocument/2006/relationships/image" Target="media/image5.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jp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3C92A-A506-46AD-98EE-647BD92A1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472</Words>
  <Characters>2598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MANUEL HERNANDEZ MORENO</dc:creator>
  <cp:keywords/>
  <dc:description/>
  <cp:lastModifiedBy>ERICK ANTONIO DE JESUS ESPINOSA PISTE</cp:lastModifiedBy>
  <cp:revision>16</cp:revision>
  <cp:lastPrinted>2025-11-15T05:27:00Z</cp:lastPrinted>
  <dcterms:created xsi:type="dcterms:W3CDTF">2026-02-14T22:48:00Z</dcterms:created>
  <dcterms:modified xsi:type="dcterms:W3CDTF">2026-09-02T22:02:00Z</dcterms:modified>
</cp:coreProperties>
</file>