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2060"/>
          <w:sz w:val="44"/>
        </w:rPr>
        <w:t>THREAT INTELLIGENCE AGGREGATOR &amp; PARSER</w:t>
      </w:r>
    </w:p>
    <w:p>
      <w:pPr>
        <w:spacing w:after="360"/>
      </w:pPr>
      <w:r>
        <w:rPr>
          <w:rFonts w:ascii="Arial" w:hAnsi="Arial"/>
          <w:i/>
          <w:color w:val="4682B4"/>
          <w:sz w:val="24"/>
        </w:rPr>
        <w:t>IBM SkillsBuild Cyber Security BootCamp 2026 Project Report</w:t>
      </w:r>
    </w:p>
    <w:tbl>
      <w:tblPr>
        <w:tblW w:type="auto" w:w="0"/>
        <w:jc w:val="center"/>
        <w:tblLook w:firstColumn="1" w:firstRow="1" w:lastColumn="0" w:lastRow="0" w:noHBand="0" w:noVBand="1" w:val="04A0"/>
        <w:tblBorders>
          <w:top w:val="single" w:sz="4" w:space="0" w:color="D3D3D3"/>
          <w:bottom w:val="single" w:sz="6" w:space="0" w:color="002060"/>
          <w:insideH w:val="single" w:sz="4" w:space="0" w:color="D3D3D3"/>
          <w:insideV w:val="none"/>
          <w:left w:val="none"/>
          <w:right w:val="none"/>
        </w:tblBorders>
      </w:tblPr>
      <w:tblGrid>
        <w:gridCol w:w="4680"/>
        <w:gridCol w:w="4680"/>
      </w:tblGrid>
      <w:tr>
        <w:tc>
          <w:tcPr>
            <w:tcW w:type="dxa" w:w="4680"/>
            <w:shd w:fill="FFFFFF"/>
            <w:tcMar>
              <w:top w:w="100" w:type="dxa"/>
              <w:bottom w:w="100" w:type="dxa"/>
              <w:left w:w="140" w:type="dxa"/>
              <w:right w:w="140" w:type="dxa"/>
            </w:tcMar>
          </w:tcPr>
          <w:p>
            <w:pPr>
              <w:spacing w:after="0"/>
            </w:pPr>
            <w:r>
              <w:rPr>
                <w:rFonts w:ascii="Arial" w:hAnsi="Arial"/>
                <w:b/>
                <w:color w:val="002060"/>
                <w:sz w:val="19"/>
              </w:rPr>
              <w:t>Author Name:</w:t>
            </w:r>
          </w:p>
        </w:tc>
        <w:tc>
          <w:tcPr>
            <w:tcW w:type="dxa" w:w="4680"/>
            <w:shd w:fill="FFFFFF"/>
            <w:tcMar>
              <w:top w:w="100" w:type="dxa"/>
              <w:bottom w:w="100" w:type="dxa"/>
              <w:left w:w="140" w:type="dxa"/>
              <w:right w:w="140" w:type="dxa"/>
            </w:tcMar>
          </w:tcPr>
          <w:p>
            <w:pPr>
              <w:spacing w:after="0"/>
            </w:pPr>
            <w:r>
              <w:rPr>
                <w:rFonts w:ascii="Arial" w:hAnsi="Arial"/>
                <w:color w:val="262626"/>
                <w:sz w:val="19"/>
              </w:rPr>
              <w:t>CHOUDARY BABU MUDDANA</w:t>
            </w:r>
          </w:p>
        </w:tc>
      </w:tr>
      <w:tr>
        <w:tc>
          <w:tcPr>
            <w:tcW w:type="dxa" w:w="4680"/>
            <w:shd w:fill="F0F4F8"/>
            <w:tcMar>
              <w:top w:w="100" w:type="dxa"/>
              <w:bottom w:w="100" w:type="dxa"/>
              <w:left w:w="140" w:type="dxa"/>
              <w:right w:w="140" w:type="dxa"/>
            </w:tcMar>
          </w:tcPr>
          <w:p>
            <w:pPr>
              <w:spacing w:after="0"/>
            </w:pPr>
            <w:r>
              <w:rPr>
                <w:rFonts w:ascii="Arial" w:hAnsi="Arial"/>
                <w:b/>
                <w:color w:val="002060"/>
                <w:sz w:val="19"/>
              </w:rPr>
              <w:t>Institution:</w:t>
            </w:r>
          </w:p>
        </w:tc>
        <w:tc>
          <w:tcPr>
            <w:tcW w:type="dxa" w:w="4680"/>
            <w:shd w:fill="F0F4F8"/>
            <w:tcMar>
              <w:top w:w="100" w:type="dxa"/>
              <w:bottom w:w="100" w:type="dxa"/>
              <w:left w:w="140" w:type="dxa"/>
              <w:right w:w="140" w:type="dxa"/>
            </w:tcMar>
          </w:tcPr>
          <w:p>
            <w:pPr>
              <w:spacing w:after="0"/>
            </w:pPr>
            <w:r>
              <w:rPr>
                <w:rFonts w:ascii="Arial" w:hAnsi="Arial"/>
                <w:color w:val="262626"/>
                <w:sz w:val="19"/>
              </w:rPr>
              <w:t>Malineni Perumallu Pharmacy College, Guntur, AP</w:t>
            </w:r>
          </w:p>
        </w:tc>
      </w:tr>
      <w:tr>
        <w:tc>
          <w:tcPr>
            <w:tcW w:type="dxa" w:w="4680"/>
            <w:shd w:fill="FFFFFF"/>
            <w:tcMar>
              <w:top w:w="100" w:type="dxa"/>
              <w:bottom w:w="100" w:type="dxa"/>
              <w:left w:w="140" w:type="dxa"/>
              <w:right w:w="140" w:type="dxa"/>
            </w:tcMar>
          </w:tcPr>
          <w:p>
            <w:pPr>
              <w:spacing w:after="0"/>
            </w:pPr>
            <w:r>
              <w:rPr>
                <w:rFonts w:ascii="Arial" w:hAnsi="Arial"/>
                <w:b/>
                <w:color w:val="002060"/>
                <w:sz w:val="19"/>
              </w:rPr>
              <w:t>Program:</w:t>
            </w:r>
          </w:p>
        </w:tc>
        <w:tc>
          <w:tcPr>
            <w:tcW w:type="dxa" w:w="4680"/>
            <w:shd w:fill="FFFFFF"/>
            <w:tcMar>
              <w:top w:w="100" w:type="dxa"/>
              <w:bottom w:w="100" w:type="dxa"/>
              <w:left w:w="140" w:type="dxa"/>
              <w:right w:w="140" w:type="dxa"/>
            </w:tcMar>
          </w:tcPr>
          <w:p>
            <w:pPr>
              <w:spacing w:after="0"/>
            </w:pPr>
            <w:r>
              <w:rPr>
                <w:rFonts w:ascii="Arial" w:hAnsi="Arial"/>
                <w:color w:val="262626"/>
                <w:sz w:val="19"/>
              </w:rPr>
              <w:t>IBM SkillsBuild Cyber Security BootCamp 2026 (BharatCares)</w:t>
            </w:r>
          </w:p>
        </w:tc>
      </w:tr>
      <w:tr>
        <w:tc>
          <w:tcPr>
            <w:tcW w:type="dxa" w:w="4680"/>
            <w:shd w:fill="F0F4F8"/>
            <w:tcMar>
              <w:top w:w="100" w:type="dxa"/>
              <w:bottom w:w="100" w:type="dxa"/>
              <w:left w:w="140" w:type="dxa"/>
              <w:right w:w="140" w:type="dxa"/>
            </w:tcMar>
          </w:tcPr>
          <w:p>
            <w:pPr>
              <w:spacing w:after="0"/>
            </w:pPr>
            <w:r>
              <w:rPr>
                <w:rFonts w:ascii="Arial" w:hAnsi="Arial"/>
                <w:b/>
                <w:color w:val="002060"/>
                <w:sz w:val="19"/>
              </w:rPr>
              <w:t>Date of Submission:</w:t>
            </w:r>
          </w:p>
        </w:tc>
        <w:tc>
          <w:tcPr>
            <w:tcW w:type="dxa" w:w="4680"/>
            <w:shd w:fill="F0F4F8"/>
            <w:tcMar>
              <w:top w:w="100" w:type="dxa"/>
              <w:bottom w:w="100" w:type="dxa"/>
              <w:left w:w="140" w:type="dxa"/>
              <w:right w:w="140" w:type="dxa"/>
            </w:tcMar>
          </w:tcPr>
          <w:p>
            <w:pPr>
              <w:spacing w:after="0"/>
            </w:pPr>
            <w:r>
              <w:rPr>
                <w:rFonts w:ascii="Arial" w:hAnsi="Arial"/>
                <w:color w:val="262626"/>
                <w:sz w:val="19"/>
              </w:rPr>
              <w:t>October 2026</w:t>
            </w:r>
          </w:p>
        </w:tc>
      </w:tr>
    </w:tbl>
    <w:p>
      <w:pPr>
        <w:spacing w:after="240"/>
      </w:pPr>
    </w:p>
    <w:p>
      <w:pPr>
        <w:spacing w:before="280" w:after="80"/>
      </w:pPr>
      <w:r>
        <w:rPr>
          <w:rFonts w:ascii="Arial" w:hAnsi="Arial"/>
          <w:b/>
          <w:color w:val="002060"/>
          <w:sz w:val="28"/>
        </w:rPr>
        <w:t>1. Executive Summary</w:t>
      </w:r>
    </w:p>
    <w:p>
      <w:pPr>
        <w:spacing w:before="0" w:after="160"/>
      </w:pPr>
      <w:r>
        <w:rPr>
          <w:rFonts w:ascii="Arial" w:hAnsi="Arial"/>
          <w:color w:val="262626"/>
          <w:sz w:val="20"/>
        </w:rPr>
        <w:t>Cyber Threat Intelligence (CTI) is critical for modern Security Operations Centers (SOCs) to proactively mitigate emerging threats. However, security analysts often face information overload from disparate indicator sources. This project presents a Python-based Threat Intelligence Aggregator that programmatically ingests, normalizes, deduplicates, and structures Indicators of Compromise (IoCs) into standardized JSON outputs. The system integrates mock feeds for IP addresses, domains, and file hashes, transforming raw threat data into actionable security intelligence for downstream SIEM and SOAR integration.</w:t>
      </w:r>
    </w:p>
    <w:p>
      <w:pPr>
        <w:spacing w:before="280" w:after="80"/>
      </w:pPr>
      <w:r>
        <w:rPr>
          <w:rFonts w:ascii="Arial" w:hAnsi="Arial"/>
          <w:b/>
          <w:color w:val="002060"/>
          <w:sz w:val="28"/>
        </w:rPr>
        <w:t>2. Architecture &amp; Design</w:t>
      </w:r>
    </w:p>
    <w:p>
      <w:pPr>
        <w:spacing w:before="0" w:after="160"/>
      </w:pPr>
      <w:r>
        <w:rPr>
          <w:rFonts w:ascii="Arial" w:hAnsi="Arial"/>
          <w:color w:val="262626"/>
          <w:sz w:val="20"/>
        </w:rPr>
        <w:t>The Threat Intelligence Aggregator consists of three core components:</w:t>
        <w:br/>
        <w:t>1. Ingestion Engine: Fetches threat indicators from simulated external feed endpoints.</w:t>
        <w:br/>
        <w:t>2. Normalization &amp; Validation Pipeline: Utilizes Regular Expressions (Regex) to validate IPv4 addresses, domain names, and SHA-256 hashes, ensuring data integrity and deduplication.</w:t>
        <w:br/>
        <w:t>3. Formatting &amp; Output Layer: Serializes sanitized threat data into structured STIX 2.1-compliant JSON format for seamless export and analytical reporting.</w:t>
      </w:r>
    </w:p>
    <w:p>
      <w:pPr>
        <w:spacing w:before="280" w:after="80"/>
      </w:pPr>
      <w:r>
        <w:rPr>
          <w:rFonts w:ascii="Arial" w:hAnsi="Arial"/>
          <w:b/>
          <w:color w:val="002060"/>
          <w:sz w:val="28"/>
        </w:rPr>
        <w:t>3. Implementation &amp; Results</w:t>
      </w:r>
    </w:p>
    <w:p>
      <w:pPr>
        <w:spacing w:before="0" w:after="160"/>
      </w:pPr>
      <w:r>
        <w:rPr>
          <w:rFonts w:ascii="Arial" w:hAnsi="Arial"/>
          <w:color w:val="262626"/>
          <w:sz w:val="20"/>
        </w:rPr>
        <w:t>The solution was developed in Python utilizing Pandas for data structured processing and standard library regex parsing. During testing, the pipeline successfully ingested mock feeds containing IP addresses, domain names, and SHA-256 hashes. Duplicate entries were removed automatically, and invalid format entries were filtered out without breaking pipeline execution. The validated threat indicators were exported into clean STIX 2.1 JSON schemas.</w:t>
      </w:r>
    </w:p>
    <w:p>
      <w:pPr>
        <w:spacing w:before="280" w:after="80"/>
      </w:pPr>
      <w:r>
        <w:rPr>
          <w:rFonts w:ascii="Arial" w:hAnsi="Arial"/>
          <w:b/>
          <w:color w:val="002060"/>
          <w:sz w:val="28"/>
        </w:rPr>
        <w:t>4. Conclusion &amp; Future Enhancements</w:t>
      </w:r>
    </w:p>
    <w:p>
      <w:pPr>
        <w:spacing w:before="0" w:after="160"/>
      </w:pPr>
      <w:r>
        <w:rPr>
          <w:rFonts w:ascii="Arial" w:hAnsi="Arial"/>
          <w:color w:val="262626"/>
          <w:sz w:val="20"/>
        </w:rPr>
        <w:t>The automated threat aggregator effectively reduces manual operational overhead in collecting threat telemetry. Future enhancements include integrating live API connections (such as AlienVault OTX or VirusTotal APIs), expanding database persistence via SQLite, and deploying automated cron scheduling for periodic ingestion.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