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3BDA" w:rsidRDefault="002F29F7">
      <w:pPr>
        <w:pStyle w:val="Heading1"/>
      </w:pPr>
      <w:r>
        <w:t>ISO 27001:2022 Information Security Policy</w:t>
      </w:r>
    </w:p>
    <w:p w:rsidR="004F3BDA" w:rsidRDefault="002F29F7">
      <w:r>
        <w:br/>
        <w:t xml:space="preserve">This Information Security Policy establishes the framework for protecting organizational information assets, in accordance with ISO/IEC 27001:2022. </w:t>
      </w:r>
      <w:r>
        <w:br/>
        <w:t>The policy outlines the organization's approach to managing risk, implementing controls, and ensuring the confidentiality, integrity, and availability of information.</w:t>
      </w:r>
      <w:r>
        <w:br/>
      </w:r>
    </w:p>
    <w:p w:rsidR="004F3BDA" w:rsidRDefault="002F29F7">
      <w:pPr>
        <w:pStyle w:val="Heading2"/>
      </w:pPr>
      <w:r>
        <w:t>1. Purpose &amp; Scope</w:t>
      </w:r>
    </w:p>
    <w:p w:rsidR="004F3BDA" w:rsidRDefault="002F29F7">
      <w:r>
        <w:br/>
        <w:t>The purpose of this policy is to define the management direction and support for information security in accordance with business requirements and applicable laws and regulations.</w:t>
      </w:r>
      <w:r>
        <w:br/>
        <w:t>This policy applies to all employees, contractors, vendors, and third parties who have access to organizational systems, data, or networks.</w:t>
      </w:r>
      <w:r>
        <w:br/>
      </w:r>
    </w:p>
    <w:p w:rsidR="004F3BDA" w:rsidRDefault="002F29F7">
      <w:pPr>
        <w:pStyle w:val="Heading2"/>
      </w:pPr>
      <w:r>
        <w:t>2. Policy Statement</w:t>
      </w:r>
    </w:p>
    <w:p w:rsidR="004F3BDA" w:rsidRDefault="002F29F7">
      <w:r>
        <w:br/>
        <w:t>The organization is committed to protecting information assets from all internal, external, deliberate, and accidental threats by establishing, implementing, and maintaining an effective Information Security Management System (ISMS) that complies with ISO/IEC 27001:2022 requirements.</w:t>
      </w:r>
      <w:r>
        <w:br/>
      </w:r>
    </w:p>
    <w:p w:rsidR="004F3BDA" w:rsidRDefault="002F29F7">
      <w:pPr>
        <w:pStyle w:val="Heading2"/>
      </w:pPr>
      <w:r>
        <w:t>3. Information Security Objectives</w:t>
      </w:r>
    </w:p>
    <w:p w:rsidR="004F3BDA" w:rsidRDefault="002F29F7">
      <w:r>
        <w:br/>
        <w:t>- Safeguard information from unauthorized access, disclosure, alteration, or destruction.</w:t>
      </w:r>
      <w:r>
        <w:br/>
        <w:t>- Ensure business continuity through risk management and resilience.</w:t>
      </w:r>
      <w:r>
        <w:br/>
        <w:t>- Maintain compliance with applicable legal, regulatory, and contractual requirements.</w:t>
      </w:r>
      <w:r>
        <w:br/>
        <w:t>- Promote awareness and accountability for information security across all levels of the organization.</w:t>
      </w:r>
      <w:r>
        <w:br/>
        <w:t>- Continuously improve the ISMS through periodic assessments and reviews.</w:t>
      </w:r>
      <w:r>
        <w:br/>
      </w:r>
    </w:p>
    <w:p w:rsidR="004F3BDA" w:rsidRDefault="002F29F7">
      <w:pPr>
        <w:pStyle w:val="Heading2"/>
      </w:pPr>
      <w:r>
        <w:t>4. Roles &amp; Responsibilities</w:t>
      </w:r>
    </w:p>
    <w:p w:rsidR="004F3BDA" w:rsidRDefault="00B72C01">
      <w:r>
        <w:br/>
        <w:t xml:space="preserve">- Top Management: </w:t>
      </w:r>
      <w:r w:rsidR="002F29F7">
        <w:t>Approve the ISMS framework, allocate resources, and prom</w:t>
      </w:r>
      <w:r>
        <w:t>ote continuous improvement.</w:t>
      </w:r>
      <w:r>
        <w:br/>
        <w:t xml:space="preserve">- </w:t>
      </w:r>
      <w:r w:rsidR="002F29F7">
        <w:t>Infor</w:t>
      </w:r>
      <w:r>
        <w:t>mation Security Manager (ISM):</w:t>
      </w:r>
      <w:r w:rsidR="002F29F7">
        <w:t xml:space="preserve"> Manage ISMS implementation, conduct risk assessmen</w:t>
      </w:r>
      <w:r>
        <w:t>ts, and oversee compliance.</w:t>
      </w:r>
      <w:r>
        <w:br/>
        <w:t>- Department Heads:</w:t>
      </w:r>
      <w:r w:rsidR="002F29F7">
        <w:t xml:space="preserve"> Ensure team adherence to ISMS policies and report risks or incidents.</w:t>
      </w:r>
      <w:r w:rsidR="002F29F7">
        <w:br/>
      </w:r>
      <w:r>
        <w:t>- Employees and Contractors:</w:t>
      </w:r>
      <w:r w:rsidR="002F29F7">
        <w:t xml:space="preserve"> Follow security procedures, protect information, and report security incidents.</w:t>
      </w:r>
      <w:r w:rsidR="002F29F7">
        <w:br/>
      </w:r>
    </w:p>
    <w:p w:rsidR="004F3BDA" w:rsidRDefault="002F29F7">
      <w:pPr>
        <w:pStyle w:val="Heading2"/>
      </w:pPr>
      <w:r>
        <w:t>5. Risk Management</w:t>
      </w:r>
    </w:p>
    <w:p w:rsidR="004F3BDA" w:rsidRDefault="002F29F7">
      <w:r>
        <w:br/>
        <w:t>The organization shall implement a risk-based approach to identify, evaluate, and mitigate risks to information assets.</w:t>
      </w:r>
      <w:r>
        <w:br/>
      </w:r>
      <w:r>
        <w:lastRenderedPageBreak/>
        <w:t>Risk management activities will be aligned with ISO 27005 and integrated into all business processes.</w:t>
      </w:r>
      <w:r>
        <w:br/>
      </w:r>
    </w:p>
    <w:p w:rsidR="004F3BDA" w:rsidRDefault="002F29F7">
      <w:pPr>
        <w:pStyle w:val="Heading3"/>
      </w:pPr>
      <w:r>
        <w:t>5.1 Risk Assessment Approach</w:t>
      </w:r>
    </w:p>
    <w:p w:rsidR="004F3BDA" w:rsidRDefault="00B72C01">
      <w:r>
        <w:br/>
        <w:t>The organization adopts both qualitative and quantitative risk assessment methods:</w:t>
      </w:r>
      <w:r>
        <w:br/>
        <w:t xml:space="preserve">- </w:t>
      </w:r>
      <w:r w:rsidR="002F29F7">
        <w:t>Qu</w:t>
      </w:r>
      <w:r>
        <w:t>alitative Assessment</w:t>
      </w:r>
      <w:r w:rsidR="002F29F7">
        <w:t>: Uses a five-point Likelihood (1–5) × Impact (1–5) scale to categorize risks as Low, Medium, or H</w:t>
      </w:r>
      <w:r>
        <w:t>igh.</w:t>
      </w:r>
      <w:r>
        <w:br/>
        <w:t>- Quantitative Assessment</w:t>
      </w:r>
      <w:r w:rsidR="002F29F7">
        <w:t>: May include financial or probability-based evaluation, such as Annua</w:t>
      </w:r>
      <w:r>
        <w:t>lized Loss Expectancy (ALE).</w:t>
      </w:r>
      <w:r>
        <w:br/>
      </w:r>
      <w:r>
        <w:br/>
      </w:r>
      <w:r w:rsidR="002F29F7">
        <w:t>Ris</w:t>
      </w:r>
      <w:r>
        <w:t>k Scoring Formula:</w:t>
      </w:r>
      <w:r w:rsidR="002F29F7">
        <w:t xml:space="preserve"> Risk Score = Likelihood × Impact</w:t>
      </w:r>
      <w:r w:rsidR="002F29F7">
        <w:br/>
      </w:r>
    </w:p>
    <w:p w:rsidR="004F3BDA" w:rsidRDefault="002F29F7">
      <w:pPr>
        <w:pStyle w:val="Heading3"/>
      </w:pPr>
      <w:r>
        <w:t>5.2 Risk Register</w:t>
      </w:r>
    </w:p>
    <w:p w:rsidR="004F3BDA" w:rsidRDefault="002F29F7">
      <w:r>
        <w:br/>
        <w:t>All identified risks shall</w:t>
      </w:r>
      <w:r w:rsidR="00B72C01">
        <w:t xml:space="preserve"> be recorded in a centralized </w:t>
      </w:r>
      <w:r w:rsidR="00420F33">
        <w:t>Risk Register</w:t>
      </w:r>
      <w:r>
        <w:t xml:space="preserve"> managed by the Information Security Manager. </w:t>
      </w:r>
      <w:r>
        <w:br/>
        <w:t>The Risk Register will include the following fields:</w:t>
      </w:r>
      <w:r>
        <w:br/>
      </w:r>
    </w:p>
    <w:tbl>
      <w:tblPr>
        <w:tblW w:w="25531" w:type="dxa"/>
        <w:tblInd w:w="-1440" w:type="dxa"/>
        <w:tblLook w:val="04A0"/>
      </w:tblPr>
      <w:tblGrid>
        <w:gridCol w:w="960"/>
        <w:gridCol w:w="4320"/>
        <w:gridCol w:w="1681"/>
        <w:gridCol w:w="1701"/>
        <w:gridCol w:w="1161"/>
        <w:gridCol w:w="965"/>
        <w:gridCol w:w="1276"/>
        <w:gridCol w:w="1276"/>
        <w:gridCol w:w="2693"/>
        <w:gridCol w:w="2835"/>
        <w:gridCol w:w="1683"/>
        <w:gridCol w:w="1120"/>
        <w:gridCol w:w="1280"/>
        <w:gridCol w:w="2580"/>
      </w:tblGrid>
      <w:tr w:rsidR="006F0869" w:rsidRPr="006F0869" w:rsidTr="006F0869">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B2A1C7"/>
            <w:noWrap/>
            <w:vAlign w:val="center"/>
            <w:hideMark/>
          </w:tcPr>
          <w:p w:rsidR="006F0869" w:rsidRPr="006F0869" w:rsidRDefault="006F0869" w:rsidP="006F0869">
            <w:pPr>
              <w:spacing w:after="0" w:line="240" w:lineRule="auto"/>
              <w:jc w:val="center"/>
              <w:rPr>
                <w:rFonts w:ascii="Calibri" w:eastAsia="Times New Roman" w:hAnsi="Calibri" w:cs="Calibri"/>
                <w:b/>
                <w:bCs/>
                <w:color w:val="000000"/>
                <w:lang w:val="en-GB" w:eastAsia="en-GB"/>
              </w:rPr>
            </w:pPr>
            <w:r w:rsidRPr="006F0869">
              <w:rPr>
                <w:rFonts w:ascii="Calibri" w:eastAsia="Times New Roman" w:hAnsi="Calibri" w:cs="Calibri"/>
                <w:b/>
                <w:bCs/>
                <w:color w:val="000000"/>
                <w:lang w:val="en-GB" w:eastAsia="en-GB"/>
              </w:rPr>
              <w:t>Risk ID</w:t>
            </w:r>
          </w:p>
        </w:tc>
        <w:tc>
          <w:tcPr>
            <w:tcW w:w="4320" w:type="dxa"/>
            <w:tcBorders>
              <w:top w:val="single" w:sz="4" w:space="0" w:color="auto"/>
              <w:left w:val="nil"/>
              <w:bottom w:val="single" w:sz="4" w:space="0" w:color="auto"/>
              <w:right w:val="single" w:sz="4" w:space="0" w:color="auto"/>
            </w:tcBorders>
            <w:shd w:val="clear" w:color="000000" w:fill="B2A1C7"/>
            <w:noWrap/>
            <w:vAlign w:val="center"/>
            <w:hideMark/>
          </w:tcPr>
          <w:p w:rsidR="006F0869" w:rsidRPr="006F0869" w:rsidRDefault="006F0869" w:rsidP="006F0869">
            <w:pPr>
              <w:spacing w:after="0" w:line="240" w:lineRule="auto"/>
              <w:jc w:val="center"/>
              <w:rPr>
                <w:rFonts w:ascii="Calibri" w:eastAsia="Times New Roman" w:hAnsi="Calibri" w:cs="Calibri"/>
                <w:b/>
                <w:bCs/>
                <w:color w:val="000000"/>
                <w:lang w:val="en-GB" w:eastAsia="en-GB"/>
              </w:rPr>
            </w:pPr>
            <w:r w:rsidRPr="006F0869">
              <w:rPr>
                <w:rFonts w:ascii="Calibri" w:eastAsia="Times New Roman" w:hAnsi="Calibri" w:cs="Calibri"/>
                <w:b/>
                <w:bCs/>
                <w:color w:val="000000"/>
                <w:lang w:val="en-GB" w:eastAsia="en-GB"/>
              </w:rPr>
              <w:t>Risk Description</w:t>
            </w:r>
          </w:p>
        </w:tc>
        <w:tc>
          <w:tcPr>
            <w:tcW w:w="1681" w:type="dxa"/>
            <w:tcBorders>
              <w:top w:val="single" w:sz="4" w:space="0" w:color="auto"/>
              <w:left w:val="nil"/>
              <w:bottom w:val="single" w:sz="4" w:space="0" w:color="auto"/>
              <w:right w:val="single" w:sz="4" w:space="0" w:color="auto"/>
            </w:tcBorders>
            <w:shd w:val="clear" w:color="000000" w:fill="B2A1C7"/>
            <w:noWrap/>
            <w:vAlign w:val="center"/>
            <w:hideMark/>
          </w:tcPr>
          <w:p w:rsidR="006F0869" w:rsidRPr="006F0869" w:rsidRDefault="006F0869" w:rsidP="006F0869">
            <w:pPr>
              <w:spacing w:after="0" w:line="240" w:lineRule="auto"/>
              <w:jc w:val="center"/>
              <w:rPr>
                <w:rFonts w:ascii="Calibri" w:eastAsia="Times New Roman" w:hAnsi="Calibri" w:cs="Calibri"/>
                <w:b/>
                <w:bCs/>
                <w:color w:val="000000"/>
                <w:lang w:val="en-GB" w:eastAsia="en-GB"/>
              </w:rPr>
            </w:pPr>
            <w:r w:rsidRPr="006F0869">
              <w:rPr>
                <w:rFonts w:ascii="Calibri" w:eastAsia="Times New Roman" w:hAnsi="Calibri" w:cs="Calibri"/>
                <w:b/>
                <w:bCs/>
                <w:color w:val="000000"/>
                <w:lang w:val="en-GB" w:eastAsia="en-GB"/>
              </w:rPr>
              <w:t>Asset / Process Affected</w:t>
            </w:r>
          </w:p>
        </w:tc>
        <w:tc>
          <w:tcPr>
            <w:tcW w:w="1701" w:type="dxa"/>
            <w:tcBorders>
              <w:top w:val="single" w:sz="4" w:space="0" w:color="auto"/>
              <w:left w:val="nil"/>
              <w:bottom w:val="single" w:sz="4" w:space="0" w:color="auto"/>
              <w:right w:val="single" w:sz="4" w:space="0" w:color="auto"/>
            </w:tcBorders>
            <w:shd w:val="clear" w:color="000000" w:fill="B2A1C7"/>
            <w:noWrap/>
            <w:vAlign w:val="center"/>
            <w:hideMark/>
          </w:tcPr>
          <w:p w:rsidR="006F0869" w:rsidRPr="006F0869" w:rsidRDefault="006F0869" w:rsidP="006F0869">
            <w:pPr>
              <w:spacing w:after="0" w:line="240" w:lineRule="auto"/>
              <w:jc w:val="center"/>
              <w:rPr>
                <w:rFonts w:ascii="Calibri" w:eastAsia="Times New Roman" w:hAnsi="Calibri" w:cs="Calibri"/>
                <w:b/>
                <w:bCs/>
                <w:color w:val="000000"/>
                <w:lang w:val="en-GB" w:eastAsia="en-GB"/>
              </w:rPr>
            </w:pPr>
            <w:r w:rsidRPr="006F0869">
              <w:rPr>
                <w:rFonts w:ascii="Calibri" w:eastAsia="Times New Roman" w:hAnsi="Calibri" w:cs="Calibri"/>
                <w:b/>
                <w:bCs/>
                <w:color w:val="000000"/>
                <w:lang w:val="en-GB" w:eastAsia="en-GB"/>
              </w:rPr>
              <w:t>Risk Owner</w:t>
            </w:r>
          </w:p>
        </w:tc>
        <w:tc>
          <w:tcPr>
            <w:tcW w:w="1161" w:type="dxa"/>
            <w:tcBorders>
              <w:top w:val="single" w:sz="4" w:space="0" w:color="auto"/>
              <w:left w:val="nil"/>
              <w:bottom w:val="single" w:sz="4" w:space="0" w:color="auto"/>
              <w:right w:val="single" w:sz="4" w:space="0" w:color="auto"/>
            </w:tcBorders>
            <w:shd w:val="clear" w:color="000000" w:fill="B2A1C7"/>
            <w:noWrap/>
            <w:vAlign w:val="center"/>
            <w:hideMark/>
          </w:tcPr>
          <w:p w:rsidR="006F0869" w:rsidRPr="006F0869" w:rsidRDefault="006F0869" w:rsidP="006F0869">
            <w:pPr>
              <w:spacing w:after="0" w:line="240" w:lineRule="auto"/>
              <w:jc w:val="center"/>
              <w:rPr>
                <w:rFonts w:ascii="Calibri" w:eastAsia="Times New Roman" w:hAnsi="Calibri" w:cs="Calibri"/>
                <w:b/>
                <w:bCs/>
                <w:color w:val="000000"/>
                <w:lang w:val="en-GB" w:eastAsia="en-GB"/>
              </w:rPr>
            </w:pPr>
            <w:r w:rsidRPr="006F0869">
              <w:rPr>
                <w:rFonts w:ascii="Calibri" w:eastAsia="Times New Roman" w:hAnsi="Calibri" w:cs="Calibri"/>
                <w:b/>
                <w:bCs/>
                <w:color w:val="000000"/>
                <w:lang w:val="en-GB" w:eastAsia="en-GB"/>
              </w:rPr>
              <w:t>Likelihood (1-5)</w:t>
            </w:r>
          </w:p>
        </w:tc>
        <w:tc>
          <w:tcPr>
            <w:tcW w:w="965" w:type="dxa"/>
            <w:tcBorders>
              <w:top w:val="single" w:sz="4" w:space="0" w:color="auto"/>
              <w:left w:val="nil"/>
              <w:bottom w:val="single" w:sz="4" w:space="0" w:color="auto"/>
              <w:right w:val="single" w:sz="4" w:space="0" w:color="auto"/>
            </w:tcBorders>
            <w:shd w:val="clear" w:color="000000" w:fill="B2A1C7"/>
            <w:noWrap/>
            <w:vAlign w:val="center"/>
            <w:hideMark/>
          </w:tcPr>
          <w:p w:rsidR="006F0869" w:rsidRPr="006F0869" w:rsidRDefault="006F0869" w:rsidP="006F0869">
            <w:pPr>
              <w:spacing w:after="0" w:line="240" w:lineRule="auto"/>
              <w:jc w:val="center"/>
              <w:rPr>
                <w:rFonts w:ascii="Calibri" w:eastAsia="Times New Roman" w:hAnsi="Calibri" w:cs="Calibri"/>
                <w:b/>
                <w:bCs/>
                <w:color w:val="000000"/>
                <w:lang w:val="en-GB" w:eastAsia="en-GB"/>
              </w:rPr>
            </w:pPr>
            <w:r w:rsidRPr="006F0869">
              <w:rPr>
                <w:rFonts w:ascii="Calibri" w:eastAsia="Times New Roman" w:hAnsi="Calibri" w:cs="Calibri"/>
                <w:b/>
                <w:bCs/>
                <w:color w:val="000000"/>
                <w:lang w:val="en-GB" w:eastAsia="en-GB"/>
              </w:rPr>
              <w:t>Impact (1-5)</w:t>
            </w:r>
          </w:p>
        </w:tc>
        <w:tc>
          <w:tcPr>
            <w:tcW w:w="1276" w:type="dxa"/>
            <w:tcBorders>
              <w:top w:val="single" w:sz="4" w:space="0" w:color="auto"/>
              <w:left w:val="nil"/>
              <w:bottom w:val="single" w:sz="4" w:space="0" w:color="auto"/>
              <w:right w:val="single" w:sz="4" w:space="0" w:color="auto"/>
            </w:tcBorders>
            <w:shd w:val="clear" w:color="000000" w:fill="B2A1C7"/>
            <w:noWrap/>
            <w:vAlign w:val="center"/>
            <w:hideMark/>
          </w:tcPr>
          <w:p w:rsidR="006F0869" w:rsidRPr="006F0869" w:rsidRDefault="006F0869" w:rsidP="006F0869">
            <w:pPr>
              <w:spacing w:after="0" w:line="240" w:lineRule="auto"/>
              <w:jc w:val="center"/>
              <w:rPr>
                <w:rFonts w:ascii="Calibri" w:eastAsia="Times New Roman" w:hAnsi="Calibri" w:cs="Calibri"/>
                <w:b/>
                <w:bCs/>
                <w:color w:val="000000"/>
                <w:lang w:val="en-GB" w:eastAsia="en-GB"/>
              </w:rPr>
            </w:pPr>
            <w:r w:rsidRPr="006F0869">
              <w:rPr>
                <w:rFonts w:ascii="Calibri" w:eastAsia="Times New Roman" w:hAnsi="Calibri" w:cs="Calibri"/>
                <w:b/>
                <w:bCs/>
                <w:color w:val="000000"/>
                <w:lang w:val="en-GB" w:eastAsia="en-GB"/>
              </w:rPr>
              <w:t>Risk Score (Auto)</w:t>
            </w:r>
          </w:p>
        </w:tc>
        <w:tc>
          <w:tcPr>
            <w:tcW w:w="1276" w:type="dxa"/>
            <w:tcBorders>
              <w:top w:val="single" w:sz="4" w:space="0" w:color="auto"/>
              <w:left w:val="nil"/>
              <w:bottom w:val="single" w:sz="4" w:space="0" w:color="auto"/>
              <w:right w:val="single" w:sz="4" w:space="0" w:color="auto"/>
            </w:tcBorders>
            <w:shd w:val="clear" w:color="000000" w:fill="B2A1C7"/>
            <w:noWrap/>
            <w:vAlign w:val="center"/>
            <w:hideMark/>
          </w:tcPr>
          <w:p w:rsidR="006F0869" w:rsidRPr="006F0869" w:rsidRDefault="006F0869" w:rsidP="006F0869">
            <w:pPr>
              <w:spacing w:after="0" w:line="240" w:lineRule="auto"/>
              <w:jc w:val="center"/>
              <w:rPr>
                <w:rFonts w:ascii="Calibri" w:eastAsia="Times New Roman" w:hAnsi="Calibri" w:cs="Calibri"/>
                <w:b/>
                <w:bCs/>
                <w:color w:val="000000"/>
                <w:lang w:val="en-GB" w:eastAsia="en-GB"/>
              </w:rPr>
            </w:pPr>
            <w:r w:rsidRPr="006F0869">
              <w:rPr>
                <w:rFonts w:ascii="Calibri" w:eastAsia="Times New Roman" w:hAnsi="Calibri" w:cs="Calibri"/>
                <w:b/>
                <w:bCs/>
                <w:color w:val="000000"/>
                <w:lang w:val="en-GB" w:eastAsia="en-GB"/>
              </w:rPr>
              <w:t>Risk Level (Auto)</w:t>
            </w:r>
          </w:p>
        </w:tc>
        <w:tc>
          <w:tcPr>
            <w:tcW w:w="2693" w:type="dxa"/>
            <w:tcBorders>
              <w:top w:val="single" w:sz="4" w:space="0" w:color="auto"/>
              <w:left w:val="nil"/>
              <w:bottom w:val="single" w:sz="4" w:space="0" w:color="auto"/>
              <w:right w:val="single" w:sz="4" w:space="0" w:color="auto"/>
            </w:tcBorders>
            <w:shd w:val="clear" w:color="000000" w:fill="B2A1C7"/>
            <w:noWrap/>
            <w:vAlign w:val="center"/>
            <w:hideMark/>
          </w:tcPr>
          <w:p w:rsidR="006F0869" w:rsidRPr="006F0869" w:rsidRDefault="006F0869" w:rsidP="006F0869">
            <w:pPr>
              <w:spacing w:after="0" w:line="240" w:lineRule="auto"/>
              <w:jc w:val="center"/>
              <w:rPr>
                <w:rFonts w:ascii="Calibri" w:eastAsia="Times New Roman" w:hAnsi="Calibri" w:cs="Calibri"/>
                <w:b/>
                <w:bCs/>
                <w:color w:val="000000"/>
                <w:lang w:val="en-GB" w:eastAsia="en-GB"/>
              </w:rPr>
            </w:pPr>
            <w:r w:rsidRPr="006F0869">
              <w:rPr>
                <w:rFonts w:ascii="Calibri" w:eastAsia="Times New Roman" w:hAnsi="Calibri" w:cs="Calibri"/>
                <w:b/>
                <w:bCs/>
                <w:color w:val="000000"/>
                <w:lang w:val="en-GB" w:eastAsia="en-GB"/>
              </w:rPr>
              <w:t>Existing Controls</w:t>
            </w:r>
          </w:p>
        </w:tc>
        <w:tc>
          <w:tcPr>
            <w:tcW w:w="2835" w:type="dxa"/>
            <w:tcBorders>
              <w:top w:val="single" w:sz="4" w:space="0" w:color="auto"/>
              <w:left w:val="nil"/>
              <w:bottom w:val="single" w:sz="4" w:space="0" w:color="auto"/>
              <w:right w:val="single" w:sz="4" w:space="0" w:color="auto"/>
            </w:tcBorders>
            <w:shd w:val="clear" w:color="000000" w:fill="B2A1C7"/>
            <w:noWrap/>
            <w:vAlign w:val="center"/>
            <w:hideMark/>
          </w:tcPr>
          <w:p w:rsidR="006F0869" w:rsidRPr="006F0869" w:rsidRDefault="006F0869" w:rsidP="006F0869">
            <w:pPr>
              <w:spacing w:after="0" w:line="240" w:lineRule="auto"/>
              <w:jc w:val="center"/>
              <w:rPr>
                <w:rFonts w:ascii="Calibri" w:eastAsia="Times New Roman" w:hAnsi="Calibri" w:cs="Calibri"/>
                <w:b/>
                <w:bCs/>
                <w:color w:val="000000"/>
                <w:lang w:val="en-GB" w:eastAsia="en-GB"/>
              </w:rPr>
            </w:pPr>
            <w:r w:rsidRPr="006F0869">
              <w:rPr>
                <w:rFonts w:ascii="Calibri" w:eastAsia="Times New Roman" w:hAnsi="Calibri" w:cs="Calibri"/>
                <w:b/>
                <w:bCs/>
                <w:color w:val="000000"/>
                <w:lang w:val="en-GB" w:eastAsia="en-GB"/>
              </w:rPr>
              <w:t>Control Reference (ISO/NIST)</w:t>
            </w:r>
          </w:p>
        </w:tc>
        <w:tc>
          <w:tcPr>
            <w:tcW w:w="1683" w:type="dxa"/>
            <w:tcBorders>
              <w:top w:val="single" w:sz="4" w:space="0" w:color="auto"/>
              <w:left w:val="nil"/>
              <w:bottom w:val="single" w:sz="4" w:space="0" w:color="auto"/>
              <w:right w:val="single" w:sz="4" w:space="0" w:color="auto"/>
            </w:tcBorders>
            <w:shd w:val="clear" w:color="000000" w:fill="B2A1C7"/>
            <w:noWrap/>
            <w:vAlign w:val="center"/>
            <w:hideMark/>
          </w:tcPr>
          <w:p w:rsidR="006F0869" w:rsidRPr="006F0869" w:rsidRDefault="006F0869" w:rsidP="006F0869">
            <w:pPr>
              <w:spacing w:after="0" w:line="240" w:lineRule="auto"/>
              <w:jc w:val="center"/>
              <w:rPr>
                <w:rFonts w:ascii="Calibri" w:eastAsia="Times New Roman" w:hAnsi="Calibri" w:cs="Calibri"/>
                <w:b/>
                <w:bCs/>
                <w:color w:val="000000"/>
                <w:lang w:val="en-GB" w:eastAsia="en-GB"/>
              </w:rPr>
            </w:pPr>
            <w:r w:rsidRPr="006F0869">
              <w:rPr>
                <w:rFonts w:ascii="Calibri" w:eastAsia="Times New Roman" w:hAnsi="Calibri" w:cs="Calibri"/>
                <w:b/>
                <w:bCs/>
                <w:color w:val="000000"/>
                <w:lang w:val="en-GB" w:eastAsia="en-GB"/>
              </w:rPr>
              <w:t>Residual Risk Level</w:t>
            </w:r>
          </w:p>
        </w:tc>
        <w:tc>
          <w:tcPr>
            <w:tcW w:w="1120" w:type="dxa"/>
            <w:tcBorders>
              <w:top w:val="single" w:sz="4" w:space="0" w:color="auto"/>
              <w:left w:val="nil"/>
              <w:bottom w:val="single" w:sz="4" w:space="0" w:color="auto"/>
              <w:right w:val="single" w:sz="4" w:space="0" w:color="auto"/>
            </w:tcBorders>
            <w:shd w:val="clear" w:color="000000" w:fill="B2A1C7"/>
            <w:noWrap/>
            <w:vAlign w:val="center"/>
            <w:hideMark/>
          </w:tcPr>
          <w:p w:rsidR="006F0869" w:rsidRPr="006F0869" w:rsidRDefault="006F0869" w:rsidP="006F0869">
            <w:pPr>
              <w:spacing w:after="0" w:line="240" w:lineRule="auto"/>
              <w:jc w:val="center"/>
              <w:rPr>
                <w:rFonts w:ascii="Calibri" w:eastAsia="Times New Roman" w:hAnsi="Calibri" w:cs="Calibri"/>
                <w:b/>
                <w:bCs/>
                <w:color w:val="000000"/>
                <w:lang w:val="en-GB" w:eastAsia="en-GB"/>
              </w:rPr>
            </w:pPr>
            <w:r w:rsidRPr="006F0869">
              <w:rPr>
                <w:rFonts w:ascii="Calibri" w:eastAsia="Times New Roman" w:hAnsi="Calibri" w:cs="Calibri"/>
                <w:b/>
                <w:bCs/>
                <w:color w:val="000000"/>
                <w:lang w:val="en-GB" w:eastAsia="en-GB"/>
              </w:rPr>
              <w:t>Status</w:t>
            </w:r>
          </w:p>
        </w:tc>
        <w:tc>
          <w:tcPr>
            <w:tcW w:w="1280" w:type="dxa"/>
            <w:tcBorders>
              <w:top w:val="single" w:sz="4" w:space="0" w:color="auto"/>
              <w:left w:val="nil"/>
              <w:bottom w:val="single" w:sz="4" w:space="0" w:color="auto"/>
              <w:right w:val="single" w:sz="4" w:space="0" w:color="auto"/>
            </w:tcBorders>
            <w:shd w:val="clear" w:color="000000" w:fill="B2A1C7"/>
            <w:noWrap/>
            <w:vAlign w:val="center"/>
            <w:hideMark/>
          </w:tcPr>
          <w:p w:rsidR="006F0869" w:rsidRPr="006F0869" w:rsidRDefault="006F0869" w:rsidP="006F0869">
            <w:pPr>
              <w:spacing w:after="0" w:line="240" w:lineRule="auto"/>
              <w:jc w:val="center"/>
              <w:rPr>
                <w:rFonts w:ascii="Calibri" w:eastAsia="Times New Roman" w:hAnsi="Calibri" w:cs="Calibri"/>
                <w:b/>
                <w:bCs/>
                <w:color w:val="000000"/>
                <w:lang w:val="en-GB" w:eastAsia="en-GB"/>
              </w:rPr>
            </w:pPr>
            <w:r w:rsidRPr="006F0869">
              <w:rPr>
                <w:rFonts w:ascii="Calibri" w:eastAsia="Times New Roman" w:hAnsi="Calibri" w:cs="Calibri"/>
                <w:b/>
                <w:bCs/>
                <w:color w:val="000000"/>
                <w:lang w:val="en-GB" w:eastAsia="en-GB"/>
              </w:rPr>
              <w:t>Review Date</w:t>
            </w:r>
          </w:p>
        </w:tc>
        <w:tc>
          <w:tcPr>
            <w:tcW w:w="2580" w:type="dxa"/>
            <w:tcBorders>
              <w:top w:val="single" w:sz="4" w:space="0" w:color="auto"/>
              <w:left w:val="nil"/>
              <w:bottom w:val="single" w:sz="4" w:space="0" w:color="auto"/>
              <w:right w:val="single" w:sz="4" w:space="0" w:color="auto"/>
            </w:tcBorders>
            <w:shd w:val="clear" w:color="000000" w:fill="B2A1C7"/>
            <w:noWrap/>
            <w:vAlign w:val="center"/>
            <w:hideMark/>
          </w:tcPr>
          <w:p w:rsidR="006F0869" w:rsidRPr="006F0869" w:rsidRDefault="006F0869" w:rsidP="006F0869">
            <w:pPr>
              <w:spacing w:after="0" w:line="240" w:lineRule="auto"/>
              <w:jc w:val="center"/>
              <w:rPr>
                <w:rFonts w:ascii="Calibri" w:eastAsia="Times New Roman" w:hAnsi="Calibri" w:cs="Calibri"/>
                <w:b/>
                <w:bCs/>
                <w:color w:val="000000"/>
                <w:lang w:val="en-GB" w:eastAsia="en-GB"/>
              </w:rPr>
            </w:pPr>
            <w:r w:rsidRPr="006F0869">
              <w:rPr>
                <w:rFonts w:ascii="Calibri" w:eastAsia="Times New Roman" w:hAnsi="Calibri" w:cs="Calibri"/>
                <w:b/>
                <w:bCs/>
                <w:color w:val="000000"/>
                <w:lang w:val="en-GB" w:eastAsia="en-GB"/>
              </w:rPr>
              <w:t>Comments</w:t>
            </w:r>
          </w:p>
        </w:tc>
      </w:tr>
      <w:tr w:rsidR="006F0869" w:rsidRPr="006F0869" w:rsidTr="006F0869">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RSK-001</w:t>
            </w:r>
          </w:p>
        </w:tc>
        <w:tc>
          <w:tcPr>
            <w:tcW w:w="4320" w:type="dxa"/>
            <w:tcBorders>
              <w:top w:val="nil"/>
              <w:left w:val="nil"/>
              <w:bottom w:val="single" w:sz="4" w:space="0" w:color="auto"/>
              <w:right w:val="single" w:sz="4" w:space="0" w:color="auto"/>
            </w:tcBorders>
            <w:shd w:val="clear" w:color="auto" w:fill="auto"/>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Phishing attack may compromise credentials</w:t>
            </w:r>
          </w:p>
        </w:tc>
        <w:tc>
          <w:tcPr>
            <w:tcW w:w="1681" w:type="dxa"/>
            <w:tcBorders>
              <w:top w:val="nil"/>
              <w:left w:val="nil"/>
              <w:bottom w:val="single" w:sz="4" w:space="0" w:color="auto"/>
              <w:right w:val="single" w:sz="4" w:space="0" w:color="auto"/>
            </w:tcBorders>
            <w:shd w:val="clear" w:color="auto" w:fill="auto"/>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Email System</w:t>
            </w:r>
          </w:p>
        </w:tc>
        <w:tc>
          <w:tcPr>
            <w:tcW w:w="1701" w:type="dxa"/>
            <w:tcBorders>
              <w:top w:val="nil"/>
              <w:left w:val="nil"/>
              <w:bottom w:val="single" w:sz="4" w:space="0" w:color="auto"/>
              <w:right w:val="single" w:sz="4" w:space="0" w:color="auto"/>
            </w:tcBorders>
            <w:shd w:val="clear" w:color="auto" w:fill="auto"/>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IT Security</w:t>
            </w:r>
          </w:p>
        </w:tc>
        <w:tc>
          <w:tcPr>
            <w:tcW w:w="1161" w:type="dxa"/>
            <w:tcBorders>
              <w:top w:val="nil"/>
              <w:left w:val="nil"/>
              <w:bottom w:val="single" w:sz="4" w:space="0" w:color="auto"/>
              <w:right w:val="single" w:sz="4" w:space="0" w:color="auto"/>
            </w:tcBorders>
            <w:shd w:val="clear" w:color="auto" w:fill="auto"/>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4</w:t>
            </w:r>
          </w:p>
        </w:tc>
        <w:tc>
          <w:tcPr>
            <w:tcW w:w="965" w:type="dxa"/>
            <w:tcBorders>
              <w:top w:val="nil"/>
              <w:left w:val="nil"/>
              <w:bottom w:val="single" w:sz="4" w:space="0" w:color="auto"/>
              <w:right w:val="single" w:sz="4" w:space="0" w:color="auto"/>
            </w:tcBorders>
            <w:shd w:val="clear" w:color="auto" w:fill="auto"/>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5</w:t>
            </w:r>
          </w:p>
        </w:tc>
        <w:tc>
          <w:tcPr>
            <w:tcW w:w="1276" w:type="dxa"/>
            <w:tcBorders>
              <w:top w:val="nil"/>
              <w:left w:val="nil"/>
              <w:bottom w:val="single" w:sz="4" w:space="0" w:color="auto"/>
              <w:right w:val="single" w:sz="4" w:space="0" w:color="auto"/>
            </w:tcBorders>
            <w:shd w:val="clear" w:color="auto" w:fill="auto"/>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20</w:t>
            </w:r>
          </w:p>
        </w:tc>
        <w:tc>
          <w:tcPr>
            <w:tcW w:w="1276" w:type="dxa"/>
            <w:tcBorders>
              <w:top w:val="nil"/>
              <w:left w:val="nil"/>
              <w:bottom w:val="single" w:sz="4" w:space="0" w:color="auto"/>
              <w:right w:val="single" w:sz="4" w:space="0" w:color="auto"/>
            </w:tcBorders>
            <w:shd w:val="clear" w:color="000000" w:fill="FF0000"/>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High</w:t>
            </w:r>
          </w:p>
        </w:tc>
        <w:tc>
          <w:tcPr>
            <w:tcW w:w="2693" w:type="dxa"/>
            <w:tcBorders>
              <w:top w:val="nil"/>
              <w:left w:val="nil"/>
              <w:bottom w:val="single" w:sz="4" w:space="0" w:color="auto"/>
              <w:right w:val="single" w:sz="4" w:space="0" w:color="auto"/>
            </w:tcBorders>
            <w:shd w:val="clear" w:color="auto" w:fill="auto"/>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Email gateway, user awareness</w:t>
            </w:r>
          </w:p>
        </w:tc>
        <w:tc>
          <w:tcPr>
            <w:tcW w:w="2835" w:type="dxa"/>
            <w:tcBorders>
              <w:top w:val="nil"/>
              <w:left w:val="nil"/>
              <w:bottom w:val="single" w:sz="4" w:space="0" w:color="auto"/>
              <w:right w:val="single" w:sz="4" w:space="0" w:color="auto"/>
            </w:tcBorders>
            <w:shd w:val="clear" w:color="auto" w:fill="auto"/>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ISO A.7.2.2 / NIST PR.AT-1</w:t>
            </w:r>
          </w:p>
        </w:tc>
        <w:tc>
          <w:tcPr>
            <w:tcW w:w="1683" w:type="dxa"/>
            <w:tcBorders>
              <w:top w:val="nil"/>
              <w:left w:val="nil"/>
              <w:bottom w:val="single" w:sz="4" w:space="0" w:color="auto"/>
              <w:right w:val="single" w:sz="4" w:space="0" w:color="auto"/>
            </w:tcBorders>
            <w:shd w:val="clear" w:color="auto" w:fill="auto"/>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 </w:t>
            </w:r>
          </w:p>
        </w:tc>
        <w:tc>
          <w:tcPr>
            <w:tcW w:w="1120" w:type="dxa"/>
            <w:tcBorders>
              <w:top w:val="nil"/>
              <w:left w:val="nil"/>
              <w:bottom w:val="single" w:sz="4" w:space="0" w:color="auto"/>
              <w:right w:val="single" w:sz="4" w:space="0" w:color="auto"/>
            </w:tcBorders>
            <w:shd w:val="clear" w:color="auto" w:fill="auto"/>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In Progress</w:t>
            </w:r>
          </w:p>
        </w:tc>
        <w:tc>
          <w:tcPr>
            <w:tcW w:w="1280" w:type="dxa"/>
            <w:tcBorders>
              <w:top w:val="nil"/>
              <w:left w:val="nil"/>
              <w:bottom w:val="single" w:sz="4" w:space="0" w:color="auto"/>
              <w:right w:val="single" w:sz="4" w:space="0" w:color="auto"/>
            </w:tcBorders>
            <w:shd w:val="clear" w:color="auto" w:fill="auto"/>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2026-01-15</w:t>
            </w:r>
          </w:p>
        </w:tc>
        <w:tc>
          <w:tcPr>
            <w:tcW w:w="2580" w:type="dxa"/>
            <w:tcBorders>
              <w:top w:val="nil"/>
              <w:left w:val="nil"/>
              <w:bottom w:val="single" w:sz="4" w:space="0" w:color="auto"/>
              <w:right w:val="single" w:sz="4" w:space="0" w:color="auto"/>
            </w:tcBorders>
            <w:shd w:val="clear" w:color="auto" w:fill="auto"/>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Need to enhance training</w:t>
            </w:r>
          </w:p>
        </w:tc>
      </w:tr>
      <w:tr w:rsidR="006F0869" w:rsidRPr="006F0869" w:rsidTr="006F0869">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RSK-002</w:t>
            </w:r>
          </w:p>
        </w:tc>
        <w:tc>
          <w:tcPr>
            <w:tcW w:w="4320" w:type="dxa"/>
            <w:tcBorders>
              <w:top w:val="nil"/>
              <w:left w:val="nil"/>
              <w:bottom w:val="single" w:sz="4" w:space="0" w:color="auto"/>
              <w:right w:val="single" w:sz="4" w:space="0" w:color="auto"/>
            </w:tcBorders>
            <w:shd w:val="clear" w:color="auto" w:fill="auto"/>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Firewall misconfiguration</w:t>
            </w:r>
          </w:p>
        </w:tc>
        <w:tc>
          <w:tcPr>
            <w:tcW w:w="1681" w:type="dxa"/>
            <w:tcBorders>
              <w:top w:val="nil"/>
              <w:left w:val="nil"/>
              <w:bottom w:val="single" w:sz="4" w:space="0" w:color="auto"/>
              <w:right w:val="single" w:sz="4" w:space="0" w:color="auto"/>
            </w:tcBorders>
            <w:shd w:val="clear" w:color="auto" w:fill="auto"/>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Network Infrastructure</w:t>
            </w:r>
          </w:p>
        </w:tc>
        <w:tc>
          <w:tcPr>
            <w:tcW w:w="1701" w:type="dxa"/>
            <w:tcBorders>
              <w:top w:val="nil"/>
              <w:left w:val="nil"/>
              <w:bottom w:val="single" w:sz="4" w:space="0" w:color="auto"/>
              <w:right w:val="single" w:sz="4" w:space="0" w:color="auto"/>
            </w:tcBorders>
            <w:shd w:val="clear" w:color="auto" w:fill="auto"/>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Network Team</w:t>
            </w:r>
          </w:p>
        </w:tc>
        <w:tc>
          <w:tcPr>
            <w:tcW w:w="1161" w:type="dxa"/>
            <w:tcBorders>
              <w:top w:val="nil"/>
              <w:left w:val="nil"/>
              <w:bottom w:val="single" w:sz="4" w:space="0" w:color="auto"/>
              <w:right w:val="single" w:sz="4" w:space="0" w:color="auto"/>
            </w:tcBorders>
            <w:shd w:val="clear" w:color="auto" w:fill="auto"/>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3</w:t>
            </w:r>
          </w:p>
        </w:tc>
        <w:tc>
          <w:tcPr>
            <w:tcW w:w="965" w:type="dxa"/>
            <w:tcBorders>
              <w:top w:val="nil"/>
              <w:left w:val="nil"/>
              <w:bottom w:val="single" w:sz="4" w:space="0" w:color="auto"/>
              <w:right w:val="single" w:sz="4" w:space="0" w:color="auto"/>
            </w:tcBorders>
            <w:shd w:val="clear" w:color="auto" w:fill="auto"/>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4</w:t>
            </w:r>
          </w:p>
        </w:tc>
        <w:tc>
          <w:tcPr>
            <w:tcW w:w="1276" w:type="dxa"/>
            <w:tcBorders>
              <w:top w:val="nil"/>
              <w:left w:val="nil"/>
              <w:bottom w:val="single" w:sz="4" w:space="0" w:color="auto"/>
              <w:right w:val="single" w:sz="4" w:space="0" w:color="auto"/>
            </w:tcBorders>
            <w:shd w:val="clear" w:color="auto" w:fill="auto"/>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12</w:t>
            </w:r>
          </w:p>
        </w:tc>
        <w:tc>
          <w:tcPr>
            <w:tcW w:w="1276" w:type="dxa"/>
            <w:tcBorders>
              <w:top w:val="nil"/>
              <w:left w:val="nil"/>
              <w:bottom w:val="single" w:sz="4" w:space="0" w:color="auto"/>
              <w:right w:val="single" w:sz="4" w:space="0" w:color="auto"/>
            </w:tcBorders>
            <w:shd w:val="clear" w:color="000000" w:fill="FFC000"/>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Medium</w:t>
            </w:r>
          </w:p>
        </w:tc>
        <w:tc>
          <w:tcPr>
            <w:tcW w:w="2693" w:type="dxa"/>
            <w:tcBorders>
              <w:top w:val="nil"/>
              <w:left w:val="nil"/>
              <w:bottom w:val="single" w:sz="4" w:space="0" w:color="auto"/>
              <w:right w:val="single" w:sz="4" w:space="0" w:color="auto"/>
            </w:tcBorders>
            <w:shd w:val="clear" w:color="auto" w:fill="auto"/>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Firewall rule review</w:t>
            </w:r>
          </w:p>
        </w:tc>
        <w:tc>
          <w:tcPr>
            <w:tcW w:w="2835" w:type="dxa"/>
            <w:tcBorders>
              <w:top w:val="nil"/>
              <w:left w:val="nil"/>
              <w:bottom w:val="single" w:sz="4" w:space="0" w:color="auto"/>
              <w:right w:val="single" w:sz="4" w:space="0" w:color="auto"/>
            </w:tcBorders>
            <w:shd w:val="clear" w:color="auto" w:fill="auto"/>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ISO A.13.1.1 / NIST PR.AC-5</w:t>
            </w:r>
          </w:p>
        </w:tc>
        <w:tc>
          <w:tcPr>
            <w:tcW w:w="1683" w:type="dxa"/>
            <w:tcBorders>
              <w:top w:val="nil"/>
              <w:left w:val="nil"/>
              <w:bottom w:val="single" w:sz="4" w:space="0" w:color="auto"/>
              <w:right w:val="single" w:sz="4" w:space="0" w:color="auto"/>
            </w:tcBorders>
            <w:shd w:val="clear" w:color="auto" w:fill="auto"/>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 </w:t>
            </w:r>
          </w:p>
        </w:tc>
        <w:tc>
          <w:tcPr>
            <w:tcW w:w="1120" w:type="dxa"/>
            <w:tcBorders>
              <w:top w:val="nil"/>
              <w:left w:val="nil"/>
              <w:bottom w:val="single" w:sz="4" w:space="0" w:color="auto"/>
              <w:right w:val="single" w:sz="4" w:space="0" w:color="auto"/>
            </w:tcBorders>
            <w:shd w:val="clear" w:color="auto" w:fill="auto"/>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Open</w:t>
            </w:r>
          </w:p>
        </w:tc>
        <w:tc>
          <w:tcPr>
            <w:tcW w:w="1280" w:type="dxa"/>
            <w:tcBorders>
              <w:top w:val="nil"/>
              <w:left w:val="nil"/>
              <w:bottom w:val="single" w:sz="4" w:space="0" w:color="auto"/>
              <w:right w:val="single" w:sz="4" w:space="0" w:color="auto"/>
            </w:tcBorders>
            <w:shd w:val="clear" w:color="auto" w:fill="auto"/>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2025-12-31</w:t>
            </w:r>
          </w:p>
        </w:tc>
        <w:tc>
          <w:tcPr>
            <w:tcW w:w="2580" w:type="dxa"/>
            <w:tcBorders>
              <w:top w:val="nil"/>
              <w:left w:val="nil"/>
              <w:bottom w:val="single" w:sz="4" w:space="0" w:color="auto"/>
              <w:right w:val="single" w:sz="4" w:space="0" w:color="auto"/>
            </w:tcBorders>
            <w:shd w:val="clear" w:color="auto" w:fill="auto"/>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Quarterly review required</w:t>
            </w:r>
          </w:p>
        </w:tc>
      </w:tr>
      <w:tr w:rsidR="006F0869" w:rsidRPr="006F0869" w:rsidTr="006F0869">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RSK-003</w:t>
            </w:r>
          </w:p>
        </w:tc>
        <w:tc>
          <w:tcPr>
            <w:tcW w:w="4320" w:type="dxa"/>
            <w:tcBorders>
              <w:top w:val="nil"/>
              <w:left w:val="nil"/>
              <w:bottom w:val="single" w:sz="4" w:space="0" w:color="auto"/>
              <w:right w:val="single" w:sz="4" w:space="0" w:color="auto"/>
            </w:tcBorders>
            <w:shd w:val="clear" w:color="auto" w:fill="auto"/>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Data leakage from cloud storage</w:t>
            </w:r>
          </w:p>
        </w:tc>
        <w:tc>
          <w:tcPr>
            <w:tcW w:w="1681" w:type="dxa"/>
            <w:tcBorders>
              <w:top w:val="nil"/>
              <w:left w:val="nil"/>
              <w:bottom w:val="single" w:sz="4" w:space="0" w:color="auto"/>
              <w:right w:val="single" w:sz="4" w:space="0" w:color="auto"/>
            </w:tcBorders>
            <w:shd w:val="clear" w:color="auto" w:fill="auto"/>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AWS S3 Buckets</w:t>
            </w:r>
          </w:p>
        </w:tc>
        <w:tc>
          <w:tcPr>
            <w:tcW w:w="1701" w:type="dxa"/>
            <w:tcBorders>
              <w:top w:val="nil"/>
              <w:left w:val="nil"/>
              <w:bottom w:val="single" w:sz="4" w:space="0" w:color="auto"/>
              <w:right w:val="single" w:sz="4" w:space="0" w:color="auto"/>
            </w:tcBorders>
            <w:shd w:val="clear" w:color="auto" w:fill="auto"/>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Cloud Admin</w:t>
            </w:r>
          </w:p>
        </w:tc>
        <w:tc>
          <w:tcPr>
            <w:tcW w:w="1161" w:type="dxa"/>
            <w:tcBorders>
              <w:top w:val="nil"/>
              <w:left w:val="nil"/>
              <w:bottom w:val="single" w:sz="4" w:space="0" w:color="auto"/>
              <w:right w:val="single" w:sz="4" w:space="0" w:color="auto"/>
            </w:tcBorders>
            <w:shd w:val="clear" w:color="auto" w:fill="auto"/>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5</w:t>
            </w:r>
          </w:p>
        </w:tc>
        <w:tc>
          <w:tcPr>
            <w:tcW w:w="965" w:type="dxa"/>
            <w:tcBorders>
              <w:top w:val="nil"/>
              <w:left w:val="nil"/>
              <w:bottom w:val="single" w:sz="4" w:space="0" w:color="auto"/>
              <w:right w:val="single" w:sz="4" w:space="0" w:color="auto"/>
            </w:tcBorders>
            <w:shd w:val="clear" w:color="auto" w:fill="auto"/>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5</w:t>
            </w:r>
          </w:p>
        </w:tc>
        <w:tc>
          <w:tcPr>
            <w:tcW w:w="1276" w:type="dxa"/>
            <w:tcBorders>
              <w:top w:val="nil"/>
              <w:left w:val="nil"/>
              <w:bottom w:val="single" w:sz="4" w:space="0" w:color="auto"/>
              <w:right w:val="single" w:sz="4" w:space="0" w:color="auto"/>
            </w:tcBorders>
            <w:shd w:val="clear" w:color="auto" w:fill="auto"/>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25</w:t>
            </w:r>
          </w:p>
        </w:tc>
        <w:tc>
          <w:tcPr>
            <w:tcW w:w="1276" w:type="dxa"/>
            <w:tcBorders>
              <w:top w:val="nil"/>
              <w:left w:val="nil"/>
              <w:bottom w:val="single" w:sz="4" w:space="0" w:color="auto"/>
              <w:right w:val="single" w:sz="4" w:space="0" w:color="auto"/>
            </w:tcBorders>
            <w:shd w:val="clear" w:color="000000" w:fill="FF0000"/>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High</w:t>
            </w:r>
          </w:p>
        </w:tc>
        <w:tc>
          <w:tcPr>
            <w:tcW w:w="2693" w:type="dxa"/>
            <w:tcBorders>
              <w:top w:val="nil"/>
              <w:left w:val="nil"/>
              <w:bottom w:val="single" w:sz="4" w:space="0" w:color="auto"/>
              <w:right w:val="single" w:sz="4" w:space="0" w:color="auto"/>
            </w:tcBorders>
            <w:shd w:val="clear" w:color="auto" w:fill="auto"/>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Access control, encryption</w:t>
            </w:r>
          </w:p>
        </w:tc>
        <w:tc>
          <w:tcPr>
            <w:tcW w:w="2835" w:type="dxa"/>
            <w:tcBorders>
              <w:top w:val="nil"/>
              <w:left w:val="nil"/>
              <w:bottom w:val="single" w:sz="4" w:space="0" w:color="auto"/>
              <w:right w:val="single" w:sz="4" w:space="0" w:color="auto"/>
            </w:tcBorders>
            <w:shd w:val="clear" w:color="auto" w:fill="auto"/>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ISO A.10.1 / NIST PR.DS-1</w:t>
            </w:r>
          </w:p>
        </w:tc>
        <w:tc>
          <w:tcPr>
            <w:tcW w:w="1683" w:type="dxa"/>
            <w:tcBorders>
              <w:top w:val="nil"/>
              <w:left w:val="nil"/>
              <w:bottom w:val="single" w:sz="4" w:space="0" w:color="auto"/>
              <w:right w:val="single" w:sz="4" w:space="0" w:color="auto"/>
            </w:tcBorders>
            <w:shd w:val="clear" w:color="auto" w:fill="auto"/>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 </w:t>
            </w:r>
          </w:p>
        </w:tc>
        <w:tc>
          <w:tcPr>
            <w:tcW w:w="1120" w:type="dxa"/>
            <w:tcBorders>
              <w:top w:val="nil"/>
              <w:left w:val="nil"/>
              <w:bottom w:val="single" w:sz="4" w:space="0" w:color="auto"/>
              <w:right w:val="single" w:sz="4" w:space="0" w:color="auto"/>
            </w:tcBorders>
            <w:shd w:val="clear" w:color="auto" w:fill="auto"/>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Open</w:t>
            </w:r>
          </w:p>
        </w:tc>
        <w:tc>
          <w:tcPr>
            <w:tcW w:w="1280" w:type="dxa"/>
            <w:tcBorders>
              <w:top w:val="nil"/>
              <w:left w:val="nil"/>
              <w:bottom w:val="single" w:sz="4" w:space="0" w:color="auto"/>
              <w:right w:val="single" w:sz="4" w:space="0" w:color="auto"/>
            </w:tcBorders>
            <w:shd w:val="clear" w:color="auto" w:fill="auto"/>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2026-02-10</w:t>
            </w:r>
          </w:p>
        </w:tc>
        <w:tc>
          <w:tcPr>
            <w:tcW w:w="2580" w:type="dxa"/>
            <w:tcBorders>
              <w:top w:val="nil"/>
              <w:left w:val="nil"/>
              <w:bottom w:val="single" w:sz="4" w:space="0" w:color="auto"/>
              <w:right w:val="single" w:sz="4" w:space="0" w:color="auto"/>
            </w:tcBorders>
            <w:shd w:val="clear" w:color="auto" w:fill="auto"/>
            <w:noWrap/>
            <w:vAlign w:val="center"/>
            <w:hideMark/>
          </w:tcPr>
          <w:p w:rsidR="006F0869" w:rsidRPr="006F0869" w:rsidRDefault="006F0869" w:rsidP="006F0869">
            <w:pPr>
              <w:spacing w:after="0" w:line="240" w:lineRule="auto"/>
              <w:jc w:val="center"/>
              <w:rPr>
                <w:rFonts w:ascii="Calibri" w:eastAsia="Times New Roman" w:hAnsi="Calibri" w:cs="Calibri"/>
                <w:color w:val="000000"/>
                <w:lang w:val="en-GB" w:eastAsia="en-GB"/>
              </w:rPr>
            </w:pPr>
            <w:r w:rsidRPr="006F0869">
              <w:rPr>
                <w:rFonts w:ascii="Calibri" w:eastAsia="Times New Roman" w:hAnsi="Calibri" w:cs="Calibri"/>
                <w:color w:val="000000"/>
                <w:lang w:val="en-GB" w:eastAsia="en-GB"/>
              </w:rPr>
              <w:t>Perform S3 audit</w:t>
            </w:r>
          </w:p>
        </w:tc>
      </w:tr>
    </w:tbl>
    <w:p w:rsidR="004F3BDA" w:rsidRDefault="002F29F7">
      <w:r>
        <w:br/>
        <w:t>The Risk Register shall be reviewed quarterly or upon major process or system changes.</w:t>
      </w:r>
      <w:r>
        <w:br/>
      </w:r>
    </w:p>
    <w:p w:rsidR="004F3BDA" w:rsidRDefault="002F29F7">
      <w:pPr>
        <w:pStyle w:val="Heading3"/>
      </w:pPr>
      <w:r>
        <w:t>5.3 Risk Heat Map</w:t>
      </w:r>
    </w:p>
    <w:p w:rsidR="00E14C27" w:rsidRDefault="006F0869">
      <w:r>
        <w:br/>
        <w:t>The organization utilizes a 5x5 Risk Heat Map</w:t>
      </w:r>
      <w:r w:rsidR="002F29F7">
        <w:t xml:space="preserve"> to visualize risks based on their likelihood and impact ratings.</w:t>
      </w:r>
      <w:r w:rsidR="002F29F7">
        <w:br/>
        <w:t>This map helps priorit</w:t>
      </w:r>
      <w:r>
        <w:t>ize risk treatment efforts</w:t>
      </w:r>
      <w:proofErr w:type="gramStart"/>
      <w:r>
        <w:t>:</w:t>
      </w:r>
      <w:proofErr w:type="gramEnd"/>
      <w:r>
        <w:br/>
        <w:t>- Red Zone (High):</w:t>
      </w:r>
      <w:r w:rsidR="002F29F7">
        <w:t xml:space="preserve"> Imm</w:t>
      </w:r>
      <w:r>
        <w:t>ediate mitigation required.</w:t>
      </w:r>
      <w:r>
        <w:br/>
        <w:t xml:space="preserve">- </w:t>
      </w:r>
      <w:r w:rsidR="002F29F7">
        <w:t xml:space="preserve">Amber </w:t>
      </w:r>
      <w:r>
        <w:t>Zone (Medium):</w:t>
      </w:r>
      <w:r w:rsidR="002F29F7">
        <w:t xml:space="preserve"> Monitor and mitigate with control m</w:t>
      </w:r>
      <w:r>
        <w:t>easures.</w:t>
      </w:r>
      <w:r>
        <w:br/>
        <w:t>- Green Zone (Low):</w:t>
      </w:r>
      <w:r w:rsidR="002F29F7">
        <w:t xml:space="preserve"> Acceptable risks, monitored periodically.</w:t>
      </w:r>
    </w:p>
    <w:p w:rsidR="00A1089A" w:rsidRDefault="00A1089A"/>
    <w:p w:rsidR="00A1089A" w:rsidRDefault="00A1089A"/>
    <w:p w:rsidR="00A1089A" w:rsidRDefault="00A1089A"/>
    <w:p w:rsidR="00A1089A" w:rsidRDefault="00A1089A"/>
    <w:tbl>
      <w:tblPr>
        <w:tblW w:w="6040" w:type="dxa"/>
        <w:tblInd w:w="93" w:type="dxa"/>
        <w:tblLook w:val="04A0"/>
      </w:tblPr>
      <w:tblGrid>
        <w:gridCol w:w="1240"/>
        <w:gridCol w:w="960"/>
        <w:gridCol w:w="960"/>
        <w:gridCol w:w="960"/>
        <w:gridCol w:w="960"/>
        <w:gridCol w:w="960"/>
      </w:tblGrid>
      <w:tr w:rsidR="00E14C27" w:rsidRPr="00E14C27" w:rsidTr="00E14C27">
        <w:trPr>
          <w:trHeight w:val="300"/>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lastRenderedPageBreak/>
              <w:t> </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b/>
                <w:bCs/>
                <w:color w:val="000000"/>
                <w:lang w:val="en-GB" w:eastAsia="en-GB"/>
              </w:rPr>
            </w:pPr>
            <w:r w:rsidRPr="00E14C27">
              <w:rPr>
                <w:rFonts w:ascii="Calibri" w:eastAsia="Times New Roman" w:hAnsi="Calibri" w:cs="Calibri"/>
                <w:b/>
                <w:bCs/>
                <w:color w:val="000000"/>
                <w:lang w:val="en-GB" w:eastAsia="en-GB"/>
              </w:rPr>
              <w:t>Impact 1</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b/>
                <w:bCs/>
                <w:color w:val="000000"/>
                <w:lang w:val="en-GB" w:eastAsia="en-GB"/>
              </w:rPr>
            </w:pPr>
            <w:r w:rsidRPr="00E14C27">
              <w:rPr>
                <w:rFonts w:ascii="Calibri" w:eastAsia="Times New Roman" w:hAnsi="Calibri" w:cs="Calibri"/>
                <w:b/>
                <w:bCs/>
                <w:color w:val="000000"/>
                <w:lang w:val="en-GB" w:eastAsia="en-GB"/>
              </w:rPr>
              <w:t>Impact 2</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b/>
                <w:bCs/>
                <w:color w:val="000000"/>
                <w:lang w:val="en-GB" w:eastAsia="en-GB"/>
              </w:rPr>
            </w:pPr>
            <w:r w:rsidRPr="00E14C27">
              <w:rPr>
                <w:rFonts w:ascii="Calibri" w:eastAsia="Times New Roman" w:hAnsi="Calibri" w:cs="Calibri"/>
                <w:b/>
                <w:bCs/>
                <w:color w:val="000000"/>
                <w:lang w:val="en-GB" w:eastAsia="en-GB"/>
              </w:rPr>
              <w:t>Impact 3</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b/>
                <w:bCs/>
                <w:color w:val="000000"/>
                <w:lang w:val="en-GB" w:eastAsia="en-GB"/>
              </w:rPr>
            </w:pPr>
            <w:r w:rsidRPr="00E14C27">
              <w:rPr>
                <w:rFonts w:ascii="Calibri" w:eastAsia="Times New Roman" w:hAnsi="Calibri" w:cs="Calibri"/>
                <w:b/>
                <w:bCs/>
                <w:color w:val="000000"/>
                <w:lang w:val="en-GB" w:eastAsia="en-GB"/>
              </w:rPr>
              <w:t>Impact 4</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b/>
                <w:bCs/>
                <w:color w:val="000000"/>
                <w:lang w:val="en-GB" w:eastAsia="en-GB"/>
              </w:rPr>
            </w:pPr>
            <w:r w:rsidRPr="00E14C27">
              <w:rPr>
                <w:rFonts w:ascii="Calibri" w:eastAsia="Times New Roman" w:hAnsi="Calibri" w:cs="Calibri"/>
                <w:b/>
                <w:bCs/>
                <w:color w:val="000000"/>
                <w:lang w:val="en-GB" w:eastAsia="en-GB"/>
              </w:rPr>
              <w:t>Impact 5</w:t>
            </w:r>
          </w:p>
        </w:tc>
      </w:tr>
      <w:tr w:rsidR="00E14C27" w:rsidRPr="00E14C27" w:rsidTr="00E14C27">
        <w:trPr>
          <w:trHeight w:val="300"/>
        </w:trPr>
        <w:tc>
          <w:tcPr>
            <w:tcW w:w="1240" w:type="dxa"/>
            <w:tcBorders>
              <w:top w:val="nil"/>
              <w:left w:val="single" w:sz="4" w:space="0" w:color="auto"/>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b/>
                <w:bCs/>
                <w:color w:val="000000"/>
                <w:lang w:val="en-GB" w:eastAsia="en-GB"/>
              </w:rPr>
            </w:pPr>
            <w:r w:rsidRPr="00E14C27">
              <w:rPr>
                <w:rFonts w:ascii="Calibri" w:eastAsia="Times New Roman" w:hAnsi="Calibri" w:cs="Calibri"/>
                <w:b/>
                <w:bCs/>
                <w:color w:val="000000"/>
                <w:lang w:val="en-GB" w:eastAsia="en-GB"/>
              </w:rPr>
              <w:t>Likelihood 1</w:t>
            </w:r>
          </w:p>
        </w:tc>
        <w:tc>
          <w:tcPr>
            <w:tcW w:w="960" w:type="dxa"/>
            <w:tcBorders>
              <w:top w:val="nil"/>
              <w:left w:val="nil"/>
              <w:bottom w:val="single" w:sz="4" w:space="0" w:color="auto"/>
              <w:right w:val="single" w:sz="4" w:space="0" w:color="auto"/>
            </w:tcBorders>
            <w:shd w:val="clear" w:color="000000" w:fill="FFFF00"/>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1</w:t>
            </w:r>
          </w:p>
        </w:tc>
        <w:tc>
          <w:tcPr>
            <w:tcW w:w="960" w:type="dxa"/>
            <w:tcBorders>
              <w:top w:val="nil"/>
              <w:left w:val="nil"/>
              <w:bottom w:val="single" w:sz="4" w:space="0" w:color="auto"/>
              <w:right w:val="single" w:sz="4" w:space="0" w:color="auto"/>
            </w:tcBorders>
            <w:shd w:val="clear" w:color="000000" w:fill="FFFF00"/>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2</w:t>
            </w:r>
          </w:p>
        </w:tc>
        <w:tc>
          <w:tcPr>
            <w:tcW w:w="960" w:type="dxa"/>
            <w:tcBorders>
              <w:top w:val="nil"/>
              <w:left w:val="nil"/>
              <w:bottom w:val="single" w:sz="4" w:space="0" w:color="auto"/>
              <w:right w:val="single" w:sz="4" w:space="0" w:color="auto"/>
            </w:tcBorders>
            <w:shd w:val="clear" w:color="000000" w:fill="FFFF00"/>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3</w:t>
            </w:r>
          </w:p>
        </w:tc>
        <w:tc>
          <w:tcPr>
            <w:tcW w:w="960" w:type="dxa"/>
            <w:tcBorders>
              <w:top w:val="nil"/>
              <w:left w:val="nil"/>
              <w:bottom w:val="single" w:sz="4" w:space="0" w:color="auto"/>
              <w:right w:val="single" w:sz="4" w:space="0" w:color="auto"/>
            </w:tcBorders>
            <w:shd w:val="clear" w:color="000000" w:fill="FFFF00"/>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4</w:t>
            </w:r>
          </w:p>
        </w:tc>
        <w:tc>
          <w:tcPr>
            <w:tcW w:w="960" w:type="dxa"/>
            <w:tcBorders>
              <w:top w:val="nil"/>
              <w:left w:val="nil"/>
              <w:bottom w:val="single" w:sz="4" w:space="0" w:color="auto"/>
              <w:right w:val="single" w:sz="4" w:space="0" w:color="auto"/>
            </w:tcBorders>
            <w:shd w:val="clear" w:color="000000" w:fill="FFFF00"/>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5</w:t>
            </w:r>
          </w:p>
        </w:tc>
      </w:tr>
      <w:tr w:rsidR="00E14C27" w:rsidRPr="00E14C27" w:rsidTr="00E14C27">
        <w:trPr>
          <w:trHeight w:val="300"/>
        </w:trPr>
        <w:tc>
          <w:tcPr>
            <w:tcW w:w="1240" w:type="dxa"/>
            <w:tcBorders>
              <w:top w:val="nil"/>
              <w:left w:val="single" w:sz="4" w:space="0" w:color="auto"/>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b/>
                <w:bCs/>
                <w:color w:val="000000"/>
                <w:lang w:val="en-GB" w:eastAsia="en-GB"/>
              </w:rPr>
            </w:pPr>
            <w:r w:rsidRPr="00E14C27">
              <w:rPr>
                <w:rFonts w:ascii="Calibri" w:eastAsia="Times New Roman" w:hAnsi="Calibri" w:cs="Calibri"/>
                <w:b/>
                <w:bCs/>
                <w:color w:val="000000"/>
                <w:lang w:val="en-GB" w:eastAsia="en-GB"/>
              </w:rPr>
              <w:t>Likelihood 2</w:t>
            </w:r>
          </w:p>
        </w:tc>
        <w:tc>
          <w:tcPr>
            <w:tcW w:w="960" w:type="dxa"/>
            <w:tcBorders>
              <w:top w:val="nil"/>
              <w:left w:val="nil"/>
              <w:bottom w:val="single" w:sz="4" w:space="0" w:color="auto"/>
              <w:right w:val="single" w:sz="4" w:space="0" w:color="auto"/>
            </w:tcBorders>
            <w:shd w:val="clear" w:color="000000" w:fill="FFFF00"/>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2</w:t>
            </w:r>
          </w:p>
        </w:tc>
        <w:tc>
          <w:tcPr>
            <w:tcW w:w="960" w:type="dxa"/>
            <w:tcBorders>
              <w:top w:val="nil"/>
              <w:left w:val="nil"/>
              <w:bottom w:val="single" w:sz="4" w:space="0" w:color="auto"/>
              <w:right w:val="single" w:sz="4" w:space="0" w:color="auto"/>
            </w:tcBorders>
            <w:shd w:val="clear" w:color="000000" w:fill="FFFF00"/>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4</w:t>
            </w:r>
          </w:p>
        </w:tc>
        <w:tc>
          <w:tcPr>
            <w:tcW w:w="960" w:type="dxa"/>
            <w:tcBorders>
              <w:top w:val="nil"/>
              <w:left w:val="nil"/>
              <w:bottom w:val="single" w:sz="4" w:space="0" w:color="auto"/>
              <w:right w:val="single" w:sz="4" w:space="0" w:color="auto"/>
            </w:tcBorders>
            <w:shd w:val="clear" w:color="000000" w:fill="FFFF00"/>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6</w:t>
            </w:r>
          </w:p>
        </w:tc>
        <w:tc>
          <w:tcPr>
            <w:tcW w:w="960" w:type="dxa"/>
            <w:tcBorders>
              <w:top w:val="nil"/>
              <w:left w:val="nil"/>
              <w:bottom w:val="single" w:sz="4" w:space="0" w:color="auto"/>
              <w:right w:val="single" w:sz="4" w:space="0" w:color="auto"/>
            </w:tcBorders>
            <w:shd w:val="clear" w:color="000000" w:fill="FFFF00"/>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8</w:t>
            </w:r>
          </w:p>
        </w:tc>
        <w:tc>
          <w:tcPr>
            <w:tcW w:w="960" w:type="dxa"/>
            <w:tcBorders>
              <w:top w:val="nil"/>
              <w:left w:val="nil"/>
              <w:bottom w:val="single" w:sz="4" w:space="0" w:color="auto"/>
              <w:right w:val="single" w:sz="4" w:space="0" w:color="auto"/>
            </w:tcBorders>
            <w:shd w:val="clear" w:color="000000" w:fill="FFA500"/>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10</w:t>
            </w:r>
          </w:p>
        </w:tc>
      </w:tr>
      <w:tr w:rsidR="00E14C27" w:rsidRPr="00E14C27" w:rsidTr="00E14C27">
        <w:trPr>
          <w:trHeight w:val="300"/>
        </w:trPr>
        <w:tc>
          <w:tcPr>
            <w:tcW w:w="1240" w:type="dxa"/>
            <w:tcBorders>
              <w:top w:val="nil"/>
              <w:left w:val="single" w:sz="4" w:space="0" w:color="auto"/>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b/>
                <w:bCs/>
                <w:color w:val="000000"/>
                <w:lang w:val="en-GB" w:eastAsia="en-GB"/>
              </w:rPr>
            </w:pPr>
            <w:r w:rsidRPr="00E14C27">
              <w:rPr>
                <w:rFonts w:ascii="Calibri" w:eastAsia="Times New Roman" w:hAnsi="Calibri" w:cs="Calibri"/>
                <w:b/>
                <w:bCs/>
                <w:color w:val="000000"/>
                <w:lang w:val="en-GB" w:eastAsia="en-GB"/>
              </w:rPr>
              <w:t>Likelihood 3</w:t>
            </w:r>
          </w:p>
        </w:tc>
        <w:tc>
          <w:tcPr>
            <w:tcW w:w="960" w:type="dxa"/>
            <w:tcBorders>
              <w:top w:val="nil"/>
              <w:left w:val="nil"/>
              <w:bottom w:val="single" w:sz="4" w:space="0" w:color="auto"/>
              <w:right w:val="single" w:sz="4" w:space="0" w:color="auto"/>
            </w:tcBorders>
            <w:shd w:val="clear" w:color="000000" w:fill="FFFF00"/>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3</w:t>
            </w:r>
          </w:p>
        </w:tc>
        <w:tc>
          <w:tcPr>
            <w:tcW w:w="960" w:type="dxa"/>
            <w:tcBorders>
              <w:top w:val="nil"/>
              <w:left w:val="nil"/>
              <w:bottom w:val="single" w:sz="4" w:space="0" w:color="auto"/>
              <w:right w:val="single" w:sz="4" w:space="0" w:color="auto"/>
            </w:tcBorders>
            <w:shd w:val="clear" w:color="000000" w:fill="FFFF00"/>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6</w:t>
            </w:r>
          </w:p>
        </w:tc>
        <w:tc>
          <w:tcPr>
            <w:tcW w:w="960" w:type="dxa"/>
            <w:tcBorders>
              <w:top w:val="nil"/>
              <w:left w:val="nil"/>
              <w:bottom w:val="single" w:sz="4" w:space="0" w:color="auto"/>
              <w:right w:val="single" w:sz="4" w:space="0" w:color="auto"/>
            </w:tcBorders>
            <w:shd w:val="clear" w:color="000000" w:fill="FFFF00"/>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9</w:t>
            </w:r>
          </w:p>
        </w:tc>
        <w:tc>
          <w:tcPr>
            <w:tcW w:w="960" w:type="dxa"/>
            <w:tcBorders>
              <w:top w:val="nil"/>
              <w:left w:val="nil"/>
              <w:bottom w:val="single" w:sz="4" w:space="0" w:color="auto"/>
              <w:right w:val="single" w:sz="4" w:space="0" w:color="auto"/>
            </w:tcBorders>
            <w:shd w:val="clear" w:color="000000" w:fill="FFA500"/>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12</w:t>
            </w:r>
          </w:p>
        </w:tc>
        <w:tc>
          <w:tcPr>
            <w:tcW w:w="960" w:type="dxa"/>
            <w:tcBorders>
              <w:top w:val="nil"/>
              <w:left w:val="nil"/>
              <w:bottom w:val="single" w:sz="4" w:space="0" w:color="auto"/>
              <w:right w:val="single" w:sz="4" w:space="0" w:color="auto"/>
            </w:tcBorders>
            <w:shd w:val="clear" w:color="000000" w:fill="FFA500"/>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15</w:t>
            </w:r>
          </w:p>
        </w:tc>
      </w:tr>
      <w:tr w:rsidR="00E14C27" w:rsidRPr="00E14C27" w:rsidTr="00E14C27">
        <w:trPr>
          <w:trHeight w:val="300"/>
        </w:trPr>
        <w:tc>
          <w:tcPr>
            <w:tcW w:w="1240" w:type="dxa"/>
            <w:tcBorders>
              <w:top w:val="nil"/>
              <w:left w:val="single" w:sz="4" w:space="0" w:color="auto"/>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b/>
                <w:bCs/>
                <w:color w:val="000000"/>
                <w:lang w:val="en-GB" w:eastAsia="en-GB"/>
              </w:rPr>
            </w:pPr>
            <w:r w:rsidRPr="00E14C27">
              <w:rPr>
                <w:rFonts w:ascii="Calibri" w:eastAsia="Times New Roman" w:hAnsi="Calibri" w:cs="Calibri"/>
                <w:b/>
                <w:bCs/>
                <w:color w:val="000000"/>
                <w:lang w:val="en-GB" w:eastAsia="en-GB"/>
              </w:rPr>
              <w:t>Likelihood 4</w:t>
            </w:r>
          </w:p>
        </w:tc>
        <w:tc>
          <w:tcPr>
            <w:tcW w:w="960" w:type="dxa"/>
            <w:tcBorders>
              <w:top w:val="nil"/>
              <w:left w:val="nil"/>
              <w:bottom w:val="single" w:sz="4" w:space="0" w:color="auto"/>
              <w:right w:val="single" w:sz="4" w:space="0" w:color="auto"/>
            </w:tcBorders>
            <w:shd w:val="clear" w:color="000000" w:fill="FFFF00"/>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4</w:t>
            </w:r>
          </w:p>
        </w:tc>
        <w:tc>
          <w:tcPr>
            <w:tcW w:w="960" w:type="dxa"/>
            <w:tcBorders>
              <w:top w:val="nil"/>
              <w:left w:val="nil"/>
              <w:bottom w:val="single" w:sz="4" w:space="0" w:color="auto"/>
              <w:right w:val="single" w:sz="4" w:space="0" w:color="auto"/>
            </w:tcBorders>
            <w:shd w:val="clear" w:color="000000" w:fill="FFFF00"/>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8</w:t>
            </w:r>
          </w:p>
        </w:tc>
        <w:tc>
          <w:tcPr>
            <w:tcW w:w="960" w:type="dxa"/>
            <w:tcBorders>
              <w:top w:val="nil"/>
              <w:left w:val="nil"/>
              <w:bottom w:val="single" w:sz="4" w:space="0" w:color="auto"/>
              <w:right w:val="single" w:sz="4" w:space="0" w:color="auto"/>
            </w:tcBorders>
            <w:shd w:val="clear" w:color="000000" w:fill="FFA500"/>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12</w:t>
            </w:r>
          </w:p>
        </w:tc>
        <w:tc>
          <w:tcPr>
            <w:tcW w:w="960" w:type="dxa"/>
            <w:tcBorders>
              <w:top w:val="nil"/>
              <w:left w:val="nil"/>
              <w:bottom w:val="single" w:sz="4" w:space="0" w:color="auto"/>
              <w:right w:val="single" w:sz="4" w:space="0" w:color="auto"/>
            </w:tcBorders>
            <w:shd w:val="clear" w:color="000000" w:fill="FFA500"/>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16</w:t>
            </w:r>
          </w:p>
        </w:tc>
        <w:tc>
          <w:tcPr>
            <w:tcW w:w="960" w:type="dxa"/>
            <w:tcBorders>
              <w:top w:val="nil"/>
              <w:left w:val="nil"/>
              <w:bottom w:val="single" w:sz="4" w:space="0" w:color="auto"/>
              <w:right w:val="single" w:sz="4" w:space="0" w:color="auto"/>
            </w:tcBorders>
            <w:shd w:val="clear" w:color="000000" w:fill="FF0000"/>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20</w:t>
            </w:r>
          </w:p>
        </w:tc>
      </w:tr>
      <w:tr w:rsidR="00E14C27" w:rsidRPr="00E14C27" w:rsidTr="00E14C27">
        <w:trPr>
          <w:trHeight w:val="300"/>
        </w:trPr>
        <w:tc>
          <w:tcPr>
            <w:tcW w:w="1240" w:type="dxa"/>
            <w:tcBorders>
              <w:top w:val="nil"/>
              <w:left w:val="single" w:sz="4" w:space="0" w:color="auto"/>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b/>
                <w:bCs/>
                <w:color w:val="000000"/>
                <w:lang w:val="en-GB" w:eastAsia="en-GB"/>
              </w:rPr>
            </w:pPr>
            <w:r w:rsidRPr="00E14C27">
              <w:rPr>
                <w:rFonts w:ascii="Calibri" w:eastAsia="Times New Roman" w:hAnsi="Calibri" w:cs="Calibri"/>
                <w:b/>
                <w:bCs/>
                <w:color w:val="000000"/>
                <w:lang w:val="en-GB" w:eastAsia="en-GB"/>
              </w:rPr>
              <w:t>Likelihood 5</w:t>
            </w:r>
          </w:p>
        </w:tc>
        <w:tc>
          <w:tcPr>
            <w:tcW w:w="960" w:type="dxa"/>
            <w:tcBorders>
              <w:top w:val="nil"/>
              <w:left w:val="nil"/>
              <w:bottom w:val="single" w:sz="4" w:space="0" w:color="auto"/>
              <w:right w:val="single" w:sz="4" w:space="0" w:color="auto"/>
            </w:tcBorders>
            <w:shd w:val="clear" w:color="000000" w:fill="FFFF00"/>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5</w:t>
            </w:r>
          </w:p>
        </w:tc>
        <w:tc>
          <w:tcPr>
            <w:tcW w:w="960" w:type="dxa"/>
            <w:tcBorders>
              <w:top w:val="nil"/>
              <w:left w:val="nil"/>
              <w:bottom w:val="single" w:sz="4" w:space="0" w:color="auto"/>
              <w:right w:val="single" w:sz="4" w:space="0" w:color="auto"/>
            </w:tcBorders>
            <w:shd w:val="clear" w:color="000000" w:fill="FFA500"/>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10</w:t>
            </w:r>
          </w:p>
        </w:tc>
        <w:tc>
          <w:tcPr>
            <w:tcW w:w="960" w:type="dxa"/>
            <w:tcBorders>
              <w:top w:val="nil"/>
              <w:left w:val="nil"/>
              <w:bottom w:val="single" w:sz="4" w:space="0" w:color="auto"/>
              <w:right w:val="single" w:sz="4" w:space="0" w:color="auto"/>
            </w:tcBorders>
            <w:shd w:val="clear" w:color="000000" w:fill="FFA500"/>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15</w:t>
            </w:r>
          </w:p>
        </w:tc>
        <w:tc>
          <w:tcPr>
            <w:tcW w:w="960" w:type="dxa"/>
            <w:tcBorders>
              <w:top w:val="nil"/>
              <w:left w:val="nil"/>
              <w:bottom w:val="single" w:sz="4" w:space="0" w:color="auto"/>
              <w:right w:val="single" w:sz="4" w:space="0" w:color="auto"/>
            </w:tcBorders>
            <w:shd w:val="clear" w:color="000000" w:fill="FF0000"/>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20</w:t>
            </w:r>
          </w:p>
        </w:tc>
        <w:tc>
          <w:tcPr>
            <w:tcW w:w="960" w:type="dxa"/>
            <w:tcBorders>
              <w:top w:val="nil"/>
              <w:left w:val="nil"/>
              <w:bottom w:val="single" w:sz="4" w:space="0" w:color="auto"/>
              <w:right w:val="single" w:sz="4" w:space="0" w:color="auto"/>
            </w:tcBorders>
            <w:shd w:val="clear" w:color="000000" w:fill="FF0000"/>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25</w:t>
            </w:r>
          </w:p>
        </w:tc>
      </w:tr>
    </w:tbl>
    <w:p w:rsidR="004F3BDA" w:rsidRDefault="002F29F7">
      <w:r>
        <w:br/>
      </w:r>
    </w:p>
    <w:p w:rsidR="004F3BDA" w:rsidRDefault="002F29F7">
      <w:pPr>
        <w:pStyle w:val="Heading3"/>
      </w:pPr>
      <w:r>
        <w:t>5.4 Risk Treatment &amp; Controls</w:t>
      </w:r>
    </w:p>
    <w:p w:rsidR="00E14C27" w:rsidRDefault="002F29F7">
      <w:r>
        <w:br/>
        <w:t>Risk treatment options include</w:t>
      </w:r>
      <w:proofErr w:type="gramStart"/>
      <w:r>
        <w:t>:</w:t>
      </w:r>
      <w:proofErr w:type="gramEnd"/>
      <w:r>
        <w:br/>
        <w:t>- Implementing ISO 27001 Annex A controls.</w:t>
      </w:r>
      <w:r>
        <w:br/>
        <w:t>- Transferring risk through insurance or outsourcing.</w:t>
      </w:r>
      <w:r>
        <w:br/>
        <w:t>- Avoiding risk by discontinuing risky processes.</w:t>
      </w:r>
      <w:r>
        <w:br/>
        <w:t>- Accepting residual risk within tolerance thresholds.</w:t>
      </w:r>
      <w:r>
        <w:br/>
      </w:r>
      <w:r>
        <w:br/>
        <w:t xml:space="preserve">Control implementation shall be aligned with ISO 27001 Annex </w:t>
      </w:r>
      <w:proofErr w:type="gramStart"/>
      <w:r>
        <w:t>A</w:t>
      </w:r>
      <w:proofErr w:type="gramEnd"/>
      <w:r>
        <w:t xml:space="preserve"> (A.5–A.18) and may reference NIST CSF or CIS Controls. Control effectiveness shall be verified through periodic audits and continuous monitoring.</w:t>
      </w:r>
      <w:r>
        <w:br/>
      </w:r>
    </w:p>
    <w:tbl>
      <w:tblPr>
        <w:tblW w:w="9056" w:type="dxa"/>
        <w:tblInd w:w="93" w:type="dxa"/>
        <w:tblLook w:val="04A0"/>
      </w:tblPr>
      <w:tblGrid>
        <w:gridCol w:w="619"/>
        <w:gridCol w:w="1331"/>
        <w:gridCol w:w="1211"/>
        <w:gridCol w:w="1161"/>
        <w:gridCol w:w="849"/>
        <w:gridCol w:w="971"/>
        <w:gridCol w:w="1210"/>
        <w:gridCol w:w="1598"/>
        <w:gridCol w:w="1005"/>
        <w:gridCol w:w="804"/>
        <w:gridCol w:w="992"/>
        <w:gridCol w:w="1767"/>
        <w:gridCol w:w="884"/>
        <w:gridCol w:w="1286"/>
      </w:tblGrid>
      <w:tr w:rsidR="00E14C27" w:rsidRPr="00E14C27" w:rsidTr="00E14C27">
        <w:trPr>
          <w:trHeight w:val="300"/>
        </w:trPr>
        <w:tc>
          <w:tcPr>
            <w:tcW w:w="238" w:type="dxa"/>
            <w:tcBorders>
              <w:top w:val="single" w:sz="4" w:space="0" w:color="auto"/>
              <w:left w:val="single" w:sz="4" w:space="0" w:color="auto"/>
              <w:bottom w:val="single" w:sz="4" w:space="0" w:color="auto"/>
              <w:right w:val="single" w:sz="4" w:space="0" w:color="auto"/>
            </w:tcBorders>
            <w:shd w:val="clear" w:color="000000" w:fill="B2A1C7"/>
            <w:noWrap/>
            <w:vAlign w:val="center"/>
            <w:hideMark/>
          </w:tcPr>
          <w:p w:rsidR="00E14C27" w:rsidRPr="00E14C27" w:rsidRDefault="00E14C27" w:rsidP="00E14C27">
            <w:pPr>
              <w:spacing w:after="0" w:line="240" w:lineRule="auto"/>
              <w:jc w:val="center"/>
              <w:rPr>
                <w:rFonts w:ascii="Calibri" w:eastAsia="Times New Roman" w:hAnsi="Calibri" w:cs="Calibri"/>
                <w:b/>
                <w:bCs/>
                <w:color w:val="000000"/>
                <w:lang w:val="en-GB" w:eastAsia="en-GB"/>
              </w:rPr>
            </w:pPr>
            <w:r w:rsidRPr="00E14C27">
              <w:rPr>
                <w:rFonts w:ascii="Calibri" w:eastAsia="Times New Roman" w:hAnsi="Calibri" w:cs="Calibri"/>
                <w:b/>
                <w:bCs/>
                <w:color w:val="000000"/>
                <w:lang w:val="en-GB" w:eastAsia="en-GB"/>
              </w:rPr>
              <w:t>Risk ID</w:t>
            </w:r>
          </w:p>
        </w:tc>
        <w:tc>
          <w:tcPr>
            <w:tcW w:w="1292" w:type="dxa"/>
            <w:tcBorders>
              <w:top w:val="single" w:sz="4" w:space="0" w:color="auto"/>
              <w:left w:val="nil"/>
              <w:bottom w:val="single" w:sz="4" w:space="0" w:color="auto"/>
              <w:right w:val="single" w:sz="4" w:space="0" w:color="auto"/>
            </w:tcBorders>
            <w:shd w:val="clear" w:color="000000" w:fill="B2A1C7"/>
            <w:noWrap/>
            <w:vAlign w:val="center"/>
            <w:hideMark/>
          </w:tcPr>
          <w:p w:rsidR="00E14C27" w:rsidRPr="00E14C27" w:rsidRDefault="00E14C27" w:rsidP="00E14C27">
            <w:pPr>
              <w:spacing w:after="0" w:line="240" w:lineRule="auto"/>
              <w:jc w:val="center"/>
              <w:rPr>
                <w:rFonts w:ascii="Calibri" w:eastAsia="Times New Roman" w:hAnsi="Calibri" w:cs="Calibri"/>
                <w:b/>
                <w:bCs/>
                <w:color w:val="000000"/>
                <w:lang w:val="en-GB" w:eastAsia="en-GB"/>
              </w:rPr>
            </w:pPr>
            <w:r w:rsidRPr="00E14C27">
              <w:rPr>
                <w:rFonts w:ascii="Calibri" w:eastAsia="Times New Roman" w:hAnsi="Calibri" w:cs="Calibri"/>
                <w:b/>
                <w:bCs/>
                <w:color w:val="000000"/>
                <w:lang w:val="en-GB" w:eastAsia="en-GB"/>
              </w:rPr>
              <w:t>Risk Description</w:t>
            </w:r>
          </w:p>
        </w:tc>
        <w:tc>
          <w:tcPr>
            <w:tcW w:w="401" w:type="dxa"/>
            <w:tcBorders>
              <w:top w:val="single" w:sz="4" w:space="0" w:color="auto"/>
              <w:left w:val="nil"/>
              <w:bottom w:val="single" w:sz="4" w:space="0" w:color="auto"/>
              <w:right w:val="single" w:sz="4" w:space="0" w:color="auto"/>
            </w:tcBorders>
            <w:shd w:val="clear" w:color="000000" w:fill="B2A1C7"/>
            <w:noWrap/>
            <w:vAlign w:val="center"/>
            <w:hideMark/>
          </w:tcPr>
          <w:p w:rsidR="00E14C27" w:rsidRPr="00E14C27" w:rsidRDefault="00E14C27" w:rsidP="00E14C27">
            <w:pPr>
              <w:spacing w:after="0" w:line="240" w:lineRule="auto"/>
              <w:jc w:val="center"/>
              <w:rPr>
                <w:rFonts w:ascii="Calibri" w:eastAsia="Times New Roman" w:hAnsi="Calibri" w:cs="Calibri"/>
                <w:b/>
                <w:bCs/>
                <w:color w:val="000000"/>
                <w:lang w:val="en-GB" w:eastAsia="en-GB"/>
              </w:rPr>
            </w:pPr>
            <w:r w:rsidRPr="00E14C27">
              <w:rPr>
                <w:rFonts w:ascii="Calibri" w:eastAsia="Times New Roman" w:hAnsi="Calibri" w:cs="Calibri"/>
                <w:b/>
                <w:bCs/>
                <w:color w:val="000000"/>
                <w:lang w:val="en-GB" w:eastAsia="en-GB"/>
              </w:rPr>
              <w:t>Risk Owner</w:t>
            </w:r>
          </w:p>
        </w:tc>
        <w:tc>
          <w:tcPr>
            <w:tcW w:w="426" w:type="dxa"/>
            <w:tcBorders>
              <w:top w:val="single" w:sz="4" w:space="0" w:color="auto"/>
              <w:left w:val="nil"/>
              <w:bottom w:val="single" w:sz="4" w:space="0" w:color="auto"/>
              <w:right w:val="single" w:sz="4" w:space="0" w:color="auto"/>
            </w:tcBorders>
            <w:shd w:val="clear" w:color="000000" w:fill="B2A1C7"/>
            <w:noWrap/>
            <w:vAlign w:val="center"/>
            <w:hideMark/>
          </w:tcPr>
          <w:p w:rsidR="00E14C27" w:rsidRPr="00E14C27" w:rsidRDefault="00E14C27" w:rsidP="00E14C27">
            <w:pPr>
              <w:spacing w:after="0" w:line="240" w:lineRule="auto"/>
              <w:jc w:val="center"/>
              <w:rPr>
                <w:rFonts w:ascii="Calibri" w:eastAsia="Times New Roman" w:hAnsi="Calibri" w:cs="Calibri"/>
                <w:b/>
                <w:bCs/>
                <w:color w:val="000000"/>
                <w:lang w:val="en-GB" w:eastAsia="en-GB"/>
              </w:rPr>
            </w:pPr>
            <w:r w:rsidRPr="00E14C27">
              <w:rPr>
                <w:rFonts w:ascii="Calibri" w:eastAsia="Times New Roman" w:hAnsi="Calibri" w:cs="Calibri"/>
                <w:b/>
                <w:bCs/>
                <w:color w:val="000000"/>
                <w:lang w:val="en-GB" w:eastAsia="en-GB"/>
              </w:rPr>
              <w:t>Likelihood (1-5)</w:t>
            </w:r>
          </w:p>
        </w:tc>
        <w:tc>
          <w:tcPr>
            <w:tcW w:w="334" w:type="dxa"/>
            <w:tcBorders>
              <w:top w:val="single" w:sz="4" w:space="0" w:color="auto"/>
              <w:left w:val="nil"/>
              <w:bottom w:val="single" w:sz="4" w:space="0" w:color="auto"/>
              <w:right w:val="single" w:sz="4" w:space="0" w:color="auto"/>
            </w:tcBorders>
            <w:shd w:val="clear" w:color="000000" w:fill="B2A1C7"/>
            <w:noWrap/>
            <w:vAlign w:val="center"/>
            <w:hideMark/>
          </w:tcPr>
          <w:p w:rsidR="00E14C27" w:rsidRPr="00E14C27" w:rsidRDefault="00E14C27" w:rsidP="00E14C27">
            <w:pPr>
              <w:spacing w:after="0" w:line="240" w:lineRule="auto"/>
              <w:jc w:val="center"/>
              <w:rPr>
                <w:rFonts w:ascii="Calibri" w:eastAsia="Times New Roman" w:hAnsi="Calibri" w:cs="Calibri"/>
                <w:b/>
                <w:bCs/>
                <w:color w:val="000000"/>
                <w:lang w:val="en-GB" w:eastAsia="en-GB"/>
              </w:rPr>
            </w:pPr>
            <w:r w:rsidRPr="00E14C27">
              <w:rPr>
                <w:rFonts w:ascii="Calibri" w:eastAsia="Times New Roman" w:hAnsi="Calibri" w:cs="Calibri"/>
                <w:b/>
                <w:bCs/>
                <w:color w:val="000000"/>
                <w:lang w:val="en-GB" w:eastAsia="en-GB"/>
              </w:rPr>
              <w:t>Impact (1-5)</w:t>
            </w:r>
          </w:p>
        </w:tc>
        <w:tc>
          <w:tcPr>
            <w:tcW w:w="283" w:type="dxa"/>
            <w:tcBorders>
              <w:top w:val="single" w:sz="4" w:space="0" w:color="auto"/>
              <w:left w:val="nil"/>
              <w:bottom w:val="single" w:sz="4" w:space="0" w:color="auto"/>
              <w:right w:val="single" w:sz="4" w:space="0" w:color="auto"/>
            </w:tcBorders>
            <w:shd w:val="clear" w:color="000000" w:fill="B2A1C7"/>
            <w:noWrap/>
            <w:vAlign w:val="center"/>
            <w:hideMark/>
          </w:tcPr>
          <w:p w:rsidR="00E14C27" w:rsidRPr="00E14C27" w:rsidRDefault="00E14C27" w:rsidP="00E14C27">
            <w:pPr>
              <w:spacing w:after="0" w:line="240" w:lineRule="auto"/>
              <w:jc w:val="center"/>
              <w:rPr>
                <w:rFonts w:ascii="Calibri" w:eastAsia="Times New Roman" w:hAnsi="Calibri" w:cs="Calibri"/>
                <w:b/>
                <w:bCs/>
                <w:color w:val="000000"/>
                <w:lang w:val="en-GB" w:eastAsia="en-GB"/>
              </w:rPr>
            </w:pPr>
            <w:r w:rsidRPr="00E14C27">
              <w:rPr>
                <w:rFonts w:ascii="Calibri" w:eastAsia="Times New Roman" w:hAnsi="Calibri" w:cs="Calibri"/>
                <w:b/>
                <w:bCs/>
                <w:color w:val="000000"/>
                <w:lang w:val="en-GB" w:eastAsia="en-GB"/>
              </w:rPr>
              <w:t>Risk Level</w:t>
            </w:r>
          </w:p>
        </w:tc>
        <w:tc>
          <w:tcPr>
            <w:tcW w:w="1000" w:type="dxa"/>
            <w:tcBorders>
              <w:top w:val="single" w:sz="4" w:space="0" w:color="auto"/>
              <w:left w:val="nil"/>
              <w:bottom w:val="single" w:sz="4" w:space="0" w:color="auto"/>
              <w:right w:val="single" w:sz="4" w:space="0" w:color="auto"/>
            </w:tcBorders>
            <w:shd w:val="clear" w:color="000000" w:fill="B2A1C7"/>
            <w:noWrap/>
            <w:vAlign w:val="center"/>
            <w:hideMark/>
          </w:tcPr>
          <w:p w:rsidR="00E14C27" w:rsidRPr="00E14C27" w:rsidRDefault="00E14C27" w:rsidP="00E14C27">
            <w:pPr>
              <w:spacing w:after="0" w:line="240" w:lineRule="auto"/>
              <w:jc w:val="center"/>
              <w:rPr>
                <w:rFonts w:ascii="Calibri" w:eastAsia="Times New Roman" w:hAnsi="Calibri" w:cs="Calibri"/>
                <w:b/>
                <w:bCs/>
                <w:color w:val="000000"/>
                <w:lang w:val="en-GB" w:eastAsia="en-GB"/>
              </w:rPr>
            </w:pPr>
            <w:r w:rsidRPr="00E14C27">
              <w:rPr>
                <w:rFonts w:ascii="Calibri" w:eastAsia="Times New Roman" w:hAnsi="Calibri" w:cs="Calibri"/>
                <w:b/>
                <w:bCs/>
                <w:color w:val="000000"/>
                <w:lang w:val="en-GB" w:eastAsia="en-GB"/>
              </w:rPr>
              <w:t>Existing Controls</w:t>
            </w:r>
          </w:p>
        </w:tc>
        <w:tc>
          <w:tcPr>
            <w:tcW w:w="1598" w:type="dxa"/>
            <w:tcBorders>
              <w:top w:val="single" w:sz="4" w:space="0" w:color="auto"/>
              <w:left w:val="nil"/>
              <w:bottom w:val="single" w:sz="4" w:space="0" w:color="auto"/>
              <w:right w:val="single" w:sz="4" w:space="0" w:color="auto"/>
            </w:tcBorders>
            <w:shd w:val="clear" w:color="000000" w:fill="B2A1C7"/>
            <w:noWrap/>
            <w:vAlign w:val="center"/>
            <w:hideMark/>
          </w:tcPr>
          <w:p w:rsidR="00E14C27" w:rsidRPr="00E14C27" w:rsidRDefault="00E14C27" w:rsidP="00E14C27">
            <w:pPr>
              <w:spacing w:after="0" w:line="240" w:lineRule="auto"/>
              <w:jc w:val="center"/>
              <w:rPr>
                <w:rFonts w:ascii="Calibri" w:eastAsia="Times New Roman" w:hAnsi="Calibri" w:cs="Calibri"/>
                <w:b/>
                <w:bCs/>
                <w:color w:val="000000"/>
                <w:lang w:val="en-GB" w:eastAsia="en-GB"/>
              </w:rPr>
            </w:pPr>
            <w:r w:rsidRPr="00E14C27">
              <w:rPr>
                <w:rFonts w:ascii="Calibri" w:eastAsia="Times New Roman" w:hAnsi="Calibri" w:cs="Calibri"/>
                <w:b/>
                <w:bCs/>
                <w:color w:val="000000"/>
                <w:lang w:val="en-GB" w:eastAsia="en-GB"/>
              </w:rPr>
              <w:t>Proposed Controls / Mitigation Actions</w:t>
            </w:r>
          </w:p>
        </w:tc>
        <w:tc>
          <w:tcPr>
            <w:tcW w:w="488" w:type="dxa"/>
            <w:tcBorders>
              <w:top w:val="single" w:sz="4" w:space="0" w:color="auto"/>
              <w:left w:val="nil"/>
              <w:bottom w:val="single" w:sz="4" w:space="0" w:color="auto"/>
              <w:right w:val="single" w:sz="4" w:space="0" w:color="auto"/>
            </w:tcBorders>
            <w:shd w:val="clear" w:color="000000" w:fill="B2A1C7"/>
            <w:noWrap/>
            <w:vAlign w:val="center"/>
            <w:hideMark/>
          </w:tcPr>
          <w:p w:rsidR="00E14C27" w:rsidRPr="00E14C27" w:rsidRDefault="00E14C27" w:rsidP="00E14C27">
            <w:pPr>
              <w:spacing w:after="0" w:line="240" w:lineRule="auto"/>
              <w:jc w:val="center"/>
              <w:rPr>
                <w:rFonts w:ascii="Calibri" w:eastAsia="Times New Roman" w:hAnsi="Calibri" w:cs="Calibri"/>
                <w:b/>
                <w:bCs/>
                <w:color w:val="000000"/>
                <w:lang w:val="en-GB" w:eastAsia="en-GB"/>
              </w:rPr>
            </w:pPr>
            <w:r w:rsidRPr="00E14C27">
              <w:rPr>
                <w:rFonts w:ascii="Calibri" w:eastAsia="Times New Roman" w:hAnsi="Calibri" w:cs="Calibri"/>
                <w:b/>
                <w:bCs/>
                <w:color w:val="000000"/>
                <w:lang w:val="en-GB" w:eastAsia="en-GB"/>
              </w:rPr>
              <w:t>Control Owner</w:t>
            </w:r>
          </w:p>
        </w:tc>
        <w:tc>
          <w:tcPr>
            <w:tcW w:w="324" w:type="dxa"/>
            <w:tcBorders>
              <w:top w:val="single" w:sz="4" w:space="0" w:color="auto"/>
              <w:left w:val="nil"/>
              <w:bottom w:val="single" w:sz="4" w:space="0" w:color="auto"/>
              <w:right w:val="single" w:sz="4" w:space="0" w:color="auto"/>
            </w:tcBorders>
            <w:shd w:val="clear" w:color="000000" w:fill="B2A1C7"/>
            <w:noWrap/>
            <w:vAlign w:val="center"/>
            <w:hideMark/>
          </w:tcPr>
          <w:p w:rsidR="00E14C27" w:rsidRPr="00E14C27" w:rsidRDefault="00E14C27" w:rsidP="00E14C27">
            <w:pPr>
              <w:spacing w:after="0" w:line="240" w:lineRule="auto"/>
              <w:jc w:val="center"/>
              <w:rPr>
                <w:rFonts w:ascii="Calibri" w:eastAsia="Times New Roman" w:hAnsi="Calibri" w:cs="Calibri"/>
                <w:b/>
                <w:bCs/>
                <w:color w:val="000000"/>
                <w:lang w:val="en-GB" w:eastAsia="en-GB"/>
              </w:rPr>
            </w:pPr>
            <w:r w:rsidRPr="00E14C27">
              <w:rPr>
                <w:rFonts w:ascii="Calibri" w:eastAsia="Times New Roman" w:hAnsi="Calibri" w:cs="Calibri"/>
                <w:b/>
                <w:bCs/>
                <w:color w:val="000000"/>
                <w:lang w:val="en-GB" w:eastAsia="en-GB"/>
              </w:rPr>
              <w:t>Target Date</w:t>
            </w:r>
          </w:p>
        </w:tc>
        <w:tc>
          <w:tcPr>
            <w:tcW w:w="508" w:type="dxa"/>
            <w:tcBorders>
              <w:top w:val="single" w:sz="4" w:space="0" w:color="auto"/>
              <w:left w:val="nil"/>
              <w:bottom w:val="single" w:sz="4" w:space="0" w:color="auto"/>
              <w:right w:val="single" w:sz="4" w:space="0" w:color="auto"/>
            </w:tcBorders>
            <w:shd w:val="clear" w:color="000000" w:fill="B2A1C7"/>
            <w:noWrap/>
            <w:vAlign w:val="center"/>
            <w:hideMark/>
          </w:tcPr>
          <w:p w:rsidR="00E14C27" w:rsidRPr="00E14C27" w:rsidRDefault="00E14C27" w:rsidP="00E14C27">
            <w:pPr>
              <w:spacing w:after="0" w:line="240" w:lineRule="auto"/>
              <w:jc w:val="center"/>
              <w:rPr>
                <w:rFonts w:ascii="Calibri" w:eastAsia="Times New Roman" w:hAnsi="Calibri" w:cs="Calibri"/>
                <w:b/>
                <w:bCs/>
                <w:color w:val="000000"/>
                <w:lang w:val="en-GB" w:eastAsia="en-GB"/>
              </w:rPr>
            </w:pPr>
            <w:r w:rsidRPr="00E14C27">
              <w:rPr>
                <w:rFonts w:ascii="Calibri" w:eastAsia="Times New Roman" w:hAnsi="Calibri" w:cs="Calibri"/>
                <w:b/>
                <w:bCs/>
                <w:color w:val="000000"/>
                <w:lang w:val="en-GB" w:eastAsia="en-GB"/>
              </w:rPr>
              <w:t>Residual Risk Level</w:t>
            </w:r>
          </w:p>
        </w:tc>
        <w:tc>
          <w:tcPr>
            <w:tcW w:w="861" w:type="dxa"/>
            <w:tcBorders>
              <w:top w:val="single" w:sz="4" w:space="0" w:color="auto"/>
              <w:left w:val="nil"/>
              <w:bottom w:val="single" w:sz="4" w:space="0" w:color="auto"/>
              <w:right w:val="single" w:sz="4" w:space="0" w:color="auto"/>
            </w:tcBorders>
            <w:shd w:val="clear" w:color="000000" w:fill="B2A1C7"/>
            <w:noWrap/>
            <w:vAlign w:val="center"/>
            <w:hideMark/>
          </w:tcPr>
          <w:p w:rsidR="00E14C27" w:rsidRPr="00E14C27" w:rsidRDefault="00E14C27" w:rsidP="00E14C27">
            <w:pPr>
              <w:spacing w:after="0" w:line="240" w:lineRule="auto"/>
              <w:jc w:val="center"/>
              <w:rPr>
                <w:rFonts w:ascii="Calibri" w:eastAsia="Times New Roman" w:hAnsi="Calibri" w:cs="Calibri"/>
                <w:b/>
                <w:bCs/>
                <w:color w:val="000000"/>
                <w:lang w:val="en-GB" w:eastAsia="en-GB"/>
              </w:rPr>
            </w:pPr>
            <w:r w:rsidRPr="00E14C27">
              <w:rPr>
                <w:rFonts w:ascii="Calibri" w:eastAsia="Times New Roman" w:hAnsi="Calibri" w:cs="Calibri"/>
                <w:b/>
                <w:bCs/>
                <w:color w:val="000000"/>
                <w:lang w:val="en-GB" w:eastAsia="en-GB"/>
              </w:rPr>
              <w:t>Status (Open/In Progress/Closed)</w:t>
            </w:r>
          </w:p>
        </w:tc>
        <w:tc>
          <w:tcPr>
            <w:tcW w:w="350" w:type="dxa"/>
            <w:tcBorders>
              <w:top w:val="single" w:sz="4" w:space="0" w:color="auto"/>
              <w:left w:val="nil"/>
              <w:bottom w:val="single" w:sz="4" w:space="0" w:color="auto"/>
              <w:right w:val="single" w:sz="4" w:space="0" w:color="auto"/>
            </w:tcBorders>
            <w:shd w:val="clear" w:color="000000" w:fill="B2A1C7"/>
            <w:noWrap/>
            <w:vAlign w:val="center"/>
            <w:hideMark/>
          </w:tcPr>
          <w:p w:rsidR="00E14C27" w:rsidRPr="00E14C27" w:rsidRDefault="00E14C27" w:rsidP="00E14C27">
            <w:pPr>
              <w:spacing w:after="0" w:line="240" w:lineRule="auto"/>
              <w:jc w:val="center"/>
              <w:rPr>
                <w:rFonts w:ascii="Calibri" w:eastAsia="Times New Roman" w:hAnsi="Calibri" w:cs="Calibri"/>
                <w:b/>
                <w:bCs/>
                <w:color w:val="000000"/>
                <w:lang w:val="en-GB" w:eastAsia="en-GB"/>
              </w:rPr>
            </w:pPr>
            <w:r w:rsidRPr="00E14C27">
              <w:rPr>
                <w:rFonts w:ascii="Calibri" w:eastAsia="Times New Roman" w:hAnsi="Calibri" w:cs="Calibri"/>
                <w:b/>
                <w:bCs/>
                <w:color w:val="000000"/>
                <w:lang w:val="en-GB" w:eastAsia="en-GB"/>
              </w:rPr>
              <w:t>Review Date</w:t>
            </w:r>
          </w:p>
        </w:tc>
        <w:tc>
          <w:tcPr>
            <w:tcW w:w="953" w:type="dxa"/>
            <w:tcBorders>
              <w:top w:val="single" w:sz="4" w:space="0" w:color="auto"/>
              <w:left w:val="nil"/>
              <w:bottom w:val="single" w:sz="4" w:space="0" w:color="auto"/>
              <w:right w:val="single" w:sz="4" w:space="0" w:color="auto"/>
            </w:tcBorders>
            <w:shd w:val="clear" w:color="000000" w:fill="B2A1C7"/>
            <w:noWrap/>
            <w:vAlign w:val="center"/>
            <w:hideMark/>
          </w:tcPr>
          <w:p w:rsidR="00E14C27" w:rsidRPr="00E14C27" w:rsidRDefault="00E14C27" w:rsidP="00E14C27">
            <w:pPr>
              <w:spacing w:after="0" w:line="240" w:lineRule="auto"/>
              <w:jc w:val="center"/>
              <w:rPr>
                <w:rFonts w:ascii="Calibri" w:eastAsia="Times New Roman" w:hAnsi="Calibri" w:cs="Calibri"/>
                <w:b/>
                <w:bCs/>
                <w:color w:val="000000"/>
                <w:lang w:val="en-GB" w:eastAsia="en-GB"/>
              </w:rPr>
            </w:pPr>
            <w:r w:rsidRPr="00E14C27">
              <w:rPr>
                <w:rFonts w:ascii="Calibri" w:eastAsia="Times New Roman" w:hAnsi="Calibri" w:cs="Calibri"/>
                <w:b/>
                <w:bCs/>
                <w:color w:val="000000"/>
                <w:lang w:val="en-GB" w:eastAsia="en-GB"/>
              </w:rPr>
              <w:t>Remarks</w:t>
            </w:r>
          </w:p>
        </w:tc>
      </w:tr>
      <w:tr w:rsidR="00E14C27" w:rsidRPr="00E14C27" w:rsidTr="00E14C27">
        <w:trPr>
          <w:trHeight w:val="300"/>
        </w:trPr>
        <w:tc>
          <w:tcPr>
            <w:tcW w:w="238" w:type="dxa"/>
            <w:tcBorders>
              <w:top w:val="nil"/>
              <w:left w:val="single" w:sz="4" w:space="0" w:color="auto"/>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RSK-001</w:t>
            </w:r>
          </w:p>
        </w:tc>
        <w:tc>
          <w:tcPr>
            <w:tcW w:w="1292" w:type="dxa"/>
            <w:tcBorders>
              <w:top w:val="nil"/>
              <w:left w:val="nil"/>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Phishing attack may lead to credential compromise</w:t>
            </w:r>
          </w:p>
        </w:tc>
        <w:tc>
          <w:tcPr>
            <w:tcW w:w="401" w:type="dxa"/>
            <w:tcBorders>
              <w:top w:val="nil"/>
              <w:left w:val="nil"/>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IT Security</w:t>
            </w:r>
          </w:p>
        </w:tc>
        <w:tc>
          <w:tcPr>
            <w:tcW w:w="426" w:type="dxa"/>
            <w:tcBorders>
              <w:top w:val="nil"/>
              <w:left w:val="nil"/>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4</w:t>
            </w:r>
          </w:p>
        </w:tc>
        <w:tc>
          <w:tcPr>
            <w:tcW w:w="334" w:type="dxa"/>
            <w:tcBorders>
              <w:top w:val="nil"/>
              <w:left w:val="nil"/>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5</w:t>
            </w:r>
          </w:p>
        </w:tc>
        <w:tc>
          <w:tcPr>
            <w:tcW w:w="283" w:type="dxa"/>
            <w:tcBorders>
              <w:top w:val="nil"/>
              <w:left w:val="nil"/>
              <w:bottom w:val="single" w:sz="4" w:space="0" w:color="auto"/>
              <w:right w:val="single" w:sz="4" w:space="0" w:color="auto"/>
            </w:tcBorders>
            <w:shd w:val="clear" w:color="000000" w:fill="FF0000"/>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High</w:t>
            </w:r>
          </w:p>
        </w:tc>
        <w:tc>
          <w:tcPr>
            <w:tcW w:w="1000" w:type="dxa"/>
            <w:tcBorders>
              <w:top w:val="nil"/>
              <w:left w:val="nil"/>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Email filtering, user awareness training</w:t>
            </w:r>
          </w:p>
        </w:tc>
        <w:tc>
          <w:tcPr>
            <w:tcW w:w="1598" w:type="dxa"/>
            <w:tcBorders>
              <w:top w:val="nil"/>
              <w:left w:val="nil"/>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Implement multi-factor authentication (MFA) for all employees</w:t>
            </w:r>
          </w:p>
        </w:tc>
        <w:tc>
          <w:tcPr>
            <w:tcW w:w="488" w:type="dxa"/>
            <w:tcBorders>
              <w:top w:val="nil"/>
              <w:left w:val="nil"/>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Security Admin</w:t>
            </w:r>
          </w:p>
        </w:tc>
        <w:tc>
          <w:tcPr>
            <w:tcW w:w="324" w:type="dxa"/>
            <w:tcBorders>
              <w:top w:val="nil"/>
              <w:left w:val="nil"/>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2025-12-15</w:t>
            </w:r>
          </w:p>
        </w:tc>
        <w:tc>
          <w:tcPr>
            <w:tcW w:w="508" w:type="dxa"/>
            <w:tcBorders>
              <w:top w:val="nil"/>
              <w:left w:val="nil"/>
              <w:bottom w:val="single" w:sz="4" w:space="0" w:color="auto"/>
              <w:right w:val="single" w:sz="4" w:space="0" w:color="auto"/>
            </w:tcBorders>
            <w:shd w:val="clear" w:color="000000" w:fill="FFC000"/>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Medium</w:t>
            </w:r>
          </w:p>
        </w:tc>
        <w:tc>
          <w:tcPr>
            <w:tcW w:w="861" w:type="dxa"/>
            <w:tcBorders>
              <w:top w:val="nil"/>
              <w:left w:val="nil"/>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In Progress</w:t>
            </w:r>
          </w:p>
        </w:tc>
        <w:tc>
          <w:tcPr>
            <w:tcW w:w="350" w:type="dxa"/>
            <w:tcBorders>
              <w:top w:val="nil"/>
              <w:left w:val="nil"/>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2026-01-15</w:t>
            </w:r>
          </w:p>
        </w:tc>
        <w:tc>
          <w:tcPr>
            <w:tcW w:w="953" w:type="dxa"/>
            <w:tcBorders>
              <w:top w:val="nil"/>
              <w:left w:val="nil"/>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Ongoing awareness sessions planned</w:t>
            </w:r>
          </w:p>
        </w:tc>
      </w:tr>
      <w:tr w:rsidR="00E14C27" w:rsidRPr="00E14C27" w:rsidTr="00E14C27">
        <w:trPr>
          <w:trHeight w:val="300"/>
        </w:trPr>
        <w:tc>
          <w:tcPr>
            <w:tcW w:w="238" w:type="dxa"/>
            <w:tcBorders>
              <w:top w:val="nil"/>
              <w:left w:val="single" w:sz="4" w:space="0" w:color="auto"/>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RSK-002</w:t>
            </w:r>
          </w:p>
        </w:tc>
        <w:tc>
          <w:tcPr>
            <w:tcW w:w="1292" w:type="dxa"/>
            <w:tcBorders>
              <w:top w:val="nil"/>
              <w:left w:val="nil"/>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Unpatched firewall vulnerability</w:t>
            </w:r>
          </w:p>
        </w:tc>
        <w:tc>
          <w:tcPr>
            <w:tcW w:w="401" w:type="dxa"/>
            <w:tcBorders>
              <w:top w:val="nil"/>
              <w:left w:val="nil"/>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Network Team</w:t>
            </w:r>
          </w:p>
        </w:tc>
        <w:tc>
          <w:tcPr>
            <w:tcW w:w="426" w:type="dxa"/>
            <w:tcBorders>
              <w:top w:val="nil"/>
              <w:left w:val="nil"/>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3</w:t>
            </w:r>
          </w:p>
        </w:tc>
        <w:tc>
          <w:tcPr>
            <w:tcW w:w="334" w:type="dxa"/>
            <w:tcBorders>
              <w:top w:val="nil"/>
              <w:left w:val="nil"/>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4</w:t>
            </w:r>
          </w:p>
        </w:tc>
        <w:tc>
          <w:tcPr>
            <w:tcW w:w="283" w:type="dxa"/>
            <w:tcBorders>
              <w:top w:val="nil"/>
              <w:left w:val="nil"/>
              <w:bottom w:val="single" w:sz="4" w:space="0" w:color="auto"/>
              <w:right w:val="single" w:sz="4" w:space="0" w:color="auto"/>
            </w:tcBorders>
            <w:shd w:val="clear" w:color="000000" w:fill="FFC000"/>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Medium</w:t>
            </w:r>
          </w:p>
        </w:tc>
        <w:tc>
          <w:tcPr>
            <w:tcW w:w="1000" w:type="dxa"/>
            <w:tcBorders>
              <w:top w:val="nil"/>
              <w:left w:val="nil"/>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Firewall monitoring</w:t>
            </w:r>
          </w:p>
        </w:tc>
        <w:tc>
          <w:tcPr>
            <w:tcW w:w="1598" w:type="dxa"/>
            <w:tcBorders>
              <w:top w:val="nil"/>
              <w:left w:val="nil"/>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Patch firmware and enable auto-updates</w:t>
            </w:r>
          </w:p>
        </w:tc>
        <w:tc>
          <w:tcPr>
            <w:tcW w:w="488" w:type="dxa"/>
            <w:tcBorders>
              <w:top w:val="nil"/>
              <w:left w:val="nil"/>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Network Engineer</w:t>
            </w:r>
          </w:p>
        </w:tc>
        <w:tc>
          <w:tcPr>
            <w:tcW w:w="324" w:type="dxa"/>
            <w:tcBorders>
              <w:top w:val="nil"/>
              <w:left w:val="nil"/>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2025-11-30</w:t>
            </w:r>
          </w:p>
        </w:tc>
        <w:tc>
          <w:tcPr>
            <w:tcW w:w="508" w:type="dxa"/>
            <w:tcBorders>
              <w:top w:val="nil"/>
              <w:left w:val="nil"/>
              <w:bottom w:val="single" w:sz="4" w:space="0" w:color="auto"/>
              <w:right w:val="single" w:sz="4" w:space="0" w:color="auto"/>
            </w:tcBorders>
            <w:shd w:val="clear" w:color="000000" w:fill="FFFF00"/>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Low</w:t>
            </w:r>
          </w:p>
        </w:tc>
        <w:tc>
          <w:tcPr>
            <w:tcW w:w="861" w:type="dxa"/>
            <w:tcBorders>
              <w:top w:val="nil"/>
              <w:left w:val="nil"/>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Open</w:t>
            </w:r>
          </w:p>
        </w:tc>
        <w:tc>
          <w:tcPr>
            <w:tcW w:w="350" w:type="dxa"/>
            <w:tcBorders>
              <w:top w:val="nil"/>
              <w:left w:val="nil"/>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2025-12-31</w:t>
            </w:r>
          </w:p>
        </w:tc>
        <w:tc>
          <w:tcPr>
            <w:tcW w:w="953" w:type="dxa"/>
            <w:tcBorders>
              <w:top w:val="nil"/>
              <w:left w:val="nil"/>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Patch scheduled this month</w:t>
            </w:r>
          </w:p>
        </w:tc>
      </w:tr>
      <w:tr w:rsidR="00E14C27" w:rsidRPr="00E14C27" w:rsidTr="00E14C27">
        <w:trPr>
          <w:trHeight w:val="300"/>
        </w:trPr>
        <w:tc>
          <w:tcPr>
            <w:tcW w:w="238" w:type="dxa"/>
            <w:tcBorders>
              <w:top w:val="nil"/>
              <w:left w:val="single" w:sz="4" w:space="0" w:color="auto"/>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RSK-003</w:t>
            </w:r>
          </w:p>
        </w:tc>
        <w:tc>
          <w:tcPr>
            <w:tcW w:w="1292" w:type="dxa"/>
            <w:tcBorders>
              <w:top w:val="nil"/>
              <w:left w:val="nil"/>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Data backup failure during outage</w:t>
            </w:r>
          </w:p>
        </w:tc>
        <w:tc>
          <w:tcPr>
            <w:tcW w:w="401" w:type="dxa"/>
            <w:tcBorders>
              <w:top w:val="nil"/>
              <w:left w:val="nil"/>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IT Operations</w:t>
            </w:r>
          </w:p>
        </w:tc>
        <w:tc>
          <w:tcPr>
            <w:tcW w:w="426" w:type="dxa"/>
            <w:tcBorders>
              <w:top w:val="nil"/>
              <w:left w:val="nil"/>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2</w:t>
            </w:r>
          </w:p>
        </w:tc>
        <w:tc>
          <w:tcPr>
            <w:tcW w:w="334" w:type="dxa"/>
            <w:tcBorders>
              <w:top w:val="nil"/>
              <w:left w:val="nil"/>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5</w:t>
            </w:r>
          </w:p>
        </w:tc>
        <w:tc>
          <w:tcPr>
            <w:tcW w:w="283" w:type="dxa"/>
            <w:tcBorders>
              <w:top w:val="nil"/>
              <w:left w:val="nil"/>
              <w:bottom w:val="single" w:sz="4" w:space="0" w:color="auto"/>
              <w:right w:val="single" w:sz="4" w:space="0" w:color="auto"/>
            </w:tcBorders>
            <w:shd w:val="clear" w:color="000000" w:fill="FFC000"/>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Medium</w:t>
            </w:r>
          </w:p>
        </w:tc>
        <w:tc>
          <w:tcPr>
            <w:tcW w:w="1000" w:type="dxa"/>
            <w:tcBorders>
              <w:top w:val="nil"/>
              <w:left w:val="nil"/>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Manual backups</w:t>
            </w:r>
          </w:p>
        </w:tc>
        <w:tc>
          <w:tcPr>
            <w:tcW w:w="1598" w:type="dxa"/>
            <w:tcBorders>
              <w:top w:val="nil"/>
              <w:left w:val="nil"/>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Automate daily incremental backups with cloud redundancy</w:t>
            </w:r>
          </w:p>
        </w:tc>
        <w:tc>
          <w:tcPr>
            <w:tcW w:w="488" w:type="dxa"/>
            <w:tcBorders>
              <w:top w:val="nil"/>
              <w:left w:val="nil"/>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Backup Admin</w:t>
            </w:r>
          </w:p>
        </w:tc>
        <w:tc>
          <w:tcPr>
            <w:tcW w:w="324" w:type="dxa"/>
            <w:tcBorders>
              <w:top w:val="nil"/>
              <w:left w:val="nil"/>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2026-01-10</w:t>
            </w:r>
          </w:p>
        </w:tc>
        <w:tc>
          <w:tcPr>
            <w:tcW w:w="508" w:type="dxa"/>
            <w:tcBorders>
              <w:top w:val="nil"/>
              <w:left w:val="nil"/>
              <w:bottom w:val="single" w:sz="4" w:space="0" w:color="auto"/>
              <w:right w:val="single" w:sz="4" w:space="0" w:color="auto"/>
            </w:tcBorders>
            <w:shd w:val="clear" w:color="000000" w:fill="FFFF00"/>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Low</w:t>
            </w:r>
          </w:p>
        </w:tc>
        <w:tc>
          <w:tcPr>
            <w:tcW w:w="861" w:type="dxa"/>
            <w:tcBorders>
              <w:top w:val="nil"/>
              <w:left w:val="nil"/>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Open</w:t>
            </w:r>
          </w:p>
        </w:tc>
        <w:tc>
          <w:tcPr>
            <w:tcW w:w="350" w:type="dxa"/>
            <w:tcBorders>
              <w:top w:val="nil"/>
              <w:left w:val="nil"/>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2026-02-10</w:t>
            </w:r>
          </w:p>
        </w:tc>
        <w:tc>
          <w:tcPr>
            <w:tcW w:w="953" w:type="dxa"/>
            <w:tcBorders>
              <w:top w:val="nil"/>
              <w:left w:val="nil"/>
              <w:bottom w:val="single" w:sz="4" w:space="0" w:color="auto"/>
              <w:right w:val="single" w:sz="4" w:space="0" w:color="auto"/>
            </w:tcBorders>
            <w:shd w:val="clear" w:color="auto" w:fill="auto"/>
            <w:noWrap/>
            <w:vAlign w:val="center"/>
            <w:hideMark/>
          </w:tcPr>
          <w:p w:rsidR="00E14C27" w:rsidRPr="00E14C27" w:rsidRDefault="00E14C27" w:rsidP="00E14C27">
            <w:pPr>
              <w:spacing w:after="0" w:line="240" w:lineRule="auto"/>
              <w:jc w:val="center"/>
              <w:rPr>
                <w:rFonts w:ascii="Calibri" w:eastAsia="Times New Roman" w:hAnsi="Calibri" w:cs="Calibri"/>
                <w:color w:val="000000"/>
                <w:lang w:val="en-GB" w:eastAsia="en-GB"/>
              </w:rPr>
            </w:pPr>
            <w:r w:rsidRPr="00E14C27">
              <w:rPr>
                <w:rFonts w:ascii="Calibri" w:eastAsia="Times New Roman" w:hAnsi="Calibri" w:cs="Calibri"/>
                <w:color w:val="000000"/>
                <w:lang w:val="en-GB" w:eastAsia="en-GB"/>
              </w:rPr>
              <w:t>Automation testing in progress</w:t>
            </w:r>
          </w:p>
        </w:tc>
      </w:tr>
    </w:tbl>
    <w:p w:rsidR="004F3BDA" w:rsidRDefault="004F3BDA"/>
    <w:p w:rsidR="00E14C27" w:rsidRDefault="00E14C27"/>
    <w:p w:rsidR="004F3BDA" w:rsidRDefault="002F29F7">
      <w:pPr>
        <w:pStyle w:val="Heading3"/>
      </w:pPr>
      <w:r>
        <w:t>5.5 Residual Risk &amp; Risk Acceptance</w:t>
      </w:r>
    </w:p>
    <w:p w:rsidR="004F3BDA" w:rsidRDefault="002F29F7">
      <w:r>
        <w:br/>
        <w:t>Residual risk is the remaining risk after applying mitigation measures. If residual risk exceeds acceptable levels, it must be escalated to senior management for further action or approval.</w:t>
      </w:r>
      <w:r>
        <w:br/>
        <w:t>All accepted risks shall be documented and periodically reviewed.</w:t>
      </w:r>
      <w:r>
        <w:br/>
      </w:r>
    </w:p>
    <w:p w:rsidR="004F3BDA" w:rsidRDefault="002F29F7">
      <w:pPr>
        <w:pStyle w:val="Heading2"/>
      </w:pPr>
      <w:r>
        <w:t>6. Access Control</w:t>
      </w:r>
    </w:p>
    <w:p w:rsidR="004F3BDA" w:rsidRDefault="002F29F7">
      <w:r>
        <w:br/>
        <w:t xml:space="preserve">Access to information and systems shall be based on the principle of least privilege and role-based access control (RBAC). </w:t>
      </w:r>
      <w:r>
        <w:br/>
        <w:t>Multi-factor authentication (MFA) shall be implemented for sensitive systems. User accounts will be reviewed quarterly and deactivated upon role changes or termination.</w:t>
      </w:r>
      <w:r>
        <w:br/>
      </w:r>
    </w:p>
    <w:p w:rsidR="004F3BDA" w:rsidRDefault="002F29F7">
      <w:pPr>
        <w:pStyle w:val="Heading2"/>
      </w:pPr>
      <w:r>
        <w:t>7. Data Classification &amp; Handling</w:t>
      </w:r>
    </w:p>
    <w:p w:rsidR="004F3BDA" w:rsidRDefault="002F29F7">
      <w:r>
        <w:br/>
        <w:t xml:space="preserve">Information shall be classified as Public, Internal, Confidential, or Restricted. </w:t>
      </w:r>
      <w:r>
        <w:br/>
        <w:t>Confidential and Restricted data must be encrypted at rest and in transit. Data handling procedures shall ensure proper labeling, storage, and secure disposal of sensitive information.</w:t>
      </w:r>
      <w:r>
        <w:br/>
      </w:r>
    </w:p>
    <w:p w:rsidR="004F3BDA" w:rsidRDefault="002F29F7">
      <w:pPr>
        <w:pStyle w:val="Heading2"/>
      </w:pPr>
      <w:r>
        <w:t>8. Incident Management</w:t>
      </w:r>
    </w:p>
    <w:p w:rsidR="004F3BDA" w:rsidRDefault="002F29F7">
      <w:r>
        <w:br/>
        <w:t xml:space="preserve">All employees must immediately report any security incident to the Information Security Team. </w:t>
      </w:r>
      <w:r>
        <w:br/>
        <w:t>An Incident Response Plan shall be maintained to detect, analyze, and respond to incidents effectively, with post-incident reviews for continuous improvement.</w:t>
      </w:r>
      <w:r>
        <w:br/>
      </w:r>
    </w:p>
    <w:p w:rsidR="004F3BDA" w:rsidRDefault="002F29F7">
      <w:pPr>
        <w:pStyle w:val="Heading2"/>
      </w:pPr>
      <w:r>
        <w:t>9. Business Continuity &amp; Disaster Recovery</w:t>
      </w:r>
    </w:p>
    <w:p w:rsidR="004F3BDA" w:rsidRDefault="002F29F7">
      <w:r>
        <w:br/>
        <w:t xml:space="preserve">The organization shall develop, maintain, and test Business Continuity and Disaster Recovery Plans to ensure critical services are available in the event of disruption. </w:t>
      </w:r>
      <w:r>
        <w:br/>
        <w:t>Data backups shall be performed regularly and tested for restoration integrity.</w:t>
      </w:r>
      <w:r>
        <w:br/>
      </w:r>
    </w:p>
    <w:p w:rsidR="004F3BDA" w:rsidRDefault="002F29F7">
      <w:pPr>
        <w:pStyle w:val="Heading2"/>
      </w:pPr>
      <w:r>
        <w:t>10. Compliance &amp; Legal Requirements</w:t>
      </w:r>
    </w:p>
    <w:p w:rsidR="004F3BDA" w:rsidRDefault="002F29F7">
      <w:r>
        <w:br/>
        <w:t xml:space="preserve">All ISMS controls shall align with relevant legal, regulatory, and contractual requirements. </w:t>
      </w:r>
      <w:r>
        <w:br/>
        <w:t>Compliance shall be demonstrated through audits, assessments, and documentation of evidence.</w:t>
      </w:r>
      <w:r>
        <w:br/>
      </w:r>
    </w:p>
    <w:p w:rsidR="004F3BDA" w:rsidRDefault="002F29F7">
      <w:pPr>
        <w:pStyle w:val="Heading2"/>
      </w:pPr>
      <w:r>
        <w:t>11. Training &amp; Awareness</w:t>
      </w:r>
    </w:p>
    <w:p w:rsidR="004F3BDA" w:rsidRDefault="002F29F7">
      <w:r>
        <w:br/>
        <w:t>All personnel shall receive periodic security awareness and training on topics such as phishing, password security, and data protection.</w:t>
      </w:r>
      <w:r>
        <w:br/>
      </w:r>
    </w:p>
    <w:p w:rsidR="004F3BDA" w:rsidRDefault="002F29F7">
      <w:pPr>
        <w:pStyle w:val="Heading2"/>
      </w:pPr>
      <w:r>
        <w:lastRenderedPageBreak/>
        <w:t>12. Monitoring &amp; Review</w:t>
      </w:r>
    </w:p>
    <w:p w:rsidR="004F3BDA" w:rsidRDefault="002F29F7">
      <w:r>
        <w:br/>
        <w:t xml:space="preserve">The effectiveness of ISMS controls, Risk Register, and treatment actions shall be reviewed at least annually. </w:t>
      </w:r>
      <w:r>
        <w:br/>
        <w:t>Audit findings and management reviews shall guide continual improvement initiatives.</w:t>
      </w:r>
      <w:r>
        <w:br/>
      </w:r>
    </w:p>
    <w:p w:rsidR="004F3BDA" w:rsidRDefault="002F29F7">
      <w:pPr>
        <w:pStyle w:val="Heading2"/>
      </w:pPr>
      <w:r>
        <w:t>13. Enforcement</w:t>
      </w:r>
    </w:p>
    <w:p w:rsidR="004F3BDA" w:rsidRDefault="002F29F7">
      <w:r>
        <w:br/>
        <w:t>Failure to comply with this policy may result in disciplinary action, contract termination, or legal penalties depending on severity.</w:t>
      </w:r>
      <w:r>
        <w:br/>
      </w:r>
    </w:p>
    <w:p w:rsidR="004F3BDA" w:rsidRDefault="002F29F7">
      <w:pPr>
        <w:pStyle w:val="Heading2"/>
      </w:pPr>
      <w:r>
        <w:t>14. Approval &amp; Document Control</w:t>
      </w:r>
    </w:p>
    <w:p w:rsidR="004F3BDA" w:rsidRDefault="002F29F7">
      <w:r>
        <w:br/>
        <w:t>Approved by: ___________________________</w:t>
      </w:r>
      <w:proofErr w:type="gramStart"/>
      <w:r>
        <w:t xml:space="preserve">_  </w:t>
      </w:r>
      <w:proofErr w:type="gramEnd"/>
      <w:r>
        <w:br/>
        <w:t xml:space="preserve">Title: Chief Information Security Officer (CISO)  </w:t>
      </w:r>
      <w:r>
        <w:br/>
        <w:t xml:space="preserve">Effective Date: __________________________  </w:t>
      </w:r>
      <w:r>
        <w:br/>
        <w:t xml:space="preserve">Review Date: _____________________________  </w:t>
      </w:r>
      <w:r>
        <w:br/>
      </w:r>
    </w:p>
    <w:sectPr w:rsidR="004F3BDA" w:rsidSect="006F0869">
      <w:pgSz w:w="24480" w:h="15840" w:orient="landscape" w:code="3"/>
      <w:pgMar w:top="1800" w:right="1440" w:bottom="180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useFELayout/>
  </w:compat>
  <w:rsids>
    <w:rsidRoot w:val="00B47730"/>
    <w:rsid w:val="00034616"/>
    <w:rsid w:val="0006063C"/>
    <w:rsid w:val="0015074B"/>
    <w:rsid w:val="0029639D"/>
    <w:rsid w:val="002B01C2"/>
    <w:rsid w:val="002F29F7"/>
    <w:rsid w:val="00326F90"/>
    <w:rsid w:val="00420F33"/>
    <w:rsid w:val="00445F10"/>
    <w:rsid w:val="004A07B3"/>
    <w:rsid w:val="004F3BDA"/>
    <w:rsid w:val="00604880"/>
    <w:rsid w:val="006F0869"/>
    <w:rsid w:val="00A1089A"/>
    <w:rsid w:val="00AA1D8D"/>
    <w:rsid w:val="00B47730"/>
    <w:rsid w:val="00B72C01"/>
    <w:rsid w:val="00CB0664"/>
    <w:rsid w:val="00E14C27"/>
    <w:rsid w:val="00FC693F"/>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111294036">
      <w:bodyDiv w:val="1"/>
      <w:marLeft w:val="0"/>
      <w:marRight w:val="0"/>
      <w:marTop w:val="0"/>
      <w:marBottom w:val="0"/>
      <w:divBdr>
        <w:top w:val="none" w:sz="0" w:space="0" w:color="auto"/>
        <w:left w:val="none" w:sz="0" w:space="0" w:color="auto"/>
        <w:bottom w:val="none" w:sz="0" w:space="0" w:color="auto"/>
        <w:right w:val="none" w:sz="0" w:space="0" w:color="auto"/>
      </w:divBdr>
    </w:div>
    <w:div w:id="474565715">
      <w:bodyDiv w:val="1"/>
      <w:marLeft w:val="0"/>
      <w:marRight w:val="0"/>
      <w:marTop w:val="0"/>
      <w:marBottom w:val="0"/>
      <w:divBdr>
        <w:top w:val="none" w:sz="0" w:space="0" w:color="auto"/>
        <w:left w:val="none" w:sz="0" w:space="0" w:color="auto"/>
        <w:bottom w:val="none" w:sz="0" w:space="0" w:color="auto"/>
        <w:right w:val="none" w:sz="0" w:space="0" w:color="auto"/>
      </w:divBdr>
    </w:div>
    <w:div w:id="701397096">
      <w:bodyDiv w:val="1"/>
      <w:marLeft w:val="0"/>
      <w:marRight w:val="0"/>
      <w:marTop w:val="0"/>
      <w:marBottom w:val="0"/>
      <w:divBdr>
        <w:top w:val="none" w:sz="0" w:space="0" w:color="auto"/>
        <w:left w:val="none" w:sz="0" w:space="0" w:color="auto"/>
        <w:bottom w:val="none" w:sz="0" w:space="0" w:color="auto"/>
        <w:right w:val="none" w:sz="0" w:space="0" w:color="auto"/>
      </w:divBdr>
    </w:div>
    <w:div w:id="791246500">
      <w:bodyDiv w:val="1"/>
      <w:marLeft w:val="0"/>
      <w:marRight w:val="0"/>
      <w:marTop w:val="0"/>
      <w:marBottom w:val="0"/>
      <w:divBdr>
        <w:top w:val="none" w:sz="0" w:space="0" w:color="auto"/>
        <w:left w:val="none" w:sz="0" w:space="0" w:color="auto"/>
        <w:bottom w:val="none" w:sz="0" w:space="0" w:color="auto"/>
        <w:right w:val="none" w:sz="0" w:space="0" w:color="auto"/>
      </w:divBdr>
    </w:div>
    <w:div w:id="799569028">
      <w:bodyDiv w:val="1"/>
      <w:marLeft w:val="0"/>
      <w:marRight w:val="0"/>
      <w:marTop w:val="0"/>
      <w:marBottom w:val="0"/>
      <w:divBdr>
        <w:top w:val="none" w:sz="0" w:space="0" w:color="auto"/>
        <w:left w:val="none" w:sz="0" w:space="0" w:color="auto"/>
        <w:bottom w:val="none" w:sz="0" w:space="0" w:color="auto"/>
        <w:right w:val="none" w:sz="0" w:space="0" w:color="auto"/>
      </w:divBdr>
    </w:div>
    <w:div w:id="1066538588">
      <w:bodyDiv w:val="1"/>
      <w:marLeft w:val="0"/>
      <w:marRight w:val="0"/>
      <w:marTop w:val="0"/>
      <w:marBottom w:val="0"/>
      <w:divBdr>
        <w:top w:val="none" w:sz="0" w:space="0" w:color="auto"/>
        <w:left w:val="none" w:sz="0" w:space="0" w:color="auto"/>
        <w:bottom w:val="none" w:sz="0" w:space="0" w:color="auto"/>
        <w:right w:val="none" w:sz="0" w:space="0" w:color="auto"/>
      </w:divBdr>
    </w:div>
    <w:div w:id="1125270554">
      <w:bodyDiv w:val="1"/>
      <w:marLeft w:val="0"/>
      <w:marRight w:val="0"/>
      <w:marTop w:val="0"/>
      <w:marBottom w:val="0"/>
      <w:divBdr>
        <w:top w:val="none" w:sz="0" w:space="0" w:color="auto"/>
        <w:left w:val="none" w:sz="0" w:space="0" w:color="auto"/>
        <w:bottom w:val="none" w:sz="0" w:space="0" w:color="auto"/>
        <w:right w:val="none" w:sz="0" w:space="0" w:color="auto"/>
      </w:divBdr>
    </w:div>
    <w:div w:id="1765109419">
      <w:bodyDiv w:val="1"/>
      <w:marLeft w:val="0"/>
      <w:marRight w:val="0"/>
      <w:marTop w:val="0"/>
      <w:marBottom w:val="0"/>
      <w:divBdr>
        <w:top w:val="none" w:sz="0" w:space="0" w:color="auto"/>
        <w:left w:val="none" w:sz="0" w:space="0" w:color="auto"/>
        <w:bottom w:val="none" w:sz="0" w:space="0" w:color="auto"/>
        <w:right w:val="none" w:sz="0" w:space="0" w:color="auto"/>
      </w:divBdr>
    </w:div>
    <w:div w:id="1799882861">
      <w:bodyDiv w:val="1"/>
      <w:marLeft w:val="0"/>
      <w:marRight w:val="0"/>
      <w:marTop w:val="0"/>
      <w:marBottom w:val="0"/>
      <w:divBdr>
        <w:top w:val="none" w:sz="0" w:space="0" w:color="auto"/>
        <w:left w:val="none" w:sz="0" w:space="0" w:color="auto"/>
        <w:bottom w:val="none" w:sz="0" w:space="0" w:color="auto"/>
        <w:right w:val="none" w:sz="0" w:space="0" w:color="auto"/>
      </w:divBdr>
    </w:div>
    <w:div w:id="211671201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5</Pages>
  <Words>1199</Words>
  <Characters>6835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8018</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Gaurao T</cp:lastModifiedBy>
  <cp:revision>8</cp:revision>
  <dcterms:created xsi:type="dcterms:W3CDTF">2013-12-23T23:15:00Z</dcterms:created>
  <dcterms:modified xsi:type="dcterms:W3CDTF">2025-11-16T09:58:00Z</dcterms:modified>
  <cp:category/>
</cp:coreProperties>
</file>