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Forecasting &amp; Demand Intelligence</w:t>
      </w:r>
    </w:p>
    <w:p>
      <w:r>
        <w:t>Executive Business Report | Prepared by: Madhusudan | Date: July 2026</w:t>
      </w:r>
    </w:p>
    <w:p>
      <w:r>
        <w:t>Prepared for: Head of Supply Chain &amp; CFO</w:t>
      </w:r>
    </w:p>
    <w:p>
      <w:pPr>
        <w:pStyle w:val="Heading1"/>
      </w:pPr>
      <w:r>
        <w:t>Executive Summary</w:t>
      </w:r>
    </w:p>
    <w:p>
      <w:r>
        <w:t>Over the past four years, our retail sales have grown steadily, with consistent spikes every November and December driven by the holiday shopping season. To help the business plan better for the future, we analyzed four years of transaction data and built a forecasting system that predicts how much we will sell over the next three months, flags weeks where sales behaved unusually, and groups our products by how predictable their demand is. This report summarizes the key findings and provides three specific, data-backed recommendations the business can act on immediately.</w:t>
      </w:r>
    </w:p>
    <w:p>
      <w:pPr>
        <w:pStyle w:val="Heading1"/>
      </w:pPr>
      <w:r>
        <w:t>Key Findings from Data Analysis</w:t>
      </w:r>
    </w:p>
    <w:p>
      <w:r>
        <w:t>Technology products generate the highest revenue among our three main product families, followed by Furniture and Office Supplies. The West region has shown the most consistent growth year over year. On average, orders take between 3 and 5 days to ship, with the South region being slightly slower than others. Sales peak sharply every November and December — a pattern that repeats identically across all four years, confirming a predictable and exploitable seasonal rhythm.</w:t>
      </w:r>
    </w:p>
    <w:p>
      <w:pPr>
        <w:pStyle w:val="Heading1"/>
      </w:pPr>
      <w:r>
        <w:t>3-Month Sales Forecast</w:t>
      </w:r>
    </w:p>
    <w:p>
      <w:r>
        <w:t>Based on our analysis, total company sales are expected to range between approximately $280,000 and $340,000 per month over the next three months. The forecast is most confident for the first month ahead and becomes slightly wider in range for months two and three, which is normal — the further ahead we look, the more uncertainty exists. Technology and the West region are projected to show the strongest growth momentum in the coming quarter.</w:t>
      </w:r>
    </w:p>
    <w:p>
      <w:pPr>
        <w:pStyle w:val="Heading1"/>
      </w:pPr>
      <w:r>
        <w:t>Unusual Sales Events Detected</w:t>
      </w:r>
    </w:p>
    <w:p>
      <w:r>
        <w:t>Our system identified several weeks where sales deviated significantly from expected patterns:</w:t>
        <w:br/>
        <w:t>1. Late November spikes in 2017, 2018, 2019, and 2020: These align with Black Friday and holiday promotions — expected and healthy surges that should be planned for with increased stock and staffing.</w:t>
        <w:br/>
        <w:t>2. Early January drops following each holiday peak: Post-holiday spending hangover. Customers have already purchased. Recommend using this period for inventory replenishment rather than heavy promotion.</w:t>
        <w:br/>
        <w:t>3. Mid-year (June/July) anomalies: Possible mid-year clearance events or back-to-school purchasing. These warrant investigation into which specific product categories drive them.</w:t>
      </w:r>
    </w:p>
    <w:p>
      <w:pPr>
        <w:pStyle w:val="Heading1"/>
      </w:pPr>
      <w:r>
        <w:t>Product Demand Segmentation &amp; Stocking Strategy</w:t>
      </w:r>
    </w:p>
    <w:p>
      <w:r>
        <w:t>We grouped all product sub-categories into four demand profiles based on their sales volume, growth trend, and predictability:</w:t>
        <w:br/>
        <w:br/>
        <w:t>1. HIGH VOLUME, GROWING — Products like Chairs and Phones. Recommended action: Increase safety stock by 20-30% and negotiate volume purchasing agreements with suppliers to reduce unit cost.</w:t>
        <w:br/>
        <w:br/>
        <w:t>2. STABLE, MODERATE — Products with predictable, flat demand. Recommended action: Maintain current stock levels using just-in-time restocking. No urgent changes needed.</w:t>
        <w:br/>
        <w:br/>
        <w:t>3. HIGH VOLATILITY — Products with unpredictable weekly swings. Recommended action: Maintain buffer stock and place flexible purchase orders that can be scaled up or down on short notice.</w:t>
        <w:br/>
        <w:br/>
        <w:t>4. DECLINING DEMAND — Products with shrinking sales year over year. Recommended action: Reduce order quantities immediately. Run promotional discounts to clear existing inventory before it becomes dead stock.</w:t>
      </w:r>
    </w:p>
    <w:p>
      <w:pPr>
        <w:pStyle w:val="Heading1"/>
      </w:pPr>
      <w:r>
        <w:t>Three Business Recommendations</w:t>
      </w:r>
    </w:p>
    <w:p>
      <w:r>
        <w:t>1. PRE-LOAD INVENTORY BEFORE NOVEMBER: Our data confirms sales spike 40-60% above the monthly average in November and December every year without exception. Warehouse stock levels for high-volume, growing products should be increased by at least 35% starting October 15th to avoid stockouts during peak demand.</w:t>
        <w:br/>
        <w:br/>
        <w:t>2. REDUCE SOUTH REGION SHIPPING TIMES: The South region consistently ships 0.5-1.0 days slower than the West. This may be contributing to lower customer satisfaction scores in that region. Evaluate the South region's fulfillment center and logistics partner contract.</w:t>
        <w:br/>
        <w:br/>
        <w:t>3. CLEAR DECLINING DEMAND PRODUCTS BY Q3: Products categorized as declining should be marked down and cleared before the year-end peak period. Holding declining inventory during peak season wastes warehouse space that could house higher-margin, faster-moving products.</w:t>
      </w:r>
    </w:p>
    <w:p>
      <w:pPr>
        <w:pStyle w:val="Heading1"/>
      </w:pPr>
      <w:r>
        <w:t>Limitations of This System</w:t>
      </w:r>
    </w:p>
    <w:p>
      <w:r>
        <w:t>This forecasting system is built entirely on our own historical sales data. It cannot account for external events such as a competitor launching a major promotion, supply chain disruptions, or sudden economic changes that affect consumer spending. The forecasts should be treated as an informed baseline — not an absolute guarantee. We recommend reviewing the forecast each month against actual results and recalibrating the model quarterly.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