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F067A" w14:textId="7B3102FA" w:rsidR="002966D5" w:rsidRPr="002966D5" w:rsidRDefault="002966D5">
      <w:r w:rsidRPr="002966D5">
        <w:rPr>
          <w:rFonts w:ascii="Aptos" w:hAnsi="Aptos"/>
          <w:b/>
          <w:bCs/>
        </w:rPr>
        <w:t>Development Highlights</w:t>
      </w:r>
      <w:r>
        <w:rPr>
          <w:rFonts w:ascii="Aptos" w:hAnsi="Aptos"/>
          <w:b/>
          <w:bCs/>
        </w:rPr>
        <w:t xml:space="preserve"> continue</w:t>
      </w:r>
    </w:p>
    <w:p w14:paraId="3823860D" w14:textId="77777777" w:rsidR="002966D5" w:rsidRDefault="002966D5"/>
    <w:p w14:paraId="030DFCB8" w14:textId="35542500" w:rsidR="002966D5" w:rsidRPr="002966D5" w:rsidRDefault="002966D5" w:rsidP="002966D5">
      <w:pPr>
        <w:shd w:val="clear" w:color="auto" w:fill="00B0F0"/>
        <w:spacing w:after="0"/>
        <w:rPr>
          <w:rFonts w:ascii="Aptos" w:hAnsi="Aptos"/>
          <w:b/>
          <w:bCs/>
          <w:color w:val="FFFF00"/>
          <w:sz w:val="40"/>
          <w:szCs w:val="40"/>
        </w:rPr>
      </w:pPr>
      <w:r w:rsidRPr="002966D5">
        <w:rPr>
          <w:rFonts w:ascii="Aptos" w:hAnsi="Aptos"/>
          <w:b/>
          <w:bCs/>
          <w:color w:val="FFFF00"/>
          <w:sz w:val="40"/>
          <w:szCs w:val="40"/>
        </w:rPr>
        <w:t>Google Maps in Territory Management</w:t>
      </w:r>
    </w:p>
    <w:p w14:paraId="6EBF6424" w14:textId="77777777" w:rsidR="002966D5" w:rsidRPr="002966D5" w:rsidRDefault="002966D5">
      <w:pPr>
        <w:rPr>
          <w:rFonts w:ascii="Aptos" w:hAnsi="Aptos"/>
        </w:rPr>
      </w:pPr>
    </w:p>
    <w:p w14:paraId="046004A3" w14:textId="5FA92C23" w:rsidR="002966D5" w:rsidRPr="002966D5" w:rsidRDefault="002966D5">
      <w:pPr>
        <w:rPr>
          <w:rFonts w:ascii="Aptos" w:hAnsi="Aptos"/>
        </w:rPr>
      </w:pPr>
      <w:r w:rsidRPr="002966D5">
        <w:rPr>
          <w:rFonts w:ascii="Aptos" w:hAnsi="Aptos"/>
        </w:rPr>
        <w:t>Google Maps is used in territory management to help visualize geographic areas for sales representatives, allowing for route optimization and efficient scheduling. However, it lacks advanced features like prospect counts and demographic data, which are essential for effective territory management in a CRM context.</w:t>
      </w:r>
    </w:p>
    <w:p w14:paraId="27F53F55" w14:textId="77777777" w:rsidR="002966D5" w:rsidRPr="002966D5" w:rsidRDefault="002966D5" w:rsidP="002966D5">
      <w:pPr>
        <w:rPr>
          <w:rFonts w:ascii="Aptos" w:hAnsi="Aptos"/>
          <w:b/>
          <w:bCs/>
        </w:rPr>
      </w:pPr>
      <w:r w:rsidRPr="002966D5">
        <w:rPr>
          <w:rFonts w:ascii="Aptos" w:hAnsi="Aptos"/>
          <w:b/>
          <w:bCs/>
        </w:rPr>
        <w:t>Key Features of Google Maps in Territory Management</w:t>
      </w:r>
    </w:p>
    <w:p w14:paraId="068B577B" w14:textId="77777777" w:rsidR="002966D5" w:rsidRPr="002966D5" w:rsidRDefault="002966D5" w:rsidP="002966D5">
      <w:pPr>
        <w:numPr>
          <w:ilvl w:val="0"/>
          <w:numId w:val="1"/>
        </w:numPr>
        <w:rPr>
          <w:rFonts w:ascii="Aptos" w:hAnsi="Aptos"/>
        </w:rPr>
      </w:pPr>
      <w:r w:rsidRPr="002966D5">
        <w:rPr>
          <w:rFonts w:ascii="Aptos" w:hAnsi="Aptos"/>
          <w:b/>
          <w:bCs/>
        </w:rPr>
        <w:t>Route Optimization</w:t>
      </w:r>
      <w:r w:rsidRPr="002966D5">
        <w:rPr>
          <w:rFonts w:ascii="Aptos" w:hAnsi="Aptos"/>
        </w:rPr>
        <w:t>: Helps sales reps find the best routes to their appointments, saving time and reducing travel costs.</w:t>
      </w:r>
    </w:p>
    <w:p w14:paraId="2AA7B49E" w14:textId="77777777" w:rsidR="002966D5" w:rsidRPr="002966D5" w:rsidRDefault="002966D5" w:rsidP="002966D5">
      <w:pPr>
        <w:numPr>
          <w:ilvl w:val="0"/>
          <w:numId w:val="1"/>
        </w:numPr>
        <w:rPr>
          <w:rFonts w:ascii="Aptos" w:hAnsi="Aptos"/>
        </w:rPr>
      </w:pPr>
      <w:r w:rsidRPr="002966D5">
        <w:rPr>
          <w:rFonts w:ascii="Aptos" w:hAnsi="Aptos"/>
          <w:b/>
          <w:bCs/>
        </w:rPr>
        <w:t>Geographic Visualization</w:t>
      </w:r>
      <w:r w:rsidRPr="002966D5">
        <w:rPr>
          <w:rFonts w:ascii="Aptos" w:hAnsi="Aptos"/>
        </w:rPr>
        <w:t>: Provides a clear view of the areas assigned to each sales rep, aiding in planning and organization.</w:t>
      </w:r>
    </w:p>
    <w:p w14:paraId="7EC8EE4E" w14:textId="77777777" w:rsidR="002966D5" w:rsidRPr="002966D5" w:rsidRDefault="002966D5" w:rsidP="002966D5">
      <w:pPr>
        <w:numPr>
          <w:ilvl w:val="0"/>
          <w:numId w:val="1"/>
        </w:numPr>
        <w:rPr>
          <w:rFonts w:ascii="Aptos" w:hAnsi="Aptos"/>
        </w:rPr>
      </w:pPr>
      <w:r w:rsidRPr="002966D5">
        <w:rPr>
          <w:rFonts w:ascii="Aptos" w:hAnsi="Aptos"/>
          <w:b/>
          <w:bCs/>
        </w:rPr>
        <w:t>Offline Access</w:t>
      </w:r>
      <w:r w:rsidRPr="002966D5">
        <w:rPr>
          <w:rFonts w:ascii="Aptos" w:hAnsi="Aptos"/>
        </w:rPr>
        <w:t>: Allows users to access maps without an internet connection, which is beneficial for field sales.</w:t>
      </w:r>
    </w:p>
    <w:p w14:paraId="060EE29B" w14:textId="77777777" w:rsidR="002966D5" w:rsidRPr="002966D5" w:rsidRDefault="002966D5">
      <w:pPr>
        <w:rPr>
          <w:rFonts w:ascii="Aptos" w:hAnsi="Aptos"/>
        </w:rPr>
      </w:pPr>
    </w:p>
    <w:p w14:paraId="3BFBC9B7" w14:textId="77777777" w:rsidR="002966D5" w:rsidRPr="002966D5" w:rsidRDefault="002966D5" w:rsidP="002966D5">
      <w:pPr>
        <w:rPr>
          <w:rFonts w:ascii="Aptos" w:hAnsi="Aptos"/>
          <w:b/>
          <w:bCs/>
        </w:rPr>
      </w:pPr>
      <w:r w:rsidRPr="002966D5">
        <w:rPr>
          <w:rFonts w:ascii="Aptos" w:hAnsi="Aptos"/>
          <w:b/>
          <w:bCs/>
        </w:rPr>
        <w:t>Summary Table of Benefits</w:t>
      </w:r>
    </w:p>
    <w:tbl>
      <w:tblPr>
        <w:tblW w:w="6120" w:type="dxa"/>
        <w:tblCellMar>
          <w:left w:w="0" w:type="dxa"/>
          <w:right w:w="0" w:type="dxa"/>
        </w:tblCellMar>
        <w:tblLook w:val="04A0" w:firstRow="1" w:lastRow="0" w:firstColumn="1" w:lastColumn="0" w:noHBand="0" w:noVBand="1"/>
      </w:tblPr>
      <w:tblGrid>
        <w:gridCol w:w="2203"/>
        <w:gridCol w:w="3917"/>
      </w:tblGrid>
      <w:tr w:rsidR="002966D5" w:rsidRPr="002966D5" w14:paraId="5A000BB2" w14:textId="77777777">
        <w:trPr>
          <w:tblHeader/>
        </w:trPr>
        <w:tc>
          <w:tcPr>
            <w:tcW w:w="0" w:type="auto"/>
            <w:tcBorders>
              <w:top w:val="nil"/>
              <w:left w:val="nil"/>
              <w:bottom w:val="nil"/>
              <w:right w:val="nil"/>
            </w:tcBorders>
            <w:tcMar>
              <w:top w:w="0" w:type="dxa"/>
              <w:left w:w="15" w:type="dxa"/>
              <w:bottom w:w="60" w:type="dxa"/>
              <w:right w:w="240" w:type="dxa"/>
            </w:tcMar>
            <w:hideMark/>
          </w:tcPr>
          <w:p w14:paraId="45764FD1" w14:textId="77777777" w:rsidR="002966D5" w:rsidRPr="002966D5" w:rsidRDefault="002966D5" w:rsidP="002966D5">
            <w:pPr>
              <w:rPr>
                <w:rFonts w:ascii="Aptos" w:hAnsi="Aptos"/>
                <w:b/>
                <w:bCs/>
              </w:rPr>
            </w:pPr>
            <w:r w:rsidRPr="002966D5">
              <w:rPr>
                <w:rFonts w:ascii="Aptos" w:hAnsi="Aptos"/>
                <w:b/>
                <w:bCs/>
              </w:rPr>
              <w:t>Benefit</w:t>
            </w:r>
          </w:p>
        </w:tc>
        <w:tc>
          <w:tcPr>
            <w:tcW w:w="0" w:type="auto"/>
            <w:tcBorders>
              <w:top w:val="nil"/>
              <w:left w:val="nil"/>
              <w:bottom w:val="nil"/>
              <w:right w:val="nil"/>
            </w:tcBorders>
            <w:tcMar>
              <w:top w:w="0" w:type="dxa"/>
              <w:left w:w="15" w:type="dxa"/>
              <w:bottom w:w="60" w:type="dxa"/>
              <w:right w:w="240" w:type="dxa"/>
            </w:tcMar>
            <w:hideMark/>
          </w:tcPr>
          <w:p w14:paraId="66E0D2B3" w14:textId="77777777" w:rsidR="002966D5" w:rsidRPr="002966D5" w:rsidRDefault="002966D5" w:rsidP="002966D5">
            <w:pPr>
              <w:rPr>
                <w:rFonts w:ascii="Aptos" w:hAnsi="Aptos"/>
                <w:b/>
                <w:bCs/>
              </w:rPr>
            </w:pPr>
            <w:r w:rsidRPr="002966D5">
              <w:rPr>
                <w:rFonts w:ascii="Aptos" w:hAnsi="Aptos"/>
                <w:b/>
                <w:bCs/>
              </w:rPr>
              <w:t>Description</w:t>
            </w:r>
          </w:p>
        </w:tc>
      </w:tr>
      <w:tr w:rsidR="002966D5" w:rsidRPr="002966D5" w14:paraId="06E3964F" w14:textId="77777777">
        <w:tc>
          <w:tcPr>
            <w:tcW w:w="0" w:type="auto"/>
            <w:tcBorders>
              <w:top w:val="nil"/>
              <w:left w:val="nil"/>
              <w:bottom w:val="nil"/>
              <w:right w:val="nil"/>
            </w:tcBorders>
            <w:tcMar>
              <w:top w:w="120" w:type="dxa"/>
              <w:left w:w="15" w:type="dxa"/>
              <w:bottom w:w="120" w:type="dxa"/>
              <w:right w:w="120" w:type="dxa"/>
            </w:tcMar>
            <w:hideMark/>
          </w:tcPr>
          <w:p w14:paraId="4ECD905E" w14:textId="77777777" w:rsidR="002966D5" w:rsidRPr="002966D5" w:rsidRDefault="002966D5" w:rsidP="002966D5">
            <w:pPr>
              <w:rPr>
                <w:rFonts w:ascii="Aptos" w:hAnsi="Aptos"/>
              </w:rPr>
            </w:pPr>
            <w:r w:rsidRPr="002966D5">
              <w:rPr>
                <w:rFonts w:ascii="Aptos" w:hAnsi="Aptos"/>
              </w:rPr>
              <w:t>Organized Sales Data</w:t>
            </w:r>
          </w:p>
        </w:tc>
        <w:tc>
          <w:tcPr>
            <w:tcW w:w="0" w:type="auto"/>
            <w:tcBorders>
              <w:top w:val="nil"/>
              <w:left w:val="nil"/>
              <w:bottom w:val="nil"/>
              <w:right w:val="nil"/>
            </w:tcBorders>
            <w:tcMar>
              <w:top w:w="120" w:type="dxa"/>
              <w:left w:w="15" w:type="dxa"/>
              <w:bottom w:w="120" w:type="dxa"/>
              <w:right w:w="120" w:type="dxa"/>
            </w:tcMar>
            <w:hideMark/>
          </w:tcPr>
          <w:p w14:paraId="3F2844C9" w14:textId="77777777" w:rsidR="002966D5" w:rsidRPr="002966D5" w:rsidRDefault="002966D5" w:rsidP="002966D5">
            <w:pPr>
              <w:rPr>
                <w:rFonts w:ascii="Aptos" w:hAnsi="Aptos"/>
              </w:rPr>
            </w:pPr>
            <w:r w:rsidRPr="002966D5">
              <w:rPr>
                <w:rFonts w:ascii="Aptos" w:hAnsi="Aptos"/>
              </w:rPr>
              <w:t xml:space="preserve">Segments data by </w:t>
            </w:r>
            <w:proofErr w:type="gramStart"/>
            <w:r w:rsidRPr="002966D5">
              <w:rPr>
                <w:rFonts w:ascii="Aptos" w:hAnsi="Aptos"/>
              </w:rPr>
              <w:t>regions</w:t>
            </w:r>
            <w:proofErr w:type="gramEnd"/>
            <w:r w:rsidRPr="002966D5">
              <w:rPr>
                <w:rFonts w:ascii="Aptos" w:hAnsi="Aptos"/>
              </w:rPr>
              <w:t xml:space="preserve"> for better management.</w:t>
            </w:r>
          </w:p>
        </w:tc>
      </w:tr>
      <w:tr w:rsidR="002966D5" w:rsidRPr="002966D5" w14:paraId="40452EDD" w14:textId="77777777">
        <w:tc>
          <w:tcPr>
            <w:tcW w:w="0" w:type="auto"/>
            <w:tcBorders>
              <w:top w:val="nil"/>
              <w:left w:val="nil"/>
              <w:bottom w:val="nil"/>
              <w:right w:val="nil"/>
            </w:tcBorders>
            <w:tcMar>
              <w:top w:w="120" w:type="dxa"/>
              <w:left w:w="15" w:type="dxa"/>
              <w:bottom w:w="120" w:type="dxa"/>
              <w:right w:w="120" w:type="dxa"/>
            </w:tcMar>
            <w:hideMark/>
          </w:tcPr>
          <w:p w14:paraId="640A0C85" w14:textId="77777777" w:rsidR="002966D5" w:rsidRPr="002966D5" w:rsidRDefault="002966D5" w:rsidP="002966D5">
            <w:pPr>
              <w:rPr>
                <w:rFonts w:ascii="Aptos" w:hAnsi="Aptos"/>
              </w:rPr>
            </w:pPr>
            <w:r w:rsidRPr="002966D5">
              <w:rPr>
                <w:rFonts w:ascii="Aptos" w:hAnsi="Aptos"/>
              </w:rPr>
              <w:t>Focused Coverage</w:t>
            </w:r>
          </w:p>
        </w:tc>
        <w:tc>
          <w:tcPr>
            <w:tcW w:w="0" w:type="auto"/>
            <w:tcBorders>
              <w:top w:val="nil"/>
              <w:left w:val="nil"/>
              <w:bottom w:val="nil"/>
              <w:right w:val="nil"/>
            </w:tcBorders>
            <w:tcMar>
              <w:top w:w="120" w:type="dxa"/>
              <w:left w:w="15" w:type="dxa"/>
              <w:bottom w:w="120" w:type="dxa"/>
              <w:right w:w="120" w:type="dxa"/>
            </w:tcMar>
            <w:hideMark/>
          </w:tcPr>
          <w:p w14:paraId="708F3084" w14:textId="77777777" w:rsidR="002966D5" w:rsidRPr="002966D5" w:rsidRDefault="002966D5" w:rsidP="002966D5">
            <w:pPr>
              <w:rPr>
                <w:rFonts w:ascii="Aptos" w:hAnsi="Aptos"/>
              </w:rPr>
            </w:pPr>
            <w:r w:rsidRPr="002966D5">
              <w:rPr>
                <w:rFonts w:ascii="Aptos" w:hAnsi="Aptos"/>
              </w:rPr>
              <w:t>Ensures all areas are adequately covered by sales reps.</w:t>
            </w:r>
          </w:p>
        </w:tc>
      </w:tr>
      <w:tr w:rsidR="002966D5" w:rsidRPr="002966D5" w14:paraId="29AE2521" w14:textId="77777777">
        <w:tc>
          <w:tcPr>
            <w:tcW w:w="0" w:type="auto"/>
            <w:tcBorders>
              <w:top w:val="nil"/>
              <w:left w:val="nil"/>
              <w:bottom w:val="nil"/>
              <w:right w:val="nil"/>
            </w:tcBorders>
            <w:tcMar>
              <w:top w:w="120" w:type="dxa"/>
              <w:left w:w="15" w:type="dxa"/>
              <w:bottom w:w="120" w:type="dxa"/>
              <w:right w:w="120" w:type="dxa"/>
            </w:tcMar>
            <w:hideMark/>
          </w:tcPr>
          <w:p w14:paraId="3923B851" w14:textId="77777777" w:rsidR="002966D5" w:rsidRPr="002966D5" w:rsidRDefault="002966D5" w:rsidP="002966D5">
            <w:pPr>
              <w:rPr>
                <w:rFonts w:ascii="Aptos" w:hAnsi="Aptos"/>
              </w:rPr>
            </w:pPr>
            <w:r w:rsidRPr="002966D5">
              <w:rPr>
                <w:rFonts w:ascii="Aptos" w:hAnsi="Aptos"/>
              </w:rPr>
              <w:t>Reduced Overlap</w:t>
            </w:r>
          </w:p>
        </w:tc>
        <w:tc>
          <w:tcPr>
            <w:tcW w:w="0" w:type="auto"/>
            <w:tcBorders>
              <w:top w:val="nil"/>
              <w:left w:val="nil"/>
              <w:bottom w:val="nil"/>
              <w:right w:val="nil"/>
            </w:tcBorders>
            <w:tcMar>
              <w:top w:w="120" w:type="dxa"/>
              <w:left w:w="15" w:type="dxa"/>
              <w:bottom w:w="120" w:type="dxa"/>
              <w:right w:w="120" w:type="dxa"/>
            </w:tcMar>
            <w:hideMark/>
          </w:tcPr>
          <w:p w14:paraId="2A62C1B6" w14:textId="77777777" w:rsidR="002966D5" w:rsidRPr="002966D5" w:rsidRDefault="002966D5" w:rsidP="002966D5">
            <w:pPr>
              <w:rPr>
                <w:rFonts w:ascii="Aptos" w:hAnsi="Aptos"/>
              </w:rPr>
            </w:pPr>
            <w:r w:rsidRPr="002966D5">
              <w:rPr>
                <w:rFonts w:ascii="Aptos" w:hAnsi="Aptos"/>
              </w:rPr>
              <w:t>Minimizes confusion and resource wastage.</w:t>
            </w:r>
          </w:p>
        </w:tc>
      </w:tr>
      <w:tr w:rsidR="002966D5" w:rsidRPr="002966D5" w14:paraId="675733E7" w14:textId="77777777">
        <w:tc>
          <w:tcPr>
            <w:tcW w:w="0" w:type="auto"/>
            <w:tcBorders>
              <w:top w:val="nil"/>
              <w:left w:val="nil"/>
              <w:bottom w:val="nil"/>
              <w:right w:val="nil"/>
            </w:tcBorders>
            <w:tcMar>
              <w:top w:w="120" w:type="dxa"/>
              <w:left w:w="15" w:type="dxa"/>
              <w:bottom w:w="120" w:type="dxa"/>
              <w:right w:w="120" w:type="dxa"/>
            </w:tcMar>
            <w:hideMark/>
          </w:tcPr>
          <w:p w14:paraId="18D33DCE" w14:textId="77777777" w:rsidR="002966D5" w:rsidRPr="002966D5" w:rsidRDefault="002966D5" w:rsidP="002966D5">
            <w:pPr>
              <w:rPr>
                <w:rFonts w:ascii="Aptos" w:hAnsi="Aptos"/>
              </w:rPr>
            </w:pPr>
            <w:r w:rsidRPr="002966D5">
              <w:rPr>
                <w:rFonts w:ascii="Aptos" w:hAnsi="Aptos"/>
              </w:rPr>
              <w:t>Streamlined Reporting</w:t>
            </w:r>
          </w:p>
        </w:tc>
        <w:tc>
          <w:tcPr>
            <w:tcW w:w="0" w:type="auto"/>
            <w:tcBorders>
              <w:top w:val="nil"/>
              <w:left w:val="nil"/>
              <w:bottom w:val="nil"/>
              <w:right w:val="nil"/>
            </w:tcBorders>
            <w:tcMar>
              <w:top w:w="120" w:type="dxa"/>
              <w:left w:w="15" w:type="dxa"/>
              <w:bottom w:w="120" w:type="dxa"/>
              <w:right w:w="120" w:type="dxa"/>
            </w:tcMar>
            <w:hideMark/>
          </w:tcPr>
          <w:p w14:paraId="7AF6C101" w14:textId="77777777" w:rsidR="002966D5" w:rsidRPr="002966D5" w:rsidRDefault="002966D5" w:rsidP="002966D5">
            <w:pPr>
              <w:rPr>
                <w:rFonts w:ascii="Aptos" w:hAnsi="Aptos"/>
              </w:rPr>
            </w:pPr>
            <w:r w:rsidRPr="002966D5">
              <w:rPr>
                <w:rFonts w:ascii="Aptos" w:hAnsi="Aptos"/>
              </w:rPr>
              <w:t>Simplifies performance insights by territory.</w:t>
            </w:r>
          </w:p>
        </w:tc>
      </w:tr>
      <w:tr w:rsidR="002966D5" w:rsidRPr="002966D5" w14:paraId="2F6D2ED6" w14:textId="77777777">
        <w:tc>
          <w:tcPr>
            <w:tcW w:w="0" w:type="auto"/>
            <w:tcBorders>
              <w:top w:val="nil"/>
              <w:left w:val="nil"/>
              <w:bottom w:val="nil"/>
              <w:right w:val="nil"/>
            </w:tcBorders>
            <w:tcMar>
              <w:top w:w="120" w:type="dxa"/>
              <w:left w:w="15" w:type="dxa"/>
              <w:bottom w:w="120" w:type="dxa"/>
              <w:right w:w="120" w:type="dxa"/>
            </w:tcMar>
            <w:hideMark/>
          </w:tcPr>
          <w:p w14:paraId="176F1E88" w14:textId="77777777" w:rsidR="002966D5" w:rsidRPr="002966D5" w:rsidRDefault="002966D5" w:rsidP="002966D5">
            <w:pPr>
              <w:rPr>
                <w:rFonts w:ascii="Aptos" w:hAnsi="Aptos"/>
              </w:rPr>
            </w:pPr>
            <w:r w:rsidRPr="002966D5">
              <w:rPr>
                <w:rFonts w:ascii="Aptos" w:hAnsi="Aptos"/>
              </w:rPr>
              <w:t>Accurate Sales Projections</w:t>
            </w:r>
          </w:p>
        </w:tc>
        <w:tc>
          <w:tcPr>
            <w:tcW w:w="0" w:type="auto"/>
            <w:tcBorders>
              <w:top w:val="nil"/>
              <w:left w:val="nil"/>
              <w:bottom w:val="nil"/>
              <w:right w:val="nil"/>
            </w:tcBorders>
            <w:tcMar>
              <w:top w:w="120" w:type="dxa"/>
              <w:left w:w="15" w:type="dxa"/>
              <w:bottom w:w="120" w:type="dxa"/>
              <w:right w:w="120" w:type="dxa"/>
            </w:tcMar>
            <w:hideMark/>
          </w:tcPr>
          <w:p w14:paraId="1CF2F351" w14:textId="77777777" w:rsidR="002966D5" w:rsidRPr="002966D5" w:rsidRDefault="002966D5" w:rsidP="002966D5">
            <w:pPr>
              <w:rPr>
                <w:rFonts w:ascii="Aptos" w:hAnsi="Aptos"/>
              </w:rPr>
            </w:pPr>
            <w:r w:rsidRPr="002966D5">
              <w:rPr>
                <w:rFonts w:ascii="Aptos" w:hAnsi="Aptos"/>
              </w:rPr>
              <w:t>Enhances forecasting accuracy through performance analysis.</w:t>
            </w:r>
          </w:p>
        </w:tc>
      </w:tr>
      <w:tr w:rsidR="002966D5" w:rsidRPr="002966D5" w14:paraId="656F16EF" w14:textId="77777777">
        <w:tc>
          <w:tcPr>
            <w:tcW w:w="0" w:type="auto"/>
            <w:tcBorders>
              <w:top w:val="nil"/>
              <w:left w:val="nil"/>
              <w:bottom w:val="nil"/>
              <w:right w:val="nil"/>
            </w:tcBorders>
            <w:tcMar>
              <w:top w:w="120" w:type="dxa"/>
              <w:left w:w="15" w:type="dxa"/>
              <w:bottom w:w="120" w:type="dxa"/>
              <w:right w:w="120" w:type="dxa"/>
            </w:tcMar>
            <w:hideMark/>
          </w:tcPr>
          <w:p w14:paraId="0AAA9B5E" w14:textId="77777777" w:rsidR="002966D5" w:rsidRPr="002966D5" w:rsidRDefault="002966D5" w:rsidP="002966D5">
            <w:pPr>
              <w:rPr>
                <w:rFonts w:ascii="Aptos" w:hAnsi="Aptos"/>
              </w:rPr>
            </w:pPr>
            <w:r w:rsidRPr="002966D5">
              <w:rPr>
                <w:rFonts w:ascii="Aptos" w:hAnsi="Aptos"/>
              </w:rPr>
              <w:lastRenderedPageBreak/>
              <w:t>Automated Lead Assignment</w:t>
            </w:r>
          </w:p>
        </w:tc>
        <w:tc>
          <w:tcPr>
            <w:tcW w:w="0" w:type="auto"/>
            <w:tcBorders>
              <w:top w:val="nil"/>
              <w:left w:val="nil"/>
              <w:bottom w:val="nil"/>
              <w:right w:val="nil"/>
            </w:tcBorders>
            <w:tcMar>
              <w:top w:w="120" w:type="dxa"/>
              <w:left w:w="15" w:type="dxa"/>
              <w:bottom w:w="120" w:type="dxa"/>
              <w:right w:w="120" w:type="dxa"/>
            </w:tcMar>
            <w:hideMark/>
          </w:tcPr>
          <w:p w14:paraId="4E170D89" w14:textId="77777777" w:rsidR="002966D5" w:rsidRPr="002966D5" w:rsidRDefault="002966D5" w:rsidP="002966D5">
            <w:pPr>
              <w:rPr>
                <w:rFonts w:ascii="Aptos" w:hAnsi="Aptos"/>
              </w:rPr>
            </w:pPr>
            <w:r w:rsidRPr="002966D5">
              <w:rPr>
                <w:rFonts w:ascii="Aptos" w:hAnsi="Aptos"/>
              </w:rPr>
              <w:t>Saves time with automated routing of leads.</w:t>
            </w:r>
          </w:p>
        </w:tc>
      </w:tr>
      <w:tr w:rsidR="002966D5" w:rsidRPr="002966D5" w14:paraId="3B1B46B6" w14:textId="77777777">
        <w:tc>
          <w:tcPr>
            <w:tcW w:w="0" w:type="auto"/>
            <w:tcBorders>
              <w:top w:val="nil"/>
              <w:left w:val="nil"/>
              <w:bottom w:val="nil"/>
              <w:right w:val="nil"/>
            </w:tcBorders>
            <w:tcMar>
              <w:top w:w="120" w:type="dxa"/>
              <w:left w:w="15" w:type="dxa"/>
              <w:bottom w:w="120" w:type="dxa"/>
              <w:right w:w="120" w:type="dxa"/>
            </w:tcMar>
            <w:hideMark/>
          </w:tcPr>
          <w:p w14:paraId="71CFCAAE" w14:textId="77777777" w:rsidR="002966D5" w:rsidRPr="002966D5" w:rsidRDefault="002966D5" w:rsidP="002966D5">
            <w:pPr>
              <w:rPr>
                <w:rFonts w:ascii="Aptos" w:hAnsi="Aptos"/>
              </w:rPr>
            </w:pPr>
            <w:r w:rsidRPr="002966D5">
              <w:rPr>
                <w:rFonts w:ascii="Aptos" w:hAnsi="Aptos"/>
              </w:rPr>
              <w:t>Efficient Resource Use</w:t>
            </w:r>
          </w:p>
        </w:tc>
        <w:tc>
          <w:tcPr>
            <w:tcW w:w="0" w:type="auto"/>
            <w:tcBorders>
              <w:top w:val="nil"/>
              <w:left w:val="nil"/>
              <w:bottom w:val="nil"/>
              <w:right w:val="nil"/>
            </w:tcBorders>
            <w:tcMar>
              <w:top w:w="120" w:type="dxa"/>
              <w:left w:w="15" w:type="dxa"/>
              <w:bottom w:w="120" w:type="dxa"/>
              <w:right w:w="120" w:type="dxa"/>
            </w:tcMar>
            <w:hideMark/>
          </w:tcPr>
          <w:p w14:paraId="4B9F58B7" w14:textId="77777777" w:rsidR="002966D5" w:rsidRPr="002966D5" w:rsidRDefault="002966D5" w:rsidP="002966D5">
            <w:pPr>
              <w:rPr>
                <w:rFonts w:ascii="Aptos" w:hAnsi="Aptos"/>
              </w:rPr>
            </w:pPr>
            <w:r w:rsidRPr="002966D5">
              <w:rPr>
                <w:rFonts w:ascii="Aptos" w:hAnsi="Aptos"/>
              </w:rPr>
              <w:t>Maximizes productivity by focusing on specific territories.</w:t>
            </w:r>
          </w:p>
        </w:tc>
      </w:tr>
    </w:tbl>
    <w:p w14:paraId="207492FB" w14:textId="77777777" w:rsidR="002966D5" w:rsidRPr="002966D5" w:rsidRDefault="002966D5" w:rsidP="002966D5">
      <w:pPr>
        <w:rPr>
          <w:rFonts w:ascii="Aptos" w:hAnsi="Aptos"/>
        </w:rPr>
      </w:pPr>
      <w:r w:rsidRPr="002966D5">
        <w:rPr>
          <w:rFonts w:ascii="Aptos" w:hAnsi="Aptos"/>
        </w:rPr>
        <w:t>Territory management features are essential for optimizing sales strategies and improving overall business performance.</w:t>
      </w:r>
    </w:p>
    <w:p w14:paraId="273D19EF" w14:textId="77777777" w:rsidR="002966D5" w:rsidRDefault="002966D5"/>
    <w:sectPr w:rsidR="002966D5" w:rsidSect="002966D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2EBB"/>
    <w:multiLevelType w:val="multilevel"/>
    <w:tmpl w:val="106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0754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D5"/>
    <w:rsid w:val="002966D5"/>
    <w:rsid w:val="00320A04"/>
    <w:rsid w:val="006F7CE3"/>
    <w:rsid w:val="00960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290D"/>
  <w15:chartTrackingRefBased/>
  <w15:docId w15:val="{69097210-4E20-435F-A1CC-20C68983D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6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6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6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6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6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6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66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66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6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6D5"/>
    <w:rPr>
      <w:rFonts w:eastAsiaTheme="majorEastAsia" w:cstheme="majorBidi"/>
      <w:color w:val="272727" w:themeColor="text1" w:themeTint="D8"/>
    </w:rPr>
  </w:style>
  <w:style w:type="paragraph" w:styleId="Title">
    <w:name w:val="Title"/>
    <w:basedOn w:val="Normal"/>
    <w:next w:val="Normal"/>
    <w:link w:val="TitleChar"/>
    <w:uiPriority w:val="10"/>
    <w:qFormat/>
    <w:rsid w:val="00296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6D5"/>
    <w:pPr>
      <w:spacing w:before="160"/>
      <w:jc w:val="center"/>
    </w:pPr>
    <w:rPr>
      <w:i/>
      <w:iCs/>
      <w:color w:val="404040" w:themeColor="text1" w:themeTint="BF"/>
    </w:rPr>
  </w:style>
  <w:style w:type="character" w:customStyle="1" w:styleId="QuoteChar">
    <w:name w:val="Quote Char"/>
    <w:basedOn w:val="DefaultParagraphFont"/>
    <w:link w:val="Quote"/>
    <w:uiPriority w:val="29"/>
    <w:rsid w:val="002966D5"/>
    <w:rPr>
      <w:i/>
      <w:iCs/>
      <w:color w:val="404040" w:themeColor="text1" w:themeTint="BF"/>
    </w:rPr>
  </w:style>
  <w:style w:type="paragraph" w:styleId="ListParagraph">
    <w:name w:val="List Paragraph"/>
    <w:basedOn w:val="Normal"/>
    <w:uiPriority w:val="34"/>
    <w:qFormat/>
    <w:rsid w:val="002966D5"/>
    <w:pPr>
      <w:ind w:left="720"/>
      <w:contextualSpacing/>
    </w:pPr>
  </w:style>
  <w:style w:type="character" w:styleId="IntenseEmphasis">
    <w:name w:val="Intense Emphasis"/>
    <w:basedOn w:val="DefaultParagraphFont"/>
    <w:uiPriority w:val="21"/>
    <w:qFormat/>
    <w:rsid w:val="002966D5"/>
    <w:rPr>
      <w:i/>
      <w:iCs/>
      <w:color w:val="2F5496" w:themeColor="accent1" w:themeShade="BF"/>
    </w:rPr>
  </w:style>
  <w:style w:type="paragraph" w:styleId="IntenseQuote">
    <w:name w:val="Intense Quote"/>
    <w:basedOn w:val="Normal"/>
    <w:next w:val="Normal"/>
    <w:link w:val="IntenseQuoteChar"/>
    <w:uiPriority w:val="30"/>
    <w:qFormat/>
    <w:rsid w:val="00296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6D5"/>
    <w:rPr>
      <w:i/>
      <w:iCs/>
      <w:color w:val="2F5496" w:themeColor="accent1" w:themeShade="BF"/>
    </w:rPr>
  </w:style>
  <w:style w:type="character" w:styleId="IntenseReference">
    <w:name w:val="Intense Reference"/>
    <w:basedOn w:val="DefaultParagraphFont"/>
    <w:uiPriority w:val="32"/>
    <w:qFormat/>
    <w:rsid w:val="002966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1</cp:revision>
  <dcterms:created xsi:type="dcterms:W3CDTF">2026-08-12T09:55:00Z</dcterms:created>
  <dcterms:modified xsi:type="dcterms:W3CDTF">2026-08-12T10:03:00Z</dcterms:modified>
</cp:coreProperties>
</file>