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52A4" w:rsidRDefault="00097090" w:rsidP="00A07FDA">
      <w:pPr>
        <w:jc w:val="center"/>
        <w:rPr>
          <w:b/>
          <w:bCs/>
          <w:sz w:val="32"/>
          <w:szCs w:val="32"/>
        </w:rPr>
      </w:pPr>
      <w:bookmarkStart w:id="0" w:name="_GoBack"/>
      <w:bookmarkEnd w:id="0"/>
      <w:r>
        <w:rPr>
          <w:b/>
          <w:bCs/>
          <w:sz w:val="32"/>
          <w:szCs w:val="32"/>
        </w:rPr>
        <w:t>Summary Response – Reviewer 1</w:t>
      </w:r>
    </w:p>
    <w:p w:rsidR="000D1B7A" w:rsidRDefault="000D1B7A">
      <w:pPr>
        <w:jc w:val="center"/>
      </w:pPr>
    </w:p>
    <w:p w:rsidR="008252A4" w:rsidRDefault="00097090">
      <w:pPr>
        <w:jc w:val="center"/>
      </w:pPr>
      <w:r>
        <w:rPr>
          <w:i/>
          <w:iCs/>
        </w:rPr>
        <w:t xml:space="preserve">Manuscript: Techno-SRJ-0437 </w:t>
      </w:r>
      <w:r w:rsidR="00A07FDA">
        <w:rPr>
          <w:i/>
          <w:iCs/>
        </w:rPr>
        <w:t xml:space="preserve">- </w:t>
      </w:r>
      <w:r>
        <w:rPr>
          <w:i/>
          <w:iCs/>
        </w:rPr>
        <w:t>“Multi-Task Deep Learning for Food Recognition and Nutrition Estimation from 2D Food Images”</w:t>
      </w:r>
    </w:p>
    <w:p w:rsidR="008252A4" w:rsidRDefault="008252A4"/>
    <w:p w:rsidR="008252A4" w:rsidRDefault="00097090">
      <w:r>
        <w:t>We thank Reviewer 1 for the detailed and constructive evaluation. Below we respond to each point from the Total Score comments and supporting evaluation criteria, indicating the corresponding section and page number in the revised manuscript (Techno-SRJ-04</w:t>
      </w:r>
      <w:r>
        <w:t>37), where all revised or added text is highlighted in yellow.</w:t>
      </w:r>
    </w:p>
    <w:p w:rsidR="008252A4" w:rsidRDefault="008252A4"/>
    <w:tbl>
      <w:tblPr>
        <w:tblW w:w="12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05"/>
        <w:gridCol w:w="5760"/>
        <w:gridCol w:w="2250"/>
      </w:tblGrid>
      <w:tr w:rsidR="008252A4" w:rsidTr="00097090">
        <w:tblPrEx>
          <w:tblCellMar>
            <w:top w:w="0" w:type="dxa"/>
            <w:bottom w:w="0" w:type="dxa"/>
          </w:tblCellMar>
        </w:tblPrEx>
        <w:tc>
          <w:tcPr>
            <w:tcW w:w="700" w:type="dxa"/>
            <w:shd w:val="clear" w:color="auto" w:fill="D9D9D9"/>
            <w:tcMar>
              <w:top w:w="100" w:type="dxa"/>
              <w:left w:w="100" w:type="dxa"/>
              <w:bottom w:w="100" w:type="dxa"/>
              <w:right w:w="100" w:type="dxa"/>
            </w:tcMar>
            <w:vAlign w:val="center"/>
          </w:tcPr>
          <w:p w:rsidR="008252A4" w:rsidRDefault="00097090" w:rsidP="00097090">
            <w:pPr>
              <w:jc w:val="center"/>
            </w:pPr>
            <w:r>
              <w:rPr>
                <w:b/>
                <w:bCs/>
              </w:rPr>
              <w:t>#</w:t>
            </w:r>
          </w:p>
        </w:tc>
        <w:tc>
          <w:tcPr>
            <w:tcW w:w="3705" w:type="dxa"/>
            <w:shd w:val="clear" w:color="auto" w:fill="D9D9D9"/>
            <w:tcMar>
              <w:top w:w="100" w:type="dxa"/>
              <w:left w:w="100" w:type="dxa"/>
              <w:bottom w:w="100" w:type="dxa"/>
              <w:right w:w="100" w:type="dxa"/>
            </w:tcMar>
            <w:vAlign w:val="center"/>
          </w:tcPr>
          <w:p w:rsidR="008252A4" w:rsidRDefault="00097090" w:rsidP="00097090">
            <w:pPr>
              <w:jc w:val="center"/>
            </w:pPr>
            <w:r>
              <w:rPr>
                <w:b/>
                <w:bCs/>
              </w:rPr>
              <w:t>Reviewer Comment</w:t>
            </w:r>
          </w:p>
        </w:tc>
        <w:tc>
          <w:tcPr>
            <w:tcW w:w="5760" w:type="dxa"/>
            <w:shd w:val="clear" w:color="auto" w:fill="D9D9D9"/>
            <w:tcMar>
              <w:top w:w="100" w:type="dxa"/>
              <w:left w:w="100" w:type="dxa"/>
              <w:bottom w:w="100" w:type="dxa"/>
              <w:right w:w="100" w:type="dxa"/>
            </w:tcMar>
            <w:vAlign w:val="center"/>
          </w:tcPr>
          <w:p w:rsidR="008252A4" w:rsidRDefault="00097090" w:rsidP="00097090">
            <w:pPr>
              <w:jc w:val="center"/>
            </w:pPr>
            <w:r>
              <w:rPr>
                <w:b/>
                <w:bCs/>
              </w:rPr>
              <w:t>Author Response</w:t>
            </w:r>
          </w:p>
        </w:tc>
        <w:tc>
          <w:tcPr>
            <w:tcW w:w="2250" w:type="dxa"/>
            <w:shd w:val="clear" w:color="auto" w:fill="D9D9D9"/>
            <w:tcMar>
              <w:top w:w="100" w:type="dxa"/>
              <w:left w:w="100" w:type="dxa"/>
              <w:bottom w:w="100" w:type="dxa"/>
              <w:right w:w="100" w:type="dxa"/>
            </w:tcMar>
            <w:vAlign w:val="center"/>
          </w:tcPr>
          <w:p w:rsidR="008252A4" w:rsidRDefault="00097090" w:rsidP="00097090">
            <w:pPr>
              <w:jc w:val="center"/>
            </w:pPr>
            <w:r>
              <w:rPr>
                <w:b/>
                <w:bCs/>
              </w:rPr>
              <w:t>Location in Revised Manuscript</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1</w:t>
            </w:r>
          </w:p>
        </w:tc>
        <w:tc>
          <w:tcPr>
            <w:tcW w:w="3705" w:type="dxa"/>
            <w:tcMar>
              <w:top w:w="100" w:type="dxa"/>
              <w:left w:w="100" w:type="dxa"/>
              <w:bottom w:w="100" w:type="dxa"/>
              <w:right w:w="100" w:type="dxa"/>
            </w:tcMar>
          </w:tcPr>
          <w:p w:rsidR="008252A4" w:rsidRDefault="00097090">
            <w:r>
              <w:t xml:space="preserve">Reconcile the “Asian food” framing with the dataset actually used. </w:t>
            </w:r>
            <w:proofErr w:type="spellStart"/>
            <w:r>
              <w:t>NutritionVerse</w:t>
            </w:r>
            <w:proofErr w:type="spellEnd"/>
            <w:r>
              <w:t>-Real is a Canadian food-scene dataset, an</w:t>
            </w:r>
            <w:r>
              <w:t>d its classes (lasagna, meatloaf, hamburger, granola bars, Costco sushi rolls) aren't Asian cuisine. Either substantiate the Asian-food claim or revise the title, abstract, and framing to match the data.</w:t>
            </w:r>
          </w:p>
        </w:tc>
        <w:tc>
          <w:tcPr>
            <w:tcW w:w="5760" w:type="dxa"/>
            <w:tcMar>
              <w:top w:w="100" w:type="dxa"/>
              <w:left w:w="100" w:type="dxa"/>
              <w:bottom w:w="100" w:type="dxa"/>
              <w:right w:w="100" w:type="dxa"/>
            </w:tcMar>
          </w:tcPr>
          <w:p w:rsidR="008252A4" w:rsidRDefault="00021645">
            <w:r w:rsidRPr="00021645">
              <w:t xml:space="preserve">We thank the reviewer. Although this work was motivated by the under-representation of Southeast Asian cuisines in existing food datasets, the </w:t>
            </w:r>
            <w:proofErr w:type="spellStart"/>
            <w:r w:rsidRPr="00021645">
              <w:t>NutritionVerse</w:t>
            </w:r>
            <w:proofErr w:type="spellEnd"/>
            <w:r w:rsidRPr="00021645">
              <w:t>-Real dataset used in the experiments contains a mixture of food types and is not exclusively Asian. We have therefore revised the title, abstract, keywords, Section 1 (Introduction), and Section 2.2 (Dataset) to remove the claim of an Asian-specific dataset. The Asian/Southeast-Asian coverage gap is now presented only as motivation and as future work (Section 5).</w:t>
            </w:r>
          </w:p>
        </w:tc>
        <w:tc>
          <w:tcPr>
            <w:tcW w:w="2250" w:type="dxa"/>
            <w:tcMar>
              <w:top w:w="100" w:type="dxa"/>
              <w:left w:w="100" w:type="dxa"/>
              <w:bottom w:w="100" w:type="dxa"/>
              <w:right w:w="100" w:type="dxa"/>
            </w:tcMar>
          </w:tcPr>
          <w:p w:rsidR="008252A4" w:rsidRDefault="00097090">
            <w:r>
              <w:t>Title</w:t>
            </w:r>
            <w:r w:rsidR="00A07FDA">
              <w:t xml:space="preserve">; </w:t>
            </w:r>
            <w:r>
              <w:t>K</w:t>
            </w:r>
            <w:r>
              <w:t>eywords</w:t>
            </w:r>
            <w:r>
              <w:t>; Introduction</w:t>
            </w:r>
            <w:r>
              <w:t xml:space="preserve">; Section 2.2 Dataset </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2</w:t>
            </w:r>
          </w:p>
        </w:tc>
        <w:tc>
          <w:tcPr>
            <w:tcW w:w="3705" w:type="dxa"/>
            <w:tcMar>
              <w:top w:w="100" w:type="dxa"/>
              <w:left w:w="100" w:type="dxa"/>
              <w:bottom w:w="100" w:type="dxa"/>
              <w:right w:w="100" w:type="dxa"/>
            </w:tcMar>
          </w:tcPr>
          <w:p w:rsidR="008252A4" w:rsidRDefault="00097090">
            <w:r>
              <w:t>Report exact dataset-split sizes (image/dish counts per train/validation/test split, before and after augmentation).</w:t>
            </w:r>
          </w:p>
        </w:tc>
        <w:tc>
          <w:tcPr>
            <w:tcW w:w="5760" w:type="dxa"/>
            <w:tcMar>
              <w:top w:w="100" w:type="dxa"/>
              <w:left w:w="100" w:type="dxa"/>
              <w:bottom w:w="100" w:type="dxa"/>
              <w:right w:w="100" w:type="dxa"/>
            </w:tcMar>
          </w:tcPr>
          <w:p w:rsidR="008252A4" w:rsidRDefault="00021645">
            <w:r w:rsidRPr="00021645">
              <w:t>We have revised Sections 2.2 and 2.3 to report the exact number of dishes and images at each stage. After cleaning, the dataset comprises 889 images (251 dishes). Following the dish-level 80/10/10 split, the training, validation, and test sets contain 711, 88, and 90 images, respectively. Targeted augmentation of minority classes increased the training set from 711 to 773 images (+62 images, +8.7%). The validation and test sets were not augmented.</w:t>
            </w:r>
          </w:p>
        </w:tc>
        <w:tc>
          <w:tcPr>
            <w:tcW w:w="2250" w:type="dxa"/>
            <w:tcMar>
              <w:top w:w="100" w:type="dxa"/>
              <w:left w:w="100" w:type="dxa"/>
              <w:bottom w:w="100" w:type="dxa"/>
              <w:right w:w="100" w:type="dxa"/>
            </w:tcMar>
          </w:tcPr>
          <w:p w:rsidR="008252A4" w:rsidRDefault="00021645">
            <w:r w:rsidRPr="00021645">
              <w:t>Section 2.2; Section 2.3 (including a new class-wise augmentation table).</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3</w:t>
            </w:r>
          </w:p>
        </w:tc>
        <w:tc>
          <w:tcPr>
            <w:tcW w:w="3705" w:type="dxa"/>
            <w:tcMar>
              <w:top w:w="100" w:type="dxa"/>
              <w:left w:w="100" w:type="dxa"/>
              <w:bottom w:w="100" w:type="dxa"/>
              <w:right w:w="100" w:type="dxa"/>
            </w:tcMar>
          </w:tcPr>
          <w:p w:rsidR="008252A4" w:rsidRDefault="00097090">
            <w:r>
              <w:t xml:space="preserve">Add efficiency evidence (inference latency, parameter count, model size) to </w:t>
            </w:r>
            <w:r>
              <w:t>support the “lightweight” and “real-time / mobile-deployable” claims, or soften the wording.</w:t>
            </w:r>
          </w:p>
        </w:tc>
        <w:tc>
          <w:tcPr>
            <w:tcW w:w="5760" w:type="dxa"/>
            <w:tcMar>
              <w:top w:w="100" w:type="dxa"/>
              <w:left w:w="100" w:type="dxa"/>
              <w:bottom w:w="100" w:type="dxa"/>
              <w:right w:w="100" w:type="dxa"/>
            </w:tcMar>
          </w:tcPr>
          <w:p w:rsidR="008252A4" w:rsidRDefault="00021645">
            <w:r>
              <w:t>W</w:t>
            </w:r>
            <w:r w:rsidRPr="00021645">
              <w:t>e have (1) added a quantitative efficiency comparison  parameter count and multiply–add operations for MobileNetV2 (~3.4M parameters, ~0.3G MACs) and ResNet-50 (~25.6M parameters, ~3.9G MACs), citing the original publications , ; and (2) revised the wording to replace the unsubstantiated "real-time" and "mobile-deployable" claims with "computationally efficient" and "suitable for resource-constrained devices," since inference latency was not explicitly benchmarked in this study.</w:t>
            </w:r>
          </w:p>
        </w:tc>
        <w:tc>
          <w:tcPr>
            <w:tcW w:w="2250" w:type="dxa"/>
            <w:tcMar>
              <w:top w:w="100" w:type="dxa"/>
              <w:left w:w="100" w:type="dxa"/>
              <w:bottom w:w="100" w:type="dxa"/>
              <w:right w:w="100" w:type="dxa"/>
            </w:tcMar>
          </w:tcPr>
          <w:p w:rsidR="008252A4" w:rsidRDefault="00021645">
            <w:r w:rsidRPr="00021645">
              <w:t>Section 1; Section 2.4.1; Section 2.4.2; Section 3.3; Section 5.</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4</w:t>
            </w:r>
          </w:p>
        </w:tc>
        <w:tc>
          <w:tcPr>
            <w:tcW w:w="3705" w:type="dxa"/>
            <w:tcMar>
              <w:top w:w="100" w:type="dxa"/>
              <w:left w:w="100" w:type="dxa"/>
              <w:bottom w:w="100" w:type="dxa"/>
              <w:right w:w="100" w:type="dxa"/>
            </w:tcMar>
          </w:tcPr>
          <w:p w:rsidR="008252A4" w:rsidRDefault="00097090">
            <w:r>
              <w:t xml:space="preserve">Benchmark the F1 and R-squared results against at least one prior published study to </w:t>
            </w:r>
            <w:r>
              <w:lastRenderedPageBreak/>
              <w:t>show whether this is an improvement over existing work.</w:t>
            </w:r>
          </w:p>
        </w:tc>
        <w:tc>
          <w:tcPr>
            <w:tcW w:w="5760" w:type="dxa"/>
            <w:tcMar>
              <w:top w:w="100" w:type="dxa"/>
              <w:left w:w="100" w:type="dxa"/>
              <w:bottom w:w="100" w:type="dxa"/>
              <w:right w:w="100" w:type="dxa"/>
            </w:tcMar>
          </w:tcPr>
          <w:p w:rsidR="008252A4" w:rsidRDefault="00021645">
            <w:r w:rsidRPr="00021645">
              <w:lastRenderedPageBreak/>
              <w:t xml:space="preserve">We have added a benchmark comparison in Section 3.3 against prior published studies. For the food-recognition task, we report a </w:t>
            </w:r>
            <w:r w:rsidRPr="00021645">
              <w:lastRenderedPageBreak/>
              <w:t xml:space="preserve">comparable multi-label F1 reference: our micro F1 (0.4777–0.4979) is comparable to the micro F1 of 0.5616 reported by </w:t>
            </w:r>
            <w:proofErr w:type="spellStart"/>
            <w:r w:rsidRPr="00021645">
              <w:t>Theera-Ampornpunt</w:t>
            </w:r>
            <w:proofErr w:type="spellEnd"/>
            <w:r w:rsidRPr="00021645">
              <w:t xml:space="preserve"> and </w:t>
            </w:r>
            <w:proofErr w:type="spellStart"/>
            <w:r w:rsidRPr="00021645">
              <w:t>Treepong</w:t>
            </w:r>
            <w:proofErr w:type="spellEnd"/>
            <w:r w:rsidRPr="00021645">
              <w:t xml:space="preserve"> [16] for multi-label food-ingredient prediction, and above the 0.4927 baseline they improve upon. For the nutrition-regression task, we report an R² reference: </w:t>
            </w:r>
            <w:proofErr w:type="spellStart"/>
            <w:r w:rsidRPr="00021645">
              <w:t>Wimalasiri</w:t>
            </w:r>
            <w:proofErr w:type="spellEnd"/>
            <w:r w:rsidRPr="00021645">
              <w:t xml:space="preserve"> and Sahoo [4] achieved an R² of 0.9865 for single-target food-weight estimation. We explicitly explain that these are not direct head-to-head comparisons, because the datasets, task definitions, label structures, and metrics all differ the cited studies address single-target weight regression or ingredient-only recognition, whereas the present framework jointly optimizes multi-label recognition and five-target nutrition regression from a single 2D image. We also compare against He et al. [11], a closely related multi-task formulation, which achieved 88.67% classification accuracy while its portion-regression error remained substantial (MAE 56.82 kcal), illustrating that quantity-dependent regression is the harder sub-task even when classification is strong consistent with our findings.</w:t>
            </w:r>
          </w:p>
        </w:tc>
        <w:tc>
          <w:tcPr>
            <w:tcW w:w="2250" w:type="dxa"/>
            <w:tcMar>
              <w:top w:w="100" w:type="dxa"/>
              <w:left w:w="100" w:type="dxa"/>
              <w:bottom w:w="100" w:type="dxa"/>
              <w:right w:w="100" w:type="dxa"/>
            </w:tcMar>
          </w:tcPr>
          <w:p w:rsidR="008252A4" w:rsidRDefault="00021645">
            <w:r w:rsidRPr="00021645">
              <w:lastRenderedPageBreak/>
              <w:t>Section 3.3 (discussion); References [16].</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5</w:t>
            </w:r>
          </w:p>
        </w:tc>
        <w:tc>
          <w:tcPr>
            <w:tcW w:w="3705" w:type="dxa"/>
            <w:tcMar>
              <w:top w:w="100" w:type="dxa"/>
              <w:left w:w="100" w:type="dxa"/>
              <w:bottom w:w="100" w:type="dxa"/>
              <w:right w:w="100" w:type="dxa"/>
            </w:tcMar>
          </w:tcPr>
          <w:p w:rsidR="008252A4" w:rsidRDefault="00097090">
            <w:r>
              <w:t>Label Fig. 5’s x-axis with food-class names instead of numeric indices.</w:t>
            </w:r>
          </w:p>
        </w:tc>
        <w:tc>
          <w:tcPr>
            <w:tcW w:w="5760" w:type="dxa"/>
            <w:tcMar>
              <w:top w:w="100" w:type="dxa"/>
              <w:left w:w="100" w:type="dxa"/>
              <w:bottom w:w="100" w:type="dxa"/>
              <w:right w:w="100" w:type="dxa"/>
            </w:tcMar>
          </w:tcPr>
          <w:p w:rsidR="008252A4" w:rsidRDefault="00021645">
            <w:r w:rsidRPr="00021645">
              <w:t>We have regenerated Fig. 5 so that the x-axis now displays the food-class names (rotated 90° for legibility) instead of numeric class indices, and enlarged the figure to accommodate all 42 labels.</w:t>
            </w:r>
          </w:p>
        </w:tc>
        <w:tc>
          <w:tcPr>
            <w:tcW w:w="2250" w:type="dxa"/>
            <w:tcMar>
              <w:top w:w="100" w:type="dxa"/>
              <w:left w:w="100" w:type="dxa"/>
              <w:bottom w:w="100" w:type="dxa"/>
              <w:right w:w="100" w:type="dxa"/>
            </w:tcMar>
          </w:tcPr>
          <w:p w:rsidR="008252A4" w:rsidRDefault="00097090">
            <w:r>
              <w:t xml:space="preserve">Fig. 5 </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6</w:t>
            </w:r>
          </w:p>
        </w:tc>
        <w:tc>
          <w:tcPr>
            <w:tcW w:w="3705" w:type="dxa"/>
            <w:tcMar>
              <w:top w:w="100" w:type="dxa"/>
              <w:left w:w="100" w:type="dxa"/>
              <w:bottom w:w="100" w:type="dxa"/>
              <w:right w:w="100" w:type="dxa"/>
            </w:tcMar>
          </w:tcPr>
          <w:p w:rsidR="008252A4" w:rsidRDefault="00097090">
            <w:r>
              <w:t>Note the small test set (~25 dishes); consider cross-validation or significance testing before treating MobileNetV2-vs-ResNet</w:t>
            </w:r>
            <w:r>
              <w:t>50 differences as meaningful.</w:t>
            </w:r>
          </w:p>
        </w:tc>
        <w:tc>
          <w:tcPr>
            <w:tcW w:w="5760" w:type="dxa"/>
            <w:tcMar>
              <w:top w:w="100" w:type="dxa"/>
              <w:left w:w="100" w:type="dxa"/>
              <w:bottom w:w="100" w:type="dxa"/>
              <w:right w:w="100" w:type="dxa"/>
            </w:tcMar>
          </w:tcPr>
          <w:p w:rsidR="008252A4" w:rsidRDefault="00021645">
            <w:r w:rsidRPr="00021645">
              <w:t>We acknowledge that the evaluation is based on a single 80/10/10 dish-level split over a small test set (23 dishes / 90 images). We have added an explicit limitation note to this effect and have refrained from treating single-split differences between the two backbones as conclusive. We recommend k-fold cross-validation or repeated random splits with significance testing as future work to confirm that the observed backbone differences are robust rather than attributable to a particular split.</w:t>
            </w:r>
          </w:p>
        </w:tc>
        <w:tc>
          <w:tcPr>
            <w:tcW w:w="2250" w:type="dxa"/>
            <w:tcMar>
              <w:top w:w="100" w:type="dxa"/>
              <w:left w:w="100" w:type="dxa"/>
              <w:bottom w:w="100" w:type="dxa"/>
              <w:right w:w="100" w:type="dxa"/>
            </w:tcMar>
          </w:tcPr>
          <w:p w:rsidR="008252A4" w:rsidRDefault="00097090">
            <w:r>
              <w:t>Conclusions</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7</w:t>
            </w:r>
          </w:p>
        </w:tc>
        <w:tc>
          <w:tcPr>
            <w:tcW w:w="3705" w:type="dxa"/>
            <w:tcMar>
              <w:top w:w="100" w:type="dxa"/>
              <w:left w:w="100" w:type="dxa"/>
              <w:bottom w:w="100" w:type="dxa"/>
              <w:right w:w="100" w:type="dxa"/>
            </w:tcMar>
          </w:tcPr>
          <w:p w:rsidR="008252A4" w:rsidRDefault="00097090">
            <w:r>
              <w:t>Fix the incomplete comparative sentence in Section 3.1.</w:t>
            </w:r>
          </w:p>
        </w:tc>
        <w:tc>
          <w:tcPr>
            <w:tcW w:w="5760" w:type="dxa"/>
            <w:tcMar>
              <w:top w:w="100" w:type="dxa"/>
              <w:left w:w="100" w:type="dxa"/>
              <w:bottom w:w="100" w:type="dxa"/>
              <w:right w:w="100" w:type="dxa"/>
            </w:tcMar>
          </w:tcPr>
          <w:p w:rsidR="008252A4" w:rsidRDefault="00021645">
            <w:r w:rsidRPr="00021645">
              <w:t>We have corrected the incomplete comparative sentence by adding the missing comparative ("had a greater impact on performance than the choice of backbone model") and aligned the Macro F1 values in this paragraph with the final experimental results</w:t>
            </w:r>
            <w:r>
              <w:t>.</w:t>
            </w:r>
          </w:p>
        </w:tc>
        <w:tc>
          <w:tcPr>
            <w:tcW w:w="2250" w:type="dxa"/>
            <w:tcMar>
              <w:top w:w="100" w:type="dxa"/>
              <w:left w:w="100" w:type="dxa"/>
              <w:bottom w:w="100" w:type="dxa"/>
              <w:right w:w="100" w:type="dxa"/>
            </w:tcMar>
          </w:tcPr>
          <w:p w:rsidR="008252A4" w:rsidRDefault="00097090">
            <w:r>
              <w:t>Section 3.1</w:t>
            </w:r>
          </w:p>
        </w:tc>
      </w:tr>
      <w:tr w:rsidR="008252A4" w:rsidTr="00A07FDA">
        <w:tblPrEx>
          <w:tblCellMar>
            <w:top w:w="0" w:type="dxa"/>
            <w:bottom w:w="0" w:type="dxa"/>
          </w:tblCellMar>
        </w:tblPrEx>
        <w:tc>
          <w:tcPr>
            <w:tcW w:w="700" w:type="dxa"/>
            <w:tcMar>
              <w:top w:w="100" w:type="dxa"/>
              <w:left w:w="100" w:type="dxa"/>
              <w:bottom w:w="100" w:type="dxa"/>
              <w:right w:w="100" w:type="dxa"/>
            </w:tcMar>
          </w:tcPr>
          <w:p w:rsidR="008252A4" w:rsidRDefault="00097090">
            <w:r>
              <w:t>8</w:t>
            </w:r>
          </w:p>
        </w:tc>
        <w:tc>
          <w:tcPr>
            <w:tcW w:w="3705" w:type="dxa"/>
            <w:tcMar>
              <w:top w:w="100" w:type="dxa"/>
              <w:left w:w="100" w:type="dxa"/>
              <w:bottom w:w="100" w:type="dxa"/>
              <w:right w:w="100" w:type="dxa"/>
            </w:tcMar>
          </w:tcPr>
          <w:p w:rsidR="008252A4" w:rsidRDefault="00097090">
            <w:r>
              <w:t>Consider expanding the literature review to connect prior results to this study’s findings.</w:t>
            </w:r>
          </w:p>
        </w:tc>
        <w:tc>
          <w:tcPr>
            <w:tcW w:w="5760" w:type="dxa"/>
            <w:tcMar>
              <w:top w:w="100" w:type="dxa"/>
              <w:left w:w="100" w:type="dxa"/>
              <w:bottom w:w="100" w:type="dxa"/>
              <w:right w:w="100" w:type="dxa"/>
            </w:tcMar>
          </w:tcPr>
          <w:p w:rsidR="008252A4" w:rsidRDefault="00021645">
            <w:r w:rsidRPr="00021645">
              <w:t>We have expanded the literature review in the Introduction to cover prior results in food recognition, nutrition estimation, multi-label ingredient recognition, and multi-task learning, and we have explicitly connected each line of prior work to this study. In particular, Section 3.3 now relates our results to task-comparable prior studies including multi-label ingredient recognition [16], single-target food-weight regression [4], and a closely related multi-task recognition-and-portion-estimation framework [11] and explains why direct numeric comparison is limited by differences in datasets, task definitions, label structures, and metrics. This connects the prior literature directly to the present study's contribution rather than treating it as background only.</w:t>
            </w:r>
          </w:p>
        </w:tc>
        <w:tc>
          <w:tcPr>
            <w:tcW w:w="2250" w:type="dxa"/>
            <w:tcMar>
              <w:top w:w="100" w:type="dxa"/>
              <w:left w:w="100" w:type="dxa"/>
              <w:bottom w:w="100" w:type="dxa"/>
              <w:right w:w="100" w:type="dxa"/>
            </w:tcMar>
          </w:tcPr>
          <w:p w:rsidR="008252A4" w:rsidRDefault="00097090">
            <w:r>
              <w:t>Introduction</w:t>
            </w:r>
            <w:r>
              <w:t>; Sec</w:t>
            </w:r>
            <w:r>
              <w:t xml:space="preserve">tion 3.3 </w:t>
            </w:r>
          </w:p>
        </w:tc>
      </w:tr>
    </w:tbl>
    <w:p w:rsidR="008252A4" w:rsidRDefault="008252A4"/>
    <w:sectPr w:rsidR="008252A4">
      <w:pgSz w:w="16838" w:h="11906"/>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0002AFF" w:usb1="C000247B" w:usb2="00000009" w:usb3="00000000" w:csb0="000001FF" w:csb1="00000000"/>
  </w:font>
  <w:font w:name="DaunPenh">
    <w:panose1 w:val="01010101010101010101"/>
    <w:charset w:val="00"/>
    <w:family w:val="auto"/>
    <w:pitch w:val="variable"/>
    <w:sig w:usb0="0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951F75"/>
    <w:multiLevelType w:val="hybridMultilevel"/>
    <w:tmpl w:val="E428543C"/>
    <w:lvl w:ilvl="0" w:tplc="D2D035D2">
      <w:start w:val="1"/>
      <w:numFmt w:val="bullet"/>
      <w:lvlText w:val="●"/>
      <w:lvlJc w:val="left"/>
      <w:pPr>
        <w:ind w:left="720" w:hanging="360"/>
      </w:pPr>
    </w:lvl>
    <w:lvl w:ilvl="1" w:tplc="4B88F642">
      <w:start w:val="1"/>
      <w:numFmt w:val="bullet"/>
      <w:lvlText w:val="○"/>
      <w:lvlJc w:val="left"/>
      <w:pPr>
        <w:ind w:left="1440" w:hanging="360"/>
      </w:pPr>
    </w:lvl>
    <w:lvl w:ilvl="2" w:tplc="C58AEC2A">
      <w:start w:val="1"/>
      <w:numFmt w:val="bullet"/>
      <w:lvlText w:val="■"/>
      <w:lvlJc w:val="left"/>
      <w:pPr>
        <w:ind w:left="2160" w:hanging="360"/>
      </w:pPr>
    </w:lvl>
    <w:lvl w:ilvl="3" w:tplc="85CA120C">
      <w:start w:val="1"/>
      <w:numFmt w:val="bullet"/>
      <w:lvlText w:val="●"/>
      <w:lvlJc w:val="left"/>
      <w:pPr>
        <w:ind w:left="2880" w:hanging="360"/>
      </w:pPr>
    </w:lvl>
    <w:lvl w:ilvl="4" w:tplc="C3B81B42">
      <w:start w:val="1"/>
      <w:numFmt w:val="bullet"/>
      <w:lvlText w:val="○"/>
      <w:lvlJc w:val="left"/>
      <w:pPr>
        <w:ind w:left="3600" w:hanging="360"/>
      </w:pPr>
    </w:lvl>
    <w:lvl w:ilvl="5" w:tplc="35B60C26">
      <w:start w:val="1"/>
      <w:numFmt w:val="bullet"/>
      <w:lvlText w:val="■"/>
      <w:lvlJc w:val="left"/>
      <w:pPr>
        <w:ind w:left="4320" w:hanging="360"/>
      </w:pPr>
    </w:lvl>
    <w:lvl w:ilvl="6" w:tplc="6472F7BE">
      <w:start w:val="1"/>
      <w:numFmt w:val="bullet"/>
      <w:lvlText w:val="●"/>
      <w:lvlJc w:val="left"/>
      <w:pPr>
        <w:ind w:left="5040" w:hanging="360"/>
      </w:pPr>
    </w:lvl>
    <w:lvl w:ilvl="7" w:tplc="DBDC146A">
      <w:start w:val="1"/>
      <w:numFmt w:val="bullet"/>
      <w:lvlText w:val="●"/>
      <w:lvlJc w:val="left"/>
      <w:pPr>
        <w:ind w:left="5760" w:hanging="360"/>
      </w:pPr>
    </w:lvl>
    <w:lvl w:ilvl="8" w:tplc="A7F293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2A4"/>
    <w:rsid w:val="00021645"/>
    <w:rsid w:val="00097090"/>
    <w:rsid w:val="000D1B7A"/>
    <w:rsid w:val="007C2FA9"/>
    <w:rsid w:val="008252A4"/>
    <w:rsid w:val="00A07FDA"/>
    <w:rsid w:val="00AF69F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0CC74"/>
  <w15:docId w15:val="{721626B1-2461-4C0E-AB47-A4F0AD45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Mengleang Sreang</cp:lastModifiedBy>
  <cp:revision>5</cp:revision>
  <dcterms:created xsi:type="dcterms:W3CDTF">2026-09-14T09:04:00Z</dcterms:created>
  <dcterms:modified xsi:type="dcterms:W3CDTF">2026-09-14T09:15:00Z</dcterms:modified>
</cp:coreProperties>
</file>