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sz w:val="32"/>
          <w:szCs w:val="32"/>
        </w:rPr>
        <w:t xml:space="preserve">Le sinistre de Béatrice Lombard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Récit fictif — jeu de données de test pour outil d'anonymisation</w:t>
      </w:r>
    </w:p>
    <w:p>
      <w:pPr>
        <w:pBdr>
          <w:top w:val="single" w:color="CCCCCC" w:sz="4" w:space="8"/>
          <w:bottom w:val="single" w:color="CCCCCC" w:sz="4" w:space="8"/>
        </w:pBdr>
        <w:spacing w:after="400"/>
        <w:jc w:val="center"/>
      </w:pPr>
      <w:r>
        <w:rPr>
          <w:b/>
          <w:bCs/>
          <w:color w:val="1F4E96"/>
          <w:sz w:val="16"/>
          <w:szCs w:val="16"/>
        </w:rPr>
        <w:t xml:space="preserve">■ </w:t>
      </w:r>
      <w:r>
        <w:rPr>
          <w:color w:val="1F4E96"/>
          <w:sz w:val="16"/>
          <w:szCs w:val="16"/>
        </w:rPr>
        <w:t xml:space="preserve">Identité &amp; contact</w:t>
      </w:r>
      <w:r>
        <w:rPr>
          <w:sz w:val="16"/>
          <w:szCs w:val="16"/>
        </w:rPr>
        <w:t xml:space="preserve">   </w:t>
      </w:r>
      <w:r>
        <w:rPr>
          <w:b/>
          <w:bCs/>
          <w:color w:val="C00000"/>
          <w:sz w:val="16"/>
          <w:szCs w:val="16"/>
        </w:rPr>
        <w:t xml:space="preserve">■ </w:t>
      </w:r>
      <w:r>
        <w:rPr>
          <w:color w:val="C00000"/>
          <w:sz w:val="16"/>
          <w:szCs w:val="16"/>
        </w:rPr>
        <w:t xml:space="preserve">Identifiants officiels</w:t>
      </w:r>
      <w:r>
        <w:rPr>
          <w:sz w:val="16"/>
          <w:szCs w:val="16"/>
        </w:rPr>
        <w:t xml:space="preserve">   </w:t>
      </w:r>
      <w:r>
        <w:rPr>
          <w:b/>
          <w:bCs/>
          <w:color w:val="2E7D32"/>
          <w:sz w:val="16"/>
          <w:szCs w:val="16"/>
        </w:rPr>
        <w:t xml:space="preserve">■ </w:t>
      </w:r>
      <w:r>
        <w:rPr>
          <w:color w:val="2E7D32"/>
          <w:sz w:val="16"/>
          <w:szCs w:val="16"/>
        </w:rPr>
        <w:t xml:space="preserve">Santé</w:t>
      </w:r>
      <w:r>
        <w:rPr>
          <w:sz w:val="16"/>
          <w:szCs w:val="16"/>
        </w:rPr>
        <w:t xml:space="preserve">   </w:t>
      </w:r>
      <w:r>
        <w:rPr>
          <w:b/>
          <w:bCs/>
          <w:color w:val="7030A0"/>
          <w:sz w:val="16"/>
          <w:szCs w:val="16"/>
        </w:rPr>
        <w:t xml:space="preserve">■ </w:t>
      </w:r>
      <w:r>
        <w:rPr>
          <w:color w:val="7030A0"/>
          <w:sz w:val="16"/>
          <w:szCs w:val="16"/>
        </w:rPr>
        <w:t xml:space="preserve">Sensibles (RGPD art. 9) &amp; judiciaire</w:t>
      </w:r>
      <w:r>
        <w:rPr>
          <w:sz w:val="16"/>
          <w:szCs w:val="16"/>
        </w:rPr>
        <w:t xml:space="preserve">   </w:t>
      </w:r>
      <w:r>
        <w:rPr>
          <w:b/>
          <w:bCs/>
          <w:color w:val="E36C09"/>
          <w:sz w:val="16"/>
          <w:szCs w:val="16"/>
        </w:rPr>
        <w:t xml:space="preserve">■ </w:t>
      </w:r>
      <w:r>
        <w:rPr>
          <w:color w:val="E36C09"/>
          <w:sz w:val="16"/>
          <w:szCs w:val="16"/>
        </w:rPr>
        <w:t xml:space="preserve">Pro &amp; numérique</w:t>
      </w:r>
    </w:p>
    <w:p>
      <w:pPr>
        <w:spacing w:after="200" w:line="300"/>
        <w:ind w:firstLine="400"/>
        <w:jc w:val="both"/>
      </w:pPr>
      <w:r>
        <w:rPr>
          <w:b/>
          <w:bCs/>
          <w:color w:val="1F4E96"/>
          <w:sz w:val="22"/>
          <w:szCs w:val="22"/>
        </w:rPr>
        <w:t xml:space="preserve">Béatrice Lombard</w:t>
      </w:r>
      <w:r>
        <w:rPr>
          <w:sz w:val="22"/>
          <w:szCs w:val="22"/>
        </w:rPr>
        <w:t xml:space="preserve">, née le </w:t>
      </w:r>
      <w:r>
        <w:rPr>
          <w:b/>
          <w:bCs/>
          <w:color w:val="1F4E96"/>
          <w:sz w:val="22"/>
          <w:szCs w:val="22"/>
        </w:rPr>
        <w:t xml:space="preserve">30 janvier 1972</w:t>
      </w:r>
      <w:r>
        <w:rPr>
          <w:sz w:val="22"/>
          <w:szCs w:val="22"/>
        </w:rPr>
        <w:t xml:space="preserve"> à </w:t>
      </w:r>
      <w:r>
        <w:rPr>
          <w:b/>
          <w:bCs/>
          <w:color w:val="1F4E96"/>
          <w:sz w:val="22"/>
          <w:szCs w:val="22"/>
        </w:rPr>
        <w:t xml:space="preserve">Rouen (Seine-Maritime)</w:t>
      </w:r>
      <w:r>
        <w:rPr>
          <w:sz w:val="22"/>
          <w:szCs w:val="22"/>
        </w:rPr>
        <w:t xml:space="preserve">, appela son assureur au lendemain d'un accrochage sur le périphérique. Elle habitait au </w:t>
      </w:r>
      <w:r>
        <w:rPr>
          <w:b/>
          <w:bCs/>
          <w:color w:val="1F4E96"/>
          <w:sz w:val="22"/>
          <w:szCs w:val="22"/>
        </w:rPr>
        <w:t xml:space="preserve">11 rue Jeanne d'Arc, 76000 Rouen</w:t>
      </w:r>
      <w:r>
        <w:rPr>
          <w:sz w:val="22"/>
          <w:szCs w:val="22"/>
        </w:rPr>
        <w:t xml:space="preserve">, joignable au </w:t>
      </w:r>
      <w:r>
        <w:rPr>
          <w:b/>
          <w:bCs/>
          <w:color w:val="1F4E96"/>
          <w:sz w:val="22"/>
          <w:szCs w:val="22"/>
        </w:rPr>
        <w:t xml:space="preserve">06 58 90 12 74</w:t>
      </w:r>
      <w:r>
        <w:rPr>
          <w:sz w:val="22"/>
          <w:szCs w:val="22"/>
        </w:rPr>
        <w:t xml:space="preserve"> ou par mail à </w:t>
      </w:r>
      <w:r>
        <w:rPr>
          <w:b/>
          <w:bCs/>
          <w:color w:val="1F4E96"/>
          <w:sz w:val="22"/>
          <w:szCs w:val="22"/>
        </w:rPr>
        <w:t xml:space="preserve">beatrice.lombard72@wanadoo.fr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Le conseiller ouvrit un dossier de sinistre sous la référence </w:t>
      </w:r>
      <w:r>
        <w:rPr>
          <w:b/>
          <w:bCs/>
          <w:color w:val="C00000"/>
          <w:sz w:val="22"/>
          <w:szCs w:val="22"/>
        </w:rPr>
        <w:t xml:space="preserve">SIN-2026-RN-33871</w:t>
      </w:r>
      <w:r>
        <w:rPr>
          <w:sz w:val="22"/>
          <w:szCs w:val="22"/>
        </w:rPr>
        <w:t xml:space="preserve">, nota la plaque d'immatriculation du véhicule accidenté, </w:t>
      </w:r>
      <w:r>
        <w:rPr>
          <w:b/>
          <w:bCs/>
          <w:color w:val="C00000"/>
          <w:sz w:val="22"/>
          <w:szCs w:val="22"/>
        </w:rPr>
        <w:t xml:space="preserve">CE-902-VL</w:t>
      </w:r>
      <w:r>
        <w:rPr>
          <w:sz w:val="22"/>
          <w:szCs w:val="22"/>
        </w:rPr>
        <w:t xml:space="preserve">, ainsi que le numéro de permis de conduire de Béatrice, </w:t>
      </w:r>
      <w:r>
        <w:rPr>
          <w:b/>
          <w:bCs/>
          <w:color w:val="C00000"/>
          <w:sz w:val="22"/>
          <w:szCs w:val="22"/>
        </w:rPr>
        <w:t xml:space="preserve">721045893307</w:t>
      </w:r>
      <w:r>
        <w:rPr>
          <w:sz w:val="22"/>
          <w:szCs w:val="22"/>
        </w:rPr>
        <w:t xml:space="preserve">. Il demanda aussi l'IBAN pour le remboursement de la franchise, </w:t>
      </w:r>
      <w:r>
        <w:rPr>
          <w:b/>
          <w:bCs/>
          <w:color w:val="C00000"/>
          <w:sz w:val="22"/>
          <w:szCs w:val="22"/>
        </w:rPr>
        <w:t xml:space="preserve">FR76 1751 5900 0009 8765 4321 098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Béatrice précisa qu'elle souffrait d'un </w:t>
      </w:r>
      <w:r>
        <w:rPr>
          <w:b/>
          <w:bCs/>
          <w:color w:val="2E7D32"/>
          <w:sz w:val="22"/>
          <w:szCs w:val="22"/>
        </w:rPr>
        <w:t xml:space="preserve">poignet fracturé lors du choc</w:t>
      </w:r>
      <w:r>
        <w:rPr>
          <w:sz w:val="22"/>
          <w:szCs w:val="22"/>
        </w:rPr>
        <w:t xml:space="preserve">, actuellement immobilisé, et qu'elle suivait par ailleurs un </w:t>
      </w:r>
      <w:r>
        <w:rPr>
          <w:b/>
          <w:bCs/>
          <w:color w:val="2E7D32"/>
          <w:sz w:val="22"/>
          <w:szCs w:val="22"/>
        </w:rPr>
        <w:t xml:space="preserve">traitement pour un diabète de type 1 depuis l'enfance</w:t>
      </w:r>
      <w:r>
        <w:rPr>
          <w:sz w:val="22"/>
          <w:szCs w:val="22"/>
        </w:rPr>
        <w:t xml:space="preserve">, nécessitant une pompe à insuline — une information qu'elle donnait systématiquement à son assureur en cas d'accident, par précaution.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Le conseiller consulta ensuite son historique de conduite et releva une </w:t>
      </w:r>
      <w:r>
        <w:rPr>
          <w:b/>
          <w:bCs/>
          <w:color w:val="7030A0"/>
          <w:sz w:val="22"/>
          <w:szCs w:val="22"/>
        </w:rPr>
        <w:t xml:space="preserve">condamnation pour excès de vitesse ayant entraîné un retrait de quatre points</w:t>
      </w:r>
      <w:r>
        <w:rPr>
          <w:sz w:val="22"/>
          <w:szCs w:val="22"/>
        </w:rPr>
        <w:t xml:space="preserve">, trois ans plus tôt, encore mentionnée au dossier. Béatrice rappela qu'elle n'avait eu aucun autre incident depuis.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Béatrice travaillait comme </w:t>
      </w:r>
      <w:r>
        <w:rPr>
          <w:b/>
          <w:bCs/>
          <w:color w:val="E36C09"/>
          <w:sz w:val="22"/>
          <w:szCs w:val="22"/>
        </w:rPr>
        <w:t xml:space="preserve">cadre commerciale chez Norvéo Assurances</w:t>
      </w:r>
      <w:r>
        <w:rPr>
          <w:sz w:val="22"/>
          <w:szCs w:val="22"/>
        </w:rPr>
        <w:t xml:space="preserve">, pour un </w:t>
      </w:r>
      <w:r>
        <w:rPr>
          <w:b/>
          <w:bCs/>
          <w:color w:val="E36C09"/>
          <w:sz w:val="22"/>
          <w:szCs w:val="22"/>
        </w:rPr>
        <w:t xml:space="preserve">salaire annuel brut de 47 600 euros</w:t>
      </w:r>
      <w:r>
        <w:rPr>
          <w:sz w:val="22"/>
          <w:szCs w:val="22"/>
        </w:rPr>
        <w:t xml:space="preserve">, et son entreprise lui avait justement conseillé cet assureur pour son véhicule personnel. Elle indiqua être </w:t>
      </w:r>
      <w:r>
        <w:rPr>
          <w:b/>
          <w:bCs/>
          <w:color w:val="7030A0"/>
          <w:sz w:val="22"/>
          <w:szCs w:val="22"/>
        </w:rPr>
        <w:t xml:space="preserve">adhérente de la CFDT</w:t>
      </w:r>
      <w:r>
        <w:rPr>
          <w:sz w:val="22"/>
          <w:szCs w:val="22"/>
        </w:rPr>
        <w:t xml:space="preserve"> depuis plusieurs années, sans que cela n'ait de lien avec le sinistre en cours.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Elle glissa aussi, en fin d'appel, que sa compagne, </w:t>
      </w:r>
      <w:r>
        <w:rPr>
          <w:b/>
          <w:bCs/>
          <w:color w:val="1F4E96"/>
          <w:sz w:val="22"/>
          <w:szCs w:val="22"/>
        </w:rPr>
        <w:t xml:space="preserve">Nadège Aubert</w:t>
      </w:r>
      <w:r>
        <w:rPr>
          <w:sz w:val="22"/>
          <w:szCs w:val="22"/>
        </w:rPr>
        <w:t xml:space="preserve">, l'accompagnait au moment de l'accident et pourrait témoigner si nécessaire ; elle donna son numéro, </w:t>
      </w:r>
      <w:r>
        <w:rPr>
          <w:b/>
          <w:bCs/>
          <w:color w:val="1F4E96"/>
          <w:sz w:val="22"/>
          <w:szCs w:val="22"/>
        </w:rPr>
        <w:t xml:space="preserve">06 84 71 29 05</w:t>
      </w:r>
      <w:r>
        <w:rPr>
          <w:sz w:val="22"/>
          <w:szCs w:val="22"/>
        </w:rPr>
        <w:t xml:space="preserve">, pour que l'expert puisse la contacter directement.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Le conseiller confirma l'envoi d'un expert sous 48 heures et rappela que le dossier </w:t>
      </w:r>
      <w:r>
        <w:rPr>
          <w:b/>
          <w:bCs/>
          <w:color w:val="C00000"/>
          <w:sz w:val="22"/>
          <w:szCs w:val="22"/>
        </w:rPr>
        <w:t xml:space="preserve">SIN-2026-RN-33871</w:t>
      </w:r>
      <w:r>
        <w:rPr>
          <w:sz w:val="22"/>
          <w:szCs w:val="22"/>
        </w:rPr>
        <w:t xml:space="preserve"> resterait consultable en ligne, avec les mises à jour transmises à l'adresse mail déjà communiquée, </w:t>
      </w:r>
      <w:r>
        <w:rPr>
          <w:b/>
          <w:bCs/>
          <w:color w:val="1F4E96"/>
          <w:sz w:val="22"/>
          <w:szCs w:val="22"/>
        </w:rPr>
        <w:t xml:space="preserve">beatrice.lombard72@wanadoo.fr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En raccrochant, Béatrice reçut un SMS de confirmation de rendez-vous avec le garage partenaire, mentionnant une nouvelle fois sa plaque d'immatriculation, </w:t>
      </w:r>
      <w:r>
        <w:rPr>
          <w:b/>
          <w:bCs/>
          <w:color w:val="C00000"/>
          <w:sz w:val="22"/>
          <w:szCs w:val="22"/>
        </w:rPr>
        <w:t xml:space="preserve">CE-902-VL</w:t>
      </w:r>
      <w:r>
        <w:rPr>
          <w:sz w:val="22"/>
          <w:szCs w:val="22"/>
        </w:rPr>
        <w:t xml:space="preserve">, et l'adresse du centre de réparation où le véhicule devait être déposé dès le lendemain matin.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Le lendemain, Béatrice reçut la visite de l'expert automobile mandaté par l'assurance : il nota le kilométrage du véhicule, prit des photos des dégâts, et confirma le numéro de dossier </w:t>
      </w:r>
      <w:r>
        <w:rPr>
          <w:b/>
          <w:bCs/>
          <w:color w:val="C00000"/>
          <w:sz w:val="22"/>
          <w:szCs w:val="22"/>
        </w:rPr>
        <w:t xml:space="preserve">SIN-2026-RN-33871</w:t>
      </w:r>
      <w:r>
        <w:rPr>
          <w:sz w:val="22"/>
          <w:szCs w:val="22"/>
        </w:rPr>
        <w:t xml:space="preserve"> avant de transmettre son rapport, qui devait permettre de finaliser le remboursement sous une dizaine de jours.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Une semaine plus tard, Béatrice reçut le rapport final de l'expert, confirmant la prise en charge intégrale des réparations. Le courrier rappelait le montant de l'indemnisation, versée sur le compte </w:t>
      </w:r>
      <w:r>
        <w:rPr>
          <w:b/>
          <w:bCs/>
          <w:color w:val="C00000"/>
          <w:sz w:val="22"/>
          <w:szCs w:val="22"/>
        </w:rPr>
        <w:t xml:space="preserve">FR76 1751 5900 0009 8765 4321 098</w:t>
      </w:r>
      <w:r>
        <w:rPr>
          <w:sz w:val="22"/>
          <w:szCs w:val="22"/>
        </w:rPr>
        <w:t xml:space="preserve">, et remerciait Béatrice pour sa réactivité tout au long du dossier </w:t>
      </w:r>
      <w:r>
        <w:rPr>
          <w:b/>
          <w:bCs/>
          <w:color w:val="C00000"/>
          <w:sz w:val="22"/>
          <w:szCs w:val="22"/>
        </w:rPr>
        <w:t xml:space="preserve">SIN-2026-RN-33871</w:t>
      </w:r>
      <w:r>
        <w:rPr>
          <w:sz w:val="22"/>
          <w:szCs w:val="22"/>
        </w:rPr>
        <w:t xml:space="preserve">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2026-09-14T15:04:53.649Z</dcterms:created>
  <dcterms:modified xsi:type="dcterms:W3CDTF">2026-09-14T15:04:53.649Z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