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  <w:jc w:val="center"/>
      </w:pPr>
      <w:r>
        <w:rPr>
          <w:b/>
          <w:bCs/>
          <w:sz w:val="32"/>
          <w:szCs w:val="32"/>
        </w:rPr>
        <w:t xml:space="preserve">La séparation de Vincent Toussaint</w:t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Récit fictif — jeu de données de test pour outil d'anonymisation</w:t>
      </w:r>
    </w:p>
    <w:p>
      <w:pPr>
        <w:pBdr>
          <w:top w:val="single" w:color="CCCCCC" w:sz="4" w:space="8"/>
          <w:bottom w:val="single" w:color="CCCCCC" w:sz="4" w:space="8"/>
        </w:pBdr>
        <w:spacing w:after="400"/>
        <w:jc w:val="center"/>
      </w:pPr>
      <w:r>
        <w:rPr>
          <w:b/>
          <w:bCs/>
          <w:color w:val="1F4E96"/>
          <w:sz w:val="16"/>
          <w:szCs w:val="16"/>
        </w:rPr>
        <w:t xml:space="preserve">■ </w:t>
      </w:r>
      <w:r>
        <w:rPr>
          <w:color w:val="1F4E96"/>
          <w:sz w:val="16"/>
          <w:szCs w:val="16"/>
        </w:rPr>
        <w:t xml:space="preserve">Identité &amp; contact</w:t>
      </w:r>
      <w:r>
        <w:rPr>
          <w:sz w:val="16"/>
          <w:szCs w:val="16"/>
        </w:rPr>
        <w:t xml:space="preserve">   </w:t>
      </w:r>
      <w:r>
        <w:rPr>
          <w:b/>
          <w:bCs/>
          <w:color w:val="C00000"/>
          <w:sz w:val="16"/>
          <w:szCs w:val="16"/>
        </w:rPr>
        <w:t xml:space="preserve">■ </w:t>
      </w:r>
      <w:r>
        <w:rPr>
          <w:color w:val="C00000"/>
          <w:sz w:val="16"/>
          <w:szCs w:val="16"/>
        </w:rPr>
        <w:t xml:space="preserve">Identifiants officiels</w:t>
      </w:r>
      <w:r>
        <w:rPr>
          <w:sz w:val="16"/>
          <w:szCs w:val="16"/>
        </w:rPr>
        <w:t xml:space="preserve">   </w:t>
      </w:r>
      <w:r>
        <w:rPr>
          <w:b/>
          <w:bCs/>
          <w:color w:val="2E7D32"/>
          <w:sz w:val="16"/>
          <w:szCs w:val="16"/>
        </w:rPr>
        <w:t xml:space="preserve">■ </w:t>
      </w:r>
      <w:r>
        <w:rPr>
          <w:color w:val="2E7D32"/>
          <w:sz w:val="16"/>
          <w:szCs w:val="16"/>
        </w:rPr>
        <w:t xml:space="preserve">Santé</w:t>
      </w:r>
      <w:r>
        <w:rPr>
          <w:sz w:val="16"/>
          <w:szCs w:val="16"/>
        </w:rPr>
        <w:t xml:space="preserve">   </w:t>
      </w:r>
      <w:r>
        <w:rPr>
          <w:b/>
          <w:bCs/>
          <w:color w:val="7030A0"/>
          <w:sz w:val="16"/>
          <w:szCs w:val="16"/>
        </w:rPr>
        <w:t xml:space="preserve">■ </w:t>
      </w:r>
      <w:r>
        <w:rPr>
          <w:color w:val="7030A0"/>
          <w:sz w:val="16"/>
          <w:szCs w:val="16"/>
        </w:rPr>
        <w:t xml:space="preserve">Sensibles (RGPD art. 9) &amp; judiciaire</w:t>
      </w:r>
      <w:r>
        <w:rPr>
          <w:sz w:val="16"/>
          <w:szCs w:val="16"/>
        </w:rPr>
        <w:t xml:space="preserve">   </w:t>
      </w:r>
      <w:r>
        <w:rPr>
          <w:b/>
          <w:bCs/>
          <w:color w:val="E36C09"/>
          <w:sz w:val="16"/>
          <w:szCs w:val="16"/>
        </w:rPr>
        <w:t xml:space="preserve">■ </w:t>
      </w:r>
      <w:r>
        <w:rPr>
          <w:color w:val="E36C09"/>
          <w:sz w:val="16"/>
          <w:szCs w:val="16"/>
        </w:rPr>
        <w:t xml:space="preserve">Pro &amp; numérique</w:t>
      </w:r>
    </w:p>
    <w:p>
      <w:pPr>
        <w:spacing w:after="200" w:line="300"/>
        <w:ind w:firstLine="400"/>
        <w:jc w:val="both"/>
      </w:pPr>
      <w:r>
        <w:rPr>
          <w:b/>
          <w:bCs/>
          <w:color w:val="1F4E96"/>
          <w:sz w:val="22"/>
          <w:szCs w:val="22"/>
        </w:rPr>
        <w:t xml:space="preserve">Vincent Toussaint</w:t>
      </w:r>
      <w:r>
        <w:rPr>
          <w:sz w:val="22"/>
          <w:szCs w:val="22"/>
        </w:rPr>
        <w:t xml:space="preserve">, né le </w:t>
      </w:r>
      <w:r>
        <w:rPr>
          <w:b/>
          <w:bCs/>
          <w:color w:val="1F4E96"/>
          <w:sz w:val="22"/>
          <w:szCs w:val="22"/>
        </w:rPr>
        <w:t xml:space="preserve">19 avril 1980</w:t>
      </w:r>
      <w:r>
        <w:rPr>
          <w:sz w:val="22"/>
          <w:szCs w:val="22"/>
        </w:rPr>
        <w:t xml:space="preserve"> à </w:t>
      </w:r>
      <w:r>
        <w:rPr>
          <w:b/>
          <w:bCs/>
          <w:color w:val="1F4E96"/>
          <w:sz w:val="22"/>
          <w:szCs w:val="22"/>
        </w:rPr>
        <w:t xml:space="preserve">Reims (Marne)</w:t>
      </w:r>
      <w:r>
        <w:rPr>
          <w:sz w:val="22"/>
          <w:szCs w:val="22"/>
        </w:rPr>
        <w:t xml:space="preserve">, prit place dans le cabinet de son avocate pour évoquer la procédure de divorce engagée avec son épouse. Il résidait désormais au </w:t>
      </w:r>
      <w:r>
        <w:rPr>
          <w:b/>
          <w:bCs/>
          <w:color w:val="1F4E96"/>
          <w:sz w:val="22"/>
          <w:szCs w:val="22"/>
        </w:rPr>
        <w:t xml:space="preserve">8 rue Cérès, 51100 Reims</w:t>
      </w:r>
      <w:r>
        <w:rPr>
          <w:sz w:val="22"/>
          <w:szCs w:val="22"/>
        </w:rPr>
        <w:t xml:space="preserve">, joignable au </w:t>
      </w:r>
      <w:r>
        <w:rPr>
          <w:b/>
          <w:bCs/>
          <w:color w:val="1F4E96"/>
          <w:sz w:val="22"/>
          <w:szCs w:val="22"/>
        </w:rPr>
        <w:t xml:space="preserve">06 27 84 15 39</w:t>
      </w:r>
      <w:r>
        <w:rPr>
          <w:sz w:val="22"/>
          <w:szCs w:val="22"/>
        </w:rPr>
        <w:t xml:space="preserve"> ou par mail à </w:t>
      </w:r>
      <w:r>
        <w:rPr>
          <w:b/>
          <w:bCs/>
          <w:color w:val="1F4E96"/>
          <w:sz w:val="22"/>
          <w:szCs w:val="22"/>
        </w:rPr>
        <w:t xml:space="preserve">vincent.toussaint80@gmail.com</w:t>
      </w:r>
      <w:r>
        <w:rPr>
          <w:sz w:val="22"/>
          <w:szCs w:val="22"/>
        </w:rPr>
        <w:t xml:space="preserve">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Son avocate, </w:t>
      </w:r>
      <w:r>
        <w:rPr>
          <w:b/>
          <w:bCs/>
          <w:color w:val="1F4E96"/>
          <w:sz w:val="22"/>
          <w:szCs w:val="22"/>
        </w:rPr>
        <w:t xml:space="preserve">Maître Camille Delaroche</w:t>
      </w:r>
      <w:r>
        <w:rPr>
          <w:sz w:val="22"/>
          <w:szCs w:val="22"/>
        </w:rPr>
        <w:t xml:space="preserve">, rappela les références du dossier : numéro de répertoire général </w:t>
      </w:r>
      <w:r>
        <w:rPr>
          <w:b/>
          <w:bCs/>
          <w:color w:val="C00000"/>
          <w:sz w:val="22"/>
          <w:szCs w:val="22"/>
        </w:rPr>
        <w:t xml:space="preserve">RG 26/00417</w:t>
      </w:r>
      <w:r>
        <w:rPr>
          <w:sz w:val="22"/>
          <w:szCs w:val="22"/>
        </w:rPr>
        <w:t xml:space="preserve">, dossier interne </w:t>
      </w:r>
      <w:r>
        <w:rPr>
          <w:b/>
          <w:bCs/>
          <w:color w:val="C00000"/>
          <w:sz w:val="22"/>
          <w:szCs w:val="22"/>
        </w:rPr>
        <w:t xml:space="preserve">AV-REIMS-20260934</w:t>
      </w:r>
      <w:r>
        <w:rPr>
          <w:sz w:val="22"/>
          <w:szCs w:val="22"/>
        </w:rPr>
        <w:t xml:space="preserve">, et IBAN pour le règlement des honoraires, </w:t>
      </w:r>
      <w:r>
        <w:rPr>
          <w:b/>
          <w:bCs/>
          <w:color w:val="C00000"/>
          <w:sz w:val="22"/>
          <w:szCs w:val="22"/>
        </w:rPr>
        <w:t xml:space="preserve">FR76 3000 1007 9400 0012 3456 789</w:t>
      </w:r>
      <w:r>
        <w:rPr>
          <w:sz w:val="22"/>
          <w:szCs w:val="22"/>
        </w:rPr>
        <w:t xml:space="preserve">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Vincent évoqua les suites d'une </w:t>
      </w:r>
      <w:r>
        <w:rPr>
          <w:b/>
          <w:bCs/>
          <w:color w:val="2E7D32"/>
          <w:sz w:val="22"/>
          <w:szCs w:val="22"/>
        </w:rPr>
        <w:t xml:space="preserve">thérapie de couple entamée deux ans plus tôt</w:t>
      </w:r>
      <w:r>
        <w:rPr>
          <w:sz w:val="22"/>
          <w:szCs w:val="22"/>
        </w:rPr>
        <w:t xml:space="preserve">, restée sans effet, et poursuivait désormais un </w:t>
      </w:r>
      <w:r>
        <w:rPr>
          <w:b/>
          <w:bCs/>
          <w:color w:val="2E7D32"/>
          <w:sz w:val="22"/>
          <w:szCs w:val="22"/>
        </w:rPr>
        <w:t xml:space="preserve">suivi psychologique individuel hebdomadaire</w:t>
      </w:r>
      <w:r>
        <w:rPr>
          <w:sz w:val="22"/>
          <w:szCs w:val="22"/>
        </w:rPr>
        <w:t xml:space="preserve"> pour surmonter la séparation. Il précisa que cette prise en charge n'avait aucun lien avec la garde de leurs enfants.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Son épouse, </w:t>
      </w:r>
      <w:r>
        <w:rPr>
          <w:b/>
          <w:bCs/>
          <w:color w:val="1F4E96"/>
          <w:sz w:val="22"/>
          <w:szCs w:val="22"/>
        </w:rPr>
        <w:t xml:space="preserve">Anaïs Toussaint</w:t>
      </w:r>
      <w:r>
        <w:rPr>
          <w:sz w:val="22"/>
          <w:szCs w:val="22"/>
        </w:rPr>
        <w:t xml:space="preserve">, née le </w:t>
      </w:r>
      <w:r>
        <w:rPr>
          <w:b/>
          <w:bCs/>
          <w:color w:val="1F4E96"/>
          <w:sz w:val="22"/>
          <w:szCs w:val="22"/>
        </w:rPr>
        <w:t xml:space="preserve">2 juillet 1982</w:t>
      </w:r>
      <w:r>
        <w:rPr>
          <w:sz w:val="22"/>
          <w:szCs w:val="22"/>
        </w:rPr>
        <w:t xml:space="preserve">, avait pour sa part indiqué au juge être </w:t>
      </w:r>
      <w:r>
        <w:rPr>
          <w:b/>
          <w:bCs/>
          <w:color w:val="7030A0"/>
          <w:sz w:val="22"/>
          <w:szCs w:val="22"/>
        </w:rPr>
        <w:t xml:space="preserve">convertie au bouddhisme</w:t>
      </w:r>
      <w:r>
        <w:rPr>
          <w:sz w:val="22"/>
          <w:szCs w:val="22"/>
        </w:rPr>
        <w:t xml:space="preserve"> depuis quelques années, un élément qu'elle jugeait sans rapport avec la procédure mais qu'elle préférait mentionner par transparence. Vincent, de son côté, restait </w:t>
      </w:r>
      <w:r>
        <w:rPr>
          <w:b/>
          <w:bCs/>
          <w:color w:val="7030A0"/>
          <w:sz w:val="22"/>
          <w:szCs w:val="22"/>
        </w:rPr>
        <w:t xml:space="preserve">pratiquant catholique</w:t>
      </w:r>
      <w:r>
        <w:rPr>
          <w:sz w:val="22"/>
          <w:szCs w:val="22"/>
        </w:rPr>
        <w:t xml:space="preserve">, une différence qui avait, selon lui, pesé dans les dernières années du couple.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Sur le plan professionnel, Vincent occupait un poste de </w:t>
      </w:r>
      <w:r>
        <w:rPr>
          <w:b/>
          <w:bCs/>
          <w:color w:val="E36C09"/>
          <w:sz w:val="22"/>
          <w:szCs w:val="22"/>
        </w:rPr>
        <w:t xml:space="preserve">chef de projet chez Ardennes Ingénierie</w:t>
      </w:r>
      <w:r>
        <w:rPr>
          <w:sz w:val="22"/>
          <w:szCs w:val="22"/>
        </w:rPr>
        <w:t xml:space="preserve">, pour un </w:t>
      </w:r>
      <w:r>
        <w:rPr>
          <w:b/>
          <w:bCs/>
          <w:color w:val="E36C09"/>
          <w:sz w:val="22"/>
          <w:szCs w:val="22"/>
        </w:rPr>
        <w:t xml:space="preserve">salaire annuel brut de 51 400 euros</w:t>
      </w:r>
      <w:r>
        <w:rPr>
          <w:sz w:val="22"/>
          <w:szCs w:val="22"/>
        </w:rPr>
        <w:t xml:space="preserve">, base de calcul retenue pour la pension alimentaire. Il rappela être </w:t>
      </w:r>
      <w:r>
        <w:rPr>
          <w:b/>
          <w:bCs/>
          <w:color w:val="7030A0"/>
          <w:sz w:val="22"/>
          <w:szCs w:val="22"/>
        </w:rPr>
        <w:t xml:space="preserve">adhérent de la CGT</w:t>
      </w:r>
      <w:r>
        <w:rPr>
          <w:sz w:val="22"/>
          <w:szCs w:val="22"/>
        </w:rPr>
        <w:t xml:space="preserve"> dans son entreprise, engagement qu'il conservait malgré son changement de situation personnelle.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Maître Delaroche évoqua enfin un point plus délicat : une </w:t>
      </w:r>
      <w:r>
        <w:rPr>
          <w:b/>
          <w:bCs/>
          <w:color w:val="7030A0"/>
          <w:sz w:val="22"/>
          <w:szCs w:val="22"/>
        </w:rPr>
        <w:t xml:space="preserve">précédente séparation de corps prononcée par le tribunal judiciaire de Reims</w:t>
      </w:r>
      <w:r>
        <w:rPr>
          <w:sz w:val="22"/>
          <w:szCs w:val="22"/>
        </w:rPr>
        <w:t xml:space="preserve"> sept ans auparavant, entre les mêmes époux, avant une réconciliation qui n'avait finalement duré que quelques années.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Avant de clore le rendez-vous, Vincent confirma son accord pour la médiation familiale proposée, et donna, pour la convocation à venir, sa nouvelle adresse, </w:t>
      </w:r>
      <w:r>
        <w:rPr>
          <w:b/>
          <w:bCs/>
          <w:color w:val="1F4E96"/>
          <w:sz w:val="22"/>
          <w:szCs w:val="22"/>
        </w:rPr>
        <w:t xml:space="preserve">8 rue Cérès, 51100 Reims</w:t>
      </w:r>
      <w:r>
        <w:rPr>
          <w:sz w:val="22"/>
          <w:szCs w:val="22"/>
        </w:rPr>
        <w:t xml:space="preserve">, ainsi que le numéro de dossier à rappeler dans tout courrier, </w:t>
      </w:r>
      <w:r>
        <w:rPr>
          <w:b/>
          <w:bCs/>
          <w:color w:val="C00000"/>
          <w:sz w:val="22"/>
          <w:szCs w:val="22"/>
        </w:rPr>
        <w:t xml:space="preserve">RG 26/00417</w:t>
      </w:r>
      <w:r>
        <w:rPr>
          <w:sz w:val="22"/>
          <w:szCs w:val="22"/>
        </w:rPr>
        <w:t xml:space="preserve">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En sortant du cabinet, Vincent reçut un appel de sa mère, lui rappelant de ne pas oublier le rendez-vous du lendemain avec le médiateur familial, </w:t>
      </w:r>
      <w:r>
        <w:rPr>
          <w:b/>
          <w:bCs/>
          <w:color w:val="1F4E96"/>
          <w:sz w:val="22"/>
          <w:szCs w:val="22"/>
        </w:rPr>
        <w:t xml:space="preserve">Monsieur Étienne Garnier</w:t>
      </w:r>
      <w:r>
        <w:rPr>
          <w:sz w:val="22"/>
          <w:szCs w:val="22"/>
        </w:rPr>
        <w:t xml:space="preserve">, dont le cabinet se trouvait à quelques rues de là, au </w:t>
      </w:r>
      <w:r>
        <w:rPr>
          <w:b/>
          <w:bCs/>
          <w:color w:val="1F4E96"/>
          <w:sz w:val="22"/>
          <w:szCs w:val="22"/>
        </w:rPr>
        <w:t xml:space="preserve">22 boulevard Lundy, 51100 Reims</w:t>
      </w:r>
      <w:r>
        <w:rPr>
          <w:sz w:val="22"/>
          <w:szCs w:val="22"/>
        </w:rPr>
        <w:t xml:space="preserve">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En fin de journée, Vincent reçut un message de son ex-belle-sœur, </w:t>
      </w:r>
      <w:r>
        <w:rPr>
          <w:b/>
          <w:bCs/>
          <w:color w:val="1F4E96"/>
          <w:sz w:val="22"/>
          <w:szCs w:val="22"/>
        </w:rPr>
        <w:t xml:space="preserve">Sophie Delannoy</w:t>
      </w:r>
      <w:r>
        <w:rPr>
          <w:sz w:val="22"/>
          <w:szCs w:val="22"/>
        </w:rPr>
        <w:t xml:space="preserve">, lui proposant son aide pour la garde des enfants le week-end suivant. Il la remercia et lui communiqua, pour l'organisation, son nouveau numéro, </w:t>
      </w:r>
      <w:r>
        <w:rPr>
          <w:b/>
          <w:bCs/>
          <w:color w:val="1F4E96"/>
          <w:sz w:val="22"/>
          <w:szCs w:val="22"/>
        </w:rPr>
        <w:t xml:space="preserve">06 27 84 15 39</w:t>
      </w:r>
      <w:r>
        <w:rPr>
          <w:sz w:val="22"/>
          <w:szCs w:val="22"/>
        </w:rPr>
        <w:t xml:space="preserve">, déjà donné à l'avocate le matin même.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Quelques jours plus tard, Vincent reçut la convocation officielle du tribunal judiciaire de Reims pour l'audience de conciliation, rappelant le numéro de répertoire général </w:t>
      </w:r>
      <w:r>
        <w:rPr>
          <w:b/>
          <w:bCs/>
          <w:color w:val="C00000"/>
          <w:sz w:val="22"/>
          <w:szCs w:val="22"/>
        </w:rPr>
        <w:t xml:space="preserve">RG 26/00417</w:t>
      </w:r>
      <w:r>
        <w:rPr>
          <w:sz w:val="22"/>
          <w:szCs w:val="22"/>
        </w:rPr>
        <w:t xml:space="preserve"> et la date retenue. Il transmit aussitôt le document à Maître Delaroche, à l'adresse de son cabinet, </w:t>
      </w:r>
      <w:r>
        <w:rPr>
          <w:b/>
          <w:bCs/>
          <w:color w:val="1F4E96"/>
          <w:sz w:val="22"/>
          <w:szCs w:val="22"/>
        </w:rPr>
        <w:t xml:space="preserve">4 rue Colbert, 51100 Reims</w:t>
      </w:r>
      <w:r>
        <w:rPr>
          <w:sz w:val="22"/>
          <w:szCs w:val="22"/>
        </w:rPr>
        <w:t xml:space="preserve">, pour préparation.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Vincent reçut, en toute fin de journée, un dernier message de son employeur lui confirmant le maintien de sa mutuelle d'entreprise malgré son changement de situation familiale : le service RH précisa son numéro d'adhérent, </w:t>
      </w:r>
      <w:r>
        <w:rPr>
          <w:b/>
          <w:bCs/>
          <w:color w:val="C00000"/>
          <w:sz w:val="22"/>
          <w:szCs w:val="22"/>
        </w:rPr>
        <w:t xml:space="preserve">MUT-ARD-330219</w:t>
      </w:r>
      <w:r>
        <w:rPr>
          <w:sz w:val="22"/>
          <w:szCs w:val="22"/>
        </w:rPr>
        <w:t xml:space="preserve">, et rappela que toute modification de bénéficiaires devait être signalée dans le mois suivant le jugement de divorce.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2026-09-14T15:04:53.658Z</dcterms:created>
  <dcterms:modified xsi:type="dcterms:W3CDTF">2026-09-14T15:04:53.658Z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