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sz w:val="32"/>
          <w:szCs w:val="32"/>
        </w:rPr>
        <w:t xml:space="preserve">Le compromis de Grégory Vandenberghe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Récit fictif — jeu de données de test pour outil d'anonymisation</w:t>
      </w:r>
    </w:p>
    <w:p>
      <w:pPr>
        <w:pBdr>
          <w:top w:val="single" w:color="CCCCCC" w:sz="4" w:space="8"/>
          <w:bottom w:val="single" w:color="CCCCCC" w:sz="4" w:space="8"/>
        </w:pBdr>
        <w:spacing w:after="400"/>
        <w:jc w:val="center"/>
      </w:pPr>
      <w:r>
        <w:rPr>
          <w:b/>
          <w:bCs/>
          <w:color w:val="1F4E96"/>
          <w:sz w:val="16"/>
          <w:szCs w:val="16"/>
        </w:rPr>
        <w:t xml:space="preserve">■ </w:t>
      </w:r>
      <w:r>
        <w:rPr>
          <w:color w:val="1F4E96"/>
          <w:sz w:val="16"/>
          <w:szCs w:val="16"/>
        </w:rPr>
        <w:t xml:space="preserve">Identité &amp; contact</w:t>
      </w:r>
      <w:r>
        <w:rPr>
          <w:sz w:val="16"/>
          <w:szCs w:val="16"/>
        </w:rPr>
        <w:t xml:space="preserve">   </w:t>
      </w:r>
      <w:r>
        <w:rPr>
          <w:b/>
          <w:bCs/>
          <w:color w:val="C00000"/>
          <w:sz w:val="16"/>
          <w:szCs w:val="16"/>
        </w:rPr>
        <w:t xml:space="preserve">■ </w:t>
      </w:r>
      <w:r>
        <w:rPr>
          <w:color w:val="C00000"/>
          <w:sz w:val="16"/>
          <w:szCs w:val="16"/>
        </w:rPr>
        <w:t xml:space="preserve">Identifiants officiels</w:t>
      </w:r>
      <w:r>
        <w:rPr>
          <w:sz w:val="16"/>
          <w:szCs w:val="16"/>
        </w:rPr>
        <w:t xml:space="preserve">   </w:t>
      </w:r>
      <w:r>
        <w:rPr>
          <w:b/>
          <w:bCs/>
          <w:color w:val="2E7D32"/>
          <w:sz w:val="16"/>
          <w:szCs w:val="16"/>
        </w:rPr>
        <w:t xml:space="preserve">■ </w:t>
      </w:r>
      <w:r>
        <w:rPr>
          <w:color w:val="2E7D32"/>
          <w:sz w:val="16"/>
          <w:szCs w:val="16"/>
        </w:rPr>
        <w:t xml:space="preserve">Santé</w:t>
      </w:r>
      <w:r>
        <w:rPr>
          <w:sz w:val="16"/>
          <w:szCs w:val="16"/>
        </w:rPr>
        <w:t xml:space="preserve">   </w:t>
      </w:r>
      <w:r>
        <w:rPr>
          <w:b/>
          <w:bCs/>
          <w:color w:val="7030A0"/>
          <w:sz w:val="16"/>
          <w:szCs w:val="16"/>
        </w:rPr>
        <w:t xml:space="preserve">■ </w:t>
      </w:r>
      <w:r>
        <w:rPr>
          <w:color w:val="7030A0"/>
          <w:sz w:val="16"/>
          <w:szCs w:val="16"/>
        </w:rPr>
        <w:t xml:space="preserve">Sensibles (RGPD art. 9) &amp; judiciaire</w:t>
      </w:r>
      <w:r>
        <w:rPr>
          <w:sz w:val="16"/>
          <w:szCs w:val="16"/>
        </w:rPr>
        <w:t xml:space="preserve">   </w:t>
      </w:r>
      <w:r>
        <w:rPr>
          <w:b/>
          <w:bCs/>
          <w:color w:val="E36C09"/>
          <w:sz w:val="16"/>
          <w:szCs w:val="16"/>
        </w:rPr>
        <w:t xml:space="preserve">■ </w:t>
      </w:r>
      <w:r>
        <w:rPr>
          <w:color w:val="E36C09"/>
          <w:sz w:val="16"/>
          <w:szCs w:val="16"/>
        </w:rPr>
        <w:t xml:space="preserve">Pro &amp; numérique</w:t>
      </w:r>
    </w:p>
    <w:p>
      <w:pPr>
        <w:spacing w:after="200" w:line="300"/>
        <w:ind w:firstLine="400"/>
        <w:jc w:val="both"/>
      </w:pPr>
      <w:r>
        <w:rPr>
          <w:b/>
          <w:bCs/>
          <w:color w:val="1F4E96"/>
          <w:sz w:val="22"/>
          <w:szCs w:val="22"/>
        </w:rPr>
        <w:t xml:space="preserve">Grégory Vandenberghe</w:t>
      </w:r>
      <w:r>
        <w:rPr>
          <w:sz w:val="22"/>
          <w:szCs w:val="22"/>
        </w:rPr>
        <w:t xml:space="preserve">, né le </w:t>
      </w:r>
      <w:r>
        <w:rPr>
          <w:b/>
          <w:bCs/>
          <w:color w:val="1F4E96"/>
          <w:sz w:val="22"/>
          <w:szCs w:val="22"/>
        </w:rPr>
        <w:t xml:space="preserve">17 février 1979</w:t>
      </w:r>
      <w:r>
        <w:rPr>
          <w:sz w:val="22"/>
          <w:szCs w:val="22"/>
        </w:rPr>
        <w:t xml:space="preserve"> à </w:t>
      </w:r>
      <w:r>
        <w:rPr>
          <w:b/>
          <w:bCs/>
          <w:color w:val="1F4E96"/>
          <w:sz w:val="22"/>
          <w:szCs w:val="22"/>
        </w:rPr>
        <w:t xml:space="preserve">Lille (Nord)</w:t>
      </w:r>
      <w:r>
        <w:rPr>
          <w:sz w:val="22"/>
          <w:szCs w:val="22"/>
        </w:rPr>
        <w:t xml:space="preserve">, patientait dans le bureau de </w:t>
      </w:r>
      <w:r>
        <w:rPr>
          <w:b/>
          <w:bCs/>
          <w:color w:val="1F4E96"/>
          <w:sz w:val="22"/>
          <w:szCs w:val="22"/>
        </w:rPr>
        <w:t xml:space="preserve">Maître Antoine Rousseau</w:t>
      </w:r>
      <w:r>
        <w:rPr>
          <w:sz w:val="22"/>
          <w:szCs w:val="22"/>
        </w:rPr>
        <w:t xml:space="preserve">, notaire à Lille, pour signer le compromis de vente de son futur appartement. Il avait donné, pour le dossier, son adresse actuelle, </w:t>
      </w:r>
      <w:r>
        <w:rPr>
          <w:b/>
          <w:bCs/>
          <w:color w:val="1F4E96"/>
          <w:sz w:val="22"/>
          <w:szCs w:val="22"/>
        </w:rPr>
        <w:t xml:space="preserve">6 rue Nationale, 59800 Lille</w:t>
      </w:r>
      <w:r>
        <w:rPr>
          <w:sz w:val="22"/>
          <w:szCs w:val="22"/>
        </w:rPr>
        <w:t xml:space="preserve">, son téléphone, </w:t>
      </w:r>
      <w:r>
        <w:rPr>
          <w:b/>
          <w:bCs/>
          <w:color w:val="1F4E96"/>
          <w:sz w:val="22"/>
          <w:szCs w:val="22"/>
        </w:rPr>
        <w:t xml:space="preserve">07 68 41 22 90</w:t>
      </w:r>
      <w:r>
        <w:rPr>
          <w:sz w:val="22"/>
          <w:szCs w:val="22"/>
        </w:rPr>
        <w:t xml:space="preserve">, et son adresse mail, </w:t>
      </w:r>
      <w:r>
        <w:rPr>
          <w:b/>
          <w:bCs/>
          <w:color w:val="1F4E96"/>
          <w:sz w:val="22"/>
          <w:szCs w:val="22"/>
        </w:rPr>
        <w:t xml:space="preserve">g.vandenberghe@free.fr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La venderesse, </w:t>
      </w:r>
      <w:r>
        <w:rPr>
          <w:b/>
          <w:bCs/>
          <w:color w:val="1F4E96"/>
          <w:sz w:val="22"/>
          <w:szCs w:val="22"/>
        </w:rPr>
        <w:t xml:space="preserve">Isabelle Fontenoy</w:t>
      </w:r>
      <w:r>
        <w:rPr>
          <w:sz w:val="22"/>
          <w:szCs w:val="22"/>
        </w:rPr>
        <w:t xml:space="preserve">, née le </w:t>
      </w:r>
      <w:r>
        <w:rPr>
          <w:b/>
          <w:bCs/>
          <w:color w:val="1F4E96"/>
          <w:sz w:val="22"/>
          <w:szCs w:val="22"/>
        </w:rPr>
        <w:t xml:space="preserve">2 avril 1958</w:t>
      </w:r>
      <w:r>
        <w:rPr>
          <w:sz w:val="22"/>
          <w:szCs w:val="22"/>
        </w:rPr>
        <w:t xml:space="preserve"> à </w:t>
      </w:r>
      <w:r>
        <w:rPr>
          <w:b/>
          <w:bCs/>
          <w:color w:val="1F4E96"/>
          <w:sz w:val="22"/>
          <w:szCs w:val="22"/>
        </w:rPr>
        <w:t xml:space="preserve">Roubaix</w:t>
      </w:r>
      <w:r>
        <w:rPr>
          <w:sz w:val="22"/>
          <w:szCs w:val="22"/>
        </w:rPr>
        <w:t xml:space="preserve">, avait apporté son titre de propriété et sa pièce d'identité, carte nationale </w:t>
      </w:r>
      <w:r>
        <w:rPr>
          <w:b/>
          <w:bCs/>
          <w:color w:val="C00000"/>
          <w:sz w:val="22"/>
          <w:szCs w:val="22"/>
        </w:rPr>
        <w:t xml:space="preserve">512847309261</w:t>
      </w:r>
      <w:r>
        <w:rPr>
          <w:sz w:val="22"/>
          <w:szCs w:val="22"/>
        </w:rPr>
        <w:t xml:space="preserve">. Le notaire nota aussi la référence cadastrale du bien, </w:t>
      </w:r>
      <w:r>
        <w:rPr>
          <w:b/>
          <w:bCs/>
          <w:color w:val="C00000"/>
          <w:sz w:val="22"/>
          <w:szCs w:val="22"/>
        </w:rPr>
        <w:t xml:space="preserve">parcelle AC 0142</w:t>
      </w:r>
      <w:r>
        <w:rPr>
          <w:sz w:val="22"/>
          <w:szCs w:val="22"/>
        </w:rPr>
        <w:t xml:space="preserve">, et le numéro de l'acte de vente précédent, </w:t>
      </w:r>
      <w:r>
        <w:rPr>
          <w:b/>
          <w:bCs/>
          <w:color w:val="C00000"/>
          <w:sz w:val="22"/>
          <w:szCs w:val="22"/>
        </w:rPr>
        <w:t xml:space="preserve">ACT-2011-33765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Pour financer l'achat, Grégory avait obtenu un prêt de la Société Générale, référencé </w:t>
      </w:r>
      <w:r>
        <w:rPr>
          <w:b/>
          <w:bCs/>
          <w:color w:val="C00000"/>
          <w:sz w:val="22"/>
          <w:szCs w:val="22"/>
        </w:rPr>
        <w:t xml:space="preserve">PRET-LILLE-778245</w:t>
      </w:r>
      <w:r>
        <w:rPr>
          <w:sz w:val="22"/>
          <w:szCs w:val="22"/>
        </w:rPr>
        <w:t xml:space="preserve">, viré sur son compte </w:t>
      </w:r>
      <w:r>
        <w:rPr>
          <w:b/>
          <w:bCs/>
          <w:color w:val="C00000"/>
          <w:sz w:val="22"/>
          <w:szCs w:val="22"/>
        </w:rPr>
        <w:t xml:space="preserve">IBAN FR76 3000 3011 3000 0500 1234 567</w:t>
      </w:r>
      <w:r>
        <w:rPr>
          <w:sz w:val="22"/>
          <w:szCs w:val="22"/>
        </w:rPr>
        <w:t xml:space="preserve">. La banque exigeait aussi son numéro de sécurité sociale, </w:t>
      </w:r>
      <w:r>
        <w:rPr>
          <w:b/>
          <w:bCs/>
          <w:color w:val="C00000"/>
          <w:sz w:val="22"/>
          <w:szCs w:val="22"/>
        </w:rPr>
        <w:t xml:space="preserve">1 79 02 59 108 337 14</w:t>
      </w:r>
      <w:r>
        <w:rPr>
          <w:sz w:val="22"/>
          <w:szCs w:val="22"/>
        </w:rPr>
        <w:t xml:space="preserve">, pour le dossier d'assurance emprunteur.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Ce questionnaire de santé, justement, l'agaçait. Il devait déclarer son </w:t>
      </w:r>
      <w:r>
        <w:rPr>
          <w:b/>
          <w:bCs/>
          <w:color w:val="2E7D32"/>
          <w:sz w:val="22"/>
          <w:szCs w:val="22"/>
        </w:rPr>
        <w:t xml:space="preserve">hypertension artérielle traitée depuis deux ans</w:t>
      </w:r>
      <w:r>
        <w:rPr>
          <w:sz w:val="22"/>
          <w:szCs w:val="22"/>
        </w:rPr>
        <w:t xml:space="preserve"> ainsi que le </w:t>
      </w:r>
      <w:r>
        <w:rPr>
          <w:b/>
          <w:bCs/>
          <w:color w:val="2E7D32"/>
          <w:sz w:val="22"/>
          <w:szCs w:val="22"/>
        </w:rPr>
        <w:t xml:space="preserve">traitement anticoagulant</w:t>
      </w:r>
      <w:r>
        <w:rPr>
          <w:sz w:val="22"/>
          <w:szCs w:val="22"/>
        </w:rPr>
        <w:t xml:space="preserve"> suivi depuis une phlébite l'année précédente. Le conseiller lui rappela que toute omission pouvait annuler la garantie décès-invalidité du prêt.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Grégory travaillait comme </w:t>
      </w:r>
      <w:r>
        <w:rPr>
          <w:b/>
          <w:bCs/>
          <w:color w:val="E36C09"/>
          <w:sz w:val="22"/>
          <w:szCs w:val="22"/>
        </w:rPr>
        <w:t xml:space="preserve">ingénieur travaux chez Eiffage Construction</w:t>
      </w:r>
      <w:r>
        <w:rPr>
          <w:sz w:val="22"/>
          <w:szCs w:val="22"/>
        </w:rPr>
        <w:t xml:space="preserve">, pour un </w:t>
      </w:r>
      <w:r>
        <w:rPr>
          <w:b/>
          <w:bCs/>
          <w:color w:val="E36C09"/>
          <w:sz w:val="22"/>
          <w:szCs w:val="22"/>
        </w:rPr>
        <w:t xml:space="preserve">salaire annuel brut de 52 800 euros</w:t>
      </w:r>
      <w:r>
        <w:rPr>
          <w:sz w:val="22"/>
          <w:szCs w:val="22"/>
        </w:rPr>
        <w:t xml:space="preserve"> ; son employeur avait fourni une attestation avec son matricule interne, </w:t>
      </w:r>
      <w:r>
        <w:rPr>
          <w:b/>
          <w:bCs/>
          <w:color w:val="E36C09"/>
          <w:sz w:val="22"/>
          <w:szCs w:val="22"/>
        </w:rPr>
        <w:t xml:space="preserve">MAT-77452</w:t>
      </w:r>
      <w:r>
        <w:rPr>
          <w:sz w:val="22"/>
          <w:szCs w:val="22"/>
        </w:rPr>
        <w:t xml:space="preserve">. Il précisa au notaire qu'il était </w:t>
      </w:r>
      <w:r>
        <w:rPr>
          <w:b/>
          <w:bCs/>
          <w:color w:val="7030A0"/>
          <w:sz w:val="22"/>
          <w:szCs w:val="22"/>
        </w:rPr>
        <w:t xml:space="preserve">délégué syndical CFE-CGC</w:t>
      </w:r>
      <w:r>
        <w:rPr>
          <w:sz w:val="22"/>
          <w:szCs w:val="22"/>
        </w:rPr>
        <w:t xml:space="preserve"> dans son entreprise, ce qui expliquait certains horaires décalés pour les réunions.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Isabelle, de son côté, glissa qu'elle vendait ce bien après son divorce, finalisé l'an dernier, et qu'elle avait dû, pour l'occasion, rouvrir un compte à son seul nom, </w:t>
      </w:r>
      <w:r>
        <w:rPr>
          <w:b/>
          <w:bCs/>
          <w:color w:val="C00000"/>
          <w:sz w:val="22"/>
          <w:szCs w:val="22"/>
        </w:rPr>
        <w:t xml:space="preserve">IBAN FR76 1027 8060 3600 0212 3456 789</w:t>
      </w:r>
      <w:r>
        <w:rPr>
          <w:sz w:val="22"/>
          <w:szCs w:val="22"/>
        </w:rPr>
        <w:t xml:space="preserve">. Elle ajouta, en plaisantant, qu'elle avait longtemps hésité entre plusieurs partis aux dernières élections européennes avant de </w:t>
      </w:r>
      <w:r>
        <w:rPr>
          <w:b/>
          <w:bCs/>
          <w:color w:val="7030A0"/>
          <w:sz w:val="22"/>
          <w:szCs w:val="22"/>
        </w:rPr>
        <w:t xml:space="preserve">voter pour une liste centriste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La signature eut finalement lieu en fin de matinée. Maître Rousseau glissa les documents dans un dossier frappé du numéro de répertoire </w:t>
      </w:r>
      <w:r>
        <w:rPr>
          <w:b/>
          <w:bCs/>
          <w:color w:val="C00000"/>
          <w:sz w:val="22"/>
          <w:szCs w:val="22"/>
        </w:rPr>
        <w:t xml:space="preserve">REP-2026-1904</w:t>
      </w:r>
      <w:r>
        <w:rPr>
          <w:sz w:val="22"/>
          <w:szCs w:val="22"/>
        </w:rPr>
        <w:t xml:space="preserve">, rappela les dates de la prochaine relance pour l'acte définitif, et raccompagna Grégory et Isabelle jusqu'à la sortie de l'étude.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En fin d'après-midi, Grégory reçut encore un appel de son assureur habitation pour transférer son contrat vers la nouvelle adresse : il communiqua le numéro de police en cours, </w:t>
      </w:r>
      <w:r>
        <w:rPr>
          <w:b/>
          <w:bCs/>
          <w:color w:val="C00000"/>
          <w:sz w:val="22"/>
          <w:szCs w:val="22"/>
        </w:rPr>
        <w:t xml:space="preserve">HAB-2019-664281</w:t>
      </w:r>
      <w:r>
        <w:rPr>
          <w:sz w:val="22"/>
          <w:szCs w:val="22"/>
        </w:rPr>
        <w:t xml:space="preserve">, et confirma que sa compagne, </w:t>
      </w:r>
      <w:r>
        <w:rPr>
          <w:b/>
          <w:bCs/>
          <w:color w:val="1F4E96"/>
          <w:sz w:val="22"/>
          <w:szCs w:val="22"/>
        </w:rPr>
        <w:t xml:space="preserve">Léa Vandenberghe</w:t>
      </w:r>
      <w:r>
        <w:rPr>
          <w:sz w:val="22"/>
          <w:szCs w:val="22"/>
        </w:rPr>
        <w:t xml:space="preserve">, née le </w:t>
      </w:r>
      <w:r>
        <w:rPr>
          <w:b/>
          <w:bCs/>
          <w:color w:val="1F4E96"/>
          <w:sz w:val="22"/>
          <w:szCs w:val="22"/>
        </w:rPr>
        <w:t xml:space="preserve">9 juin 1981</w:t>
      </w:r>
      <w:r>
        <w:rPr>
          <w:sz w:val="22"/>
          <w:szCs w:val="22"/>
        </w:rPr>
        <w:t xml:space="preserve">, serait ajoutée comme co-titulaire du contrat une fois l'acte définitif signé. L'assureur lui rappela aussi de mettre à jour sa plaque d'immatriculation, </w:t>
      </w:r>
      <w:r>
        <w:rPr>
          <w:b/>
          <w:bCs/>
          <w:color w:val="C00000"/>
          <w:sz w:val="22"/>
          <w:szCs w:val="22"/>
        </w:rPr>
        <w:t xml:space="preserve">BX-317-QK</w:t>
      </w:r>
      <w:r>
        <w:rPr>
          <w:sz w:val="22"/>
          <w:szCs w:val="22"/>
        </w:rPr>
        <w:t xml:space="preserve">, pour le contrat auto lié à la même adresse.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Le lendemain, l'agence immobilière ayant présenté le bien à Grégory le recontacta pour solder ses honoraires : facture émise au nom de </w:t>
      </w:r>
      <w:r>
        <w:rPr>
          <w:b/>
          <w:bCs/>
          <w:color w:val="1F4E96"/>
          <w:sz w:val="22"/>
          <w:szCs w:val="22"/>
        </w:rPr>
        <w:t xml:space="preserve">Grégory Vandenberghe</w:t>
      </w:r>
      <w:r>
        <w:rPr>
          <w:sz w:val="22"/>
          <w:szCs w:val="22"/>
        </w:rPr>
        <w:t xml:space="preserve">, domicilié </w:t>
      </w:r>
      <w:r>
        <w:rPr>
          <w:b/>
          <w:bCs/>
          <w:color w:val="1F4E96"/>
          <w:sz w:val="22"/>
          <w:szCs w:val="22"/>
        </w:rPr>
        <w:t xml:space="preserve">6 rue Nationale, 59800 Lille</w:t>
      </w:r>
      <w:r>
        <w:rPr>
          <w:sz w:val="22"/>
          <w:szCs w:val="22"/>
        </w:rPr>
        <w:t xml:space="preserve">, à régler par virement sur l'IBAN </w:t>
      </w:r>
      <w:r>
        <w:rPr>
          <w:b/>
          <w:bCs/>
          <w:color w:val="C00000"/>
          <w:sz w:val="22"/>
          <w:szCs w:val="22"/>
        </w:rPr>
        <w:t xml:space="preserve">FR76 3000 4000 0112 3456 7891 045</w:t>
      </w:r>
      <w:r>
        <w:rPr>
          <w:sz w:val="22"/>
          <w:szCs w:val="22"/>
        </w:rPr>
        <w:t xml:space="preserve">. L'agent en profita pour lui communiquer le numéro du dossier archivé, </w:t>
      </w:r>
      <w:r>
        <w:rPr>
          <w:b/>
          <w:bCs/>
          <w:color w:val="C00000"/>
          <w:sz w:val="22"/>
          <w:szCs w:val="22"/>
        </w:rPr>
        <w:t xml:space="preserve">AG-LILLE-20261190</w:t>
      </w:r>
      <w:r>
        <w:rPr>
          <w:sz w:val="22"/>
          <w:szCs w:val="22"/>
        </w:rPr>
        <w:t xml:space="preserve">, utile en cas de litige ultérieur sur la commission.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Isabelle, avant de partir, demanda à son tour de vérifier la mise à jour de son dossier retraite : elle donna son numéro de sécurité sociale, </w:t>
      </w:r>
      <w:r>
        <w:rPr>
          <w:b/>
          <w:bCs/>
          <w:color w:val="C00000"/>
          <w:sz w:val="22"/>
          <w:szCs w:val="22"/>
        </w:rPr>
        <w:t xml:space="preserve">2 58 04 62 108 442 90</w:t>
      </w:r>
      <w:r>
        <w:rPr>
          <w:sz w:val="22"/>
          <w:szCs w:val="22"/>
        </w:rPr>
        <w:t xml:space="preserve">, et son nouveau numéro de téléphone depuis son déménagement à Roubaix, </w:t>
      </w:r>
      <w:r>
        <w:rPr>
          <w:b/>
          <w:bCs/>
          <w:color w:val="1F4E96"/>
          <w:sz w:val="22"/>
          <w:szCs w:val="22"/>
        </w:rPr>
        <w:t xml:space="preserve">06 24 88 17 05</w:t>
      </w:r>
      <w:r>
        <w:rPr>
          <w:sz w:val="22"/>
          <w:szCs w:val="22"/>
        </w:rPr>
        <w:t xml:space="preserve">, pour que la caisse puisse la recontacter en cas de besoin.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2026-09-14T15:04:53.564Z</dcterms:created>
  <dcterms:modified xsi:type="dcterms:W3CDTF">2026-09-14T15:04:53.564Z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