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2208</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r>
    </w:p>
    <w:p>
      <w: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r>
    </w:p>
    <w:p>
      <w: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r>
    </w:p>
    <w:p>
      <w: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r>
    </w:p>
    <w:p>
      <w:r>
        <w:t>The Babylonians and their city state neighbors developed forms of economics comparable to currently used civil society (law) concepts. They developed the first known codified legal and administrative systems, complete with courts, jails, and government records.</w:t>
      </w:r>
    </w:p>
    <w:p>
      <w: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r>
    </w:p>
    <w:p>
      <w: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r>
    </w:p>
    <w:p>
      <w:r>
        <w:t>In Chinese economic law, the huge cycle of institutional innovation contains an idea. Serving a non-market economy promotes a firm's tenure that is legally guaranteed and protected from bureaucratic opportunities.</w:t>
      </w:r>
    </w:p>
    <w:p>
      <w: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r>
    </w:p>
    <w:p>
      <w: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r>
    </w:p>
    <w:p>
      <w: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r>
    </w:p>
    <w:p>
      <w:r>
        <w:t>In Europe wild capitalism started to replace the system of mercantilism (today: protectionism) and led to economic growth. The period is called the Industrial Revolution because the system of production and division of labor enabled the mass production of goods.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