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2558</w:t>
      </w:r>
    </w:p>
    <w:p>
      <w:pPr>
        <w:pStyle w:val="Heading1"/>
      </w:pPr>
      <w:r>
        <w:t>Section 1</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b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b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b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br/>
        <w:t>The Babylonians and their city state neighbors developed forms of economics comparable to currently used civil society (law) concepts. They developed the first known codified legal and administrative systems, complete with courts, jails, and government records.</w:t>
        <w:b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b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br/>
        <w:t>In Chinese economic law, the huge cycle of institutional innovation contains an idea. Serving a non-market economy promotes a firm's tenure that is legally guaranteed and protected from bureaucratic opportunities.</w:t>
      </w:r>
    </w:p>
    <w:p>
      <w:pPr>
        <w:pStyle w:val="Heading1"/>
      </w:pPr>
      <w:r>
        <w:t>Section 2</w:t>
      </w:r>
    </w:p>
    <w:p>
      <w:r>
        <w:br/>
        <w:t>=== Middle Ages ===</w:t>
        <w:b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b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br/>
        <w:t>=== Industrial Revolution ===</w:t>
        <w:b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b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br/>
        <w:t>In Europe wild capitalism started to replace the system of mercantilism (today: protectionism) and led to economic growth. The period is called the Industrial Revolution because the system of production and division of labor enabled the mass production of goods.</w:t>
      </w:r>
    </w:p>
    <w:p>
      <w:r>
        <w:br/>
        <w:t>=== 20th century ===</w:t>
        <w:br/>
        <w:t>The contemporary concept of "the economy" wasn't popularly known until the American Great Depression in the 1930s.</w:t>
        <w:br/>
        <w:t>After the chaos of two World Wars and the devastating Great Depression, policymakers searched for new ways of controlling the course of the economy. This was explored and discussed by Friedrich August von Hayek (1899–1992) and Milton Friedman (1912–2006) who pleaded for a global free trade and are supposed to be the fathers of the so-called neoliberalism. However, the prevailing view was that held by John Maynard Keynes (1883–1946), who argued for a stronger control of the markets by the state. The theory that the state can alleviate economic problems and instigate economic growth through state manipulation of aggregate demand is called Keynesianism in his honor. In the late 1950s, the economic growth in America and Europe—often called Wirtschaftswunder (German for economic miracle) —brought up a new form of economy: mass consumption economy. In 1958, John Kenneth Galbraith (1908–2006) was the first to speak of an affluent society in his book The Affluent Society. In most of the countries the economic system is called a social market economy.</w:t>
      </w:r>
    </w:p>
    <w:p>
      <w:pPr>
        <w:pStyle w:val="Heading1"/>
      </w:pPr>
      <w:r>
        <w:t>Section 3</w:t>
      </w:r>
    </w:p>
    <w:p>
      <w:r>
        <w:t>With the fall of the Iron Curtain and the transition of the countries of the Eastern Bloc towards democratic government and market economies, the idea of the post-industrial society is brought into importance as its role is to mark together the significance that the service sector receives instead of industrialization. Some attribute the first use of this term to Daniel Bell's 1973 book, The Coming of Post-Industrial Society, while others attribute it to social philosopher Ivan Illich's book, Tools for Conviviality. The term is also applied in philosophy to designate the fading of postmodernism in the late 90s and especially in the beginning of the 21st century.</w:t>
        <w:br/>
        <w:t>With the spread of Internet as a mass media and communication medium especially after 2000–2001, the idea for the Internet and information economy is given place because of the growing importance of e-commerce and electronic businesses, also the term for a global information society as understanding of a new type of "all-connected" society is created. In the late 2000s, the new type of economies and economic expansions of countries like China, Brazil, and India bring attention and interest to economies different from the usually dominating Western-type economies and economic models.</w:t>
      </w:r>
    </w:p>
    <w:p>
      <w:r>
        <w:br/>
        <w:t>=== Types ===</w:t>
        <w:br/>
        <w:t>A market economy is one where goods and services are produced and exchanged according to demand and supply between participants (economic agents) by barter or a medium of exchange with a credit or debit value accepted within the network, such as a unit of currency. A planned economy is one where political agents directly control what is produced and how it is sold and distributed. A green economy is low-carbon and resource efficient. In a green economy, growth in income and employment is driven by public and private investments that reduce carbon emissions and pollution, enhance energy and resource efficiency, and prevent the loss of biodiversity and ecosystem services. A gig economy is one in which short-term jobs are assigned or chosen on-demand. The global economy refers to humanity's economic system or systems overall. An informal economy is neither taxed nor monitored by any form of government. A local economy is an economy centred around a particular settlement or commercial area, and may be a driver for local purchasing being promoted and practiced in its area.</w:t>
      </w:r>
    </w:p>
    <w:p>
      <w:r>
        <w:br/>
        <w:t>=== Sectors ===</w:t>
        <w:br/>
        <w:t>The economy may be considered as having developed through the following phases or degrees of precedence:</w:t>
      </w:r>
    </w:p>
    <w:p>
      <w:pPr>
        <w:pStyle w:val="Heading1"/>
      </w:pPr>
      <w:r>
        <w:t>Section 4</w:t>
      </w:r>
    </w:p>
    <w:p>
      <w:r>
        <w:t>The ancient economy was mainly based on subsistence farming.</w:t>
        <w:br/>
        <w:t>The Industrial Revolution phase lessened the role of subsistence farming, converting it to more extensive and mono-cultural forms of agriculture in the last three centuries. The economic growth took place mostly in mining, construction and manufacturing industries. Commerce became more significant due to the need for improved exchange and distribution of produce throughout the community.</w:t>
        <w:br/>
        <w:t>In the economies of modern consumer societies phase there is a growing part played by services, finance, and technology—the knowledge economy.</w:t>
        <w:br/>
        <w:t>In modern economies, these phase precedences are somewhat differently expressed by the three-sector model:</w:t>
      </w:r>
    </w:p>
    <w:p>
      <w:r>
        <w:t>Primary: Involves the extraction and production of raw materials, such as corn, coal, wood and iron.</w:t>
        <w:br/>
        <w:t>Secondary: Involves the transformation of raw or intermediate materials into goods e.g. manufacturing steel into cars, or textiles into clothing.</w:t>
        <w:br/>
        <w:t>Tertiary: Involves the provision of services to consumers and businesses, such as baby-sitting, cinema and banking.</w:t>
        <w:br/>
        <w:t>Other sectors of the developed community include:</w:t>
      </w:r>
    </w:p>
    <w:p>
      <w:r>
        <w:t>the public sector or state sector (which usually includes: parliament, law-courts and government centers, various emergency services, public health, shelters for impoverished and threatened people, transport facilities, air/sea ports, post-natal care, hospitals, schools, libraries, museums, preserved historical buildings, parks/gardens, nature-reserves, some universities, national sports grounds/stadiums, national arts/concert-halls or theaters and centers for various religions).</w:t>
        <w:br/>
        <w:t>the private sector or privately run businesses.</w:t>
        <w:br/>
        <w:t>the voluntary sector or social sector.</w:t>
      </w:r>
    </w:p>
    <w:p>
      <w:pPr>
        <w:pStyle w:val="Heading1"/>
      </w:pPr>
      <w:r>
        <w:t>Section 5</w:t>
      </w:r>
    </w:p>
    <w:p>
      <w:r>
        <w:t>The gross domestic product (GDP) of a country is a measure of the size of its economy, or more specifically, monetary measure of the market value of all the final goods and services produced. The most conventional economic analysis of a country relies heavily on economic indicators like the GDP and GDP per capita. While often useful, GDP only includes economic activity for which money is exchanged.</w:t>
        <w:br/>
        <w:t>Due to the growing importance of the financial sector in modern times, the term real economy is used by analysts as well as politicians to denote the part of the economy that is concerned with the actual production of goods and services, as ostensibly contrasted with the paper economy, or the financial side of the economy, which is concerned with buying and selling on the financial markets. Alternate and long-standing terminology distinguishes measures of an economy expressed in real values (adjusted for inflation), such as real GDP, or in nominal values (unadjusted for inflation).</w:t>
      </w:r>
    </w:p>
    <w:p>
      <w:r>
        <w:t>The study of economics are roughly divided into macroeconomics and microeconomics. Today, the range of fields of study examining the economy revolves around the social science of economics, but may also include sociology, history, anthropology, and geography. Practical fields directly related to the human activities involving production, distribution, exchange, and consumption of goods and services as a whole are business, engineering, government, and health care. Macroeconomics is studied at the regional and national levels, and common analyses include income and production, money, prices, employment, international trade, and other issues.</w:t>
      </w:r>
    </w:p>
    <w:p>
      <w:r>
        <w:br/>
        <w:t>== See also ==</w:t>
        <w:br/>
        <w:t>Economic democracy</w:t>
        <w:br/>
        <w:t>Economic history</w:t>
        <w:br/>
        <w:t>Economic system</w:t>
        <w:br/>
        <w:t>Social economy</w:t>
        <w:br/>
        <w:t>Solidarity economy</w:t>
      </w:r>
    </w:p>
    <w:tbl>
      <w:tblPr>
        <w:tblW w:type="auto" w:w="0"/>
        <w:tblLook w:firstColumn="1" w:firstRow="1" w:lastColumn="0" w:lastRow="0" w:noHBand="0" w:noVBand="1" w:val="04A0"/>
      </w:tblPr>
      <w:tblGrid>
        <w:gridCol w:w="2880"/>
        <w:gridCol w:w="2880"/>
        <w:gridCol w:w="2880"/>
      </w:tblGrid>
      <w:tr>
        <w:tc>
          <w:tcPr>
            <w:tcW w:type="dxa" w:w="2880"/>
          </w:tcPr>
          <w:p>
            <w:r>
              <w:t>16</w:t>
            </w:r>
          </w:p>
        </w:tc>
        <w:tc>
          <w:tcPr>
            <w:tcW w:type="dxa" w:w="2880"/>
          </w:tcPr>
          <w:p>
            <w:r>
              <w:t>28</w:t>
            </w:r>
          </w:p>
        </w:tc>
        <w:tc>
          <w:tcPr>
            <w:tcW w:type="dxa" w:w="2880"/>
          </w:tcPr>
          <w:p>
            <w:r>
              <w:t>65</w:t>
            </w:r>
          </w:p>
        </w:tc>
      </w:tr>
      <w:tr>
        <w:tc>
          <w:tcPr>
            <w:tcW w:type="dxa" w:w="2880"/>
          </w:tcPr>
          <w:p>
            <w:r>
              <w:t>20</w:t>
            </w:r>
          </w:p>
        </w:tc>
        <w:tc>
          <w:tcPr>
            <w:tcW w:type="dxa" w:w="2880"/>
          </w:tcPr>
          <w:p>
            <w:r>
              <w:t>0</w:t>
            </w:r>
          </w:p>
        </w:tc>
        <w:tc>
          <w:tcPr>
            <w:tcW w:type="dxa" w:w="2880"/>
          </w:tcPr>
          <w:p>
            <w:r>
              <w:t>67</w:t>
            </w:r>
          </w:p>
        </w:tc>
      </w:tr>
      <w:tr>
        <w:tc>
          <w:tcPr>
            <w:tcW w:type="dxa" w:w="2880"/>
          </w:tcPr>
          <w:p>
            <w:r>
              <w:t>55</w:t>
            </w:r>
          </w:p>
        </w:tc>
        <w:tc>
          <w:tcPr>
            <w:tcW w:type="dxa" w:w="2880"/>
          </w:tcPr>
          <w:p>
            <w:r>
              <w:t>37</w:t>
            </w:r>
          </w:p>
        </w:tc>
        <w:tc>
          <w:tcPr>
            <w:tcW w:type="dxa" w:w="2880"/>
          </w:tcPr>
          <w:p>
            <w:r>
              <w:t>33</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