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Does life, specifically sapient and sentient, exist on other worlds? This is a question as old as antiquity, however, many scientists believe we should’ve had our answer long ago. Simply put, given the number of stars in the galaxy with planets, the quickness of life’s emergence on Earth, the believed commonality of conditions in which it arose, the rate of advancement of interstellar travel, and billions of years for unlikely probabilities to become certain: why didn’t human civilization </w:t>
      </w:r>
      <w:r w:rsidDel="00000000" w:rsidR="00000000" w:rsidRPr="00000000">
        <w:rPr>
          <w:rtl w:val="0"/>
        </w:rPr>
        <w:t xml:space="preserve">emerge</w:t>
      </w:r>
      <w:r w:rsidDel="00000000" w:rsidR="00000000" w:rsidRPr="00000000">
        <w:rPr>
          <w:rtl w:val="0"/>
        </w:rPr>
        <w:t xml:space="preserve"> in the middle of a galaxy-wide alien society? Where are they?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the Fermi Paradox. Even by conservative estimates, there should be thousands of alien societies in the milky way. For 50 years the Search for Extraterrestrial Intelligence has monitored the skies for radio signals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Drake Equation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Likelihood of life’s emergence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Exoplanets</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Trappist Star System</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Extremophiles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How do we look for them now? What are issues with this approach?</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Assuming our methods of detection are fine, what are some explanations to the paradox</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Great filters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Active termination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Intelligence isn’t that important</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We’re the first (someone has to be)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