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0F" w:rsidRDefault="0078380F">
      <w:pPr>
        <w:tabs>
          <w:tab w:val="right" w:pos="9638"/>
        </w:tabs>
      </w:pPr>
      <w:r>
        <w:rPr>
          <w:color w:val="0000FF"/>
        </w:rPr>
        <w:t xml:space="preserve">{qno1}.   </w:t>
      </w:r>
      <w:r>
        <w:rPr>
          <w:rFonts w:hint="eastAsia"/>
          <w:color w:val="0000FF"/>
        </w:rPr>
        <w:t>成本分類</w:t>
      </w:r>
    </w:p>
    <w:p w:rsidR="0078380F" w:rsidRDefault="0078380F">
      <w:pPr>
        <w:ind w:left="482" w:hanging="482"/>
        <w:jc w:val="both"/>
      </w:pPr>
      <w:r>
        <w:t>:-:</w:t>
      </w:r>
      <w:r>
        <w:rPr>
          <w:rFonts w:hint="eastAsia"/>
        </w:rPr>
        <w:t>劉先生開設了一間製造公司，該公司只生產一款名為「多美」的產品。以下為「多美」於兩個作業水平的預算成本。</w:t>
      </w:r>
    </w:p>
    <w:p w:rsidR="0078380F" w:rsidRDefault="0078380F">
      <w:pPr>
        <w:tabs>
          <w:tab w:val="right" w:pos="9638"/>
        </w:tabs>
        <w:ind w:left="31680" w:firstLine="31680"/>
      </w:pPr>
    </w:p>
    <w:tbl>
      <w:tblPr>
        <w:tblW w:w="0" w:type="auto"/>
        <w:tblInd w:w="428" w:type="dxa"/>
        <w:tblLayout w:type="fixed"/>
        <w:tblLook w:val="0000"/>
      </w:tblPr>
      <w:tblGrid>
        <w:gridCol w:w="4536"/>
        <w:gridCol w:w="1570"/>
        <w:gridCol w:w="838"/>
        <w:gridCol w:w="2216"/>
      </w:tblGrid>
      <w:tr w:rsidR="0078380F">
        <w:trPr>
          <w:gridAfter w:val="2"/>
          <w:wAfter w:w="3054" w:type="dxa"/>
        </w:trPr>
        <w:tc>
          <w:tcPr>
            <w:tcW w:w="4536" w:type="dxa"/>
            <w:tcBorders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生產及銷售水平（單位）</w:t>
            </w:r>
          </w:p>
        </w:tc>
      </w:tr>
      <w:tr w:rsidR="0078380F">
        <w:tc>
          <w:tcPr>
            <w:tcW w:w="4536" w:type="dxa"/>
            <w:tcBorders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40,000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$300,000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$600,000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$1,350,000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$2,700,000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$90,000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監督員的薪金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銷售員的薪金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$76,000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$146,000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廠房及機器折舊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</w:tr>
    </w:tbl>
    <w:p w:rsidR="0078380F" w:rsidRDefault="0078380F">
      <w:pPr>
        <w:tabs>
          <w:tab w:val="right" w:pos="9638"/>
        </w:tabs>
      </w:pPr>
    </w:p>
    <w:p w:rsidR="0078380F" w:rsidRDefault="0078380F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78380F" w:rsidRDefault="0078380F">
      <w:pPr>
        <w:tabs>
          <w:tab w:val="right" w:pos="9638"/>
        </w:tabs>
        <w:ind w:left="964" w:hanging="482"/>
        <w:jc w:val="both"/>
      </w:pPr>
      <w:r>
        <w:t>(a)</w:t>
      </w:r>
      <w:r>
        <w:tab/>
      </w:r>
      <w:r>
        <w:rPr>
          <w:rFonts w:hint="eastAsia"/>
        </w:rPr>
        <w:t>將以上成本歸類為固定成本、變動成本或混合成本。</w:t>
      </w:r>
      <w:r>
        <w:tab/>
      </w:r>
      <w:r>
        <w:rPr>
          <w:rFonts w:hint="eastAsia"/>
        </w:rPr>
        <w:t>（</w:t>
      </w:r>
      <w:r>
        <w:t>{mark1_1}</w:t>
      </w:r>
      <w:r>
        <w:rPr>
          <w:rFonts w:hint="eastAsia"/>
        </w:rPr>
        <w:t>分）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t>(b)</w:t>
      </w:r>
      <w:r>
        <w:tab/>
      </w:r>
      <w:r>
        <w:rPr>
          <w:rFonts w:hint="eastAsia"/>
        </w:rPr>
        <w:t>假如作業水平上升至</w:t>
      </w:r>
      <w:r>
        <w:t>50,000</w:t>
      </w:r>
      <w:r>
        <w:rPr>
          <w:rFonts w:hint="eastAsia"/>
        </w:rPr>
        <w:t>單位，計算以上各項的預算成本。</w:t>
      </w:r>
      <w:r>
        <w:tab/>
      </w:r>
      <w:r>
        <w:rPr>
          <w:rFonts w:hint="eastAsia"/>
        </w:rPr>
        <w:t>（</w:t>
      </w:r>
      <w:r>
        <w:t>{mark1_2}</w:t>
      </w:r>
      <w:r>
        <w:rPr>
          <w:rFonts w:hint="eastAsia"/>
        </w:rPr>
        <w:t>分）</w:t>
      </w:r>
    </w:p>
    <w:p w:rsidR="0078380F" w:rsidRDefault="0078380F">
      <w:pPr>
        <w:tabs>
          <w:tab w:val="left" w:pos="482"/>
          <w:tab w:val="right" w:pos="9638"/>
        </w:tabs>
        <w:spacing w:before="120"/>
        <w:ind w:left="964" w:hanging="964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固定成本：監督員的薪金、廠房及機器折舊。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變動成本：直接原料、直接人工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混合成本：電費及水費、銷售員的薪金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每單位的直接原料</w:t>
      </w:r>
      <w:r>
        <w:rPr>
          <w:color w:val="FF0000"/>
        </w:rPr>
        <w:t xml:space="preserve"> = $300,000 ÷ 20,000</w:t>
      </w:r>
    </w:p>
    <w:p w:rsidR="0078380F" w:rsidRDefault="0078380F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>= $15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直接原料的預算成本</w:t>
      </w:r>
      <w:r>
        <w:rPr>
          <w:color w:val="FF0000"/>
        </w:rPr>
        <w:t xml:space="preserve"> = 50,000 × $15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$750,000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每單位的直接人工</w:t>
      </w:r>
      <w:r>
        <w:rPr>
          <w:color w:val="FF0000"/>
        </w:rPr>
        <w:t xml:space="preserve"> = $1,350,000 ÷ 20,000</w:t>
      </w:r>
    </w:p>
    <w:p w:rsidR="0078380F" w:rsidRDefault="0078380F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>= $67.5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直接人工的預算成本</w:t>
      </w:r>
      <w:r>
        <w:rPr>
          <w:color w:val="FF0000"/>
        </w:rPr>
        <w:t xml:space="preserve"> = 50,000 × $67.5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$3,375,000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電費及水費的變動成本部分</w:t>
      </w:r>
      <w:r>
        <w:rPr>
          <w:color w:val="FF0000"/>
        </w:rPr>
        <w:t xml:space="preserve"> = ($90,000 − $70,000) ÷ (40,000 − 20,000) </w:t>
      </w:r>
      <w:r>
        <w:rPr>
          <w:rFonts w:hint="eastAsia"/>
          <w:color w:val="FF0000"/>
        </w:rPr>
        <w:t>單位</w:t>
      </w:r>
      <w:r>
        <w:rPr>
          <w:color w:val="FF0000"/>
        </w:rPr>
        <w:t xml:space="preserve">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$1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電費及水費的固定成本部分</w:t>
      </w:r>
      <w:r>
        <w:rPr>
          <w:color w:val="FF0000"/>
        </w:rPr>
        <w:t xml:space="preserve"> = $70,000 − ($1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$50,000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電費及水費的預算成本</w:t>
      </w:r>
      <w:r>
        <w:rPr>
          <w:color w:val="FF0000"/>
        </w:rPr>
        <w:t xml:space="preserve"> = $50,000 + $1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$100,000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監督員薪金的預算成本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$35,000</w:t>
      </w:r>
      <w:r>
        <w:rPr>
          <w:color w:val="FF0000"/>
        </w:rPr>
        <w:tab/>
        <w:t>(½)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銷售員薪金的變動成本部分</w:t>
      </w:r>
      <w:r>
        <w:rPr>
          <w:color w:val="FF0000"/>
        </w:rPr>
        <w:t xml:space="preserve"> = ($146,000 − $76,000) ÷ (40,000 − 20,000)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$3.5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銷售員薪金的固定成本部分</w:t>
      </w:r>
      <w:r>
        <w:rPr>
          <w:color w:val="FF0000"/>
        </w:rPr>
        <w:t xml:space="preserve"> = $76,000 − ($3.5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$6,000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銷售員薪金的預算成本</w:t>
      </w:r>
      <w:r>
        <w:rPr>
          <w:color w:val="FF0000"/>
        </w:rPr>
        <w:t xml:space="preserve"> = $6,000 + $3.5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$181,000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廠房及機器折舊的預算成本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$8,000</w:t>
      </w:r>
      <w:r>
        <w:rPr>
          <w:color w:val="FF0000"/>
        </w:rPr>
        <w:tab/>
        <w:t>(½)</w:t>
      </w:r>
    </w:p>
    <w:p w:rsidR="0078380F" w:rsidRDefault="0078380F">
      <w:r>
        <w:rPr>
          <w:color w:val="FF0000"/>
        </w:rPr>
        <w:t>:!:</w:t>
      </w:r>
      <w:r>
        <w:rPr>
          <w:color w:val="FF0000"/>
        </w:rPr>
        <w:tab/>
        <w:t>13</w:t>
      </w:r>
    </w:p>
    <w:sectPr w:rsidR="0078380F" w:rsidSect="0078380F">
      <w:footerReference w:type="even" r:id="rId6"/>
      <w:footerReference w:type="default" r:id="rId7"/>
      <w:pgSz w:w="11906" w:h="16838"/>
      <w:pgMar w:top="1134" w:right="1134" w:bottom="1134" w:left="1134" w:header="720" w:footer="567" w:gutter="0"/>
      <w:cols w:space="72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80F" w:rsidRDefault="0078380F">
      <w:r>
        <w:separator/>
      </w:r>
    </w:p>
  </w:endnote>
  <w:endnote w:type="continuationSeparator" w:id="1">
    <w:p w:rsidR="0078380F" w:rsidRDefault="00783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0F" w:rsidRDefault="0078380F">
    <w:pPr>
      <w:pStyle w:val="Footer"/>
    </w:pPr>
    <w:fldSimple w:instr=" PAGE ">
      <w: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0F" w:rsidRDefault="007838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80F" w:rsidRDefault="0078380F">
      <w:r>
        <w:separator/>
      </w:r>
    </w:p>
  </w:footnote>
  <w:footnote w:type="continuationSeparator" w:id="1">
    <w:p w:rsidR="0078380F" w:rsidRDefault="007838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380F"/>
    <w:rsid w:val="00783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FooterChar">
    <w:name w:val="Footer Char"/>
    <w:basedOn w:val="DefaultParagraphFont1"/>
    <w:rPr>
      <w:rFonts w:cs="Times New Roman"/>
      <w:kern w:val="1"/>
    </w:rPr>
  </w:style>
  <w:style w:type="character" w:styleId="PageNumber">
    <w:name w:val="page number"/>
    <w:basedOn w:val="DefaultParagraphFont1"/>
    <w:uiPriority w:val="99"/>
    <w:rPr>
      <w:rFonts w:cs="Times New Roman"/>
    </w:rPr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78380F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463</Words>
  <Characters>915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