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48D" w:rsidRDefault="00A7348D">
      <w:pPr>
        <w:tabs>
          <w:tab w:val="right" w:pos="9638"/>
        </w:tabs>
      </w:pPr>
      <w:r>
        <w:rPr>
          <w:color w:val="0000FF"/>
        </w:rPr>
        <w:t xml:space="preserve">{qno2}.   </w:t>
      </w:r>
      <w:r>
        <w:rPr>
          <w:rFonts w:hint="eastAsia"/>
          <w:color w:val="0000FF"/>
        </w:rPr>
        <w:t>成本要素</w:t>
      </w:r>
      <w:r>
        <w:rPr>
          <w:color w:val="0000FF"/>
        </w:rPr>
        <w:t xml:space="preserve">   </w:t>
      </w:r>
      <w:r>
        <w:rPr>
          <w:rFonts w:hint="eastAsia"/>
          <w:color w:val="0000FF"/>
        </w:rPr>
        <w:t>間接費用</w:t>
      </w:r>
    </w:p>
    <w:p w:rsidR="00A7348D" w:rsidRDefault="00A7348D">
      <w:pPr>
        <w:ind w:left="482" w:hanging="482"/>
        <w:jc w:val="both"/>
      </w:pPr>
      <w:r>
        <w:t>:-:</w:t>
      </w:r>
      <w:r>
        <w:rPr>
          <w:rFonts w:hint="eastAsia"/>
        </w:rPr>
        <w:t>丹尼爾開設了一間公司，該公司只生產一款名為「滿盈」的產品。在第一個財政年度完結後，公司有以下資料。</w:t>
      </w:r>
    </w:p>
    <w:p w:rsidR="00A7348D" w:rsidRDefault="00A7348D">
      <w:pPr>
        <w:tabs>
          <w:tab w:val="right" w:pos="9638"/>
        </w:tabs>
        <w:ind w:left="31680" w:firstLine="31680"/>
      </w:pPr>
    </w:p>
    <w:tbl>
      <w:tblPr>
        <w:tblW w:w="0" w:type="auto"/>
        <w:tblInd w:w="456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5215"/>
        <w:gridCol w:w="1447"/>
      </w:tblGrid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b/>
              </w:rPr>
              <w:t>$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直接原料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4,800,000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直接人工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657,000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間接人工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390,000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電費及水費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80,000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辦公室職員的薪金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214,000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租金及差餉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120,000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專利稅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30,000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折舊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  <w:ind w:left="31680"/>
            </w:pPr>
            <w:r>
              <w:rPr>
                <w:rFonts w:hint="eastAsia"/>
              </w:rPr>
              <w:t>廠房及機器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15,000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  <w:ind w:left="31680"/>
            </w:pPr>
            <w:r>
              <w:rPr>
                <w:rFonts w:hint="eastAsia"/>
              </w:rPr>
              <w:t>辦公室設備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8,000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銷售及管理費用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16,000</w:t>
            </w:r>
          </w:p>
        </w:tc>
      </w:tr>
    </w:tbl>
    <w:p w:rsidR="00A7348D" w:rsidRDefault="00A7348D">
      <w:pPr>
        <w:tabs>
          <w:tab w:val="right" w:pos="9638"/>
        </w:tabs>
      </w:pPr>
    </w:p>
    <w:p w:rsidR="00A7348D" w:rsidRDefault="00A7348D">
      <w:pPr>
        <w:tabs>
          <w:tab w:val="right" w:pos="9638"/>
        </w:tabs>
        <w:ind w:firstLine="480"/>
        <w:jc w:val="both"/>
      </w:pPr>
      <w:r>
        <w:rPr>
          <w:rFonts w:hint="eastAsia"/>
        </w:rPr>
        <w:t>其他資料：</w:t>
      </w:r>
    </w:p>
    <w:p w:rsidR="00A7348D" w:rsidRDefault="00A7348D">
      <w:pPr>
        <w:tabs>
          <w:tab w:val="right" w:pos="9638"/>
        </w:tabs>
        <w:ind w:left="960" w:hanging="480"/>
        <w:jc w:val="both"/>
      </w:pPr>
      <w:r>
        <w:t>(1)</w:t>
      </w:r>
      <w:r>
        <w:tab/>
      </w:r>
      <w:r>
        <w:rPr>
          <w:rFonts w:hint="eastAsia"/>
        </w:rPr>
        <w:t>工廠將分攤</w:t>
      </w:r>
      <w:r>
        <w:t>75%</w:t>
      </w:r>
      <w:r>
        <w:rPr>
          <w:rFonts w:hint="eastAsia"/>
        </w:rPr>
        <w:t>電費及水費，以及</w:t>
      </w:r>
      <w:r>
        <w:t>85%</w:t>
      </w:r>
      <w:r>
        <w:rPr>
          <w:rFonts w:hint="eastAsia"/>
        </w:rPr>
        <w:t>租金及差餉。</w:t>
      </w:r>
    </w:p>
    <w:p w:rsidR="00A7348D" w:rsidRDefault="00A7348D">
      <w:pPr>
        <w:ind w:firstLine="480"/>
        <w:jc w:val="both"/>
      </w:pPr>
      <w:r>
        <w:t>(2)</w:t>
      </w:r>
      <w:r>
        <w:tab/>
      </w:r>
      <w:r>
        <w:rPr>
          <w:rFonts w:hint="eastAsia"/>
        </w:rPr>
        <w:t>沒有直接原料或在製品。</w:t>
      </w:r>
    </w:p>
    <w:p w:rsidR="00A7348D" w:rsidRDefault="00A7348D">
      <w:pPr>
        <w:tabs>
          <w:tab w:val="right" w:pos="9638"/>
        </w:tabs>
      </w:pPr>
    </w:p>
    <w:p w:rsidR="00A7348D" w:rsidRDefault="00A7348D">
      <w:pPr>
        <w:tabs>
          <w:tab w:val="right" w:pos="9638"/>
        </w:tabs>
        <w:ind w:firstLine="480"/>
      </w:pPr>
      <w:r>
        <w:rPr>
          <w:rFonts w:hint="eastAsia"/>
          <w:b/>
        </w:rPr>
        <w:t>作業要求：</w:t>
      </w:r>
    </w:p>
    <w:p w:rsidR="00A7348D" w:rsidRDefault="00A7348D">
      <w:pPr>
        <w:tabs>
          <w:tab w:val="right" w:pos="9638"/>
        </w:tabs>
        <w:ind w:left="480"/>
      </w:pPr>
      <w:r>
        <w:rPr>
          <w:rFonts w:hint="eastAsia"/>
        </w:rPr>
        <w:t>計算下列各項：</w:t>
      </w:r>
    </w:p>
    <w:p w:rsidR="00A7348D" w:rsidRDefault="00A7348D">
      <w:pPr>
        <w:tabs>
          <w:tab w:val="right" w:pos="9638"/>
        </w:tabs>
        <w:ind w:left="964" w:hanging="482"/>
      </w:pPr>
      <w:r>
        <w:t>(a)</w:t>
      </w:r>
      <w:r>
        <w:tab/>
      </w:r>
      <w:r>
        <w:rPr>
          <w:rFonts w:hint="eastAsia"/>
        </w:rPr>
        <w:t>主要成本</w:t>
      </w:r>
      <w:r>
        <w:tab/>
      </w:r>
      <w:r>
        <w:rPr>
          <w:rFonts w:hint="eastAsia"/>
        </w:rPr>
        <w:t>（</w:t>
      </w:r>
      <w:r>
        <w:t>{mark2_1}</w:t>
      </w:r>
      <w:r>
        <w:rPr>
          <w:rFonts w:hint="eastAsia"/>
        </w:rPr>
        <w:t>分）</w:t>
      </w:r>
    </w:p>
    <w:p w:rsidR="00A7348D" w:rsidRDefault="00A7348D">
      <w:pPr>
        <w:tabs>
          <w:tab w:val="right" w:pos="9638"/>
        </w:tabs>
        <w:ind w:left="964" w:hanging="482"/>
      </w:pPr>
      <w:r>
        <w:t>(b)</w:t>
      </w:r>
      <w:r>
        <w:tab/>
      </w:r>
      <w:r>
        <w:rPr>
          <w:rFonts w:hint="eastAsia"/>
        </w:rPr>
        <w:t>生產間接成本</w:t>
      </w:r>
      <w:r>
        <w:tab/>
      </w:r>
      <w:r>
        <w:rPr>
          <w:rFonts w:hint="eastAsia"/>
        </w:rPr>
        <w:t>（</w:t>
      </w:r>
      <w:r>
        <w:t>{mark2_2}</w:t>
      </w:r>
      <w:r>
        <w:rPr>
          <w:rFonts w:hint="eastAsia"/>
        </w:rPr>
        <w:t>分）</w:t>
      </w:r>
    </w:p>
    <w:p w:rsidR="00A7348D" w:rsidRDefault="00A7348D">
      <w:pPr>
        <w:tabs>
          <w:tab w:val="right" w:pos="9638"/>
        </w:tabs>
        <w:ind w:left="964" w:hanging="482"/>
        <w:rPr>
          <w:color w:val="FF0000"/>
        </w:rPr>
      </w:pPr>
      <w:r>
        <w:t>(c)</w:t>
      </w:r>
      <w:r>
        <w:tab/>
      </w:r>
      <w:r>
        <w:rPr>
          <w:rFonts w:hint="eastAsia"/>
        </w:rPr>
        <w:t>行政費用</w:t>
      </w:r>
      <w:r>
        <w:tab/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 w:rsidR="00A7348D" w:rsidRDefault="00A7348D">
      <w:pPr>
        <w:spacing w:before="120"/>
        <w:rPr>
          <w:b/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  <w:t>(a)</w:t>
      </w:r>
    </w:p>
    <w:tbl>
      <w:tblPr>
        <w:tblW w:w="0" w:type="auto"/>
        <w:tblInd w:w="93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723"/>
        <w:gridCol w:w="1558"/>
        <w:gridCol w:w="454"/>
      </w:tblGrid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主要成本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$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直接原料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4,800,000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直接人工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657,000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專利稅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  <w:u w:val="single"/>
              </w:rPr>
              <w:t xml:space="preserve">   30,000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rPr>
                <w:color w:val="FF0000"/>
              </w:rPr>
            </w:pP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  <w:u w:val="double"/>
              </w:rPr>
              <w:t>5,487,000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</w:tbl>
    <w:p w:rsidR="00A7348D" w:rsidRDefault="00A7348D">
      <w:pPr>
        <w:tabs>
          <w:tab w:val="right" w:pos="9638"/>
        </w:tabs>
        <w:jc w:val="both"/>
        <w:rPr>
          <w:color w:val="FF0000"/>
        </w:rPr>
      </w:pPr>
    </w:p>
    <w:p w:rsidR="00A7348D" w:rsidRDefault="00A7348D">
      <w:pPr>
        <w:tabs>
          <w:tab w:val="right" w:pos="9638"/>
        </w:tabs>
        <w:ind w:left="482"/>
        <w:rPr>
          <w:b/>
          <w:color w:val="FF0000"/>
        </w:rPr>
      </w:pPr>
      <w:r>
        <w:rPr>
          <w:color w:val="FF0000"/>
        </w:rPr>
        <w:t>(b)</w:t>
      </w:r>
    </w:p>
    <w:tbl>
      <w:tblPr>
        <w:tblW w:w="0" w:type="auto"/>
        <w:tblInd w:w="93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723"/>
        <w:gridCol w:w="1558"/>
        <w:gridCol w:w="454"/>
      </w:tblGrid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生產間接成本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$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間接人工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390,000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電費及水費</w:t>
            </w:r>
            <w:r>
              <w:rPr>
                <w:color w:val="FF0000"/>
              </w:rPr>
              <w:t xml:space="preserve"> ($80,000 × 75%)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60,000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1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租金及差餉</w:t>
            </w:r>
            <w:r>
              <w:rPr>
                <w:color w:val="FF0000"/>
              </w:rPr>
              <w:t xml:space="preserve"> ($120,000 × 85%)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102,000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1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廠房及機器折舊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  <w:u w:val="single"/>
              </w:rPr>
              <w:t xml:space="preserve"> 15,000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rPr>
                <w:color w:val="FF0000"/>
              </w:rPr>
            </w:pP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  <w:u w:val="double"/>
              </w:rPr>
            </w:pPr>
            <w:r>
              <w:rPr>
                <w:color w:val="FF0000"/>
                <w:u w:val="double"/>
              </w:rPr>
              <w:t>567,000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  <w:u w:val="double"/>
              </w:rPr>
            </w:pPr>
          </w:p>
        </w:tc>
      </w:tr>
    </w:tbl>
    <w:p w:rsidR="00A7348D" w:rsidRDefault="00A7348D">
      <w:pPr>
        <w:tabs>
          <w:tab w:val="right" w:pos="9638"/>
        </w:tabs>
        <w:rPr>
          <w:color w:val="FF0000"/>
        </w:rPr>
      </w:pPr>
    </w:p>
    <w:p w:rsidR="00A7348D" w:rsidRDefault="00A7348D">
      <w:pPr>
        <w:tabs>
          <w:tab w:val="right" w:pos="9638"/>
        </w:tabs>
        <w:ind w:left="482"/>
        <w:rPr>
          <w:b/>
          <w:color w:val="FF0000"/>
        </w:rPr>
      </w:pPr>
      <w:r>
        <w:rPr>
          <w:color w:val="FF0000"/>
        </w:rPr>
        <w:t>(c)</w:t>
      </w:r>
    </w:p>
    <w:tbl>
      <w:tblPr>
        <w:tblW w:w="0" w:type="auto"/>
        <w:tblInd w:w="93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723"/>
        <w:gridCol w:w="1558"/>
        <w:gridCol w:w="454"/>
      </w:tblGrid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行政費用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$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電費及水費</w:t>
            </w:r>
            <w:r>
              <w:rPr>
                <w:color w:val="FF0000"/>
              </w:rPr>
              <w:t xml:space="preserve"> ($80,000 × 25%)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20,000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1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辦公室職員的薪金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214,000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租金及差餉</w:t>
            </w:r>
            <w:r>
              <w:rPr>
                <w:color w:val="FF0000"/>
              </w:rPr>
              <w:t xml:space="preserve"> ($120,000 × 15%)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18,000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1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辦公室設備折舊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 xml:space="preserve"> 8,000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銷售及管理費用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  <w:u w:val="single"/>
              </w:rPr>
              <w:t xml:space="preserve"> 16,000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rPr>
                <w:color w:val="FF0000"/>
              </w:rPr>
            </w:pP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  <w:u w:val="double"/>
              </w:rPr>
              <w:t>276,000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</w:tbl>
    <w:p w:rsidR="00A7348D" w:rsidRDefault="00A7348D">
      <w:r>
        <w:rPr>
          <w:color w:val="FF0000"/>
        </w:rPr>
        <w:t>:!:</w:t>
      </w:r>
      <w:r>
        <w:rPr>
          <w:color w:val="FF0000"/>
        </w:rPr>
        <w:tab/>
        <w:t>9</w:t>
      </w:r>
    </w:p>
    <w:sectPr w:rsidR="00A7348D" w:rsidSect="00A7348D">
      <w:pgSz w:w="11906" w:h="16838"/>
      <w:pgMar w:top="1134" w:right="1134" w:bottom="1134" w:left="1134" w:header="720" w:footer="720" w:gutter="0"/>
      <w:cols w:space="72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·s²Ó©úÅé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embedSystemFonts/>
  <w:stylePaneFormatFilter w:val="0000"/>
  <w:doNotTrackMoves/>
  <w:defaultTabStop w:val="48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348D"/>
    <w:rsid w:val="00A73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HeaderChar">
    <w:name w:val="Header Char"/>
    <w:basedOn w:val="DefaultParagraphFont1"/>
    <w:rPr>
      <w:rFonts w:cs="Times New Roman"/>
      <w:kern w:val="1"/>
      <w:sz w:val="24"/>
    </w:rPr>
  </w:style>
  <w:style w:type="character" w:customStyle="1" w:styleId="FooterChar">
    <w:name w:val="Footer Char"/>
    <w:basedOn w:val="DefaultParagraphFont1"/>
    <w:rPr>
      <w:rFonts w:cs="Times New Roman"/>
      <w:kern w:val="1"/>
      <w:sz w:val="24"/>
    </w:rPr>
  </w:style>
  <w:style w:type="paragraph" w:customStyle="1" w:styleId="a">
    <w:name w:val="標題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7348D"/>
    <w:rPr>
      <w:rFonts w:eastAsia="PMingLiU"/>
      <w:kern w:val="1"/>
      <w:sz w:val="24"/>
      <w:szCs w:val="24"/>
      <w:lang w:eastAsia="ar-SA"/>
    </w:rPr>
  </w:style>
  <w:style w:type="paragraph" w:styleId="List">
    <w:name w:val="List"/>
    <w:basedOn w:val="BodyText"/>
    <w:uiPriority w:val="99"/>
    <w:rPr>
      <w:rFonts w:cs="Mangal"/>
    </w:rPr>
  </w:style>
  <w:style w:type="paragraph" w:customStyle="1" w:styleId="a0">
    <w:name w:val="標籤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a1">
    <w:name w:val="目錄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1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A7348D"/>
    <w:rPr>
      <w:rFonts w:eastAsia="PMingLiU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1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A7348D"/>
    <w:rPr>
      <w:rFonts w:eastAsia="PMingLiU"/>
      <w:kern w:val="1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330</Words>
  <Characters>596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Pilot Publishing Company Ltd.</dc:creator>
  <cp:keywords/>
  <dc:description/>
  <cp:lastModifiedBy>choi</cp:lastModifiedBy>
  <cp:revision>1</cp:revision>
  <dcterms:created xsi:type="dcterms:W3CDTF">2016-08-25T20:29:00Z</dcterms:created>
  <dcterms:modified xsi:type="dcterms:W3CDTF">2016-08-25T22:35:00Z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Pilot Publishing Company Ltd.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