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62" w:rsidRDefault="00620B62">
      <w:pPr>
        <w:tabs>
          <w:tab w:val="right" w:pos="9638"/>
        </w:tabs>
        <w:rPr>
          <w:color w:val="000000"/>
        </w:rPr>
      </w:pPr>
      <w:r>
        <w:rPr>
          <w:color w:val="0000FF"/>
        </w:rPr>
        <w:t xml:space="preserve">{qno3}.   </w:t>
      </w:r>
      <w:r>
        <w:rPr>
          <w:rFonts w:hint="eastAsia"/>
          <w:color w:val="0000FF"/>
        </w:rPr>
        <w:t>混合成本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高低法</w:t>
      </w:r>
    </w:p>
    <w:p w:rsidR="00620B62" w:rsidRDefault="00620B62">
      <w:pPr>
        <w:ind w:left="482" w:hanging="482"/>
        <w:jc w:val="both"/>
        <w:rPr>
          <w:color w:val="000000"/>
        </w:rPr>
      </w:pPr>
      <w:r>
        <w:rPr>
          <w:color w:val="000000"/>
        </w:rPr>
        <w:t>:-:</w:t>
      </w:r>
      <w:r>
        <w:rPr>
          <w:rFonts w:hint="eastAsia"/>
          <w:color w:val="000000"/>
        </w:rPr>
        <w:t>下圖顯示嘉歷公司內成本甲的成本習性。</w:t>
      </w:r>
    </w:p>
    <w:p w:rsidR="00620B62" w:rsidRDefault="00620B62">
      <w:pPr>
        <w:tabs>
          <w:tab w:val="right" w:pos="9638"/>
        </w:tabs>
        <w:ind w:firstLine="31680"/>
        <w:rPr>
          <w:color w:val="000000"/>
        </w:rPr>
      </w:pPr>
    </w:p>
    <w:p w:rsidR="00620B62" w:rsidRDefault="00620B62">
      <w:pPr>
        <w:tabs>
          <w:tab w:val="right" w:pos="9638"/>
        </w:tabs>
        <w:ind w:left="482"/>
        <w:rPr>
          <w:color w:val="000000"/>
        </w:rPr>
      </w:pPr>
      <w:r>
        <w:rPr>
          <w:rFonts w:hint="eastAsia"/>
          <w:b/>
          <w:color w:val="000000"/>
        </w:rPr>
        <w:t>作業要求：</w:t>
      </w:r>
    </w:p>
    <w:p w:rsidR="00620B62" w:rsidRDefault="00620B62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  <w:color w:val="000000"/>
        </w:rPr>
        <w:t>解釋成本甲的特點。試舉出一個與成本甲有相同成本習性的例子。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{mark3_1}</w:t>
      </w:r>
      <w:r>
        <w:rPr>
          <w:rFonts w:hint="eastAsia"/>
          <w:color w:val="000000"/>
        </w:rPr>
        <w:t>分）</w:t>
      </w:r>
    </w:p>
    <w:p w:rsidR="00620B62" w:rsidRDefault="00620B62">
      <w:pPr>
        <w:ind w:left="964" w:hanging="482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rPr>
          <w:rFonts w:hint="eastAsia"/>
          <w:color w:val="000000"/>
        </w:rPr>
        <w:t>以下是成本甲在</w:t>
      </w:r>
      <w:r>
        <w:rPr>
          <w:color w:val="000000"/>
        </w:rPr>
        <w:t>20X1</w:t>
      </w:r>
      <w:r>
        <w:rPr>
          <w:rFonts w:hint="eastAsia"/>
          <w:color w:val="000000"/>
        </w:rPr>
        <w:t>年</w:t>
      </w:r>
      <w:r>
        <w:rPr>
          <w:color w:val="000000"/>
        </w:rPr>
        <w:t>7</w:t>
      </w:r>
      <w:r>
        <w:rPr>
          <w:rFonts w:hint="eastAsia"/>
          <w:color w:val="000000"/>
        </w:rPr>
        <w:t>月至</w:t>
      </w:r>
      <w:r>
        <w:rPr>
          <w:color w:val="000000"/>
        </w:rPr>
        <w:t>12</w:t>
      </w:r>
      <w:r>
        <w:rPr>
          <w:rFonts w:hint="eastAsia"/>
          <w:color w:val="000000"/>
        </w:rPr>
        <w:t>月的詳細資料：</w:t>
      </w:r>
    </w:p>
    <w:p w:rsidR="00620B62" w:rsidRDefault="00620B62">
      <w:pPr>
        <w:tabs>
          <w:tab w:val="right" w:pos="9638"/>
        </w:tabs>
        <w:ind w:firstLine="480"/>
        <w:rPr>
          <w:color w:val="000000"/>
        </w:rPr>
      </w:pP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259"/>
        <w:gridCol w:w="2268"/>
        <w:gridCol w:w="1702"/>
      </w:tblGrid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人工小時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15,000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29,000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14,000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27,700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12,500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25,750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15,500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29,650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19,800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35,240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17,000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31,600</w:t>
            </w:r>
          </w:p>
        </w:tc>
      </w:tr>
    </w:tbl>
    <w:p w:rsidR="00620B62" w:rsidRDefault="00620B62">
      <w:pPr>
        <w:tabs>
          <w:tab w:val="right" w:pos="9638"/>
        </w:tabs>
        <w:ind w:firstLine="480"/>
        <w:rPr>
          <w:color w:val="000000"/>
        </w:rPr>
      </w:pPr>
    </w:p>
    <w:p w:rsidR="00620B62" w:rsidRDefault="00620B62">
      <w:pPr>
        <w:tabs>
          <w:tab w:val="right" w:pos="9638"/>
        </w:tabs>
        <w:ind w:left="960"/>
        <w:rPr>
          <w:color w:val="FF0000"/>
        </w:rPr>
      </w:pPr>
      <w:r>
        <w:rPr>
          <w:rFonts w:hint="eastAsia"/>
          <w:color w:val="000000"/>
        </w:rPr>
        <w:t>已知</w:t>
      </w:r>
      <w:r>
        <w:rPr>
          <w:color w:val="000000"/>
        </w:rPr>
        <w:t>20X2</w:t>
      </w:r>
      <w:r>
        <w:rPr>
          <w:rFonts w:hint="eastAsia"/>
          <w:color w:val="000000"/>
        </w:rPr>
        <w:t>年</w:t>
      </w:r>
      <w:r>
        <w:rPr>
          <w:color w:val="000000"/>
        </w:rPr>
        <w:t>1</w:t>
      </w:r>
      <w:r>
        <w:rPr>
          <w:rFonts w:hint="eastAsia"/>
          <w:color w:val="000000"/>
        </w:rPr>
        <w:t>月的人工小時為</w:t>
      </w:r>
      <w:r>
        <w:rPr>
          <w:color w:val="000000"/>
        </w:rPr>
        <w:t>16,700</w:t>
      </w:r>
      <w:r>
        <w:rPr>
          <w:rFonts w:hint="eastAsia"/>
          <w:color w:val="000000"/>
        </w:rPr>
        <w:t>小時，計算成本甲在該月的預計總額。（</w:t>
      </w:r>
      <w:r>
        <w:rPr>
          <w:color w:val="000000"/>
        </w:rPr>
        <w:t>{mark3_2}</w:t>
      </w:r>
      <w:r>
        <w:rPr>
          <w:rFonts w:hint="eastAsia"/>
          <w:color w:val="000000"/>
        </w:rPr>
        <w:t>分）</w:t>
      </w:r>
    </w:p>
    <w:p w:rsidR="00620B62" w:rsidRDefault="00620B62">
      <w:pPr>
        <w:tabs>
          <w:tab w:val="left" w:pos="480"/>
          <w:tab w:val="right" w:pos="9638"/>
        </w:tabs>
        <w:spacing w:before="120"/>
        <w:ind w:left="31680" w:firstLine="31680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成本甲為混合成本。混合成本是指同時包含固定要素和變動要素的成本。混合成本的例子有電費，電費當中同時包含固定的基本費用，以及隨用電量而變動的費用。</w:t>
      </w:r>
      <w:r>
        <w:rPr>
          <w:color w:val="FF0000"/>
        </w:rPr>
        <w:br/>
      </w:r>
      <w:r>
        <w:rPr>
          <w:color w:val="FF0000"/>
        </w:rPr>
        <w:tab/>
        <w:t>(3)</w:t>
      </w:r>
    </w:p>
    <w:p w:rsidR="00620B62" w:rsidRDefault="00620B62">
      <w:pPr>
        <w:tabs>
          <w:tab w:val="right" w:pos="9638"/>
        </w:tabs>
        <w:ind w:left="480"/>
        <w:rPr>
          <w:color w:val="FF0000"/>
        </w:rPr>
      </w:pPr>
    </w:p>
    <w:p w:rsidR="00620B62" w:rsidRDefault="00620B62">
      <w:pPr>
        <w:tabs>
          <w:tab w:val="right" w:pos="9638"/>
        </w:tabs>
        <w:ind w:left="480"/>
        <w:rPr>
          <w:b/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592"/>
        <w:gridCol w:w="1318"/>
        <w:gridCol w:w="1319"/>
      </w:tblGrid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作業水平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人工小時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b/>
                <w:color w:val="FF0000"/>
              </w:rPr>
              <w:t>$</w:t>
            </w:r>
          </w:p>
        </w:tc>
      </w:tr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19,800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35,240</w:t>
            </w:r>
          </w:p>
        </w:tc>
      </w:tr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低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12,500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25,750</w:t>
            </w:r>
          </w:p>
        </w:tc>
      </w:tr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color w:val="FF0000"/>
                <w:u w:val="double"/>
              </w:rPr>
            </w:pPr>
            <w:r>
              <w:rPr>
                <w:rFonts w:hint="eastAsia"/>
                <w:color w:val="FF0000"/>
              </w:rPr>
              <w:t>差異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  <w:r>
              <w:rPr>
                <w:color w:val="FF0000"/>
                <w:u w:val="double"/>
              </w:rPr>
              <w:t xml:space="preserve"> 7,300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double"/>
              </w:rPr>
              <w:t xml:space="preserve"> 9,490</w:t>
            </w:r>
          </w:p>
        </w:tc>
      </w:tr>
    </w:tbl>
    <w:p w:rsidR="00620B62" w:rsidRDefault="00620B62">
      <w:pPr>
        <w:tabs>
          <w:tab w:val="right" w:pos="9638"/>
        </w:tabs>
        <w:ind w:left="480"/>
        <w:rPr>
          <w:color w:val="FF0000"/>
        </w:rPr>
      </w:pP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  <w:r>
        <w:rPr>
          <w:rFonts w:hint="eastAsia"/>
          <w:color w:val="FF0000"/>
        </w:rPr>
        <w:t>每人工小時的變動成本</w:t>
      </w:r>
      <w:r>
        <w:rPr>
          <w:color w:val="FF0000"/>
        </w:rPr>
        <w:t xml:space="preserve"> = $9,490 ÷ 7,300</w:t>
      </w:r>
    </w:p>
    <w:p w:rsidR="00620B62" w:rsidRDefault="00620B62">
      <w:pPr>
        <w:tabs>
          <w:tab w:val="right" w:pos="9638"/>
        </w:tabs>
        <w:ind w:left="3459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</w:rPr>
        <w:t>每人工小時</w:t>
      </w:r>
      <w:r>
        <w:rPr>
          <w:color w:val="FF0000"/>
        </w:rPr>
        <w:t>$1.3</w:t>
      </w:r>
      <w:r>
        <w:rPr>
          <w:color w:val="FF0000"/>
        </w:rPr>
        <w:tab/>
        <w:t>(2)</w:t>
      </w: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  <w:r>
        <w:rPr>
          <w:rFonts w:hint="eastAsia"/>
          <w:color w:val="FF0000"/>
        </w:rPr>
        <w:t>成本甲的固定成本部分</w:t>
      </w:r>
      <w:r>
        <w:rPr>
          <w:color w:val="FF0000"/>
        </w:rPr>
        <w:t xml:space="preserve"> = $35,240 − 19,800 × $1.3</w:t>
      </w:r>
    </w:p>
    <w:p w:rsidR="00620B62" w:rsidRDefault="00620B62">
      <w:pPr>
        <w:tabs>
          <w:tab w:val="right" w:pos="9638"/>
        </w:tabs>
        <w:ind w:left="2977" w:firstLine="482"/>
        <w:jc w:val="both"/>
        <w:rPr>
          <w:color w:val="FF0000"/>
        </w:rPr>
      </w:pPr>
      <w:r>
        <w:rPr>
          <w:color w:val="FF0000"/>
        </w:rPr>
        <w:t>= $9,500</w:t>
      </w:r>
      <w:r>
        <w:rPr>
          <w:color w:val="FF0000"/>
        </w:rPr>
        <w:tab/>
        <w:t>(1)</w:t>
      </w:r>
    </w:p>
    <w:p w:rsidR="00620B62" w:rsidRDefault="00620B62">
      <w:pPr>
        <w:tabs>
          <w:tab w:val="right" w:pos="9638"/>
        </w:tabs>
        <w:ind w:left="3362" w:firstLine="284"/>
        <w:jc w:val="both"/>
        <w:rPr>
          <w:color w:val="FF0000"/>
        </w:rPr>
      </w:pP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  <w:r>
        <w:rPr>
          <w:rFonts w:hint="eastAsia"/>
          <w:color w:val="FF0000"/>
        </w:rPr>
        <w:t>估計</w:t>
      </w:r>
      <w:r>
        <w:rPr>
          <w:color w:val="FF0000"/>
        </w:rPr>
        <w:t>20X2</w:t>
      </w:r>
      <w:r>
        <w:rPr>
          <w:rFonts w:hint="eastAsia"/>
          <w:color w:val="FF0000"/>
        </w:rPr>
        <w:t>年</w:t>
      </w:r>
      <w:r>
        <w:rPr>
          <w:color w:val="FF0000"/>
        </w:rPr>
        <w:t>1</w:t>
      </w:r>
      <w:r>
        <w:rPr>
          <w:rFonts w:hint="eastAsia"/>
          <w:color w:val="FF0000"/>
        </w:rPr>
        <w:t>月的成本甲</w:t>
      </w:r>
      <w:r>
        <w:rPr>
          <w:color w:val="FF0000"/>
        </w:rPr>
        <w:t xml:space="preserve"> = $9,500 + 16,700 × $1.3</w:t>
      </w:r>
    </w:p>
    <w:p w:rsidR="00620B62" w:rsidRDefault="00620B62">
      <w:pPr>
        <w:tabs>
          <w:tab w:val="right" w:pos="9638"/>
        </w:tabs>
        <w:ind w:left="3402" w:firstLine="480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$31,210</w:t>
      </w:r>
      <w:r>
        <w:rPr>
          <w:color w:val="FF0000"/>
        </w:rPr>
        <w:t xml:space="preserve"> </w:t>
      </w:r>
      <w:r>
        <w:rPr>
          <w:color w:val="FF0000"/>
        </w:rPr>
        <w:tab/>
        <w:t>(1)</w:t>
      </w:r>
    </w:p>
    <w:p w:rsidR="00620B62" w:rsidRDefault="00620B62">
      <w:r>
        <w:rPr>
          <w:color w:val="FF0000"/>
        </w:rPr>
        <w:t>:!:</w:t>
      </w:r>
      <w:r>
        <w:rPr>
          <w:color w:val="FF0000"/>
        </w:rPr>
        <w:tab/>
        <w:t>7</w:t>
      </w:r>
    </w:p>
    <w:sectPr w:rsidR="00620B62" w:rsidSect="00620B62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B62"/>
    <w:rsid w:val="00620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character" w:customStyle="1" w:styleId="FooterChar">
    <w:name w:val="Footer Char"/>
    <w:basedOn w:val="DefaultParagraphFont1"/>
    <w:rPr>
      <w:rFonts w:cs="Times New Roman"/>
      <w:kern w:val="1"/>
      <w:sz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0B62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20B62"/>
    <w:rPr>
      <w:rFonts w:eastAsia="PMingLiU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20B62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309</Words>
  <Characters>549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