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94" w:rsidRDefault="000E2494">
      <w:pPr>
        <w:tabs>
          <w:tab w:val="right" w:pos="9638"/>
        </w:tabs>
      </w:pPr>
      <w:r>
        <w:rPr>
          <w:color w:val="0000FF"/>
        </w:rPr>
        <w:t xml:space="preserve">{qno5}.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E2494" w:rsidRDefault="000E2494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深謀工業有限公司在過去六個月，對機器部門投入了以下生產間接成本。</w:t>
      </w:r>
    </w:p>
    <w:p w:rsidR="000E2494" w:rsidRDefault="000E2494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3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87"/>
        <w:gridCol w:w="2556"/>
        <w:gridCol w:w="2163"/>
      </w:tblGrid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132,000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4,100,000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125,000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4,000,000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170,000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4,900,000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110,000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3,700,000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4,380,000</w:t>
            </w:r>
          </w:p>
        </w:tc>
      </w:tr>
    </w:tbl>
    <w:p w:rsidR="000E2494" w:rsidRDefault="000E2494">
      <w:pPr>
        <w:tabs>
          <w:tab w:val="right" w:pos="9638"/>
        </w:tabs>
      </w:pPr>
    </w:p>
    <w:p w:rsidR="000E2494" w:rsidRDefault="000E2494">
      <w:pPr>
        <w:tabs>
          <w:tab w:val="right" w:pos="9638"/>
        </w:tabs>
        <w:ind w:left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0E2494" w:rsidRDefault="000E2494">
      <w:pPr>
        <w:tabs>
          <w:tab w:val="right" w:pos="9638"/>
        </w:tabs>
        <w:ind w:left="964" w:hanging="480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</w:rPr>
        <w:t>利用高低法，計算機器部門每月的固定生產間接成本，以及單位變動生產間接成本。</w:t>
      </w:r>
      <w:r>
        <w:br/>
      </w:r>
      <w: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{mark5_1}</w:t>
      </w:r>
      <w:r>
        <w:rPr>
          <w:rFonts w:hint="eastAsia"/>
          <w:color w:val="000000"/>
        </w:rPr>
        <w:t>分）</w:t>
      </w:r>
    </w:p>
    <w:p w:rsidR="000E2494" w:rsidRDefault="000E2494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t>7</w:t>
      </w:r>
      <w:r>
        <w:rPr>
          <w:rFonts w:hint="eastAsia"/>
        </w:rPr>
        <w:t>月的預計機器小時為</w:t>
      </w:r>
      <w:r>
        <w:t>180,000</w:t>
      </w:r>
      <w:r>
        <w:rPr>
          <w:rFonts w:hint="eastAsia"/>
        </w:rPr>
        <w:t>小時，計算機器部門</w:t>
      </w:r>
      <w:r>
        <w:t>7</w:t>
      </w:r>
      <w:r>
        <w:rPr>
          <w:rFonts w:hint="eastAsia"/>
        </w:rPr>
        <w:t>月的預計生產間接成本。</w:t>
      </w:r>
      <w:r>
        <w:br/>
      </w:r>
      <w:r>
        <w:rPr>
          <w:color w:val="000000"/>
        </w:rPr>
        <w:tab/>
      </w:r>
      <w:r>
        <w:rPr>
          <w:rFonts w:hint="eastAsia"/>
        </w:rPr>
        <w:t>（</w:t>
      </w:r>
      <w:r>
        <w:t>{mark5_2}</w:t>
      </w:r>
      <w:r>
        <w:rPr>
          <w:rFonts w:hint="eastAsia"/>
          <w:color w:val="000000"/>
        </w:rPr>
        <w:t>分）</w:t>
      </w:r>
    </w:p>
    <w:p w:rsidR="000E2494" w:rsidRDefault="000E2494">
      <w:pPr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單位變動生產間接成本</w:t>
      </w:r>
      <w:r>
        <w:rPr>
          <w:color w:val="FF0000"/>
        </w:rPr>
        <w:t xml:space="preserve"> = $(4,900,000 − 3,700,000) ÷ (170,000 − 110,000)</w:t>
      </w:r>
    </w:p>
    <w:p w:rsidR="000E2494" w:rsidRDefault="000E2494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$20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firstLine="454"/>
        <w:jc w:val="both"/>
        <w:rPr>
          <w:color w:val="FF0000"/>
        </w:rPr>
      </w:pP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每月的固定生產間接成本：</w:t>
      </w:r>
      <w:r>
        <w:rPr>
          <w:color w:val="FF0000"/>
        </w:rPr>
        <w:t xml:space="preserve"> 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$4,900,000 − $20 × 170,000 = </w:t>
      </w:r>
      <w:r>
        <w:rPr>
          <w:color w:val="FF0000"/>
          <w:u w:val="double"/>
        </w:rPr>
        <w:t>$1,500,000</w:t>
      </w:r>
      <w:r>
        <w:rPr>
          <w:color w:val="FF0000"/>
        </w:rPr>
        <w:t xml:space="preserve">  </w:t>
      </w:r>
      <w:r>
        <w:rPr>
          <w:rFonts w:hint="eastAsia"/>
          <w:i/>
          <w:color w:val="FF0000"/>
        </w:rPr>
        <w:t>或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$3,700,000 − $20 × 110,000 = </w:t>
      </w:r>
      <w:r>
        <w:rPr>
          <w:color w:val="FF0000"/>
          <w:u w:val="double"/>
        </w:rPr>
        <w:t>$1,500,000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0E2494" w:rsidRDefault="000E2494">
      <w:pPr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  <w:t>7</w:t>
      </w:r>
      <w:r>
        <w:rPr>
          <w:rFonts w:hint="eastAsia"/>
          <w:color w:val="FF0000"/>
        </w:rPr>
        <w:t>月的預計生產間接成本</w:t>
      </w:r>
      <w:r>
        <w:rPr>
          <w:color w:val="FF0000"/>
        </w:rPr>
        <w:t xml:space="preserve"> = $1,500,000 + $20 × 180,000</w:t>
      </w:r>
    </w:p>
    <w:p w:rsidR="000E2494" w:rsidRDefault="000E2494">
      <w:pPr>
        <w:tabs>
          <w:tab w:val="right" w:pos="9638"/>
        </w:tabs>
        <w:ind w:left="365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$5,100,000</w:t>
      </w:r>
      <w:r>
        <w:rPr>
          <w:color w:val="FF0000"/>
        </w:rPr>
        <w:tab/>
        <w:t>(2)</w:t>
      </w:r>
    </w:p>
    <w:p w:rsidR="000E2494" w:rsidRDefault="000E2494">
      <w:r>
        <w:rPr>
          <w:color w:val="FF0000"/>
        </w:rPr>
        <w:t>:!:</w:t>
      </w:r>
      <w:r>
        <w:rPr>
          <w:color w:val="FF0000"/>
        </w:rPr>
        <w:tab/>
        <w:t>6</w:t>
      </w:r>
    </w:p>
    <w:sectPr w:rsidR="000E2494" w:rsidSect="000E2494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2494"/>
    <w:rsid w:val="000E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2">
    <w:name w:val="Default Paragraph Font2"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character" w:customStyle="1" w:styleId="BodyTextChar">
    <w:name w:val="Body Text Char"/>
    <w:basedOn w:val="DefaultParagraphFont2"/>
    <w:rPr>
      <w:rFonts w:eastAsia="PMingLiU" w:cs="Times New Roman"/>
      <w:kern w:val="1"/>
      <w:sz w:val="24"/>
      <w:szCs w:val="24"/>
    </w:rPr>
  </w:style>
  <w:style w:type="character" w:customStyle="1" w:styleId="HeaderChar1">
    <w:name w:val="Header Char1"/>
    <w:basedOn w:val="DefaultParagraphFont2"/>
    <w:rPr>
      <w:rFonts w:eastAsia="PMingLiU" w:cs="Times New Roman"/>
      <w:kern w:val="1"/>
      <w:sz w:val="24"/>
      <w:szCs w:val="24"/>
    </w:rPr>
  </w:style>
  <w:style w:type="character" w:customStyle="1" w:styleId="FooterChar1">
    <w:name w:val="Footer Char1"/>
    <w:basedOn w:val="DefaultParagraphFont2"/>
    <w:rPr>
      <w:rFonts w:eastAsia="PMingLiU" w:cs="Times New Roman"/>
      <w:kern w:val="1"/>
      <w:sz w:val="24"/>
      <w:szCs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uiPriority w:val="99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2">
    <w:name w:val="Header Char2"/>
    <w:basedOn w:val="DefaultParagraphFont"/>
    <w:link w:val="Header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2">
    <w:name w:val="Footer Char2"/>
    <w:basedOn w:val="DefaultParagraphFont"/>
    <w:link w:val="Footer"/>
    <w:uiPriority w:val="99"/>
    <w:semiHidden/>
    <w:rsid w:val="000E2494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230</Words>
  <Characters>525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2016-08-26T00:29:00Z</dcterms:created>
  <dcterms:modified xsi:type="dcterms:W3CDTF">2016-08-26T02:35:00Z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