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AA3F" w14:textId="6FB30F1F" w:rsidR="00565F44" w:rsidRDefault="00565F44">
      <w:pPr>
        <w:pStyle w:val="Title"/>
        <w:spacing w:after="160"/>
        <w:jc w:val="center"/>
      </w:pPr>
      <w:r>
        <w:rPr>
          <w:noProof/>
        </w:rPr>
        <w:drawing>
          <wp:inline distT="0" distB="0" distL="0" distR="0" wp14:anchorId="4358091B" wp14:editId="2362196B">
            <wp:extent cx="1188720" cy="787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hg-health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8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69F8" w14:textId="77777777" w:rsidR="00565F44" w:rsidRDefault="00565F44">
      <w:pPr>
        <w:pStyle w:val="Title"/>
        <w:spacing w:after="160"/>
        <w:jc w:val="center"/>
      </w:pPr>
    </w:p>
    <w:p w14:paraId="3CAA7509" w14:textId="24C42B3D" w:rsidR="008A3D35" w:rsidRPr="00565F44" w:rsidRDefault="00000000" w:rsidP="00565F44">
      <w:pPr>
        <w:pStyle w:val="Title"/>
        <w:spacing w:before="160" w:after="80"/>
        <w:jc w:val="center"/>
      </w:pPr>
      <w:r w:rsidRPr="00565F44">
        <w:rPr>
          <w:b/>
          <w:bCs/>
        </w:rPr>
        <w:t>SIMTAC AI</w:t>
      </w:r>
      <w:r w:rsidR="00565F44">
        <w:rPr>
          <w:b/>
          <w:bCs/>
        </w:rPr>
        <w:br/>
      </w:r>
      <w:r w:rsidR="00565F44">
        <w:t>Technical Description</w:t>
      </w:r>
    </w:p>
    <w:p w14:paraId="793FE3E0" w14:textId="19AB7D91" w:rsidR="00565F44" w:rsidRPr="00565F44" w:rsidRDefault="00565F44" w:rsidP="00565F44">
      <w:pPr>
        <w:pStyle w:val="Subtitle"/>
        <w:spacing w:after="120"/>
        <w:jc w:val="center"/>
        <w:rPr>
          <w:i w:val="0"/>
          <w:iCs w:val="0"/>
          <w:color w:val="7F7F7F" w:themeColor="text1" w:themeTint="80"/>
        </w:rPr>
      </w:pPr>
      <w:r w:rsidRPr="00565F44">
        <w:rPr>
          <w:i w:val="0"/>
          <w:iCs w:val="0"/>
          <w:color w:val="7F7F7F" w:themeColor="text1" w:themeTint="80"/>
        </w:rPr>
        <w:t>SIMTAC AI</w:t>
      </w:r>
      <w:r w:rsidRPr="00565F44">
        <w:rPr>
          <w:i w:val="0"/>
          <w:iCs w:val="0"/>
          <w:color w:val="7F7F7F" w:themeColor="text1" w:themeTint="80"/>
        </w:rPr>
        <w:t xml:space="preserve"> | Group Clinical Education |Technical Handoff Overview</w:t>
      </w:r>
    </w:p>
    <w:p w14:paraId="23160F53" w14:textId="77777777" w:rsidR="00565F44" w:rsidRDefault="00565F44" w:rsidP="00565F44">
      <w:pPr>
        <w:spacing w:after="320"/>
        <w:jc w:val="center"/>
      </w:pPr>
      <w:r>
        <w:rPr>
          <w:color w:val="5E6F7E"/>
          <w:sz w:val="18"/>
        </w:rPr>
        <w:t>Technical description for engineering handoff and stakeholder dissemination | Prepared 2026-04-02</w:t>
      </w:r>
    </w:p>
    <w:p w14:paraId="039CAEC8" w14:textId="77777777" w:rsidR="00565F44" w:rsidRPr="00565F44" w:rsidRDefault="00565F44" w:rsidP="00565F44"/>
    <w:p w14:paraId="1CB0E0E3" w14:textId="77777777" w:rsidR="008A3D35" w:rsidRDefault="00000000">
      <w:pPr>
        <w:spacing w:after="160"/>
      </w:pPr>
      <w:r>
        <w:t>SIMTAC AI is a structured scenario-authoring workstation for clinical simulation teams creating SIMTAC-compliant medical and surgical training cases. What you would inherit is not a generic prompt wrapper or a free-form chatbot, but a guided authoring application built around a 15-section simulation worksheet, section-aware AI generation, scenario-flow editing, SimMan capability validation, Singapore-context defaults, medical image generation for appendices, and editable DOCX export for downstream review. The product is designed to help instructors move from a blank worksheet or a short clinical brief to an export-ready simulation package without losing manual control over the final content.</w:t>
      </w:r>
    </w:p>
    <w:p w14:paraId="48B0226E" w14:textId="77777777" w:rsidR="008A3D35" w:rsidRDefault="00000000">
      <w:pPr>
        <w:spacing w:after="160"/>
      </w:pPr>
      <w:r>
        <w:t>Technically, the application is a Next.js App Router project using React 19, TypeScript, Tailwind CSS 4, and server-side API routes rather than a separate backend service. The main user surface is a single scenario-builder workspace that persists draft state locally in the browser, while server responsibilities are concentrated in a small set of Node.js API routes for AI generation, section fill, image generation, DOCX export, site authentication, and knowledge-library administration. AI orchestration is built on the OpenAI SDK, using the Responses API for structured scenario generation, vector-store file search for retrieval grounding, and image generation/edit endpoints for appendix images. The core interface boundaries in practice are the React authoring client, the Zod-validated scenario schema layer, the Next.js route handlers, and the external OpenAI file/vector/image services.</w:t>
      </w:r>
    </w:p>
    <w:p w14:paraId="2825B81E" w14:textId="77777777" w:rsidR="008A3D35" w:rsidRDefault="00000000">
      <w:pPr>
        <w:spacing w:after="160"/>
      </w:pPr>
      <w:r>
        <w:t>From a handoff perspective, the repository is already closer to a domain-specific authoring tool than a proof-of-concept. It includes schema-driven validation, simulator-aware content guardrails, local draft persistence, password-gated site access, passcode-protected knowledge administration, route-level rate limiting, safe error redaction for Singapore identifiers and contact details, reference ingestion scripts, unit and integration tests, and Playwright coverage for key end-user flows. At the same time, the project deliberately avoids heavier infrastructure such as a relational database, user account model, or persistent analytics pipeline, which keeps deployment simple but also defines the main scaling and governance constraints future maintainers would need to address.</w:t>
      </w:r>
    </w:p>
    <w:p w14:paraId="4FA1CA91" w14:textId="184BA491" w:rsidR="008A3D35" w:rsidRDefault="008A3D35">
      <w:pPr>
        <w:spacing w:after="160"/>
      </w:pPr>
    </w:p>
    <w:p w14:paraId="11F34EB6" w14:textId="77777777" w:rsidR="00565F44" w:rsidRDefault="00565F44">
      <w:pPr>
        <w:spacing w:after="160"/>
      </w:pPr>
    </w:p>
    <w:p w14:paraId="536DFE2E" w14:textId="77777777" w:rsidR="00565F44" w:rsidRDefault="00565F44">
      <w:pPr>
        <w:spacing w:after="160"/>
      </w:pPr>
    </w:p>
    <w:p w14:paraId="1AD9BF11" w14:textId="77777777" w:rsidR="00565F44" w:rsidRDefault="00565F44">
      <w:pPr>
        <w:spacing w:after="160"/>
      </w:pPr>
    </w:p>
    <w:p w14:paraId="0A73F8CF" w14:textId="51A3F0A8" w:rsidR="00565F44" w:rsidRDefault="00565F44">
      <w:pPr>
        <w:spacing w:after="160"/>
      </w:pPr>
      <w:r>
        <w:lastRenderedPageBreak/>
        <w:t>Application Infrastructure Diagram</w:t>
      </w:r>
    </w:p>
    <w:p w14:paraId="5278B044" w14:textId="0A2A14C1" w:rsidR="00565F44" w:rsidRDefault="00565F44">
      <w:pPr>
        <w:spacing w:after="160"/>
      </w:pPr>
      <w:r w:rsidRPr="00565F44">
        <w:drawing>
          <wp:inline distT="0" distB="0" distL="0" distR="0" wp14:anchorId="0B6ADA27" wp14:editId="53C09D96">
            <wp:extent cx="6126480" cy="8038465"/>
            <wp:effectExtent l="0" t="0" r="0" b="635"/>
            <wp:docPr id="10839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8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0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F4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280264">
    <w:abstractNumId w:val="8"/>
  </w:num>
  <w:num w:numId="2" w16cid:durableId="924338913">
    <w:abstractNumId w:val="6"/>
  </w:num>
  <w:num w:numId="3" w16cid:durableId="200829178">
    <w:abstractNumId w:val="5"/>
  </w:num>
  <w:num w:numId="4" w16cid:durableId="692415205">
    <w:abstractNumId w:val="4"/>
  </w:num>
  <w:num w:numId="5" w16cid:durableId="264265573">
    <w:abstractNumId w:val="7"/>
  </w:num>
  <w:num w:numId="6" w16cid:durableId="301425944">
    <w:abstractNumId w:val="3"/>
  </w:num>
  <w:num w:numId="7" w16cid:durableId="293407200">
    <w:abstractNumId w:val="2"/>
  </w:num>
  <w:num w:numId="8" w16cid:durableId="561138509">
    <w:abstractNumId w:val="1"/>
  </w:num>
  <w:num w:numId="9" w16cid:durableId="160033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C43"/>
    <w:rsid w:val="0029639D"/>
    <w:rsid w:val="00326F90"/>
    <w:rsid w:val="00565F44"/>
    <w:rsid w:val="008A3D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61577"/>
  <w14:defaultImageDpi w14:val="300"/>
  <w15:docId w15:val="{0D42F566-AD45-F744-ACD6-9BCF5876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359</Words>
  <Characters>2264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Minyang Chow</cp:lastModifiedBy>
  <cp:revision>2</cp:revision>
  <dcterms:created xsi:type="dcterms:W3CDTF">2013-12-23T23:15:00Z</dcterms:created>
  <dcterms:modified xsi:type="dcterms:W3CDTF">2026-04-02T09:17:00Z</dcterms:modified>
  <cp:category/>
</cp:coreProperties>
</file>