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Zadanie 1: False Discovery </w:t>
      </w:r>
      <w:r w:rsidDel="00000000" w:rsidR="00000000" w:rsidRPr="00000000">
        <w:rPr>
          <w:rtl w:val="0"/>
        </w:rPr>
        <w:t xml:space="preserve">W danych symulujących 1000 szeregów czasowych poniżej około 4.5% trendów, wykrywanych przez test nachylenia regresji, raportowanych jest błędnie (przypadkowe p-value). Użyj korekty dla False Discovery Rate tak by wykryć trendy z błędem false-positive około 1% lub mniejszym, zademonstruj to w macierzy (confusion matrix). Skomentuj wyniki, czy redukcja “false positive” ma efekty uboczne?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stats.norm(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).rvs(size=(R,N))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np.linspace(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,N) + stats.norm(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).rvs(size=(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10% of trends are real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np.linspace(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pvals = np.array([stats.linregress(x,y).pvalue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Y])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extreme_id = pvals[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:].argmin()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plt.plot(x,Y[extreme_id],label=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'samples'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 = stats.linregress(x,Y[extreme_id])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plt.plot(x,x*res.slope+res.intercept,label=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trend by chance! Total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{(pvals&lt;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-0.1:.3f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false trends."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19363" cy="19312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93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161925</wp:posOffset>
            </wp:positionV>
            <wp:extent cx="2947512" cy="131647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512" cy="131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ConfusionMatrixDisplay, confusion_matrix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fig,axs = plt.subplots(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trend_predicted = pvals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trend_true = np.arange(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(pvals))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= 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 = confusion_matrix(trend_true, trend_predicted, normalize=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ConfusionMatrixDisplay(cm, display_labels=[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 trend'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]).plot(ax=axs[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],colorbar=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correction"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statsmodels.stats.multitest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multipletests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#FIXME: use multipletests to correct FDR values as in the notebook, pvals_corr = multipletests(...)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trend_predicted = pvals_corr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trend_true = np.arange(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(pvals))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= axs[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 = confusion_matrix(trend_true, trend_predicted, normalize=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ConfusionMatrixDisplay(cm, display_labels=[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 trend'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]).plot(ax=ax,colorbar=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"False Discovery Rate correction"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Zadanie 2: CI a siła testu</w:t>
      </w:r>
      <w:r w:rsidDel="00000000" w:rsidR="00000000" w:rsidRPr="00000000">
        <w:rPr>
          <w:rtl w:val="0"/>
        </w:rPr>
        <w:t xml:space="preserve"> Losujemy próbę wielkości N z rozkładu normalnego o nieznanej średniej &lt;mu&gt; i wariancji 1. Chcemy testować czy mu=0 (null) czy raczej |mu|&gt;=0.30 (alternatywa). Jak używając przedziału CI 95% dla średniej (patrz notebook 2) zbudować test dla którego oba błędy (typu I i typu II) są mniejsze niż 5%? Jakie N wystarczy?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Zadanie 3: Istotność vs efekt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Artykuł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Sample size, power and effect size revisited: simplified and practical approaches in pre-clinical, clinical and laboratory studies</w:t>
        </w:r>
      </w:hyperlink>
      <w:r w:rsidDel="00000000" w:rsidR="00000000" w:rsidRPr="00000000">
        <w:rPr>
          <w:rtl w:val="0"/>
        </w:rPr>
        <w:t xml:space="preserve"> traktuje o różnicy pomiędzy statystyczną istotnością wykazania różnicy (significance) a biznesową użytecznością odkrytej różnicy (impact, effect size). Na przykład, zmiana cholesterolu o co najmniej 0.5mmol/L może być uznana za godną uwagi w kontekście badań klinicznych.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descr="Significance vs effect size&#10;" id="4" name="image4.jpg"/>
            <a:graphic>
              <a:graphicData uri="http://schemas.openxmlformats.org/drawingml/2006/picture">
                <pic:pic>
                  <pic:nvPicPr>
                    <pic:cNvPr descr="Significance vs effect size&#10;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W badaniu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Changes in Blood Lipid Levels After a Digitally Enabled Cardiometabolic Preventive Health Program: Pre-Post Study in an Adult Dutch General Population Cohort</w:t>
        </w:r>
      </w:hyperlink>
      <w:r w:rsidDel="00000000" w:rsidR="00000000" w:rsidRPr="00000000">
        <w:rPr>
          <w:rtl w:val="0"/>
        </w:rPr>
        <w:t xml:space="preserve">” poniżej podano średni poziom cholesterolu wraz z odchyleniem standardowym (w formacie mean (sd)). Oszacuj 95% CI dla średniego poziomu cholesterolu obu grupach. Czy zachodzą istotne różnice pomiędzy grupami? Czy przekraczają 0.5 mmol / L (*można w uproszczeniu porównać na podstawie końców przedziałów)?</w:t>
        <w:br w:type="textWrapping"/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1515"/>
        <w:gridCol w:w="3150"/>
        <w:gridCol w:w="1200"/>
        <w:tblGridChange w:id="0">
          <w:tblGrid>
            <w:gridCol w:w="3150"/>
            <w:gridCol w:w="1515"/>
            <w:gridCol w:w="3150"/>
            <w:gridCol w:w="12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Baseline (N=348)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Cardiometabolic intervention (N=104)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P -value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Characteristic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Age (years), 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44.6 (11.1)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49.4 (9.0)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.02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Sex (female), n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195 (56.0%)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38 (36.5%)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.09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Weight (kg), 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77.2 (14.4)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83.5 (12.2)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.02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BMI (kg/m2), 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25.0 (4.7)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26.6 (2.9)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.01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Body fat percentage, 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24.9 (9.8)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26.7 (7.7)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.26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Total cholesterol level (mmol/L), mean (SD)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5.10 (1.06)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6.00 (1.01)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&lt;.001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Zadanie 4: Wizualizacja struktur</w:t>
      </w:r>
      <w:r w:rsidDel="00000000" w:rsidR="00000000" w:rsidRPr="00000000">
        <w:rPr>
          <w:rtl w:val="0"/>
        </w:rPr>
        <w:t xml:space="preserve">. Zademonstruj jak użyć metody UMAP do pokazania struktury klastrów w wybranych przez siebie danych (łatwo znaleźć na OpenML). Przykład: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#%pip install openml --quiet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#%pip install umap-learn --quiet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umap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openml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dataset from OpenML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openml.datasets.get_dataset(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'WineDataset'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an interesting dataset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X, y, _, _ = dataset.get_data(target=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figure out the right target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 UMAP for powerful dimension-reduction and visualization!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X_embed = umap.UMAP(random_state=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).fit_transform(X)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= sns.scatterplot(x=X_embed[:,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y=X_embed[:,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hue=y.astype(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each class gets its own color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fig.legend(title=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"wine 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for cool patterns!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3604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60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Zadanie 5 Hyperparameter Tunning </w:t>
      </w:r>
      <w:r w:rsidDel="00000000" w:rsidR="00000000" w:rsidRPr="00000000">
        <w:rPr>
          <w:rtl w:val="0"/>
        </w:rPr>
        <w:t xml:space="preserve">Exercise 15 z Notebooka 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ncbi.nlm.nih.gov/pmc/articles/PMC8987960/" TargetMode="Externa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www.ncbi.nlm.nih.gov/pmc/articles/PMC774516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