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075F6E"/>
          <w:sz w:val="48"/>
          <w:szCs w:val="48"/>
        </w:rPr>
        <w:t xml:space="preserve">MedRecord</w:t>
      </w:r>
    </w:p>
    <w:p>
      <w:pPr>
        <w:spacing w:after="80"/>
        <w:jc w:val="center"/>
      </w:pPr>
      <w:r>
        <w:rPr>
          <w:b/>
          <w:bCs/>
          <w:color w:val="374151"/>
          <w:sz w:val="36"/>
          <w:szCs w:val="36"/>
        </w:rPr>
        <w:t xml:space="preserve">Privacy Policy</w:t>
      </w:r>
    </w:p>
    <w:p>
      <w:pPr>
        <w:spacing w:after="60"/>
        <w:jc w:val="center"/>
      </w:pPr>
      <w:r>
        <w:rPr>
          <w:i/>
          <w:iCs/>
          <w:color w:val="6B7280"/>
          <w:sz w:val="22"/>
          <w:szCs w:val="22"/>
        </w:rPr>
        <w:t xml:space="preserve">Effective Date: June 2, 2026</w:t>
      </w:r>
    </w:p>
    <w:p>
      <w:pPr>
        <w:spacing w:after="200"/>
        <w:jc w:val="center"/>
      </w:pPr>
      <w:r>
        <w:rPr>
          <w:i/>
          <w:iCs/>
          <w:color w:val="6B7280"/>
          <w:sz w:val="22"/>
          <w:szCs w:val="22"/>
        </w:rPr>
        <w:t xml:space="preserve">Last Updated: June 2, 2026</w:t>
      </w:r>
    </w:p>
    <w:p>
      <w:pPr>
        <w:pBdr>
          <w:bottom w:val="single" w:color="0B8FAC" w:sz="6" w:space="6"/>
        </w:pBdr>
        <w:spacing w:after="200" w:before="200"/>
      </w:pPr>
    </w:p>
    <w:p>
      <w:pPr>
        <w:pStyle w:val="Heading2"/>
        <w:spacing w:after="120" w:before="220"/>
      </w:pPr>
      <w:r>
        <w:rPr>
          <w:b/>
          <w:bCs/>
          <w:color w:val="374151"/>
          <w:sz w:val="26"/>
          <w:szCs w:val="26"/>
        </w:rPr>
        <w:t xml:space="preserve">Plain Language Summary</w:t>
      </w:r>
    </w:p>
    <w:p>
      <w:pPr>
        <w:spacing w:after="140"/>
      </w:pPr>
      <w:r>
        <w:rPr>
          <w:sz w:val="22"/>
          <w:szCs w:val="22"/>
        </w:rPr>
        <w:t xml:space="preserve">MedRecord helps Indian families manage health records together. We take your privacy seriously. Here's what you should know in plain language:</w:t>
      </w:r>
    </w:p>
    <w:p>
      <w:pPr>
        <w:pStyle w:val="ListParagraph"/>
        <w:numPr>
          <w:ilvl w:val="0"/>
          <w:numId w:val="2"/>
        </w:numPr>
        <w:spacing w:after="80"/>
      </w:pPr>
      <w:r>
        <w:rPr>
          <w:sz w:val="22"/>
          <w:szCs w:val="22"/>
        </w:rPr>
        <w:t xml:space="preserve">We collect only what's necessary to provide the service — your phone number, family member info, and health records you upload.</w:t>
      </w:r>
    </w:p>
    <w:p>
      <w:pPr>
        <w:pStyle w:val="ListParagraph"/>
        <w:numPr>
          <w:ilvl w:val="0"/>
          <w:numId w:val="2"/>
        </w:numPr>
        <w:spacing w:after="80"/>
      </w:pPr>
      <w:r>
        <w:rPr>
          <w:sz w:val="22"/>
          <w:szCs w:val="22"/>
        </w:rPr>
        <w:t xml:space="preserve">Your health records are encrypted and stored securely in Indian data centres.</w:t>
      </w:r>
    </w:p>
    <w:p>
      <w:pPr>
        <w:pStyle w:val="ListParagraph"/>
        <w:numPr>
          <w:ilvl w:val="0"/>
          <w:numId w:val="2"/>
        </w:numPr>
        <w:spacing w:after="80"/>
      </w:pPr>
      <w:r>
        <w:rPr>
          <w:sz w:val="22"/>
          <w:szCs w:val="22"/>
        </w:rPr>
        <w:t xml:space="preserve">We do NOT sell your data. Ever.</w:t>
      </w:r>
    </w:p>
    <w:p>
      <w:pPr>
        <w:pStyle w:val="ListParagraph"/>
        <w:numPr>
          <w:ilvl w:val="0"/>
          <w:numId w:val="2"/>
        </w:numPr>
        <w:spacing w:after="80"/>
      </w:pPr>
      <w:r>
        <w:rPr>
          <w:sz w:val="22"/>
          <w:szCs w:val="22"/>
        </w:rPr>
        <w:t xml:space="preserve">We do NOT use your health data to train AI models without your explicit consent.</w:t>
      </w:r>
    </w:p>
    <w:p>
      <w:pPr>
        <w:pStyle w:val="ListParagraph"/>
        <w:numPr>
          <w:ilvl w:val="0"/>
          <w:numId w:val="2"/>
        </w:numPr>
        <w:spacing w:after="80"/>
      </w:pPr>
      <w:r>
        <w:rPr>
          <w:sz w:val="22"/>
          <w:szCs w:val="22"/>
        </w:rPr>
        <w:t xml:space="preserve">You decide who in your family can see what — and you can revoke access anytime.</w:t>
      </w:r>
    </w:p>
    <w:p>
      <w:pPr>
        <w:pStyle w:val="ListParagraph"/>
        <w:numPr>
          <w:ilvl w:val="0"/>
          <w:numId w:val="2"/>
        </w:numPr>
        <w:spacing w:after="80"/>
      </w:pPr>
      <w:r>
        <w:rPr>
          <w:sz w:val="22"/>
          <w:szCs w:val="22"/>
        </w:rPr>
        <w:t xml:space="preserve">You can export or delete all your data at any time, and we will comply within 30 days.</w:t>
      </w:r>
    </w:p>
    <w:p>
      <w:pPr>
        <w:pStyle w:val="ListParagraph"/>
        <w:numPr>
          <w:ilvl w:val="0"/>
          <w:numId w:val="2"/>
        </w:numPr>
        <w:spacing w:after="80"/>
      </w:pPr>
      <w:r>
        <w:rPr>
          <w:sz w:val="22"/>
          <w:szCs w:val="22"/>
        </w:rPr>
        <w:t xml:space="preserve">Detailed legal text follows below. If anything is unclear, email us at chpavani@gmail.com.</w:t>
      </w:r>
    </w:p>
    <w:p>
      <w:pPr>
        <w:spacing w:after="100"/>
      </w:pPr>
      <w:r>
        <w:t xml:space="preserve"> </w:t>
      </w:r>
    </w:p>
    <w:p>
      <w:pPr>
        <w:pBdr>
          <w:bottom w:val="single" w:color="0B8FAC" w:sz="6" w:space="6"/>
        </w:pBdr>
        <w:spacing w:after="200" w:before="200"/>
      </w:pPr>
    </w:p>
    <w:p>
      <w:pPr>
        <w:pStyle w:val="Heading1"/>
        <w:spacing w:after="160" w:before="280"/>
      </w:pPr>
      <w:r>
        <w:rPr>
          <w:b/>
          <w:bCs/>
          <w:color w:val="075F6E"/>
          <w:sz w:val="32"/>
          <w:szCs w:val="32"/>
        </w:rPr>
        <w:t xml:space="preserve">1. Introduction</w:t>
      </w:r>
    </w:p>
    <w:p>
      <w:pPr>
        <w:spacing w:after="140"/>
      </w:pPr>
      <w:r>
        <w:rPr>
          <w:sz w:val="22"/>
          <w:szCs w:val="22"/>
        </w:rPr>
        <w:t xml:space="preserve">This Privacy Policy describes how </w:t>
      </w:r>
      <w:r>
        <w:rPr>
          <w:b/>
          <w:bCs/>
          <w:sz w:val="22"/>
          <w:szCs w:val="22"/>
        </w:rPr>
        <w:t xml:space="preserve">ACCUSAGA INFORMATICS PRIVATE LIMITED</w:t>
      </w:r>
      <w:r>
        <w:rPr>
          <w:sz w:val="22"/>
          <w:szCs w:val="22"/>
        </w:rPr>
        <w:t xml:space="preserve"> ("Accusaga", "we", "our", or "us") collects, uses, stores, shares, and protects your information when you use the MedRecord mobile application and related services (collectively, the "Service").</w:t>
      </w:r>
    </w:p>
    <w:p>
      <w:pPr>
        <w:spacing w:after="140"/>
      </w:pPr>
      <w:r>
        <w:rPr>
          <w:sz w:val="22"/>
          <w:szCs w:val="22"/>
        </w:rPr>
        <w:t xml:space="preserve">By using MedRecord, you consent to the practices described in this Policy. If you do not agree with this Policy, please do not use the Service.</w:t>
      </w:r>
    </w:p>
    <w:p>
      <w:pPr>
        <w:spacing w:after="140"/>
      </w:pPr>
      <w:r>
        <w:rPr>
          <w:sz w:val="22"/>
          <w:szCs w:val="22"/>
        </w:rPr>
        <w:t xml:space="preserve">This Policy complies with:</w:t>
      </w:r>
    </w:p>
    <w:p>
      <w:pPr>
        <w:pStyle w:val="ListParagraph"/>
        <w:numPr>
          <w:ilvl w:val="0"/>
          <w:numId w:val="2"/>
        </w:numPr>
        <w:spacing w:after="80"/>
      </w:pPr>
      <w:r>
        <w:rPr>
          <w:sz w:val="22"/>
          <w:szCs w:val="22"/>
        </w:rPr>
        <w:t xml:space="preserve">India's Digital Personal Data Protection Act, 2023 ("DPDP Act")</w:t>
      </w:r>
    </w:p>
    <w:p>
      <w:pPr>
        <w:pStyle w:val="ListParagraph"/>
        <w:numPr>
          <w:ilvl w:val="0"/>
          <w:numId w:val="2"/>
        </w:numPr>
        <w:spacing w:after="80"/>
      </w:pPr>
      <w:r>
        <w:rPr>
          <w:sz w:val="22"/>
          <w:szCs w:val="22"/>
        </w:rPr>
        <w:t xml:space="preserve">The Information Technology Act, 2000 and Information Technology (Reasonable Security Practices and Procedures and Sensitive Personal Data or Information) Rules, 2011 ("SPDI Rules")</w:t>
      </w:r>
    </w:p>
    <w:p>
      <w:pPr>
        <w:pStyle w:val="ListParagraph"/>
        <w:numPr>
          <w:ilvl w:val="0"/>
          <w:numId w:val="2"/>
        </w:numPr>
        <w:spacing w:after="80"/>
      </w:pPr>
      <w:r>
        <w:rPr>
          <w:sz w:val="22"/>
          <w:szCs w:val="22"/>
        </w:rPr>
        <w:t xml:space="preserve">General principles of the U.S. Health Insurance Portability and Accountability Act ("HIPAA")</w:t>
      </w:r>
    </w:p>
    <w:p>
      <w:pPr>
        <w:pStyle w:val="ListParagraph"/>
        <w:numPr>
          <w:ilvl w:val="0"/>
          <w:numId w:val="2"/>
        </w:numPr>
        <w:spacing w:after="80"/>
      </w:pPr>
      <w:r>
        <w:rPr>
          <w:sz w:val="22"/>
          <w:szCs w:val="22"/>
        </w:rPr>
        <w:t xml:space="preserve">Principles aligned with the EU General Data Protection Regulation ("GDPR")</w:t>
      </w:r>
    </w:p>
    <w:p>
      <w:pPr>
        <w:spacing w:after="100"/>
      </w:pPr>
      <w:r>
        <w:t xml:space="preserve"> </w:t>
      </w:r>
    </w:p>
    <w:p>
      <w:pPr>
        <w:pStyle w:val="Heading1"/>
        <w:spacing w:after="160" w:before="280"/>
      </w:pPr>
      <w:r>
        <w:rPr>
          <w:b/>
          <w:bCs/>
          <w:color w:val="075F6E"/>
          <w:sz w:val="32"/>
          <w:szCs w:val="32"/>
        </w:rPr>
        <w:t xml:space="preserve">2. About Us</w:t>
      </w:r>
    </w:p>
    <w:p>
      <w:pPr>
        <w:spacing w:after="140"/>
      </w:pPr>
      <w:r>
        <w:rPr>
          <w:sz w:val="22"/>
          <w:szCs w:val="22"/>
        </w:rPr>
        <w:t xml:space="preserve">The MedRecord application is owned and operated by: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1D5DB" w:sz="4"/>
              <w:left w:val="single" w:color="D1D5DB" w:sz="4"/>
              <w:bottom w:val="single" w:color="D1D5DB" w:sz="4"/>
              <w:right w:val="single" w:color="D1D5DB" w:sz="4"/>
            </w:tcBorders>
            <w:shd w:fill="E0F2F5" w:val="clear"/>
            <w:tcMar>
              <w:top w:type="dxa" w:w="100"/>
              <w:left w:type="dxa" w:w="140"/>
              <w:bottom w:type="dxa" w:w="100"/>
              <w:right w:type="dxa" w:w="140"/>
            </w:tcMar>
          </w:tcPr>
          <w:p>
            <w:r>
              <w:rPr>
                <w:b/>
                <w:bCs/>
                <w:sz w:val="20"/>
                <w:szCs w:val="20"/>
              </w:rPr>
              <w:t xml:space="preserve">Company name</w:t>
            </w:r>
          </w:p>
        </w:tc>
        <w:tc>
          <w:tcPr>
            <w:tcW w:type="dxa" w:w="6360"/>
            <w:tcBorders>
              <w:top w:val="single" w:color="D1D5DB" w:sz="4"/>
              <w:left w:val="single" w:color="D1D5DB" w:sz="4"/>
              <w:bottom w:val="single" w:color="D1D5DB" w:sz="4"/>
              <w:right w:val="single" w:color="D1D5DB" w:sz="4"/>
            </w:tcBorders>
            <w:shd w:fill="E0F2F5" w:val="clear"/>
            <w:tcMar>
              <w:top w:type="dxa" w:w="100"/>
              <w:left w:type="dxa" w:w="140"/>
              <w:bottom w:type="dxa" w:w="100"/>
              <w:right w:type="dxa" w:w="140"/>
            </w:tcMar>
          </w:tcPr>
          <w:p>
            <w:r>
              <w:rPr>
                <w:b/>
                <w:bCs/>
                <w:sz w:val="20"/>
                <w:szCs w:val="20"/>
              </w:rPr>
              <w:t xml:space="preserve">ACCUSAGA INFORMATICS PRIVATE LIMITED</w:t>
            </w:r>
          </w:p>
        </w:tc>
      </w:tr>
      <w:tr>
        <w:tc>
          <w:tcPr>
            <w:tcW w:type="dxa" w:w="3000"/>
            <w:tcBorders>
              <w:top w:val="single" w:color="D1D5DB" w:sz="4"/>
              <w:left w:val="single" w:color="D1D5DB" w:sz="4"/>
              <w:bottom w:val="single" w:color="D1D5DB" w:sz="4"/>
              <w:right w:val="single" w:color="D1D5DB" w:sz="4"/>
            </w:tcBorders>
            <w:tcMar>
              <w:top w:type="dxa" w:w="100"/>
              <w:left w:type="dxa" w:w="140"/>
              <w:bottom w:type="dxa" w:w="100"/>
              <w:right w:type="dxa" w:w="140"/>
            </w:tcMar>
          </w:tcPr>
          <w:p>
            <w:r>
              <w:rPr>
                <w:b w:val="false"/>
                <w:bCs w:val="false"/>
                <w:sz w:val="20"/>
                <w:szCs w:val="20"/>
              </w:rPr>
              <w:t xml:space="preserve">Registered office</w:t>
            </w:r>
          </w:p>
        </w:tc>
        <w:tc>
          <w:tcPr>
            <w:tcW w:type="dxa" w:w="6360"/>
            <w:tcBorders>
              <w:top w:val="single" w:color="D1D5DB" w:sz="4"/>
              <w:left w:val="single" w:color="D1D5DB" w:sz="4"/>
              <w:bottom w:val="single" w:color="D1D5DB" w:sz="4"/>
              <w:right w:val="single" w:color="D1D5DB" w:sz="4"/>
            </w:tcBorders>
            <w:tcMar>
              <w:top w:type="dxa" w:w="100"/>
              <w:left w:type="dxa" w:w="140"/>
              <w:bottom w:type="dxa" w:w="100"/>
              <w:right w:type="dxa" w:w="140"/>
            </w:tcMar>
          </w:tcPr>
          <w:p>
            <w:r>
              <w:rPr>
                <w:b w:val="false"/>
                <w:bCs w:val="false"/>
                <w:sz w:val="20"/>
                <w:szCs w:val="20"/>
              </w:rPr>
              <w:t xml:space="preserve">2nd Floor, Uptown Cyberabad Building, 100 ft Road, Madhapur, Hyderabad, Telangana, India</w:t>
            </w:r>
          </w:p>
        </w:tc>
      </w:tr>
      <w:tr>
        <w:tc>
          <w:tcPr>
            <w:tcW w:type="dxa" w:w="3000"/>
            <w:tcBorders>
              <w:top w:val="single" w:color="D1D5DB" w:sz="4"/>
              <w:left w:val="single" w:color="D1D5DB" w:sz="4"/>
              <w:bottom w:val="single" w:color="D1D5DB" w:sz="4"/>
              <w:right w:val="single" w:color="D1D5DB" w:sz="4"/>
            </w:tcBorders>
            <w:tcMar>
              <w:top w:type="dxa" w:w="100"/>
              <w:left w:type="dxa" w:w="140"/>
              <w:bottom w:type="dxa" w:w="100"/>
              <w:right w:type="dxa" w:w="140"/>
            </w:tcMar>
          </w:tcPr>
          <w:p>
            <w:r>
              <w:rPr>
                <w:b w:val="false"/>
                <w:bCs w:val="false"/>
                <w:sz w:val="20"/>
                <w:szCs w:val="20"/>
              </w:rPr>
              <w:t xml:space="preserve">Jurisdiction</w:t>
            </w:r>
          </w:p>
        </w:tc>
        <w:tc>
          <w:tcPr>
            <w:tcW w:type="dxa" w:w="6360"/>
            <w:tcBorders>
              <w:top w:val="single" w:color="D1D5DB" w:sz="4"/>
              <w:left w:val="single" w:color="D1D5DB" w:sz="4"/>
              <w:bottom w:val="single" w:color="D1D5DB" w:sz="4"/>
              <w:right w:val="single" w:color="D1D5DB" w:sz="4"/>
            </w:tcBorders>
            <w:tcMar>
              <w:top w:type="dxa" w:w="100"/>
              <w:left w:type="dxa" w:w="140"/>
              <w:bottom w:type="dxa" w:w="100"/>
              <w:right w:type="dxa" w:w="140"/>
            </w:tcMar>
          </w:tcPr>
          <w:p>
            <w:r>
              <w:rPr>
                <w:b w:val="false"/>
                <w:bCs w:val="false"/>
                <w:sz w:val="20"/>
                <w:szCs w:val="20"/>
              </w:rPr>
              <w:t xml:space="preserve">India (registered) with operations supporting users in India and abroad, including NRIs</w:t>
            </w:r>
          </w:p>
        </w:tc>
      </w:tr>
      <w:tr>
        <w:tc>
          <w:tcPr>
            <w:tcW w:type="dxa" w:w="3000"/>
            <w:tcBorders>
              <w:top w:val="single" w:color="D1D5DB" w:sz="4"/>
              <w:left w:val="single" w:color="D1D5DB" w:sz="4"/>
              <w:bottom w:val="single" w:color="D1D5DB" w:sz="4"/>
              <w:right w:val="single" w:color="D1D5DB" w:sz="4"/>
            </w:tcBorders>
            <w:tcMar>
              <w:top w:type="dxa" w:w="100"/>
              <w:left w:type="dxa" w:w="140"/>
              <w:bottom w:type="dxa" w:w="100"/>
              <w:right w:type="dxa" w:w="140"/>
            </w:tcMar>
          </w:tcPr>
          <w:p>
            <w:r>
              <w:rPr>
                <w:b w:val="false"/>
                <w:bCs w:val="false"/>
                <w:sz w:val="20"/>
                <w:szCs w:val="20"/>
              </w:rPr>
              <w:t xml:space="preserve">Contact email</w:t>
            </w:r>
          </w:p>
        </w:tc>
        <w:tc>
          <w:tcPr>
            <w:tcW w:type="dxa" w:w="6360"/>
            <w:tcBorders>
              <w:top w:val="single" w:color="D1D5DB" w:sz="4"/>
              <w:left w:val="single" w:color="D1D5DB" w:sz="4"/>
              <w:bottom w:val="single" w:color="D1D5DB" w:sz="4"/>
              <w:right w:val="single" w:color="D1D5DB" w:sz="4"/>
            </w:tcBorders>
            <w:tcMar>
              <w:top w:type="dxa" w:w="100"/>
              <w:left w:type="dxa" w:w="140"/>
              <w:bottom w:type="dxa" w:w="100"/>
              <w:right w:type="dxa" w:w="140"/>
            </w:tcMar>
          </w:tcPr>
          <w:p>
            <w:r>
              <w:rPr>
                <w:b w:val="false"/>
                <w:bCs w:val="false"/>
                <w:sz w:val="20"/>
                <w:szCs w:val="20"/>
              </w:rPr>
              <w:t xml:space="preserve">chpavani@gmail.com</w:t>
            </w:r>
          </w:p>
        </w:tc>
      </w:tr>
      <w:tr>
        <w:tc>
          <w:tcPr>
            <w:tcW w:type="dxa" w:w="3000"/>
            <w:tcBorders>
              <w:top w:val="single" w:color="D1D5DB" w:sz="4"/>
              <w:left w:val="single" w:color="D1D5DB" w:sz="4"/>
              <w:bottom w:val="single" w:color="D1D5DB" w:sz="4"/>
              <w:right w:val="single" w:color="D1D5DB" w:sz="4"/>
            </w:tcBorders>
            <w:tcMar>
              <w:top w:type="dxa" w:w="100"/>
              <w:left w:type="dxa" w:w="140"/>
              <w:bottom w:type="dxa" w:w="100"/>
              <w:right w:type="dxa" w:w="140"/>
            </w:tcMar>
          </w:tcPr>
          <w:p>
            <w:r>
              <w:rPr>
                <w:b w:val="false"/>
                <w:bCs w:val="false"/>
                <w:sz w:val="20"/>
                <w:szCs w:val="20"/>
              </w:rPr>
              <w:t xml:space="preserve">Service</w:t>
            </w:r>
          </w:p>
        </w:tc>
        <w:tc>
          <w:tcPr>
            <w:tcW w:type="dxa" w:w="6360"/>
            <w:tcBorders>
              <w:top w:val="single" w:color="D1D5DB" w:sz="4"/>
              <w:left w:val="single" w:color="D1D5DB" w:sz="4"/>
              <w:bottom w:val="single" w:color="D1D5DB" w:sz="4"/>
              <w:right w:val="single" w:color="D1D5DB" w:sz="4"/>
            </w:tcBorders>
            <w:tcMar>
              <w:top w:type="dxa" w:w="100"/>
              <w:left w:type="dxa" w:w="140"/>
              <w:bottom w:type="dxa" w:w="100"/>
              <w:right w:type="dxa" w:w="140"/>
            </w:tcMar>
          </w:tcPr>
          <w:p>
            <w:r>
              <w:rPr>
                <w:b w:val="false"/>
                <w:bCs w:val="false"/>
                <w:sz w:val="20"/>
                <w:szCs w:val="20"/>
              </w:rPr>
              <w:t xml:space="preserve">MedRecord — a family health records management mobile application</w:t>
            </w:r>
          </w:p>
        </w:tc>
      </w:tr>
    </w:tbl>
    <w:p>
      <w:pPr>
        <w:spacing w:after="100"/>
      </w:pPr>
      <w:r>
        <w:t xml:space="preserve"> </w:t>
      </w:r>
    </w:p>
    <w:p>
      <w:pPr>
        <w:pStyle w:val="Heading1"/>
        <w:spacing w:after="160" w:before="280"/>
      </w:pPr>
      <w:r>
        <w:rPr>
          <w:b/>
          <w:bCs/>
          <w:color w:val="075F6E"/>
          <w:sz w:val="32"/>
          <w:szCs w:val="32"/>
        </w:rPr>
        <w:t xml:space="preserve">3. Information We Collect</w:t>
      </w:r>
    </w:p>
    <w:p>
      <w:pPr>
        <w:spacing w:after="140"/>
      </w:pPr>
      <w:r>
        <w:rPr>
          <w:sz w:val="22"/>
          <w:szCs w:val="22"/>
        </w:rPr>
        <w:t xml:space="preserve">We collect only the information necessary to provide and improve the Service. This section describes what we collect and why.</w:t>
      </w:r>
    </w:p>
    <w:p>
      <w:pPr>
        <w:pStyle w:val="Heading2"/>
        <w:spacing w:after="120" w:before="220"/>
      </w:pPr>
      <w:r>
        <w:rPr>
          <w:b/>
          <w:bCs/>
          <w:color w:val="374151"/>
          <w:sz w:val="26"/>
          <w:szCs w:val="26"/>
        </w:rPr>
        <w:t xml:space="preserve">3.1 Information you provide directly</w:t>
      </w:r>
    </w:p>
    <w:p>
      <w:pPr>
        <w:spacing w:after="140"/>
      </w:pPr>
      <w:r>
        <w:rPr>
          <w:sz w:val="22"/>
          <w:szCs w:val="22"/>
        </w:rPr>
        <w:t xml:space="preserve">When you sign up and use MedRecord, you provide:</w:t>
      </w:r>
    </w:p>
    <w:p>
      <w:pPr>
        <w:pStyle w:val="ListParagraph"/>
        <w:numPr>
          <w:ilvl w:val="0"/>
          <w:numId w:val="2"/>
        </w:numPr>
        <w:spacing w:after="80"/>
      </w:pPr>
      <w:r>
        <w:rPr>
          <w:sz w:val="22"/>
          <w:szCs w:val="22"/>
        </w:rPr>
        <w:t xml:space="preserve">Phone number — used for one-time-password (OTP) authentication. We do not store passwords.</w:t>
      </w:r>
    </w:p>
    <w:p>
      <w:pPr>
        <w:pStyle w:val="ListParagraph"/>
        <w:numPr>
          <w:ilvl w:val="0"/>
          <w:numId w:val="2"/>
        </w:numPr>
        <w:spacing w:after="80"/>
      </w:pPr>
      <w:r>
        <w:rPr>
          <w:sz w:val="22"/>
          <w:szCs w:val="22"/>
        </w:rPr>
        <w:t xml:space="preserve">Display name — shown within the app and to family members you share records with.</w:t>
      </w:r>
    </w:p>
    <w:p>
      <w:pPr>
        <w:pStyle w:val="ListParagraph"/>
        <w:numPr>
          <w:ilvl w:val="0"/>
          <w:numId w:val="2"/>
        </w:numPr>
        <w:spacing w:after="80"/>
      </w:pPr>
      <w:r>
        <w:rPr>
          <w:sz w:val="22"/>
          <w:szCs w:val="22"/>
        </w:rPr>
        <w:t xml:space="preserve">Family member details — names, relationship to you, age, gender, location, and avatar colour. Family members may be added by you (the owner) or themselves (when invited).</w:t>
      </w:r>
    </w:p>
    <w:p>
      <w:pPr>
        <w:pStyle w:val="ListParagraph"/>
        <w:numPr>
          <w:ilvl w:val="0"/>
          <w:numId w:val="2"/>
        </w:numPr>
        <w:spacing w:after="80"/>
      </w:pPr>
      <w:r>
        <w:rPr>
          <w:sz w:val="22"/>
          <w:szCs w:val="22"/>
        </w:rPr>
        <w:t xml:space="preserve">Health records — including but not limited to lab reports, prescriptions, doctor visit notes, personal observations, and voice recordings.</w:t>
      </w:r>
    </w:p>
    <w:p>
      <w:pPr>
        <w:pStyle w:val="ListParagraph"/>
        <w:numPr>
          <w:ilvl w:val="0"/>
          <w:numId w:val="2"/>
        </w:numPr>
        <w:spacing w:after="80"/>
      </w:pPr>
      <w:r>
        <w:rPr>
          <w:sz w:val="22"/>
          <w:szCs w:val="22"/>
        </w:rPr>
        <w:t xml:space="preserve">Original documents — photographs or PDF files of lab reports and prescriptions, uploaded by you.</w:t>
      </w:r>
    </w:p>
    <w:p>
      <w:pPr>
        <w:pStyle w:val="Heading2"/>
        <w:spacing w:after="120" w:before="220"/>
      </w:pPr>
      <w:r>
        <w:rPr>
          <w:b/>
          <w:bCs/>
          <w:color w:val="374151"/>
          <w:sz w:val="26"/>
          <w:szCs w:val="26"/>
        </w:rPr>
        <w:t xml:space="preserve">3.2 Information generated by your use of the Service</w:t>
      </w:r>
    </w:p>
    <w:p>
      <w:pPr>
        <w:pStyle w:val="ListParagraph"/>
        <w:numPr>
          <w:ilvl w:val="0"/>
          <w:numId w:val="2"/>
        </w:numPr>
        <w:spacing w:after="80"/>
      </w:pPr>
      <w:r>
        <w:rPr>
          <w:sz w:val="22"/>
          <w:szCs w:val="22"/>
        </w:rPr>
        <w:t xml:space="preserve">Test values, dates, units, and reference ranges automatically extracted from your lab reports using optical character recognition (OCR) and AI parsing.</w:t>
      </w:r>
    </w:p>
    <w:p>
      <w:pPr>
        <w:pStyle w:val="ListParagraph"/>
        <w:numPr>
          <w:ilvl w:val="0"/>
          <w:numId w:val="2"/>
        </w:numPr>
        <w:spacing w:after="80"/>
      </w:pPr>
      <w:r>
        <w:rPr>
          <w:sz w:val="22"/>
          <w:szCs w:val="22"/>
        </w:rPr>
        <w:t xml:space="preserve">Sharing and permission records — when you grant another family member access to a member's records, we record who, when, and at what permission level (view, edit, or admin).</w:t>
      </w:r>
    </w:p>
    <w:p>
      <w:pPr>
        <w:pStyle w:val="ListParagraph"/>
        <w:numPr>
          <w:ilvl w:val="0"/>
          <w:numId w:val="2"/>
        </w:numPr>
        <w:spacing w:after="80"/>
      </w:pPr>
      <w:r>
        <w:rPr>
          <w:sz w:val="22"/>
          <w:szCs w:val="22"/>
        </w:rPr>
        <w:t xml:space="preserve">Sync and activity timestamps — to determine when data was last updated for conflict resolution.</w:t>
      </w:r>
    </w:p>
    <w:p>
      <w:pPr>
        <w:pStyle w:val="Heading2"/>
        <w:spacing w:after="120" w:before="220"/>
      </w:pPr>
      <w:r>
        <w:rPr>
          <w:b/>
          <w:bCs/>
          <w:color w:val="374151"/>
          <w:sz w:val="26"/>
          <w:szCs w:val="26"/>
        </w:rPr>
        <w:t xml:space="preserve">3.3 Technical information collected automatically</w:t>
      </w:r>
    </w:p>
    <w:p>
      <w:pPr>
        <w:pStyle w:val="ListParagraph"/>
        <w:numPr>
          <w:ilvl w:val="0"/>
          <w:numId w:val="2"/>
        </w:numPr>
        <w:spacing w:after="80"/>
      </w:pPr>
      <w:r>
        <w:rPr>
          <w:sz w:val="22"/>
          <w:szCs w:val="22"/>
        </w:rPr>
        <w:t xml:space="preserve">Device information — manufacturer, model, operating system version (e.g. Android version), and app version.</w:t>
      </w:r>
    </w:p>
    <w:p>
      <w:pPr>
        <w:pStyle w:val="ListParagraph"/>
        <w:numPr>
          <w:ilvl w:val="0"/>
          <w:numId w:val="2"/>
        </w:numPr>
        <w:spacing w:after="80"/>
      </w:pPr>
      <w:r>
        <w:rPr>
          <w:sz w:val="22"/>
          <w:szCs w:val="22"/>
        </w:rPr>
        <w:t xml:space="preserve">Crash and error reports — anonymized stack traces sent to Sentry to diagnose and fix bugs.</w:t>
      </w:r>
    </w:p>
    <w:p>
      <w:pPr>
        <w:pStyle w:val="ListParagraph"/>
        <w:numPr>
          <w:ilvl w:val="0"/>
          <w:numId w:val="2"/>
        </w:numPr>
        <w:spacing w:after="80"/>
      </w:pPr>
      <w:r>
        <w:rPr>
          <w:sz w:val="22"/>
          <w:szCs w:val="22"/>
        </w:rPr>
        <w:t xml:space="preserve">Usage data — feature usage frequency, in aggregate and anonymized, to improve the product.</w:t>
      </w:r>
    </w:p>
    <w:p>
      <w:pPr>
        <w:pStyle w:val="Heading2"/>
        <w:spacing w:after="120" w:before="220"/>
      </w:pPr>
      <w:r>
        <w:rPr>
          <w:b/>
          <w:bCs/>
          <w:color w:val="374151"/>
          <w:sz w:val="26"/>
          <w:szCs w:val="26"/>
        </w:rPr>
        <w:t xml:space="preserve">3.4 What we do NOT collect</w:t>
      </w:r>
    </w:p>
    <w:p>
      <w:pPr>
        <w:pStyle w:val="ListParagraph"/>
        <w:numPr>
          <w:ilvl w:val="0"/>
          <w:numId w:val="2"/>
        </w:numPr>
        <w:spacing w:after="80"/>
      </w:pPr>
      <w:r>
        <w:rPr>
          <w:sz w:val="22"/>
          <w:szCs w:val="22"/>
        </w:rPr>
        <w:t xml:space="preserve">We do NOT collect precise location data (GPS).</w:t>
      </w:r>
    </w:p>
    <w:p>
      <w:pPr>
        <w:pStyle w:val="ListParagraph"/>
        <w:numPr>
          <w:ilvl w:val="0"/>
          <w:numId w:val="2"/>
        </w:numPr>
        <w:spacing w:after="80"/>
      </w:pPr>
      <w:r>
        <w:rPr>
          <w:sz w:val="22"/>
          <w:szCs w:val="22"/>
        </w:rPr>
        <w:t xml:space="preserve">We do NOT access your contacts, photos, or files beyond what you explicitly select for upload.</w:t>
      </w:r>
    </w:p>
    <w:p>
      <w:pPr>
        <w:pStyle w:val="ListParagraph"/>
        <w:numPr>
          <w:ilvl w:val="0"/>
          <w:numId w:val="2"/>
        </w:numPr>
        <w:spacing w:after="80"/>
      </w:pPr>
      <w:r>
        <w:rPr>
          <w:sz w:val="22"/>
          <w:szCs w:val="22"/>
        </w:rPr>
        <w:t xml:space="preserve">We do NOT use third-party advertising trackers.</w:t>
      </w:r>
    </w:p>
    <w:p>
      <w:pPr>
        <w:pStyle w:val="ListParagraph"/>
        <w:numPr>
          <w:ilvl w:val="0"/>
          <w:numId w:val="2"/>
        </w:numPr>
        <w:spacing w:after="80"/>
      </w:pPr>
      <w:r>
        <w:rPr>
          <w:sz w:val="22"/>
          <w:szCs w:val="22"/>
        </w:rPr>
        <w:t xml:space="preserve">We do NOT collect biometric data.</w:t>
      </w:r>
    </w:p>
    <w:p>
      <w:pPr>
        <w:pStyle w:val="ListParagraph"/>
        <w:numPr>
          <w:ilvl w:val="0"/>
          <w:numId w:val="2"/>
        </w:numPr>
        <w:spacing w:after="80"/>
      </w:pPr>
      <w:r>
        <w:rPr>
          <w:sz w:val="22"/>
          <w:szCs w:val="22"/>
        </w:rPr>
        <w:t xml:space="preserve">We do NOT scan your device for other apps or data.</w:t>
      </w:r>
    </w:p>
    <w:p>
      <w:pPr>
        <w:spacing w:after="100"/>
      </w:pPr>
      <w:r>
        <w:t xml:space="preserve"> </w:t>
      </w:r>
    </w:p>
    <w:p>
      <w:pPr>
        <w:pStyle w:val="Heading1"/>
        <w:spacing w:after="160" w:before="280"/>
      </w:pPr>
      <w:r>
        <w:rPr>
          <w:b/>
          <w:bCs/>
          <w:color w:val="075F6E"/>
          <w:sz w:val="32"/>
          <w:szCs w:val="32"/>
        </w:rPr>
        <w:t xml:space="preserve">4. How We Use Your Information</w:t>
      </w:r>
    </w:p>
    <w:p>
      <w:pPr>
        <w:spacing w:after="140"/>
      </w:pPr>
      <w:r>
        <w:rPr>
          <w:sz w:val="22"/>
          <w:szCs w:val="22"/>
        </w:rPr>
        <w:t xml:space="preserve">We use your information for the following purposes, and only these purposes:</w:t>
      </w:r>
    </w:p>
    <w:p>
      <w:pPr>
        <w:pStyle w:val="ListParagraph"/>
        <w:numPr>
          <w:ilvl w:val="0"/>
          <w:numId w:val="2"/>
        </w:numPr>
        <w:spacing w:after="80"/>
      </w:pPr>
      <w:r>
        <w:rPr>
          <w:sz w:val="22"/>
          <w:szCs w:val="22"/>
        </w:rPr>
        <w:t xml:space="preserve">To provide the core Service — storing your health records, syncing across devices, displaying trends, and sharing with family members you authorize.</w:t>
      </w:r>
    </w:p>
    <w:p>
      <w:pPr>
        <w:pStyle w:val="ListParagraph"/>
        <w:numPr>
          <w:ilvl w:val="0"/>
          <w:numId w:val="2"/>
        </w:numPr>
        <w:spacing w:after="80"/>
      </w:pPr>
      <w:r>
        <w:rPr>
          <w:sz w:val="22"/>
          <w:szCs w:val="22"/>
        </w:rPr>
        <w:t xml:space="preserve">To authenticate you securely via phone OTP.</w:t>
      </w:r>
    </w:p>
    <w:p>
      <w:pPr>
        <w:pStyle w:val="ListParagraph"/>
        <w:numPr>
          <w:ilvl w:val="0"/>
          <w:numId w:val="2"/>
        </w:numPr>
        <w:spacing w:after="80"/>
      </w:pPr>
      <w:r>
        <w:rPr>
          <w:sz w:val="22"/>
          <w:szCs w:val="22"/>
        </w:rPr>
        <w:t xml:space="preserve">To extract structured data from uploaded lab reports and prescriptions (OCR + AI parsing).</w:t>
      </w:r>
    </w:p>
    <w:p>
      <w:pPr>
        <w:pStyle w:val="ListParagraph"/>
        <w:numPr>
          <w:ilvl w:val="0"/>
          <w:numId w:val="2"/>
        </w:numPr>
        <w:spacing w:after="80"/>
      </w:pPr>
      <w:r>
        <w:rPr>
          <w:sz w:val="22"/>
          <w:szCs w:val="22"/>
        </w:rPr>
        <w:t xml:space="preserve">To enable family sharing features that you initiate.</w:t>
      </w:r>
    </w:p>
    <w:p>
      <w:pPr>
        <w:pStyle w:val="ListParagraph"/>
        <w:numPr>
          <w:ilvl w:val="0"/>
          <w:numId w:val="2"/>
        </w:numPr>
        <w:spacing w:after="80"/>
      </w:pPr>
      <w:r>
        <w:rPr>
          <w:sz w:val="22"/>
          <w:szCs w:val="22"/>
        </w:rPr>
        <w:t xml:space="preserve">To diagnose technical issues and improve app reliability (via crash reporting).</w:t>
      </w:r>
    </w:p>
    <w:p>
      <w:pPr>
        <w:pStyle w:val="ListParagraph"/>
        <w:numPr>
          <w:ilvl w:val="0"/>
          <w:numId w:val="2"/>
        </w:numPr>
        <w:spacing w:after="80"/>
      </w:pPr>
      <w:r>
        <w:rPr>
          <w:sz w:val="22"/>
          <w:szCs w:val="22"/>
        </w:rPr>
        <w:t xml:space="preserve">To respond to your questions or grievances when you contact us.</w:t>
      </w:r>
    </w:p>
    <w:p>
      <w:pPr>
        <w:pStyle w:val="ListParagraph"/>
        <w:numPr>
          <w:ilvl w:val="0"/>
          <w:numId w:val="2"/>
        </w:numPr>
        <w:spacing w:after="80"/>
      </w:pPr>
      <w:r>
        <w:rPr>
          <w:sz w:val="22"/>
          <w:szCs w:val="22"/>
        </w:rPr>
        <w:t xml:space="preserve">To comply with applicable laws and respond to lawful requests from authorities.</w:t>
      </w:r>
    </w:p>
    <w:p>
      <w:pPr>
        <w:spacing w:after="100"/>
      </w:pPr>
      <w:r>
        <w:t xml:space="preserve"> </w:t>
      </w:r>
    </w:p>
    <w:p>
      <w:pPr>
        <w:spacing w:after="140"/>
      </w:pPr>
      <w:r>
        <w:rPr>
          <w:b/>
          <w:bCs/>
          <w:sz w:val="22"/>
          <w:szCs w:val="22"/>
        </w:rPr>
        <w:t xml:space="preserve">We do NOT use your information to:</w:t>
      </w:r>
    </w:p>
    <w:p>
      <w:pPr>
        <w:pStyle w:val="ListParagraph"/>
        <w:numPr>
          <w:ilvl w:val="0"/>
          <w:numId w:val="2"/>
        </w:numPr>
        <w:spacing w:after="80"/>
      </w:pPr>
      <w:r>
        <w:rPr>
          <w:sz w:val="22"/>
          <w:szCs w:val="22"/>
        </w:rPr>
        <w:t xml:space="preserve">Sell or rent your data to anyone, ever.</w:t>
      </w:r>
    </w:p>
    <w:p>
      <w:pPr>
        <w:pStyle w:val="ListParagraph"/>
        <w:numPr>
          <w:ilvl w:val="0"/>
          <w:numId w:val="2"/>
        </w:numPr>
        <w:spacing w:after="80"/>
      </w:pPr>
      <w:r>
        <w:rPr>
          <w:sz w:val="22"/>
          <w:szCs w:val="22"/>
        </w:rPr>
        <w:t xml:space="preserve">Train AI models on your health records without your explicit, informed consent.</w:t>
      </w:r>
    </w:p>
    <w:p>
      <w:pPr>
        <w:pStyle w:val="ListParagraph"/>
        <w:numPr>
          <w:ilvl w:val="0"/>
          <w:numId w:val="2"/>
        </w:numPr>
        <w:spacing w:after="80"/>
      </w:pPr>
      <w:r>
        <w:rPr>
          <w:sz w:val="22"/>
          <w:szCs w:val="22"/>
        </w:rPr>
        <w:t xml:space="preserve">Display advertisements within the Service.</w:t>
      </w:r>
    </w:p>
    <w:p>
      <w:pPr>
        <w:pStyle w:val="ListParagraph"/>
        <w:numPr>
          <w:ilvl w:val="0"/>
          <w:numId w:val="2"/>
        </w:numPr>
        <w:spacing w:after="80"/>
      </w:pPr>
      <w:r>
        <w:rPr>
          <w:sz w:val="22"/>
          <w:szCs w:val="22"/>
        </w:rPr>
        <w:t xml:space="preserve">Build behavioural profiles for marketing.</w:t>
      </w:r>
    </w:p>
    <w:p>
      <w:pPr>
        <w:pStyle w:val="ListParagraph"/>
        <w:numPr>
          <w:ilvl w:val="0"/>
          <w:numId w:val="2"/>
        </w:numPr>
        <w:spacing w:after="80"/>
      </w:pPr>
      <w:r>
        <w:rPr>
          <w:sz w:val="22"/>
          <w:szCs w:val="22"/>
        </w:rPr>
        <w:t xml:space="preserve">Share with insurance companies, employers, or third parties without your explicit authorization.</w:t>
      </w:r>
    </w:p>
    <w:p>
      <w:pPr>
        <w:spacing w:after="100"/>
      </w:pPr>
      <w:r>
        <w:t xml:space="preserve"> </w:t>
      </w:r>
    </w:p>
    <w:p>
      <w:pPr>
        <w:pStyle w:val="Heading1"/>
        <w:spacing w:after="160" w:before="280"/>
      </w:pPr>
      <w:r>
        <w:rPr>
          <w:b/>
          <w:bCs/>
          <w:color w:val="075F6E"/>
          <w:sz w:val="32"/>
          <w:szCs w:val="32"/>
        </w:rPr>
        <w:t xml:space="preserve">5. Sensitive Personal Data</w:t>
      </w:r>
    </w:p>
    <w:p>
      <w:pPr>
        <w:spacing w:after="140"/>
      </w:pPr>
      <w:r>
        <w:rPr>
          <w:sz w:val="22"/>
          <w:szCs w:val="22"/>
        </w:rPr>
        <w:t xml:space="preserve">Under India's SPDI Rules, the DPDP Act, and similar regulations elsewhere, health and medical records are categorized as "sensitive personal data" requiring heightened protection. We treat all health-related information you provide as sensitive personal data.</w:t>
      </w:r>
    </w:p>
    <w:p>
      <w:pPr>
        <w:pStyle w:val="Heading2"/>
        <w:spacing w:after="120" w:before="220"/>
      </w:pPr>
      <w:r>
        <w:rPr>
          <w:b/>
          <w:bCs/>
          <w:color w:val="374151"/>
          <w:sz w:val="26"/>
          <w:szCs w:val="26"/>
        </w:rPr>
        <w:t xml:space="preserve">5.1 Specific protections for health data</w:t>
      </w:r>
    </w:p>
    <w:p>
      <w:pPr>
        <w:pStyle w:val="ListParagraph"/>
        <w:numPr>
          <w:ilvl w:val="0"/>
          <w:numId w:val="2"/>
        </w:numPr>
        <w:spacing w:after="80"/>
      </w:pPr>
      <w:r>
        <w:rPr>
          <w:sz w:val="22"/>
          <w:szCs w:val="22"/>
        </w:rPr>
        <w:t xml:space="preserve">Health records are encrypted in transit (TLS) and at rest (database-level encryption).</w:t>
      </w:r>
    </w:p>
    <w:p>
      <w:pPr>
        <w:pStyle w:val="ListParagraph"/>
        <w:numPr>
          <w:ilvl w:val="0"/>
          <w:numId w:val="2"/>
        </w:numPr>
        <w:spacing w:after="80"/>
      </w:pPr>
      <w:r>
        <w:rPr>
          <w:sz w:val="22"/>
          <w:szCs w:val="22"/>
        </w:rPr>
        <w:t xml:space="preserve">Access to your health data is governed by strict Row-Level Security (RLS) rules — you and the family members you explicitly authorize can access your records. No one else, including Accusaga staff, can access individual user health data without explicit authorization from you for technical support purposes.</w:t>
      </w:r>
    </w:p>
    <w:p>
      <w:pPr>
        <w:pStyle w:val="ListParagraph"/>
        <w:numPr>
          <w:ilvl w:val="0"/>
          <w:numId w:val="2"/>
        </w:numPr>
        <w:spacing w:after="80"/>
      </w:pPr>
      <w:r>
        <w:rPr>
          <w:sz w:val="22"/>
          <w:szCs w:val="22"/>
        </w:rPr>
        <w:t xml:space="preserve">Voice notes are stored as encrypted audio files with the same protections as text records.</w:t>
      </w:r>
    </w:p>
    <w:p>
      <w:pPr>
        <w:pStyle w:val="ListParagraph"/>
        <w:numPr>
          <w:ilvl w:val="0"/>
          <w:numId w:val="2"/>
        </w:numPr>
        <w:spacing w:after="80"/>
      </w:pPr>
      <w:r>
        <w:rPr>
          <w:sz w:val="22"/>
          <w:szCs w:val="22"/>
        </w:rPr>
        <w:t xml:space="preserve">Original PDFs and images of lab reports are stored in encrypted cloud storage with access controlled by the same permission model.</w:t>
      </w:r>
    </w:p>
    <w:p>
      <w:pPr>
        <w:pStyle w:val="Heading2"/>
        <w:spacing w:after="120" w:before="220"/>
      </w:pPr>
      <w:r>
        <w:rPr>
          <w:b/>
          <w:bCs/>
          <w:color w:val="374151"/>
          <w:sz w:val="26"/>
          <w:szCs w:val="26"/>
        </w:rPr>
        <w:t xml:space="preserve">5.2 Explicit consent</w:t>
      </w:r>
    </w:p>
    <w:p>
      <w:pPr>
        <w:spacing w:after="140"/>
      </w:pPr>
      <w:r>
        <w:rPr>
          <w:sz w:val="22"/>
          <w:szCs w:val="22"/>
        </w:rPr>
        <w:t xml:space="preserve">By creating an account and uploading health records, you provide explicit consent for us to process this sensitive personal data for the purposes described in Section 4. You may withdraw this consent at any time by deleting your account, which will permanently delete your data (see Section 11).</w:t>
      </w:r>
    </w:p>
    <w:p>
      <w:pPr>
        <w:spacing w:after="100"/>
      </w:pPr>
      <w:r>
        <w:t xml:space="preserve"> </w:t>
      </w:r>
    </w:p>
    <w:p>
      <w:pPr>
        <w:pStyle w:val="Heading1"/>
        <w:spacing w:after="160" w:before="280"/>
      </w:pPr>
      <w:r>
        <w:rPr>
          <w:b/>
          <w:bCs/>
          <w:color w:val="075F6E"/>
          <w:sz w:val="32"/>
          <w:szCs w:val="32"/>
        </w:rPr>
        <w:t xml:space="preserve">6. Sharing Your Information</w:t>
      </w:r>
    </w:p>
    <w:p>
      <w:pPr>
        <w:spacing w:after="140"/>
      </w:pPr>
      <w:r>
        <w:rPr>
          <w:sz w:val="22"/>
          <w:szCs w:val="22"/>
        </w:rPr>
        <w:t xml:space="preserve">MedRecord exists to enable controlled sharing of health records with family members. Here is how we handle different sharing scenarios:</w:t>
      </w:r>
    </w:p>
    <w:p>
      <w:pPr>
        <w:pStyle w:val="Heading2"/>
        <w:spacing w:after="120" w:before="220"/>
      </w:pPr>
      <w:r>
        <w:rPr>
          <w:b/>
          <w:bCs/>
          <w:color w:val="374151"/>
          <w:sz w:val="26"/>
          <w:szCs w:val="26"/>
        </w:rPr>
        <w:t xml:space="preserve">6.1 Sharing you initiate (with family members)</w:t>
      </w:r>
    </w:p>
    <w:p>
      <w:pPr>
        <w:spacing w:after="140"/>
      </w:pPr>
      <w:r>
        <w:rPr>
          <w:sz w:val="22"/>
          <w:szCs w:val="22"/>
        </w:rPr>
        <w:t xml:space="preserve">You may share access to a family member's records with other authorized individuals by sending them an invite code. You control:</w:t>
      </w:r>
    </w:p>
    <w:p>
      <w:pPr>
        <w:pStyle w:val="ListParagraph"/>
        <w:numPr>
          <w:ilvl w:val="0"/>
          <w:numId w:val="2"/>
        </w:numPr>
        <w:spacing w:after="80"/>
      </w:pPr>
      <w:r>
        <w:rPr>
          <w:sz w:val="22"/>
          <w:szCs w:val="22"/>
        </w:rPr>
        <w:t xml:space="preserve">Who receives access (by sending them the code).</w:t>
      </w:r>
    </w:p>
    <w:p>
      <w:pPr>
        <w:pStyle w:val="ListParagraph"/>
        <w:numPr>
          <w:ilvl w:val="0"/>
          <w:numId w:val="2"/>
        </w:numPr>
        <w:spacing w:after="80"/>
      </w:pPr>
      <w:r>
        <w:rPr>
          <w:sz w:val="22"/>
          <w:szCs w:val="22"/>
        </w:rPr>
        <w:t xml:space="preserve">What level of access they have (View, Edit, or Admin).</w:t>
      </w:r>
    </w:p>
    <w:p>
      <w:pPr>
        <w:pStyle w:val="ListParagraph"/>
        <w:numPr>
          <w:ilvl w:val="0"/>
          <w:numId w:val="2"/>
        </w:numPr>
        <w:spacing w:after="80"/>
      </w:pPr>
      <w:r>
        <w:rPr>
          <w:sz w:val="22"/>
          <w:szCs w:val="22"/>
        </w:rPr>
        <w:t xml:space="preserve">When access ends (you may revoke access at any time).</w:t>
      </w:r>
    </w:p>
    <w:p>
      <w:pPr>
        <w:spacing w:after="100"/>
      </w:pPr>
      <w:r>
        <w:t xml:space="preserve"> </w:t>
      </w:r>
    </w:p>
    <w:p>
      <w:pPr>
        <w:spacing w:after="140"/>
      </w:pPr>
      <w:r>
        <w:rPr>
          <w:sz w:val="22"/>
          <w:szCs w:val="22"/>
        </w:rPr>
        <w:t xml:space="preserve">People you share with see exactly what you authorize them to see. They cannot share further unless you grant them Admin permission.</w:t>
      </w:r>
    </w:p>
    <w:p>
      <w:pPr>
        <w:pStyle w:val="Heading2"/>
        <w:spacing w:after="120" w:before="220"/>
      </w:pPr>
      <w:r>
        <w:rPr>
          <w:b/>
          <w:bCs/>
          <w:color w:val="374151"/>
          <w:sz w:val="26"/>
          <w:szCs w:val="26"/>
        </w:rPr>
        <w:t xml:space="preserve">6.2 Sharing with service providers</w:t>
      </w:r>
    </w:p>
    <w:p>
      <w:pPr>
        <w:spacing w:after="140"/>
      </w:pPr>
      <w:r>
        <w:rPr>
          <w:sz w:val="22"/>
          <w:szCs w:val="22"/>
        </w:rPr>
        <w:t xml:space="preserve">To operate the Service, we rely on the following trusted third-party service providers, each bound by contractual privacy commitments: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c>
          <w:tcPr>
            <w:tcW w:type="dxa" w:w="2400"/>
            <w:tcBorders>
              <w:top w:val="single" w:color="D1D5DB" w:sz="4"/>
              <w:left w:val="single" w:color="D1D5DB" w:sz="4"/>
              <w:bottom w:val="single" w:color="D1D5DB" w:sz="4"/>
              <w:right w:val="single" w:color="D1D5DB" w:sz="4"/>
            </w:tcBorders>
            <w:shd w:fill="E0F2F5" w:val="clear"/>
            <w:tcMar>
              <w:top w:type="dxa" w:w="100"/>
              <w:left w:type="dxa" w:w="140"/>
              <w:bottom w:type="dxa" w:w="100"/>
              <w:right w:type="dxa" w:w="140"/>
            </w:tcMar>
          </w:tcPr>
          <w:p>
            <w:r>
              <w:rPr>
                <w:b/>
                <w:bCs/>
                <w:sz w:val="20"/>
                <w:szCs w:val="20"/>
              </w:rPr>
              <w:t xml:space="preserve">Service Provider</w:t>
            </w:r>
          </w:p>
        </w:tc>
        <w:tc>
          <w:tcPr>
            <w:tcW w:type="dxa" w:w="3200"/>
            <w:tcBorders>
              <w:top w:val="single" w:color="D1D5DB" w:sz="4"/>
              <w:left w:val="single" w:color="D1D5DB" w:sz="4"/>
              <w:bottom w:val="single" w:color="D1D5DB" w:sz="4"/>
              <w:right w:val="single" w:color="D1D5DB" w:sz="4"/>
            </w:tcBorders>
            <w:shd w:fill="E0F2F5" w:val="clear"/>
            <w:tcMar>
              <w:top w:type="dxa" w:w="100"/>
              <w:left w:type="dxa" w:w="140"/>
              <w:bottom w:type="dxa" w:w="100"/>
              <w:right w:type="dxa" w:w="140"/>
            </w:tcMar>
          </w:tcPr>
          <w:p>
            <w:r>
              <w:rPr>
                <w:b/>
                <w:bCs/>
                <w:sz w:val="20"/>
                <w:szCs w:val="20"/>
              </w:rPr>
              <w:t xml:space="preserve">Purpose</w:t>
            </w:r>
          </w:p>
        </w:tc>
        <w:tc>
          <w:tcPr>
            <w:tcW w:type="dxa" w:w="3760"/>
            <w:tcBorders>
              <w:top w:val="single" w:color="D1D5DB" w:sz="4"/>
              <w:left w:val="single" w:color="D1D5DB" w:sz="4"/>
              <w:bottom w:val="single" w:color="D1D5DB" w:sz="4"/>
              <w:right w:val="single" w:color="D1D5DB" w:sz="4"/>
            </w:tcBorders>
            <w:shd w:fill="E0F2F5" w:val="clear"/>
            <w:tcMar>
              <w:top w:type="dxa" w:w="100"/>
              <w:left w:type="dxa" w:w="140"/>
              <w:bottom w:type="dxa" w:w="100"/>
              <w:right w:type="dxa" w:w="140"/>
            </w:tcMar>
          </w:tcPr>
          <w:p>
            <w:r>
              <w:rPr>
                <w:b/>
                <w:bCs/>
                <w:sz w:val="20"/>
                <w:szCs w:val="20"/>
              </w:rPr>
              <w:t xml:space="preserve">Data Shared</w:t>
            </w:r>
          </w:p>
        </w:tc>
      </w:tr>
      <w:tr>
        <w:tc>
          <w:tcPr>
            <w:tcW w:type="dxa" w:w="2400"/>
            <w:tcBorders>
              <w:top w:val="single" w:color="D1D5DB" w:sz="4"/>
              <w:left w:val="single" w:color="D1D5DB" w:sz="4"/>
              <w:bottom w:val="single" w:color="D1D5DB" w:sz="4"/>
              <w:right w:val="single" w:color="D1D5DB" w:sz="4"/>
            </w:tcBorders>
            <w:tcMar>
              <w:top w:type="dxa" w:w="100"/>
              <w:left w:type="dxa" w:w="140"/>
              <w:bottom w:type="dxa" w:w="100"/>
              <w:right w:type="dxa" w:w="140"/>
            </w:tcMar>
          </w:tcPr>
          <w:p>
            <w:r>
              <w:rPr>
                <w:b w:val="false"/>
                <w:bCs w:val="false"/>
                <w:sz w:val="20"/>
                <w:szCs w:val="20"/>
              </w:rPr>
              <w:t xml:space="preserve">Supabase Inc.</w:t>
            </w:r>
          </w:p>
        </w:tc>
        <w:tc>
          <w:tcPr>
            <w:tcW w:type="dxa" w:w="3200"/>
            <w:tcBorders>
              <w:top w:val="single" w:color="D1D5DB" w:sz="4"/>
              <w:left w:val="single" w:color="D1D5DB" w:sz="4"/>
              <w:bottom w:val="single" w:color="D1D5DB" w:sz="4"/>
              <w:right w:val="single" w:color="D1D5DB" w:sz="4"/>
            </w:tcBorders>
            <w:tcMar>
              <w:top w:type="dxa" w:w="100"/>
              <w:left w:type="dxa" w:w="140"/>
              <w:bottom w:type="dxa" w:w="100"/>
              <w:right w:type="dxa" w:w="140"/>
            </w:tcMar>
          </w:tcPr>
          <w:p>
            <w:r>
              <w:rPr>
                <w:b w:val="false"/>
                <w:bCs w:val="false"/>
                <w:sz w:val="20"/>
                <w:szCs w:val="20"/>
              </w:rPr>
              <w:t xml:space="preserve">Database hosting and authentication infrastructure</w:t>
            </w:r>
          </w:p>
        </w:tc>
        <w:tc>
          <w:tcPr>
            <w:tcW w:type="dxa" w:w="3760"/>
            <w:tcBorders>
              <w:top w:val="single" w:color="D1D5DB" w:sz="4"/>
              <w:left w:val="single" w:color="D1D5DB" w:sz="4"/>
              <w:bottom w:val="single" w:color="D1D5DB" w:sz="4"/>
              <w:right w:val="single" w:color="D1D5DB" w:sz="4"/>
            </w:tcBorders>
            <w:tcMar>
              <w:top w:type="dxa" w:w="100"/>
              <w:left w:type="dxa" w:w="140"/>
              <w:bottom w:type="dxa" w:w="100"/>
              <w:right w:type="dxa" w:w="140"/>
            </w:tcMar>
          </w:tcPr>
          <w:p>
            <w:r>
              <w:rPr>
                <w:b w:val="false"/>
                <w:bCs w:val="false"/>
                <w:sz w:val="20"/>
                <w:szCs w:val="20"/>
              </w:rPr>
              <w:t xml:space="preserve">Encrypted health records, account data, family relationships</w:t>
            </w:r>
          </w:p>
        </w:tc>
      </w:tr>
      <w:tr>
        <w:tc>
          <w:tcPr>
            <w:tcW w:type="dxa" w:w="2400"/>
            <w:tcBorders>
              <w:top w:val="single" w:color="D1D5DB" w:sz="4"/>
              <w:left w:val="single" w:color="D1D5DB" w:sz="4"/>
              <w:bottom w:val="single" w:color="D1D5DB" w:sz="4"/>
              <w:right w:val="single" w:color="D1D5DB" w:sz="4"/>
            </w:tcBorders>
            <w:tcMar>
              <w:top w:type="dxa" w:w="100"/>
              <w:left w:type="dxa" w:w="140"/>
              <w:bottom w:type="dxa" w:w="100"/>
              <w:right w:type="dxa" w:w="140"/>
            </w:tcMar>
          </w:tcPr>
          <w:p>
            <w:r>
              <w:rPr>
                <w:b w:val="false"/>
                <w:bCs w:val="false"/>
                <w:sz w:val="20"/>
                <w:szCs w:val="20"/>
              </w:rPr>
              <w:t xml:space="preserve">Railway Corporation</w:t>
            </w:r>
          </w:p>
        </w:tc>
        <w:tc>
          <w:tcPr>
            <w:tcW w:type="dxa" w:w="3200"/>
            <w:tcBorders>
              <w:top w:val="single" w:color="D1D5DB" w:sz="4"/>
              <w:left w:val="single" w:color="D1D5DB" w:sz="4"/>
              <w:bottom w:val="single" w:color="D1D5DB" w:sz="4"/>
              <w:right w:val="single" w:color="D1D5DB" w:sz="4"/>
            </w:tcBorders>
            <w:tcMar>
              <w:top w:type="dxa" w:w="100"/>
              <w:left w:type="dxa" w:w="140"/>
              <w:bottom w:type="dxa" w:w="100"/>
              <w:right w:type="dxa" w:w="140"/>
            </w:tcMar>
          </w:tcPr>
          <w:p>
            <w:r>
              <w:rPr>
                <w:b w:val="false"/>
                <w:bCs w:val="false"/>
                <w:sz w:val="20"/>
                <w:szCs w:val="20"/>
              </w:rPr>
              <w:t xml:space="preserve">Hosting our AI/OCR backend service</w:t>
            </w:r>
          </w:p>
        </w:tc>
        <w:tc>
          <w:tcPr>
            <w:tcW w:type="dxa" w:w="3760"/>
            <w:tcBorders>
              <w:top w:val="single" w:color="D1D5DB" w:sz="4"/>
              <w:left w:val="single" w:color="D1D5DB" w:sz="4"/>
              <w:bottom w:val="single" w:color="D1D5DB" w:sz="4"/>
              <w:right w:val="single" w:color="D1D5DB" w:sz="4"/>
            </w:tcBorders>
            <w:tcMar>
              <w:top w:type="dxa" w:w="100"/>
              <w:left w:type="dxa" w:w="140"/>
              <w:bottom w:type="dxa" w:w="100"/>
              <w:right w:type="dxa" w:w="140"/>
            </w:tcMar>
          </w:tcPr>
          <w:p>
            <w:r>
              <w:rPr>
                <w:b w:val="false"/>
                <w:bCs w:val="false"/>
                <w:sz w:val="20"/>
                <w:szCs w:val="20"/>
              </w:rPr>
              <w:t xml:space="preserve">Lab report images during processing (deleted after extraction)</w:t>
            </w:r>
          </w:p>
        </w:tc>
      </w:tr>
      <w:tr>
        <w:tc>
          <w:tcPr>
            <w:tcW w:type="dxa" w:w="2400"/>
            <w:tcBorders>
              <w:top w:val="single" w:color="D1D5DB" w:sz="4"/>
              <w:left w:val="single" w:color="D1D5DB" w:sz="4"/>
              <w:bottom w:val="single" w:color="D1D5DB" w:sz="4"/>
              <w:right w:val="single" w:color="D1D5DB" w:sz="4"/>
            </w:tcBorders>
            <w:tcMar>
              <w:top w:type="dxa" w:w="100"/>
              <w:left w:type="dxa" w:w="140"/>
              <w:bottom w:type="dxa" w:w="100"/>
              <w:right w:type="dxa" w:w="140"/>
            </w:tcMar>
          </w:tcPr>
          <w:p>
            <w:r>
              <w:rPr>
                <w:b w:val="false"/>
                <w:bCs w:val="false"/>
                <w:sz w:val="20"/>
                <w:szCs w:val="20"/>
              </w:rPr>
              <w:t xml:space="preserve">Twilio Inc.</w:t>
            </w:r>
          </w:p>
        </w:tc>
        <w:tc>
          <w:tcPr>
            <w:tcW w:type="dxa" w:w="3200"/>
            <w:tcBorders>
              <w:top w:val="single" w:color="D1D5DB" w:sz="4"/>
              <w:left w:val="single" w:color="D1D5DB" w:sz="4"/>
              <w:bottom w:val="single" w:color="D1D5DB" w:sz="4"/>
              <w:right w:val="single" w:color="D1D5DB" w:sz="4"/>
            </w:tcBorders>
            <w:tcMar>
              <w:top w:type="dxa" w:w="100"/>
              <w:left w:type="dxa" w:w="140"/>
              <w:bottom w:type="dxa" w:w="100"/>
              <w:right w:type="dxa" w:w="140"/>
            </w:tcMar>
          </w:tcPr>
          <w:p>
            <w:r>
              <w:rPr>
                <w:b w:val="false"/>
                <w:bCs w:val="false"/>
                <w:sz w:val="20"/>
                <w:szCs w:val="20"/>
              </w:rPr>
              <w:t xml:space="preserve">SMS delivery for phone OTP authentication</w:t>
            </w:r>
          </w:p>
        </w:tc>
        <w:tc>
          <w:tcPr>
            <w:tcW w:type="dxa" w:w="3760"/>
            <w:tcBorders>
              <w:top w:val="single" w:color="D1D5DB" w:sz="4"/>
              <w:left w:val="single" w:color="D1D5DB" w:sz="4"/>
              <w:bottom w:val="single" w:color="D1D5DB" w:sz="4"/>
              <w:right w:val="single" w:color="D1D5DB" w:sz="4"/>
            </w:tcBorders>
            <w:tcMar>
              <w:top w:type="dxa" w:w="100"/>
              <w:left w:type="dxa" w:w="140"/>
              <w:bottom w:type="dxa" w:w="100"/>
              <w:right w:type="dxa" w:w="140"/>
            </w:tcMar>
          </w:tcPr>
          <w:p>
            <w:r>
              <w:rPr>
                <w:b w:val="false"/>
                <w:bCs w:val="false"/>
                <w:sz w:val="20"/>
                <w:szCs w:val="20"/>
              </w:rPr>
              <w:t xml:space="preserve">Phone numbers and OTP codes (transient)</w:t>
            </w:r>
          </w:p>
        </w:tc>
      </w:tr>
      <w:tr>
        <w:tc>
          <w:tcPr>
            <w:tcW w:type="dxa" w:w="2400"/>
            <w:tcBorders>
              <w:top w:val="single" w:color="D1D5DB" w:sz="4"/>
              <w:left w:val="single" w:color="D1D5DB" w:sz="4"/>
              <w:bottom w:val="single" w:color="D1D5DB" w:sz="4"/>
              <w:right w:val="single" w:color="D1D5DB" w:sz="4"/>
            </w:tcBorders>
            <w:tcMar>
              <w:top w:type="dxa" w:w="100"/>
              <w:left w:type="dxa" w:w="140"/>
              <w:bottom w:type="dxa" w:w="100"/>
              <w:right w:type="dxa" w:w="140"/>
            </w:tcMar>
          </w:tcPr>
          <w:p>
            <w:r>
              <w:rPr>
                <w:b w:val="false"/>
                <w:bCs w:val="false"/>
                <w:sz w:val="20"/>
                <w:szCs w:val="20"/>
              </w:rPr>
              <w:t xml:space="preserve">Sentry (Functional Software Inc.)</w:t>
            </w:r>
          </w:p>
        </w:tc>
        <w:tc>
          <w:tcPr>
            <w:tcW w:type="dxa" w:w="3200"/>
            <w:tcBorders>
              <w:top w:val="single" w:color="D1D5DB" w:sz="4"/>
              <w:left w:val="single" w:color="D1D5DB" w:sz="4"/>
              <w:bottom w:val="single" w:color="D1D5DB" w:sz="4"/>
              <w:right w:val="single" w:color="D1D5DB" w:sz="4"/>
            </w:tcBorders>
            <w:tcMar>
              <w:top w:type="dxa" w:w="100"/>
              <w:left w:type="dxa" w:w="140"/>
              <w:bottom w:type="dxa" w:w="100"/>
              <w:right w:type="dxa" w:w="140"/>
            </w:tcMar>
          </w:tcPr>
          <w:p>
            <w:r>
              <w:rPr>
                <w:b w:val="false"/>
                <w:bCs w:val="false"/>
                <w:sz w:val="20"/>
                <w:szCs w:val="20"/>
              </w:rPr>
              <w:t xml:space="preserve">Crash and error reporting</w:t>
            </w:r>
          </w:p>
        </w:tc>
        <w:tc>
          <w:tcPr>
            <w:tcW w:type="dxa" w:w="3760"/>
            <w:tcBorders>
              <w:top w:val="single" w:color="D1D5DB" w:sz="4"/>
              <w:left w:val="single" w:color="D1D5DB" w:sz="4"/>
              <w:bottom w:val="single" w:color="D1D5DB" w:sz="4"/>
              <w:right w:val="single" w:color="D1D5DB" w:sz="4"/>
            </w:tcBorders>
            <w:tcMar>
              <w:top w:type="dxa" w:w="100"/>
              <w:left w:type="dxa" w:w="140"/>
              <w:bottom w:type="dxa" w:w="100"/>
              <w:right w:type="dxa" w:w="140"/>
            </w:tcMar>
          </w:tcPr>
          <w:p>
            <w:r>
              <w:rPr>
                <w:b w:val="false"/>
                <w:bCs w:val="false"/>
                <w:sz w:val="20"/>
                <w:szCs w:val="20"/>
              </w:rPr>
              <w:t xml:space="preserve">Anonymized device info, error stack traces (no health data)</w:t>
            </w:r>
          </w:p>
        </w:tc>
      </w:tr>
      <w:tr>
        <w:tc>
          <w:tcPr>
            <w:tcW w:type="dxa" w:w="2400"/>
            <w:tcBorders>
              <w:top w:val="single" w:color="D1D5DB" w:sz="4"/>
              <w:left w:val="single" w:color="D1D5DB" w:sz="4"/>
              <w:bottom w:val="single" w:color="D1D5DB" w:sz="4"/>
              <w:right w:val="single" w:color="D1D5DB" w:sz="4"/>
            </w:tcBorders>
            <w:tcMar>
              <w:top w:type="dxa" w:w="100"/>
              <w:left w:type="dxa" w:w="140"/>
              <w:bottom w:type="dxa" w:w="100"/>
              <w:right w:type="dxa" w:w="140"/>
            </w:tcMar>
          </w:tcPr>
          <w:p>
            <w:r>
              <w:rPr>
                <w:b w:val="false"/>
                <w:bCs w:val="false"/>
                <w:sz w:val="20"/>
                <w:szCs w:val="20"/>
              </w:rPr>
              <w:t xml:space="preserve">Expo / Anthropic</w:t>
            </w:r>
          </w:p>
        </w:tc>
        <w:tc>
          <w:tcPr>
            <w:tcW w:type="dxa" w:w="3200"/>
            <w:tcBorders>
              <w:top w:val="single" w:color="D1D5DB" w:sz="4"/>
              <w:left w:val="single" w:color="D1D5DB" w:sz="4"/>
              <w:bottom w:val="single" w:color="D1D5DB" w:sz="4"/>
              <w:right w:val="single" w:color="D1D5DB" w:sz="4"/>
            </w:tcBorders>
            <w:tcMar>
              <w:top w:type="dxa" w:w="100"/>
              <w:left w:type="dxa" w:w="140"/>
              <w:bottom w:type="dxa" w:w="100"/>
              <w:right w:type="dxa" w:w="140"/>
            </w:tcMar>
          </w:tcPr>
          <w:p>
            <w:r>
              <w:rPr>
                <w:b w:val="false"/>
                <w:bCs w:val="false"/>
                <w:sz w:val="20"/>
                <w:szCs w:val="20"/>
              </w:rPr>
              <w:t xml:space="preserve">App development infrastructure</w:t>
            </w:r>
          </w:p>
        </w:tc>
        <w:tc>
          <w:tcPr>
            <w:tcW w:type="dxa" w:w="3760"/>
            <w:tcBorders>
              <w:top w:val="single" w:color="D1D5DB" w:sz="4"/>
              <w:left w:val="single" w:color="D1D5DB" w:sz="4"/>
              <w:bottom w:val="single" w:color="D1D5DB" w:sz="4"/>
              <w:right w:val="single" w:color="D1D5DB" w:sz="4"/>
            </w:tcBorders>
            <w:tcMar>
              <w:top w:type="dxa" w:w="100"/>
              <w:left w:type="dxa" w:w="140"/>
              <w:bottom w:type="dxa" w:w="100"/>
              <w:right w:type="dxa" w:w="140"/>
            </w:tcMar>
          </w:tcPr>
          <w:p>
            <w:r>
              <w:rPr>
                <w:b w:val="false"/>
                <w:bCs w:val="false"/>
                <w:sz w:val="20"/>
                <w:szCs w:val="20"/>
              </w:rPr>
              <w:t xml:space="preserve">Build and deployment data only, no user data</w:t>
            </w:r>
          </w:p>
        </w:tc>
      </w:tr>
    </w:tbl>
    <w:p>
      <w:pPr>
        <w:spacing w:after="100"/>
      </w:pPr>
      <w:r>
        <w:t xml:space="preserve"> </w:t>
      </w:r>
    </w:p>
    <w:p>
      <w:pPr>
        <w:spacing w:after="140"/>
      </w:pPr>
      <w:r>
        <w:rPr>
          <w:sz w:val="22"/>
          <w:szCs w:val="22"/>
        </w:rPr>
        <w:t xml:space="preserve">All service providers are contractually required to use your data only for the purposes for which we engage them. We do not authorize them to use your data for their own commercial purposes.</w:t>
      </w:r>
    </w:p>
    <w:p>
      <w:pPr>
        <w:pStyle w:val="Heading2"/>
        <w:spacing w:after="120" w:before="220"/>
      </w:pPr>
      <w:r>
        <w:rPr>
          <w:b/>
          <w:bCs/>
          <w:color w:val="374151"/>
          <w:sz w:val="26"/>
          <w:szCs w:val="26"/>
        </w:rPr>
        <w:t xml:space="preserve">6.3 We do NOT share with</w:t>
      </w:r>
    </w:p>
    <w:p>
      <w:pPr>
        <w:pStyle w:val="ListParagraph"/>
        <w:numPr>
          <w:ilvl w:val="0"/>
          <w:numId w:val="2"/>
        </w:numPr>
        <w:spacing w:after="80"/>
      </w:pPr>
      <w:r>
        <w:rPr>
          <w:sz w:val="22"/>
          <w:szCs w:val="22"/>
        </w:rPr>
        <w:t xml:space="preserve">Advertisers, marketing networks, or data brokers.</w:t>
      </w:r>
    </w:p>
    <w:p>
      <w:pPr>
        <w:pStyle w:val="ListParagraph"/>
        <w:numPr>
          <w:ilvl w:val="0"/>
          <w:numId w:val="2"/>
        </w:numPr>
        <w:spacing w:after="80"/>
      </w:pPr>
      <w:r>
        <w:rPr>
          <w:sz w:val="22"/>
          <w:szCs w:val="22"/>
        </w:rPr>
        <w:t xml:space="preserve">Insurance companies, unless you explicitly initiate such a share.</w:t>
      </w:r>
    </w:p>
    <w:p>
      <w:pPr>
        <w:pStyle w:val="ListParagraph"/>
        <w:numPr>
          <w:ilvl w:val="0"/>
          <w:numId w:val="2"/>
        </w:numPr>
        <w:spacing w:after="80"/>
      </w:pPr>
      <w:r>
        <w:rPr>
          <w:sz w:val="22"/>
          <w:szCs w:val="22"/>
        </w:rPr>
        <w:t xml:space="preserve">Hospitals, clinics, or doctors, unless you explicitly add them as a shared family member contact (this feature may be added in the future).</w:t>
      </w:r>
    </w:p>
    <w:p>
      <w:pPr>
        <w:pStyle w:val="ListParagraph"/>
        <w:numPr>
          <w:ilvl w:val="0"/>
          <w:numId w:val="2"/>
        </w:numPr>
        <w:spacing w:after="80"/>
      </w:pPr>
      <w:r>
        <w:rPr>
          <w:sz w:val="22"/>
          <w:szCs w:val="22"/>
        </w:rPr>
        <w:t xml:space="preserve">Government authorities, except where required by valid legal process (see Section 6.4).</w:t>
      </w:r>
    </w:p>
    <w:p>
      <w:pPr>
        <w:pStyle w:val="Heading2"/>
        <w:spacing w:after="120" w:before="220"/>
      </w:pPr>
      <w:r>
        <w:rPr>
          <w:b/>
          <w:bCs/>
          <w:color w:val="374151"/>
          <w:sz w:val="26"/>
          <w:szCs w:val="26"/>
        </w:rPr>
        <w:t xml:space="preserve">6.4 Legal disclosures</w:t>
      </w:r>
    </w:p>
    <w:p>
      <w:pPr>
        <w:spacing w:after="140"/>
      </w:pPr>
      <w:r>
        <w:rPr>
          <w:sz w:val="22"/>
          <w:szCs w:val="22"/>
        </w:rPr>
        <w:t xml:space="preserve">We may disclose your information to government or law enforcement authorities if required by:</w:t>
      </w:r>
    </w:p>
    <w:p>
      <w:pPr>
        <w:pStyle w:val="ListParagraph"/>
        <w:numPr>
          <w:ilvl w:val="0"/>
          <w:numId w:val="2"/>
        </w:numPr>
        <w:spacing w:after="80"/>
      </w:pPr>
      <w:r>
        <w:rPr>
          <w:sz w:val="22"/>
          <w:szCs w:val="22"/>
        </w:rPr>
        <w:t xml:space="preserve">A valid court order, subpoena, or legal process under Indian law or applicable foreign law.</w:t>
      </w:r>
    </w:p>
    <w:p>
      <w:pPr>
        <w:pStyle w:val="ListParagraph"/>
        <w:numPr>
          <w:ilvl w:val="0"/>
          <w:numId w:val="2"/>
        </w:numPr>
        <w:spacing w:after="80"/>
      </w:pPr>
      <w:r>
        <w:rPr>
          <w:sz w:val="22"/>
          <w:szCs w:val="22"/>
        </w:rPr>
        <w:t xml:space="preserve">Investigation into fraud, security incidents, or threats to user safety.</w:t>
      </w:r>
    </w:p>
    <w:p>
      <w:pPr>
        <w:pStyle w:val="ListParagraph"/>
        <w:numPr>
          <w:ilvl w:val="0"/>
          <w:numId w:val="2"/>
        </w:numPr>
        <w:spacing w:after="80"/>
      </w:pPr>
      <w:r>
        <w:rPr>
          <w:sz w:val="22"/>
          <w:szCs w:val="22"/>
        </w:rPr>
        <w:t xml:space="preserve">Compliance with national security or law enforcement requirements under DPDP Act Section 17 exemptions.</w:t>
      </w:r>
    </w:p>
    <w:p>
      <w:pPr>
        <w:spacing w:after="100"/>
      </w:pPr>
      <w:r>
        <w:t xml:space="preserve"> </w:t>
      </w:r>
    </w:p>
    <w:p>
      <w:pPr>
        <w:spacing w:after="140"/>
      </w:pPr>
      <w:r>
        <w:rPr>
          <w:sz w:val="22"/>
          <w:szCs w:val="22"/>
        </w:rPr>
        <w:t xml:space="preserve">We will notify you of such disclosures unless prohibited by law.</w:t>
      </w:r>
    </w:p>
    <w:p>
      <w:pPr>
        <w:spacing w:after="100"/>
      </w:pPr>
      <w:r>
        <w:t xml:space="preserve"> </w:t>
      </w:r>
    </w:p>
    <w:p>
      <w:pPr>
        <w:pStyle w:val="Heading1"/>
        <w:spacing w:after="160" w:before="280"/>
      </w:pPr>
      <w:r>
        <w:rPr>
          <w:b/>
          <w:bCs/>
          <w:color w:val="075F6E"/>
          <w:sz w:val="32"/>
          <w:szCs w:val="32"/>
        </w:rPr>
        <w:t xml:space="preserve">7. Data Storage and Security</w:t>
      </w:r>
    </w:p>
    <w:p>
      <w:pPr>
        <w:pStyle w:val="Heading2"/>
        <w:spacing w:after="120" w:before="220"/>
      </w:pPr>
      <w:r>
        <w:rPr>
          <w:b/>
          <w:bCs/>
          <w:color w:val="374151"/>
          <w:sz w:val="26"/>
          <w:szCs w:val="26"/>
        </w:rPr>
        <w:t xml:space="preserve">7.1 Where your data is stored</w:t>
      </w:r>
    </w:p>
    <w:p>
      <w:pPr>
        <w:spacing w:after="140"/>
      </w:pPr>
      <w:r>
        <w:rPr>
          <w:sz w:val="22"/>
          <w:szCs w:val="22"/>
        </w:rPr>
        <w:t xml:space="preserve">All MedRecord data is stored on infrastructure provided by Supabase Inc., located in India (Mumbai region) to comply with Indian data localization preferences and reduce latency for Indian users. Cross-border transfers to NRI users in the United States or other countries occur only as needed to fulfill their access requests via secure encrypted channels.</w:t>
      </w:r>
    </w:p>
    <w:p>
      <w:pPr>
        <w:pStyle w:val="Heading2"/>
        <w:spacing w:after="120" w:before="220"/>
      </w:pPr>
      <w:r>
        <w:rPr>
          <w:b/>
          <w:bCs/>
          <w:color w:val="374151"/>
          <w:sz w:val="26"/>
          <w:szCs w:val="26"/>
        </w:rPr>
        <w:t xml:space="preserve">7.2 Security measures</w:t>
      </w:r>
    </w:p>
    <w:p>
      <w:pPr>
        <w:spacing w:after="140"/>
      </w:pPr>
      <w:r>
        <w:rPr>
          <w:sz w:val="22"/>
          <w:szCs w:val="22"/>
        </w:rPr>
        <w:t xml:space="preserve">We implement the following technical and organizational security measures:</w:t>
      </w:r>
    </w:p>
    <w:p>
      <w:pPr>
        <w:pStyle w:val="ListParagraph"/>
        <w:numPr>
          <w:ilvl w:val="0"/>
          <w:numId w:val="2"/>
        </w:numPr>
        <w:spacing w:after="80"/>
      </w:pPr>
      <w:r>
        <w:rPr>
          <w:sz w:val="22"/>
          <w:szCs w:val="22"/>
        </w:rPr>
        <w:t xml:space="preserve">Encryption in transit using TLS 1.2+ for all client-server communication.</w:t>
      </w:r>
    </w:p>
    <w:p>
      <w:pPr>
        <w:pStyle w:val="ListParagraph"/>
        <w:numPr>
          <w:ilvl w:val="0"/>
          <w:numId w:val="2"/>
        </w:numPr>
        <w:spacing w:after="80"/>
      </w:pPr>
      <w:r>
        <w:rPr>
          <w:sz w:val="22"/>
          <w:szCs w:val="22"/>
        </w:rPr>
        <w:t xml:space="preserve">Encryption at rest for all stored data, including health records, voice notes, and original document files.</w:t>
      </w:r>
    </w:p>
    <w:p>
      <w:pPr>
        <w:pStyle w:val="ListParagraph"/>
        <w:numPr>
          <w:ilvl w:val="0"/>
          <w:numId w:val="2"/>
        </w:numPr>
        <w:spacing w:after="80"/>
      </w:pPr>
      <w:r>
        <w:rPr>
          <w:sz w:val="22"/>
          <w:szCs w:val="22"/>
        </w:rPr>
        <w:t xml:space="preserve">Authentication via phone OTP, with secure session tokens (JWT).</w:t>
      </w:r>
    </w:p>
    <w:p>
      <w:pPr>
        <w:pStyle w:val="ListParagraph"/>
        <w:numPr>
          <w:ilvl w:val="0"/>
          <w:numId w:val="2"/>
        </w:numPr>
        <w:spacing w:after="80"/>
      </w:pPr>
      <w:r>
        <w:rPr>
          <w:sz w:val="22"/>
          <w:szCs w:val="22"/>
        </w:rPr>
        <w:t xml:space="preserve">Row-Level Security (RLS) enforced at the database layer, ensuring users can only access their own data or data shared with them.</w:t>
      </w:r>
    </w:p>
    <w:p>
      <w:pPr>
        <w:pStyle w:val="ListParagraph"/>
        <w:numPr>
          <w:ilvl w:val="0"/>
          <w:numId w:val="2"/>
        </w:numPr>
        <w:spacing w:after="80"/>
      </w:pPr>
      <w:r>
        <w:rPr>
          <w:sz w:val="22"/>
          <w:szCs w:val="22"/>
        </w:rPr>
        <w:t xml:space="preserve">Signed URLs with short expiry windows (1 hour) for accessing original documents and audio files.</w:t>
      </w:r>
    </w:p>
    <w:p>
      <w:pPr>
        <w:pStyle w:val="ListParagraph"/>
        <w:numPr>
          <w:ilvl w:val="0"/>
          <w:numId w:val="2"/>
        </w:numPr>
        <w:spacing w:after="80"/>
      </w:pPr>
      <w:r>
        <w:rPr>
          <w:sz w:val="22"/>
          <w:szCs w:val="22"/>
        </w:rPr>
        <w:t xml:space="preserve">Crash and error monitoring via Sentry, with health-data sanitization to prevent accidental logging of sensitive content.</w:t>
      </w:r>
    </w:p>
    <w:p>
      <w:pPr>
        <w:pStyle w:val="ListParagraph"/>
        <w:numPr>
          <w:ilvl w:val="0"/>
          <w:numId w:val="2"/>
        </w:numPr>
        <w:spacing w:after="80"/>
      </w:pPr>
      <w:r>
        <w:rPr>
          <w:sz w:val="22"/>
          <w:szCs w:val="22"/>
        </w:rPr>
        <w:t xml:space="preserve">Regular security reviews and dependency updates.</w:t>
      </w:r>
    </w:p>
    <w:p>
      <w:pPr>
        <w:pStyle w:val="Heading2"/>
        <w:spacing w:after="120" w:before="220"/>
      </w:pPr>
      <w:r>
        <w:rPr>
          <w:b/>
          <w:bCs/>
          <w:color w:val="374151"/>
          <w:sz w:val="26"/>
          <w:szCs w:val="26"/>
        </w:rPr>
        <w:t xml:space="preserve">7.3 Breach notification</w:t>
      </w:r>
    </w:p>
    <w:p>
      <w:pPr>
        <w:spacing w:after="140"/>
      </w:pPr>
      <w:r>
        <w:rPr>
          <w:sz w:val="22"/>
          <w:szCs w:val="22"/>
        </w:rPr>
        <w:t xml:space="preserve">In the event of a personal data breach that risks harm to you, we will:</w:t>
      </w:r>
    </w:p>
    <w:p>
      <w:pPr>
        <w:pStyle w:val="ListParagraph"/>
        <w:numPr>
          <w:ilvl w:val="0"/>
          <w:numId w:val="2"/>
        </w:numPr>
        <w:spacing w:after="80"/>
      </w:pPr>
      <w:r>
        <w:rPr>
          <w:sz w:val="22"/>
          <w:szCs w:val="22"/>
        </w:rPr>
        <w:t xml:space="preserve">Notify the Data Protection Board of India within 72 hours, as required by the DPDP Act.</w:t>
      </w:r>
    </w:p>
    <w:p>
      <w:pPr>
        <w:pStyle w:val="ListParagraph"/>
        <w:numPr>
          <w:ilvl w:val="0"/>
          <w:numId w:val="2"/>
        </w:numPr>
        <w:spacing w:after="80"/>
      </w:pPr>
      <w:r>
        <w:rPr>
          <w:sz w:val="22"/>
          <w:szCs w:val="22"/>
        </w:rPr>
        <w:t xml:space="preserve">Notify affected users without undue delay through the app and the email associated with your account.</w:t>
      </w:r>
    </w:p>
    <w:p>
      <w:pPr>
        <w:pStyle w:val="ListParagraph"/>
        <w:numPr>
          <w:ilvl w:val="0"/>
          <w:numId w:val="2"/>
        </w:numPr>
        <w:spacing w:after="80"/>
      </w:pPr>
      <w:r>
        <w:rPr>
          <w:sz w:val="22"/>
          <w:szCs w:val="22"/>
        </w:rPr>
        <w:t xml:space="preserve">Take immediate steps to contain the breach and prevent recurrence.</w:t>
      </w:r>
    </w:p>
    <w:p>
      <w:pPr>
        <w:spacing w:after="100"/>
      </w:pPr>
      <w:r>
        <w:t xml:space="preserve"> </w:t>
      </w:r>
    </w:p>
    <w:p>
      <w:pPr>
        <w:pStyle w:val="Heading1"/>
        <w:spacing w:after="160" w:before="280"/>
      </w:pPr>
      <w:r>
        <w:rPr>
          <w:b/>
          <w:bCs/>
          <w:color w:val="075F6E"/>
          <w:sz w:val="32"/>
          <w:szCs w:val="32"/>
        </w:rPr>
        <w:t xml:space="preserve">8. Data Retention</w:t>
      </w:r>
    </w:p>
    <w:p>
      <w:pPr>
        <w:spacing w:after="140"/>
      </w:pPr>
      <w:r>
        <w:rPr>
          <w:sz w:val="22"/>
          <w:szCs w:val="22"/>
        </w:rPr>
        <w:t xml:space="preserve">We retain your information only as long as necessary to provide the Service. Specifically: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1D5DB" w:sz="4"/>
              <w:left w:val="single" w:color="D1D5DB" w:sz="4"/>
              <w:bottom w:val="single" w:color="D1D5DB" w:sz="4"/>
              <w:right w:val="single" w:color="D1D5DB" w:sz="4"/>
            </w:tcBorders>
            <w:shd w:fill="E0F2F5" w:val="clear"/>
            <w:tcMar>
              <w:top w:type="dxa" w:w="100"/>
              <w:left w:type="dxa" w:w="140"/>
              <w:bottom w:type="dxa" w:w="100"/>
              <w:right w:type="dxa" w:w="140"/>
            </w:tcMar>
          </w:tcPr>
          <w:p>
            <w:r>
              <w:rPr>
                <w:b/>
                <w:bCs/>
                <w:sz w:val="20"/>
                <w:szCs w:val="20"/>
              </w:rPr>
              <w:t xml:space="preserve">Data type</w:t>
            </w:r>
          </w:p>
        </w:tc>
        <w:tc>
          <w:tcPr>
            <w:tcW w:type="dxa" w:w="6360"/>
            <w:tcBorders>
              <w:top w:val="single" w:color="D1D5DB" w:sz="4"/>
              <w:left w:val="single" w:color="D1D5DB" w:sz="4"/>
              <w:bottom w:val="single" w:color="D1D5DB" w:sz="4"/>
              <w:right w:val="single" w:color="D1D5DB" w:sz="4"/>
            </w:tcBorders>
            <w:shd w:fill="E0F2F5" w:val="clear"/>
            <w:tcMar>
              <w:top w:type="dxa" w:w="100"/>
              <w:left w:type="dxa" w:w="140"/>
              <w:bottom w:type="dxa" w:w="100"/>
              <w:right w:type="dxa" w:w="140"/>
            </w:tcMar>
          </w:tcPr>
          <w:p>
            <w:r>
              <w:rPr>
                <w:b/>
                <w:bCs/>
                <w:sz w:val="20"/>
                <w:szCs w:val="20"/>
              </w:rPr>
              <w:t xml:space="preserve">Retention policy</w:t>
            </w:r>
          </w:p>
        </w:tc>
      </w:tr>
      <w:tr>
        <w:tc>
          <w:tcPr>
            <w:tcW w:type="dxa" w:w="3000"/>
            <w:tcBorders>
              <w:top w:val="single" w:color="D1D5DB" w:sz="4"/>
              <w:left w:val="single" w:color="D1D5DB" w:sz="4"/>
              <w:bottom w:val="single" w:color="D1D5DB" w:sz="4"/>
              <w:right w:val="single" w:color="D1D5DB" w:sz="4"/>
            </w:tcBorders>
            <w:tcMar>
              <w:top w:type="dxa" w:w="100"/>
              <w:left w:type="dxa" w:w="140"/>
              <w:bottom w:type="dxa" w:w="100"/>
              <w:right w:type="dxa" w:w="140"/>
            </w:tcMar>
          </w:tcPr>
          <w:p>
            <w:r>
              <w:rPr>
                <w:b w:val="false"/>
                <w:bCs w:val="false"/>
                <w:sz w:val="20"/>
                <w:szCs w:val="20"/>
              </w:rPr>
              <w:t xml:space="preserve">Active account data (health records, family info)</w:t>
            </w:r>
          </w:p>
        </w:tc>
        <w:tc>
          <w:tcPr>
            <w:tcW w:type="dxa" w:w="6360"/>
            <w:tcBorders>
              <w:top w:val="single" w:color="D1D5DB" w:sz="4"/>
              <w:left w:val="single" w:color="D1D5DB" w:sz="4"/>
              <w:bottom w:val="single" w:color="D1D5DB" w:sz="4"/>
              <w:right w:val="single" w:color="D1D5DB" w:sz="4"/>
            </w:tcBorders>
            <w:tcMar>
              <w:top w:type="dxa" w:w="100"/>
              <w:left w:type="dxa" w:w="140"/>
              <w:bottom w:type="dxa" w:w="100"/>
              <w:right w:type="dxa" w:w="140"/>
            </w:tcMar>
          </w:tcPr>
          <w:p>
            <w:r>
              <w:rPr>
                <w:b w:val="false"/>
                <w:bCs w:val="false"/>
                <w:sz w:val="20"/>
                <w:szCs w:val="20"/>
              </w:rPr>
              <w:t xml:space="preserve">Retained for as long as your account is active</w:t>
            </w:r>
          </w:p>
        </w:tc>
      </w:tr>
      <w:tr>
        <w:tc>
          <w:tcPr>
            <w:tcW w:type="dxa" w:w="3000"/>
            <w:tcBorders>
              <w:top w:val="single" w:color="D1D5DB" w:sz="4"/>
              <w:left w:val="single" w:color="D1D5DB" w:sz="4"/>
              <w:bottom w:val="single" w:color="D1D5DB" w:sz="4"/>
              <w:right w:val="single" w:color="D1D5DB" w:sz="4"/>
            </w:tcBorders>
            <w:tcMar>
              <w:top w:type="dxa" w:w="100"/>
              <w:left w:type="dxa" w:w="140"/>
              <w:bottom w:type="dxa" w:w="100"/>
              <w:right w:type="dxa" w:w="140"/>
            </w:tcMar>
          </w:tcPr>
          <w:p>
            <w:r>
              <w:rPr>
                <w:b w:val="false"/>
                <w:bCs w:val="false"/>
                <w:sz w:val="20"/>
                <w:szCs w:val="20"/>
              </w:rPr>
              <w:t xml:space="preserve">Account deleted by user</w:t>
            </w:r>
          </w:p>
        </w:tc>
        <w:tc>
          <w:tcPr>
            <w:tcW w:type="dxa" w:w="6360"/>
            <w:tcBorders>
              <w:top w:val="single" w:color="D1D5DB" w:sz="4"/>
              <w:left w:val="single" w:color="D1D5DB" w:sz="4"/>
              <w:bottom w:val="single" w:color="D1D5DB" w:sz="4"/>
              <w:right w:val="single" w:color="D1D5DB" w:sz="4"/>
            </w:tcBorders>
            <w:tcMar>
              <w:top w:type="dxa" w:w="100"/>
              <w:left w:type="dxa" w:w="140"/>
              <w:bottom w:type="dxa" w:w="100"/>
              <w:right w:type="dxa" w:w="140"/>
            </w:tcMar>
          </w:tcPr>
          <w:p>
            <w:r>
              <w:rPr>
                <w:b w:val="false"/>
                <w:bCs w:val="false"/>
                <w:sz w:val="20"/>
                <w:szCs w:val="20"/>
              </w:rPr>
              <w:t xml:space="preserve">All personal data deleted within 30 days of deletion request</w:t>
            </w:r>
          </w:p>
        </w:tc>
      </w:tr>
      <w:tr>
        <w:tc>
          <w:tcPr>
            <w:tcW w:type="dxa" w:w="3000"/>
            <w:tcBorders>
              <w:top w:val="single" w:color="D1D5DB" w:sz="4"/>
              <w:left w:val="single" w:color="D1D5DB" w:sz="4"/>
              <w:bottom w:val="single" w:color="D1D5DB" w:sz="4"/>
              <w:right w:val="single" w:color="D1D5DB" w:sz="4"/>
            </w:tcBorders>
            <w:tcMar>
              <w:top w:type="dxa" w:w="100"/>
              <w:left w:type="dxa" w:w="140"/>
              <w:bottom w:type="dxa" w:w="100"/>
              <w:right w:type="dxa" w:w="140"/>
            </w:tcMar>
          </w:tcPr>
          <w:p>
            <w:r>
              <w:rPr>
                <w:b w:val="false"/>
                <w:bCs w:val="false"/>
                <w:sz w:val="20"/>
                <w:szCs w:val="20"/>
              </w:rPr>
              <w:t xml:space="preserve">Backup copies</w:t>
            </w:r>
          </w:p>
        </w:tc>
        <w:tc>
          <w:tcPr>
            <w:tcW w:type="dxa" w:w="6360"/>
            <w:tcBorders>
              <w:top w:val="single" w:color="D1D5DB" w:sz="4"/>
              <w:left w:val="single" w:color="D1D5DB" w:sz="4"/>
              <w:bottom w:val="single" w:color="D1D5DB" w:sz="4"/>
              <w:right w:val="single" w:color="D1D5DB" w:sz="4"/>
            </w:tcBorders>
            <w:tcMar>
              <w:top w:type="dxa" w:w="100"/>
              <w:left w:type="dxa" w:w="140"/>
              <w:bottom w:type="dxa" w:w="100"/>
              <w:right w:type="dxa" w:w="140"/>
            </w:tcMar>
          </w:tcPr>
          <w:p>
            <w:r>
              <w:rPr>
                <w:b w:val="false"/>
                <w:bCs w:val="false"/>
                <w:sz w:val="20"/>
                <w:szCs w:val="20"/>
              </w:rPr>
              <w:t xml:space="preserve">Encrypted backups purged within 90 days of account deletion</w:t>
            </w:r>
          </w:p>
        </w:tc>
      </w:tr>
      <w:tr>
        <w:tc>
          <w:tcPr>
            <w:tcW w:type="dxa" w:w="3000"/>
            <w:tcBorders>
              <w:top w:val="single" w:color="D1D5DB" w:sz="4"/>
              <w:left w:val="single" w:color="D1D5DB" w:sz="4"/>
              <w:bottom w:val="single" w:color="D1D5DB" w:sz="4"/>
              <w:right w:val="single" w:color="D1D5DB" w:sz="4"/>
            </w:tcBorders>
            <w:tcMar>
              <w:top w:type="dxa" w:w="100"/>
              <w:left w:type="dxa" w:w="140"/>
              <w:bottom w:type="dxa" w:w="100"/>
              <w:right w:type="dxa" w:w="140"/>
            </w:tcMar>
          </w:tcPr>
          <w:p>
            <w:r>
              <w:rPr>
                <w:b w:val="false"/>
                <w:bCs w:val="false"/>
                <w:sz w:val="20"/>
                <w:szCs w:val="20"/>
              </w:rPr>
              <w:t xml:space="preserve">Crash and error logs</w:t>
            </w:r>
          </w:p>
        </w:tc>
        <w:tc>
          <w:tcPr>
            <w:tcW w:type="dxa" w:w="6360"/>
            <w:tcBorders>
              <w:top w:val="single" w:color="D1D5DB" w:sz="4"/>
              <w:left w:val="single" w:color="D1D5DB" w:sz="4"/>
              <w:bottom w:val="single" w:color="D1D5DB" w:sz="4"/>
              <w:right w:val="single" w:color="D1D5DB" w:sz="4"/>
            </w:tcBorders>
            <w:tcMar>
              <w:top w:type="dxa" w:w="100"/>
              <w:left w:type="dxa" w:w="140"/>
              <w:bottom w:type="dxa" w:w="100"/>
              <w:right w:type="dxa" w:w="140"/>
            </w:tcMar>
          </w:tcPr>
          <w:p>
            <w:r>
              <w:rPr>
                <w:b w:val="false"/>
                <w:bCs w:val="false"/>
                <w:sz w:val="20"/>
                <w:szCs w:val="20"/>
              </w:rPr>
              <w:t xml:space="preserve">30 days (anonymized, no health data)</w:t>
            </w:r>
          </w:p>
        </w:tc>
      </w:tr>
      <w:tr>
        <w:tc>
          <w:tcPr>
            <w:tcW w:type="dxa" w:w="3000"/>
            <w:tcBorders>
              <w:top w:val="single" w:color="D1D5DB" w:sz="4"/>
              <w:left w:val="single" w:color="D1D5DB" w:sz="4"/>
              <w:bottom w:val="single" w:color="D1D5DB" w:sz="4"/>
              <w:right w:val="single" w:color="D1D5DB" w:sz="4"/>
            </w:tcBorders>
            <w:tcMar>
              <w:top w:type="dxa" w:w="100"/>
              <w:left w:type="dxa" w:w="140"/>
              <w:bottom w:type="dxa" w:w="100"/>
              <w:right w:type="dxa" w:w="140"/>
            </w:tcMar>
          </w:tcPr>
          <w:p>
            <w:r>
              <w:rPr>
                <w:b w:val="false"/>
                <w:bCs w:val="false"/>
                <w:sz w:val="20"/>
                <w:szCs w:val="20"/>
              </w:rPr>
              <w:t xml:space="preserve">Aggregated analytics</w:t>
            </w:r>
          </w:p>
        </w:tc>
        <w:tc>
          <w:tcPr>
            <w:tcW w:type="dxa" w:w="6360"/>
            <w:tcBorders>
              <w:top w:val="single" w:color="D1D5DB" w:sz="4"/>
              <w:left w:val="single" w:color="D1D5DB" w:sz="4"/>
              <w:bottom w:val="single" w:color="D1D5DB" w:sz="4"/>
              <w:right w:val="single" w:color="D1D5DB" w:sz="4"/>
            </w:tcBorders>
            <w:tcMar>
              <w:top w:type="dxa" w:w="100"/>
              <w:left w:type="dxa" w:w="140"/>
              <w:bottom w:type="dxa" w:w="100"/>
              <w:right w:type="dxa" w:w="140"/>
            </w:tcMar>
          </w:tcPr>
          <w:p>
            <w:r>
              <w:rPr>
                <w:b w:val="false"/>
                <w:bCs w:val="false"/>
                <w:sz w:val="20"/>
                <w:szCs w:val="20"/>
              </w:rPr>
              <w:t xml:space="preserve">Indefinitely (fully anonymized, cannot identify users)</w:t>
            </w:r>
          </w:p>
        </w:tc>
      </w:tr>
      <w:tr>
        <w:tc>
          <w:tcPr>
            <w:tcW w:type="dxa" w:w="3000"/>
            <w:tcBorders>
              <w:top w:val="single" w:color="D1D5DB" w:sz="4"/>
              <w:left w:val="single" w:color="D1D5DB" w:sz="4"/>
              <w:bottom w:val="single" w:color="D1D5DB" w:sz="4"/>
              <w:right w:val="single" w:color="D1D5DB" w:sz="4"/>
            </w:tcBorders>
            <w:tcMar>
              <w:top w:type="dxa" w:w="100"/>
              <w:left w:type="dxa" w:w="140"/>
              <w:bottom w:type="dxa" w:w="100"/>
              <w:right w:type="dxa" w:w="140"/>
            </w:tcMar>
          </w:tcPr>
          <w:p>
            <w:r>
              <w:rPr>
                <w:b w:val="false"/>
                <w:bCs w:val="false"/>
                <w:sz w:val="20"/>
                <w:szCs w:val="20"/>
              </w:rPr>
              <w:t xml:space="preserve">Records required for legal compliance</w:t>
            </w:r>
          </w:p>
        </w:tc>
        <w:tc>
          <w:tcPr>
            <w:tcW w:type="dxa" w:w="6360"/>
            <w:tcBorders>
              <w:top w:val="single" w:color="D1D5DB" w:sz="4"/>
              <w:left w:val="single" w:color="D1D5DB" w:sz="4"/>
              <w:bottom w:val="single" w:color="D1D5DB" w:sz="4"/>
              <w:right w:val="single" w:color="D1D5DB" w:sz="4"/>
            </w:tcBorders>
            <w:tcMar>
              <w:top w:type="dxa" w:w="100"/>
              <w:left w:type="dxa" w:w="140"/>
              <w:bottom w:type="dxa" w:w="100"/>
              <w:right w:type="dxa" w:w="140"/>
            </w:tcMar>
          </w:tcPr>
          <w:p>
            <w:r>
              <w:rPr>
                <w:b w:val="false"/>
                <w:bCs w:val="false"/>
                <w:sz w:val="20"/>
                <w:szCs w:val="20"/>
              </w:rPr>
              <w:t xml:space="preserve">As required by applicable law</w:t>
            </w:r>
          </w:p>
        </w:tc>
      </w:tr>
    </w:tbl>
    <w:p>
      <w:pPr>
        <w:spacing w:after="140"/>
      </w:pPr>
      <w:r>
        <w:rPr>
          <w:sz w:val="22"/>
          <w:szCs w:val="22"/>
        </w:rPr>
        <w:t xml:space="preserve">Inactive accounts (no login for 24+ months) may be flagged for deletion after a 90-day notice period sent to your registered email and phone number.</w:t>
      </w:r>
    </w:p>
    <w:p>
      <w:pPr>
        <w:spacing w:after="100"/>
      </w:pPr>
      <w:r>
        <w:t xml:space="preserve"> </w:t>
      </w:r>
    </w:p>
    <w:p>
      <w:pPr>
        <w:pStyle w:val="Heading1"/>
        <w:spacing w:after="160" w:before="280"/>
      </w:pPr>
      <w:r>
        <w:rPr>
          <w:b/>
          <w:bCs/>
          <w:color w:val="075F6E"/>
          <w:sz w:val="32"/>
          <w:szCs w:val="32"/>
        </w:rPr>
        <w:t xml:space="preserve">9. Your Rights</w:t>
      </w:r>
    </w:p>
    <w:p>
      <w:pPr>
        <w:spacing w:after="140"/>
      </w:pPr>
      <w:r>
        <w:rPr>
          <w:sz w:val="22"/>
          <w:szCs w:val="22"/>
        </w:rPr>
        <w:t xml:space="preserve">You have the following rights regarding your personal data:</w:t>
      </w:r>
    </w:p>
    <w:p>
      <w:pPr>
        <w:pStyle w:val="Heading2"/>
        <w:spacing w:after="120" w:before="220"/>
      </w:pPr>
      <w:r>
        <w:rPr>
          <w:b/>
          <w:bCs/>
          <w:color w:val="374151"/>
          <w:sz w:val="26"/>
          <w:szCs w:val="26"/>
        </w:rPr>
        <w:t xml:space="preserve">9.1 Right to access</w:t>
      </w:r>
    </w:p>
    <w:p>
      <w:pPr>
        <w:spacing w:after="140"/>
      </w:pPr>
      <w:r>
        <w:rPr>
          <w:sz w:val="22"/>
          <w:szCs w:val="22"/>
        </w:rPr>
        <w:t xml:space="preserve">You can view all your data within the app at any time. For machine-readable export of your records, contact us at chpavani@gmail.com and we will provide a JSON/PDF export within 30 days.</w:t>
      </w:r>
    </w:p>
    <w:p>
      <w:pPr>
        <w:pStyle w:val="Heading2"/>
        <w:spacing w:after="120" w:before="220"/>
      </w:pPr>
      <w:r>
        <w:rPr>
          <w:b/>
          <w:bCs/>
          <w:color w:val="374151"/>
          <w:sz w:val="26"/>
          <w:szCs w:val="26"/>
        </w:rPr>
        <w:t xml:space="preserve">9.2 Right to correction</w:t>
      </w:r>
    </w:p>
    <w:p>
      <w:pPr>
        <w:spacing w:after="140"/>
      </w:pPr>
      <w:r>
        <w:rPr>
          <w:sz w:val="22"/>
          <w:szCs w:val="22"/>
        </w:rPr>
        <w:t xml:space="preserve">You can edit any record at any time directly in the app. If you cannot edit something (e.g. an auto-generated identifier), contact us.</w:t>
      </w:r>
    </w:p>
    <w:p>
      <w:pPr>
        <w:pStyle w:val="Heading2"/>
        <w:spacing w:after="120" w:before="220"/>
      </w:pPr>
      <w:r>
        <w:rPr>
          <w:b/>
          <w:bCs/>
          <w:color w:val="374151"/>
          <w:sz w:val="26"/>
          <w:szCs w:val="26"/>
        </w:rPr>
        <w:t xml:space="preserve">9.3 Right to deletion</w:t>
      </w:r>
    </w:p>
    <w:p>
      <w:pPr>
        <w:spacing w:after="140"/>
      </w:pPr>
      <w:r>
        <w:rPr>
          <w:sz w:val="22"/>
          <w:szCs w:val="22"/>
        </w:rPr>
        <w:t xml:space="preserve">You can delete individual records or your entire account at any time from within the app. Once deleted:</w:t>
      </w:r>
    </w:p>
    <w:p>
      <w:pPr>
        <w:pStyle w:val="ListParagraph"/>
        <w:numPr>
          <w:ilvl w:val="0"/>
          <w:numId w:val="2"/>
        </w:numPr>
        <w:spacing w:after="80"/>
      </w:pPr>
      <w:r>
        <w:rPr>
          <w:sz w:val="22"/>
          <w:szCs w:val="22"/>
        </w:rPr>
        <w:t xml:space="preserve">Personal data is removed from active databases within 7 days.</w:t>
      </w:r>
    </w:p>
    <w:p>
      <w:pPr>
        <w:pStyle w:val="ListParagraph"/>
        <w:numPr>
          <w:ilvl w:val="0"/>
          <w:numId w:val="2"/>
        </w:numPr>
        <w:spacing w:after="80"/>
      </w:pPr>
      <w:r>
        <w:rPr>
          <w:sz w:val="22"/>
          <w:szCs w:val="22"/>
        </w:rPr>
        <w:t xml:space="preserve">Backup copies are purged within 90 days.</w:t>
      </w:r>
    </w:p>
    <w:p>
      <w:pPr>
        <w:pStyle w:val="ListParagraph"/>
        <w:numPr>
          <w:ilvl w:val="0"/>
          <w:numId w:val="2"/>
        </w:numPr>
        <w:spacing w:after="80"/>
      </w:pPr>
      <w:r>
        <w:rPr>
          <w:sz w:val="22"/>
          <w:szCs w:val="22"/>
        </w:rPr>
        <w:t xml:space="preserve">Anonymized statistical data may be retained but cannot be linked back to you.</w:t>
      </w:r>
    </w:p>
    <w:p>
      <w:pPr>
        <w:pStyle w:val="Heading2"/>
        <w:spacing w:after="120" w:before="220"/>
      </w:pPr>
      <w:r>
        <w:rPr>
          <w:b/>
          <w:bCs/>
          <w:color w:val="374151"/>
          <w:sz w:val="26"/>
          <w:szCs w:val="26"/>
        </w:rPr>
        <w:t xml:space="preserve">9.4 Right to withdraw consent</w:t>
      </w:r>
    </w:p>
    <w:p>
      <w:pPr>
        <w:spacing w:after="140"/>
      </w:pPr>
      <w:r>
        <w:rPr>
          <w:sz w:val="22"/>
          <w:szCs w:val="22"/>
        </w:rPr>
        <w:t xml:space="preserve">You may withdraw consent for any specific data processing at any time. Withdrawing core consent (e.g. consent to store health records) effectively means deleting your account. Withdrawing consent for optional features (e.g. AI parsing of new uploads) only stops future processing.</w:t>
      </w:r>
    </w:p>
    <w:p>
      <w:pPr>
        <w:pStyle w:val="Heading2"/>
        <w:spacing w:after="120" w:before="220"/>
      </w:pPr>
      <w:r>
        <w:rPr>
          <w:b/>
          <w:bCs/>
          <w:color w:val="374151"/>
          <w:sz w:val="26"/>
          <w:szCs w:val="26"/>
        </w:rPr>
        <w:t xml:space="preserve">9.5 Right to portability</w:t>
      </w:r>
    </w:p>
    <w:p>
      <w:pPr>
        <w:spacing w:after="140"/>
      </w:pPr>
      <w:r>
        <w:rPr>
          <w:sz w:val="22"/>
          <w:szCs w:val="22"/>
        </w:rPr>
        <w:t xml:space="preserve">You can request a portable copy of your data in JSON format. We will provide this within 30 days at no cost.</w:t>
      </w:r>
    </w:p>
    <w:p>
      <w:pPr>
        <w:pStyle w:val="Heading2"/>
        <w:spacing w:after="120" w:before="220"/>
      </w:pPr>
      <w:r>
        <w:rPr>
          <w:b/>
          <w:bCs/>
          <w:color w:val="374151"/>
          <w:sz w:val="26"/>
          <w:szCs w:val="26"/>
        </w:rPr>
        <w:t xml:space="preserve">9.6 Right to grievance redressal</w:t>
      </w:r>
    </w:p>
    <w:p>
      <w:pPr>
        <w:spacing w:after="140"/>
      </w:pPr>
      <w:r>
        <w:rPr>
          <w:sz w:val="22"/>
          <w:szCs w:val="22"/>
        </w:rPr>
        <w:t xml:space="preserve">If you believe your privacy rights have been violated, contact our Grievance Officer (see Section 14). If you are not satisfied with the resolution, you may approach the Data Protection Board of India under the DPDP Act.</w:t>
      </w:r>
    </w:p>
    <w:p>
      <w:pPr>
        <w:pStyle w:val="Heading2"/>
        <w:spacing w:after="120" w:before="220"/>
      </w:pPr>
      <w:r>
        <w:rPr>
          <w:b/>
          <w:bCs/>
          <w:color w:val="374151"/>
          <w:sz w:val="26"/>
          <w:szCs w:val="26"/>
        </w:rPr>
        <w:t xml:space="preserve">9.7 Right to nominate</w:t>
      </w:r>
    </w:p>
    <w:p>
      <w:pPr>
        <w:spacing w:after="140"/>
      </w:pPr>
      <w:r>
        <w:rPr>
          <w:sz w:val="22"/>
          <w:szCs w:val="22"/>
        </w:rPr>
        <w:t xml:space="preserve">Under the DPDP Act, you may nominate another person to exercise these rights on your behalf in the event of your death or incapacity. To register a nominee, contact us at chpavani@gmail.com.</w:t>
      </w:r>
    </w:p>
    <w:p>
      <w:pPr>
        <w:spacing w:after="100"/>
      </w:pPr>
      <w:r>
        <w:t xml:space="preserve"> </w:t>
      </w:r>
    </w:p>
    <w:p>
      <w:pPr>
        <w:pStyle w:val="Heading1"/>
        <w:spacing w:after="160" w:before="280"/>
      </w:pPr>
      <w:r>
        <w:rPr>
          <w:b/>
          <w:bCs/>
          <w:color w:val="075F6E"/>
          <w:sz w:val="32"/>
          <w:szCs w:val="32"/>
        </w:rPr>
        <w:t xml:space="preserve">10. Children and Minors</w:t>
      </w:r>
    </w:p>
    <w:p>
      <w:pPr>
        <w:spacing w:after="140"/>
      </w:pPr>
      <w:r>
        <w:rPr>
          <w:sz w:val="22"/>
          <w:szCs w:val="22"/>
        </w:rPr>
        <w:t xml:space="preserve">MedRecord can be used to manage health records for children when added by a parent or guardian as a family member. However, MedRecord accounts are not intended for users under the age of 18 to create independently.</w:t>
      </w:r>
    </w:p>
    <w:p>
      <w:pPr>
        <w:pStyle w:val="ListParagraph"/>
        <w:numPr>
          <w:ilvl w:val="0"/>
          <w:numId w:val="2"/>
        </w:numPr>
        <w:spacing w:after="80"/>
      </w:pPr>
      <w:r>
        <w:rPr>
          <w:sz w:val="22"/>
          <w:szCs w:val="22"/>
        </w:rPr>
        <w:t xml:space="preserve">Account holders (the people who create MedRecord accounts) must be at least 18 years old.</w:t>
      </w:r>
    </w:p>
    <w:p>
      <w:pPr>
        <w:pStyle w:val="ListParagraph"/>
        <w:numPr>
          <w:ilvl w:val="0"/>
          <w:numId w:val="2"/>
        </w:numPr>
        <w:spacing w:after="80"/>
      </w:pPr>
      <w:r>
        <w:rPr>
          <w:sz w:val="22"/>
          <w:szCs w:val="22"/>
        </w:rPr>
        <w:t xml:space="preserve">Parents or guardians may add minor children as family members within their own account.</w:t>
      </w:r>
    </w:p>
    <w:p>
      <w:pPr>
        <w:pStyle w:val="ListParagraph"/>
        <w:numPr>
          <w:ilvl w:val="0"/>
          <w:numId w:val="2"/>
        </w:numPr>
        <w:spacing w:after="80"/>
      </w:pPr>
      <w:r>
        <w:rPr>
          <w:sz w:val="22"/>
          <w:szCs w:val="22"/>
        </w:rPr>
        <w:t xml:space="preserve">We do not knowingly collect personal data directly from children under 18 without parent/guardian consent.</w:t>
      </w:r>
    </w:p>
    <w:p>
      <w:pPr>
        <w:pStyle w:val="ListParagraph"/>
        <w:numPr>
          <w:ilvl w:val="0"/>
          <w:numId w:val="2"/>
        </w:numPr>
        <w:spacing w:after="80"/>
      </w:pPr>
      <w:r>
        <w:rPr>
          <w:sz w:val="22"/>
          <w:szCs w:val="22"/>
        </w:rPr>
        <w:t xml:space="preserve">If we discover that a person under 18 has created an account without parental consent, we will delete the account.</w:t>
      </w:r>
    </w:p>
    <w:p>
      <w:pPr>
        <w:pStyle w:val="ListParagraph"/>
        <w:numPr>
          <w:ilvl w:val="0"/>
          <w:numId w:val="2"/>
        </w:numPr>
        <w:spacing w:after="80"/>
      </w:pPr>
      <w:r>
        <w:rPr>
          <w:sz w:val="22"/>
          <w:szCs w:val="22"/>
        </w:rPr>
        <w:t xml:space="preserve">Parents and guardians are responsible for the records they maintain on behalf of their minor family members.</w:t>
      </w:r>
    </w:p>
    <w:p>
      <w:pPr>
        <w:spacing w:after="100"/>
      </w:pPr>
      <w:r>
        <w:t xml:space="preserve"> </w:t>
      </w:r>
    </w:p>
    <w:p>
      <w:pPr>
        <w:pStyle w:val="Heading1"/>
        <w:spacing w:after="160" w:before="280"/>
      </w:pPr>
      <w:r>
        <w:rPr>
          <w:b/>
          <w:bCs/>
          <w:color w:val="075F6E"/>
          <w:sz w:val="32"/>
          <w:szCs w:val="32"/>
        </w:rPr>
        <w:t xml:space="preserve">11. Account Deletion</w:t>
      </w:r>
    </w:p>
    <w:p>
      <w:pPr>
        <w:spacing w:after="140"/>
      </w:pPr>
      <w:r>
        <w:rPr>
          <w:sz w:val="22"/>
          <w:szCs w:val="22"/>
        </w:rPr>
        <w:t xml:space="preserve">To delete your account and all associated data:</w:t>
      </w:r>
    </w:p>
    <w:p>
      <w:pPr>
        <w:pStyle w:val="ListParagraph"/>
        <w:numPr>
          <w:ilvl w:val="0"/>
          <w:numId w:val="2"/>
        </w:numPr>
        <w:spacing w:after="80"/>
      </w:pPr>
      <w:r>
        <w:rPr>
          <w:sz w:val="22"/>
          <w:szCs w:val="22"/>
        </w:rPr>
        <w:t xml:space="preserve">Open the MedRecord app → Settings → Delete Account, OR</w:t>
      </w:r>
    </w:p>
    <w:p>
      <w:pPr>
        <w:pStyle w:val="ListParagraph"/>
        <w:numPr>
          <w:ilvl w:val="0"/>
          <w:numId w:val="2"/>
        </w:numPr>
        <w:spacing w:after="80"/>
      </w:pPr>
      <w:r>
        <w:rPr>
          <w:sz w:val="22"/>
          <w:szCs w:val="22"/>
        </w:rPr>
        <w:t xml:space="preserve">Email chpavani@gmail.com with the subject "Account Deletion Request" from your registered email.</w:t>
      </w:r>
    </w:p>
    <w:p>
      <w:pPr>
        <w:spacing w:after="100"/>
      </w:pPr>
      <w:r>
        <w:t xml:space="preserve"> </w:t>
      </w:r>
    </w:p>
    <w:p>
      <w:pPr>
        <w:spacing w:after="140"/>
      </w:pPr>
      <w:r>
        <w:rPr>
          <w:sz w:val="22"/>
          <w:szCs w:val="22"/>
        </w:rPr>
        <w:t xml:space="preserve">Upon receiving a verified deletion request, we will:</w:t>
      </w:r>
    </w:p>
    <w:p>
      <w:pPr>
        <w:pStyle w:val="ListParagraph"/>
        <w:numPr>
          <w:ilvl w:val="0"/>
          <w:numId w:val="2"/>
        </w:numPr>
        <w:spacing w:after="80"/>
      </w:pPr>
      <w:r>
        <w:rPr>
          <w:sz w:val="22"/>
          <w:szCs w:val="22"/>
        </w:rPr>
        <w:t xml:space="preserve">Delete your account within 7 working days.</w:t>
      </w:r>
    </w:p>
    <w:p>
      <w:pPr>
        <w:pStyle w:val="ListParagraph"/>
        <w:numPr>
          <w:ilvl w:val="0"/>
          <w:numId w:val="2"/>
        </w:numPr>
        <w:spacing w:after="80"/>
      </w:pPr>
      <w:r>
        <w:rPr>
          <w:sz w:val="22"/>
          <w:szCs w:val="22"/>
        </w:rPr>
        <w:t xml:space="preserve">Delete all associated health records, voice notes, original document files, and family sharing data.</w:t>
      </w:r>
    </w:p>
    <w:p>
      <w:pPr>
        <w:pStyle w:val="ListParagraph"/>
        <w:numPr>
          <w:ilvl w:val="0"/>
          <w:numId w:val="2"/>
        </w:numPr>
        <w:spacing w:after="80"/>
      </w:pPr>
      <w:r>
        <w:rPr>
          <w:sz w:val="22"/>
          <w:szCs w:val="22"/>
        </w:rPr>
        <w:t xml:space="preserve">Notify shared family members that you have left, without revealing the reason.</w:t>
      </w:r>
    </w:p>
    <w:p>
      <w:pPr>
        <w:pStyle w:val="ListParagraph"/>
        <w:numPr>
          <w:ilvl w:val="0"/>
          <w:numId w:val="2"/>
        </w:numPr>
        <w:spacing w:after="80"/>
      </w:pPr>
      <w:r>
        <w:rPr>
          <w:sz w:val="22"/>
          <w:szCs w:val="22"/>
        </w:rPr>
        <w:t xml:space="preserve">Purge encrypted backup copies within 90 days.</w:t>
      </w:r>
    </w:p>
    <w:p>
      <w:pPr>
        <w:spacing w:after="100"/>
      </w:pPr>
      <w:r>
        <w:t xml:space="preserve"> </w:t>
      </w:r>
    </w:p>
    <w:p>
      <w:pPr>
        <w:spacing w:after="140"/>
      </w:pPr>
      <w:r>
        <w:rPr>
          <w:sz w:val="22"/>
          <w:szCs w:val="22"/>
        </w:rPr>
        <w:t xml:space="preserve">Note: If you have shared family members in your account, you should transfer ownership to another family member before deletion, otherwise their records will also be deleted.</w:t>
      </w:r>
    </w:p>
    <w:p>
      <w:pPr>
        <w:spacing w:after="100"/>
      </w:pPr>
      <w:r>
        <w:t xml:space="preserve"> </w:t>
      </w:r>
    </w:p>
    <w:p>
      <w:pPr>
        <w:pStyle w:val="Heading1"/>
        <w:spacing w:after="160" w:before="280"/>
      </w:pPr>
      <w:r>
        <w:rPr>
          <w:b/>
          <w:bCs/>
          <w:color w:val="075F6E"/>
          <w:sz w:val="32"/>
          <w:szCs w:val="32"/>
        </w:rPr>
        <w:t xml:space="preserve">12. International Data Transfers</w:t>
      </w:r>
    </w:p>
    <w:p>
      <w:pPr>
        <w:spacing w:after="140"/>
      </w:pPr>
      <w:r>
        <w:rPr>
          <w:sz w:val="22"/>
          <w:szCs w:val="22"/>
        </w:rPr>
        <w:t xml:space="preserve">MedRecord primarily stores data within India. However, in the following cases, data may be transferred internationally:</w:t>
      </w:r>
    </w:p>
    <w:p>
      <w:pPr>
        <w:pStyle w:val="ListParagraph"/>
        <w:numPr>
          <w:ilvl w:val="0"/>
          <w:numId w:val="2"/>
        </w:numPr>
        <w:spacing w:after="80"/>
      </w:pPr>
      <w:r>
        <w:rPr>
          <w:sz w:val="22"/>
          <w:szCs w:val="22"/>
        </w:rPr>
        <w:t xml:space="preserve">NRI users accessing their data from outside India — secure encrypted channels handle the transfer in real time, with no persistent storage outside India.</w:t>
      </w:r>
    </w:p>
    <w:p>
      <w:pPr>
        <w:pStyle w:val="ListParagraph"/>
        <w:numPr>
          <w:ilvl w:val="0"/>
          <w:numId w:val="2"/>
        </w:numPr>
        <w:spacing w:after="80"/>
      </w:pPr>
      <w:r>
        <w:rPr>
          <w:sz w:val="22"/>
          <w:szCs w:val="22"/>
        </w:rPr>
        <w:t xml:space="preserve">Service provider operations — some providers (e.g. Sentry, Twilio) operate globally. Data transferred to these providers is governed by their privacy policies and our contractual commitments.</w:t>
      </w:r>
    </w:p>
    <w:p>
      <w:pPr>
        <w:pStyle w:val="ListParagraph"/>
        <w:numPr>
          <w:ilvl w:val="0"/>
          <w:numId w:val="2"/>
        </w:numPr>
        <w:spacing w:after="80"/>
      </w:pPr>
      <w:r>
        <w:rPr>
          <w:sz w:val="22"/>
          <w:szCs w:val="22"/>
        </w:rPr>
        <w:t xml:space="preserve">Future US data centre, if expanded — we will update this Policy and notify users before any change.</w:t>
      </w:r>
    </w:p>
    <w:p>
      <w:pPr>
        <w:spacing w:after="100"/>
      </w:pPr>
      <w:r>
        <w:t xml:space="preserve"> </w:t>
      </w:r>
    </w:p>
    <w:p>
      <w:pPr>
        <w:spacing w:after="140"/>
      </w:pPr>
      <w:r>
        <w:rPr>
          <w:sz w:val="22"/>
          <w:szCs w:val="22"/>
        </w:rPr>
        <w:t xml:space="preserve">All cross-border transfers comply with DPDP Act Section 16 (transfer restrictions and any future government notifications).</w:t>
      </w:r>
    </w:p>
    <w:p>
      <w:pPr>
        <w:spacing w:after="100"/>
      </w:pPr>
      <w:r>
        <w:t xml:space="preserve"> </w:t>
      </w:r>
    </w:p>
    <w:p>
      <w:pPr>
        <w:pStyle w:val="Heading1"/>
        <w:spacing w:after="160" w:before="280"/>
      </w:pPr>
      <w:r>
        <w:rPr>
          <w:b/>
          <w:bCs/>
          <w:color w:val="075F6E"/>
          <w:sz w:val="32"/>
          <w:szCs w:val="32"/>
        </w:rPr>
        <w:t xml:space="preserve">13. Cookies and Similar Technologies</w:t>
      </w:r>
    </w:p>
    <w:p>
      <w:pPr>
        <w:spacing w:after="140"/>
      </w:pPr>
      <w:r>
        <w:rPr>
          <w:sz w:val="22"/>
          <w:szCs w:val="22"/>
        </w:rPr>
        <w:t xml:space="preserve">MedRecord is a native mobile application and does not use traditional web cookies. We use the following storage mechanisms:</w:t>
      </w:r>
    </w:p>
    <w:p>
      <w:pPr>
        <w:pStyle w:val="ListParagraph"/>
        <w:numPr>
          <w:ilvl w:val="0"/>
          <w:numId w:val="2"/>
        </w:numPr>
        <w:spacing w:after="80"/>
      </w:pPr>
      <w:r>
        <w:rPr>
          <w:sz w:val="22"/>
          <w:szCs w:val="22"/>
        </w:rPr>
        <w:t xml:space="preserve">AsyncStorage (local device storage) — to keep you signed in and cache data for offline access.</w:t>
      </w:r>
    </w:p>
    <w:p>
      <w:pPr>
        <w:pStyle w:val="ListParagraph"/>
        <w:numPr>
          <w:ilvl w:val="0"/>
          <w:numId w:val="2"/>
        </w:numPr>
        <w:spacing w:after="80"/>
      </w:pPr>
      <w:r>
        <w:rPr>
          <w:sz w:val="22"/>
          <w:szCs w:val="22"/>
        </w:rPr>
        <w:t xml:space="preserve">Secure storage — for authentication tokens.</w:t>
      </w:r>
    </w:p>
    <w:p>
      <w:pPr>
        <w:pStyle w:val="ListParagraph"/>
        <w:numPr>
          <w:ilvl w:val="0"/>
          <w:numId w:val="2"/>
        </w:numPr>
        <w:spacing w:after="80"/>
      </w:pPr>
      <w:r>
        <w:rPr>
          <w:sz w:val="22"/>
          <w:szCs w:val="22"/>
        </w:rPr>
        <w:t xml:space="preserve">Cached signed URLs — for temporary access to your own original documents.</w:t>
      </w:r>
    </w:p>
    <w:p>
      <w:pPr>
        <w:spacing w:after="100"/>
      </w:pPr>
      <w:r>
        <w:t xml:space="preserve"> </w:t>
      </w:r>
    </w:p>
    <w:p>
      <w:pPr>
        <w:spacing w:after="140"/>
      </w:pPr>
      <w:r>
        <w:rPr>
          <w:sz w:val="22"/>
          <w:szCs w:val="22"/>
        </w:rPr>
        <w:t xml:space="preserve">We do not use tracking pixels, third-party analytics SDKs, or advertising IDs.</w:t>
      </w:r>
    </w:p>
    <w:p>
      <w:pPr>
        <w:spacing w:after="100"/>
      </w:pPr>
      <w:r>
        <w:t xml:space="preserve"> </w:t>
      </w:r>
    </w:p>
    <w:p>
      <w:pPr>
        <w:pStyle w:val="Heading1"/>
        <w:spacing w:after="160" w:before="280"/>
      </w:pPr>
      <w:r>
        <w:rPr>
          <w:b/>
          <w:bCs/>
          <w:color w:val="075F6E"/>
          <w:sz w:val="32"/>
          <w:szCs w:val="32"/>
        </w:rPr>
        <w:t xml:space="preserve">14. Grievance Officer and Contact</w:t>
      </w:r>
    </w:p>
    <w:p>
      <w:pPr>
        <w:spacing w:after="140"/>
      </w:pPr>
      <w:r>
        <w:rPr>
          <w:sz w:val="22"/>
          <w:szCs w:val="22"/>
        </w:rPr>
        <w:t xml:space="preserve">In accordance with the DPDP Act and the IT Rules 2011, we have designated a Grievance Officer to address any concerns regarding your personal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1D5DB" w:sz="4"/>
              <w:left w:val="single" w:color="D1D5DB" w:sz="4"/>
              <w:bottom w:val="single" w:color="D1D5DB" w:sz="4"/>
              <w:right w:val="single" w:color="D1D5DB" w:sz="4"/>
            </w:tcBorders>
            <w:shd w:fill="E0F2F5" w:val="clear"/>
            <w:tcMar>
              <w:top w:type="dxa" w:w="100"/>
              <w:left w:type="dxa" w:w="140"/>
              <w:bottom w:type="dxa" w:w="100"/>
              <w:right w:type="dxa" w:w="140"/>
            </w:tcMar>
          </w:tcPr>
          <w:p>
            <w:r>
              <w:rPr>
                <w:b/>
                <w:bCs/>
                <w:sz w:val="20"/>
                <w:szCs w:val="20"/>
              </w:rPr>
              <w:t xml:space="preserve">Role</w:t>
            </w:r>
          </w:p>
        </w:tc>
        <w:tc>
          <w:tcPr>
            <w:tcW w:type="dxa" w:w="6360"/>
            <w:tcBorders>
              <w:top w:val="single" w:color="D1D5DB" w:sz="4"/>
              <w:left w:val="single" w:color="D1D5DB" w:sz="4"/>
              <w:bottom w:val="single" w:color="D1D5DB" w:sz="4"/>
              <w:right w:val="single" w:color="D1D5DB" w:sz="4"/>
            </w:tcBorders>
            <w:shd w:fill="E0F2F5" w:val="clear"/>
            <w:tcMar>
              <w:top w:type="dxa" w:w="100"/>
              <w:left w:type="dxa" w:w="140"/>
              <w:bottom w:type="dxa" w:w="100"/>
              <w:right w:type="dxa" w:w="140"/>
            </w:tcMar>
          </w:tcPr>
          <w:p>
            <w:r>
              <w:rPr>
                <w:b/>
                <w:bCs/>
                <w:sz w:val="20"/>
                <w:szCs w:val="20"/>
              </w:rPr>
              <w:t xml:space="preserve">Grievance Officer (Founder serves in this capacity)</w:t>
            </w:r>
          </w:p>
        </w:tc>
      </w:tr>
      <w:tr>
        <w:tc>
          <w:tcPr>
            <w:tcW w:type="dxa" w:w="3000"/>
            <w:tcBorders>
              <w:top w:val="single" w:color="D1D5DB" w:sz="4"/>
              <w:left w:val="single" w:color="D1D5DB" w:sz="4"/>
              <w:bottom w:val="single" w:color="D1D5DB" w:sz="4"/>
              <w:right w:val="single" w:color="D1D5DB" w:sz="4"/>
            </w:tcBorders>
            <w:tcMar>
              <w:top w:type="dxa" w:w="100"/>
              <w:left w:type="dxa" w:w="140"/>
              <w:bottom w:type="dxa" w:w="100"/>
              <w:right w:type="dxa" w:w="140"/>
            </w:tcMar>
          </w:tcPr>
          <w:p>
            <w:r>
              <w:rPr>
                <w:b w:val="false"/>
                <w:bCs w:val="false"/>
                <w:sz w:val="20"/>
                <w:szCs w:val="20"/>
              </w:rPr>
              <w:t xml:space="preserve">Company</w:t>
            </w:r>
          </w:p>
        </w:tc>
        <w:tc>
          <w:tcPr>
            <w:tcW w:type="dxa" w:w="6360"/>
            <w:tcBorders>
              <w:top w:val="single" w:color="D1D5DB" w:sz="4"/>
              <w:left w:val="single" w:color="D1D5DB" w:sz="4"/>
              <w:bottom w:val="single" w:color="D1D5DB" w:sz="4"/>
              <w:right w:val="single" w:color="D1D5DB" w:sz="4"/>
            </w:tcBorders>
            <w:tcMar>
              <w:top w:type="dxa" w:w="100"/>
              <w:left w:type="dxa" w:w="140"/>
              <w:bottom w:type="dxa" w:w="100"/>
              <w:right w:type="dxa" w:w="140"/>
            </w:tcMar>
          </w:tcPr>
          <w:p>
            <w:r>
              <w:rPr>
                <w:b w:val="false"/>
                <w:bCs w:val="false"/>
                <w:sz w:val="20"/>
                <w:szCs w:val="20"/>
              </w:rPr>
              <w:t xml:space="preserve">ACCUSAGA INFORMATICS PRIVATE LIMITED</w:t>
            </w:r>
          </w:p>
        </w:tc>
      </w:tr>
      <w:tr>
        <w:tc>
          <w:tcPr>
            <w:tcW w:type="dxa" w:w="3000"/>
            <w:tcBorders>
              <w:top w:val="single" w:color="D1D5DB" w:sz="4"/>
              <w:left w:val="single" w:color="D1D5DB" w:sz="4"/>
              <w:bottom w:val="single" w:color="D1D5DB" w:sz="4"/>
              <w:right w:val="single" w:color="D1D5DB" w:sz="4"/>
            </w:tcBorders>
            <w:tcMar>
              <w:top w:type="dxa" w:w="100"/>
              <w:left w:type="dxa" w:w="140"/>
              <w:bottom w:type="dxa" w:w="100"/>
              <w:right w:type="dxa" w:w="140"/>
            </w:tcMar>
          </w:tcPr>
          <w:p>
            <w:r>
              <w:rPr>
                <w:b w:val="false"/>
                <w:bCs w:val="false"/>
                <w:sz w:val="20"/>
                <w:szCs w:val="20"/>
              </w:rPr>
              <w:t xml:space="preserve">Address</w:t>
            </w:r>
          </w:p>
        </w:tc>
        <w:tc>
          <w:tcPr>
            <w:tcW w:type="dxa" w:w="6360"/>
            <w:tcBorders>
              <w:top w:val="single" w:color="D1D5DB" w:sz="4"/>
              <w:left w:val="single" w:color="D1D5DB" w:sz="4"/>
              <w:bottom w:val="single" w:color="D1D5DB" w:sz="4"/>
              <w:right w:val="single" w:color="D1D5DB" w:sz="4"/>
            </w:tcBorders>
            <w:tcMar>
              <w:top w:type="dxa" w:w="100"/>
              <w:left w:type="dxa" w:w="140"/>
              <w:bottom w:type="dxa" w:w="100"/>
              <w:right w:type="dxa" w:w="140"/>
            </w:tcMar>
          </w:tcPr>
          <w:p>
            <w:r>
              <w:rPr>
                <w:b w:val="false"/>
                <w:bCs w:val="false"/>
                <w:sz w:val="20"/>
                <w:szCs w:val="20"/>
              </w:rPr>
              <w:t xml:space="preserve">2nd Floor, Uptown Cyberabad Building, 100 ft Road, Madhapur, Hyderabad, Telangana, India</w:t>
            </w:r>
          </w:p>
        </w:tc>
      </w:tr>
      <w:tr>
        <w:tc>
          <w:tcPr>
            <w:tcW w:type="dxa" w:w="3000"/>
            <w:tcBorders>
              <w:top w:val="single" w:color="D1D5DB" w:sz="4"/>
              <w:left w:val="single" w:color="D1D5DB" w:sz="4"/>
              <w:bottom w:val="single" w:color="D1D5DB" w:sz="4"/>
              <w:right w:val="single" w:color="D1D5DB" w:sz="4"/>
            </w:tcBorders>
            <w:tcMar>
              <w:top w:type="dxa" w:w="100"/>
              <w:left w:type="dxa" w:w="140"/>
              <w:bottom w:type="dxa" w:w="100"/>
              <w:right w:type="dxa" w:w="140"/>
            </w:tcMar>
          </w:tcPr>
          <w:p>
            <w:r>
              <w:rPr>
                <w:b w:val="false"/>
                <w:bCs w:val="false"/>
                <w:sz w:val="20"/>
                <w:szCs w:val="20"/>
              </w:rPr>
              <w:t xml:space="preserve">Email</w:t>
            </w:r>
          </w:p>
        </w:tc>
        <w:tc>
          <w:tcPr>
            <w:tcW w:type="dxa" w:w="6360"/>
            <w:tcBorders>
              <w:top w:val="single" w:color="D1D5DB" w:sz="4"/>
              <w:left w:val="single" w:color="D1D5DB" w:sz="4"/>
              <w:bottom w:val="single" w:color="D1D5DB" w:sz="4"/>
              <w:right w:val="single" w:color="D1D5DB" w:sz="4"/>
            </w:tcBorders>
            <w:tcMar>
              <w:top w:type="dxa" w:w="100"/>
              <w:left w:type="dxa" w:w="140"/>
              <w:bottom w:type="dxa" w:w="100"/>
              <w:right w:type="dxa" w:w="140"/>
            </w:tcMar>
          </w:tcPr>
          <w:p>
            <w:r>
              <w:rPr>
                <w:b w:val="false"/>
                <w:bCs w:val="false"/>
                <w:sz w:val="20"/>
                <w:szCs w:val="20"/>
              </w:rPr>
              <w:t xml:space="preserve">chpavani@gmail.com</w:t>
            </w:r>
          </w:p>
        </w:tc>
      </w:tr>
      <w:tr>
        <w:tc>
          <w:tcPr>
            <w:tcW w:type="dxa" w:w="3000"/>
            <w:tcBorders>
              <w:top w:val="single" w:color="D1D5DB" w:sz="4"/>
              <w:left w:val="single" w:color="D1D5DB" w:sz="4"/>
              <w:bottom w:val="single" w:color="D1D5DB" w:sz="4"/>
              <w:right w:val="single" w:color="D1D5DB" w:sz="4"/>
            </w:tcBorders>
            <w:tcMar>
              <w:top w:type="dxa" w:w="100"/>
              <w:left w:type="dxa" w:w="140"/>
              <w:bottom w:type="dxa" w:w="100"/>
              <w:right w:type="dxa" w:w="140"/>
            </w:tcMar>
          </w:tcPr>
          <w:p>
            <w:r>
              <w:rPr>
                <w:b w:val="false"/>
                <w:bCs w:val="false"/>
                <w:sz w:val="20"/>
                <w:szCs w:val="20"/>
              </w:rPr>
              <w:t xml:space="preserve">Response time</w:t>
            </w:r>
          </w:p>
        </w:tc>
        <w:tc>
          <w:tcPr>
            <w:tcW w:type="dxa" w:w="6360"/>
            <w:tcBorders>
              <w:top w:val="single" w:color="D1D5DB" w:sz="4"/>
              <w:left w:val="single" w:color="D1D5DB" w:sz="4"/>
              <w:bottom w:val="single" w:color="D1D5DB" w:sz="4"/>
              <w:right w:val="single" w:color="D1D5DB" w:sz="4"/>
            </w:tcBorders>
            <w:tcMar>
              <w:top w:type="dxa" w:w="100"/>
              <w:left w:type="dxa" w:w="140"/>
              <w:bottom w:type="dxa" w:w="100"/>
              <w:right w:type="dxa" w:w="140"/>
            </w:tcMar>
          </w:tcPr>
          <w:p>
            <w:r>
              <w:rPr>
                <w:b w:val="false"/>
                <w:bCs w:val="false"/>
                <w:sz w:val="20"/>
                <w:szCs w:val="20"/>
              </w:rPr>
              <w:t xml:space="preserve">We aim to acknowledge grievances within 48 hours and resolve them within 30 days as required by law</w:t>
            </w:r>
          </w:p>
        </w:tc>
      </w:tr>
    </w:tbl>
    <w:p>
      <w:pPr>
        <w:spacing w:after="140"/>
      </w:pPr>
      <w:r>
        <w:rPr>
          <w:sz w:val="22"/>
          <w:szCs w:val="22"/>
        </w:rPr>
        <w:t xml:space="preserve">For privacy-related questions, complaints, or data subject requests, please email us with the subject line "Privacy Request" along with details of your concern.</w:t>
      </w:r>
    </w:p>
    <w:p>
      <w:pPr>
        <w:spacing w:after="100"/>
      </w:pPr>
      <w:r>
        <w:t xml:space="preserve"> </w:t>
      </w:r>
    </w:p>
    <w:p>
      <w:pPr>
        <w:pStyle w:val="Heading1"/>
        <w:spacing w:after="160" w:before="280"/>
      </w:pPr>
      <w:r>
        <w:rPr>
          <w:b/>
          <w:bCs/>
          <w:color w:val="075F6E"/>
          <w:sz w:val="32"/>
          <w:szCs w:val="32"/>
        </w:rPr>
        <w:t xml:space="preserve">15. Changes to This Policy</w:t>
      </w:r>
    </w:p>
    <w:p>
      <w:pPr>
        <w:spacing w:after="140"/>
      </w:pPr>
      <w:r>
        <w:rPr>
          <w:sz w:val="22"/>
          <w:szCs w:val="22"/>
        </w:rPr>
        <w:t xml:space="preserve">We may update this Privacy Policy from time to time. When we do:</w:t>
      </w:r>
    </w:p>
    <w:p>
      <w:pPr>
        <w:pStyle w:val="ListParagraph"/>
        <w:numPr>
          <w:ilvl w:val="0"/>
          <w:numId w:val="2"/>
        </w:numPr>
        <w:spacing w:after="80"/>
      </w:pPr>
      <w:r>
        <w:rPr>
          <w:sz w:val="22"/>
          <w:szCs w:val="22"/>
        </w:rPr>
        <w:t xml:space="preserve">We will update the "Last Updated" date at the top of this document.</w:t>
      </w:r>
    </w:p>
    <w:p>
      <w:pPr>
        <w:pStyle w:val="ListParagraph"/>
        <w:numPr>
          <w:ilvl w:val="0"/>
          <w:numId w:val="2"/>
        </w:numPr>
        <w:spacing w:after="80"/>
      </w:pPr>
      <w:r>
        <w:rPr>
          <w:sz w:val="22"/>
          <w:szCs w:val="22"/>
        </w:rPr>
        <w:t xml:space="preserve">For material changes that affect your rights, we will notify you within the app and via your registered email at least 7 days before the changes take effect.</w:t>
      </w:r>
    </w:p>
    <w:p>
      <w:pPr>
        <w:pStyle w:val="ListParagraph"/>
        <w:numPr>
          <w:ilvl w:val="0"/>
          <w:numId w:val="2"/>
        </w:numPr>
        <w:spacing w:after="80"/>
      </w:pPr>
      <w:r>
        <w:rPr>
          <w:sz w:val="22"/>
          <w:szCs w:val="22"/>
        </w:rPr>
        <w:t xml:space="preserve">Continued use of the Service after the effective date constitutes acceptance of the updated Policy.</w:t>
      </w:r>
    </w:p>
    <w:p>
      <w:pPr>
        <w:pStyle w:val="ListParagraph"/>
        <w:numPr>
          <w:ilvl w:val="0"/>
          <w:numId w:val="2"/>
        </w:numPr>
        <w:spacing w:after="80"/>
      </w:pPr>
      <w:r>
        <w:rPr>
          <w:sz w:val="22"/>
          <w:szCs w:val="22"/>
        </w:rPr>
        <w:t xml:space="preserve">If you do not agree with a material change, you may delete your account before the change takes effect.</w:t>
      </w:r>
    </w:p>
    <w:p>
      <w:pPr>
        <w:pStyle w:val="ListParagraph"/>
        <w:numPr>
          <w:ilvl w:val="0"/>
          <w:numId w:val="2"/>
        </w:numPr>
        <w:spacing w:after="80"/>
      </w:pPr>
      <w:r>
        <w:rPr>
          <w:sz w:val="22"/>
          <w:szCs w:val="22"/>
        </w:rPr>
        <w:t xml:space="preserve">Previous versions of this Policy are available on request.</w:t>
      </w:r>
    </w:p>
    <w:p>
      <w:pPr>
        <w:spacing w:after="100"/>
      </w:pPr>
      <w:r>
        <w:t xml:space="preserve"> </w:t>
      </w:r>
    </w:p>
    <w:p>
      <w:pPr>
        <w:pStyle w:val="Heading1"/>
        <w:spacing w:after="160" w:before="280"/>
      </w:pPr>
      <w:r>
        <w:rPr>
          <w:b/>
          <w:bCs/>
          <w:color w:val="075F6E"/>
          <w:sz w:val="32"/>
          <w:szCs w:val="32"/>
        </w:rPr>
        <w:t xml:space="preserve">16. Governing Law and Jurisdiction</w:t>
      </w:r>
    </w:p>
    <w:p>
      <w:pPr>
        <w:spacing w:after="140"/>
      </w:pPr>
      <w:r>
        <w:rPr>
          <w:sz w:val="22"/>
          <w:szCs w:val="22"/>
        </w:rPr>
        <w:t xml:space="preserve">This Privacy Policy is governed by the laws of India. Any disputes arising from or relating to this Policy shall be subject to the exclusive jurisdiction of the courts of Hyderabad, Telangana, India.</w:t>
      </w:r>
    </w:p>
    <w:p>
      <w:pPr>
        <w:spacing w:after="140"/>
      </w:pPr>
      <w:r>
        <w:rPr>
          <w:sz w:val="22"/>
          <w:szCs w:val="22"/>
        </w:rPr>
        <w:t xml:space="preserve">For users outside India, applicable local data protection laws may grant additional rights. Where local law provides stronger protections, those provisions shall apply.</w:t>
      </w:r>
    </w:p>
    <w:p>
      <w:pPr>
        <w:spacing w:after="100"/>
      </w:pPr>
      <w:r>
        <w:t xml:space="preserve"> </w:t>
      </w:r>
    </w:p>
    <w:p>
      <w:pPr>
        <w:pBdr>
          <w:bottom w:val="single" w:color="0B8FAC" w:sz="6" w:space="6"/>
        </w:pBdr>
        <w:spacing w:after="200" w:before="200"/>
      </w:pPr>
    </w:p>
    <w:p>
      <w:pPr>
        <w:spacing w:after="100" w:before="200"/>
        <w:jc w:val="center"/>
      </w:pPr>
      <w:r>
        <w:rPr>
          <w:i/>
          <w:iCs/>
          <w:color w:val="075F6E"/>
          <w:sz w:val="22"/>
          <w:szCs w:val="22"/>
        </w:rPr>
        <w:t xml:space="preserve">Thank you for trusting MedRecord with your family's health.</w:t>
      </w:r>
    </w:p>
    <w:p>
      <w:pPr>
        <w:spacing w:after="200"/>
        <w:jc w:val="center"/>
      </w:pPr>
      <w:r>
        <w:rPr>
          <w:i/>
          <w:iCs/>
          <w:color w:val="374151"/>
          <w:sz w:val="22"/>
          <w:szCs w:val="22"/>
        </w:rPr>
        <w:t xml:space="preserve">Your privacy is not a feature. It is the foundation of everything we build.</w:t>
      </w:r>
    </w:p>
    <w:p>
      <w:pPr>
        <w:pBdr>
          <w:bottom w:val="single" w:color="0B8FAC" w:sz="6" w:space="6"/>
        </w:pBdr>
        <w:spacing w:after="200" w:before="200"/>
      </w:pPr>
    </w:p>
    <w:p>
      <w:pPr>
        <w:spacing w:before="100"/>
        <w:jc w:val="center"/>
      </w:pPr>
      <w:r>
        <w:rPr>
          <w:color w:val="9CA3AF"/>
          <w:sz w:val="18"/>
          <w:szCs w:val="18"/>
        </w:rPr>
        <w:t xml:space="preserve">© 2026 ACCUSAGA INFORMATICS PRIVATE LIMITED. All rights reserved.</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CA3AF"/>
        <w:sz w:val="18"/>
        <w:szCs w:val="18"/>
      </w:rPr>
      <w:t xml:space="preserve">Page </w:t>
    </w:r>
    <w:r>
      <w:rPr>
        <w:color w:val="9CA3AF"/>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B8FAC" w:sz="4" w:space="6"/>
      </w:pBdr>
      <w:jc w:val="right"/>
    </w:pPr>
    <w:r>
      <w:rPr>
        <w:color w:val="9CA3AF"/>
        <w:sz w:val="18"/>
        <w:szCs w:val="18"/>
      </w:rPr>
      <w:t xml:space="preserve">MedRecord — Privacy Policy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2026-06-05T18:10:16.261Z</dcterms:created>
  <dcterms:modified xsi:type="dcterms:W3CDTF">2026-06-05T18:10:16.273Z</dcterms:modified>
</cp:coreProperties>
</file>

<file path=docProps/custom.xml><?xml version="1.0" encoding="utf-8"?>
<Properties xmlns="http://schemas.openxmlformats.org/officeDocument/2006/custom-properties" xmlns:vt="http://schemas.openxmlformats.org/officeDocument/2006/docPropsVTypes"/>
</file>