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tblInd w:w="-1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78"/>
        <w:gridCol w:w="8936"/>
      </w:tblGrid>
      <w:tr w:rsidR="00992DE7" w:rsidTr="00992DE7">
        <w:trPr>
          <w:trHeight w:val="80"/>
        </w:trPr>
        <w:tc>
          <w:tcPr>
            <w:tcW w:w="1843" w:type="dxa"/>
          </w:tcPr>
          <w:p w:rsidR="00992DE7" w:rsidRDefault="00992DE7" w:rsidP="00BE4C59">
            <w:pPr>
              <w:spacing w:before="120" w:after="120" w:line="288" w:lineRule="auto"/>
              <w:ind w:right="24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  <w:bookmarkStart w:id="0" w:name="_Hlk181183458"/>
          </w:p>
        </w:tc>
        <w:tc>
          <w:tcPr>
            <w:tcW w:w="9214" w:type="dxa"/>
            <w:gridSpan w:val="2"/>
            <w:hideMark/>
          </w:tcPr>
          <w:p w:rsidR="00992DE7" w:rsidRPr="002C316B" w:rsidRDefault="00992DE7" w:rsidP="00BE4C59">
            <w:pPr>
              <w:pStyle w:val="Heading1"/>
              <w:ind w:right="243"/>
              <w:outlineLvl w:val="0"/>
              <w:rPr>
                <w:rFonts w:asciiTheme="minorHAnsi" w:hAnsiTheme="minorHAnsi"/>
                <w:szCs w:val="28"/>
                <w:u w:val="none"/>
              </w:rPr>
            </w:pPr>
          </w:p>
          <w:p w:rsidR="00992DE7" w:rsidRDefault="00992DE7" w:rsidP="00BE4C59">
            <w:pPr>
              <w:pStyle w:val="Heading1"/>
              <w:ind w:right="243"/>
              <w:outlineLvl w:val="0"/>
              <w:rPr>
                <w:rFonts w:asciiTheme="minorHAnsi" w:hAnsiTheme="minorHAnsi"/>
                <w:sz w:val="36"/>
                <w:szCs w:val="32"/>
                <w:u w:val="none"/>
              </w:rPr>
            </w:pPr>
            <w:bookmarkStart w:id="1" w:name="_Hlk180482885"/>
            <w:r>
              <w:rPr>
                <w:rFonts w:asciiTheme="minorHAnsi" w:hAnsiTheme="minorHAnsi"/>
                <w:sz w:val="36"/>
                <w:szCs w:val="32"/>
                <w:u w:val="none"/>
              </w:rPr>
              <w:t xml:space="preserve">LANDGANGSINFORMATIONEN </w:t>
            </w:r>
            <w:r w:rsidR="006E0BAB">
              <w:rPr>
                <w:rFonts w:asciiTheme="minorHAnsi" w:hAnsiTheme="minorHAnsi"/>
                <w:sz w:val="36"/>
                <w:szCs w:val="32"/>
                <w:u w:val="none"/>
              </w:rPr>
              <w:t xml:space="preserve"> </w:t>
            </w:r>
            <w:r w:rsidR="008F6AD1" w:rsidRPr="008F6AD1">
              <w:rPr>
                <w:rFonts w:asciiTheme="minorHAnsi" w:hAnsiTheme="minorHAnsi"/>
                <w:sz w:val="30"/>
                <w:szCs w:val="30"/>
                <w:u w:val="none"/>
              </w:rPr>
              <w:t>Lipari</w:t>
            </w:r>
            <w:r w:rsidR="006E0BAB" w:rsidRPr="008F6AD1">
              <w:rPr>
                <w:rFonts w:asciiTheme="minorHAnsi" w:hAnsiTheme="minorHAnsi"/>
                <w:sz w:val="30"/>
                <w:szCs w:val="30"/>
                <w:u w:val="none"/>
              </w:rPr>
              <w:t xml:space="preserve"> / </w:t>
            </w:r>
            <w:bookmarkEnd w:id="1"/>
            <w:r w:rsidR="008F6AD1" w:rsidRPr="008F6AD1">
              <w:rPr>
                <w:rFonts w:asciiTheme="minorHAnsi" w:hAnsiTheme="minorHAnsi"/>
                <w:sz w:val="30"/>
                <w:szCs w:val="30"/>
                <w:u w:val="none"/>
              </w:rPr>
              <w:t>Liparische Inseln / Italien</w:t>
            </w:r>
          </w:p>
        </w:tc>
      </w:tr>
      <w:tr w:rsidR="00992DE7" w:rsidRPr="008852E3" w:rsidTr="00992DE7">
        <w:trPr>
          <w:trHeight w:val="2141"/>
        </w:trPr>
        <w:tc>
          <w:tcPr>
            <w:tcW w:w="1843" w:type="dxa"/>
            <w:hideMark/>
          </w:tcPr>
          <w:p w:rsidR="00992DE7" w:rsidRPr="0038724C" w:rsidRDefault="00992DE7" w:rsidP="00BE4C59">
            <w:pPr>
              <w:spacing w:before="120" w:after="120" w:line="288" w:lineRule="auto"/>
              <w:ind w:right="423"/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</w:pPr>
          </w:p>
          <w:p w:rsidR="00992DE7" w:rsidRDefault="008F6AD1" w:rsidP="00BE4C59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Lipari</w:t>
            </w:r>
          </w:p>
          <w:p w:rsidR="00992DE7" w:rsidRDefault="00992DE7" w:rsidP="00BE4C59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  <w:p w:rsidR="00992DE7" w:rsidRPr="007528E6" w:rsidRDefault="00992DE7" w:rsidP="00BE4C59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lang w:eastAsia="en-US"/>
              </w:rPr>
            </w:pPr>
          </w:p>
          <w:p w:rsidR="00992DE7" w:rsidRDefault="00992DE7" w:rsidP="00BE4C59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</w:tc>
        <w:tc>
          <w:tcPr>
            <w:tcW w:w="9214" w:type="dxa"/>
            <w:gridSpan w:val="2"/>
          </w:tcPr>
          <w:p w:rsidR="00992DE7" w:rsidRDefault="00992DE7" w:rsidP="00BE4C59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="Arial"/>
                <w:sz w:val="10"/>
                <w:szCs w:val="10"/>
              </w:rPr>
            </w:pPr>
          </w:p>
          <w:p w:rsidR="00992DE7" w:rsidRDefault="00992DE7" w:rsidP="00BE4C59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bookmarkStart w:id="2" w:name="_Hlk481698030"/>
          </w:p>
          <w:bookmarkEnd w:id="2"/>
          <w:p w:rsidR="00992DE7" w:rsidRDefault="000D5068" w:rsidP="00BE4C59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ist</w:t>
            </w:r>
            <w:r w:rsidR="004D6FA7">
              <w:rPr>
                <w:rFonts w:asciiTheme="minorHAnsi" w:hAnsiTheme="minorHAnsi" w:cs="Arial"/>
                <w:sz w:val="24"/>
                <w:szCs w:val="24"/>
              </w:rPr>
              <w:t xml:space="preserve"> einerseits die Hauptinsel der faszinierenden Äolischen Inseln im Tyrrhenischen Meer nördlich von Sizilien, andererseits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ein </w:t>
            </w:r>
            <w:r w:rsidRPr="000D5068">
              <w:rPr>
                <w:rFonts w:asciiTheme="minorHAnsi" w:hAnsiTheme="minorHAnsi" w:cs="Arial"/>
                <w:sz w:val="24"/>
                <w:szCs w:val="24"/>
              </w:rPr>
              <w:t>malerische</w:t>
            </w:r>
            <w:r w:rsidR="004D6FA7">
              <w:rPr>
                <w:rFonts w:asciiTheme="minorHAnsi" w:hAnsiTheme="minorHAnsi" w:cs="Arial"/>
                <w:sz w:val="24"/>
                <w:szCs w:val="24"/>
              </w:rPr>
              <w:t xml:space="preserve">s </w:t>
            </w:r>
            <w:r w:rsidRPr="000D5068">
              <w:rPr>
                <w:rFonts w:asciiTheme="minorHAnsi" w:hAnsiTheme="minorHAnsi" w:cs="Arial"/>
                <w:sz w:val="24"/>
                <w:szCs w:val="24"/>
              </w:rPr>
              <w:t xml:space="preserve"> 5.000-Einwohner-Hafenstädtchen</w:t>
            </w:r>
            <w:r w:rsidR="004D6FA7">
              <w:rPr>
                <w:rFonts w:asciiTheme="minorHAnsi" w:hAnsiTheme="minorHAnsi" w:cs="Arial"/>
                <w:sz w:val="24"/>
                <w:szCs w:val="24"/>
              </w:rPr>
              <w:t>, zugleich Hauptort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der Insel</w:t>
            </w:r>
            <w:r w:rsidR="004D6FA7">
              <w:rPr>
                <w:rFonts w:asciiTheme="minorHAnsi" w:hAnsiTheme="minorHAnsi" w:cs="Arial"/>
                <w:sz w:val="24"/>
                <w:szCs w:val="24"/>
              </w:rPr>
              <w:t>.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4D6FA7">
              <w:rPr>
                <w:rFonts w:asciiTheme="minorHAnsi" w:hAnsiTheme="minorHAnsi" w:cs="Arial"/>
                <w:sz w:val="24"/>
                <w:szCs w:val="24"/>
              </w:rPr>
              <w:t>G</w:t>
            </w:r>
            <w:r>
              <w:rPr>
                <w:rFonts w:asciiTheme="minorHAnsi" w:hAnsiTheme="minorHAnsi" w:cs="Arial"/>
                <w:sz w:val="24"/>
                <w:szCs w:val="24"/>
              </w:rPr>
              <w:t>elegen an</w:t>
            </w:r>
            <w:r w:rsidRPr="000D5068">
              <w:rPr>
                <w:rFonts w:asciiTheme="minorHAnsi" w:hAnsiTheme="minorHAnsi" w:cs="Arial"/>
                <w:sz w:val="24"/>
                <w:szCs w:val="24"/>
              </w:rPr>
              <w:t xml:space="preserve"> der Ostküste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Pr="000D5068">
              <w:rPr>
                <w:rFonts w:asciiTheme="minorHAnsi" w:hAnsiTheme="minorHAnsi" w:cs="Arial"/>
                <w:sz w:val="24"/>
                <w:szCs w:val="24"/>
              </w:rPr>
              <w:t xml:space="preserve">unterhalb </w:t>
            </w:r>
            <w:r w:rsidR="004D6FA7">
              <w:rPr>
                <w:rFonts w:asciiTheme="minorHAnsi" w:hAnsiTheme="minorHAnsi" w:cs="Arial"/>
                <w:sz w:val="24"/>
                <w:szCs w:val="24"/>
              </w:rPr>
              <w:t>eines</w:t>
            </w:r>
            <w:r w:rsidRPr="000D5068">
              <w:rPr>
                <w:rFonts w:asciiTheme="minorHAnsi" w:hAnsiTheme="minorHAnsi" w:cs="Arial"/>
                <w:sz w:val="24"/>
                <w:szCs w:val="24"/>
              </w:rPr>
              <w:t xml:space="preserve"> mächtigen Burgbergs </w:t>
            </w:r>
            <w:r>
              <w:rPr>
                <w:rFonts w:asciiTheme="minorHAnsi" w:hAnsiTheme="minorHAnsi" w:cs="Arial"/>
                <w:sz w:val="24"/>
                <w:szCs w:val="24"/>
              </w:rPr>
              <w:t>auf dem sich die</w:t>
            </w:r>
            <w:r w:rsidRPr="000D5068">
              <w:rPr>
                <w:rFonts w:asciiTheme="minorHAnsi" w:hAnsiTheme="minorHAnsi" w:cs="Arial"/>
                <w:sz w:val="24"/>
                <w:szCs w:val="24"/>
              </w:rPr>
              <w:t xml:space="preserve"> Kathedrale San Bartolomeo </w:t>
            </w:r>
            <w:r>
              <w:rPr>
                <w:rFonts w:asciiTheme="minorHAnsi" w:hAnsiTheme="minorHAnsi" w:cs="Arial"/>
                <w:sz w:val="24"/>
                <w:szCs w:val="24"/>
              </w:rPr>
              <w:t>erhebt</w:t>
            </w:r>
            <w:r w:rsidR="003B3EF7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Pr="000D5068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3B3EF7">
              <w:rPr>
                <w:rFonts w:asciiTheme="minorHAnsi" w:hAnsiTheme="minorHAnsi" w:cs="Arial"/>
                <w:sz w:val="24"/>
                <w:szCs w:val="24"/>
              </w:rPr>
              <w:t>e</w:t>
            </w:r>
            <w:r w:rsidRPr="000D5068">
              <w:rPr>
                <w:rFonts w:asciiTheme="minorHAnsi" w:hAnsiTheme="minorHAnsi" w:cs="Arial"/>
                <w:sz w:val="24"/>
                <w:szCs w:val="24"/>
              </w:rPr>
              <w:t>ingerahmt vo</w:t>
            </w:r>
            <w:r w:rsidR="004D6FA7">
              <w:rPr>
                <w:rFonts w:asciiTheme="minorHAnsi" w:hAnsiTheme="minorHAnsi" w:cs="Arial"/>
                <w:sz w:val="24"/>
                <w:szCs w:val="24"/>
              </w:rPr>
              <w:t>m Hafen und</w:t>
            </w:r>
            <w:r w:rsidRPr="000D5068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4D6FA7">
              <w:rPr>
                <w:rFonts w:asciiTheme="minorHAnsi" w:hAnsiTheme="minorHAnsi" w:cs="Arial"/>
                <w:sz w:val="24"/>
                <w:szCs w:val="24"/>
              </w:rPr>
              <w:t xml:space="preserve">der </w:t>
            </w:r>
            <w:r w:rsidRPr="000D5068">
              <w:rPr>
                <w:rFonts w:asciiTheme="minorHAnsi" w:hAnsiTheme="minorHAnsi" w:cs="Arial"/>
                <w:sz w:val="24"/>
                <w:szCs w:val="24"/>
              </w:rPr>
              <w:t>Marina Corta ragt dieser Felsen imposant über die flachen Häuser der Stadt und das  bunten Gassengewirr</w:t>
            </w:r>
            <w:r w:rsidR="004D6FA7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F92A3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</w:p>
          <w:p w:rsidR="004017F2" w:rsidRDefault="004017F2" w:rsidP="00BE4C59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Die gesamte Inselgruppe</w:t>
            </w:r>
            <w:r w:rsidR="00ED5BDE">
              <w:rPr>
                <w:rFonts w:asciiTheme="minorHAnsi" w:hAnsiTheme="minorHAnsi" w:cs="Arial"/>
                <w:sz w:val="24"/>
                <w:szCs w:val="24"/>
              </w:rPr>
              <w:t xml:space="preserve"> ist vulkanischen Ursprungs</w:t>
            </w:r>
            <w:r w:rsidR="00EA779A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ED5BDE">
              <w:rPr>
                <w:rFonts w:asciiTheme="minorHAnsi" w:hAnsiTheme="minorHAnsi" w:cs="Arial"/>
                <w:sz w:val="24"/>
                <w:szCs w:val="24"/>
              </w:rPr>
              <w:t xml:space="preserve">Teil der Vulkankette, die vom Vesuv bis zum Ätna reicht und </w:t>
            </w:r>
            <w:r w:rsidR="00EA779A">
              <w:rPr>
                <w:rFonts w:asciiTheme="minorHAnsi" w:hAnsiTheme="minorHAnsi" w:cs="Arial"/>
                <w:sz w:val="24"/>
                <w:szCs w:val="24"/>
              </w:rPr>
              <w:t>gehört zum UNESCO-Weltnaturerbe.</w:t>
            </w:r>
          </w:p>
          <w:p w:rsidR="00992DE7" w:rsidRPr="008852E3" w:rsidRDefault="00992DE7" w:rsidP="00BE4C59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92DE7" w:rsidRPr="00843BB8" w:rsidTr="00992DE7">
        <w:trPr>
          <w:trHeight w:val="3199"/>
        </w:trPr>
        <w:tc>
          <w:tcPr>
            <w:tcW w:w="2121" w:type="dxa"/>
            <w:gridSpan w:val="2"/>
          </w:tcPr>
          <w:p w:rsidR="00AD10B4" w:rsidRPr="00AD10B4" w:rsidRDefault="00AD10B4" w:rsidP="00BE4C59">
            <w:pPr>
              <w:ind w:right="423"/>
              <w:rPr>
                <w:rFonts w:asciiTheme="minorHAnsi" w:hAnsiTheme="minorHAnsi" w:cs="Arial"/>
                <w:b/>
                <w:sz w:val="2"/>
                <w:szCs w:val="2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Liegeplatz</w:t>
            </w:r>
          </w:p>
          <w:p w:rsidR="00992DE7" w:rsidRPr="00FE495D" w:rsidRDefault="00992DE7" w:rsidP="00BE4C59">
            <w:pPr>
              <w:ind w:right="423"/>
              <w:rPr>
                <w:rFonts w:asciiTheme="minorHAnsi" w:hAnsiTheme="minorHAnsi" w:cs="Arial"/>
                <w:b/>
                <w:sz w:val="42"/>
                <w:szCs w:val="42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Was kann man unternehmen?</w:t>
            </w: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8936" w:type="dxa"/>
          </w:tcPr>
          <w:p w:rsidR="00992DE7" w:rsidRPr="003B3EF7" w:rsidRDefault="003B3EF7" w:rsidP="003B3EF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3B3EF7">
              <w:rPr>
                <w:rFonts w:ascii="Calibri" w:hAnsi="Calibri" w:cs="Arial"/>
                <w:sz w:val="24"/>
                <w:szCs w:val="24"/>
              </w:rPr>
              <w:t>Die Anlegestelle der Tenderboote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AD10B4">
              <w:rPr>
                <w:rFonts w:ascii="Calibri" w:hAnsi="Calibri" w:cs="Arial"/>
                <w:sz w:val="24"/>
                <w:szCs w:val="24"/>
              </w:rPr>
              <w:t>im Hafen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AD10B4">
              <w:rPr>
                <w:rFonts w:ascii="Calibri" w:hAnsi="Calibri" w:cs="Arial"/>
                <w:b/>
                <w:sz w:val="24"/>
                <w:szCs w:val="24"/>
              </w:rPr>
              <w:t>Marina</w:t>
            </w:r>
            <w:r w:rsidR="00AD10B4" w:rsidRPr="00AD10B4">
              <w:rPr>
                <w:rFonts w:ascii="Calibri" w:hAnsi="Calibri" w:cs="Arial"/>
                <w:b/>
                <w:sz w:val="24"/>
                <w:szCs w:val="24"/>
              </w:rPr>
              <w:t xml:space="preserve"> Corta</w:t>
            </w:r>
            <w:r w:rsidRPr="003B3EF7">
              <w:rPr>
                <w:rFonts w:ascii="Calibri" w:hAnsi="Calibri" w:cs="Arial"/>
                <w:sz w:val="24"/>
                <w:szCs w:val="24"/>
              </w:rPr>
              <w:t xml:space="preserve"> befindet sich direkt im Ortszentrum</w:t>
            </w:r>
            <w:r w:rsidR="00AD10B4">
              <w:rPr>
                <w:rFonts w:ascii="Calibri" w:hAnsi="Calibri" w:cs="Arial"/>
                <w:sz w:val="24"/>
                <w:szCs w:val="24"/>
              </w:rPr>
              <w:t>.</w:t>
            </w:r>
          </w:p>
          <w:p w:rsidR="00992DE7" w:rsidRPr="00D45EDF" w:rsidRDefault="00992DE7" w:rsidP="00BE4C59">
            <w:pPr>
              <w:pStyle w:val="ListParagraph"/>
              <w:spacing w:before="120" w:after="120"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:rsidR="006E0BAB" w:rsidRDefault="004E5A90" w:rsidP="006E0BA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Unmittelbar</w:t>
            </w:r>
            <w:r w:rsidR="00AD10B4">
              <w:rPr>
                <w:rFonts w:ascii="Calibri" w:hAnsi="Calibri" w:cs="Arial"/>
                <w:sz w:val="24"/>
                <w:szCs w:val="24"/>
              </w:rPr>
              <w:t xml:space="preserve"> an der Tenderanlegestelle liegt die </w:t>
            </w:r>
            <w:r w:rsidR="00AD10B4" w:rsidRPr="00AD10B4">
              <w:rPr>
                <w:rFonts w:ascii="Calibri" w:hAnsi="Calibri" w:cs="Arial"/>
                <w:b/>
                <w:sz w:val="24"/>
                <w:szCs w:val="24"/>
              </w:rPr>
              <w:t>Piazza di Marina Corta</w:t>
            </w:r>
            <w:r w:rsidR="00AD10B4">
              <w:rPr>
                <w:rFonts w:ascii="Calibri" w:hAnsi="Calibri" w:cs="Arial"/>
                <w:sz w:val="24"/>
                <w:szCs w:val="24"/>
              </w:rPr>
              <w:t>, ein malerischer Hafenplatz, ideal für Spaziergänge oder einen Cappuchino in einem der vielen Restaurants</w:t>
            </w:r>
            <w:r w:rsidR="00FE495D">
              <w:rPr>
                <w:rFonts w:ascii="Calibri" w:hAnsi="Calibri" w:cs="Arial"/>
                <w:sz w:val="24"/>
                <w:szCs w:val="24"/>
              </w:rPr>
              <w:t>.</w:t>
            </w:r>
          </w:p>
          <w:p w:rsidR="002D25F7" w:rsidRPr="00ED5BDE" w:rsidRDefault="002D25F7" w:rsidP="002D25F7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:rsidR="002D25F7" w:rsidRDefault="002D25F7" w:rsidP="006E0BA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Hier </w:t>
            </w:r>
            <w:r w:rsidR="00D20604">
              <w:rPr>
                <w:rFonts w:ascii="Calibri" w:hAnsi="Calibri" w:cs="Arial"/>
                <w:sz w:val="24"/>
                <w:szCs w:val="24"/>
              </w:rPr>
              <w:t xml:space="preserve">erhebt sich auch die kleine Kirche </w:t>
            </w:r>
            <w:r w:rsidR="00ED5BDE" w:rsidRPr="00ED5BDE">
              <w:rPr>
                <w:rFonts w:ascii="Calibri" w:hAnsi="Calibri" w:cs="Arial"/>
                <w:b/>
                <w:sz w:val="24"/>
                <w:szCs w:val="24"/>
              </w:rPr>
              <w:t>Parrocchia di S. Giuseppe</w:t>
            </w:r>
            <w:r w:rsidR="00ED5BDE">
              <w:rPr>
                <w:rFonts w:ascii="Calibri" w:hAnsi="Calibri" w:cs="Arial"/>
                <w:sz w:val="24"/>
                <w:szCs w:val="24"/>
              </w:rPr>
              <w:t>, deren leicht erhöhte Lage</w:t>
            </w:r>
            <w:r w:rsidR="00EA779A">
              <w:rPr>
                <w:rFonts w:ascii="Calibri" w:hAnsi="Calibri" w:cs="Arial"/>
                <w:sz w:val="24"/>
                <w:szCs w:val="24"/>
              </w:rPr>
              <w:t>,</w:t>
            </w:r>
            <w:r w:rsidR="00ED5BDE">
              <w:rPr>
                <w:rFonts w:ascii="Calibri" w:hAnsi="Calibri" w:cs="Arial"/>
                <w:sz w:val="24"/>
                <w:szCs w:val="24"/>
              </w:rPr>
              <w:t xml:space="preserve"> am oberen Ende der lange</w:t>
            </w:r>
            <w:r w:rsidR="00EA779A">
              <w:rPr>
                <w:rFonts w:ascii="Calibri" w:hAnsi="Calibri" w:cs="Arial"/>
                <w:sz w:val="24"/>
                <w:szCs w:val="24"/>
              </w:rPr>
              <w:t>n</w:t>
            </w:r>
            <w:r w:rsidR="00ED5BDE">
              <w:rPr>
                <w:rFonts w:ascii="Calibri" w:hAnsi="Calibri" w:cs="Arial"/>
                <w:sz w:val="24"/>
                <w:szCs w:val="24"/>
              </w:rPr>
              <w:t xml:space="preserve"> Treppe im südlichen Teil der Marina</w:t>
            </w:r>
            <w:r w:rsidR="00EA779A">
              <w:rPr>
                <w:rFonts w:ascii="Calibri" w:hAnsi="Calibri" w:cs="Arial"/>
                <w:sz w:val="24"/>
                <w:szCs w:val="24"/>
              </w:rPr>
              <w:t>,</w:t>
            </w:r>
            <w:r w:rsidR="00ED5BDE">
              <w:rPr>
                <w:rFonts w:ascii="Calibri" w:hAnsi="Calibri" w:cs="Arial"/>
                <w:sz w:val="24"/>
                <w:szCs w:val="24"/>
              </w:rPr>
              <w:t xml:space="preserve"> einen tollen</w:t>
            </w:r>
            <w:r w:rsidR="00EA779A">
              <w:rPr>
                <w:rFonts w:ascii="Calibri" w:hAnsi="Calibri" w:cs="Arial"/>
                <w:sz w:val="24"/>
                <w:szCs w:val="24"/>
              </w:rPr>
              <w:t xml:space="preserve"> Blick</w:t>
            </w:r>
            <w:r w:rsidR="00ED5BDE">
              <w:rPr>
                <w:rFonts w:ascii="Calibri" w:hAnsi="Calibri" w:cs="Arial"/>
                <w:sz w:val="24"/>
                <w:szCs w:val="24"/>
              </w:rPr>
              <w:t xml:space="preserve"> aufs Hafengelände gewährt.</w:t>
            </w:r>
          </w:p>
          <w:p w:rsidR="00593923" w:rsidRPr="00593923" w:rsidRDefault="00593923" w:rsidP="00593923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:rsidR="00593923" w:rsidRPr="00593923" w:rsidRDefault="00593923" w:rsidP="006E0BA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Ein knapp 10 minütiger Fußmarsch über die Via Giuseppe Garibaldi und die Via Castello führt hinauf auf den Burgberg, auf dem die </w:t>
            </w:r>
            <w:r w:rsidRPr="00593923">
              <w:rPr>
                <w:rFonts w:ascii="Calibri" w:hAnsi="Calibri" w:cs="Arial"/>
                <w:b/>
                <w:sz w:val="24"/>
                <w:szCs w:val="24"/>
              </w:rPr>
              <w:t>Festung</w:t>
            </w:r>
            <w:r>
              <w:rPr>
                <w:rFonts w:ascii="Calibri" w:hAnsi="Calibri" w:cs="Arial"/>
                <w:sz w:val="24"/>
                <w:szCs w:val="24"/>
              </w:rPr>
              <w:t xml:space="preserve"> aus dem 16. Jahrhundert thront. Innerhalb des Mauerrings </w:t>
            </w:r>
            <w:r w:rsidR="002F7DD2">
              <w:rPr>
                <w:rFonts w:ascii="Calibri" w:hAnsi="Calibri" w:cs="Arial"/>
                <w:sz w:val="24"/>
                <w:szCs w:val="24"/>
              </w:rPr>
              <w:t>befindet</w:t>
            </w:r>
            <w:r>
              <w:rPr>
                <w:rFonts w:ascii="Calibri" w:hAnsi="Calibri" w:cs="Arial"/>
                <w:sz w:val="24"/>
                <w:szCs w:val="24"/>
              </w:rPr>
              <w:t xml:space="preserve"> auch</w:t>
            </w:r>
            <w:r w:rsidR="00A52F87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A52F87" w:rsidRPr="00593923">
              <w:rPr>
                <w:rFonts w:ascii="Calibri" w:hAnsi="Calibri" w:cs="Arial"/>
                <w:sz w:val="24"/>
                <w:szCs w:val="24"/>
              </w:rPr>
              <w:t>das</w:t>
            </w:r>
            <w:r w:rsidR="00A52F87">
              <w:rPr>
                <w:rFonts w:ascii="Calibri" w:hAnsi="Calibri" w:cs="Arial"/>
                <w:b/>
                <w:sz w:val="24"/>
                <w:szCs w:val="24"/>
              </w:rPr>
              <w:t xml:space="preserve"> Archäologische Museum</w:t>
            </w:r>
            <w:r w:rsidR="00A52F87" w:rsidRPr="00593923">
              <w:rPr>
                <w:rFonts w:ascii="Calibri" w:hAnsi="Calibri" w:cs="Arial"/>
                <w:sz w:val="24"/>
                <w:szCs w:val="24"/>
              </w:rPr>
              <w:t>,</w:t>
            </w:r>
            <w:r w:rsidR="00A52F87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 w:rsidR="00A52F87" w:rsidRPr="00593923">
              <w:rPr>
                <w:rFonts w:ascii="Calibri" w:hAnsi="Calibri" w:cs="Arial"/>
                <w:sz w:val="24"/>
                <w:szCs w:val="24"/>
              </w:rPr>
              <w:t>welches</w:t>
            </w:r>
            <w:r w:rsidR="00A52F87">
              <w:rPr>
                <w:rFonts w:ascii="Calibri" w:hAnsi="Calibri" w:cs="Arial"/>
                <w:sz w:val="24"/>
                <w:szCs w:val="24"/>
              </w:rPr>
              <w:t xml:space="preserve"> in fünf Pavillons die tausendjährige Geschichte der Äolischen Inseln beleuchtet (Öffnungszeiten: 09.00 bis 18.30 Uhr, Eintritt: 13 €) und</w:t>
            </w:r>
            <w:r>
              <w:rPr>
                <w:rFonts w:ascii="Calibri" w:hAnsi="Calibri" w:cs="Arial"/>
                <w:sz w:val="24"/>
                <w:szCs w:val="24"/>
              </w:rPr>
              <w:t xml:space="preserve"> die im Jahre 1654 im Barockstil errichtete </w:t>
            </w:r>
            <w:r w:rsidRPr="00593923">
              <w:rPr>
                <w:rFonts w:ascii="Calibri" w:hAnsi="Calibri" w:cs="Arial"/>
                <w:b/>
                <w:sz w:val="24"/>
                <w:szCs w:val="24"/>
              </w:rPr>
              <w:t>Kathedrale San Bartolomeo</w:t>
            </w:r>
            <w:r w:rsidR="007A653B">
              <w:rPr>
                <w:rFonts w:ascii="Calibri" w:hAnsi="Calibri" w:cs="Arial"/>
                <w:sz w:val="24"/>
                <w:szCs w:val="24"/>
              </w:rPr>
              <w:t>.</w:t>
            </w:r>
            <w:r w:rsidR="00A52F87">
              <w:rPr>
                <w:rFonts w:ascii="Calibri" w:hAnsi="Calibri" w:cs="Arial"/>
                <w:sz w:val="24"/>
                <w:szCs w:val="24"/>
              </w:rPr>
              <w:t xml:space="preserve"> Der </w:t>
            </w:r>
            <w:r w:rsidR="00A52F87" w:rsidRPr="00A52F87">
              <w:rPr>
                <w:rFonts w:ascii="Calibri" w:hAnsi="Calibri" w:cs="Arial"/>
                <w:b/>
                <w:sz w:val="24"/>
                <w:szCs w:val="24"/>
              </w:rPr>
              <w:t>norman</w:t>
            </w:r>
            <w:r w:rsidR="002F7DD2">
              <w:rPr>
                <w:rFonts w:ascii="Calibri" w:hAnsi="Calibri" w:cs="Arial"/>
                <w:b/>
                <w:sz w:val="24"/>
                <w:szCs w:val="24"/>
              </w:rPr>
              <w:t>-</w:t>
            </w:r>
            <w:r w:rsidR="00A52F87" w:rsidRPr="00A52F87">
              <w:rPr>
                <w:rFonts w:ascii="Calibri" w:hAnsi="Calibri" w:cs="Arial"/>
                <w:b/>
                <w:sz w:val="24"/>
                <w:szCs w:val="24"/>
              </w:rPr>
              <w:t>nische</w:t>
            </w:r>
            <w:r w:rsidR="00A52F87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A52F87" w:rsidRPr="00A52F87">
              <w:rPr>
                <w:rFonts w:ascii="Calibri" w:hAnsi="Calibri" w:cs="Arial"/>
                <w:b/>
                <w:sz w:val="24"/>
                <w:szCs w:val="24"/>
              </w:rPr>
              <w:t>Kreuzgang</w:t>
            </w:r>
            <w:r w:rsidR="00A52F87">
              <w:rPr>
                <w:rFonts w:ascii="Calibri" w:hAnsi="Calibri" w:cs="Arial"/>
                <w:sz w:val="24"/>
                <w:szCs w:val="24"/>
              </w:rPr>
              <w:t>, erst im Jahre 1978 wiederentdeckt, gilt als Wahrzeichen Liparis.</w:t>
            </w:r>
          </w:p>
          <w:p w:rsidR="006E0BAB" w:rsidRPr="00900DF3" w:rsidRDefault="006E0BAB" w:rsidP="006E0BAB">
            <w:pPr>
              <w:pStyle w:val="ListParagraph"/>
              <w:spacing w:line="276" w:lineRule="auto"/>
              <w:jc w:val="both"/>
              <w:rPr>
                <w:rFonts w:ascii="Calibri" w:hAnsi="Calibri" w:cs="Arial"/>
                <w:sz w:val="14"/>
                <w:szCs w:val="14"/>
              </w:rPr>
            </w:pPr>
          </w:p>
          <w:p w:rsidR="006E0BAB" w:rsidRDefault="00C21B64" w:rsidP="006E0BA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Die Insel ist aber auch berühmt für ihre wilde Natur mit versteckten Buchten und einsamen Stränden. Mit dem Taxi erreicht man nach einer rund 3 Kilometer langen Fahrt den </w:t>
            </w:r>
            <w:r w:rsidR="00DE20F4">
              <w:rPr>
                <w:rFonts w:ascii="Calibri" w:hAnsi="Calibri" w:cs="Arial"/>
                <w:sz w:val="24"/>
                <w:szCs w:val="24"/>
              </w:rPr>
              <w:t xml:space="preserve">beliebten Strand </w:t>
            </w:r>
            <w:r w:rsidR="00DE20F4" w:rsidRPr="00DE20F4">
              <w:rPr>
                <w:rFonts w:ascii="Calibri" w:hAnsi="Calibri" w:cs="Arial"/>
                <w:b/>
                <w:sz w:val="24"/>
                <w:szCs w:val="24"/>
              </w:rPr>
              <w:t>Spiaggia di Canneto</w:t>
            </w:r>
            <w:r w:rsidR="00DE20F4">
              <w:rPr>
                <w:rFonts w:ascii="Calibri" w:hAnsi="Calibri" w:cs="Arial"/>
                <w:sz w:val="24"/>
                <w:szCs w:val="24"/>
              </w:rPr>
              <w:t xml:space="preserve">, vielleicht etwas touristischer als andere, dafür auch mit entsprechender Infrastruktur. </w:t>
            </w:r>
          </w:p>
          <w:p w:rsidR="00DE20F4" w:rsidRPr="002F7DD2" w:rsidRDefault="00DE20F4" w:rsidP="00DE20F4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:rsidR="006E0BAB" w:rsidRPr="00541D87" w:rsidRDefault="00DE20F4" w:rsidP="00A52F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541D87">
              <w:rPr>
                <w:rFonts w:ascii="Calibri" w:hAnsi="Calibri" w:cs="Arial"/>
                <w:sz w:val="24"/>
                <w:szCs w:val="24"/>
              </w:rPr>
              <w:t xml:space="preserve">Mit einem Mietwagen oder einem Taxi gelangt man nach rund 20 minütiger Fahrt quer über die Insel </w:t>
            </w:r>
            <w:r w:rsidR="00076269" w:rsidRPr="00541D87">
              <w:rPr>
                <w:rFonts w:ascii="Calibri" w:hAnsi="Calibri" w:cs="Arial"/>
                <w:sz w:val="24"/>
                <w:szCs w:val="24"/>
              </w:rPr>
              <w:t>zu</w:t>
            </w:r>
            <w:r w:rsidR="00541D87" w:rsidRPr="00541D87">
              <w:rPr>
                <w:rFonts w:ascii="Calibri" w:hAnsi="Calibri" w:cs="Arial"/>
                <w:sz w:val="24"/>
                <w:szCs w:val="24"/>
              </w:rPr>
              <w:t xml:space="preserve">r </w:t>
            </w:r>
            <w:r w:rsidR="00541D87" w:rsidRPr="00541D87">
              <w:rPr>
                <w:rFonts w:ascii="Calibri" w:hAnsi="Calibri" w:cs="Arial"/>
                <w:b/>
                <w:sz w:val="24"/>
                <w:szCs w:val="24"/>
              </w:rPr>
              <w:t>Chiesa Vecchia di Quattropani</w:t>
            </w:r>
            <w:r w:rsidR="00541D87">
              <w:rPr>
                <w:rFonts w:ascii="Calibri" w:hAnsi="Calibri" w:cs="Arial"/>
                <w:b/>
                <w:sz w:val="24"/>
                <w:szCs w:val="24"/>
              </w:rPr>
              <w:t xml:space="preserve">. </w:t>
            </w:r>
            <w:r w:rsidR="00541D87" w:rsidRPr="00541D87">
              <w:rPr>
                <w:rFonts w:ascii="Calibri" w:hAnsi="Calibri" w:cs="Arial"/>
                <w:sz w:val="24"/>
                <w:szCs w:val="24"/>
              </w:rPr>
              <w:t>Ihre Terrasse eröffn</w:t>
            </w:r>
            <w:r w:rsidR="00541D87">
              <w:rPr>
                <w:rFonts w:ascii="Calibri" w:hAnsi="Calibri" w:cs="Arial"/>
                <w:sz w:val="24"/>
                <w:szCs w:val="24"/>
              </w:rPr>
              <w:t>et einem einen grandio</w:t>
            </w:r>
            <w:bookmarkStart w:id="3" w:name="_GoBack"/>
            <w:bookmarkEnd w:id="3"/>
            <w:r w:rsidR="00541D87">
              <w:rPr>
                <w:rFonts w:ascii="Calibri" w:hAnsi="Calibri" w:cs="Arial"/>
                <w:sz w:val="24"/>
                <w:szCs w:val="24"/>
              </w:rPr>
              <w:t xml:space="preserve">sen Blick auf die Nachbarinseln Salina und Filicudi. </w:t>
            </w:r>
          </w:p>
          <w:p w:rsidR="006E0BAB" w:rsidRPr="009B0BD4" w:rsidRDefault="006E0BAB" w:rsidP="006E0BAB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:rsidR="00992DE7" w:rsidRPr="008F6AD1" w:rsidRDefault="00992DE7" w:rsidP="008F6AD1">
            <w:p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</w:p>
        </w:tc>
      </w:tr>
      <w:bookmarkEnd w:id="0"/>
    </w:tbl>
    <w:p w:rsidR="00992DE7" w:rsidRDefault="00992DE7"/>
    <w:sectPr w:rsidR="00992DE7" w:rsidSect="008F6AD1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2C4" w:rsidRDefault="006D72C4" w:rsidP="00992DE7">
      <w:r>
        <w:separator/>
      </w:r>
    </w:p>
  </w:endnote>
  <w:endnote w:type="continuationSeparator" w:id="0">
    <w:p w:rsidR="006D72C4" w:rsidRDefault="006D72C4" w:rsidP="00992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996" w:rsidRPr="00A15303" w:rsidRDefault="00362996" w:rsidP="00362996">
    <w:pPr>
      <w:tabs>
        <w:tab w:val="center" w:pos="4703"/>
        <w:tab w:val="right" w:pos="9406"/>
      </w:tabs>
      <w:jc w:val="center"/>
      <w:rPr>
        <w:rFonts w:asciiTheme="minorHAnsi" w:hAnsiTheme="minorHAnsi"/>
        <w:sz w:val="22"/>
        <w:szCs w:val="22"/>
      </w:rPr>
    </w:pPr>
    <w:r w:rsidRPr="00A15303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  <w:r w:rsidR="000A06C7">
      <w:rPr>
        <w:rFonts w:asciiTheme="minorHAnsi" w:hAnsiTheme="minorHAnsi"/>
        <w:sz w:val="22"/>
        <w:szCs w:val="22"/>
      </w:rPr>
      <w:t>.</w:t>
    </w:r>
  </w:p>
  <w:p w:rsidR="00362996" w:rsidRDefault="00362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2C4" w:rsidRDefault="006D72C4" w:rsidP="00992DE7">
      <w:r>
        <w:separator/>
      </w:r>
    </w:p>
  </w:footnote>
  <w:footnote w:type="continuationSeparator" w:id="0">
    <w:p w:rsidR="006D72C4" w:rsidRDefault="006D72C4" w:rsidP="00992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DE7" w:rsidRDefault="008F6AD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BA7AE" wp14:editId="06EC80FA">
          <wp:simplePos x="0" y="0"/>
          <wp:positionH relativeFrom="column">
            <wp:posOffset>2095500</wp:posOffset>
          </wp:positionH>
          <wp:positionV relativeFrom="paragraph">
            <wp:posOffset>-316230</wp:posOffset>
          </wp:positionV>
          <wp:extent cx="1543050" cy="638973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638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E7"/>
    <w:rsid w:val="00030A96"/>
    <w:rsid w:val="00076269"/>
    <w:rsid w:val="000A06C7"/>
    <w:rsid w:val="000D5068"/>
    <w:rsid w:val="00163E10"/>
    <w:rsid w:val="002139FC"/>
    <w:rsid w:val="002A35A2"/>
    <w:rsid w:val="002D25F7"/>
    <w:rsid w:val="002F7DD2"/>
    <w:rsid w:val="00304478"/>
    <w:rsid w:val="00362996"/>
    <w:rsid w:val="00397177"/>
    <w:rsid w:val="003A5206"/>
    <w:rsid w:val="003B3EF7"/>
    <w:rsid w:val="004017F2"/>
    <w:rsid w:val="004233D1"/>
    <w:rsid w:val="004361EC"/>
    <w:rsid w:val="004D6FA7"/>
    <w:rsid w:val="004E5A90"/>
    <w:rsid w:val="00541D87"/>
    <w:rsid w:val="00593923"/>
    <w:rsid w:val="005D0EA7"/>
    <w:rsid w:val="006D72C4"/>
    <w:rsid w:val="006E0BAB"/>
    <w:rsid w:val="00771A47"/>
    <w:rsid w:val="007A653B"/>
    <w:rsid w:val="007B0946"/>
    <w:rsid w:val="008F6AD1"/>
    <w:rsid w:val="00992DE7"/>
    <w:rsid w:val="00A52F87"/>
    <w:rsid w:val="00AD10B4"/>
    <w:rsid w:val="00B60E2B"/>
    <w:rsid w:val="00C21B64"/>
    <w:rsid w:val="00CC7C70"/>
    <w:rsid w:val="00CF65BC"/>
    <w:rsid w:val="00D20604"/>
    <w:rsid w:val="00DC65A2"/>
    <w:rsid w:val="00DE20F4"/>
    <w:rsid w:val="00EA779A"/>
    <w:rsid w:val="00ED5BDE"/>
    <w:rsid w:val="00F92A34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E7E5F3"/>
  <w15:chartTrackingRefBased/>
  <w15:docId w15:val="{D204374E-5E1F-4F7B-BD0C-CD8298D7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992DE7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DE7"/>
    <w:rPr>
      <w:rFonts w:ascii="Arial" w:eastAsia="Times New Roman" w:hAnsi="Arial" w:cs="Times New Roman"/>
      <w:b/>
      <w:sz w:val="28"/>
      <w:szCs w:val="20"/>
      <w:u w:val="single"/>
      <w:lang w:eastAsia="de-DE"/>
    </w:rPr>
  </w:style>
  <w:style w:type="table" w:styleId="TableGrid">
    <w:name w:val="Table Grid"/>
    <w:basedOn w:val="TableNormal"/>
    <w:uiPriority w:val="39"/>
    <w:rsid w:val="00992DE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D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D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2D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DE7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992D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DE7"/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72E85-2801-4362-A005-207E33B86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 PHX TV</dc:creator>
  <cp:keywords/>
  <dc:description/>
  <cp:lastModifiedBy>Amera PHX TV</cp:lastModifiedBy>
  <cp:revision>3</cp:revision>
  <dcterms:created xsi:type="dcterms:W3CDTF">2024-10-30T11:43:00Z</dcterms:created>
  <dcterms:modified xsi:type="dcterms:W3CDTF">2024-10-30T14:18:00Z</dcterms:modified>
</cp:coreProperties>
</file>