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CE06" w14:textId="561BFDBF" w:rsidR="00DE4DFD" w:rsidRPr="00DE4DFD" w:rsidRDefault="00DE4DFD" w:rsidP="001C77CB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192964">
        <w:rPr>
          <w:rFonts w:asciiTheme="minorHAnsi" w:hAnsiTheme="minorHAnsi"/>
          <w:sz w:val="36"/>
          <w:szCs w:val="32"/>
          <w:u w:val="none"/>
        </w:rPr>
        <w:t>Narsaq</w:t>
      </w:r>
      <w:r w:rsidR="00125586"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 w:rsidR="00F26B84">
        <w:rPr>
          <w:rFonts w:asciiTheme="minorHAnsi" w:hAnsiTheme="minorHAnsi"/>
          <w:sz w:val="36"/>
          <w:szCs w:val="32"/>
          <w:u w:val="none"/>
        </w:rPr>
        <w:t>Grönlan</w:t>
      </w:r>
      <w:r w:rsidR="003F7FD6">
        <w:rPr>
          <w:rFonts w:asciiTheme="minorHAnsi" w:hAnsiTheme="minorHAnsi"/>
          <w:sz w:val="36"/>
          <w:szCs w:val="32"/>
          <w:u w:val="none"/>
        </w:rPr>
        <w:t>d</w:t>
      </w:r>
    </w:p>
    <w:tbl>
      <w:tblPr>
        <w:tblStyle w:val="TableGrid"/>
        <w:tblW w:w="111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56"/>
      </w:tblGrid>
      <w:tr w:rsidR="0036101B" w:rsidRPr="003451F4" w14:paraId="70482D32" w14:textId="77777777" w:rsidTr="0037169F">
        <w:trPr>
          <w:trHeight w:val="2176"/>
        </w:trPr>
        <w:tc>
          <w:tcPr>
            <w:tcW w:w="1809" w:type="dxa"/>
          </w:tcPr>
          <w:p w14:paraId="5ADC00BA" w14:textId="6A696F2F" w:rsidR="0036101B" w:rsidRDefault="00192964" w:rsidP="00BA7966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Narsaq</w:t>
            </w:r>
          </w:p>
          <w:p w14:paraId="3E1328AE" w14:textId="4BC11D34" w:rsidR="0017472F" w:rsidRDefault="0017472F" w:rsidP="00BA7966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4A8A360C" w14:textId="33484240" w:rsidR="00AB4E73" w:rsidRDefault="00AB4E73" w:rsidP="00BA7966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6A282E34" w14:textId="22816F30" w:rsidR="00CE2447" w:rsidRPr="00DA14CB" w:rsidRDefault="00CE2447" w:rsidP="00BA7966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7A8D926B" w14:textId="48DEA093" w:rsidR="0017472F" w:rsidRPr="00534B6D" w:rsidRDefault="0017472F" w:rsidP="0017472F">
            <w:pPr>
              <w:spacing w:before="120" w:after="120" w:line="288" w:lineRule="auto"/>
              <w:ind w:right="283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9356" w:type="dxa"/>
          </w:tcPr>
          <w:p w14:paraId="09ED0ACD" w14:textId="57F0A49D" w:rsidR="004166DD" w:rsidRPr="004166DD" w:rsidRDefault="009C1D7E" w:rsidP="00106735">
            <w:p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liegt </w:t>
            </w:r>
            <w:r w:rsidRPr="009C1D7E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flachen </w:t>
            </w:r>
            <w:r w:rsidRPr="009C1D7E">
              <w:rPr>
                <w:rFonts w:asciiTheme="minorHAnsi" w:hAnsiTheme="minorHAnsi" w:cs="Arial"/>
                <w:sz w:val="24"/>
                <w:szCs w:val="24"/>
              </w:rPr>
              <w:t>Ende der Halbinsel Qajuuttap Nunaa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9C1D7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 xml:space="preserve">malerisch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eingebettet 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>unterhalb bis 1</w:t>
            </w:r>
            <w:r w:rsidR="0037169F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>400 Meter hohe</w:t>
            </w: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 xml:space="preserve"> Felsflanken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. 1959 gegründet ist die Stadt </w:t>
            </w:r>
            <w:r w:rsidRPr="009C1D7E">
              <w:rPr>
                <w:rFonts w:asciiTheme="minorHAnsi" w:hAnsiTheme="minorHAnsi" w:cs="Arial"/>
                <w:sz w:val="24"/>
                <w:szCs w:val="24"/>
              </w:rPr>
              <w:t>die jüngste Ansiedlung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Südgrönlands und mit 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>rund 1</w:t>
            </w:r>
            <w:r w:rsidR="0037169F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 xml:space="preserve">00 Einwohnern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auch 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>eine der größeren Ort</w:t>
            </w:r>
            <w:r w:rsidR="0037169F">
              <w:rPr>
                <w:rFonts w:asciiTheme="minorHAnsi" w:hAnsiTheme="minorHAnsi" w:cs="Arial"/>
                <w:sz w:val="24"/>
                <w:szCs w:val="24"/>
              </w:rPr>
              <w:t>schaften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im Süden</w:t>
            </w:r>
            <w:r w:rsidR="0037169F">
              <w:rPr>
                <w:rFonts w:asciiTheme="minorHAnsi" w:hAnsiTheme="minorHAnsi" w:cs="Arial"/>
                <w:sz w:val="24"/>
                <w:szCs w:val="24"/>
              </w:rPr>
              <w:t xml:space="preserve"> der Insel</w:t>
            </w:r>
            <w:r w:rsidR="000A17F8" w:rsidRPr="000A17F8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D7E27">
              <w:rPr>
                <w:rFonts w:asciiTheme="minorHAnsi" w:hAnsiTheme="minorHAnsi" w:cs="Arial"/>
                <w:sz w:val="24"/>
                <w:szCs w:val="24"/>
              </w:rPr>
              <w:t xml:space="preserve">Sie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verfügt über eine Fischfabrik und </w:t>
            </w:r>
            <w:r w:rsidR="0037169F">
              <w:rPr>
                <w:rFonts w:asciiTheme="minorHAnsi" w:hAnsiTheme="minorHAnsi" w:cs="Arial"/>
                <w:sz w:val="24"/>
                <w:szCs w:val="24"/>
              </w:rPr>
              <w:t xml:space="preserve">auch </w:t>
            </w:r>
            <w:r>
              <w:rPr>
                <w:rFonts w:asciiTheme="minorHAnsi" w:hAnsiTheme="minorHAnsi" w:cs="Arial"/>
                <w:sz w:val="24"/>
                <w:szCs w:val="24"/>
              </w:rPr>
              <w:t>eine Schlachterei, da die Region der Schafzucht dient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 xml:space="preserve">, sodass die Ansiedlung </w:t>
            </w:r>
            <w:r w:rsidR="00A8635F" w:rsidRPr="00A8635F">
              <w:rPr>
                <w:rFonts w:asciiTheme="minorHAnsi" w:hAnsiTheme="minorHAnsi" w:cs="Arial"/>
                <w:sz w:val="24"/>
                <w:szCs w:val="24"/>
              </w:rPr>
              <w:t>ein Zentrum der grönländischen Lebensmittelproduktion dar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>stellt</w:t>
            </w:r>
            <w:r w:rsidR="00A8635F" w:rsidRPr="00A8635F">
              <w:rPr>
                <w:rFonts w:asciiTheme="minorHAnsi" w:hAnsiTheme="minorHAnsi" w:cs="Arial"/>
                <w:sz w:val="24"/>
                <w:szCs w:val="24"/>
              </w:rPr>
              <w:t>, was sich auch in der Existenz der Lebensmittelfachschule Inuili zeigt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>. De</w:t>
            </w:r>
            <w:r w:rsidR="00AD7E27">
              <w:rPr>
                <w:rFonts w:asciiTheme="minorHAnsi" w:hAnsiTheme="minorHAnsi" w:cs="Arial"/>
                <w:sz w:val="24"/>
                <w:szCs w:val="24"/>
              </w:rPr>
              <w:t>s Weiteren braut die Qaja</w:t>
            </w:r>
            <w:r w:rsidR="00E569D3">
              <w:rPr>
                <w:rFonts w:asciiTheme="minorHAnsi" w:hAnsiTheme="minorHAnsi" w:cs="Arial"/>
                <w:sz w:val="24"/>
                <w:szCs w:val="24"/>
              </w:rPr>
              <w:t>Q</w:t>
            </w:r>
            <w:r w:rsidR="00AD7E27">
              <w:rPr>
                <w:rFonts w:asciiTheme="minorHAnsi" w:hAnsiTheme="minorHAnsi" w:cs="Arial"/>
                <w:sz w:val="24"/>
                <w:szCs w:val="24"/>
              </w:rPr>
              <w:t xml:space="preserve"> Brewery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90425">
              <w:rPr>
                <w:rFonts w:asciiTheme="minorHAnsi" w:hAnsiTheme="minorHAnsi" w:cs="Arial"/>
                <w:sz w:val="24"/>
                <w:szCs w:val="24"/>
              </w:rPr>
              <w:t xml:space="preserve">ihr Bier </w:t>
            </w:r>
            <w:r w:rsidR="00AD7E27">
              <w:rPr>
                <w:rFonts w:asciiTheme="minorHAnsi" w:hAnsiTheme="minorHAnsi" w:cs="Arial"/>
                <w:sz w:val="24"/>
                <w:szCs w:val="24"/>
              </w:rPr>
              <w:t>in Narsaq</w:t>
            </w:r>
            <w:r w:rsidR="00A8635F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EC6E30" w:rsidRPr="003451F4" w14:paraId="333230AB" w14:textId="77777777" w:rsidTr="00106735">
        <w:trPr>
          <w:trHeight w:val="80"/>
        </w:trPr>
        <w:tc>
          <w:tcPr>
            <w:tcW w:w="1809" w:type="dxa"/>
          </w:tcPr>
          <w:p w14:paraId="1BFAC7B5" w14:textId="1C224472" w:rsidR="00D92419" w:rsidRPr="00D92419" w:rsidRDefault="00D92419" w:rsidP="00EC6E30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7ECC3DFF" w14:textId="77777777" w:rsidR="0003052F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7C735845" w14:textId="77777777" w:rsidR="0003052F" w:rsidRPr="00663715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00E39FD" w14:textId="77777777" w:rsidR="00EA7BA1" w:rsidRDefault="00EA7BA1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F894DC5" w14:textId="77777777" w:rsidR="00BB1A80" w:rsidRDefault="00BB1A80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8F7220D" w14:textId="66EF597A" w:rsidR="00EC6E30" w:rsidRPr="00EC6E30" w:rsidRDefault="00EC6E30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</w:t>
            </w:r>
            <w:r w:rsidR="00BA6993">
              <w:rPr>
                <w:rFonts w:asciiTheme="minorHAnsi" w:hAnsiTheme="minorHAnsi" w:cs="Arial"/>
                <w:b/>
                <w:sz w:val="24"/>
                <w:szCs w:val="24"/>
              </w:rPr>
              <w:t>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0BE20034" w14:textId="77777777" w:rsidR="00EC6E30" w:rsidRPr="00EC6E30" w:rsidRDefault="00EC6E30" w:rsidP="00EC6E30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356" w:type="dxa"/>
          </w:tcPr>
          <w:p w14:paraId="748823F2" w14:textId="682FC0B1" w:rsidR="00BB1A80" w:rsidRPr="00986F40" w:rsidRDefault="00953E96" w:rsidP="00106735">
            <w:pPr>
              <w:pStyle w:val="ListParagraph"/>
              <w:spacing w:before="120" w:after="120" w:line="276" w:lineRule="auto"/>
              <w:ind w:right="430"/>
              <w:rPr>
                <w:rFonts w:asciiTheme="minorHAnsi" w:hAnsiTheme="minorHAnsi" w:cs="Arial"/>
                <w:sz w:val="24"/>
                <w:szCs w:val="24"/>
              </w:rPr>
            </w:pPr>
            <w:r w:rsidRPr="00953E96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0B14FC">
              <w:rPr>
                <w:rFonts w:asciiTheme="minorHAnsi" w:hAnsiTheme="minorHAnsi" w:cs="Arial"/>
                <w:sz w:val="24"/>
                <w:szCs w:val="24"/>
              </w:rPr>
              <w:t>ie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Dänische Krone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 xml:space="preserve"> (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>)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Landeswährung, EC- und Kreditkarten werden </w:t>
            </w:r>
            <w:r w:rsidR="00E569D3">
              <w:rPr>
                <w:rFonts w:asciiTheme="minorHAnsi" w:hAnsiTheme="minorHAnsi" w:cs="Arial"/>
                <w:sz w:val="24"/>
                <w:szCs w:val="24"/>
              </w:rPr>
              <w:t>manchmal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akzeptiert.        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Wechselkurs: 1,- </w:t>
            </w:r>
            <w:r w:rsidR="008C282E"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="00E569D3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A1672E"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B23B8C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E569D3"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6A89">
              <w:rPr>
                <w:rFonts w:asciiTheme="minorHAnsi" w:hAnsiTheme="minorHAnsi" w:cs="Arial"/>
                <w:sz w:val="24"/>
                <w:szCs w:val="24"/>
              </w:rPr>
              <w:t>Euro</w:t>
            </w:r>
          </w:p>
          <w:p w14:paraId="29795BEB" w14:textId="0A23FF4E" w:rsidR="00953E96" w:rsidRPr="00663715" w:rsidRDefault="00953E96" w:rsidP="00484C05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9D35391" w14:textId="219DB5EA" w:rsidR="007A1B72" w:rsidRDefault="000F66DD" w:rsidP="0010673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MS Amera verbleibt auf Reede und so sorgen die schiffseigenen </w:t>
            </w:r>
            <w:r w:rsidRPr="000F66DD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für den Transfer an Land. </w:t>
            </w:r>
            <w:r w:rsidR="00DD1012">
              <w:rPr>
                <w:rFonts w:asciiTheme="minorHAnsi" w:hAnsiTheme="minorHAnsi" w:cs="Arial"/>
                <w:sz w:val="24"/>
                <w:szCs w:val="24"/>
              </w:rPr>
              <w:t xml:space="preserve">Vom </w:t>
            </w:r>
            <w:r w:rsidR="00DD1012" w:rsidRPr="00DD1012">
              <w:rPr>
                <w:rFonts w:asciiTheme="minorHAnsi" w:hAnsiTheme="minorHAnsi" w:cs="Arial"/>
                <w:b/>
                <w:sz w:val="24"/>
                <w:szCs w:val="24"/>
              </w:rPr>
              <w:t>Hafen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 xml:space="preserve"> aus </w:t>
            </w:r>
            <w:r w:rsidR="00DD1012">
              <w:rPr>
                <w:rFonts w:asciiTheme="minorHAnsi" w:hAnsiTheme="minorHAnsi" w:cs="Arial"/>
                <w:sz w:val="24"/>
                <w:szCs w:val="24"/>
              </w:rPr>
              <w:t xml:space="preserve">ist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dann 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 xml:space="preserve">das insgesamt weitläufige </w:t>
            </w:r>
            <w:r w:rsidR="00B5404F">
              <w:rPr>
                <w:rFonts w:asciiTheme="minorHAnsi" w:hAnsiTheme="minorHAnsi" w:cs="Arial"/>
                <w:b/>
                <w:sz w:val="24"/>
                <w:szCs w:val="24"/>
              </w:rPr>
              <w:t>Siedlungsgebiet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90425" w:rsidRPr="008B32BF">
              <w:rPr>
                <w:rFonts w:asciiTheme="minorHAnsi" w:hAnsiTheme="minorHAnsi" w:cs="Arial"/>
                <w:sz w:val="24"/>
                <w:szCs w:val="24"/>
              </w:rPr>
              <w:t xml:space="preserve">in landschaftlich reizvoller Umgebung </w:t>
            </w:r>
            <w:r w:rsidR="00DD1012">
              <w:rPr>
                <w:rFonts w:asciiTheme="minorHAnsi" w:hAnsiTheme="minorHAnsi" w:cs="Arial"/>
                <w:sz w:val="24"/>
                <w:szCs w:val="24"/>
              </w:rPr>
              <w:t xml:space="preserve">gut 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 xml:space="preserve">zu Fuß zu </w:t>
            </w:r>
            <w:r w:rsidR="00726CCE">
              <w:rPr>
                <w:rFonts w:asciiTheme="minorHAnsi" w:hAnsiTheme="minorHAnsi" w:cs="Arial"/>
                <w:sz w:val="24"/>
                <w:szCs w:val="24"/>
              </w:rPr>
              <w:t>erkund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 xml:space="preserve">en </w:t>
            </w:r>
            <w:r w:rsidR="00DD1012">
              <w:rPr>
                <w:rFonts w:asciiTheme="minorHAnsi" w:hAnsiTheme="minorHAnsi" w:cs="Arial"/>
                <w:sz w:val="24"/>
                <w:szCs w:val="24"/>
              </w:rPr>
              <w:t>und eignet sich auch besonders für Spaziergänge</w:t>
            </w:r>
            <w:r w:rsidR="008B0B61">
              <w:rPr>
                <w:rFonts w:asciiTheme="minorHAnsi" w:hAnsiTheme="minorHAnsi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6F221B4E" w14:textId="77777777" w:rsidR="00DA14CB" w:rsidRPr="00DA14CB" w:rsidRDefault="00DA14CB" w:rsidP="00DA14CB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08B3D2C" w14:textId="695A1FEB" w:rsidR="00B5404F" w:rsidRDefault="00DA14CB" w:rsidP="00106735">
            <w:pPr>
              <w:pStyle w:val="ListParagraph"/>
              <w:numPr>
                <w:ilvl w:val="0"/>
                <w:numId w:val="2"/>
              </w:numPr>
              <w:tabs>
                <w:tab w:val="left" w:pos="7302"/>
                <w:tab w:val="left" w:pos="8295"/>
                <w:tab w:val="left" w:pos="8436"/>
              </w:tabs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DA14CB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Pr="007E3BB9">
              <w:rPr>
                <w:rFonts w:asciiTheme="minorHAnsi" w:hAnsiTheme="minorHAnsi" w:cs="Arial"/>
                <w:b/>
                <w:sz w:val="24"/>
                <w:szCs w:val="24"/>
              </w:rPr>
              <w:t>Bootshafen</w:t>
            </w:r>
            <w:r w:rsidRPr="00DA14C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 xml:space="preserve">750 Meter nördlich </w:t>
            </w:r>
            <w:r w:rsidRPr="00DA14CB">
              <w:rPr>
                <w:rFonts w:asciiTheme="minorHAnsi" w:hAnsiTheme="minorHAnsi" w:cs="Arial"/>
                <w:sz w:val="24"/>
                <w:szCs w:val="24"/>
              </w:rPr>
              <w:t xml:space="preserve">stehen mehrere alte Häuser aus der Kolonialzeit, 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 xml:space="preserve">in denen das </w:t>
            </w:r>
            <w:r w:rsidR="00B5404F">
              <w:rPr>
                <w:rFonts w:asciiTheme="minorHAnsi" w:hAnsiTheme="minorHAnsi" w:cs="Arial"/>
                <w:b/>
                <w:sz w:val="24"/>
                <w:szCs w:val="24"/>
              </w:rPr>
              <w:t>Heimat-</w:t>
            </w:r>
            <w:r w:rsidR="007E3BB9" w:rsidRPr="007E3BB9">
              <w:rPr>
                <w:rFonts w:asciiTheme="minorHAnsi" w:hAnsiTheme="minorHAnsi" w:cs="Arial"/>
                <w:b/>
                <w:sz w:val="24"/>
                <w:szCs w:val="24"/>
              </w:rPr>
              <w:t>Museum</w:t>
            </w:r>
            <w:r w:rsidR="00F0164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 xml:space="preserve">untergebracht ist, 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>Öffnungszeiten: 10.00 bis 15.00 Uhr, Eintritt: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 xml:space="preserve">50,- DKK. 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>Auch Erik der Rote</w:t>
            </w:r>
            <w:r w:rsidR="00DB379F">
              <w:rPr>
                <w:rFonts w:asciiTheme="minorHAnsi" w:hAnsiTheme="minorHAnsi" w:cs="Arial"/>
                <w:sz w:val="24"/>
                <w:szCs w:val="24"/>
              </w:rPr>
              <w:t xml:space="preserve">, der kurz in Narsaq siedelte, 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>sowie der Maler Henrik Lund</w:t>
            </w:r>
            <w:r w:rsidR="00DB379F">
              <w:rPr>
                <w:rFonts w:asciiTheme="minorHAnsi" w:hAnsiTheme="minorHAnsi" w:cs="Arial"/>
                <w:sz w:val="24"/>
                <w:szCs w:val="24"/>
              </w:rPr>
              <w:t xml:space="preserve">, der hier lebte, </w:t>
            </w:r>
            <w:r w:rsidR="007E3BB9">
              <w:rPr>
                <w:rFonts w:asciiTheme="minorHAnsi" w:hAnsiTheme="minorHAnsi" w:cs="Arial"/>
                <w:sz w:val="24"/>
                <w:szCs w:val="24"/>
              </w:rPr>
              <w:t>werden thematisiert.</w:t>
            </w:r>
          </w:p>
          <w:p w14:paraId="18B67C55" w14:textId="77777777" w:rsidR="00B5404F" w:rsidRPr="00B5404F" w:rsidRDefault="00B5404F" w:rsidP="00B5404F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66AAB96" w14:textId="5B7C5F3B" w:rsidR="00DA14CB" w:rsidRPr="00DA14CB" w:rsidRDefault="0073447F" w:rsidP="00106735">
            <w:pPr>
              <w:pStyle w:val="ListParagraph"/>
              <w:numPr>
                <w:ilvl w:val="0"/>
                <w:numId w:val="2"/>
              </w:numPr>
              <w:tabs>
                <w:tab w:val="left" w:pos="7302"/>
                <w:tab w:val="left" w:pos="8295"/>
                <w:tab w:val="left" w:pos="8436"/>
              </w:tabs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Zudem ist dort eine </w:t>
            </w:r>
            <w:r w:rsidRPr="0073447F">
              <w:rPr>
                <w:rFonts w:asciiTheme="minorHAnsi" w:hAnsiTheme="minorHAnsi" w:cs="Arial"/>
                <w:b/>
                <w:sz w:val="24"/>
                <w:szCs w:val="24"/>
              </w:rPr>
              <w:t>Touristeninformation</w:t>
            </w:r>
            <w:r w:rsidR="00F0164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eingerichtet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 xml:space="preserve"> und im </w:t>
            </w:r>
            <w:r w:rsidR="00B5404F" w:rsidRPr="00B5404F">
              <w:rPr>
                <w:rFonts w:asciiTheme="minorHAnsi" w:hAnsiTheme="minorHAnsi" w:cs="Arial"/>
                <w:b/>
                <w:sz w:val="24"/>
                <w:szCs w:val="24"/>
              </w:rPr>
              <w:t xml:space="preserve">Supermarkt Pilersuisoq 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 xml:space="preserve">nebenan </w:t>
            </w:r>
            <w:r w:rsidR="00F76737">
              <w:rPr>
                <w:rFonts w:asciiTheme="minorHAnsi" w:hAnsiTheme="minorHAnsi" w:cs="Arial"/>
                <w:sz w:val="24"/>
                <w:szCs w:val="24"/>
              </w:rPr>
              <w:t>gibt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 xml:space="preserve"> es einen </w:t>
            </w:r>
            <w:r w:rsidR="00B5404F" w:rsidRPr="00EB6669">
              <w:rPr>
                <w:rFonts w:asciiTheme="minorHAnsi" w:hAnsiTheme="minorHAnsi" w:cs="Arial"/>
                <w:b/>
                <w:sz w:val="24"/>
                <w:szCs w:val="24"/>
              </w:rPr>
              <w:t>Geldautomat</w:t>
            </w:r>
            <w:r w:rsidR="00B5404F">
              <w:rPr>
                <w:rFonts w:asciiTheme="minorHAnsi" w:hAnsiTheme="minorHAnsi" w:cs="Arial"/>
                <w:sz w:val="24"/>
                <w:szCs w:val="24"/>
              </w:rPr>
              <w:t>. Ansonsten sind auch durchaus die im Supermarkt angebotenen Waren mitunter interessant.</w:t>
            </w:r>
          </w:p>
          <w:p w14:paraId="6F37454E" w14:textId="77777777" w:rsidR="00DA14CB" w:rsidRPr="00DA14CB" w:rsidRDefault="00DA14CB" w:rsidP="00DA14CB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75F12AF" w14:textId="002A3253" w:rsidR="007E3BB9" w:rsidRDefault="0080320F" w:rsidP="0010673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Obendarüber thront die architektonisch reizvolle </w:t>
            </w:r>
            <w:r w:rsidRPr="0080320F">
              <w:rPr>
                <w:rFonts w:asciiTheme="minorHAnsi" w:hAnsiTheme="minorHAnsi" w:cs="Arial"/>
                <w:b/>
                <w:sz w:val="24"/>
                <w:szCs w:val="24"/>
              </w:rPr>
              <w:t>Oqaluffik Kirche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1926 von </w:t>
            </w:r>
            <w:r w:rsidRPr="00032778">
              <w:rPr>
                <w:rFonts w:asciiTheme="minorHAnsi" w:hAnsiTheme="minorHAnsi" w:cs="Arial"/>
                <w:sz w:val="24"/>
                <w:szCs w:val="24"/>
              </w:rPr>
              <w:t>Pavia Høegh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entworfen und nur unweit steht d</w:t>
            </w:r>
            <w:r w:rsidR="00E04DF8">
              <w:rPr>
                <w:rFonts w:asciiTheme="minorHAnsi" w:hAnsiTheme="minorHAnsi" w:cs="Arial"/>
                <w:sz w:val="24"/>
                <w:szCs w:val="24"/>
              </w:rPr>
              <w:t xml:space="preserve">as ehemalige </w:t>
            </w:r>
            <w:r w:rsidR="00E04DF8" w:rsidRPr="00E04DF8">
              <w:rPr>
                <w:rFonts w:asciiTheme="minorHAnsi" w:hAnsiTheme="minorHAnsi" w:cs="Arial"/>
                <w:b/>
                <w:sz w:val="24"/>
                <w:szCs w:val="24"/>
              </w:rPr>
              <w:t>Wohnhaus von Henrik Lund</w:t>
            </w:r>
            <w:r w:rsidR="00DA14CB" w:rsidRPr="00DA14CB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55CB145" w14:textId="77777777" w:rsidR="007E3BB9" w:rsidRPr="0010351D" w:rsidRDefault="007E3BB9" w:rsidP="007E3BB9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C035830" w14:textId="67DDC8C0" w:rsidR="0073447F" w:rsidRPr="0073447F" w:rsidRDefault="00D7090B" w:rsidP="0010673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Des Weiteren gibt es ein paar </w:t>
            </w:r>
            <w:r w:rsidR="00DA14CB" w:rsidRPr="00DA14CB">
              <w:rPr>
                <w:rFonts w:asciiTheme="minorHAnsi" w:hAnsiTheme="minorHAnsi" w:cs="Arial"/>
                <w:sz w:val="24"/>
                <w:szCs w:val="24"/>
              </w:rPr>
              <w:t xml:space="preserve">kleine </w:t>
            </w:r>
            <w:r w:rsidR="00DA14CB" w:rsidRPr="00D7090B">
              <w:rPr>
                <w:rFonts w:asciiTheme="minorHAnsi" w:hAnsiTheme="minorHAnsi" w:cs="Arial"/>
                <w:b/>
                <w:sz w:val="24"/>
                <w:szCs w:val="24"/>
              </w:rPr>
              <w:t>Geschäfte</w:t>
            </w:r>
            <w:r w:rsidR="00DA14CB" w:rsidRPr="00DA14C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="00700B8F">
              <w:rPr>
                <w:rFonts w:asciiTheme="minorHAnsi" w:hAnsiTheme="minorHAnsi" w:cs="Arial"/>
                <w:sz w:val="24"/>
                <w:szCs w:val="24"/>
              </w:rPr>
              <w:t xml:space="preserve">an </w:t>
            </w:r>
            <w:r w:rsidR="00700B8F" w:rsidRPr="0073447F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700B8F">
              <w:rPr>
                <w:rFonts w:asciiTheme="minorHAnsi" w:hAnsiTheme="minorHAnsi" w:cs="Arial"/>
                <w:sz w:val="24"/>
                <w:szCs w:val="24"/>
              </w:rPr>
              <w:t xml:space="preserve"> das </w:t>
            </w:r>
            <w:r w:rsidR="00700B8F" w:rsidRPr="0073447F">
              <w:rPr>
                <w:rFonts w:asciiTheme="minorHAnsi" w:hAnsiTheme="minorHAnsi" w:cs="Arial"/>
                <w:b/>
                <w:sz w:val="24"/>
                <w:szCs w:val="24"/>
              </w:rPr>
              <w:t>Hotel Narsaq</w:t>
            </w:r>
            <w:r w:rsidR="00E04DF8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700B8F">
              <w:rPr>
                <w:rFonts w:asciiTheme="minorHAnsi" w:hAnsiTheme="minorHAnsi" w:cs="Arial"/>
                <w:sz w:val="24"/>
                <w:szCs w:val="24"/>
              </w:rPr>
              <w:t>mit Restaurant</w:t>
            </w:r>
            <w:r w:rsidR="00826EE0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73447F">
              <w:rPr>
                <w:rFonts w:asciiTheme="minorHAnsi" w:hAnsiTheme="minorHAnsi" w:cs="Arial"/>
                <w:sz w:val="24"/>
                <w:szCs w:val="24"/>
              </w:rPr>
              <w:t xml:space="preserve"> das </w:t>
            </w:r>
            <w:r w:rsidR="0073447F" w:rsidRPr="0073447F">
              <w:rPr>
                <w:rFonts w:asciiTheme="minorHAnsi" w:hAnsiTheme="minorHAnsi" w:cs="Arial"/>
                <w:b/>
                <w:sz w:val="24"/>
                <w:szCs w:val="24"/>
              </w:rPr>
              <w:t>Café Inugssuk</w:t>
            </w:r>
            <w:r w:rsidR="0073447F">
              <w:rPr>
                <w:rFonts w:asciiTheme="minorHAnsi" w:hAnsiTheme="minorHAnsi" w:cs="Arial"/>
                <w:sz w:val="24"/>
                <w:szCs w:val="24"/>
              </w:rPr>
              <w:t xml:space="preserve"> am Museum</w:t>
            </w:r>
            <w:r w:rsidR="00CE1372">
              <w:rPr>
                <w:rFonts w:asciiTheme="minorHAnsi" w:hAnsiTheme="minorHAnsi" w:cs="Arial"/>
                <w:sz w:val="24"/>
                <w:szCs w:val="24"/>
              </w:rPr>
              <w:t>, das</w:t>
            </w:r>
            <w:r w:rsidR="00CE1372">
              <w:t xml:space="preserve"> </w:t>
            </w:r>
            <w:r w:rsidR="00CE1372" w:rsidRPr="002303BC">
              <w:rPr>
                <w:rFonts w:asciiTheme="minorHAnsi" w:hAnsiTheme="minorHAnsi" w:cs="Arial"/>
                <w:b/>
                <w:sz w:val="24"/>
                <w:szCs w:val="24"/>
              </w:rPr>
              <w:t>Café Kuukasik</w:t>
            </w:r>
            <w:r w:rsidR="00CE1372">
              <w:rPr>
                <w:rFonts w:asciiTheme="minorHAnsi" w:hAnsiTheme="minorHAnsi" w:cs="Arial"/>
                <w:sz w:val="24"/>
                <w:szCs w:val="24"/>
              </w:rPr>
              <w:t xml:space="preserve"> auf dem W</w:t>
            </w:r>
            <w:r w:rsidR="002303BC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CE1372">
              <w:rPr>
                <w:rFonts w:asciiTheme="minorHAnsi" w:hAnsiTheme="minorHAnsi" w:cs="Arial"/>
                <w:sz w:val="24"/>
                <w:szCs w:val="24"/>
              </w:rPr>
              <w:t>g dorthin</w:t>
            </w:r>
            <w:r w:rsidR="00826EE0">
              <w:rPr>
                <w:rFonts w:asciiTheme="minorHAnsi" w:hAnsiTheme="minorHAnsi" w:cs="Arial"/>
                <w:sz w:val="24"/>
                <w:szCs w:val="24"/>
              </w:rPr>
              <w:t xml:space="preserve"> oder das </w:t>
            </w:r>
            <w:r w:rsidR="00826EE0" w:rsidRPr="00826EE0">
              <w:rPr>
                <w:rFonts w:asciiTheme="minorHAnsi" w:hAnsiTheme="minorHAnsi" w:cs="Arial"/>
                <w:b/>
                <w:sz w:val="24"/>
                <w:szCs w:val="24"/>
              </w:rPr>
              <w:t>Arctic Cafè</w:t>
            </w:r>
            <w:r w:rsidR="0073447F">
              <w:rPr>
                <w:rFonts w:asciiTheme="minorHAnsi" w:hAnsiTheme="minorHAnsi" w:cs="Arial"/>
                <w:sz w:val="24"/>
                <w:szCs w:val="24"/>
              </w:rPr>
              <w:t xml:space="preserve"> sowie wenige mehr</w:t>
            </w:r>
            <w:r w:rsidR="00CE1372">
              <w:rPr>
                <w:rFonts w:asciiTheme="minorHAnsi" w:hAnsiTheme="minorHAnsi" w:cs="Arial"/>
                <w:sz w:val="24"/>
                <w:szCs w:val="24"/>
              </w:rPr>
              <w:t xml:space="preserve"> in der gesamten Ortschaft verteilt</w:t>
            </w:r>
            <w:r w:rsidR="00DA14CB" w:rsidRPr="00DA14CB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29FEAE6" w14:textId="77777777" w:rsidR="0073447F" w:rsidRPr="0073447F" w:rsidRDefault="0073447F" w:rsidP="0073447F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C7BE221" w14:textId="766B68B9" w:rsidR="004166DD" w:rsidRPr="002303BC" w:rsidRDefault="0073447F" w:rsidP="002303BC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9C1D7E" w:rsidRPr="009C1D7E">
              <w:rPr>
                <w:rFonts w:asciiTheme="minorHAnsi" w:hAnsiTheme="minorHAnsi" w:cs="Arial"/>
                <w:sz w:val="24"/>
                <w:szCs w:val="24"/>
              </w:rPr>
              <w:t>n 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lokalen</w:t>
            </w:r>
            <w:r w:rsidR="009C1D7E" w:rsidRPr="009C1D7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C1D7E" w:rsidRPr="0073447F">
              <w:rPr>
                <w:rFonts w:asciiTheme="minorHAnsi" w:hAnsiTheme="minorHAnsi" w:cs="Arial"/>
                <w:b/>
                <w:sz w:val="24"/>
                <w:szCs w:val="24"/>
              </w:rPr>
              <w:t>Qaja</w:t>
            </w:r>
            <w:r w:rsidR="002303BC">
              <w:rPr>
                <w:rFonts w:asciiTheme="minorHAnsi" w:hAnsiTheme="minorHAnsi" w:cs="Arial"/>
                <w:b/>
                <w:sz w:val="24"/>
                <w:szCs w:val="24"/>
              </w:rPr>
              <w:t>Q</w:t>
            </w:r>
            <w:r w:rsidR="009C1D7E" w:rsidRPr="0073447F">
              <w:rPr>
                <w:rFonts w:asciiTheme="minorHAnsi" w:hAnsiTheme="minorHAnsi" w:cs="Arial"/>
                <w:b/>
                <w:sz w:val="24"/>
                <w:szCs w:val="24"/>
              </w:rPr>
              <w:t xml:space="preserve"> Brewery</w:t>
            </w:r>
            <w:r w:rsidR="00F0164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EB6669" w:rsidRPr="00EB6669">
              <w:rPr>
                <w:rFonts w:asciiTheme="minorHAnsi" w:hAnsiTheme="minorHAnsi" w:cs="Arial"/>
                <w:sz w:val="24"/>
                <w:szCs w:val="24"/>
              </w:rPr>
              <w:t>direkt am Hafen</w:t>
            </w:r>
            <w:r w:rsidR="00EB666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werden</w:t>
            </w:r>
            <w:r w:rsidR="009C1D7E" w:rsidRPr="009C1D7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mit</w:t>
            </w:r>
            <w:r w:rsidR="009C1D7E" w:rsidRPr="009C1D7E">
              <w:rPr>
                <w:rFonts w:asciiTheme="minorHAnsi" w:hAnsiTheme="minorHAnsi" w:cs="Arial"/>
                <w:sz w:val="24"/>
                <w:szCs w:val="24"/>
              </w:rPr>
              <w:t xml:space="preserve"> Gletschereis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verschiedene Biersorten gebraut, die </w:t>
            </w:r>
            <w:r w:rsidR="004F48C0">
              <w:rPr>
                <w:rFonts w:asciiTheme="minorHAnsi" w:hAnsiTheme="minorHAnsi" w:cs="Arial"/>
                <w:sz w:val="24"/>
                <w:szCs w:val="24"/>
              </w:rPr>
              <w:t xml:space="preserve">man </w:t>
            </w:r>
            <w:r w:rsidR="00077D9A">
              <w:rPr>
                <w:rFonts w:asciiTheme="minorHAnsi" w:hAnsiTheme="minorHAnsi" w:cs="Arial"/>
                <w:sz w:val="24"/>
                <w:szCs w:val="24"/>
              </w:rPr>
              <w:t xml:space="preserve">in </w:t>
            </w:r>
            <w:r w:rsidR="005A3FB8">
              <w:rPr>
                <w:rFonts w:asciiTheme="minorHAnsi" w:hAnsiTheme="minorHAnsi" w:cs="Arial"/>
                <w:sz w:val="24"/>
                <w:szCs w:val="24"/>
              </w:rPr>
              <w:t xml:space="preserve">der Brauerei </w:t>
            </w:r>
            <w:r w:rsidR="000F083C">
              <w:rPr>
                <w:rFonts w:asciiTheme="minorHAnsi" w:hAnsiTheme="minorHAnsi" w:cs="Arial"/>
                <w:sz w:val="24"/>
                <w:szCs w:val="24"/>
              </w:rPr>
              <w:t>oder</w:t>
            </w:r>
            <w:r w:rsidR="005A3FB8">
              <w:rPr>
                <w:rFonts w:asciiTheme="minorHAnsi" w:hAnsiTheme="minorHAnsi" w:cs="Arial"/>
                <w:sz w:val="24"/>
                <w:szCs w:val="24"/>
              </w:rPr>
              <w:t xml:space="preserve"> in </w:t>
            </w:r>
            <w:r w:rsidR="00077D9A">
              <w:rPr>
                <w:rFonts w:asciiTheme="minorHAnsi" w:hAnsiTheme="minorHAnsi" w:cs="Arial"/>
                <w:sz w:val="24"/>
                <w:szCs w:val="24"/>
              </w:rPr>
              <w:t>den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Cafés</w:t>
            </w:r>
            <w:r w:rsidR="00DE028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25D31">
              <w:rPr>
                <w:rFonts w:asciiTheme="minorHAnsi" w:hAnsiTheme="minorHAnsi" w:cs="Arial"/>
                <w:sz w:val="24"/>
                <w:szCs w:val="24"/>
              </w:rPr>
              <w:t>mit Schanklizenz</w:t>
            </w:r>
            <w:r w:rsidR="00077D9A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F48C0">
              <w:rPr>
                <w:rFonts w:asciiTheme="minorHAnsi" w:hAnsiTheme="minorHAnsi" w:cs="Arial"/>
                <w:sz w:val="24"/>
                <w:szCs w:val="24"/>
              </w:rPr>
              <w:t>bekommen kann</w:t>
            </w:r>
            <w:r w:rsidR="00BE6CAD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4F48C0">
              <w:rPr>
                <w:rFonts w:asciiTheme="minorHAnsi" w:hAnsiTheme="minorHAnsi" w:cs="Arial"/>
                <w:sz w:val="24"/>
                <w:szCs w:val="24"/>
              </w:rPr>
              <w:t xml:space="preserve"> Manchmal </w:t>
            </w:r>
            <w:r w:rsidR="005A3FB8">
              <w:rPr>
                <w:rFonts w:asciiTheme="minorHAnsi" w:hAnsiTheme="minorHAnsi" w:cs="Arial"/>
                <w:sz w:val="24"/>
                <w:szCs w:val="24"/>
              </w:rPr>
              <w:t xml:space="preserve">werden </w:t>
            </w:r>
            <w:r w:rsidR="00EB6669">
              <w:rPr>
                <w:rFonts w:asciiTheme="minorHAnsi" w:hAnsiTheme="minorHAnsi" w:cs="Arial"/>
                <w:sz w:val="24"/>
                <w:szCs w:val="24"/>
              </w:rPr>
              <w:t xml:space="preserve">auch </w:t>
            </w:r>
            <w:r w:rsidR="005A3FB8">
              <w:rPr>
                <w:rFonts w:asciiTheme="minorHAnsi" w:hAnsiTheme="minorHAnsi" w:cs="Arial"/>
                <w:sz w:val="24"/>
                <w:szCs w:val="24"/>
              </w:rPr>
              <w:t>Brauerei-Besichtigungen angeboten.</w:t>
            </w:r>
          </w:p>
        </w:tc>
      </w:tr>
    </w:tbl>
    <w:p w14:paraId="47C7D625" w14:textId="77777777" w:rsidR="00106735" w:rsidRPr="00DE4DFD" w:rsidRDefault="00106735" w:rsidP="00106735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>
        <w:rPr>
          <w:rFonts w:asciiTheme="minorHAnsi" w:hAnsiTheme="minorHAnsi"/>
          <w:sz w:val="36"/>
          <w:szCs w:val="32"/>
          <w:u w:val="none"/>
        </w:rPr>
        <w:t>Qeqertarsuaq</w:t>
      </w:r>
      <w:r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Grönland</w:t>
      </w:r>
    </w:p>
    <w:tbl>
      <w:tblPr>
        <w:tblStyle w:val="TableGrid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9036"/>
      </w:tblGrid>
      <w:tr w:rsidR="00106735" w:rsidRPr="003451F4" w14:paraId="659A740F" w14:textId="77777777" w:rsidTr="00A66FF2">
        <w:trPr>
          <w:trHeight w:val="2855"/>
        </w:trPr>
        <w:tc>
          <w:tcPr>
            <w:tcW w:w="1879" w:type="dxa"/>
          </w:tcPr>
          <w:p w14:paraId="586F1E09" w14:textId="77777777" w:rsidR="00106735" w:rsidRPr="00C60102" w:rsidRDefault="00106735" w:rsidP="00A66FF2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Qeqertarsuaq</w:t>
            </w:r>
          </w:p>
        </w:tc>
        <w:tc>
          <w:tcPr>
            <w:tcW w:w="9036" w:type="dxa"/>
          </w:tcPr>
          <w:p w14:paraId="39E01BE2" w14:textId="14A77CE1" w:rsidR="00106735" w:rsidRPr="004166DD" w:rsidRDefault="00C545E9" w:rsidP="00106735">
            <w:pPr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befinde</w:t>
            </w:r>
            <w:r w:rsidR="00106735" w:rsidRPr="00A42CCE">
              <w:rPr>
                <w:rFonts w:asciiTheme="minorHAnsi" w:hAnsiTheme="minorHAnsi" w:cs="Arial"/>
                <w:sz w:val="24"/>
                <w:szCs w:val="24"/>
              </w:rPr>
              <w:t xml:space="preserve">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sich </w:t>
            </w:r>
            <w:r w:rsidR="00106735" w:rsidRPr="00A42CCE">
              <w:rPr>
                <w:rFonts w:asciiTheme="minorHAnsi" w:hAnsiTheme="minorHAnsi" w:cs="Arial"/>
                <w:sz w:val="24"/>
                <w:szCs w:val="24"/>
              </w:rPr>
              <w:t xml:space="preserve">an der Südküste der auf Grönländisch ebenfalls „Qeqertarsuaq“ genannten Diskoinsel, der größten Nebeninsel Grönlands.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Wichtigster Arbeitgeber der rund 850 Einwohner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ist die von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Royal Greenland betriebenen Fischfabrik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, in der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Garnelen, Dorsch und Rogen verarbeitet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 xml:space="preserve"> wird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Z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udem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verfügt die Ansiedlung über eine recht gut erschlossene touristische Infrastruktur und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es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werden Wanderungen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 Hundeschlitten- und Schnee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mobil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>fahrten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>sowie Walbe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>obacht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ungen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 xml:space="preserve">angeboten 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 xml:space="preserve">es gibt </w:t>
            </w:r>
            <w:r w:rsidR="00106735" w:rsidRPr="007A5651">
              <w:rPr>
                <w:rFonts w:asciiTheme="minorHAnsi" w:hAnsiTheme="minorHAnsi" w:cs="Arial"/>
                <w:sz w:val="24"/>
                <w:szCs w:val="24"/>
              </w:rPr>
              <w:t>ein Skigebiet nördlich der Stadt.</w:t>
            </w:r>
            <w:r w:rsidR="00106735">
              <w:rPr>
                <w:rFonts w:asciiTheme="minorHAnsi" w:hAnsiTheme="minorHAnsi" w:cs="Arial"/>
                <w:sz w:val="24"/>
                <w:szCs w:val="24"/>
              </w:rPr>
              <w:t xml:space="preserve"> Wegen des beschaulichen Stadtbilds, angenehmer Wegführung und herrlicher Natur sowie guten Hafenanlagen ist Qeqertarsuaq auch Ziel von Pauschalurlaubern und Kreuzfahrtschiffen.</w:t>
            </w:r>
          </w:p>
        </w:tc>
      </w:tr>
      <w:tr w:rsidR="00106735" w:rsidRPr="003451F4" w14:paraId="61E211DB" w14:textId="77777777" w:rsidTr="00A66FF2">
        <w:trPr>
          <w:trHeight w:val="239"/>
        </w:trPr>
        <w:tc>
          <w:tcPr>
            <w:tcW w:w="1879" w:type="dxa"/>
          </w:tcPr>
          <w:p w14:paraId="71633DCF" w14:textId="77777777" w:rsidR="00106735" w:rsidRPr="00D92419" w:rsidRDefault="00106735" w:rsidP="00A66FF2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27A22F10" w14:textId="77777777" w:rsidR="00106735" w:rsidRPr="00EC6E30" w:rsidRDefault="00106735" w:rsidP="00A66FF2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13F43D13" w14:textId="77777777" w:rsidR="00106735" w:rsidRPr="00EC6E30" w:rsidRDefault="00106735" w:rsidP="00A66FF2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036" w:type="dxa"/>
          </w:tcPr>
          <w:p w14:paraId="58501677" w14:textId="1499DC68" w:rsidR="00106735" w:rsidRPr="00911184" w:rsidRDefault="00106735" w:rsidP="00106735">
            <w:pPr>
              <w:pStyle w:val="ListParagraph"/>
              <w:numPr>
                <w:ilvl w:val="0"/>
                <w:numId w:val="2"/>
              </w:numPr>
              <w:tabs>
                <w:tab w:val="left" w:pos="8078"/>
              </w:tabs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C0B3E"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verbleibt </w:t>
            </w:r>
            <w:r w:rsidR="00283FC4">
              <w:rPr>
                <w:rFonts w:asciiTheme="minorHAnsi" w:hAnsiTheme="minorHAnsi" w:cs="Arial"/>
                <w:sz w:val="24"/>
                <w:szCs w:val="24"/>
              </w:rPr>
              <w:t xml:space="preserve">vor Anker 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auf Reede vor der Küste und </w:t>
            </w:r>
            <w:r>
              <w:rPr>
                <w:rFonts w:asciiTheme="minorHAnsi" w:hAnsiTheme="minorHAnsi" w:cs="Arial"/>
                <w:sz w:val="24"/>
                <w:szCs w:val="24"/>
              </w:rPr>
              <w:t>die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 schiffseigenen </w:t>
            </w:r>
            <w:r w:rsidRPr="009176CC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sorgen für den Transfer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 an Land. Vom </w:t>
            </w:r>
            <w:r w:rsidRPr="009176CC">
              <w:rPr>
                <w:rFonts w:asciiTheme="minorHAnsi" w:hAnsiTheme="minorHAnsi" w:cs="Arial"/>
                <w:b/>
                <w:sz w:val="24"/>
                <w:szCs w:val="24"/>
              </w:rPr>
              <w:t>Anleger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dort, den man durch einen </w:t>
            </w:r>
            <w:r w:rsidRPr="005758EF">
              <w:rPr>
                <w:rFonts w:asciiTheme="minorHAnsi" w:hAnsiTheme="minorHAnsi" w:cs="Arial"/>
                <w:b/>
                <w:sz w:val="24"/>
                <w:szCs w:val="24"/>
              </w:rPr>
              <w:t>Torbogen aus zwei Walrippen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verlässt,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 kann man die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weitläufige 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 xml:space="preserve">Ortschaft zu Fuß </w:t>
            </w:r>
            <w:r w:rsidR="00283FC4">
              <w:rPr>
                <w:rFonts w:asciiTheme="minorHAnsi" w:hAnsiTheme="minorHAnsi" w:cs="Arial"/>
                <w:sz w:val="24"/>
                <w:szCs w:val="24"/>
              </w:rPr>
              <w:t>durchstreif</w:t>
            </w:r>
            <w:r w:rsidRPr="00FC698C">
              <w:rPr>
                <w:rFonts w:asciiTheme="minorHAnsi" w:hAnsiTheme="minorHAnsi" w:cs="Arial"/>
                <w:sz w:val="24"/>
                <w:szCs w:val="24"/>
              </w:rPr>
              <w:t>en.</w:t>
            </w:r>
          </w:p>
          <w:p w14:paraId="137AAFC5" w14:textId="77777777" w:rsidR="00106735" w:rsidRPr="00A96167" w:rsidRDefault="00106735" w:rsidP="00A66FF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4B5D88E" w14:textId="77777777" w:rsidR="00106735" w:rsidRDefault="00106735" w:rsidP="00106735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Gleich am Hafen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ist das </w:t>
            </w:r>
            <w:r w:rsidRPr="005758EF">
              <w:rPr>
                <w:rFonts w:asciiTheme="minorHAnsi" w:hAnsiTheme="minorHAnsi" w:cs="Arial"/>
                <w:b/>
                <w:sz w:val="24"/>
                <w:szCs w:val="24"/>
              </w:rPr>
              <w:t xml:space="preserve">Stadtmuseum </w:t>
            </w:r>
            <w:r>
              <w:rPr>
                <w:rFonts w:asciiTheme="minorHAnsi" w:hAnsiTheme="minorHAnsi" w:cs="Arial"/>
                <w:sz w:val="24"/>
                <w:szCs w:val="24"/>
              </w:rPr>
              <w:t>im</w:t>
            </w:r>
            <w:r w:rsidRPr="005758EF">
              <w:rPr>
                <w:rFonts w:asciiTheme="minorHAnsi" w:hAnsiTheme="minorHAnsi" w:cs="Arial"/>
                <w:sz w:val="24"/>
                <w:szCs w:val="24"/>
              </w:rPr>
              <w:t xml:space="preserve"> früheren Amtssitz des Landvogts von Nordgrönland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untergebracht, Öffnungszeiten: in der Regel während der Schiffsliegezeiten, Eintritt: 40,- DKK, Kapazität: 30 Personen gleichzeitig. Davor sind ein paar restaurierte </w:t>
            </w:r>
            <w:r w:rsidRPr="005758EF">
              <w:rPr>
                <w:rFonts w:asciiTheme="minorHAnsi" w:hAnsiTheme="minorHAnsi" w:cs="Arial"/>
                <w:b/>
                <w:sz w:val="24"/>
                <w:szCs w:val="24"/>
              </w:rPr>
              <w:t xml:space="preserve">Kanonen </w:t>
            </w:r>
            <w:r>
              <w:rPr>
                <w:rFonts w:asciiTheme="minorHAnsi" w:hAnsiTheme="minorHAnsi" w:cs="Arial"/>
                <w:sz w:val="24"/>
                <w:szCs w:val="24"/>
              </w:rPr>
              <w:t>installiert.</w:t>
            </w:r>
          </w:p>
          <w:p w14:paraId="2F419E12" w14:textId="77777777" w:rsidR="00106735" w:rsidRPr="005758EF" w:rsidRDefault="00106735" w:rsidP="00A66FF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359F441" w14:textId="77777777" w:rsidR="00106735" w:rsidRDefault="00106735" w:rsidP="00106735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Nach links gelangt man leicht bergan am </w:t>
            </w:r>
            <w:r w:rsidRPr="00CB5869">
              <w:rPr>
                <w:rFonts w:asciiTheme="minorHAnsi" w:hAnsiTheme="minorHAnsi" w:cs="Arial"/>
                <w:b/>
                <w:sz w:val="24"/>
                <w:szCs w:val="24"/>
              </w:rPr>
              <w:t>Supermarkt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Pilersuisoq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vorbei sowie am </w:t>
            </w:r>
            <w:r w:rsidRPr="00CB5869">
              <w:rPr>
                <w:rFonts w:asciiTheme="minorHAnsi" w:hAnsiTheme="minorHAnsi" w:cs="Arial"/>
                <w:b/>
                <w:sz w:val="24"/>
                <w:szCs w:val="24"/>
              </w:rPr>
              <w:t>Hotel Disko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erreicht das wohl 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>imposanteste Bauwerk der Kleinstadt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die mächtige </w:t>
            </w:r>
            <w:r w:rsidRPr="00CB5869">
              <w:rPr>
                <w:rFonts w:asciiTheme="minorHAnsi" w:hAnsiTheme="minorHAnsi" w:cs="Arial"/>
                <w:b/>
                <w:sz w:val="24"/>
                <w:szCs w:val="24"/>
              </w:rPr>
              <w:t>Holzkirche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von 1914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, aufgrund ihrer markanten Architektur </w:t>
            </w:r>
            <w:r>
              <w:rPr>
                <w:rFonts w:asciiTheme="minorHAnsi" w:hAnsiTheme="minorHAnsi" w:cs="Arial"/>
                <w:sz w:val="24"/>
                <w:szCs w:val="24"/>
              </w:rPr>
              <w:t>„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>Herrgotts Tintenfass</w:t>
            </w:r>
            <w:r>
              <w:rPr>
                <w:rFonts w:asciiTheme="minorHAnsi" w:hAnsiTheme="minorHAnsi" w:cs="Arial"/>
                <w:sz w:val="24"/>
                <w:szCs w:val="24"/>
              </w:rPr>
              <w:t>“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 genannt, neben der noch der freistehende </w:t>
            </w:r>
            <w:r w:rsidRPr="00CB5869">
              <w:rPr>
                <w:rFonts w:asciiTheme="minorHAnsi" w:hAnsiTheme="minorHAnsi" w:cs="Arial"/>
                <w:b/>
                <w:sz w:val="24"/>
                <w:szCs w:val="24"/>
              </w:rPr>
              <w:t>Glockenturm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 xml:space="preserve"> und eine Leichenhalle stehen, als historisches Ensemble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gemeinsam </w:t>
            </w:r>
            <w:r w:rsidRPr="00801F7E">
              <w:rPr>
                <w:rFonts w:asciiTheme="minorHAnsi" w:hAnsiTheme="minorHAnsi" w:cs="Arial"/>
                <w:sz w:val="24"/>
                <w:szCs w:val="24"/>
              </w:rPr>
              <w:t>Denkmal-geschützt.</w:t>
            </w:r>
          </w:p>
          <w:p w14:paraId="2CFC21AE" w14:textId="77777777" w:rsidR="00106735" w:rsidRPr="00CB5869" w:rsidRDefault="00106735" w:rsidP="00A66FF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FA4CF4D" w14:textId="77777777" w:rsidR="00106735" w:rsidRPr="004127F5" w:rsidRDefault="00106735" w:rsidP="00106735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127F5">
              <w:rPr>
                <w:rFonts w:asciiTheme="minorHAnsi" w:hAnsiTheme="minorHAnsi" w:cs="Arial"/>
                <w:sz w:val="24"/>
                <w:szCs w:val="24"/>
              </w:rPr>
              <w:t>Überall im Stadtgebiet kann man gute Aussichtspunkte entdecken und aufgrund der typisch grönländischen Bebauung vielfältige Fotomotive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 xml:space="preserve"> umgeben von der rauen aber bildgewaltigen Natur. An der nordöstlichen Küste erstreckt sich ein </w:t>
            </w:r>
            <w:r w:rsidRPr="004127F5">
              <w:rPr>
                <w:rFonts w:asciiTheme="minorHAnsi" w:hAnsiTheme="minorHAnsi" w:cs="Arial"/>
                <w:b/>
                <w:sz w:val="24"/>
                <w:szCs w:val="24"/>
              </w:rPr>
              <w:t>Sandstrand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>, vor dem oft riesige Eisberge treiben, die im flachen Gewässer hänge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 xml:space="preserve"> bleiben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(„Friedhof der Eisberge“)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 xml:space="preserve">. In der Nähe </w:t>
            </w:r>
            <w:r>
              <w:rPr>
                <w:rFonts w:asciiTheme="minorHAnsi" w:hAnsiTheme="minorHAnsi" w:cs="Arial"/>
                <w:sz w:val="24"/>
                <w:szCs w:val="24"/>
              </w:rPr>
              <w:t>befinde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>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sich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 xml:space="preserve"> die 1906 gegründete </w:t>
            </w:r>
            <w:r w:rsidRPr="004127F5">
              <w:rPr>
                <w:rFonts w:asciiTheme="minorHAnsi" w:hAnsiTheme="minorHAnsi" w:cs="Arial"/>
                <w:b/>
                <w:sz w:val="24"/>
                <w:szCs w:val="24"/>
              </w:rPr>
              <w:t>Polarstation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es beginnen dort 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>drei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markierte </w:t>
            </w:r>
            <w:r w:rsidRPr="004127F5">
              <w:rPr>
                <w:rFonts w:asciiTheme="minorHAnsi" w:hAnsiTheme="minorHAnsi" w:cs="Arial"/>
                <w:b/>
                <w:sz w:val="24"/>
                <w:szCs w:val="24"/>
              </w:rPr>
              <w:t>Wanderwege</w:t>
            </w:r>
            <w:r w:rsidRPr="004127F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0B19490" w14:textId="77777777" w:rsidR="00106735" w:rsidRPr="001E1A5C" w:rsidRDefault="00106735" w:rsidP="00A66FF2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79D3F1D" w14:textId="77777777" w:rsidR="00106735" w:rsidRPr="00FC698C" w:rsidRDefault="00106735" w:rsidP="0010673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FC698C">
              <w:rPr>
                <w:rFonts w:asciiTheme="minorHAnsi" w:hAnsiTheme="minorHAnsi" w:cs="Arial"/>
                <w:sz w:val="24"/>
                <w:szCs w:val="24"/>
                <w:u w:val="single"/>
              </w:rPr>
              <w:t>Bitte beachten Sie, dass Schlittenhunde keine Haus- sondern Nutztiere sind und daher nicht zahm. Halten Sie bitte Abstand!</w:t>
            </w:r>
          </w:p>
          <w:p w14:paraId="768B1D77" w14:textId="77777777" w:rsidR="00106735" w:rsidRPr="00FC698C" w:rsidRDefault="00106735" w:rsidP="00106735">
            <w:pPr>
              <w:pStyle w:val="ListParagraph"/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FC698C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Eisbären können außerhalb der Ortschaften durchaus auftauchen. </w:t>
            </w:r>
          </w:p>
          <w:p w14:paraId="51F64794" w14:textId="5EA1CF0B" w:rsidR="00106735" w:rsidRDefault="00106735" w:rsidP="00106735">
            <w:pPr>
              <w:pStyle w:val="ListParagraph"/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FC698C">
              <w:rPr>
                <w:rFonts w:asciiTheme="minorHAnsi" w:hAnsiTheme="minorHAnsi" w:cs="Arial"/>
                <w:sz w:val="24"/>
                <w:szCs w:val="24"/>
                <w:u w:val="single"/>
              </w:rPr>
              <w:t>Bleiben Sie bitte auf den Wegen und innerhalb der Siedlung!</w:t>
            </w:r>
          </w:p>
          <w:p w14:paraId="51EF3C1D" w14:textId="523E1233" w:rsidR="00106735" w:rsidRPr="00753802" w:rsidRDefault="00A02299" w:rsidP="00753802">
            <w:pPr>
              <w:pStyle w:val="ListParagraph"/>
              <w:spacing w:before="120" w:after="120" w:line="276" w:lineRule="auto"/>
              <w:ind w:right="175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Bitte beachten Sie, dass die Einfuhr von Produkten geschützter Tierarten wie z.B. Wal, Walross </w:t>
            </w:r>
            <w:r w:rsidR="008B78EA">
              <w:rPr>
                <w:rFonts w:asciiTheme="minorHAnsi" w:hAnsiTheme="minorHAnsi" w:cs="Arial"/>
                <w:sz w:val="24"/>
                <w:szCs w:val="24"/>
                <w:u w:val="single"/>
              </w:rPr>
              <w:t>oder</w:t>
            </w: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Eisbär 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ohne Lizenz </w:t>
            </w: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>nach Deutschland untersagt ist!</w:t>
            </w:r>
          </w:p>
        </w:tc>
      </w:tr>
    </w:tbl>
    <w:p w14:paraId="2781E0E5" w14:textId="75B19D0E" w:rsidR="00BA6993" w:rsidRPr="00667CCA" w:rsidRDefault="00BA6993" w:rsidP="00753802">
      <w:pPr>
        <w:ind w:right="283"/>
        <w:rPr>
          <w:rFonts w:asciiTheme="minorHAnsi" w:hAnsiTheme="minorHAnsi" w:cstheme="minorHAnsi"/>
          <w:sz w:val="24"/>
          <w:szCs w:val="24"/>
        </w:rPr>
      </w:pPr>
    </w:p>
    <w:sectPr w:rsidR="00BA6993" w:rsidRPr="00667CCA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123F" w14:textId="77777777" w:rsidR="00171CEF" w:rsidRDefault="00171CEF" w:rsidP="00D7292A">
      <w:r>
        <w:separator/>
      </w:r>
    </w:p>
  </w:endnote>
  <w:endnote w:type="continuationSeparator" w:id="0">
    <w:p w14:paraId="4D0BB647" w14:textId="77777777" w:rsidR="00171CEF" w:rsidRDefault="00171CEF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8104" w14:textId="77777777" w:rsidR="00877D21" w:rsidRPr="00877D21" w:rsidRDefault="00877D21" w:rsidP="00877D21">
    <w:pPr>
      <w:pStyle w:val="Footer"/>
      <w:jc w:val="center"/>
      <w:rPr>
        <w:rFonts w:asciiTheme="minorHAnsi" w:hAnsiTheme="minorHAnsi"/>
        <w:sz w:val="22"/>
        <w:szCs w:val="22"/>
      </w:rPr>
    </w:pPr>
    <w:r w:rsidRPr="00877D21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25F5D" w14:textId="77777777" w:rsidR="00171CEF" w:rsidRDefault="00171CEF" w:rsidP="00D7292A">
      <w:r>
        <w:separator/>
      </w:r>
    </w:p>
  </w:footnote>
  <w:footnote w:type="continuationSeparator" w:id="0">
    <w:p w14:paraId="3B52D8CC" w14:textId="77777777" w:rsidR="00171CEF" w:rsidRDefault="00171CEF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CA71" w14:textId="7B7A5850" w:rsidR="00D7292A" w:rsidRDefault="00CF093A" w:rsidP="00082237">
    <w:pPr>
      <w:pStyle w:val="Header"/>
      <w:jc w:val="center"/>
    </w:pPr>
    <w:r>
      <w:rPr>
        <w:noProof/>
      </w:rPr>
      <w:drawing>
        <wp:inline distT="0" distB="0" distL="0" distR="0" wp14:anchorId="1F9ADC9E" wp14:editId="130E4E13">
          <wp:extent cx="2019300" cy="836186"/>
          <wp:effectExtent l="0" t="0" r="0" b="254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0206"/>
    <w:rsid w:val="00017611"/>
    <w:rsid w:val="0003052F"/>
    <w:rsid w:val="00032778"/>
    <w:rsid w:val="000333E4"/>
    <w:rsid w:val="00037301"/>
    <w:rsid w:val="000432DD"/>
    <w:rsid w:val="000473E5"/>
    <w:rsid w:val="0006531B"/>
    <w:rsid w:val="000717A3"/>
    <w:rsid w:val="00072FDE"/>
    <w:rsid w:val="00075E89"/>
    <w:rsid w:val="00077D9A"/>
    <w:rsid w:val="00082237"/>
    <w:rsid w:val="00084A5C"/>
    <w:rsid w:val="000879F1"/>
    <w:rsid w:val="00092325"/>
    <w:rsid w:val="000961C3"/>
    <w:rsid w:val="000A17F8"/>
    <w:rsid w:val="000A21AA"/>
    <w:rsid w:val="000A797B"/>
    <w:rsid w:val="000B14FC"/>
    <w:rsid w:val="000B36DF"/>
    <w:rsid w:val="000B390D"/>
    <w:rsid w:val="000B736F"/>
    <w:rsid w:val="000C339D"/>
    <w:rsid w:val="000C6C68"/>
    <w:rsid w:val="000D56B3"/>
    <w:rsid w:val="000D7D5D"/>
    <w:rsid w:val="000E5030"/>
    <w:rsid w:val="000E52AA"/>
    <w:rsid w:val="000F07CB"/>
    <w:rsid w:val="000F083C"/>
    <w:rsid w:val="000F66DD"/>
    <w:rsid w:val="00100B84"/>
    <w:rsid w:val="001018C7"/>
    <w:rsid w:val="0010351D"/>
    <w:rsid w:val="00106735"/>
    <w:rsid w:val="001140DD"/>
    <w:rsid w:val="00125586"/>
    <w:rsid w:val="0012781D"/>
    <w:rsid w:val="00130B81"/>
    <w:rsid w:val="00134C57"/>
    <w:rsid w:val="001416D8"/>
    <w:rsid w:val="001423CB"/>
    <w:rsid w:val="001516F5"/>
    <w:rsid w:val="00152732"/>
    <w:rsid w:val="00152F01"/>
    <w:rsid w:val="00167147"/>
    <w:rsid w:val="00170B87"/>
    <w:rsid w:val="00170E93"/>
    <w:rsid w:val="00171AD0"/>
    <w:rsid w:val="00171CEF"/>
    <w:rsid w:val="0017472F"/>
    <w:rsid w:val="001751BA"/>
    <w:rsid w:val="00190474"/>
    <w:rsid w:val="00192964"/>
    <w:rsid w:val="001942F7"/>
    <w:rsid w:val="0019767E"/>
    <w:rsid w:val="001A0B64"/>
    <w:rsid w:val="001A3B55"/>
    <w:rsid w:val="001B4A3F"/>
    <w:rsid w:val="001C604C"/>
    <w:rsid w:val="001C77CB"/>
    <w:rsid w:val="001D3E0F"/>
    <w:rsid w:val="001D6BDA"/>
    <w:rsid w:val="001E0C75"/>
    <w:rsid w:val="001E1A5C"/>
    <w:rsid w:val="001E4A71"/>
    <w:rsid w:val="001E60D8"/>
    <w:rsid w:val="00206522"/>
    <w:rsid w:val="00217125"/>
    <w:rsid w:val="00221893"/>
    <w:rsid w:val="002303BC"/>
    <w:rsid w:val="00230D59"/>
    <w:rsid w:val="00234E99"/>
    <w:rsid w:val="00235C5C"/>
    <w:rsid w:val="00241BA8"/>
    <w:rsid w:val="0025321E"/>
    <w:rsid w:val="002545A2"/>
    <w:rsid w:val="00255AE9"/>
    <w:rsid w:val="00261EA4"/>
    <w:rsid w:val="00272FD7"/>
    <w:rsid w:val="00276159"/>
    <w:rsid w:val="0028064E"/>
    <w:rsid w:val="00283FC4"/>
    <w:rsid w:val="00290242"/>
    <w:rsid w:val="00291564"/>
    <w:rsid w:val="00295DE7"/>
    <w:rsid w:val="002974BE"/>
    <w:rsid w:val="002A5EA5"/>
    <w:rsid w:val="002A7085"/>
    <w:rsid w:val="002B2C30"/>
    <w:rsid w:val="002B57D5"/>
    <w:rsid w:val="002C247E"/>
    <w:rsid w:val="002C35C9"/>
    <w:rsid w:val="002D3D3A"/>
    <w:rsid w:val="002E0E5F"/>
    <w:rsid w:val="002E22D8"/>
    <w:rsid w:val="002E2599"/>
    <w:rsid w:val="002E4DD6"/>
    <w:rsid w:val="002E69F5"/>
    <w:rsid w:val="002F3EE1"/>
    <w:rsid w:val="002F6F15"/>
    <w:rsid w:val="002F718F"/>
    <w:rsid w:val="0030104F"/>
    <w:rsid w:val="003120AB"/>
    <w:rsid w:val="00320132"/>
    <w:rsid w:val="003267B6"/>
    <w:rsid w:val="00331571"/>
    <w:rsid w:val="00332473"/>
    <w:rsid w:val="00333A01"/>
    <w:rsid w:val="003421C3"/>
    <w:rsid w:val="00343AA4"/>
    <w:rsid w:val="003451F4"/>
    <w:rsid w:val="00345D00"/>
    <w:rsid w:val="003476E9"/>
    <w:rsid w:val="0035121C"/>
    <w:rsid w:val="0035211B"/>
    <w:rsid w:val="0035743E"/>
    <w:rsid w:val="003604AC"/>
    <w:rsid w:val="0036101B"/>
    <w:rsid w:val="00367E61"/>
    <w:rsid w:val="0037169F"/>
    <w:rsid w:val="00371875"/>
    <w:rsid w:val="00376685"/>
    <w:rsid w:val="0037713D"/>
    <w:rsid w:val="00387F9F"/>
    <w:rsid w:val="00392E04"/>
    <w:rsid w:val="00394369"/>
    <w:rsid w:val="003A08C0"/>
    <w:rsid w:val="003A125F"/>
    <w:rsid w:val="003A2926"/>
    <w:rsid w:val="003A3C01"/>
    <w:rsid w:val="003B0531"/>
    <w:rsid w:val="003B298A"/>
    <w:rsid w:val="003B6B45"/>
    <w:rsid w:val="003B714A"/>
    <w:rsid w:val="003C03F1"/>
    <w:rsid w:val="003C08D4"/>
    <w:rsid w:val="003C7021"/>
    <w:rsid w:val="003D527E"/>
    <w:rsid w:val="003E1218"/>
    <w:rsid w:val="003E2EC6"/>
    <w:rsid w:val="003F3FC8"/>
    <w:rsid w:val="003F7FD6"/>
    <w:rsid w:val="00401B8A"/>
    <w:rsid w:val="004040B2"/>
    <w:rsid w:val="0041385F"/>
    <w:rsid w:val="004166BB"/>
    <w:rsid w:val="004166DD"/>
    <w:rsid w:val="00437DFF"/>
    <w:rsid w:val="004435C8"/>
    <w:rsid w:val="00447257"/>
    <w:rsid w:val="00447C49"/>
    <w:rsid w:val="0045172B"/>
    <w:rsid w:val="00452A6E"/>
    <w:rsid w:val="00461FAC"/>
    <w:rsid w:val="0047020E"/>
    <w:rsid w:val="00484C05"/>
    <w:rsid w:val="00484F68"/>
    <w:rsid w:val="00485830"/>
    <w:rsid w:val="00487E2D"/>
    <w:rsid w:val="00490425"/>
    <w:rsid w:val="00491661"/>
    <w:rsid w:val="00492CF2"/>
    <w:rsid w:val="00495CFC"/>
    <w:rsid w:val="00496067"/>
    <w:rsid w:val="004B2B57"/>
    <w:rsid w:val="004B2DFC"/>
    <w:rsid w:val="004B7B88"/>
    <w:rsid w:val="004D411B"/>
    <w:rsid w:val="004D55C9"/>
    <w:rsid w:val="004D7BB7"/>
    <w:rsid w:val="004E1502"/>
    <w:rsid w:val="004E46F1"/>
    <w:rsid w:val="004E4C24"/>
    <w:rsid w:val="004F1E88"/>
    <w:rsid w:val="004F3A0F"/>
    <w:rsid w:val="004F48C0"/>
    <w:rsid w:val="004F53AF"/>
    <w:rsid w:val="005078FF"/>
    <w:rsid w:val="005157E9"/>
    <w:rsid w:val="00522151"/>
    <w:rsid w:val="005256A2"/>
    <w:rsid w:val="0052649F"/>
    <w:rsid w:val="00534B6D"/>
    <w:rsid w:val="00535F42"/>
    <w:rsid w:val="00552A53"/>
    <w:rsid w:val="00553D4E"/>
    <w:rsid w:val="00554A4A"/>
    <w:rsid w:val="00563711"/>
    <w:rsid w:val="00567EDA"/>
    <w:rsid w:val="00572550"/>
    <w:rsid w:val="00572C74"/>
    <w:rsid w:val="00575C28"/>
    <w:rsid w:val="005800CE"/>
    <w:rsid w:val="00581482"/>
    <w:rsid w:val="005851F4"/>
    <w:rsid w:val="00585577"/>
    <w:rsid w:val="005A0A02"/>
    <w:rsid w:val="005A3FB8"/>
    <w:rsid w:val="005A6F09"/>
    <w:rsid w:val="005B5AA8"/>
    <w:rsid w:val="005C0593"/>
    <w:rsid w:val="005C0ACE"/>
    <w:rsid w:val="005C0E66"/>
    <w:rsid w:val="005C2DE2"/>
    <w:rsid w:val="005D38D8"/>
    <w:rsid w:val="005D42A7"/>
    <w:rsid w:val="005D6A42"/>
    <w:rsid w:val="005F618A"/>
    <w:rsid w:val="00605F58"/>
    <w:rsid w:val="0061190E"/>
    <w:rsid w:val="006123A2"/>
    <w:rsid w:val="006204B1"/>
    <w:rsid w:val="0062435E"/>
    <w:rsid w:val="00634364"/>
    <w:rsid w:val="00644D0F"/>
    <w:rsid w:val="00652089"/>
    <w:rsid w:val="00657522"/>
    <w:rsid w:val="00663715"/>
    <w:rsid w:val="00666A89"/>
    <w:rsid w:val="00667141"/>
    <w:rsid w:val="006671D9"/>
    <w:rsid w:val="00667CCA"/>
    <w:rsid w:val="00673F4D"/>
    <w:rsid w:val="0067475E"/>
    <w:rsid w:val="00674AF1"/>
    <w:rsid w:val="00681F40"/>
    <w:rsid w:val="0069775B"/>
    <w:rsid w:val="00697E05"/>
    <w:rsid w:val="006C18A7"/>
    <w:rsid w:val="006C62C9"/>
    <w:rsid w:val="006C762B"/>
    <w:rsid w:val="006D0AB1"/>
    <w:rsid w:val="006D11A3"/>
    <w:rsid w:val="006D211A"/>
    <w:rsid w:val="006D24C1"/>
    <w:rsid w:val="006D31A7"/>
    <w:rsid w:val="006D6842"/>
    <w:rsid w:val="006E7E3E"/>
    <w:rsid w:val="00700B8F"/>
    <w:rsid w:val="007013C7"/>
    <w:rsid w:val="00702208"/>
    <w:rsid w:val="00703FCC"/>
    <w:rsid w:val="00711178"/>
    <w:rsid w:val="00711549"/>
    <w:rsid w:val="00714065"/>
    <w:rsid w:val="007143A9"/>
    <w:rsid w:val="0071590D"/>
    <w:rsid w:val="007168B7"/>
    <w:rsid w:val="00720048"/>
    <w:rsid w:val="0072590D"/>
    <w:rsid w:val="00726CCE"/>
    <w:rsid w:val="0072700E"/>
    <w:rsid w:val="00727A95"/>
    <w:rsid w:val="0073447F"/>
    <w:rsid w:val="007376F1"/>
    <w:rsid w:val="00747FED"/>
    <w:rsid w:val="00753802"/>
    <w:rsid w:val="0075476A"/>
    <w:rsid w:val="00797B65"/>
    <w:rsid w:val="007A1B72"/>
    <w:rsid w:val="007C65BE"/>
    <w:rsid w:val="007C6DD7"/>
    <w:rsid w:val="007D4E0D"/>
    <w:rsid w:val="007D68C8"/>
    <w:rsid w:val="007E0978"/>
    <w:rsid w:val="007E26CB"/>
    <w:rsid w:val="007E3BB9"/>
    <w:rsid w:val="007E5056"/>
    <w:rsid w:val="007F22B1"/>
    <w:rsid w:val="007F52CB"/>
    <w:rsid w:val="0080320F"/>
    <w:rsid w:val="00803E73"/>
    <w:rsid w:val="00815DD2"/>
    <w:rsid w:val="008265D2"/>
    <w:rsid w:val="00826EE0"/>
    <w:rsid w:val="00827930"/>
    <w:rsid w:val="00833833"/>
    <w:rsid w:val="00840FE4"/>
    <w:rsid w:val="00851107"/>
    <w:rsid w:val="008555A4"/>
    <w:rsid w:val="00857B8C"/>
    <w:rsid w:val="008604C3"/>
    <w:rsid w:val="00860DC6"/>
    <w:rsid w:val="0086188E"/>
    <w:rsid w:val="00861E1E"/>
    <w:rsid w:val="00862689"/>
    <w:rsid w:val="008673D5"/>
    <w:rsid w:val="008744E4"/>
    <w:rsid w:val="00877D21"/>
    <w:rsid w:val="00883C39"/>
    <w:rsid w:val="00883E13"/>
    <w:rsid w:val="00885E6B"/>
    <w:rsid w:val="008A3F35"/>
    <w:rsid w:val="008B06F0"/>
    <w:rsid w:val="008B0B61"/>
    <w:rsid w:val="008B0F6B"/>
    <w:rsid w:val="008B32BF"/>
    <w:rsid w:val="008B44BE"/>
    <w:rsid w:val="008B78EA"/>
    <w:rsid w:val="008B7EC8"/>
    <w:rsid w:val="008C282E"/>
    <w:rsid w:val="008C5D0A"/>
    <w:rsid w:val="008C74B4"/>
    <w:rsid w:val="008E0021"/>
    <w:rsid w:val="008E6F94"/>
    <w:rsid w:val="008F65C2"/>
    <w:rsid w:val="008F7324"/>
    <w:rsid w:val="00903A5A"/>
    <w:rsid w:val="0090499F"/>
    <w:rsid w:val="009119A7"/>
    <w:rsid w:val="00911D3D"/>
    <w:rsid w:val="009126C0"/>
    <w:rsid w:val="00930562"/>
    <w:rsid w:val="00930C15"/>
    <w:rsid w:val="00931E8A"/>
    <w:rsid w:val="009416D8"/>
    <w:rsid w:val="00953E96"/>
    <w:rsid w:val="00961CF1"/>
    <w:rsid w:val="00986F40"/>
    <w:rsid w:val="00987525"/>
    <w:rsid w:val="009959A8"/>
    <w:rsid w:val="009A0828"/>
    <w:rsid w:val="009B286A"/>
    <w:rsid w:val="009B2F79"/>
    <w:rsid w:val="009B3098"/>
    <w:rsid w:val="009C1D7E"/>
    <w:rsid w:val="009C2E24"/>
    <w:rsid w:val="009C619B"/>
    <w:rsid w:val="009C7CF9"/>
    <w:rsid w:val="009D4322"/>
    <w:rsid w:val="009E11A9"/>
    <w:rsid w:val="009E44BB"/>
    <w:rsid w:val="009E4514"/>
    <w:rsid w:val="009E7A8A"/>
    <w:rsid w:val="009E7AC2"/>
    <w:rsid w:val="009F1B94"/>
    <w:rsid w:val="009F421F"/>
    <w:rsid w:val="00A00C5B"/>
    <w:rsid w:val="00A02299"/>
    <w:rsid w:val="00A1672E"/>
    <w:rsid w:val="00A30B4E"/>
    <w:rsid w:val="00A31F0A"/>
    <w:rsid w:val="00A432A9"/>
    <w:rsid w:val="00A44871"/>
    <w:rsid w:val="00A71EA1"/>
    <w:rsid w:val="00A72B5C"/>
    <w:rsid w:val="00A84201"/>
    <w:rsid w:val="00A8549D"/>
    <w:rsid w:val="00A8635F"/>
    <w:rsid w:val="00A91D9A"/>
    <w:rsid w:val="00AA0E7E"/>
    <w:rsid w:val="00AA2B7E"/>
    <w:rsid w:val="00AB4E73"/>
    <w:rsid w:val="00AD108C"/>
    <w:rsid w:val="00AD7E27"/>
    <w:rsid w:val="00AE1607"/>
    <w:rsid w:val="00AE2CD1"/>
    <w:rsid w:val="00AE54F5"/>
    <w:rsid w:val="00AF7554"/>
    <w:rsid w:val="00B1485C"/>
    <w:rsid w:val="00B23B8C"/>
    <w:rsid w:val="00B242CC"/>
    <w:rsid w:val="00B260D7"/>
    <w:rsid w:val="00B3190A"/>
    <w:rsid w:val="00B31CAC"/>
    <w:rsid w:val="00B453A5"/>
    <w:rsid w:val="00B52A33"/>
    <w:rsid w:val="00B5404F"/>
    <w:rsid w:val="00B62158"/>
    <w:rsid w:val="00B62DC5"/>
    <w:rsid w:val="00B65FE0"/>
    <w:rsid w:val="00B67A28"/>
    <w:rsid w:val="00B71C60"/>
    <w:rsid w:val="00B764EC"/>
    <w:rsid w:val="00B83301"/>
    <w:rsid w:val="00B85795"/>
    <w:rsid w:val="00B9085C"/>
    <w:rsid w:val="00B922EB"/>
    <w:rsid w:val="00B957E5"/>
    <w:rsid w:val="00B977CC"/>
    <w:rsid w:val="00B97BD9"/>
    <w:rsid w:val="00BA0EE6"/>
    <w:rsid w:val="00BA38B9"/>
    <w:rsid w:val="00BA5375"/>
    <w:rsid w:val="00BA59A4"/>
    <w:rsid w:val="00BA6993"/>
    <w:rsid w:val="00BA7966"/>
    <w:rsid w:val="00BB0DB0"/>
    <w:rsid w:val="00BB1A80"/>
    <w:rsid w:val="00BB20AC"/>
    <w:rsid w:val="00BB601B"/>
    <w:rsid w:val="00BB6BFD"/>
    <w:rsid w:val="00BB7ABB"/>
    <w:rsid w:val="00BD45A5"/>
    <w:rsid w:val="00BD71ED"/>
    <w:rsid w:val="00BE2FBC"/>
    <w:rsid w:val="00BE31D0"/>
    <w:rsid w:val="00BE6CAD"/>
    <w:rsid w:val="00BF2ED3"/>
    <w:rsid w:val="00BF2FC7"/>
    <w:rsid w:val="00BF6119"/>
    <w:rsid w:val="00BF7117"/>
    <w:rsid w:val="00C0071D"/>
    <w:rsid w:val="00C00CBC"/>
    <w:rsid w:val="00C0207C"/>
    <w:rsid w:val="00C0790D"/>
    <w:rsid w:val="00C15A13"/>
    <w:rsid w:val="00C21497"/>
    <w:rsid w:val="00C32B81"/>
    <w:rsid w:val="00C4345E"/>
    <w:rsid w:val="00C4394D"/>
    <w:rsid w:val="00C45377"/>
    <w:rsid w:val="00C45D91"/>
    <w:rsid w:val="00C545E9"/>
    <w:rsid w:val="00C62523"/>
    <w:rsid w:val="00C625D2"/>
    <w:rsid w:val="00C62C65"/>
    <w:rsid w:val="00C643EB"/>
    <w:rsid w:val="00C64754"/>
    <w:rsid w:val="00C71811"/>
    <w:rsid w:val="00C730AF"/>
    <w:rsid w:val="00C7717A"/>
    <w:rsid w:val="00C80E49"/>
    <w:rsid w:val="00C91597"/>
    <w:rsid w:val="00C94C3C"/>
    <w:rsid w:val="00CA293F"/>
    <w:rsid w:val="00CA6DD1"/>
    <w:rsid w:val="00CB0612"/>
    <w:rsid w:val="00CB1456"/>
    <w:rsid w:val="00CE09B8"/>
    <w:rsid w:val="00CE1372"/>
    <w:rsid w:val="00CE2338"/>
    <w:rsid w:val="00CE2447"/>
    <w:rsid w:val="00CF093A"/>
    <w:rsid w:val="00CF444F"/>
    <w:rsid w:val="00D20519"/>
    <w:rsid w:val="00D2078D"/>
    <w:rsid w:val="00D210F3"/>
    <w:rsid w:val="00D22799"/>
    <w:rsid w:val="00D45CDE"/>
    <w:rsid w:val="00D464DF"/>
    <w:rsid w:val="00D46947"/>
    <w:rsid w:val="00D6746B"/>
    <w:rsid w:val="00D7090B"/>
    <w:rsid w:val="00D71971"/>
    <w:rsid w:val="00D7292A"/>
    <w:rsid w:val="00D739F9"/>
    <w:rsid w:val="00D77552"/>
    <w:rsid w:val="00D81132"/>
    <w:rsid w:val="00D845F9"/>
    <w:rsid w:val="00D92419"/>
    <w:rsid w:val="00D9384A"/>
    <w:rsid w:val="00DA14CB"/>
    <w:rsid w:val="00DB1E1C"/>
    <w:rsid w:val="00DB379F"/>
    <w:rsid w:val="00DC4AD7"/>
    <w:rsid w:val="00DD1012"/>
    <w:rsid w:val="00DD3AE8"/>
    <w:rsid w:val="00DE0285"/>
    <w:rsid w:val="00DE4DFD"/>
    <w:rsid w:val="00DE770B"/>
    <w:rsid w:val="00DF1BC7"/>
    <w:rsid w:val="00E016CC"/>
    <w:rsid w:val="00E04DF8"/>
    <w:rsid w:val="00E115BE"/>
    <w:rsid w:val="00E15C75"/>
    <w:rsid w:val="00E15F8B"/>
    <w:rsid w:val="00E25D31"/>
    <w:rsid w:val="00E301A1"/>
    <w:rsid w:val="00E41178"/>
    <w:rsid w:val="00E43B4F"/>
    <w:rsid w:val="00E47133"/>
    <w:rsid w:val="00E533DD"/>
    <w:rsid w:val="00E549DC"/>
    <w:rsid w:val="00E566F7"/>
    <w:rsid w:val="00E569D3"/>
    <w:rsid w:val="00E73B29"/>
    <w:rsid w:val="00E73EE3"/>
    <w:rsid w:val="00E74A49"/>
    <w:rsid w:val="00E75F1A"/>
    <w:rsid w:val="00E80477"/>
    <w:rsid w:val="00E8508B"/>
    <w:rsid w:val="00E90EC3"/>
    <w:rsid w:val="00E90F9D"/>
    <w:rsid w:val="00E9460B"/>
    <w:rsid w:val="00EA12A0"/>
    <w:rsid w:val="00EA6ECF"/>
    <w:rsid w:val="00EA7BA1"/>
    <w:rsid w:val="00EA7C37"/>
    <w:rsid w:val="00EB6669"/>
    <w:rsid w:val="00EC0F60"/>
    <w:rsid w:val="00EC18F9"/>
    <w:rsid w:val="00EC6E30"/>
    <w:rsid w:val="00EC745C"/>
    <w:rsid w:val="00EE35EC"/>
    <w:rsid w:val="00EE57BC"/>
    <w:rsid w:val="00EE685D"/>
    <w:rsid w:val="00EF7C4A"/>
    <w:rsid w:val="00F0164C"/>
    <w:rsid w:val="00F017C0"/>
    <w:rsid w:val="00F03B21"/>
    <w:rsid w:val="00F21643"/>
    <w:rsid w:val="00F26B84"/>
    <w:rsid w:val="00F26C7E"/>
    <w:rsid w:val="00F321FE"/>
    <w:rsid w:val="00F32334"/>
    <w:rsid w:val="00F33815"/>
    <w:rsid w:val="00F35A56"/>
    <w:rsid w:val="00F461EA"/>
    <w:rsid w:val="00F46D2F"/>
    <w:rsid w:val="00F51161"/>
    <w:rsid w:val="00F60653"/>
    <w:rsid w:val="00F65FD9"/>
    <w:rsid w:val="00F72C78"/>
    <w:rsid w:val="00F72F8D"/>
    <w:rsid w:val="00F76737"/>
    <w:rsid w:val="00F76EED"/>
    <w:rsid w:val="00F9162B"/>
    <w:rsid w:val="00F93EC7"/>
    <w:rsid w:val="00FA7256"/>
    <w:rsid w:val="00FB35C8"/>
    <w:rsid w:val="00FB75B4"/>
    <w:rsid w:val="00FC22CF"/>
    <w:rsid w:val="00FD195E"/>
    <w:rsid w:val="00FD5DA3"/>
    <w:rsid w:val="00FE3941"/>
    <w:rsid w:val="00FF1D31"/>
    <w:rsid w:val="00FF20EA"/>
    <w:rsid w:val="00FF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9EC86"/>
  <w15:docId w15:val="{8672B3F7-D5DA-4B0B-A71C-6723EBB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500E-5313-43B9-9DD3-4276544F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13</cp:revision>
  <cp:lastPrinted>2024-08-23T19:02:00Z</cp:lastPrinted>
  <dcterms:created xsi:type="dcterms:W3CDTF">2024-08-21T15:33:00Z</dcterms:created>
  <dcterms:modified xsi:type="dcterms:W3CDTF">2024-08-23T19:02:00Z</dcterms:modified>
</cp:coreProperties>
</file>