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6222C"/>
          <w:sz w:val="28"/>
          <w:szCs w:val="28"/>
        </w:rPr>
        <w:t xml:space="preserve">COTATION CCAM &amp; NGAP — ANESTHÉSIE CHPG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C76"/>
          <w:sz w:val="15"/>
          <w:szCs w:val="15"/>
        </w:rPr>
        <w:t xml:space="preserve">Mémo 1 page · base CCAM v80 (01/01/2025) · Arrêté monég. n°2005-276 · validé au centime sur feuilles réelles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24697F"/>
          <w:sz w:val="20"/>
          <w:szCs w:val="20"/>
        </w:rPr>
        <w:t xml:space="preserve">① AXE CCAM — actes techniques (activité 4)</w:t>
      </w:r>
    </w:p>
    <w:p>
      <w:pPr>
        <w:spacing w:after="40"/>
      </w:pPr>
      <w:r>
        <w:rPr>
          <w:rFonts w:ascii="Calibri" w:cs="Calibri" w:eastAsia="Calibri" w:hAnsi="Calibri"/>
          <w:sz w:val="16"/>
          <w:szCs w:val="16"/>
        </w:rPr>
        <w:t xml:space="preserve">BR par ligne = </w:t>
      </w:r>
      <w:r>
        <w:rPr>
          <w:rFonts w:ascii="Calibri" w:cs="Calibri" w:eastAsia="Calibri" w:hAnsi="Calibri"/>
          <w:b/>
          <w:bCs/>
          <w:color w:val="24697F"/>
          <w:sz w:val="16"/>
          <w:szCs w:val="16"/>
        </w:rPr>
        <w:t xml:space="preserve">coeff. carte × ( tarif act.4 × (1+%mod) × taux assoc. + €mod 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BR du parcours = somme des lignes</w:t>
      </w:r>
      <w:r>
        <w:rPr>
          <w:rFonts w:ascii="Calibri" w:cs="Calibri" w:eastAsia="Calibri" w:hAnsi="Calibri"/>
          <w:color w:val="5B6C76"/>
          <w:sz w:val="15"/>
          <w:szCs w:val="15"/>
        </w:rPr>
        <w:t xml:space="preserve">  (principal 100 % · associé 50 % · complément/supplément 100 % en sus).</w:t>
      </w:r>
    </w:p>
    <w:tbl>
      <w:tblPr>
        <w:tblW w:type="dxa" w:w="9360"/>
        <w:tblBorders>
          <w:top w:val="single" w:color="DBE1E6" w:sz="2"/>
          <w:left w:val="single" w:color="DBE1E6" w:sz="2"/>
          <w:bottom w:val="single" w:color="DBE1E6" w:sz="2"/>
          <w:right w:val="single" w:color="DBE1E6" w:sz="2"/>
          <w:insideH w:val="single" w:color="EEF1F4" w:sz="2"/>
          <w:insideV w:val="single" w:color="EEF1F4" w:sz="2"/>
        </w:tblBorders>
      </w:tblPr>
      <w:tblGrid>
        <w:gridCol w:w="2500"/>
        <w:gridCol w:w="2100"/>
        <w:gridCol w:w="3160"/>
        <w:gridCol w:w="1600"/>
      </w:tblGrid>
      <w:tr>
        <w:tc>
          <w:tcPr>
            <w:tcW w:type="dxa" w:w="2500"/>
            <w:shd w:fill="E5F0F3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Coeff. carte (dans la base)</w:t>
            </w:r>
          </w:p>
        </w:tc>
        <w:tc>
          <w:tcPr>
            <w:tcW w:type="dxa" w:w="2100"/>
            <w:shd w:fill="E5F0F3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%mod (× le tarif)</w:t>
            </w:r>
          </w:p>
        </w:tc>
        <w:tc>
          <w:tcPr>
            <w:tcW w:type="dxa" w:w="3160"/>
            <w:shd w:fill="E5F0F3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€mod (à plat)</w:t>
            </w:r>
          </w:p>
        </w:tc>
        <w:tc>
          <w:tcPr>
            <w:tcW w:type="dxa" w:w="1600"/>
            <w:shd w:fill="E5F0F3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Assoc.</w:t>
            </w:r>
          </w:p>
        </w:tc>
      </w:tr>
      <w:tr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Monégasque V/R/B : ×1,95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7 présence : +6 %</w:t>
            </w:r>
          </w:p>
        </w:tc>
        <w:tc>
          <w:tcPr>
            <w:tcW w:type="dxa" w:w="3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A (&lt;4 / &gt;80 ans) : +23 € FR · +44,85 € monég.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Principal 100 %</w:t>
            </w:r>
          </w:p>
        </w:tc>
      </w:tr>
      <w:tr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Français : ×1,00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8 itératif : +20 %</w:t>
            </w:r>
          </w:p>
        </w:tc>
        <w:tc>
          <w:tcPr>
            <w:tcW w:type="dxa" w:w="3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Urgence : O 80 · U 50 · S 80 · F 40 € (1 seul)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Associé 50 %</w:t>
            </w:r>
          </w:p>
        </w:tc>
      </w:tr>
      <w:tr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Réf. : tarif Excel des codes</w:t>
            </w:r>
          </w:p>
        </w:tc>
        <w:tc>
          <w:tcPr>
            <w:tcW w:type="dxa" w:w="21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R +50 % · L +20 % (chir.)</w:t>
            </w:r>
          </w:p>
        </w:tc>
        <w:tc>
          <w:tcPr>
            <w:tcW w:type="dxa" w:w="3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222C"/>
                <w:sz w:val="15"/>
                <w:szCs w:val="15"/>
              </w:rPr>
              <w:t xml:space="preserve">A monég. = 23 × 1,95</w:t>
            </w:r>
          </w:p>
        </w:tc>
        <w:tc>
          <w:tcPr>
            <w:tcW w:type="dxa" w:w="16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Complément 100 %</w:t>
            </w:r>
          </w:p>
        </w:tc>
      </w:tr>
    </w:tbl>
    <w:p>
      <w:pPr>
        <w:spacing w:after="60" w:before="40"/>
      </w:pPr>
      <w:r>
        <w:rPr>
          <w:rFonts w:ascii="Calibri" w:cs="Calibri" w:eastAsia="Calibri" w:hAnsi="Calibri"/>
          <w:color w:val="5B6C76"/>
          <w:sz w:val="15"/>
          <w:szCs w:val="15"/>
        </w:rPr>
        <w:t xml:space="preserve">Ex. PTH verte NEKA014 (&gt;80 ans, mod 7) : 253,90 ×1,95 =495,11 → ×1,06 +44,85 = </w:t>
      </w:r>
      <w:r>
        <w:rPr>
          <w:rFonts w:ascii="Calibri" w:cs="Calibri" w:eastAsia="Calibri" w:hAnsi="Calibri"/>
          <w:b/>
          <w:bCs/>
          <w:color w:val="24697F"/>
          <w:sz w:val="15"/>
          <w:szCs w:val="15"/>
        </w:rPr>
        <w:t xml:space="preserve">569,66 €</w:t>
      </w:r>
      <w:r>
        <w:rPr>
          <w:rFonts w:ascii="Calibri" w:cs="Calibri" w:eastAsia="Calibri" w:hAnsi="Calibri"/>
          <w:color w:val="5B6C76"/>
          <w:sz w:val="15"/>
          <w:szCs w:val="15"/>
        </w:rPr>
        <w:t xml:space="preserve"> · + associé NEFA004 à 50 % =167,65 → parcours </w:t>
      </w:r>
      <w:r>
        <w:rPr>
          <w:rFonts w:ascii="Calibri" w:cs="Calibri" w:eastAsia="Calibri" w:hAnsi="Calibri"/>
          <w:b/>
          <w:bCs/>
          <w:color w:val="24697F"/>
          <w:sz w:val="15"/>
          <w:szCs w:val="15"/>
        </w:rPr>
        <w:t xml:space="preserve">737,31 € BR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C76"/>
          <w:sz w:val="15"/>
          <w:szCs w:val="15"/>
        </w:rPr>
        <w:t xml:space="preserve">Leviers anti-perte (art.7) : </w:t>
      </w:r>
      <w:r>
        <w:rPr>
          <w:rFonts w:ascii="Calibri" w:cs="Calibri" w:eastAsia="Calibri" w:hAnsi="Calibri"/>
          <w:color w:val="5B6C76"/>
          <w:sz w:val="15"/>
          <w:szCs w:val="15"/>
        </w:rPr>
        <w:t xml:space="preserve">toujours la ligne activité 4 · ZZLP025 si pas d'anesthésie native · AHQJ021 (TAP écho, 29,12 €) et YYYY041 (cell-saver) en sus.</w:t>
      </w:r>
    </w:p>
    <w:p>
      <w:pPr>
        <w:spacing w:after="40" w:before="90"/>
      </w:pPr>
      <w:r>
        <w:rPr>
          <w:rFonts w:ascii="Calibri" w:cs="Calibri" w:eastAsia="Calibri" w:hAnsi="Calibri"/>
          <w:b/>
          <w:bCs/>
          <w:color w:val="A9762E"/>
          <w:sz w:val="20"/>
          <w:szCs w:val="20"/>
        </w:rPr>
        <w:t xml:space="preserve">② AXE NGAP — consultations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A9762E"/>
          <w:sz w:val="16"/>
          <w:szCs w:val="16"/>
        </w:rPr>
        <w:t xml:space="preserve">BR = lettre-clé × coefficient</w:t>
      </w:r>
      <w:r>
        <w:rPr>
          <w:rFonts w:ascii="Calibri" w:cs="Calibri" w:eastAsia="Calibri" w:hAnsi="Calibri"/>
          <w:color w:val="B23A2A"/>
          <w:sz w:val="15"/>
          <w:szCs w:val="15"/>
        </w:rPr>
        <w:t xml:space="preserve">  —  PAS de ×1,95, PAS de modificateur. La carte ne change jamais la BR.</w:t>
      </w:r>
    </w:p>
    <w:tbl>
      <w:tblPr>
        <w:tblW w:type="dxa" w:w="9060"/>
        <w:tblBorders>
          <w:top w:val="single" w:color="DBE1E6" w:sz="2"/>
          <w:left w:val="single" w:color="DBE1E6" w:sz="2"/>
          <w:bottom w:val="single" w:color="DBE1E6" w:sz="2"/>
          <w:right w:val="single" w:color="DBE1E6" w:sz="2"/>
          <w:insideH w:val="single" w:color="EEF1F4" w:sz="2"/>
          <w:insideV w:val="single" w:color="EEF1F4" w:sz="2"/>
        </w:tblBorders>
      </w:tblPr>
      <w:tblGrid>
        <w:gridCol w:w="1400"/>
        <w:gridCol w:w="1700"/>
        <w:gridCol w:w="5960"/>
      </w:tblGrid>
      <w:tr>
        <w:tc>
          <w:tcPr>
            <w:tcW w:type="dxa" w:w="1400"/>
            <w:shd w:fill="F7EED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Lettre-clé</w:t>
            </w:r>
          </w:p>
        </w:tc>
        <w:tc>
          <w:tcPr>
            <w:tcW w:type="dxa" w:w="1700"/>
            <w:shd w:fill="F7EED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Valeur</w:t>
            </w:r>
          </w:p>
        </w:tc>
        <w:tc>
          <w:tcPr>
            <w:tcW w:type="dxa" w:w="5960"/>
            <w:shd w:fill="F7EED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Exemple</w:t>
            </w:r>
          </w:p>
        </w:tc>
      </w:tr>
      <w:tr>
        <w:tc>
          <w:tcPr>
            <w:tcW w:type="dxa" w:w="1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34,40 €</w:t>
            </w:r>
          </w:p>
        </w:tc>
        <w:tc>
          <w:tcPr>
            <w:tcW w:type="dxa" w:w="59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 2 → 68,80 €</w:t>
            </w:r>
          </w:p>
        </w:tc>
      </w:tr>
      <w:tr>
        <w:tc>
          <w:tcPr>
            <w:tcW w:type="dxa" w:w="1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CS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46,00 €</w:t>
            </w:r>
          </w:p>
        </w:tc>
        <w:tc>
          <w:tcPr>
            <w:tcW w:type="dxa" w:w="59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CS 1 → 46,00 €</w:t>
            </w:r>
          </w:p>
        </w:tc>
      </w:tr>
      <w:tr>
        <w:tc>
          <w:tcPr>
            <w:tcW w:type="dxa" w:w="1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APC</w:t>
            </w:r>
          </w:p>
        </w:tc>
        <w:tc>
          <w:tcPr>
            <w:tcW w:type="dxa" w:w="17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60,00 €</w:t>
            </w:r>
          </w:p>
        </w:tc>
        <w:tc>
          <w:tcPr>
            <w:tcW w:type="dxa" w:w="59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APC 1 → 60,00 € (avis ponctuel, coeff. 1)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color w:val="B23A2A"/>
          <w:sz w:val="20"/>
          <w:szCs w:val="20"/>
        </w:rPr>
        <w:t xml:space="preserve">③ DH — dépassement d'honoraires (HORS quota 30 %, sur les DEUX axes)</w:t>
      </w:r>
    </w:p>
    <w:tbl>
      <w:tblPr>
        <w:tblW w:type="dxa" w:w="9360"/>
        <w:tblBorders>
          <w:top w:val="single" w:color="DBE1E6" w:sz="2"/>
          <w:left w:val="single" w:color="DBE1E6" w:sz="2"/>
          <w:bottom w:val="single" w:color="DBE1E6" w:sz="2"/>
          <w:right w:val="single" w:color="DBE1E6" w:sz="2"/>
          <w:insideH w:val="single" w:color="EEF1F4" w:sz="2"/>
          <w:insideV w:val="single" w:color="EEF1F4" w:sz="2"/>
        </w:tblBorders>
      </w:tblPr>
      <w:tblGrid>
        <w:gridCol w:w="2900"/>
        <w:gridCol w:w="2300"/>
        <w:gridCol w:w="4160"/>
      </w:tblGrid>
      <w:tr>
        <w:tc>
          <w:tcPr>
            <w:tcW w:type="dxa" w:w="2900"/>
            <w:shd w:fill="F1EC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Statut patient</w:t>
            </w:r>
          </w:p>
        </w:tc>
        <w:tc>
          <w:tcPr>
            <w:tcW w:type="dxa" w:w="2300"/>
            <w:shd w:fill="F1EC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DH</w:t>
            </w:r>
          </w:p>
        </w:tc>
        <w:tc>
          <w:tcPr>
            <w:tcW w:type="dxa" w:w="4160"/>
            <w:shd w:fill="F1EC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222C"/>
                <w:sz w:val="15"/>
                <w:szCs w:val="15"/>
              </w:rPr>
              <w:t xml:space="preserve">Net = BR + DH</w:t>
            </w:r>
          </w:p>
        </w:tc>
      </w:tr>
      <w:tr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Carte verte · SPME</w:t>
            </w:r>
          </w:p>
        </w:tc>
        <w:tc>
          <w:tcPr>
            <w:tcW w:type="dxa" w:w="23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8564"/>
                <w:sz w:val="15"/>
                <w:szCs w:val="15"/>
              </w:rPr>
              <w:t xml:space="preserve">0</w:t>
            </w:r>
          </w:p>
        </w:tc>
        <w:tc>
          <w:tcPr>
            <w:tcW w:type="dxa" w:w="4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net = BR</w:t>
            </w:r>
          </w:p>
        </w:tc>
      </w:tr>
      <w:tr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Carte rose</w:t>
            </w:r>
          </w:p>
        </w:tc>
        <w:tc>
          <w:tcPr>
            <w:tcW w:type="dxa" w:w="23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9762E"/>
                <w:sz w:val="15"/>
                <w:szCs w:val="15"/>
              </w:rPr>
              <w:t xml:space="preserve">+20 % de la BR</w:t>
            </w:r>
          </w:p>
        </w:tc>
        <w:tc>
          <w:tcPr>
            <w:tcW w:type="dxa" w:w="4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CS 1 : +9,20 → 55,20 €</w:t>
            </w:r>
          </w:p>
        </w:tc>
      </w:tr>
      <w:tr>
        <w:tc>
          <w:tcPr>
            <w:tcW w:type="dxa" w:w="29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Bulle · français · NAS · AME</w:t>
            </w:r>
          </w:p>
        </w:tc>
        <w:tc>
          <w:tcPr>
            <w:tcW w:type="dxa" w:w="23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A"/>
                <w:sz w:val="15"/>
                <w:szCs w:val="15"/>
              </w:rPr>
              <w:t xml:space="preserve">libre</w:t>
            </w:r>
          </w:p>
        </w:tc>
        <w:tc>
          <w:tcPr>
            <w:tcW w:type="dxa" w:w="416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6222C"/>
                <w:sz w:val="15"/>
                <w:szCs w:val="15"/>
              </w:rPr>
              <w:t xml:space="preserve">fixé pour un net rond (CS 1 +64 → 110 €)</w:t>
            </w:r>
          </w:p>
        </w:tc>
      </w:tr>
    </w:tbl>
    <w:p>
      <w:pPr>
        <w:pBdr>
          <w:top w:val="single" w:color="16222C" w:sz="6" w:space="6"/>
        </w:pBdr>
        <w:spacing w:after="0" w:before="110"/>
      </w:pPr>
      <w:r>
        <w:rPr>
          <w:rFonts w:ascii="Calibri" w:cs="Calibri" w:eastAsia="Calibri" w:hAnsi="Calibri"/>
          <w:b/>
          <w:bCs/>
          <w:color w:val="16222C"/>
          <w:sz w:val="16"/>
          <w:szCs w:val="16"/>
        </w:rPr>
        <w:t xml:space="preserve">POUR LE MODULE LIBÉRAL : </w:t>
      </w:r>
      <w:r>
        <w:rPr>
          <w:rFonts w:ascii="Calibri" w:cs="Calibri" w:eastAsia="Calibri" w:hAnsi="Calibri"/>
          <w:sz w:val="16"/>
          <w:szCs w:val="16"/>
        </w:rPr>
        <w:t xml:space="preserve">ratio des 30 % sur la </w:t>
      </w:r>
      <w:r>
        <w:rPr>
          <w:rFonts w:ascii="Calibri" w:cs="Calibri" w:eastAsia="Calibri" w:hAnsi="Calibri"/>
          <w:b/>
          <w:bCs/>
          <w:color w:val="24697F"/>
          <w:sz w:val="16"/>
          <w:szCs w:val="16"/>
        </w:rPr>
        <w:t xml:space="preserve">BR seule</w:t>
      </w:r>
      <w:r>
        <w:rPr>
          <w:rFonts w:ascii="Calibri" w:cs="Calibri" w:eastAsia="Calibri" w:hAnsi="Calibri"/>
          <w:sz w:val="16"/>
          <w:szCs w:val="16"/>
        </w:rPr>
        <w:t xml:space="preserve">, appliqué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séparément par axe</w:t>
      </w:r>
      <w:r>
        <w:rPr>
          <w:rFonts w:ascii="Calibri" w:cs="Calibri" w:eastAsia="Calibri" w:hAnsi="Calibri"/>
          <w:sz w:val="16"/>
          <w:szCs w:val="16"/>
        </w:rPr>
        <w:t xml:space="preserve"> (CCAM ≠ NGAP). Le </w:t>
      </w:r>
      <w:r>
        <w:rPr>
          <w:rFonts w:ascii="Calibri" w:cs="Calibri" w:eastAsia="Calibri" w:hAnsi="Calibri"/>
          <w:b/>
          <w:bCs/>
          <w:color w:val="B23A2A"/>
          <w:sz w:val="16"/>
          <w:szCs w:val="16"/>
        </w:rPr>
        <w:t xml:space="preserve">DH est hors quota</w:t>
      </w:r>
      <w:r>
        <w:rPr>
          <w:rFonts w:ascii="Calibri" w:cs="Calibri" w:eastAsia="Calibri" w:hAnsi="Calibri"/>
          <w:sz w:val="16"/>
          <w:szCs w:val="16"/>
        </w:rPr>
        <w:t xml:space="preserve">. Un acte CCAM technique ne se cumule pas avec une consult NGAP le même temps (art. 20 A).</w:t>
      </w:r>
    </w:p>
    <w:p>
      <w:pPr>
        <w:spacing w:before="60"/>
      </w:pPr>
      <w:r>
        <w:rPr>
          <w:rFonts w:ascii="Calibri" w:cs="Calibri" w:eastAsia="Calibri" w:hAnsi="Calibri"/>
          <w:i/>
          <w:iCs/>
          <w:color w:val="5B6C76"/>
          <w:sz w:val="14"/>
          <w:szCs w:val="14"/>
        </w:rPr>
        <w:t xml:space="preserve">À coter à juste titre l'exhaustivité de ce qui est fait — jamais surcoter. Mod. 4/5 (analgésie postop) : valeur à confirmer côté CSM. APC : coeff. 1 supposé, à confirmer.</w:t>
      </w:r>
    </w:p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2026-07-12T21:30:31.039Z</dcterms:created>
  <dcterms:modified xsi:type="dcterms:W3CDTF">2026-07-12T21:30:31.056Z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