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6F6B"/>
          <w:sz w:val="20"/>
          <w:szCs w:val="20"/>
        </w:rPr>
        <w:t xml:space="preserve">CHPG — Service d’Anesthésie-Réanimation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8"/>
          <w:szCs w:val="48"/>
        </w:rPr>
        <w:t xml:space="preserve">Guide d’aide au codage</w:t>
      </w:r>
    </w:p>
    <w:p>
      <w:pPr>
        <w:pBdr>
          <w:bottom w:val="single" w:color="1F6F6B" w:sz="12" w:space="6"/>
        </w:pBdr>
        <w:spacing w:after="2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Anesthésie · Réanimation · Consultations — cadre monégasque (CSM)</w:t>
      </w:r>
    </w:p>
    <w:p>
      <w:pPr>
        <w:spacing w:after="200" w:line="276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Version 1.0 — 18 juillet 2026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·  Dérivé de l’antisèche interne v14 (dépôt Planning-CHPG)</w:t>
      </w:r>
    </w:p>
    <w:p>
      <w:pPr>
        <w:pBdr>
          <w:top w:val="single" w:color="E8A33D" w:sz="6" w:space="6"/>
          <w:bottom w:val="single" w:color="E8A33D" w:sz="6" w:space="6"/>
          <w:left w:val="single" w:color="E8A33D" w:sz="18" w:space="8"/>
          <w:right w:val="single" w:color="E8A33D" w:sz="6" w:space="6"/>
        </w:pBdr>
        <w:shd w:fill="FFF4E5" w:color="auto" w:val="clear"/>
        <w:spacing w:after="200" w:line="276"/>
      </w:pPr>
      <w:r>
        <w:rPr>
          <w:rFonts w:ascii="Calibri" w:cs="Calibri" w:eastAsia="Calibri" w:hAnsi="Calibri"/>
          <w:b/>
          <w:bCs/>
          <w:color w:val="A61C00"/>
          <w:sz w:val="20"/>
          <w:szCs w:val="20"/>
        </w:rPr>
        <w:t xml:space="preserve">Objectif : coter juste, et coter tout. </w:t>
      </w:r>
      <w:r>
        <w:rPr>
          <w:rFonts w:ascii="Calibri" w:cs="Calibri" w:eastAsia="Calibri" w:hAnsi="Calibri"/>
          <w:sz w:val="20"/>
          <w:szCs w:val="20"/>
        </w:rPr>
        <w:t xml:space="preserve">Ce guide ne vise pas à majorer une cotation, mais à ne rien perdre de ce qui est dû. </w:t>
      </w:r>
      <w:r>
        <w:rPr>
          <w:rFonts w:ascii="Calibri" w:cs="Calibri" w:eastAsia="Calibri" w:hAnsi="Calibri"/>
          <w:sz w:val="20"/>
          <w:szCs w:val="20"/>
        </w:rPr>
        <w:t xml:space="preserve">Toute surcotation expose le service ; toute ligne oubliée est définitivement perdue.</w:t>
      </w:r>
    </w:p>
    <w:p>
      <w:pPr>
        <w:pBdr>
          <w:top w:val="single" w:color="7592B2" w:sz="6" w:space="6"/>
          <w:bottom w:val="single" w:color="7592B2" w:sz="6" w:space="6"/>
          <w:left w:val="single" w:color="7592B2" w:sz="18" w:space="8"/>
          <w:right w:val="single" w:color="7592B2" w:sz="6" w:space="6"/>
        </w:pBdr>
        <w:shd w:fill="EEF3F8" w:color="auto" w:val="clear"/>
        <w:spacing w:after="20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Statut du document. </w:t>
      </w:r>
      <w:r>
        <w:rPr>
          <w:rFonts w:ascii="Calibri" w:cs="Calibri" w:eastAsia="Calibri" w:hAnsi="Calibri"/>
          <w:sz w:val="20"/>
          <w:szCs w:val="20"/>
        </w:rPr>
        <w:t xml:space="preserve">Les valeurs des §1 à §6 sont validées sur relevés réels (au centime). Les points du §8 sont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NON validés</w:t>
      </w:r>
      <w:r>
        <w:rPr>
          <w:rFonts w:ascii="Calibri" w:cs="Calibri" w:eastAsia="Calibri" w:hAnsi="Calibri"/>
          <w:sz w:val="20"/>
          <w:szCs w:val="20"/>
        </w:rPr>
        <w:t xml:space="preserve"> et attendent un arbitrage de la CSM — ne pas les appliquer en l’état.</w:t>
      </w:r>
    </w:p>
    <w:p>
      <w:pPr>
        <w:pStyle w:val="Heading1"/>
        <w:pBdr>
          <w:bottom w:val="single" w:color="1F6F6B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 Les trois réflexes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6F6B"/>
          <w:sz w:val="23"/>
          <w:szCs w:val="23"/>
        </w:rPr>
        <w:t xml:space="preserve">Réflexe n° 1 — la ligne « activité 4 »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Toute intervention sous AG ou ALR doit porter une ligne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code activité 4</w:t>
      </w:r>
      <w:r>
        <w:rPr>
          <w:rFonts w:ascii="Calibri" w:cs="Calibri" w:eastAsia="Calibri" w:hAnsi="Calibri"/>
          <w:sz w:val="20"/>
          <w:szCs w:val="20"/>
        </w:rPr>
        <w:t xml:space="preserve"> = geste d’anesthésie. C’est votre ligne. Si le chirurgien code seul et que l’activité 4 ne remonte pas, </w:t>
      </w:r>
      <w:r>
        <w:rPr>
          <w:rFonts w:ascii="Calibri" w:cs="Calibri" w:eastAsia="Calibri" w:hAnsi="Calibri"/>
          <w:b/>
          <w:bCs/>
          <w:color w:val="A61C00"/>
          <w:sz w:val="20"/>
          <w:szCs w:val="20"/>
        </w:rPr>
        <w:t xml:space="preserve">l’anesthésie est purement et simplement perdue</w:t>
      </w:r>
      <w:r>
        <w:rPr>
          <w:rFonts w:ascii="Calibri" w:cs="Calibri" w:eastAsia="Calibri" w:hAnsi="Calibri"/>
          <w:sz w:val="20"/>
          <w:szCs w:val="20"/>
        </w:rPr>
        <w:t xml:space="preserve">. Objectif : 100 % des interventions éligibles.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900"/>
        <w:gridCol w:w="3600"/>
        <w:gridCol w:w="386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36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W w:type="dxa" w:w="386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Votre valeur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Code acte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Code CCAM à 7 caractères</w:t>
            </w:r>
          </w:p>
        </w:tc>
        <w:tc>
          <w:tcPr>
            <w:tcW w:type="dxa" w:w="3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celui de l’acte réalisé</w:t>
            </w:r>
          </w:p>
        </w:tc>
      </w:tr>
      <w:tr>
        <w:tc>
          <w:tcPr>
            <w:tcW w:type="dxa" w:w="190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Code activité</w:t>
            </w:r>
          </w:p>
        </w:tc>
        <w:tc>
          <w:tcPr>
            <w:tcW w:type="dxa" w:w="360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Qui fait quoi</w:t>
            </w:r>
          </w:p>
        </w:tc>
        <w:tc>
          <w:tcPr>
            <w:tcW w:type="dxa" w:w="386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 = anesthésie  (5 = surveillance de CEC)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Code phase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Temps du traitement</w:t>
            </w:r>
          </w:p>
        </w:tc>
        <w:tc>
          <w:tcPr>
            <w:tcW w:type="dxa" w:w="3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 par défaut</w:t>
            </w:r>
          </w:p>
        </w:tc>
      </w:tr>
    </w:tbl>
    <w:p>
      <w:pPr>
        <w:spacing w:after="14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6F6B"/>
          <w:sz w:val="23"/>
          <w:szCs w:val="23"/>
        </w:rPr>
        <w:t xml:space="preserve">Réflexe n° 2 — jamais d’anesthésie sans code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Acte sans code d’anesthésie natif (FOGD, pose de PAC…) ? On code l’anesthésie complémentaire indiquée en regard, ou à défaut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ZZLP025</w:t>
      </w:r>
      <w:r>
        <w:rPr>
          <w:rFonts w:ascii="Calibri" w:cs="Calibri" w:eastAsia="Calibri" w:hAnsi="Calibri"/>
          <w:sz w:val="20"/>
          <w:szCs w:val="20"/>
        </w:rPr>
        <w:t xml:space="preserve"> (AG/ALR complémentaire de niveau 1).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6F6B"/>
          <w:sz w:val="23"/>
          <w:szCs w:val="23"/>
        </w:rPr>
        <w:t xml:space="preserve">Réflexe n° 3 — vérifier l’exécutant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S’assurer que le nom de l’exécutant n’est pas celui du chirurgien. </w:t>
      </w:r>
      <w:r>
        <w:rPr>
          <w:rFonts w:ascii="Calibri" w:cs="Calibri" w:eastAsia="Calibri" w:hAnsi="Calibri"/>
          <w:sz w:val="20"/>
          <w:szCs w:val="20"/>
        </w:rPr>
        <w:t xml:space="preserve">Erreur administrative banale, conséquence maximale : la ligne d’anesthésie saute intégralement.</w:t>
      </w:r>
    </w:p>
    <w:p>
      <w:pPr>
        <w:pStyle w:val="Heading1"/>
        <w:pBdr>
          <w:bottom w:val="single" w:color="1F6F6B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 Au bloc — ce qui se code en plus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Ces gestes s’ajoutent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à la ligne d’anesthésie</w:t>
      </w:r>
      <w:r>
        <w:rPr>
          <w:rFonts w:ascii="Calibri" w:cs="Calibri" w:eastAsia="Calibri" w:hAnsi="Calibri"/>
          <w:sz w:val="20"/>
          <w:szCs w:val="20"/>
        </w:rPr>
        <w:t xml:space="preserve"> (dérogation art. 7), même s’ils ne sont pas mentionnés en regard de l’acte.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500"/>
        <w:gridCol w:w="5860"/>
        <w:gridCol w:w="200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586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Situation</w:t>
            </w:r>
          </w:p>
        </w:tc>
        <w:tc>
          <w:tcPr>
            <w:tcW w:type="dxa" w:w="20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Tarif base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AHQJ021</w:t>
            </w:r>
          </w:p>
        </w:tc>
        <w:tc>
          <w:tcPr>
            <w:tcW w:type="dxa" w:w="5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Échoguidage d’ALR périphérique de membre ou de paroi abdominale (TAP bloc)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29,12 €</w:t>
            </w:r>
          </w:p>
        </w:tc>
      </w:tr>
      <w:tr>
        <w:tc>
          <w:tcPr>
            <w:tcW w:type="dxa" w:w="150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YYYY041</w:t>
            </w:r>
          </w:p>
        </w:tc>
        <w:tc>
          <w:tcPr>
            <w:tcW w:type="dxa" w:w="586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Récupération peropératoire de sang (cell-saver)</w:t>
            </w:r>
          </w:p>
        </w:tc>
        <w:tc>
          <w:tcPr>
            <w:tcW w:type="dxa" w:w="200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base CCAM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ZZLP025</w:t>
            </w:r>
          </w:p>
        </w:tc>
        <w:tc>
          <w:tcPr>
            <w:tcW w:type="dxa" w:w="5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AG/ALR complémentaire niveau 1 (si pas d’activité 4 native)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base CCAM</w:t>
            </w:r>
          </w:p>
        </w:tc>
      </w:tr>
    </w:tbl>
    <w:p>
      <w:pPr>
        <w:spacing w:after="140"/>
      </w:pPr>
    </w:p>
    <w:p>
      <w:pPr>
        <w:pBdr>
          <w:top w:val="single" w:color="7FA87F" w:sz="6" w:space="6"/>
          <w:bottom w:val="single" w:color="7FA87F" w:sz="6" w:space="6"/>
          <w:left w:val="single" w:color="7FA87F" w:sz="18" w:space="8"/>
          <w:right w:val="single" w:color="7FA87F" w:sz="6" w:space="6"/>
        </w:pBdr>
        <w:shd w:fill="F1F6F1" w:color="auto" w:val="clear"/>
        <w:spacing w:after="20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YYYY041 — conditions de facturation : </w:t>
      </w:r>
      <w:r>
        <w:rPr>
          <w:rFonts w:ascii="Calibri" w:cs="Calibri" w:eastAsia="Calibri" w:hAnsi="Calibri"/>
          <w:sz w:val="20"/>
          <w:szCs w:val="20"/>
        </w:rPr>
        <w:t xml:space="preserve">volume récupéré ≥ 15 % de la volémie, retransfusé dans les 6 h. Récupérations peropératoire et postopératoire non cumulables.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6F6B"/>
          <w:sz w:val="23"/>
          <w:szCs w:val="23"/>
        </w:rPr>
        <w:t xml:space="preserve">Association d’actes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Deux actes maximum</w:t>
      </w:r>
      <w:r>
        <w:rPr>
          <w:rFonts w:ascii="Calibri" w:cs="Calibri" w:eastAsia="Calibri" w:hAnsi="Calibri"/>
          <w:sz w:val="20"/>
          <w:szCs w:val="20"/>
        </w:rPr>
        <w:t xml:space="preserve"> : le mieux rémunéré à 100 %, le second à 50 %. Le 3ᵉ à 0 %.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Reprendre les codages du chirurgien</w:t>
      </w:r>
      <w:r>
        <w:rPr>
          <w:rFonts w:ascii="Calibri" w:cs="Calibri" w:eastAsia="Calibri" w:hAnsi="Calibri"/>
          <w:sz w:val="20"/>
          <w:szCs w:val="20"/>
        </w:rPr>
        <w:t xml:space="preserve"> et vérifier lequel porte le tarif le plus élevé — l’inversion coûte la différence.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Les gestes complémentaires (AHQJ021) ne sont pas décotés</w:t>
      </w:r>
      <w:r>
        <w:rPr>
          <w:rFonts w:ascii="Calibri" w:cs="Calibri" w:eastAsia="Calibri" w:hAnsi="Calibri"/>
          <w:sz w:val="20"/>
          <w:szCs w:val="20"/>
        </w:rPr>
        <w:t xml:space="preserve"> : ils viennent en sus, à 100 %.</w:t>
      </w:r>
    </w:p>
    <w:p>
      <w:pPr>
        <w:pStyle w:val="Heading1"/>
        <w:pBdr>
          <w:bottom w:val="single" w:color="1F6F6B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 Modificateurs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Jusqu’à 4 modificateurs par ligne. Un seul modificateur d’urgence (exclusifs entre eux).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6F6B"/>
          <w:sz w:val="23"/>
          <w:szCs w:val="23"/>
        </w:rPr>
        <w:t xml:space="preserve">Propres à l’anesthésie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100"/>
        <w:gridCol w:w="6260"/>
        <w:gridCol w:w="2000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626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Situation</w:t>
            </w:r>
          </w:p>
        </w:tc>
        <w:tc>
          <w:tcPr>
            <w:tcW w:type="dxa" w:w="20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Effet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6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Présence permanente du médecin anesthésiste — à attester sur la fiche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+ 6 %</w:t>
            </w:r>
          </w:p>
        </w:tc>
      </w:tr>
      <w:tr>
        <w:tc>
          <w:tcPr>
            <w:tcW w:type="dxa" w:w="110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type="dxa" w:w="626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 ou ALR chez un patient &lt; 4 ans ou &gt; 80 ans</w:t>
            </w:r>
          </w:p>
        </w:tc>
        <w:tc>
          <w:tcPr>
            <w:tcW w:type="dxa" w:w="200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+ 23 €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6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Anesthésie d’intervention itérative (œil déjà opéré, voies biliaires, urinaires)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+ 20 %</w:t>
            </w:r>
          </w:p>
        </w:tc>
      </w:tr>
      <w:tr>
        <w:tc>
          <w:tcPr>
            <w:tcW w:type="dxa" w:w="110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626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Analgésie postopératoire LR, sans cathéter</w:t>
            </w:r>
          </w:p>
        </w:tc>
        <w:tc>
          <w:tcPr>
            <w:tcW w:type="dxa" w:w="200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à confirmer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6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Analgésie postopératoire LR, avec cathéter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à confirmer</w:t>
            </w:r>
          </w:p>
        </w:tc>
      </w:tr>
    </w:tbl>
    <w:p>
      <w:pPr>
        <w:spacing w:after="14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6F6B"/>
          <w:sz w:val="23"/>
          <w:szCs w:val="23"/>
        </w:rPr>
        <w:t xml:space="preserve">Chirurgicaux — s’appliquent aussi à l’anesthésie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100"/>
        <w:gridCol w:w="6260"/>
        <w:gridCol w:w="2000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626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Situation</w:t>
            </w:r>
          </w:p>
        </w:tc>
        <w:tc>
          <w:tcPr>
            <w:tcW w:type="dxa" w:w="20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Effet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</w:t>
            </w:r>
          </w:p>
        </w:tc>
        <w:tc>
          <w:tcPr>
            <w:tcW w:type="dxa" w:w="6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Chirurgie plastique face / cou / mains, plaies ou brûlures face-mains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+ 50 %</w:t>
            </w:r>
          </w:p>
        </w:tc>
      </w:tr>
      <w:tr>
        <w:tc>
          <w:tcPr>
            <w:tcW w:type="dxa" w:w="110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</w:t>
            </w:r>
          </w:p>
        </w:tc>
        <w:tc>
          <w:tcPr>
            <w:tcW w:type="dxa" w:w="626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Traitement d’une fracture ou luxation ouverte</w:t>
            </w:r>
          </w:p>
        </w:tc>
        <w:tc>
          <w:tcPr>
            <w:tcW w:type="dxa" w:w="200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+ 20 %</w:t>
            </w:r>
          </w:p>
        </w:tc>
      </w:tr>
    </w:tbl>
    <w:p>
      <w:pPr>
        <w:spacing w:after="14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6F6B"/>
          <w:sz w:val="23"/>
          <w:szCs w:val="23"/>
        </w:rPr>
        <w:t xml:space="preserve">Urgence — valeurs anesthésiste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100"/>
        <w:gridCol w:w="6260"/>
        <w:gridCol w:w="2000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626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Plage</w:t>
            </w:r>
          </w:p>
        </w:tc>
        <w:tc>
          <w:tcPr>
            <w:tcW w:type="dxa" w:w="20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Valeur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</w:t>
            </w:r>
          </w:p>
        </w:tc>
        <w:tc>
          <w:tcPr>
            <w:tcW w:type="dxa" w:w="6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Urgence vitale ou fonctionnelle d’organe, 8 h – 20 h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80 €</w:t>
            </w:r>
          </w:p>
        </w:tc>
      </w:tr>
      <w:tr>
        <w:tc>
          <w:tcPr>
            <w:tcW w:type="dxa" w:w="110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</w:t>
            </w:r>
          </w:p>
        </w:tc>
        <w:tc>
          <w:tcPr>
            <w:tcW w:type="dxa" w:w="626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Urgence 20 h – minuit</w:t>
            </w:r>
          </w:p>
        </w:tc>
        <w:tc>
          <w:tcPr>
            <w:tcW w:type="dxa" w:w="200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50 €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</w:t>
            </w:r>
          </w:p>
        </w:tc>
        <w:tc>
          <w:tcPr>
            <w:tcW w:type="dxa" w:w="6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Urgence 0 h – 8 h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80 €</w:t>
            </w:r>
          </w:p>
        </w:tc>
      </w:tr>
      <w:tr>
        <w:tc>
          <w:tcPr>
            <w:tcW w:type="dxa" w:w="110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</w:t>
            </w:r>
          </w:p>
        </w:tc>
        <w:tc>
          <w:tcPr>
            <w:tcW w:type="dxa" w:w="626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Urgence un dimanche ou jour férié</w:t>
            </w:r>
          </w:p>
        </w:tc>
        <w:tc>
          <w:tcPr>
            <w:tcW w:type="dxa" w:w="200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40 €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Le modificateur 3 (secteur 1 / OPTAM) est un dispositif français : il ne s’applique pas à Monaco.</w:t>
      </w:r>
    </w:p>
    <w:p>
      <w:pPr>
        <w:pStyle w:val="Heading1"/>
        <w:pBdr>
          <w:bottom w:val="single" w:color="1F6F6B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 Consultations (axe NGAP)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Règle différente du CCAM 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BR = valeur de la lettre-clé × coefficient</w:t>
      </w:r>
      <w:r>
        <w:rPr>
          <w:rFonts w:ascii="Calibri" w:cs="Calibri" w:eastAsia="Calibri" w:hAnsi="Calibri"/>
          <w:sz w:val="20"/>
          <w:szCs w:val="20"/>
        </w:rPr>
        <w:t xml:space="preserve">. Pas de coefficient monégasque × 1,95, pas de modificateur 7 ni A.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Lettre-clé</w:t>
            </w:r>
          </w:p>
        </w:tc>
        <w:tc>
          <w:tcPr>
            <w:tcW w:type="dxa" w:w="18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Valeur</w:t>
            </w:r>
          </w:p>
        </w:tc>
        <w:tc>
          <w:tcPr>
            <w:tcW w:type="dxa" w:w="576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Exemple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34,40 €</w:t>
            </w:r>
          </w:p>
        </w:tc>
        <w:tc>
          <w:tcPr>
            <w:tcW w:type="dxa" w:w="5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 2 → 68,80 €</w:t>
            </w:r>
          </w:p>
        </w:tc>
      </w:tr>
      <w:tr>
        <w:tc>
          <w:tcPr>
            <w:tcW w:type="dxa" w:w="180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CS</w:t>
            </w:r>
          </w:p>
        </w:tc>
        <w:tc>
          <w:tcPr>
            <w:tcW w:type="dxa" w:w="180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46,00 €</w:t>
            </w:r>
          </w:p>
        </w:tc>
        <w:tc>
          <w:tcPr>
            <w:tcW w:type="dxa" w:w="576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CS 1 → 46,00 €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APC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60,00 €</w:t>
            </w:r>
          </w:p>
        </w:tc>
        <w:tc>
          <w:tcPr>
            <w:tcW w:type="dxa" w:w="5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APC 1 → 60,00 €  (avis ponctuel de consultant)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 carte ne change pas la BR. </w:t>
      </w:r>
      <w:r>
        <w:rPr>
          <w:rFonts w:ascii="Calibri" w:cs="Calibri" w:eastAsia="Calibri" w:hAnsi="Calibri"/>
          <w:sz w:val="20"/>
          <w:szCs w:val="20"/>
        </w:rPr>
        <w:t xml:space="preserve">Verte, rose, bulle, français, SPME : une CS reste à 46 €. Sur l’axe NGAP, la carte ne joue que sur le dépassement d’honoraires.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Statut patient</w:t>
            </w:r>
          </w:p>
        </w:tc>
        <w:tc>
          <w:tcPr>
            <w:tcW w:type="dxa" w:w="576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Dépassement d’honoraires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Carte verte · SPME</w:t>
            </w:r>
          </w:p>
        </w:tc>
        <w:tc>
          <w:tcPr>
            <w:tcW w:type="dxa" w:w="5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 — net = BR</w:t>
            </w:r>
          </w:p>
        </w:tc>
      </w:tr>
      <w:tr>
        <w:tc>
          <w:tcPr>
            <w:tcW w:type="dxa" w:w="360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Carte rose</w:t>
            </w:r>
          </w:p>
        </w:tc>
        <w:tc>
          <w:tcPr>
            <w:tcW w:type="dxa" w:w="576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+ 20 % de la BR  (CS 1 → 9,20 €)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Carte bulle · français · NAS · AME</w:t>
            </w:r>
          </w:p>
        </w:tc>
        <w:tc>
          <w:tcPr>
            <w:tcW w:type="dxa" w:w="5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libre</w:t>
            </w:r>
          </w:p>
        </w:tc>
      </w:tr>
    </w:tbl>
    <w:p>
      <w:pPr>
        <w:spacing w:after="140"/>
      </w:pPr>
    </w:p>
    <w:p>
      <w:pPr>
        <w:pBdr>
          <w:top w:val="single" w:color="E8A33D" w:sz="6" w:space="6"/>
          <w:bottom w:val="single" w:color="E8A33D" w:sz="6" w:space="6"/>
          <w:left w:val="single" w:color="E8A33D" w:sz="18" w:space="8"/>
          <w:right w:val="single" w:color="E8A33D" w:sz="6" w:space="6"/>
        </w:pBdr>
        <w:shd w:fill="FFF4E5" w:color="auto" w:val="clear"/>
        <w:spacing w:after="20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Pas de consultation (APC ou CS) le jour même d’un acte anesthésique</w:t>
      </w:r>
      <w:r>
        <w:rPr>
          <w:rFonts w:ascii="Calibri" w:cs="Calibri" w:eastAsia="Calibri" w:hAnsi="Calibri"/>
          <w:sz w:val="20"/>
          <w:szCs w:val="20"/>
        </w:rPr>
        <w:t xml:space="preserve"> — sauf urgence. Ne pas croiser à tort CCAM technique et NGAP (art. 20 A).</w:t>
      </w:r>
    </w:p>
    <w:p>
      <w:pPr>
        <w:pStyle w:val="Heading1"/>
        <w:pBdr>
          <w:bottom w:val="single" w:color="1F6F6B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 Réanimation et USC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700"/>
        <w:gridCol w:w="5660"/>
        <w:gridCol w:w="2000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566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Libellé</w:t>
            </w:r>
          </w:p>
        </w:tc>
        <w:tc>
          <w:tcPr>
            <w:tcW w:type="dxa" w:w="20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Tarif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YYYY015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Forfait de réanimation niveau 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96,00 €</w:t>
            </w:r>
          </w:p>
        </w:tc>
      </w:tr>
      <w:tr>
        <w:tc>
          <w:tcPr>
            <w:tcW w:type="dxa" w:w="170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YYYY020</w:t>
            </w:r>
          </w:p>
        </w:tc>
        <w:tc>
          <w:tcPr>
            <w:tcW w:type="dxa" w:w="566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Forfait de réanimation niveau B (suppléance)</w:t>
            </w:r>
          </w:p>
        </w:tc>
        <w:tc>
          <w:tcPr>
            <w:tcW w:type="dxa" w:w="200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160,00 €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GEQE012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Fibroscopie bronchique diagnostique (intubé / trachéo)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96,00 €</w:t>
            </w:r>
          </w:p>
        </w:tc>
      </w:tr>
      <w:tr>
        <w:tc>
          <w:tcPr>
            <w:tcW w:type="dxa" w:w="170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GEQE009</w:t>
            </w:r>
          </w:p>
        </w:tc>
        <w:tc>
          <w:tcPr>
            <w:tcW w:type="dxa" w:w="566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Fibroscopie bronchique avec LBA diagnostique</w:t>
            </w:r>
          </w:p>
        </w:tc>
        <w:tc>
          <w:tcPr>
            <w:tcW w:type="dxa" w:w="200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110,40 €</w:t>
            </w:r>
          </w:p>
        </w:tc>
      </w:tr>
    </w:tbl>
    <w:p>
      <w:pPr>
        <w:spacing w:after="14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6F6B"/>
          <w:sz w:val="23"/>
          <w:szCs w:val="23"/>
        </w:rPr>
        <w:t xml:space="preserve">Inclus dans le forfait — ne pas facturer en sus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Échographie cardiaque (DZQM006) · pose de VVC (EPLF002) · cathéter artériel · Swan-Ganz · drain pleural · gazométrie · intubation (GELD004) · adaptation de ventilation. Les facturer en plus = rejet.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6F6B"/>
          <w:sz w:val="23"/>
          <w:szCs w:val="23"/>
        </w:rPr>
        <w:t xml:space="preserve">Facturables en sus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Épuration extrarénale · échange plasmatique · ultrafiltration · fibroscopie bronchique diagnostique (GEQE012 / GEQE009).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6F6B"/>
          <w:sz w:val="23"/>
          <w:szCs w:val="23"/>
        </w:rPr>
        <w:t xml:space="preserve">Ordre des leviers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Niveau B</w:t>
      </w:r>
      <w:r>
        <w:rPr>
          <w:rFonts w:ascii="Calibri" w:cs="Calibri" w:eastAsia="Calibri" w:hAnsi="Calibri"/>
          <w:sz w:val="20"/>
          <w:szCs w:val="20"/>
        </w:rPr>
        <w:t xml:space="preserve"> dès qu’une suppléance est présente (+ 64 €/jour).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Chaque jour éligible codé</w:t>
      </w:r>
      <w:r>
        <w:rPr>
          <w:rFonts w:ascii="Calibri" w:cs="Calibri" w:eastAsia="Calibri" w:hAnsi="Calibri"/>
          <w:sz w:val="20"/>
          <w:szCs w:val="20"/>
        </w:rPr>
        <w:t xml:space="preserve"> — un forfait par 24 h, jours d’admission, week-ends et transferts compris.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EER et fibroscopie diagnostique</w:t>
      </w:r>
      <w:r>
        <w:rPr>
          <w:rFonts w:ascii="Calibri" w:cs="Calibri" w:eastAsia="Calibri" w:hAnsi="Calibri"/>
          <w:sz w:val="20"/>
          <w:szCs w:val="20"/>
        </w:rPr>
        <w:t xml:space="preserve"> en supplément quand elles ont lieu.</w:t>
      </w:r>
    </w:p>
    <w:p>
      <w:pPr>
        <w:spacing w:after="140"/>
      </w:pPr>
    </w:p>
    <w:p>
      <w:pPr>
        <w:pBdr>
          <w:top w:val="single" w:color="7FA87F" w:sz="6" w:space="6"/>
          <w:bottom w:val="single" w:color="7FA87F" w:sz="6" w:space="6"/>
          <w:left w:val="single" w:color="7FA87F" w:sz="18" w:space="8"/>
          <w:right w:val="single" w:color="7FA87F" w:sz="6" w:space="6"/>
        </w:pBdr>
        <w:shd w:fill="F1F6F1" w:color="auto" w:val="clear"/>
        <w:spacing w:after="20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Coder les gestes à la place du forfait est presque toujours perdant : </w:t>
      </w:r>
      <w:r>
        <w:rPr>
          <w:rFonts w:ascii="Calibri" w:cs="Calibri" w:eastAsia="Calibri" w:hAnsi="Calibri"/>
          <w:sz w:val="20"/>
          <w:szCs w:val="20"/>
        </w:rPr>
        <w:t xml:space="preserve">VVC 61,72 € + drain ≋ 30 € à 50 % + intubation à 0 % ≈ 90–100 €, contre 160 € pour le forfait B. Et ces gestes justifient déjà le B.</w:t>
      </w:r>
    </w:p>
    <w:p>
      <w:pPr>
        <w:pStyle w:val="Heading1"/>
        <w:pBdr>
          <w:bottom w:val="single" w:color="1F6F6B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 Ce qui ne se code pas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POCUS péri-anesthésique</w:t>
      </w:r>
      <w:r>
        <w:rPr>
          <w:rFonts w:ascii="Calibri" w:cs="Calibri" w:eastAsia="Calibri" w:hAnsi="Calibri"/>
          <w:sz w:val="20"/>
          <w:szCs w:val="20"/>
        </w:rPr>
        <w:t xml:space="preserve"> (échographie gastrique avant induction, repérage veineux) : inclus dans l’acte d’anesthésie. Aucun code CCAM dédié. Ne pas coter une échographie abdominale complète (HZQM001, 56,70 €) pour un balayage ciblé — ce serait une surcotation.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Gestes inclus dans le forfait de réanimation</w:t>
      </w:r>
      <w:r>
        <w:rPr>
          <w:rFonts w:ascii="Calibri" w:cs="Calibri" w:eastAsia="Calibri" w:hAnsi="Calibri"/>
          <w:sz w:val="20"/>
          <w:szCs w:val="20"/>
        </w:rPr>
        <w:t xml:space="preserve"> (cf. §5) : leur facturation séparée est rejetée.</w:t>
      </w:r>
    </w:p>
    <w:p>
      <w:pPr>
        <w:pStyle w:val="Heading1"/>
        <w:pBdr>
          <w:bottom w:val="single" w:color="1F6F6B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 Check-list de fin d’intervention</w:t>
      </w:r>
    </w:p>
    <w:p>
      <w:pPr>
        <w:spacing w:after="90" w:line="276"/>
        <w:ind w:left="20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Ligne activité 4</w:t>
      </w:r>
      <w:r>
        <w:rPr>
          <w:rFonts w:ascii="Calibri" w:cs="Calibri" w:eastAsia="Calibri" w:hAnsi="Calibri"/>
          <w:sz w:val="20"/>
          <w:szCs w:val="20"/>
        </w:rPr>
        <w:t xml:space="preserve"> présente sur chaque intervention (ou ZZLP025).</w:t>
      </w:r>
    </w:p>
    <w:p>
      <w:pPr>
        <w:spacing w:after="90" w:line="276"/>
        <w:ind w:left="20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Exécutant</w:t>
      </w:r>
      <w:r>
        <w:rPr>
          <w:rFonts w:ascii="Calibri" w:cs="Calibri" w:eastAsia="Calibri" w:hAnsi="Calibri"/>
          <w:sz w:val="20"/>
          <w:szCs w:val="20"/>
        </w:rPr>
        <w:t xml:space="preserve"> ≠ nom du chirurgien.</w:t>
      </w:r>
    </w:p>
    <w:p>
      <w:pPr>
        <w:spacing w:after="90" w:line="276"/>
        <w:ind w:left="20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Association</w:t>
      </w:r>
      <w:r>
        <w:rPr>
          <w:rFonts w:ascii="Calibri" w:cs="Calibri" w:eastAsia="Calibri" w:hAnsi="Calibri"/>
          <w:sz w:val="20"/>
          <w:szCs w:val="20"/>
        </w:rPr>
        <w:t xml:space="preserve"> : le plus cher à 100 %, le second à 50 % — dans le bon ordre.</w:t>
      </w:r>
    </w:p>
    <w:p>
      <w:pPr>
        <w:spacing w:after="90" w:line="276"/>
        <w:ind w:left="20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Échoguidage d’ALR</w:t>
      </w:r>
      <w:r>
        <w:rPr>
          <w:rFonts w:ascii="Calibri" w:cs="Calibri" w:eastAsia="Calibri" w:hAnsi="Calibri"/>
          <w:sz w:val="20"/>
          <w:szCs w:val="20"/>
        </w:rPr>
        <w:t xml:space="preserve"> → AHQJ021 (29,12 €) en sus.</w:t>
      </w:r>
    </w:p>
    <w:p>
      <w:pPr>
        <w:spacing w:after="90" w:line="276"/>
        <w:ind w:left="20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Cell-saver</w:t>
      </w:r>
      <w:r>
        <w:rPr>
          <w:rFonts w:ascii="Calibri" w:cs="Calibri" w:eastAsia="Calibri" w:hAnsi="Calibri"/>
          <w:sz w:val="20"/>
          <w:szCs w:val="20"/>
        </w:rPr>
        <w:t xml:space="preserve"> → YYYY041.</w:t>
      </w:r>
    </w:p>
    <w:p>
      <w:pPr>
        <w:spacing w:after="90" w:line="276"/>
        <w:ind w:left="20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Modificateur 7</w:t>
      </w:r>
      <w:r>
        <w:rPr>
          <w:rFonts w:ascii="Calibri" w:cs="Calibri" w:eastAsia="Calibri" w:hAnsi="Calibri"/>
          <w:sz w:val="20"/>
          <w:szCs w:val="20"/>
        </w:rPr>
        <w:t xml:space="preserve"> (+ 6 %) — présence permanente attestée sur la fiche.</w:t>
      </w:r>
    </w:p>
    <w:p>
      <w:pPr>
        <w:spacing w:after="90" w:line="276"/>
        <w:ind w:left="20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Analgésie postop LR</w:t>
      </w:r>
      <w:r>
        <w:rPr>
          <w:rFonts w:ascii="Calibri" w:cs="Calibri" w:eastAsia="Calibri" w:hAnsi="Calibri"/>
          <w:sz w:val="20"/>
          <w:szCs w:val="20"/>
        </w:rPr>
        <w:t xml:space="preserve"> → modificateur 4 ou 5 (à confirmer CSM).</w:t>
      </w:r>
    </w:p>
    <w:p>
      <w:pPr>
        <w:spacing w:after="90" w:line="276"/>
        <w:ind w:left="20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Patient &lt; 4 ans ou &gt; 80 ans</w:t>
      </w:r>
      <w:r>
        <w:rPr>
          <w:rFonts w:ascii="Calibri" w:cs="Calibri" w:eastAsia="Calibri" w:hAnsi="Calibri"/>
          <w:sz w:val="20"/>
          <w:szCs w:val="20"/>
        </w:rPr>
        <w:t xml:space="preserve"> → modificateur A (+ 23 €).</w:t>
      </w:r>
    </w:p>
    <w:p>
      <w:pPr>
        <w:spacing w:after="90" w:line="276"/>
        <w:ind w:left="20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Fracture ou luxation ouverte</w:t>
      </w:r>
      <w:r>
        <w:rPr>
          <w:rFonts w:ascii="Calibri" w:cs="Calibri" w:eastAsia="Calibri" w:hAnsi="Calibri"/>
          <w:sz w:val="20"/>
          <w:szCs w:val="20"/>
        </w:rPr>
        <w:t xml:space="preserve"> → L (+ 20 %) ; chirurgie plastique face/mains → R (+ 50 %).</w:t>
      </w:r>
    </w:p>
    <w:p>
      <w:pPr>
        <w:spacing w:after="90" w:line="276"/>
        <w:ind w:left="20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Garde</w:t>
      </w:r>
      <w:r>
        <w:rPr>
          <w:rFonts w:ascii="Calibri" w:cs="Calibri" w:eastAsia="Calibri" w:hAnsi="Calibri"/>
          <w:sz w:val="20"/>
          <w:szCs w:val="20"/>
        </w:rPr>
        <w:t xml:space="preserve"> : un seul modificateur d’urgence — O, U, S ou F.</w:t>
      </w:r>
    </w:p>
    <w:p>
      <w:pPr>
        <w:spacing w:after="90" w:line="276"/>
        <w:ind w:left="20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CEC</w:t>
      </w:r>
      <w:r>
        <w:rPr>
          <w:rFonts w:ascii="Calibri" w:cs="Calibri" w:eastAsia="Calibri" w:hAnsi="Calibri"/>
          <w:sz w:val="20"/>
          <w:szCs w:val="20"/>
        </w:rPr>
        <w:t xml:space="preserve"> → code activité 5.</w:t>
      </w:r>
    </w:p>
    <w:p>
      <w:pPr>
        <w:spacing w:after="90" w:line="276"/>
        <w:ind w:left="20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Réanimation</w:t>
      </w:r>
      <w:r>
        <w:rPr>
          <w:rFonts w:ascii="Calibri" w:cs="Calibri" w:eastAsia="Calibri" w:hAnsi="Calibri"/>
          <w:sz w:val="20"/>
          <w:szCs w:val="20"/>
        </w:rPr>
        <w:t xml:space="preserve"> : forfait B dès qu’il y a suppléance, chaque jour.</w:t>
      </w:r>
    </w:p>
    <w:p>
      <w:pPr>
        <w:spacing w:after="90" w:line="276"/>
        <w:ind w:left="20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Rejets de facturation</w:t>
      </w:r>
      <w:r>
        <w:rPr>
          <w:rFonts w:ascii="Calibri" w:cs="Calibri" w:eastAsia="Calibri" w:hAnsi="Calibri"/>
          <w:sz w:val="20"/>
          <w:szCs w:val="20"/>
        </w:rPr>
        <w:t xml:space="preserve"> récupérés et retraités.</w:t>
      </w:r>
    </w:p>
    <w:p>
      <w:pPr>
        <w:pStyle w:val="Heading1"/>
        <w:pBdr>
          <w:bottom w:val="single" w:color="1F6F6B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8.  Points en attente d’arbitrage CSM</w:t>
      </w:r>
    </w:p>
    <w:p>
      <w:pPr>
        <w:pBdr>
          <w:top w:val="single" w:color="E8A33D" w:sz="6" w:space="6"/>
          <w:bottom w:val="single" w:color="E8A33D" w:sz="6" w:space="6"/>
          <w:left w:val="single" w:color="E8A33D" w:sz="18" w:space="8"/>
          <w:right w:val="single" w:color="E8A33D" w:sz="6" w:space="6"/>
        </w:pBdr>
        <w:shd w:fill="FFF4E5" w:color="auto" w:val="clear"/>
        <w:spacing w:after="200" w:line="276"/>
      </w:pPr>
      <w:r>
        <w:rPr>
          <w:rFonts w:ascii="Calibri" w:cs="Calibri" w:eastAsia="Calibri" w:hAnsi="Calibri"/>
          <w:b/>
          <w:bCs/>
          <w:color w:val="A61C00"/>
          <w:sz w:val="20"/>
          <w:szCs w:val="20"/>
        </w:rPr>
        <w:t xml:space="preserve">Ne pas appliquer en l’état. </w:t>
      </w:r>
      <w:r>
        <w:rPr>
          <w:rFonts w:ascii="Calibri" w:cs="Calibri" w:eastAsia="Calibri" w:hAnsi="Calibri"/>
          <w:sz w:val="20"/>
          <w:szCs w:val="20"/>
        </w:rPr>
        <w:t xml:space="preserve">Ces points proviennent d’un document de travail établi en clinique privée en France (cadre CPAM). Le cadre monégasque est différent et ils doivent être confirmés auprès de la CSM.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100"/>
        <w:gridCol w:w="3400"/>
        <w:gridCol w:w="3860"/>
      </w:tblGrid>
      <w:tr>
        <w:trPr>
          <w:tblHeader/>
        </w:trPr>
        <w:tc>
          <w:tcPr>
            <w:tcW w:type="dxa" w:w="21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34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Notre règle actuelle</w:t>
            </w:r>
          </w:p>
        </w:tc>
        <w:tc>
          <w:tcPr>
            <w:tcW w:type="dxa" w:w="386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Piste externe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Chirurgie de la main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actes max (100 / 50 %)</w:t>
            </w:r>
          </w:p>
        </w:tc>
        <w:tc>
          <w:tcPr>
            <w:tcW w:type="dxa" w:w="3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 actes : 100 / 75 / 50 %</w:t>
            </w:r>
          </w:p>
        </w:tc>
      </w:tr>
      <w:tr>
        <w:tc>
          <w:tcPr>
            <w:tcW w:type="dxa" w:w="210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APC ou CS ?</w:t>
            </w:r>
          </w:p>
        </w:tc>
        <w:tc>
          <w:tcPr>
            <w:tcW w:type="dxa" w:w="340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APC = avis ponctuel de consultant</w:t>
            </w:r>
          </w:p>
        </w:tc>
        <w:tc>
          <w:tcPr>
            <w:tcW w:type="dxa" w:w="386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APC si ASA ≥ 3 ; CS + MCS si ASA 1-2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MCS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absente de notre grille</w:t>
            </w:r>
          </w:p>
        </w:tc>
        <w:tc>
          <w:tcPr>
            <w:tcW w:type="dxa" w:w="3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majoration de coordination — valeur inconnue</w:t>
            </w:r>
          </w:p>
        </w:tc>
      </w:tr>
      <w:tr>
        <w:tc>
          <w:tcPr>
            <w:tcW w:type="dxa" w:w="210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USC</w:t>
            </w:r>
          </w:p>
        </w:tc>
        <w:tc>
          <w:tcPr>
            <w:tcW w:type="dxa" w:w="340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non documenté</w:t>
            </w:r>
          </w:p>
        </w:tc>
        <w:tc>
          <w:tcPr>
            <w:tcW w:type="dxa" w:w="386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YYYY015 + DEQP007 ; VVC et transfusion exclues le même jour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TAP bilatéral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AHQJ021 × 1</w:t>
            </w:r>
          </w:p>
        </w:tc>
        <w:tc>
          <w:tcPr>
            <w:tcW w:type="dxa" w:w="3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AHQJ021 × 2 si deux codes chirurgicaux</w:t>
            </w:r>
          </w:p>
        </w:tc>
      </w:tr>
      <w:tr>
        <w:tc>
          <w:tcPr>
            <w:tcW w:type="dxa" w:w="210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Modificateurs 4 / 5</w:t>
            </w:r>
          </w:p>
        </w:tc>
        <w:tc>
          <w:tcPr>
            <w:tcW w:type="dxa" w:w="340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valeur inconnue</w:t>
            </w:r>
          </w:p>
        </w:tc>
        <w:tc>
          <w:tcPr>
            <w:tcW w:type="dxa" w:w="386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à confirmer dans la version CSM en vigueur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1F6F6B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Sources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Arrêté Ministériel n° 2005-276 (CCAM Monaco, mise à jour 2018) — caisses-sociales.mc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Base CCAM v80 (ameli / ATIH) pour les tarifs unitaires, activités 1 et 4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Convention CCSS-CAMTI / Ordre des Médecins de Monaco — coefficients par carte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0"/>
          <w:szCs w:val="20"/>
        </w:rPr>
        <w:t xml:space="preserve">Relevés de facturation internes — validation au centime des axes CCAM et NGAP</w:t>
      </w:r>
    </w:p>
    <w:p>
      <w:pPr>
        <w:spacing w:after="140"/>
      </w:pP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La CCAM est révisée une à deux fois par an : les valeurs sont à reconfirmer périodiquement.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Guide d’aide au codage — CHPG Anesthésie-Réanimation  ·  v1.0  ·  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d’aide au codage — Anesthésie-Réanimation CHPG</dc:title>
  <dc:creator>Service d’Anesthésie-Réanimation, CHPG</dc:creator>
  <cp:lastModifiedBy>Un-named</cp:lastModifiedBy>
  <cp:revision>1</cp:revision>
  <dcterms:created xsi:type="dcterms:W3CDTF">2026-07-18T11:10:38.740Z</dcterms:created>
  <dcterms:modified xsi:type="dcterms:W3CDTF">2026-07-18T11:10:38.753Z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