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E6E6A"/>
          <w:sz w:val="19"/>
          <w:szCs w:val="19"/>
        </w:rPr>
        <w:t xml:space="preserve">CHPG · SERVICE D’ANESTHÉSIE-RÉANIMATION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7375E"/>
          <w:sz w:val="52"/>
          <w:szCs w:val="52"/>
        </w:rPr>
        <w:t xml:space="preserve">Guide d’aide au codage</w:t>
      </w:r>
    </w:p>
    <w:p>
      <w:pPr>
        <w:pBdr>
          <w:bottom w:val="single" w:color="0E6E6A" w:sz="16" w:space="10"/>
        </w:pBdr>
        <w:spacing w:after="200"/>
        <w:jc w:val="center"/>
      </w:pPr>
      <w:r>
        <w:rPr>
          <w:rFonts w:ascii="Calibri" w:cs="Calibri" w:eastAsia="Calibri" w:hAnsi="Calibri"/>
          <w:color w:val="5A5A5A"/>
          <w:sz w:val="23"/>
          <w:szCs w:val="23"/>
        </w:rPr>
        <w:t xml:space="preserve">CCAM · NGAP · Réanimation — cadre monégasque (CSM)</w:t>
      </w:r>
    </w:p>
    <w:p>
      <w:pPr>
        <w:spacing w:after="230" w:line="288"/>
        <w:jc w:val="center"/>
      </w:pPr>
      <w:r>
        <w:rPr>
          <w:rFonts w:ascii="Calibri" w:cs="Calibri" w:eastAsia="Calibri" w:hAnsi="Calibri"/>
          <w:b/>
          <w:bCs/>
          <w:color w:val="5A5A5A"/>
          <w:sz w:val="18"/>
          <w:szCs w:val="18"/>
        </w:rPr>
        <w:t xml:space="preserve">v1.3 — 19 juillet 2026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   ·   aligné sur l’antisèche v15.2 (confrontée à l’addendum conventionnel du 01/10/2025) — validé au centime sur feuilles réelles</w:t>
      </w:r>
    </w:p>
    <w:p>
      <w:pPr>
        <w:pBdr>
          <w:top w:val="single" w:color="9E1B1B" w:sz="4" w:space="6"/>
          <w:bottom w:val="single" w:color="9E1B1B" w:sz="4" w:space="6"/>
          <w:left w:val="single" w:color="9E1B1B" w:sz="22" w:space="9"/>
          <w:right w:val="single" w:color="9E1B1B" w:sz="4" w:space="6"/>
        </w:pBdr>
        <w:shd w:fill="FDF3F3" w:color="auto" w:val="clear"/>
        <w:spacing w:after="240" w:line="288"/>
      </w:pPr>
      <w:r>
        <w:rPr>
          <w:rFonts w:ascii="Calibri" w:cs="Calibri" w:eastAsia="Calibri" w:hAnsi="Calibri"/>
          <w:b/>
          <w:bCs/>
          <w:color w:val="9E1B1B"/>
          <w:sz w:val="20"/>
          <w:szCs w:val="20"/>
        </w:rPr>
        <w:t xml:space="preserve">Coter juste, et coter tout.  </w:t>
      </w:r>
      <w:r>
        <w:rPr>
          <w:rFonts w:ascii="Calibri" w:cs="Calibri" w:eastAsia="Calibri" w:hAnsi="Calibri"/>
          <w:sz w:val="20"/>
          <w:szCs w:val="20"/>
        </w:rPr>
        <w:t xml:space="preserve">Ce guide vise l’exhaustivité de ce qui est dû — jamais la surcotation. Une ligne oubliée est définitivement perdue ; à Monaco elle est perdue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× 1,95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Statut.  </w:t>
      </w:r>
      <w:r>
        <w:rPr>
          <w:rFonts w:ascii="Calibri" w:cs="Calibri" w:eastAsia="Calibri" w:hAnsi="Calibri"/>
          <w:sz w:val="20"/>
          <w:szCs w:val="20"/>
        </w:rPr>
        <w:t xml:space="preserve">Les §1 à §7 sont validés sur relevés réels. Le §8 (points CSM) est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non validé</w:t>
      </w:r>
      <w:r>
        <w:rPr>
          <w:rFonts w:ascii="Calibri" w:cs="Calibri" w:eastAsia="Calibri" w:hAnsi="Calibri"/>
          <w:sz w:val="20"/>
          <w:szCs w:val="20"/>
        </w:rPr>
        <w:t xml:space="preserve"> — ne pas appliquer en l’état. Le mémo de poche 1 page (memo_cotation_CCAM_NGAP.docx) reste le condensé de ce guide.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1.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La formule Monaco — ce que vaut une ligne CCAM</w:t>
      </w:r>
    </w:p>
    <w:p>
      <w:pPr>
        <w:spacing w:after="60" w:line="288"/>
      </w:pPr>
      <w:r>
        <w:rPr>
          <w:rFonts w:ascii="Calibri" w:cs="Calibri" w:eastAsia="Calibri" w:hAnsi="Calibri"/>
          <w:sz w:val="20"/>
          <w:szCs w:val="20"/>
        </w:rPr>
        <w:t xml:space="preserve">Chaque ligne d’anesthésie (activité 4) se valorise ainsi :</w:t>
      </w:r>
    </w:p>
    <w:p>
      <w:pPr>
        <w:pBdr>
          <w:top w:val="single" w:color="17375E" w:sz="4" w:space="8"/>
          <w:bottom w:val="single" w:color="17375E" w:sz="4" w:space="8"/>
          <w:left w:val="single" w:color="17375E" w:sz="4" w:space="8"/>
          <w:right w:val="single" w:color="17375E" w:sz="4" w:space="8"/>
        </w:pBdr>
        <w:shd w:fill="17375E" w:color="auto" w:val="clear"/>
        <w:spacing w:after="170" w:before="60"/>
        <w:jc w:val="center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BR  =  coeff. carte  ×  ( tarif act. 4  ×  (1 + %mod)  ×  taux assoc. )  +  €mod</w:t>
      </w:r>
    </w:p>
    <w:p>
      <w:pPr>
        <w:spacing w:after="15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BR du parcours = somme des lignes.  </w:t>
      </w:r>
      <w:r>
        <w:rPr>
          <w:rFonts w:ascii="Calibri" w:cs="Calibri" w:eastAsia="Calibri" w:hAnsi="Calibri"/>
          <w:sz w:val="20"/>
          <w:szCs w:val="20"/>
        </w:rPr>
        <w:t xml:space="preserve">Le dépassement d’honoraires (DH) s’ajoute par-dessus la BR — il est traité au §5.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750"/>
        <w:gridCol w:w="4610"/>
        <w:gridCol w:w="3000"/>
      </w:tblGrid>
      <w:tr>
        <w:trPr>
          <w:tblHeader/>
        </w:trPr>
        <w:tc>
          <w:tcPr>
            <w:tcW w:type="dxa" w:w="17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 de la formule</w:t>
            </w:r>
          </w:p>
        </w:tc>
        <w:tc>
          <w:tcPr>
            <w:tcW w:type="dxa" w:w="46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  <w:tc>
          <w:tcPr>
            <w:tcW w:type="dxa" w:w="3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À retenir</w:t>
            </w:r>
          </w:p>
        </w:tc>
      </w:tr>
      <w:tr>
        <w:tc>
          <w:tcPr>
            <w:tcW w:type="dxa" w:w="17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Coeff. carte</w:t>
            </w:r>
          </w:p>
        </w:tc>
        <w:tc>
          <w:tcPr>
            <w:tcW w:type="dxa" w:w="46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Monégasque (verte · rose · bulle) : × 1,95   ·   Français : × 1,00</w:t>
            </w:r>
          </w:p>
        </w:tc>
        <w:tc>
          <w:tcPr>
            <w:tcW w:type="dxa" w:w="3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lit sur la carte du patient, avant de coter</w:t>
            </w:r>
          </w:p>
        </w:tc>
      </w:tr>
      <w:tr>
        <w:tc>
          <w:tcPr>
            <w:tcW w:type="dxa" w:w="17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%mod  (× le tarif)</w:t>
            </w:r>
          </w:p>
        </w:tc>
        <w:tc>
          <w:tcPr>
            <w:tcW w:type="dxa" w:w="46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présence : + 6 %  ·  8 itératif : + 20 %  ·  R : + 50 %  ·  L : + 20 %</w:t>
            </w:r>
          </w:p>
        </w:tc>
        <w:tc>
          <w:tcPr>
            <w:tcW w:type="dxa" w:w="3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cumulables (max 4 modificateurs)</w:t>
            </w:r>
          </w:p>
        </w:tc>
      </w:tr>
      <w:tr>
        <w:tc>
          <w:tcPr>
            <w:tcW w:type="dxa" w:w="17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€mod  (à plat)</w:t>
            </w:r>
          </w:p>
        </w:tc>
        <w:tc>
          <w:tcPr>
            <w:tcW w:type="dxa" w:w="46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(&lt; 4 ans / &gt; 80 ans) : + 23 € FR · + 44,85 € monég.  ·  urgences O/U/S/F</w:t>
            </w:r>
          </w:p>
        </w:tc>
        <w:tc>
          <w:tcPr>
            <w:tcW w:type="dxa" w:w="3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A suit la carte</w:t>
            </w:r>
          </w:p>
        </w:tc>
      </w:tr>
      <w:tr>
        <w:tc>
          <w:tcPr>
            <w:tcW w:type="dxa" w:w="17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Taux assoc.</w:t>
            </w:r>
          </w:p>
        </w:tc>
        <w:tc>
          <w:tcPr>
            <w:tcW w:type="dxa" w:w="46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principal 100 %  ·  associé 50 %  ·  complément (AHQJ021…) 100 % en sus</w:t>
            </w:r>
          </w:p>
        </w:tc>
        <w:tc>
          <w:tcPr>
            <w:tcW w:type="dxa" w:w="3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3ᵉ acte : 0 %</w:t>
            </w:r>
          </w:p>
        </w:tc>
      </w:tr>
    </w:tbl>
    <w:p>
      <w:pPr>
        <w:spacing w:after="19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Exemple validé — PTH, carte verte, &gt; 80 ans, modificateur 7.  </w:t>
      </w:r>
      <w:r>
        <w:rPr>
          <w:rFonts w:ascii="Calibri" w:cs="Calibri" w:eastAsia="Calibri" w:hAnsi="Calibri"/>
          <w:sz w:val="20"/>
          <w:szCs w:val="20"/>
        </w:rPr>
        <w:t xml:space="preserve">NEKA014 : 253,90 × 1,95 = 495,11 → × 1,06 = 524,81 + 44,85 (A monég.) =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569,66 €</w:t>
      </w:r>
      <w:r>
        <w:rPr>
          <w:rFonts w:ascii="Calibri" w:cs="Calibri" w:eastAsia="Calibri" w:hAnsi="Calibri"/>
          <w:sz w:val="20"/>
          <w:szCs w:val="20"/>
        </w:rPr>
        <w:t xml:space="preserve">  ·  + associé NEFA004 à 50 % = 167,65 €  →  parcours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737,31 € de BR</w:t>
      </w:r>
      <w:r>
        <w:rPr>
          <w:rFonts w:ascii="Calibri" w:cs="Calibri" w:eastAsia="Calibri" w:hAnsi="Calibri"/>
          <w:sz w:val="20"/>
          <w:szCs w:val="20"/>
        </w:rPr>
        <w:t xml:space="preserve">. Chaque modificateur oublié ici serait perdu × 1,95.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2.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Les trois réflexes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1 — la ligne « activité 4 »</w:t>
      </w:r>
    </w:p>
    <w:p>
      <w:pPr>
        <w:spacing w:after="150" w:line="288"/>
      </w:pPr>
      <w:r>
        <w:rPr>
          <w:rFonts w:ascii="Calibri" w:cs="Calibri" w:eastAsia="Calibri" w:hAnsi="Calibri"/>
          <w:sz w:val="20"/>
          <w:szCs w:val="20"/>
        </w:rPr>
        <w:t xml:space="preserve">Toute intervention sous AG/ALR porte une ligne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code activité 4</w:t>
      </w:r>
      <w:r>
        <w:rPr>
          <w:rFonts w:ascii="Calibri" w:cs="Calibri" w:eastAsia="Calibri" w:hAnsi="Calibri"/>
          <w:sz w:val="20"/>
          <w:szCs w:val="20"/>
        </w:rPr>
        <w:t xml:space="preserve"> (code acte du chirurgien · activité 4 · phase 0). Si elle ne remonte pas, </w:t>
      </w:r>
      <w:r>
        <w:rPr>
          <w:rFonts w:ascii="Calibri" w:cs="Calibri" w:eastAsia="Calibri" w:hAnsi="Calibri"/>
          <w:b/>
          <w:bCs/>
          <w:color w:val="9E1B1B"/>
          <w:sz w:val="20"/>
          <w:szCs w:val="20"/>
        </w:rPr>
        <w:t xml:space="preserve">l’anesthésie est perdue</w:t>
      </w:r>
      <w:r>
        <w:rPr>
          <w:rFonts w:ascii="Calibri" w:cs="Calibri" w:eastAsia="Calibri" w:hAnsi="Calibri"/>
          <w:sz w:val="20"/>
          <w:szCs w:val="20"/>
        </w:rPr>
        <w:t xml:space="preserve">. Viser 100 % des interventions éligibles. CEC → activité 5.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2 — jamais d’anesthésie sans code</w:t>
      </w:r>
    </w:p>
    <w:p>
      <w:pPr>
        <w:spacing w:after="150" w:line="288"/>
      </w:pPr>
      <w:r>
        <w:rPr>
          <w:rFonts w:ascii="Calibri" w:cs="Calibri" w:eastAsia="Calibri" w:hAnsi="Calibri"/>
          <w:sz w:val="20"/>
          <w:szCs w:val="20"/>
        </w:rPr>
        <w:t xml:space="preserve">Acte sans anesthésie native (FOGD, PAC…) → anesthésie complémentaire indiquée en regard, ou à défaut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ZZLP025</w:t>
      </w:r>
      <w:r>
        <w:rPr>
          <w:rFonts w:ascii="Calibri" w:cs="Calibri" w:eastAsia="Calibri" w:hAnsi="Calibri"/>
          <w:sz w:val="20"/>
          <w:szCs w:val="20"/>
        </w:rPr>
        <w:t xml:space="preserve"> (AG/ALR complémentaire niveau 1).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3 — vérifier l’exécutant</w:t>
      </w:r>
    </w:p>
    <w:p>
      <w:pPr>
        <w:spacing w:after="15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 nom de l’exécutant de la ligne d’anesthésie ne doit pas être celui du chirurgien.</w:t>
      </w:r>
      <w:r>
        <w:rPr>
          <w:rFonts w:ascii="Calibri" w:cs="Calibri" w:eastAsia="Calibri" w:hAnsi="Calibri"/>
          <w:sz w:val="20"/>
          <w:szCs w:val="20"/>
        </w:rPr>
        <w:t xml:space="preserve">  Erreur administrative banale → perte totale de la ligne.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3.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Au bloc — gestes en sus et modificateurs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Gestes cotables en plus de la ligne d’anesthésie (art. 7)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450"/>
        <w:gridCol w:w="5910"/>
        <w:gridCol w:w="2000"/>
      </w:tblGrid>
      <w:tr>
        <w:trPr>
          <w:tblHeader/>
        </w:trPr>
        <w:tc>
          <w:tcPr>
            <w:tcW w:type="dxa" w:w="14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59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Tarif base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AHQJ021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Échoguidage d’ALR périphérique de membre ou de paroi abdominale (TAP bloc) — 100 %, jamais décoté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29,12 €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YYYY041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Récupération peropératoire de sang (cell-saver) · ≥ 15 % de la volémie, retransfusé &lt; 6 h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CCAM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ZZLP025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AG/ALR complémentaire niveau 1 (si pas d’activité 4 native)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CCAM</w:t>
            </w:r>
          </w:p>
        </w:tc>
      </w:tr>
    </w:tbl>
    <w:p>
      <w:pPr>
        <w:spacing w:after="19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Modificateurs — chacun est de l’argent perdu s’il manque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050"/>
        <w:gridCol w:w="6310"/>
        <w:gridCol w:w="2000"/>
      </w:tblGrid>
      <w:tr>
        <w:trPr>
          <w:tblHeader/>
        </w:trPr>
        <w:tc>
          <w:tcPr>
            <w:tcW w:type="dxa" w:w="10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6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Présence permanente de l’anesthésiste — à attester sur la fiche d’anesthésie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+ 6 %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 ou ALR chez un patient &lt; 4 ans ou &gt; 80 ans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+ 23 € FR · + 44,85 € monég.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Anesthésie d’intervention itérative (œil déjà opéré, voies biliaires, urinaires)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Chirurgie plastique face / cou / mains · plaies ou brûlures face-mains (chir., vaut aussi pour l’anesthésie)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+ 50 %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Fracture ou luxation ouverte (idem)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</w:t>
            </w:r>
          </w:p>
        </w:tc>
      </w:tr>
      <w:tr>
        <w:tc>
          <w:tcPr>
            <w:tcW w:type="dxa" w:w="105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 / 5</w:t>
            </w:r>
          </w:p>
        </w:tc>
        <w:tc>
          <w:tcPr>
            <w:tcW w:type="dxa" w:w="631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Analgésie postopératoire loco-régionale sans / avec cathéter</w:t>
            </w:r>
          </w:p>
        </w:tc>
        <w:tc>
          <w:tcPr>
            <w:tcW w:type="dxa" w:w="200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valeur à confirmer CSM</w:t>
            </w:r>
          </w:p>
        </w:tc>
      </w:tr>
    </w:tbl>
    <w:p>
      <w:pPr>
        <w:spacing w:after="19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Urgence — un seul des quatre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050"/>
        <w:gridCol w:w="6310"/>
        <w:gridCol w:w="2000"/>
      </w:tblGrid>
      <w:tr>
        <w:trPr>
          <w:tblHeader/>
        </w:trPr>
        <w:tc>
          <w:tcPr>
            <w:tcW w:type="dxa" w:w="10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6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Plage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 anesthésiste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vitale ou fonctionnelle d’organe, 8 h – 20 h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80 €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20 h – minuit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50 €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0 h – 8 h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80 €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un dimanche ou jour férié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40 €</w:t>
            </w:r>
          </w:p>
        </w:tc>
      </w:tr>
    </w:tbl>
    <w:p>
      <w:pPr>
        <w:spacing w:after="80"/>
      </w:pP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Le modificateur 3 (secteur 1 / OPTAM) est français : sans objet à Monaco.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4.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Consultations — l’axe NGAP</w:t>
      </w:r>
    </w:p>
    <w:p>
      <w:pPr>
        <w:pBdr>
          <w:top w:val="single" w:color="17375E" w:sz="4" w:space="8"/>
          <w:bottom w:val="single" w:color="17375E" w:sz="4" w:space="8"/>
          <w:left w:val="single" w:color="17375E" w:sz="4" w:space="8"/>
          <w:right w:val="single" w:color="17375E" w:sz="4" w:space="8"/>
        </w:pBdr>
        <w:shd w:fill="17375E" w:color="auto" w:val="clear"/>
        <w:spacing w:after="170" w:before="60"/>
        <w:jc w:val="center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BR  =  lettre-clé  ×  coefficient        (pas de × 1,95 · pas de modificateur · la carte ne change pas la BR)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500"/>
        <w:gridCol w:w="1600"/>
        <w:gridCol w:w="6260"/>
      </w:tblGrid>
      <w:tr>
        <w:trPr>
          <w:tblHeader/>
        </w:trPr>
        <w:tc>
          <w:tcPr>
            <w:tcW w:type="dxa" w:w="15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Lettre-clé</w:t>
            </w:r>
          </w:p>
        </w:tc>
        <w:tc>
          <w:tcPr>
            <w:tcW w:type="dxa" w:w="16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  <w:tc>
          <w:tcPr>
            <w:tcW w:type="dxa" w:w="626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15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6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34,40 €</w:t>
            </w:r>
          </w:p>
        </w:tc>
        <w:tc>
          <w:tcPr>
            <w:tcW w:type="dxa" w:w="626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2 → 68,80 €</w:t>
            </w:r>
          </w:p>
        </w:tc>
      </w:tr>
      <w:tr>
        <w:tc>
          <w:tcPr>
            <w:tcW w:type="dxa" w:w="15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CS</w:t>
            </w:r>
          </w:p>
        </w:tc>
        <w:tc>
          <w:tcPr>
            <w:tcW w:type="dxa" w:w="16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  <w:tc>
          <w:tcPr>
            <w:tcW w:type="dxa" w:w="626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 1 → 46,00 €</w:t>
            </w:r>
          </w:p>
        </w:tc>
      </w:tr>
      <w:tr>
        <w:tc>
          <w:tcPr>
            <w:tcW w:type="dxa" w:w="15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APC</w:t>
            </w:r>
          </w:p>
        </w:tc>
        <w:tc>
          <w:tcPr>
            <w:tcW w:type="dxa" w:w="16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60,00 € (tarif français en vigueur)</w:t>
            </w:r>
          </w:p>
        </w:tc>
        <w:tc>
          <w:tcPr>
            <w:tcW w:type="dxa" w:w="626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deux voies : avis étages hors chirurgie programmée · CPA si ASA ≥ 3 (art. 18B) — détail ci-dessous</w:t>
            </w:r>
          </w:p>
        </w:tc>
      </w:tr>
    </w:tbl>
    <w:p>
      <w:pPr>
        <w:spacing w:after="190"/>
      </w:pP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Pas de consultation (APC ou CS) le jour même d’un acte anesthésique — sauf urgence (art. 20 A).</w:t>
      </w: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APC — les deux voies (v1.3).  </w:t>
      </w:r>
      <w:r>
        <w:rPr>
          <w:rFonts w:ascii="Calibri" w:cs="Calibri" w:eastAsia="Calibri" w:hAnsi="Calibri"/>
          <w:sz w:val="20"/>
          <w:szCs w:val="20"/>
        </w:rPr>
        <w:t xml:space="preserve">① Avis ponctuel dans les étages, hors chirurgie programmée (patient adressé, CR au demandeur, ASA indifférent). ② CPA d’un patient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ASA ≥ 3</w:t>
      </w:r>
      <w:r>
        <w:rPr>
          <w:rFonts w:ascii="Calibri" w:cs="Calibri" w:eastAsia="Calibri" w:hAnsi="Calibri"/>
          <w:sz w:val="20"/>
          <w:szCs w:val="20"/>
        </w:rPr>
        <w:t xml:space="preserve"> (dérogation anesthésiste, art. 18B NGAP) : éléments ASA documentés au dossier, CR écrit au MAR opérateur + à l’opérateur + au médecin traitant, non-cumul surveillance/CCAM hors acte d’anesthésie. Ouvre aussi la 1ʳᵉ consultation en urgence non programmée avec hospitalisation. Une CPA ASA 1-2 reste une CS (46 €). Réserve : transposition monégasque à confirmer CSM (APC absente de l’Annexe III).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sz w:val="20"/>
          <w:szCs w:val="20"/>
        </w:rPr>
        <w:t xml:space="preserve">Les axes CCAM et NGAP sont deux mondes séparés : formules, modificateurs et quotas ne se croisent jamais.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5.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Le dépassement d’honoraires — par carte</w:t>
      </w:r>
    </w:p>
    <w:p>
      <w:pPr>
        <w:spacing w:after="70" w:line="288"/>
      </w:pPr>
      <w:r>
        <w:rPr>
          <w:rFonts w:ascii="Calibri" w:cs="Calibri" w:eastAsia="Calibri" w:hAnsi="Calibri"/>
          <w:sz w:val="20"/>
          <w:szCs w:val="20"/>
        </w:rPr>
        <w:t xml:space="preserve">Le DH s’ajoute par-dessus la BR (Facturé = BR + DH). Il vaut pour les deux axes.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2650"/>
        <w:gridCol w:w="3310"/>
        <w:gridCol w:w="3400"/>
      </w:tblGrid>
      <w:tr>
        <w:trPr>
          <w:tblHeader/>
        </w:trPr>
        <w:tc>
          <w:tcPr>
            <w:tcW w:type="dxa" w:w="26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 patient</w:t>
            </w:r>
          </w:p>
        </w:tc>
        <w:tc>
          <w:tcPr>
            <w:tcW w:type="dxa" w:w="3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DH</w:t>
            </w:r>
          </w:p>
        </w:tc>
        <w:tc>
          <w:tcPr>
            <w:tcW w:type="dxa" w:w="34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 (CS 1)</w:t>
            </w:r>
          </w:p>
        </w:tc>
      </w:tr>
      <w:tr>
        <w:tc>
          <w:tcPr>
            <w:tcW w:type="dxa" w:w="26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verte · SPME</w:t>
            </w:r>
          </w:p>
        </w:tc>
        <w:tc>
          <w:tcPr>
            <w:tcW w:type="dxa" w:w="3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— net = BR</w:t>
            </w:r>
          </w:p>
        </w:tc>
        <w:tc>
          <w:tcPr>
            <w:tcW w:type="dxa" w:w="34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</w:tr>
      <w:tr>
        <w:tc>
          <w:tcPr>
            <w:tcW w:type="dxa" w:w="26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rose</w:t>
            </w:r>
          </w:p>
        </w:tc>
        <w:tc>
          <w:tcPr>
            <w:tcW w:type="dxa" w:w="3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 de la BR (pratique CHPG actée)</w:t>
            </w:r>
          </w:p>
        </w:tc>
        <w:tc>
          <w:tcPr>
            <w:tcW w:type="dxa" w:w="34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+ 9,20 = 55,20 €</w:t>
            </w:r>
          </w:p>
        </w:tc>
      </w:tr>
      <w:tr>
        <w:tc>
          <w:tcPr>
            <w:tcW w:type="dxa" w:w="26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bulle · français · NAS</w:t>
            </w:r>
          </w:p>
        </w:tc>
        <w:tc>
          <w:tcPr>
            <w:tcW w:type="dxa" w:w="3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libre</w:t>
            </w:r>
          </w:p>
        </w:tc>
        <w:tc>
          <w:tcPr>
            <w:tcW w:type="dxa" w:w="34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souvent fixé pour un net rond (46 + 64 = 110 €)</w:t>
            </w:r>
          </w:p>
        </w:tc>
      </w:tr>
      <w:tr>
        <w:tc>
          <w:tcPr>
            <w:tcW w:type="dxa" w:w="26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AME</w:t>
            </w:r>
          </w:p>
        </w:tc>
        <w:tc>
          <w:tcPr>
            <w:tcW w:type="dxa" w:w="3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— tarif conventionnel strict (Ord. souv. 5.743)</w:t>
            </w:r>
          </w:p>
        </w:tc>
        <w:tc>
          <w:tcPr>
            <w:tcW w:type="dxa" w:w="34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</w:tr>
    </w:tbl>
    <w:p>
      <w:pPr>
        <w:spacing w:after="19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Pour le module libéral :  </w:t>
      </w:r>
      <w:r>
        <w:rPr>
          <w:rFonts w:ascii="Calibri" w:cs="Calibri" w:eastAsia="Calibri" w:hAnsi="Calibri"/>
          <w:sz w:val="20"/>
          <w:szCs w:val="20"/>
        </w:rPr>
        <w:t xml:space="preserve">le ratio des 30 % se calcule sur la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BR seule</w:t>
      </w:r>
      <w:r>
        <w:rPr>
          <w:rFonts w:ascii="Calibri" w:cs="Calibri" w:eastAsia="Calibri" w:hAnsi="Calibri"/>
          <w:sz w:val="20"/>
          <w:szCs w:val="20"/>
        </w:rPr>
        <w:t xml:space="preserve">, séparément par axe (CCAM ≠ NGAP). 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DH est hors quota</w:t>
      </w:r>
      <w:r>
        <w:rPr>
          <w:rFonts w:ascii="Calibri" w:cs="Calibri" w:eastAsia="Calibri" w:hAnsi="Calibri"/>
          <w:sz w:val="20"/>
          <w:szCs w:val="20"/>
        </w:rPr>
        <w:t xml:space="preserve"> — revenu libre, jamais reversé. Mieux coder le public monte le T public et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dilue</w:t>
      </w:r>
      <w:r>
        <w:rPr>
          <w:rFonts w:ascii="Calibri" w:cs="Calibri" w:eastAsia="Calibri" w:hAnsi="Calibri"/>
          <w:sz w:val="20"/>
          <w:szCs w:val="20"/>
        </w:rPr>
        <w:t xml:space="preserve"> le ratio : plus de marge libérale.</w:t>
      </w: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HNP (« honoraires non perçus ») = modalité de perception via la Caisse (tiers payant), pas un statut de carte : aucun effet sur le calcul BR/DH.</w:t>
      </w: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Cadre conventionnel (addendum du 01/10/2025).  </w:t>
      </w:r>
      <w:r>
        <w:rPr>
          <w:rFonts w:ascii="Calibri" w:cs="Calibri" w:eastAsia="Calibri" w:hAnsi="Calibri"/>
          <w:sz w:val="20"/>
          <w:szCs w:val="20"/>
        </w:rPr>
        <w:t xml:space="preserve">Coefficient maximal carte rose en CCAM : 241 % contre une BR à 195 %, soit un plafond de DH à +23,59 % de la BR. La pratique CHPG reste à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+20 %</w:t>
      </w:r>
      <w:r>
        <w:rPr>
          <w:rFonts w:ascii="Calibri" w:cs="Calibri" w:eastAsia="Calibri" w:hAnsi="Calibri"/>
          <w:sz w:val="20"/>
          <w:szCs w:val="20"/>
        </w:rPr>
        <w:t xml:space="preserve"> (décision du 19/07/2026) ; l’écart n’est pas expliqué et ne doit pas être lu comme une marge à récupérer. En NGAP, le +20 % rose est le plafond légal. Seuil de l’article 14 (HNP rose/bulle) : 177,45 €.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6.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Réanimation et USC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450"/>
        <w:gridCol w:w="5910"/>
        <w:gridCol w:w="2000"/>
      </w:tblGrid>
      <w:tr>
        <w:trPr>
          <w:tblHeader/>
        </w:trPr>
        <w:tc>
          <w:tcPr>
            <w:tcW w:type="dxa" w:w="14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59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Libellé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Tarif / 24 h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YYYY015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Forfait de réanimation niveau A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96,00 €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YYYY020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Forfait niveau B — dès qu’une suppléance est présente (ventilation, amines à haut débit, EER, transfusion massive…)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160,00 €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GEQE012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Fibroscopie bronchique diagnostique (intubé / trachéo) — en sus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96,00 €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GEQE009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Fibroscopie bronchique avec LBA diagnostique — en sus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110,40 €</w:t>
            </w:r>
          </w:p>
        </w:tc>
      </w:tr>
    </w:tbl>
    <w:p>
      <w:pPr>
        <w:spacing w:after="190"/>
      </w:pP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 forfait par patient et par 24 h</w:t>
      </w:r>
      <w:r>
        <w:rPr>
          <w:rFonts w:ascii="Calibri" w:cs="Calibri" w:eastAsia="Calibri" w:hAnsi="Calibri"/>
          <w:sz w:val="20"/>
          <w:szCs w:val="20"/>
        </w:rPr>
        <w:t xml:space="preserve"> — jours d’admission, week-ends et transferts compris. Une journée oubliée = forfait perdu, et du public en moins au dénominateur libéral.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Facturable en sus</w:t>
      </w:r>
      <w:r>
        <w:rPr>
          <w:rFonts w:ascii="Calibri" w:cs="Calibri" w:eastAsia="Calibri" w:hAnsi="Calibri"/>
          <w:sz w:val="20"/>
          <w:szCs w:val="20"/>
        </w:rPr>
        <w:t xml:space="preserve"> : épuration extrarénale (JVJF…), échange plasmatique, fibroscopie diagnostique.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Inclus — ne pas facturer à part</w:t>
      </w:r>
      <w:r>
        <w:rPr>
          <w:rFonts w:ascii="Calibri" w:cs="Calibri" w:eastAsia="Calibri" w:hAnsi="Calibri"/>
          <w:sz w:val="20"/>
          <w:szCs w:val="20"/>
        </w:rPr>
        <w:t xml:space="preserve"> : écho cœur (DZQM006), VVC (EPLF002), KT artériel, Swan-Ganz, drain pleural, gazométrie, intubation (GELD004). Rejet garanti.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USC / lit scopé</w:t>
      </w:r>
      <w:r>
        <w:rPr>
          <w:rFonts w:ascii="Calibri" w:cs="Calibri" w:eastAsia="Calibri" w:hAnsi="Calibri"/>
          <w:sz w:val="20"/>
          <w:szCs w:val="20"/>
        </w:rPr>
        <w:t xml:space="preserve"> : en général le forfait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niveau A</w:t>
      </w:r>
      <w:r>
        <w:rPr>
          <w:rFonts w:ascii="Calibri" w:cs="Calibri" w:eastAsia="Calibri" w:hAnsi="Calibri"/>
          <w:sz w:val="20"/>
          <w:szCs w:val="20"/>
        </w:rPr>
        <w:t xml:space="preserve"> (la suppléance qui débloque le B y est rare — ne pas coter B par réflexe de gravité). L’exclusion VVC / transfusion le même jour s’étend à l’USC. DEQP007 (ECG) : statut non tranché — risque de rejet si inclus, à confirmer CSM avant usage.</w:t>
      </w:r>
    </w:p>
    <w:p>
      <w:pPr>
        <w:spacing w:after="6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Arbitrage chiffré :  </w:t>
      </w:r>
      <w:r>
        <w:rPr>
          <w:rFonts w:ascii="Calibri" w:cs="Calibri" w:eastAsia="Calibri" w:hAnsi="Calibri"/>
          <w:sz w:val="20"/>
          <w:szCs w:val="20"/>
        </w:rPr>
        <w:t xml:space="preserve">coder les gestes à la place du forfait est perdant — VVC 61,72 € + drain ≈ 30 € à 50 % + intubation à 0 % ≈ 90–100 €, contre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160 €</w:t>
      </w:r>
      <w:r>
        <w:rPr>
          <w:rFonts w:ascii="Calibri" w:cs="Calibri" w:eastAsia="Calibri" w:hAnsi="Calibri"/>
          <w:sz w:val="20"/>
          <w:szCs w:val="20"/>
        </w:rPr>
        <w:t xml:space="preserve"> pour le forfait B. Ces gestes servent à justifier le B, pas à être cotés.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7.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Ce qui ne se code pas · check-list de fin d’intervention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POCUS péri-anesthésique</w:t>
      </w:r>
      <w:r>
        <w:rPr>
          <w:rFonts w:ascii="Calibri" w:cs="Calibri" w:eastAsia="Calibri" w:hAnsi="Calibri"/>
          <w:sz w:val="20"/>
          <w:szCs w:val="20"/>
        </w:rPr>
        <w:t xml:space="preserve"> (écho gastrique d’induction, repérage veineux) : inclus dans l’acte d’anesthésie, aucun code dédié. Ne pas coter HZQM001 (écho abdominale complète, 56,70 €) pour un balayage ciblé — surcotation.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Gestes inclus dans le forfait de réa</w:t>
      </w:r>
      <w:r>
        <w:rPr>
          <w:rFonts w:ascii="Calibri" w:cs="Calibri" w:eastAsia="Calibri" w:hAnsi="Calibri"/>
          <w:sz w:val="20"/>
          <w:szCs w:val="20"/>
        </w:rPr>
        <w:t xml:space="preserve"> (§6) : facturation séparée rejetée.</w:t>
      </w:r>
    </w:p>
    <w:p>
      <w:pPr>
        <w:spacing w:after="7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Check-list — 30 secondes en fin d’intervention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Activité 4</w:t>
      </w:r>
      <w:r>
        <w:rPr>
          <w:rFonts w:ascii="Calibri" w:cs="Calibri" w:eastAsia="Calibri" w:hAnsi="Calibri"/>
          <w:sz w:val="20"/>
          <w:szCs w:val="20"/>
        </w:rPr>
        <w:t xml:space="preserve"> présente (ou ZZLP025) · CEC → activité 5.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Exécutant</w:t>
      </w:r>
      <w:r>
        <w:rPr>
          <w:rFonts w:ascii="Calibri" w:cs="Calibri" w:eastAsia="Calibri" w:hAnsi="Calibri"/>
          <w:sz w:val="20"/>
          <w:szCs w:val="20"/>
        </w:rPr>
        <w:t xml:space="preserve"> ≠ nom du chirurgien.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Carte du patient identifiée</w:t>
      </w:r>
      <w:r>
        <w:rPr>
          <w:rFonts w:ascii="Calibri" w:cs="Calibri" w:eastAsia="Calibri" w:hAnsi="Calibri"/>
          <w:sz w:val="20"/>
          <w:szCs w:val="20"/>
        </w:rPr>
        <w:t xml:space="preserve"> (× 1,95 monégasque / × 1,00 français · pilote aussi le A et le DH).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Association</w:t>
      </w:r>
      <w:r>
        <w:rPr>
          <w:rFonts w:ascii="Calibri" w:cs="Calibri" w:eastAsia="Calibri" w:hAnsi="Calibri"/>
          <w:sz w:val="20"/>
          <w:szCs w:val="20"/>
        </w:rPr>
        <w:t xml:space="preserve"> : le plus cher à 100 %, le second à 50 % — dans le bon ordre.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Échoguidage d’ALR</w:t>
      </w:r>
      <w:r>
        <w:rPr>
          <w:rFonts w:ascii="Calibri" w:cs="Calibri" w:eastAsia="Calibri" w:hAnsi="Calibri"/>
          <w:sz w:val="20"/>
          <w:szCs w:val="20"/>
        </w:rPr>
        <w:t xml:space="preserve"> → AHQJ021 (29,12 €) · cell-saver → YYYY041.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Modificateur 7</w:t>
      </w:r>
      <w:r>
        <w:rPr>
          <w:rFonts w:ascii="Calibri" w:cs="Calibri" w:eastAsia="Calibri" w:hAnsi="Calibri"/>
          <w:sz w:val="20"/>
          <w:szCs w:val="20"/>
        </w:rPr>
        <w:t xml:space="preserve"> (+ 6 %) attesté · 8 itératif (+ 20 %) · R (+ 50 %) / L (+ 20 %).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&lt; 4 ans ou &gt; 80 ans</w:t>
      </w:r>
      <w:r>
        <w:rPr>
          <w:rFonts w:ascii="Calibri" w:cs="Calibri" w:eastAsia="Calibri" w:hAnsi="Calibri"/>
          <w:sz w:val="20"/>
          <w:szCs w:val="20"/>
        </w:rPr>
        <w:t xml:space="preserve"> → A (+ 23 € / + 44,85 €).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Analgésie postop LR</w:t>
      </w:r>
      <w:r>
        <w:rPr>
          <w:rFonts w:ascii="Calibri" w:cs="Calibri" w:eastAsia="Calibri" w:hAnsi="Calibri"/>
          <w:sz w:val="20"/>
          <w:szCs w:val="20"/>
        </w:rPr>
        <w:t xml:space="preserve"> → modificateur 4 ou 5 (valeur à confirmer CSM).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Garde</w:t>
      </w:r>
      <w:r>
        <w:rPr>
          <w:rFonts w:ascii="Calibri" w:cs="Calibri" w:eastAsia="Calibri" w:hAnsi="Calibri"/>
          <w:sz w:val="20"/>
          <w:szCs w:val="20"/>
        </w:rPr>
        <w:t xml:space="preserve"> : un seul modificateur d’urgence — O 80 · U 50 · S 80 · F 40 €.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Réa</w:t>
      </w:r>
      <w:r>
        <w:rPr>
          <w:rFonts w:ascii="Calibri" w:cs="Calibri" w:eastAsia="Calibri" w:hAnsi="Calibri"/>
          <w:sz w:val="20"/>
          <w:szCs w:val="20"/>
        </w:rPr>
        <w:t xml:space="preserve"> : forfait B dès suppléance, chaque jour · EER et fibro diagnostique en sus.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Rejets de facturation</w:t>
      </w:r>
      <w:r>
        <w:rPr>
          <w:rFonts w:ascii="Calibri" w:cs="Calibri" w:eastAsia="Calibri" w:hAnsi="Calibri"/>
          <w:sz w:val="20"/>
          <w:szCs w:val="20"/>
        </w:rPr>
        <w:t xml:space="preserve"> récupérés et retraités.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8.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En attente d’arbitrage CSM — ne pas appliquer</w:t>
      </w:r>
    </w:p>
    <w:p>
      <w:pPr>
        <w:pBdr>
          <w:top w:val="single" w:color="9E1B1B" w:sz="4" w:space="6"/>
          <w:bottom w:val="single" w:color="9E1B1B" w:sz="4" w:space="6"/>
          <w:left w:val="single" w:color="9E1B1B" w:sz="22" w:space="9"/>
          <w:right w:val="single" w:color="9E1B1B" w:sz="4" w:space="6"/>
        </w:pBdr>
        <w:shd w:fill="FDF3F3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Source : document de travail d’un MAR en clinique privée en France (cadre CPAM).  </w:t>
      </w:r>
      <w:r>
        <w:rPr>
          <w:rFonts w:ascii="Calibri" w:cs="Calibri" w:eastAsia="Calibri" w:hAnsi="Calibri"/>
          <w:sz w:val="20"/>
          <w:szCs w:val="20"/>
        </w:rPr>
        <w:t xml:space="preserve">Le cadre monégasque est différent. À confirmer auprès de la CSM avant toute mise en pratique.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950"/>
        <w:gridCol w:w="3100"/>
        <w:gridCol w:w="4310"/>
      </w:tblGrid>
      <w:tr>
        <w:trPr>
          <w:tblHeader/>
        </w:trPr>
        <w:tc>
          <w:tcPr>
            <w:tcW w:type="dxa" w:w="19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1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Notre règle actuelle</w:t>
            </w:r>
          </w:p>
        </w:tc>
        <w:tc>
          <w:tcPr>
            <w:tcW w:type="dxa" w:w="4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Piste externe (France)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Chirurgie de la main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actes max (100 / 50 %)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actes : 100 / 75 / 50 % — un 3ᵉ acte récupéré à chaque main si confirmé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APC ou CS ?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deux voies actées : avis étages + CPA ASA ≥ 3 (art. 18B)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résolu (19/07/2026) — reste la transposition monégasque à confirmer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MCS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absente de notre grille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majoration de coordination — valeur inconnue à Monaco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USC — DEQP007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niveau A par défaut · exclusions étendues (acté)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seul point ouvert : DEQP007 en sus du forfait ? (risque de rejet si inclus)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Redevance hôpital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taux et assiette du reversement à préciser (administration)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TAP bilatéral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AHQJ021 × 1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écarté le 19/07/2026 — un seul AHQJ021 par intervention, question close</w:t>
            </w:r>
          </w:p>
        </w:tc>
      </w:tr>
    </w:tbl>
    <w:p>
      <w:pPr>
        <w:spacing w:after="190"/>
      </w:pP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9.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Arrêté Ministériel n° 2005-276 (CCAM Monaco, MAJ 2018) — caisses-sociales.mc · codage art. 3, anesthésie art. 7, associations art. 6/11/12/20, modificateurs art. 19 + Annexe I.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Base CCAM v80 (01/01/2025, ameli / ATIH) — tarifs unitaires activités 1 et 4.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NGAP française art. 18B + dérogation anesthésiste CPA ASA ≥ 3 (décision UNCAM du 03/10/2019 · avenant 6 · convention médicale 2024-2026) — tarif APC en vigueur 60 €. Transposition monégasque non prouvée (A.M. 84-688 antérieur).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A.M. 84-688 du 30/11/1984 (NGAP monégasque) · Ordonnance souveraine 5.743 du 03/03/2016 (AME monégasque).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Antisèche de cotation v15.3 et guide MAR « Comment fonctionne notre activité libérale » v0.3 — docs/module-liberal/ du portail.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Convention CCSS-CAMTI / Ordre des Médecins de Monaco du 01/04/2023 (→ 31/03/2028) et addendum Annexe III/IV du 02/09/2025 (effet 01/10/2025) — lettres-clés NGAP, coefficients par carte (verte 195 % · rose 241 %), seuil art. 14. Valeurs datées : à reconfronter à chaque addendum.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Relevés de facturation internes — axes CCAM et NGAP validés au centime (8 feuilles réelles).</w:t>
      </w:r>
    </w:p>
    <w:p>
      <w:pPr>
        <w:spacing w:after="70"/>
      </w:pP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La CCAM est révisée 1 à 2 fois par an : valeurs à reconfirmer périodiquement. Référence détaillée : antisèche v14 (dépôt Planning-CHPG).</w:t>
      </w:r>
    </w:p>
    <w:sectPr>
      <w:footerReference w:type="default" r:id="rId7"/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6DD" w:sz="4" w:space="4"/>
      </w:pBdr>
      <w:jc w:val="center"/>
    </w:pPr>
    <w:r>
      <w:rPr>
        <w:rFonts w:ascii="Calibri" w:cs="Calibri" w:eastAsia="Calibri" w:hAnsi="Calibri"/>
        <w:color w:val="5A5A5A"/>
        <w:sz w:val="15"/>
        <w:szCs w:val="15"/>
      </w:rPr>
      <w:t xml:space="preserve">Guide d’aide au codage · CHPG Anesthésie-Réanimation · v1.3 · p.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d’aide au codage — Anesthésie-Réanimation CHPG</dc:title>
  <dc:creator>Service d’Anesthésie-Réanimation, CHPG</dc:creator>
  <cp:lastModifiedBy>Un-named</cp:lastModifiedBy>
  <cp:revision>1</cp:revision>
  <dcterms:created xsi:type="dcterms:W3CDTF">2026-07-19T11:49:42.590Z</dcterms:created>
  <dcterms:modified xsi:type="dcterms:W3CDTF">2026-07-19T11:49:42.592Z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