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38.jpg" ContentType="image/jpeg"/>
  <Override PartName="/word/media/rId39.jpg" ContentType="image/jpeg"/>
  <Override PartName="/word/media/rId40.jpg" ContentType="image/jpeg"/>
  <Override PartName="/word/media/rId41.jpg" ContentType="image/jpeg"/>
  <Override PartName="/word/media/rId43.jpg" ContentType="image/jpeg"/>
  <Override PartName="/word/media/rId42.jpg" ContentType="image/jpeg"/>
  <Override PartName="/word/media/rId44.jpg" ContentType="image/jpeg"/>
  <Override PartName="/word/media/rId21.jpg" ContentType="image/jpeg"/>
  <Override PartName="/word/media/rId27.jpg" ContentType="image/jpeg"/>
  <Override PartName="/word/media/rId22.jpg" ContentType="image/jpeg"/>
  <Override PartName="/word/media/rId23.jpg" ContentType="image/jpeg"/>
  <Override PartName="/word/media/rId46.jpg" ContentType="image/jpeg"/>
  <Override PartName="/word/media/rId47.jpg" ContentType="image/jpeg"/>
  <Override PartName="/word/media/rId48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Горбунова</w:t>
      </w:r>
      <w:r>
        <w:t xml:space="preserve"> </w:t>
      </w:r>
      <w:r>
        <w:t xml:space="preserve">Ярослава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задачу о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bookmarkStart w:id="24" w:name="Xb29f44652de3194609246c98b36eaa07b3868de"/>
    <w:p>
      <w:pPr>
        <w:pStyle w:val="Heading2"/>
      </w:pPr>
      <w:r>
        <w:t xml:space="preserve">Постановка задачи. Модель конкуренции двух фирм (Вариант 23)</w:t>
      </w:r>
    </w:p>
    <w:p>
      <w:pPr>
        <w:pStyle w:val="FirstParagraph"/>
      </w:pPr>
      <w:r>
        <w:rPr>
          <w:bCs/>
          <w:b/>
        </w:rPr>
        <w:t xml:space="preserve">Случай 1</w:t>
      </w:r>
      <w:r>
        <w:t xml:space="preserve"> </w:t>
      </w:r>
      <w:r>
        <w:t xml:space="preserve">[2].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способом).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 (усл. 1):</w:t>
      </w:r>
    </w:p>
    <w:p>
      <w:pPr>
        <w:pStyle w:val="CaptionedFigure"/>
      </w:pPr>
      <w:r>
        <w:drawing>
          <wp:inline>
            <wp:extent cx="5334000" cy="1411072"/>
            <wp:effectExtent b="0" l="0" r="0" t="0"/>
            <wp:docPr descr="Условие 1" title="Условие 1" id="1" name="Picture"/>
            <a:graphic>
              <a:graphicData uri="http://schemas.openxmlformats.org/drawingml/2006/picture">
                <pic:pic>
                  <pic:nvPicPr>
                    <pic:cNvPr descr="images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Условие 1</w:t>
      </w:r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Случай 2</w:t>
      </w:r>
      <w:r>
        <w:t xml:space="preserve">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 (усл. 2):</w:t>
      </w:r>
    </w:p>
    <w:p>
      <w:pPr>
        <w:pStyle w:val="CaptionedFigure"/>
      </w:pPr>
      <w:r>
        <w:drawing>
          <wp:inline>
            <wp:extent cx="2918460" cy="1005840"/>
            <wp:effectExtent b="0" l="0" r="0" t="0"/>
            <wp:docPr descr="Условие 2" title="Условие 2" id="1" name="Picture"/>
            <a:graphic>
              <a:graphicData uri="http://schemas.openxmlformats.org/drawingml/2006/picture">
                <pic:pic>
                  <pic:nvPicPr>
                    <pic:cNvPr descr="images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Условие 2</w:t>
      </w:r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 (усл. 3):</w:t>
      </w:r>
    </w:p>
    <w:p>
      <w:pPr>
        <w:pStyle w:val="CaptionedFigure"/>
      </w:pPr>
      <w:r>
        <w:drawing>
          <wp:inline>
            <wp:extent cx="1455420" cy="1013460"/>
            <wp:effectExtent b="0" l="0" r="0" t="0"/>
            <wp:docPr descr="Условие 3" title="Условие 3" id="1" name="Picture"/>
            <a:graphic>
              <a:graphicData uri="http://schemas.openxmlformats.org/drawingml/2006/picture">
                <pic:pic>
                  <pic:nvPicPr>
                    <pic:cNvPr descr="images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Условие 3</w:t>
      </w:r>
    </w:p>
    <w:p>
      <w:pPr>
        <w:pStyle w:val="BodyText"/>
      </w:pPr>
      <w:r>
        <w:t xml:space="preserve">Замечание: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</w:t>
      </w:r>
      <w:r>
        <w:t xml:space="preserve"> </w:t>
      </w:r>
      <w:r>
        <w:t xml:space="preserve">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t xml:space="preserve">Обозначения:</w:t>
      </w:r>
      <w:r>
        <w:t xml:space="preserve"> </w:t>
      </w:r>
      <w:r>
        <w:t xml:space="preserve">N – число потребителей производимого продукта.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– длительность производственного цикла.</w:t>
      </w:r>
      <w:r>
        <w:t xml:space="preserve"> </w:t>
      </w:r>
      <w:r>
        <w:t xml:space="preserve">p – рыночная цена товара.</w:t>
      </w:r>
      <w:r>
        <w:t xml:space="preserve"> </w:t>
      </w: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  <w:r>
        <w:t xml:space="preserve"> </w:t>
      </w:r>
      <w:r>
        <w:t xml:space="preserve">q – максимальная потребность одного человека в продукте в единицу времени.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</w:t>
      </w:r>
    </w:p>
    <w:bookmarkEnd w:id="24"/>
    <w:bookmarkEnd w:id="25"/>
    <w:bookmarkStart w:id="4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Модель одной фирмы</w:t>
      </w:r>
      <w:r>
        <w:t xml:space="preserve"> </w:t>
      </w: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 определяется</w:t>
      </w:r>
      <w:r>
        <w:t xml:space="preserve"> </w:t>
      </w:r>
      <w:r>
        <w:t xml:space="preserve">балансом спроса и предложения. Примем, что этот продукт занимает</w:t>
      </w:r>
      <w:r>
        <w:t xml:space="preserve"> </w:t>
      </w:r>
      <w:r>
        <w:t xml:space="preserve">определенную нишу рынка и конкуренты в ней отсутствуют [1].</w:t>
      </w:r>
    </w:p>
    <w:p>
      <w:pPr>
        <w:pStyle w:val="BodyText"/>
      </w:pPr>
      <w:r>
        <w:t xml:space="preserve">Обозначим: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</w:t>
      </w:r>
      <w:r>
        <w:t xml:space="preserve"> </w:t>
      </w:r>
      <w:r>
        <w:t xml:space="preserve">потребителей одинаковы. Это предположение справедливо, если речь идет об</w:t>
      </w:r>
      <w:r>
        <w:t xml:space="preserve"> </w:t>
      </w:r>
      <w:r>
        <w:t xml:space="preserve">одной рыночной нише, т.е. производимый продукт ориентирован на определенный</w:t>
      </w:r>
      <w:r>
        <w:t xml:space="preserve"> </w:t>
      </w:r>
      <w:r>
        <w:t xml:space="preserve">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</w:t>
      </w:r>
      <w:r>
        <w:t xml:space="preserve"> </w:t>
      </w:r>
      <w:r>
        <w:t xml:space="preserve">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 S к цене p. Она</w:t>
      </w:r>
      <w:r>
        <w:t xml:space="preserve"> </w:t>
      </w:r>
      <w:r>
        <w:t xml:space="preserve">равна количеству продукта, потребляемого одним потребителем в единицу</w:t>
      </w:r>
      <w:r>
        <w:t xml:space="preserve"> </w:t>
      </w:r>
      <w:r>
        <w:t xml:space="preserve">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 (1):</w:t>
      </w:r>
    </w:p>
    <w:p>
      <w:pPr>
        <w:pStyle w:val="CaptionedFigure"/>
      </w:pPr>
      <w:r>
        <w:drawing>
          <wp:inline>
            <wp:extent cx="4686300" cy="723900"/>
            <wp:effectExtent b="0" l="0" r="0" t="0"/>
            <wp:docPr descr="Формула (1)" title="Формула (1)" id="1" name="Picture"/>
            <a:graphic>
              <a:graphicData uri="http://schemas.openxmlformats.org/drawingml/2006/picture">
                <pic:pic>
                  <pic:nvPicPr>
                    <pic:cNvPr descr="images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(1)</w:t>
      </w:r>
    </w:p>
    <w:p>
      <w:pPr>
        <w:pStyle w:val="BodyText"/>
      </w:pPr>
      <w:r>
        <w:t xml:space="preserve">где q 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</w:t>
      </w:r>
      <w:r>
        <w:t xml:space="preserve"> </w:t>
      </w:r>
      <w:r>
        <w:t xml:space="preserve">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 k – мера эластичности функции спроса по цене. Таким образом, функция спроса в форме (1)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 (2)</w:t>
      </w:r>
    </w:p>
    <w:p>
      <w:pPr>
        <w:pStyle w:val="CaptionedFigure"/>
      </w:pPr>
      <w:r>
        <w:drawing>
          <wp:inline>
            <wp:extent cx="5334000" cy="688918"/>
            <wp:effectExtent b="0" l="0" r="0" t="0"/>
            <wp:docPr descr="Формула (2)" title="Формула (2)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(2)</w:t>
      </w:r>
    </w:p>
    <w:p>
      <w:pPr>
        <w:pStyle w:val="BodyText"/>
      </w:pPr>
      <w:r>
        <w:t xml:space="preserve">Уравнение для рыночной цены p представим в виде (3)</w:t>
      </w:r>
    </w:p>
    <w:p>
      <w:pPr>
        <w:pStyle w:val="CaptionedFigure"/>
      </w:pPr>
      <w:r>
        <w:drawing>
          <wp:inline>
            <wp:extent cx="5006340" cy="899160"/>
            <wp:effectExtent b="0" l="0" r="0" t="0"/>
            <wp:docPr descr="Формула (3)" title="Формула (3)" id="1" name="Picture"/>
            <a:graphic>
              <a:graphicData uri="http://schemas.openxmlformats.org/drawingml/2006/picture">
                <pic:pic>
                  <pic:nvPicPr>
                    <pic:cNvPr descr="images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(3)</w:t>
      </w:r>
    </w:p>
    <w:p>
      <w:pPr>
        <w:pStyle w:val="BodyText"/>
      </w:pPr>
      <w:r>
        <w:t xml:space="preserve">Первый член соответствует количеству поставляемого на рынок товара (то</w:t>
      </w:r>
      <w:r>
        <w:t xml:space="preserve"> </w:t>
      </w:r>
      <w:r>
        <w:t xml:space="preserve">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</w:t>
      </w:r>
      <w:r>
        <w:t xml:space="preserve"> </w:t>
      </w:r>
      <w:r>
        <w:t xml:space="preserve">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</w:t>
      </w:r>
      <w:r>
        <w:t xml:space="preserve"> </w:t>
      </w:r>
      <w:r>
        <w:t xml:space="preserve">При заданном M уравнение (3) описывает быстрое стремление цены к</w:t>
      </w:r>
      <w:r>
        <w:t xml:space="preserve"> </w:t>
      </w:r>
      <w:r>
        <w:t xml:space="preserve">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 (4)</w:t>
      </w:r>
    </w:p>
    <w:p>
      <w:pPr>
        <w:pStyle w:val="CaptionedFigure"/>
      </w:pPr>
      <w:r>
        <w:drawing>
          <wp:inline>
            <wp:extent cx="4732020" cy="739140"/>
            <wp:effectExtent b="0" l="0" r="0" t="0"/>
            <wp:docPr descr="Формула (4)" title="Формула (4)" id="1" name="Picture"/>
            <a:graphic>
              <a:graphicData uri="http://schemas.openxmlformats.org/drawingml/2006/picture">
                <pic:pic>
                  <pic:nvPicPr>
                    <pic:cNvPr descr="images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(4)</w:t>
      </w:r>
    </w:p>
    <w:p>
      <w:pPr>
        <w:pStyle w:val="BodyText"/>
      </w:pPr>
      <w:r>
        <w:t xml:space="preserve">Из (4) следует, что равновесное значение цены p равно (5)</w:t>
      </w:r>
    </w:p>
    <w:p>
      <w:pPr>
        <w:pStyle w:val="CaptionedFigure"/>
      </w:pPr>
      <w:r>
        <w:drawing>
          <wp:inline>
            <wp:extent cx="4617720" cy="731520"/>
            <wp:effectExtent b="0" l="0" r="0" t="0"/>
            <wp:docPr descr="Формула (5)" title="Формула (5)" id="1" name="Picture"/>
            <a:graphic>
              <a:graphicData uri="http://schemas.openxmlformats.org/drawingml/2006/picture">
                <pic:pic>
                  <pic:nvPicPr>
                    <pic:cNvPr descr="images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(5)</w:t>
      </w:r>
    </w:p>
    <w:p>
      <w:pPr>
        <w:pStyle w:val="BodyText"/>
      </w:pPr>
      <w:r>
        <w:t xml:space="preserve">Уравнение (2) с учетом (5) приобретает вид (6)</w:t>
      </w:r>
    </w:p>
    <w:p>
      <w:pPr>
        <w:pStyle w:val="CaptionedFigure"/>
      </w:pPr>
      <w:r>
        <w:drawing>
          <wp:inline>
            <wp:extent cx="5334000" cy="738322"/>
            <wp:effectExtent b="0" l="0" r="0" t="0"/>
            <wp:docPr descr="Формула (6)" title="Формула (6)" id="1" name="Picture"/>
            <a:graphic>
              <a:graphicData uri="http://schemas.openxmlformats.org/drawingml/2006/picture">
                <pic:pic>
                  <pic:nvPicPr>
                    <pic:cNvPr descr="images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(6)</w:t>
      </w:r>
    </w:p>
    <w:p>
      <w:pPr>
        <w:pStyle w:val="BodyText"/>
      </w:pPr>
      <w:r>
        <w:t xml:space="preserve">Уравнение (6) имеет два стационарных решения, соответствующих</w:t>
      </w:r>
      <w:r>
        <w:t xml:space="preserve"> </w:t>
      </w:r>
      <w:r>
        <w:t xml:space="preserve">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(7):</w:t>
      </w:r>
    </w:p>
    <w:p>
      <w:pPr>
        <w:pStyle w:val="CaptionedFigure"/>
      </w:pPr>
      <w:r>
        <w:drawing>
          <wp:inline>
            <wp:extent cx="4739640" cy="739140"/>
            <wp:effectExtent b="0" l="0" r="0" t="0"/>
            <wp:docPr descr="Формула (7)" title="Формула (7)" id="1" name="Picture"/>
            <a:graphic>
              <a:graphicData uri="http://schemas.openxmlformats.org/drawingml/2006/picture">
                <pic:pic>
                  <pic:nvPicPr>
                    <pic:cNvPr descr="images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(7)</w:t>
      </w:r>
    </w:p>
    <w:p>
      <w:pPr>
        <w:pStyle w:val="BodyText"/>
      </w:pPr>
      <w:r>
        <w:t xml:space="preserve">где (8)</w:t>
      </w:r>
    </w:p>
    <w:p>
      <w:pPr>
        <w:pStyle w:val="CaptionedFigure"/>
      </w:pPr>
      <w:r>
        <w:drawing>
          <wp:inline>
            <wp:extent cx="5334000" cy="769544"/>
            <wp:effectExtent b="0" l="0" r="0" t="0"/>
            <wp:docPr descr="Формула (8)" title="Формула (8)" id="1" name="Picture"/>
            <a:graphic>
              <a:graphicData uri="http://schemas.openxmlformats.org/drawingml/2006/picture">
                <pic:pic>
                  <pic:nvPicPr>
                    <pic:cNvPr descr="images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(8)</w:t>
      </w:r>
    </w:p>
    <w:p>
      <w:pPr>
        <w:pStyle w:val="BodyText"/>
      </w:pPr>
      <w:r>
        <w:t xml:space="preserve">Из (7) следует,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</w:t>
      </w:r>
      <w:r>
        <w:t xml:space="preserve"> </w:t>
      </w:r>
      <w:r>
        <w:t xml:space="preserve">стационарных состояний нет. Это означает, что в этих условиях фирма не может</w:t>
      </w:r>
      <w:r>
        <w:t xml:space="preserve"> </w:t>
      </w:r>
      <w:r>
        <w:t xml:space="preserve">функционировать стабильно, то есть, терпит банкротство. Однако, как правило,</w:t>
      </w:r>
      <w:r>
        <w:t xml:space="preserve"> </w:t>
      </w:r>
      <w:r>
        <w:t xml:space="preserve">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</w:t>
      </w:r>
      <w:r>
        <w:t xml:space="preserve"> </w:t>
      </w:r>
      <w:r>
        <w:t xml:space="preserve">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</w:t>
      </w:r>
      <w:r>
        <w:t xml:space="preserve"> </w:t>
      </w:r>
      <w:r>
        <w:t xml:space="preserve">значения M равны (9)</w:t>
      </w:r>
    </w:p>
    <w:p>
      <w:pPr>
        <w:pStyle w:val="CaptionedFigure"/>
      </w:pPr>
      <w:r>
        <w:drawing>
          <wp:inline>
            <wp:extent cx="5334000" cy="702032"/>
            <wp:effectExtent b="0" l="0" r="0" t="0"/>
            <wp:docPr descr="Формула (9)" title="Формула (9)" id="1" name="Picture"/>
            <a:graphic>
              <a:graphicData uri="http://schemas.openxmlformats.org/drawingml/2006/picture">
                <pic:pic>
                  <pic:nvPicPr>
                    <pic:cNvPr descr="images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(9)</w:t>
      </w:r>
    </w:p>
    <w:p>
      <w:pPr>
        <w:pStyle w:val="BodyText"/>
      </w:pPr>
      <w:r>
        <w:t xml:space="preserve">Первое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 </w:t>
      </w:r>
      <w:r>
        <w:t xml:space="preserve">устойчиво и соответствует стабильному</w:t>
      </w:r>
      <w:r>
        <w:t xml:space="preserve"> </w:t>
      </w:r>
      <w:r>
        <w:t xml:space="preserve">функционированию предприятия. Второе состояние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неустойчиво, так, что</w:t>
      </w:r>
      <w:r>
        <w:t xml:space="preserve"> </w:t>
      </w:r>
      <w:r>
        <w:t xml:space="preserve">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</w:t>
      </w:r>
      <w:r>
        <w:t xml:space="preserve"> </w:t>
      </w:r>
      <w:r>
        <w:t xml:space="preserve">банкротству. По смыслу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M</m:t>
                </m:r>
              </m:e>
            </m:acc>
          </m:e>
          <m:sub>
            <m:r>
              <m:rPr>
                <m:sty m:val="p"/>
              </m:rPr>
              <m:t>−</m:t>
            </m:r>
          </m:sub>
        </m:sSub>
      </m:oMath>
      <w:r>
        <w:t xml:space="preserve"> </w:t>
      </w:r>
      <w:r>
        <w:t xml:space="preserve">соответствует начальному капиталу, необходимому</w:t>
      </w:r>
      <w:r>
        <w:t xml:space="preserve"> </w:t>
      </w:r>
      <w:r>
        <w:t xml:space="preserve">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Это значит,</w:t>
      </w:r>
      <w:r>
        <w:t xml:space="preserve"> </w:t>
      </w:r>
      <w:r>
        <w:t xml:space="preserve">что уменьшение доли оборотных средств, вкладываемых в производство,</w:t>
      </w:r>
      <w:r>
        <w:t xml:space="preserve"> </w:t>
      </w:r>
      <w:r>
        <w:t xml:space="preserve">эквивалентно удлинению производственного цикла. Поэтому мы в дальнейшем</w:t>
      </w:r>
      <w:r>
        <w:t xml:space="preserve"> </w:t>
      </w:r>
      <w:r>
        <w:t xml:space="preserve">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p>
      <w:pPr>
        <w:pStyle w:val="BodyText"/>
      </w:pPr>
      <w:r>
        <w:rPr>
          <w:bCs/>
          <w:b/>
        </w:rPr>
        <w:t xml:space="preserve">Конкуренция двух фирм</w:t>
      </w:r>
    </w:p>
    <w:p>
      <w:pPr>
        <w:pStyle w:val="BodyText"/>
      </w:pPr>
      <w:r>
        <w:rPr>
          <w:bCs/>
          <w:b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</w:t>
      </w:r>
      <w:r>
        <w:t xml:space="preserve"> </w:t>
      </w:r>
      <w:r>
        <w:t xml:space="preserve">либо иным способом.)</w:t>
      </w:r>
      <w:r>
        <w:t xml:space="preserve"> </w:t>
      </w:r>
      <w:r>
        <w:t xml:space="preserve">Уравнения динамики оборотных средств запишем по аналогии с (2) в виде (10)</w:t>
      </w:r>
    </w:p>
    <w:p>
      <w:pPr>
        <w:pStyle w:val="CaptionedFigure"/>
      </w:pPr>
      <w:r>
        <w:drawing>
          <wp:inline>
            <wp:extent cx="5311140" cy="1485900"/>
            <wp:effectExtent b="0" l="0" r="0" t="0"/>
            <wp:docPr descr="Формула (10)" title="Формула (10)" id="1" name="Picture"/>
            <a:graphic>
              <a:graphicData uri="http://schemas.openxmlformats.org/drawingml/2006/picture">
                <pic:pic>
                  <pic:nvPicPr>
                    <pic:cNvPr descr="images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(10)</w:t>
      </w:r>
    </w:p>
    <w:p>
      <w:pPr>
        <w:pStyle w:val="BodyText"/>
      </w:pPr>
      <w:r>
        <w:t xml:space="preserve">где использованы те же обозначения, а индексы 1 и 2 относятся к первой и второй</w:t>
      </w:r>
      <w:r>
        <w:t xml:space="preserve"> </w:t>
      </w:r>
      <w:r>
        <w:t xml:space="preserve">фирме, соответственно. Величины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– числа потребителей, приобретших</w:t>
      </w:r>
      <w:r>
        <w:t xml:space="preserve"> </w:t>
      </w:r>
      <w:r>
        <w:t xml:space="preserve">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</w:t>
      </w:r>
      <w:r>
        <w:t xml:space="preserve"> </w:t>
      </w:r>
      <w:r>
        <w:t xml:space="preserve">произведенный каждой фирмой товар не накапливается, а реализуется по цене p.</w:t>
      </w:r>
      <w:r>
        <w:t xml:space="preserve"> </w:t>
      </w:r>
      <w:r>
        <w:t xml:space="preserve">Тогда (11)</w:t>
      </w:r>
    </w:p>
    <w:p>
      <w:pPr>
        <w:pStyle w:val="CaptionedFigure"/>
      </w:pPr>
      <w:r>
        <w:drawing>
          <wp:inline>
            <wp:extent cx="4663440" cy="1485900"/>
            <wp:effectExtent b="0" l="0" r="0" t="0"/>
            <wp:docPr descr="Формула (11)" title="Формула (11)" id="1" name="Picture"/>
            <a:graphic>
              <a:graphicData uri="http://schemas.openxmlformats.org/drawingml/2006/picture">
                <pic:pic>
                  <pic:nvPicPr>
                    <pic:cNvPr descr="images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(11)</w:t>
      </w: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 (12)</w:t>
      </w:r>
    </w:p>
    <w:p>
      <w:pPr>
        <w:pStyle w:val="CaptionedFigure"/>
      </w:pPr>
      <w:r>
        <w:drawing>
          <wp:inline>
            <wp:extent cx="4930140" cy="1531620"/>
            <wp:effectExtent b="0" l="0" r="0" t="0"/>
            <wp:docPr descr="Формула (12)" title="Формула (12)" id="1" name="Picture"/>
            <a:graphic>
              <a:graphicData uri="http://schemas.openxmlformats.org/drawingml/2006/picture">
                <pic:pic>
                  <pic:nvPicPr>
                    <pic:cNvPr descr="images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(12)</w:t>
      </w:r>
    </w:p>
    <w:p>
      <w:pPr>
        <w:pStyle w:val="BodyText"/>
      </w:pPr>
      <w:r>
        <w:t xml:space="preserve">Уравнение для цены, по аналогии с (3), (13)</w:t>
      </w:r>
    </w:p>
    <w:p>
      <w:pPr>
        <w:pStyle w:val="CaptionedFigure"/>
      </w:pPr>
      <w:r>
        <w:drawing>
          <wp:inline>
            <wp:extent cx="5219700" cy="739140"/>
            <wp:effectExtent b="0" l="0" r="0" t="0"/>
            <wp:docPr descr="Формула (13)" title="Формула (13)" id="1" name="Picture"/>
            <a:graphic>
              <a:graphicData uri="http://schemas.openxmlformats.org/drawingml/2006/picture">
                <pic:pic>
                  <pic:nvPicPr>
                    <pic:cNvPr descr="images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(13)</w:t>
      </w:r>
    </w:p>
    <w:p>
      <w:pPr>
        <w:pStyle w:val="BodyText"/>
      </w:pPr>
      <w:r>
        <w:t xml:space="preserve">Считая, как и выше, что ценовое равновесие устанавливается быстро,</w:t>
      </w:r>
      <w:r>
        <w:t xml:space="preserve"> </w:t>
      </w:r>
      <w:r>
        <w:t xml:space="preserve">получим (14):</w:t>
      </w:r>
    </w:p>
    <w:p>
      <w:pPr>
        <w:pStyle w:val="CaptionedFigure"/>
      </w:pPr>
      <w:r>
        <w:drawing>
          <wp:inline>
            <wp:extent cx="5120640" cy="853440"/>
            <wp:effectExtent b="0" l="0" r="0" t="0"/>
            <wp:docPr descr="Формула (14)" title="Формула (14)" id="1" name="Picture"/>
            <a:graphic>
              <a:graphicData uri="http://schemas.openxmlformats.org/drawingml/2006/picture">
                <pic:pic>
                  <pic:nvPicPr>
                    <pic:cNvPr descr="images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(14)</w:t>
      </w:r>
    </w:p>
    <w:p>
      <w:pPr>
        <w:pStyle w:val="BodyText"/>
      </w:pPr>
      <w:r>
        <w:t xml:space="preserve">Подставив (14) в (12) имеем (15):</w:t>
      </w:r>
    </w:p>
    <w:p>
      <w:pPr>
        <w:pStyle w:val="CaptionedFigure"/>
      </w:pPr>
      <w:r>
        <w:drawing>
          <wp:inline>
            <wp:extent cx="5311140" cy="1272540"/>
            <wp:effectExtent b="0" l="0" r="0" t="0"/>
            <wp:docPr descr="Формула (15)" title="Формула (15)" id="1" name="Picture"/>
            <a:graphic>
              <a:graphicData uri="http://schemas.openxmlformats.org/drawingml/2006/picture">
                <pic:pic>
                  <pic:nvPicPr>
                    <pic:cNvPr descr="images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(15)</w:t>
      </w:r>
    </w:p>
    <w:p>
      <w:pPr>
        <w:pStyle w:val="BodyText"/>
      </w:pPr>
      <w:r>
        <w:t xml:space="preserve">где (16)</w:t>
      </w:r>
    </w:p>
    <w:p>
      <w:pPr>
        <w:pStyle w:val="CaptionedFigure"/>
      </w:pPr>
      <w:r>
        <w:drawing>
          <wp:inline>
            <wp:extent cx="5334000" cy="479638"/>
            <wp:effectExtent b="0" l="0" r="0" t="0"/>
            <wp:docPr descr="Формула (16)" title="Формула (16)" id="1" name="Picture"/>
            <a:graphic>
              <a:graphicData uri="http://schemas.openxmlformats.org/drawingml/2006/picture">
                <pic:pic>
                  <pic:nvPicPr>
                    <pic:cNvPr descr="images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(16)</w:t>
      </w:r>
    </w:p>
    <w:p>
      <w:pPr>
        <w:pStyle w:val="BodyText"/>
      </w:pPr>
      <w:r>
        <w:t xml:space="preserve">Исследуем систему (15) в случае, когда постоянные издержки (κ1, κ2) пренебрежимо малы. И введем нормировку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 Получим следующую систему (17):</w:t>
      </w:r>
    </w:p>
    <w:p>
      <w:pPr>
        <w:pStyle w:val="CaptionedFigure"/>
      </w:pPr>
      <w:r>
        <w:drawing>
          <wp:inline>
            <wp:extent cx="5090160" cy="1348740"/>
            <wp:effectExtent b="0" l="0" r="0" t="0"/>
            <wp:docPr descr="Формула (17)" title="Формула (17)" id="1" name="Picture"/>
            <a:graphic>
              <a:graphicData uri="http://schemas.openxmlformats.org/drawingml/2006/picture">
                <pic:pic>
                  <pic:nvPicPr>
                    <pic:cNvPr descr="images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(17)</w:t>
      </w:r>
    </w:p>
    <w:p>
      <w:pPr>
        <w:pStyle w:val="BodyText"/>
      </w:pPr>
      <w:r>
        <w:t xml:space="preserve">Чтобы решить систему (17) необходимо знать начальные условия. Зададим</w:t>
      </w:r>
      <w:r>
        <w:t xml:space="preserve"> </w:t>
      </w:r>
      <w:r>
        <w:t xml:space="preserve">начальные значения</w:t>
      </w:r>
      <w:r>
        <w:t xml:space="preserve"> </w:t>
      </w: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и известные параметры: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16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Замечание: Необходимо учесть, что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</w:t>
      </w:r>
      <w:r>
        <w:t xml:space="preserve"> </w:t>
      </w:r>
      <w:r>
        <w:t xml:space="preserve">единиц (например N=10 - означает 10 000 потенциальных потребителей), а</w:t>
      </w:r>
      <w:r>
        <w:t xml:space="preserve"> </w:t>
      </w:r>
      <w:r>
        <w:t xml:space="preserve">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t xml:space="preserve">При таких условиях получаем следующие динамики изменения объемов продаж (рис.1):</w:t>
      </w:r>
    </w:p>
    <w:p>
      <w:pPr>
        <w:pStyle w:val="CaptionedFigure"/>
      </w:pPr>
      <w:r>
        <w:drawing>
          <wp:inline>
            <wp:extent cx="5334000" cy="3852672"/>
            <wp:effectExtent b="0" l="0" r="0" t="0"/>
            <wp:docPr descr="рис.1: График изменения оборотных средств фирмы 1 (синий) и фирмы 2 (зеленый). По оси ординат значения M_{1,2}, по оси абсцисс значения \theta = \dfrac{t}{c_1} (безразмерное время)" title="График изменения оборотных средств фирмы 1 (синий) и фирмы 2 (зеленый). По оси ординат значения $M_{1,2}$, по оси абсцисс значения $\theta = \dfrac{t}{c_1}$ (безразмерное время)" id="1" name="Picture"/>
            <a:graphic>
              <a:graphicData uri="http://schemas.openxmlformats.org/drawingml/2006/picture">
                <pic:pic>
                  <pic:nvPicPr>
                    <pic:cNvPr descr="images/17-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рис.1: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</w:t>
      </w:r>
    </w:p>
    <w:p>
      <w:pPr>
        <w:pStyle w:val="BodyText"/>
      </w:pPr>
      <w:r>
        <w:t xml:space="preserve">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(17)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</w:t>
      </w:r>
      <w:r>
        <w:t xml:space="preserve"> </w:t>
      </w:r>
      <w:r>
        <w:t xml:space="preserve">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p>
      <w:pPr>
        <w:pStyle w:val="BodyText"/>
      </w:pPr>
      <w:r>
        <w:rPr>
          <w:bCs/>
          <w:b/>
        </w:rP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</w:t>
      </w:r>
      <w:r>
        <w:t xml:space="preserve"> </w:t>
      </w:r>
      <w:r>
        <w:t xml:space="preserve">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Рассмотрим следующую модель (18):</w:t>
      </w:r>
    </w:p>
    <w:p>
      <w:pPr>
        <w:pStyle w:val="CaptionedFigure"/>
      </w:pPr>
      <w:r>
        <w:drawing>
          <wp:inline>
            <wp:extent cx="5334000" cy="1481666"/>
            <wp:effectExtent b="0" l="0" r="0" t="0"/>
            <wp:docPr descr="Формула (18)" title="Формула (18)" id="1" name="Picture"/>
            <a:graphic>
              <a:graphicData uri="http://schemas.openxmlformats.org/drawingml/2006/picture">
                <pic:pic>
                  <pic:nvPicPr>
                    <pic:cNvPr descr="images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Формула (18)</w:t>
      </w:r>
    </w:p>
    <w:p>
      <w:pPr>
        <w:pStyle w:val="BodyText"/>
      </w:pPr>
      <w:r>
        <w:t xml:space="preserve">Начальные условия и известные параметры остаются прежними. В этом</w:t>
      </w:r>
      <w:r>
        <w:t xml:space="preserve"> </w:t>
      </w:r>
      <w:r>
        <w:t xml:space="preserve">случаем получим следующее решение (рис.2):</w:t>
      </w:r>
    </w:p>
    <w:p>
      <w:pPr>
        <w:pStyle w:val="CaptionedFigure"/>
      </w:pPr>
      <w:r>
        <w:drawing>
          <wp:inline>
            <wp:extent cx="5334000" cy="688918"/>
            <wp:effectExtent b="0" l="0" r="0" t="0"/>
            <wp:docPr descr="рис.2: График изменения оборотных средств фирмы 1 (синий) и фирмы 2 (зеленый). По оси ординат значения M_1M_2 (оборотные средства фирмы 1 и фирмы 2), по оси абсцисс значения \theta = \dfrac{t}{c_1} (безразмерное время)" title="График изменения оборотных средств фирмы 1 (синий) и фирмы 2 (зеленый). По оси ординат значения $M_1M_2$ (оборотные средства фирмы 1 и фирмы 2), по оси абсцисс значения $\theta = \dfrac{t}{c_1}$ (безразмерное время)" id="1" name="Picture"/>
            <a:graphic>
              <a:graphicData uri="http://schemas.openxmlformats.org/drawingml/2006/picture">
                <pic:pic>
                  <pic:nvPicPr>
                    <pic:cNvPr descr="images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рис.2: График изменения оборотных средств фирмы 1 (синий) и фирмы 2 (зеленый). По оси ординат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(оборотные средства фирмы 1 и фирмы 2), по оси абсцисс значения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(безразмерное время)</w:t>
      </w:r>
    </w:p>
    <w:p>
      <w:pPr>
        <w:pStyle w:val="BodyText"/>
      </w:pPr>
      <w:r>
        <w:t xml:space="preserve">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p>
      <w:pPr>
        <w:pStyle w:val="BodyText"/>
      </w:pPr>
      <w:r>
        <w:t xml:space="preserve">Замечание: Стоит отметить, что рассматривается упрощенная модель, которая дает</w:t>
      </w:r>
      <w:r>
        <w:t xml:space="preserve"> </w:t>
      </w:r>
      <w:r>
        <w:t xml:space="preserve">модельное решение. В реальности факторов, влияющих на динамику изменения</w:t>
      </w:r>
      <w:r>
        <w:t xml:space="preserve"> </w:t>
      </w:r>
      <w:r>
        <w:t xml:space="preserve">оборотных средств предприятий, больше.</w:t>
      </w:r>
    </w:p>
    <w:bookmarkEnd w:id="45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работы будем проводить, используя OpenModelica.</w:t>
      </w:r>
    </w:p>
    <w:p>
      <w:pPr>
        <w:pStyle w:val="BodyText"/>
      </w:pPr>
      <w:r>
        <w:t xml:space="preserve">Напишем программу для построения графиков (рис.3).</w:t>
      </w:r>
    </w:p>
    <w:p>
      <w:pPr>
        <w:pStyle w:val="CaptionedFigure"/>
      </w:pPr>
      <w:r>
        <w:drawing>
          <wp:inline>
            <wp:extent cx="5334000" cy="3082256"/>
            <wp:effectExtent b="0" l="0" r="0" t="0"/>
            <wp:docPr descr="рис.3: Код программы для построения графиков модели" title="Код программы для построения графиков модели" id="1" name="Picture"/>
            <a:graphic>
              <a:graphicData uri="http://schemas.openxmlformats.org/drawingml/2006/picture">
                <pic:pic>
                  <pic:nvPicPr>
                    <pic:cNvPr descr="images/2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рис.3: Код программы для построения графиков модели</w:t>
      </w:r>
    </w:p>
    <w:p>
      <w:pPr>
        <w:pStyle w:val="BodyText"/>
      </w:pPr>
      <w:r>
        <w:t xml:space="preserve">Смоделируем графики изменения оборотных средств фирмы 1 и фирмы 2 без учета постоянных издержек и с веденной нормировкой для случая 1 (рис.4).</w:t>
      </w:r>
    </w:p>
    <w:p>
      <w:pPr>
        <w:pStyle w:val="CaptionedFigure"/>
      </w:pPr>
      <w:r>
        <w:drawing>
          <wp:inline>
            <wp:extent cx="5334000" cy="2166824"/>
            <wp:effectExtent b="0" l="0" r="0" t="0"/>
            <wp:docPr descr="рис.4: Графики изменения оборотных средств фирмы 1 и фирмы 2 без учета постоянных издержек и с веденной нормировкой для случая 1" title="Графики изменения оборотных средств фирмы 1 и фирмы 2 без учета постоянных издержек и с веденной нормировкой для случая 1" id="1" name="Picture"/>
            <a:graphic>
              <a:graphicData uri="http://schemas.openxmlformats.org/drawingml/2006/picture">
                <pic:pic>
                  <pic:nvPicPr>
                    <pic:cNvPr descr="images/2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рис.4: Графики изменения оборотных средств фирмы 1 и фирмы 2 без учета постоянных издержек и с веденной нормировкой для случая 1</w:t>
      </w:r>
    </w:p>
    <w:p>
      <w:pPr>
        <w:pStyle w:val="BodyText"/>
      </w:pPr>
      <w:r>
        <w:t xml:space="preserve">Смоделируем графики изменения оборотных средств фирмы 1 и фирмы 2 без учета постоянных издержек и с веденной нормировкой для случая 2 (рис.5).</w:t>
      </w:r>
    </w:p>
    <w:p>
      <w:pPr>
        <w:pStyle w:val="CaptionedFigure"/>
      </w:pPr>
      <w:r>
        <w:drawing>
          <wp:inline>
            <wp:extent cx="5334000" cy="2219092"/>
            <wp:effectExtent b="0" l="0" r="0" t="0"/>
            <wp:docPr descr="рис.5: Графики изменения оборотных средств фирмы 1 и фирмы 2 без учета постоянных издержек и с веденной нормировкой для случая 2" title="Графики изменения оборотных средств фирмы 1 и фирмы 2 без учета постоянных издержек и с веденной нормировкой для случая 2" id="1" name="Picture"/>
            <a:graphic>
              <a:graphicData uri="http://schemas.openxmlformats.org/drawingml/2006/picture">
                <pic:pic>
                  <pic:nvPicPr>
                    <pic:cNvPr descr="images/2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рис.5: Графики изменения оборотных средств фирмы 1 и фирмы 2 без учета постоянных издержек и с веденной нормировкой для случая 2</w:t>
      </w:r>
    </w:p>
    <w:bookmarkEnd w:id="49"/>
    <w:bookmarkStart w:id="50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Изучена задача о конкуренции двух фирм</w:t>
      </w:r>
    </w:p>
    <w:p>
      <w:pPr>
        <w:numPr>
          <w:ilvl w:val="0"/>
          <w:numId w:val="1003"/>
        </w:numPr>
        <w:pStyle w:val="Compact"/>
      </w:pPr>
      <w:r>
        <w:t xml:space="preserve">Построены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</w:t>
      </w:r>
    </w:p>
    <w:p>
      <w:pPr>
        <w:numPr>
          <w:ilvl w:val="0"/>
          <w:numId w:val="1003"/>
        </w:numPr>
        <w:pStyle w:val="Compact"/>
      </w:pPr>
      <w:r>
        <w:t xml:space="preserve">Построены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</w:t>
      </w:r>
    </w:p>
    <w:bookmarkEnd w:id="50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Методические материалы курса</w:t>
      </w:r>
    </w:p>
    <w:p>
      <w:pPr>
        <w:numPr>
          <w:ilvl w:val="0"/>
          <w:numId w:val="1004"/>
        </w:numPr>
        <w:pStyle w:val="Compact"/>
      </w:pPr>
      <w:r>
        <w:t xml:space="preserve">Задания к лабораторной работе № 8 (по вариантам)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38" Target="media/rId38.jpg" /><Relationship Type="http://schemas.openxmlformats.org/officeDocument/2006/relationships/image" Id="rId39" Target="media/rId39.jpg" /><Relationship Type="http://schemas.openxmlformats.org/officeDocument/2006/relationships/image" Id="rId40" Target="media/rId40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46" Target="media/rId46.jpg" /><Relationship Type="http://schemas.openxmlformats.org/officeDocument/2006/relationships/image" Id="rId47" Target="media/rId47.jpg" /><Relationship Type="http://schemas.openxmlformats.org/officeDocument/2006/relationships/image" Id="rId48" Target="media/rId48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Горбунова Ярослава Михайловна</dc:creator>
  <dc:language>ru-RU</dc:language>
  <cp:keywords/>
  <dcterms:created xsi:type="dcterms:W3CDTF">2022-03-21T08:33:23Z</dcterms:created>
  <dcterms:modified xsi:type="dcterms:W3CDTF">2022-03-21T08:33:23Z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group">
    <vt:lpwstr>NFIbd-01-19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institute">
    <vt:lpwstr>RUDN University, Moscow, Russian Federation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конкуренции двух фирм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